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6DBF7" w14:textId="77777777" w:rsidR="00AE3430" w:rsidRDefault="00AE3430">
      <w:pPr>
        <w:spacing w:before="0" w:after="200" w:line="276" w:lineRule="auto"/>
      </w:pPr>
    </w:p>
    <w:p w14:paraId="72517F00" w14:textId="77777777" w:rsidR="00AE3430" w:rsidRDefault="00AE3430" w:rsidP="00AE3430">
      <w:pPr>
        <w:ind w:left="567"/>
        <w:jc w:val="center"/>
        <w:rPr>
          <w:b/>
          <w:sz w:val="52"/>
          <w:szCs w:val="52"/>
        </w:rPr>
      </w:pPr>
    </w:p>
    <w:p w14:paraId="3B820EE6" w14:textId="77777777" w:rsidR="00AE3430" w:rsidRDefault="00AE3430" w:rsidP="00AE3430">
      <w:pPr>
        <w:ind w:left="567"/>
        <w:jc w:val="center"/>
        <w:rPr>
          <w:b/>
          <w:sz w:val="52"/>
          <w:szCs w:val="52"/>
        </w:rPr>
      </w:pPr>
    </w:p>
    <w:p w14:paraId="0782569D" w14:textId="10AABF7E" w:rsidR="00AE3430" w:rsidRDefault="00B26622" w:rsidP="00836AA4">
      <w:pPr>
        <w:pStyle w:val="AspexClientName0"/>
      </w:pPr>
      <w:r>
        <w:t>The Australian Government Department of Health</w:t>
      </w:r>
    </w:p>
    <w:p w14:paraId="2E417C55" w14:textId="2C515886" w:rsidR="00152F38" w:rsidRPr="00836AA4" w:rsidRDefault="002A3DC0" w:rsidP="007F3465">
      <w:pPr>
        <w:pStyle w:val="AspexReportTitle"/>
        <w:spacing w:after="1320"/>
        <w:rPr>
          <w:sz w:val="22"/>
          <w:szCs w:val="20"/>
        </w:rPr>
      </w:pPr>
      <w:fldSimple w:instr=" DOCPROPERTY  xReportTitle  \* MERGEFORMAT ">
        <w:r w:rsidR="00B91A80">
          <w:t>Analysis of proposed MBS Items for Palliative Medicine</w:t>
        </w:r>
      </w:fldSimple>
    </w:p>
    <w:p w14:paraId="214BA4AB" w14:textId="0982AEF3" w:rsidR="00AE3430" w:rsidRPr="00D926BC" w:rsidRDefault="005A1398" w:rsidP="006478D9">
      <w:pPr>
        <w:pStyle w:val="AspexVersion"/>
      </w:pPr>
      <w:r>
        <w:t>Final</w:t>
      </w:r>
      <w:r w:rsidR="00657078">
        <w:t xml:space="preserve"> Report</w:t>
      </w:r>
    </w:p>
    <w:p w14:paraId="6DF8FB27" w14:textId="77777777" w:rsidR="00AE3430" w:rsidRDefault="00AE3430" w:rsidP="00AE3430">
      <w:pPr>
        <w:ind w:left="567"/>
        <w:jc w:val="center"/>
      </w:pPr>
    </w:p>
    <w:p w14:paraId="03C7E881" w14:textId="77777777" w:rsidR="00AE3430" w:rsidRDefault="00AE3430" w:rsidP="00AE3430">
      <w:pPr>
        <w:ind w:left="567"/>
        <w:jc w:val="center"/>
      </w:pPr>
    </w:p>
    <w:p w14:paraId="272F4E8B" w14:textId="14D45393" w:rsidR="00AE3430" w:rsidRDefault="00B91A80" w:rsidP="006478D9">
      <w:pPr>
        <w:pStyle w:val="AspexDate"/>
      </w:pPr>
      <w:r>
        <w:t>11 March</w:t>
      </w:r>
      <w:r w:rsidR="005A1398">
        <w:t xml:space="preserve"> 2014</w:t>
      </w:r>
    </w:p>
    <w:p w14:paraId="5CE4EE61" w14:textId="7342B9BF" w:rsidR="00A52EAD" w:rsidRPr="004D57B3" w:rsidRDefault="00F86829" w:rsidP="00A52EAD">
      <w:pPr>
        <w:autoSpaceDE w:val="0"/>
        <w:autoSpaceDN w:val="0"/>
        <w:adjustRightInd w:val="0"/>
        <w:spacing w:after="0"/>
        <w:rPr>
          <w:b/>
          <w:bCs/>
          <w:color w:val="000000"/>
          <w:sz w:val="20"/>
          <w:lang w:eastAsia="zh-TW"/>
        </w:rPr>
      </w:pPr>
      <w:r>
        <w:br w:type="page"/>
      </w:r>
      <w:r w:rsidR="00A52EAD" w:rsidRPr="004D57B3">
        <w:rPr>
          <w:b/>
          <w:bCs/>
          <w:color w:val="000000"/>
          <w:sz w:val="20"/>
          <w:lang w:eastAsia="zh-TW"/>
        </w:rPr>
        <w:lastRenderedPageBreak/>
        <w:t>© Commonwealth of Australia 201</w:t>
      </w:r>
      <w:r w:rsidR="00C61EBF">
        <w:rPr>
          <w:b/>
          <w:bCs/>
          <w:color w:val="000000"/>
          <w:sz w:val="20"/>
          <w:lang w:eastAsia="zh-TW"/>
        </w:rPr>
        <w:t>4</w:t>
      </w:r>
    </w:p>
    <w:p w14:paraId="5599EECE" w14:textId="77777777" w:rsidR="00A52EAD" w:rsidRPr="004D57B3" w:rsidRDefault="00A52EAD" w:rsidP="00A52EAD">
      <w:pPr>
        <w:autoSpaceDE w:val="0"/>
        <w:autoSpaceDN w:val="0"/>
        <w:adjustRightInd w:val="0"/>
        <w:spacing w:after="0"/>
        <w:rPr>
          <w:b/>
          <w:bCs/>
          <w:color w:val="000000"/>
          <w:sz w:val="20"/>
          <w:lang w:eastAsia="zh-TW"/>
        </w:rPr>
      </w:pPr>
    </w:p>
    <w:p w14:paraId="0D6B4070" w14:textId="633CF960" w:rsidR="00A52EAD" w:rsidRPr="004D57B3" w:rsidRDefault="00A52EAD" w:rsidP="005E70C6">
      <w:pPr>
        <w:tabs>
          <w:tab w:val="left" w:pos="3402"/>
        </w:tabs>
        <w:autoSpaceDE w:val="0"/>
        <w:autoSpaceDN w:val="0"/>
        <w:adjustRightInd w:val="0"/>
        <w:spacing w:after="0"/>
        <w:rPr>
          <w:b/>
          <w:bCs/>
          <w:color w:val="000000"/>
          <w:sz w:val="20"/>
          <w:lang w:eastAsia="zh-TW"/>
        </w:rPr>
      </w:pPr>
      <w:bookmarkStart w:id="0" w:name="_GoBack"/>
      <w:r w:rsidRPr="004D57B3">
        <w:rPr>
          <w:b/>
          <w:bCs/>
          <w:color w:val="000000"/>
          <w:sz w:val="20"/>
          <w:lang w:eastAsia="zh-TW"/>
        </w:rPr>
        <w:t>ISBN (Online)</w:t>
      </w:r>
      <w:r w:rsidR="005E70C6">
        <w:rPr>
          <w:b/>
          <w:bCs/>
          <w:color w:val="000000"/>
          <w:sz w:val="20"/>
          <w:lang w:eastAsia="zh-TW"/>
        </w:rPr>
        <w:tab/>
      </w:r>
      <w:r w:rsidR="005E70C6" w:rsidRPr="005E70C6">
        <w:rPr>
          <w:b/>
          <w:bCs/>
          <w:color w:val="000000"/>
          <w:sz w:val="20"/>
          <w:lang w:eastAsia="zh-TW"/>
        </w:rPr>
        <w:t>978-1-74186-138-9</w:t>
      </w:r>
    </w:p>
    <w:bookmarkEnd w:id="0"/>
    <w:p w14:paraId="4BB4F3CB" w14:textId="3B6DA453" w:rsidR="00A52EAD" w:rsidRPr="004D57B3" w:rsidRDefault="00A52EAD" w:rsidP="005E70C6">
      <w:pPr>
        <w:tabs>
          <w:tab w:val="left" w:pos="3402"/>
        </w:tabs>
        <w:autoSpaceDE w:val="0"/>
        <w:autoSpaceDN w:val="0"/>
        <w:adjustRightInd w:val="0"/>
        <w:spacing w:after="0"/>
        <w:rPr>
          <w:b/>
          <w:bCs/>
          <w:color w:val="000000"/>
          <w:sz w:val="20"/>
          <w:lang w:eastAsia="zh-TW"/>
        </w:rPr>
      </w:pPr>
      <w:r w:rsidRPr="004D57B3">
        <w:rPr>
          <w:b/>
          <w:bCs/>
          <w:color w:val="000000"/>
          <w:sz w:val="20"/>
          <w:lang w:eastAsia="zh-TW"/>
        </w:rPr>
        <w:t>ISSN (Online)</w:t>
      </w:r>
      <w:r w:rsidR="005E70C6">
        <w:rPr>
          <w:b/>
          <w:bCs/>
          <w:color w:val="000000"/>
          <w:sz w:val="20"/>
          <w:lang w:eastAsia="zh-TW"/>
        </w:rPr>
        <w:tab/>
      </w:r>
      <w:r w:rsidR="005E70C6" w:rsidRPr="005F5B3A">
        <w:rPr>
          <w:b/>
          <w:bCs/>
          <w:color w:val="000000"/>
          <w:sz w:val="18"/>
          <w:szCs w:val="18"/>
          <w:lang w:eastAsia="zh-TW"/>
        </w:rPr>
        <w:t>1443-7139</w:t>
      </w:r>
      <w:r w:rsidRPr="004D57B3">
        <w:rPr>
          <w:b/>
          <w:bCs/>
          <w:color w:val="000000"/>
          <w:sz w:val="20"/>
          <w:lang w:eastAsia="zh-TW"/>
        </w:rPr>
        <w:t xml:space="preserve"> </w:t>
      </w:r>
    </w:p>
    <w:p w14:paraId="045926DD" w14:textId="2F182C57" w:rsidR="005E70C6" w:rsidRPr="005E70C6" w:rsidRDefault="005E70C6" w:rsidP="005E70C6">
      <w:pPr>
        <w:tabs>
          <w:tab w:val="left" w:pos="3402"/>
        </w:tabs>
        <w:autoSpaceDE w:val="0"/>
        <w:autoSpaceDN w:val="0"/>
        <w:adjustRightInd w:val="0"/>
        <w:spacing w:after="0"/>
        <w:rPr>
          <w:b/>
          <w:bCs/>
          <w:color w:val="000000"/>
          <w:sz w:val="20"/>
          <w:lang w:eastAsia="zh-TW"/>
        </w:rPr>
      </w:pPr>
      <w:r w:rsidRPr="005E70C6">
        <w:rPr>
          <w:b/>
          <w:bCs/>
          <w:color w:val="000000"/>
          <w:sz w:val="20"/>
          <w:lang w:eastAsia="zh-TW"/>
        </w:rPr>
        <w:t xml:space="preserve">Publication approval number: </w:t>
      </w:r>
      <w:r>
        <w:rPr>
          <w:b/>
          <w:bCs/>
          <w:color w:val="000000"/>
          <w:sz w:val="20"/>
          <w:lang w:eastAsia="zh-TW"/>
        </w:rPr>
        <w:tab/>
        <w:t>10781</w:t>
      </w:r>
    </w:p>
    <w:p w14:paraId="77F98D08" w14:textId="77777777" w:rsidR="00A52EAD" w:rsidRPr="004D57B3" w:rsidRDefault="00A52EAD" w:rsidP="00A52EAD">
      <w:pPr>
        <w:autoSpaceDE w:val="0"/>
        <w:autoSpaceDN w:val="0"/>
        <w:adjustRightInd w:val="0"/>
        <w:spacing w:after="0"/>
        <w:rPr>
          <w:b/>
          <w:bCs/>
          <w:color w:val="000000"/>
          <w:sz w:val="20"/>
          <w:lang w:eastAsia="zh-TW"/>
        </w:rPr>
      </w:pPr>
    </w:p>
    <w:p w14:paraId="3BA46763" w14:textId="77777777" w:rsidR="00A52EAD" w:rsidRPr="004D57B3" w:rsidRDefault="00A52EAD" w:rsidP="00A52EAD">
      <w:pPr>
        <w:autoSpaceDE w:val="0"/>
        <w:autoSpaceDN w:val="0"/>
        <w:adjustRightInd w:val="0"/>
        <w:spacing w:after="0"/>
        <w:rPr>
          <w:b/>
          <w:bCs/>
          <w:color w:val="000000"/>
          <w:sz w:val="20"/>
          <w:lang w:eastAsia="zh-TW"/>
        </w:rPr>
      </w:pPr>
      <w:r w:rsidRPr="004D57B3">
        <w:rPr>
          <w:b/>
          <w:bCs/>
          <w:color w:val="000000"/>
          <w:sz w:val="20"/>
          <w:lang w:eastAsia="zh-TW"/>
        </w:rPr>
        <w:t>Internet sites</w:t>
      </w:r>
      <w:r>
        <w:rPr>
          <w:b/>
          <w:bCs/>
          <w:color w:val="000000"/>
          <w:sz w:val="20"/>
          <w:lang w:eastAsia="zh-TW"/>
        </w:rPr>
        <w:t xml:space="preserve">: </w:t>
      </w:r>
      <w:r>
        <w:rPr>
          <w:rFonts w:cs="Garamond"/>
          <w:color w:val="000000"/>
          <w:sz w:val="20"/>
          <w:lang w:eastAsia="zh-TW"/>
        </w:rPr>
        <w:t>http://</w:t>
      </w:r>
      <w:hyperlink r:id="rId9" w:history="1">
        <w:r>
          <w:rPr>
            <w:rStyle w:val="Hyperlink"/>
            <w:rFonts w:cs="Garamond"/>
            <w:sz w:val="20"/>
            <w:lang w:eastAsia="zh-TW"/>
          </w:rPr>
          <w:t>www.msac.gov.au (home page)</w:t>
        </w:r>
      </w:hyperlink>
    </w:p>
    <w:p w14:paraId="2D1F27FE" w14:textId="708F4E1E" w:rsidR="00A52EAD" w:rsidRPr="004D57B3" w:rsidRDefault="00A52EAD" w:rsidP="00A52EAD">
      <w:pPr>
        <w:autoSpaceDE w:val="0"/>
        <w:autoSpaceDN w:val="0"/>
        <w:adjustRightInd w:val="0"/>
        <w:spacing w:after="0"/>
        <w:rPr>
          <w:rFonts w:cs="Garamond"/>
          <w:color w:val="000000"/>
          <w:sz w:val="20"/>
          <w:lang w:eastAsia="zh-TW"/>
        </w:rPr>
      </w:pPr>
      <w:r w:rsidRPr="006E23E7">
        <w:rPr>
          <w:rFonts w:cs="Garamond"/>
          <w:color w:val="000000"/>
          <w:sz w:val="20"/>
          <w:lang w:eastAsia="zh-TW"/>
        </w:rPr>
        <w:t>©</w:t>
      </w:r>
      <w:r w:rsidR="00C61EBF">
        <w:rPr>
          <w:rFonts w:cs="Garamond"/>
          <w:color w:val="000000"/>
          <w:sz w:val="20"/>
          <w:lang w:eastAsia="zh-TW"/>
        </w:rPr>
        <w:t xml:space="preserve"> Commonwealth of Australia 2014</w:t>
      </w:r>
    </w:p>
    <w:p w14:paraId="1F4E0BC0" w14:textId="36FE31A4" w:rsidR="00A52EAD" w:rsidRDefault="00A52EAD" w:rsidP="00A52EAD">
      <w:pPr>
        <w:autoSpaceDE w:val="0"/>
        <w:autoSpaceDN w:val="0"/>
        <w:adjustRightInd w:val="0"/>
        <w:spacing w:after="0"/>
        <w:rPr>
          <w:rFonts w:cs="Garamond"/>
          <w:color w:val="000000"/>
          <w:sz w:val="20"/>
          <w:lang w:eastAsia="zh-TW"/>
        </w:rPr>
      </w:pPr>
      <w:r w:rsidRPr="00386514">
        <w:rPr>
          <w:rFonts w:cs="Garamond"/>
          <w:color w:val="000000"/>
          <w:sz w:val="20"/>
          <w:lang w:eastAsia="zh-TW"/>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w:t>
      </w:r>
      <w:r w:rsidR="00631D2E">
        <w:rPr>
          <w:rFonts w:cs="Garamond"/>
          <w:color w:val="000000"/>
          <w:sz w:val="20"/>
          <w:lang w:eastAsia="zh-TW"/>
        </w:rPr>
        <w:t>ns Branch, Department of Health</w:t>
      </w:r>
      <w:r w:rsidRPr="00386514">
        <w:rPr>
          <w:rFonts w:cs="Garamond"/>
          <w:color w:val="000000"/>
          <w:sz w:val="20"/>
          <w:lang w:eastAsia="zh-TW"/>
        </w:rPr>
        <w:t>, GPO Box 9848, Canberra ACT 2601, or via e-mail to</w:t>
      </w:r>
      <w:r>
        <w:rPr>
          <w:rFonts w:cs="Garamond"/>
          <w:color w:val="000000"/>
          <w:sz w:val="20"/>
          <w:lang w:eastAsia="zh-TW"/>
        </w:rPr>
        <w:t xml:space="preserve"> </w:t>
      </w:r>
      <w:hyperlink r:id="rId10" w:history="1">
        <w:r w:rsidRPr="00E6166D">
          <w:rPr>
            <w:rStyle w:val="Hyperlink"/>
            <w:rFonts w:cs="Garamond"/>
            <w:sz w:val="20"/>
            <w:lang w:eastAsia="zh-TW"/>
          </w:rPr>
          <w:t>copyright@health.gov.au</w:t>
        </w:r>
      </w:hyperlink>
      <w:r>
        <w:rPr>
          <w:rFonts w:cs="Garamond"/>
          <w:color w:val="000000"/>
          <w:sz w:val="20"/>
          <w:lang w:eastAsia="zh-TW"/>
        </w:rPr>
        <w:t xml:space="preserve"> </w:t>
      </w:r>
    </w:p>
    <w:p w14:paraId="10257B60" w14:textId="77777777" w:rsidR="00A52EAD" w:rsidRDefault="00A52EAD" w:rsidP="00A52EAD">
      <w:pPr>
        <w:autoSpaceDE w:val="0"/>
        <w:autoSpaceDN w:val="0"/>
        <w:adjustRightInd w:val="0"/>
        <w:spacing w:after="0"/>
        <w:rPr>
          <w:rFonts w:cs="Garamond"/>
          <w:color w:val="000000"/>
          <w:sz w:val="20"/>
          <w:lang w:eastAsia="zh-TW"/>
        </w:rPr>
      </w:pPr>
      <w:r>
        <w:rPr>
          <w:rFonts w:cs="Garamond"/>
          <w:color w:val="000000"/>
          <w:sz w:val="20"/>
          <w:lang w:eastAsia="zh-TW"/>
        </w:rPr>
        <w:t>Electro</w:t>
      </w:r>
      <w:r w:rsidRPr="004D57B3">
        <w:rPr>
          <w:rFonts w:cs="Garamond"/>
          <w:color w:val="000000"/>
          <w:sz w:val="20"/>
          <w:lang w:eastAsia="zh-TW"/>
        </w:rPr>
        <w:t>nic copies of the report can be obtained from the Medical Service Advisory Committee’s Internet site at</w:t>
      </w:r>
      <w:r>
        <w:rPr>
          <w:rFonts w:cs="Garamond"/>
          <w:color w:val="000000"/>
          <w:sz w:val="20"/>
          <w:lang w:eastAsia="zh-TW"/>
        </w:rPr>
        <w:t xml:space="preserve"> http://</w:t>
      </w:r>
      <w:hyperlink r:id="rId11" w:history="1">
        <w:r>
          <w:rPr>
            <w:rStyle w:val="Hyperlink"/>
            <w:rFonts w:cs="Garamond"/>
            <w:sz w:val="20"/>
            <w:lang w:eastAsia="zh-TW"/>
          </w:rPr>
          <w:t>www.msac.gov.au (home page)</w:t>
        </w:r>
      </w:hyperlink>
      <w:r>
        <w:rPr>
          <w:rFonts w:cs="Garamond"/>
          <w:color w:val="000000"/>
          <w:sz w:val="20"/>
          <w:lang w:eastAsia="zh-TW"/>
        </w:rPr>
        <w:t xml:space="preserve"> </w:t>
      </w:r>
    </w:p>
    <w:p w14:paraId="08FAD550" w14:textId="77777777" w:rsidR="00A52EAD" w:rsidRPr="004D57B3" w:rsidRDefault="00A52EAD" w:rsidP="00A52EAD">
      <w:pPr>
        <w:autoSpaceDE w:val="0"/>
        <w:autoSpaceDN w:val="0"/>
        <w:adjustRightInd w:val="0"/>
        <w:spacing w:after="0"/>
        <w:rPr>
          <w:rFonts w:cs="Garamond"/>
          <w:color w:val="000000"/>
          <w:sz w:val="20"/>
          <w:lang w:eastAsia="zh-TW"/>
        </w:rPr>
      </w:pPr>
      <w:r w:rsidRPr="004D57B3">
        <w:rPr>
          <w:rFonts w:cs="Garamond"/>
          <w:color w:val="000000"/>
          <w:sz w:val="20"/>
          <w:lang w:eastAsia="zh-TW"/>
        </w:rPr>
        <w:t>Enquiries about the content of the report should be directed to the above address.</w:t>
      </w:r>
    </w:p>
    <w:p w14:paraId="19D623D3" w14:textId="0181048B" w:rsidR="00A52EAD" w:rsidRPr="004D57B3" w:rsidRDefault="00A52EAD" w:rsidP="00A52EAD">
      <w:pPr>
        <w:autoSpaceDE w:val="0"/>
        <w:autoSpaceDN w:val="0"/>
        <w:adjustRightInd w:val="0"/>
        <w:spacing w:after="0"/>
        <w:rPr>
          <w:rFonts w:cs="Garamond"/>
          <w:color w:val="000000"/>
          <w:sz w:val="20"/>
          <w:lang w:eastAsia="zh-TW"/>
        </w:rPr>
      </w:pPr>
      <w:r>
        <w:rPr>
          <w:rFonts w:cs="Garamond"/>
          <w:color w:val="000000"/>
          <w:sz w:val="20"/>
          <w:lang w:eastAsia="zh-TW"/>
        </w:rPr>
        <w:t>This report is a contracted technical report for use by t</w:t>
      </w:r>
      <w:r w:rsidRPr="004D57B3">
        <w:rPr>
          <w:rFonts w:cs="Garamond"/>
          <w:color w:val="000000"/>
          <w:sz w:val="20"/>
          <w:lang w:eastAsia="zh-TW"/>
        </w:rPr>
        <w:t>he Medical Services Advisory Committee (MSAC)</w:t>
      </w:r>
      <w:r>
        <w:rPr>
          <w:rFonts w:cs="Garamond"/>
          <w:color w:val="000000"/>
          <w:sz w:val="20"/>
          <w:lang w:eastAsia="zh-TW"/>
        </w:rPr>
        <w:t xml:space="preserve"> to inform its deliberations.  MSAC</w:t>
      </w:r>
      <w:r w:rsidRPr="004D57B3">
        <w:rPr>
          <w:rFonts w:cs="Garamond"/>
          <w:color w:val="000000"/>
          <w:sz w:val="20"/>
          <w:lang w:eastAsia="zh-TW"/>
        </w:rPr>
        <w:t xml:space="preserve"> is an independent committee which has been established to provide advice to the Minister for Health on the strength of evidence available on new and existing medical technologies and procedures in terms of their safety, effectiveness and cost-effectiveness. This advice will help to inform government decisions about which medical services should attract funding under Medicare.</w:t>
      </w:r>
    </w:p>
    <w:p w14:paraId="47290D40" w14:textId="77777777" w:rsidR="00A52EAD" w:rsidRPr="00B964A9" w:rsidRDefault="00A52EAD" w:rsidP="00A52EAD">
      <w:pPr>
        <w:autoSpaceDE w:val="0"/>
        <w:autoSpaceDN w:val="0"/>
        <w:adjustRightInd w:val="0"/>
        <w:spacing w:after="0"/>
        <w:rPr>
          <w:rFonts w:cs="Garamond-Bold"/>
          <w:b/>
          <w:bCs/>
          <w:color w:val="000000"/>
          <w:sz w:val="20"/>
          <w:u w:val="single"/>
          <w:lang w:eastAsia="zh-TW"/>
        </w:rPr>
      </w:pPr>
      <w:r w:rsidRPr="00F77211">
        <w:rPr>
          <w:rFonts w:cs="Garamond-Bold"/>
          <w:b/>
          <w:bCs/>
          <w:color w:val="000000"/>
          <w:sz w:val="20"/>
          <w:u w:val="single"/>
          <w:lang w:eastAsia="zh-TW"/>
        </w:rPr>
        <w:t>MSAC’s advice does not necessarily reflect the views of all individuals who participated in the MSAC evaluation.</w:t>
      </w:r>
    </w:p>
    <w:p w14:paraId="0CEE218D" w14:textId="4D97EBB6" w:rsidR="00A52EAD" w:rsidRPr="00B964A9" w:rsidRDefault="00A52EAD" w:rsidP="00A52EAD">
      <w:pPr>
        <w:spacing w:after="0"/>
        <w:rPr>
          <w:rFonts w:ascii="Times New Roman" w:hAnsi="Times New Roman"/>
          <w:noProof/>
          <w:color w:val="1F497D"/>
          <w:sz w:val="20"/>
        </w:rPr>
      </w:pPr>
      <w:r>
        <w:rPr>
          <w:sz w:val="20"/>
        </w:rPr>
        <w:t xml:space="preserve">This </w:t>
      </w:r>
      <w:r w:rsidRPr="004D57B3">
        <w:rPr>
          <w:sz w:val="20"/>
        </w:rPr>
        <w:t xml:space="preserve">report was prepared </w:t>
      </w:r>
      <w:r>
        <w:rPr>
          <w:sz w:val="20"/>
        </w:rPr>
        <w:t xml:space="preserve">for MSAC </w:t>
      </w:r>
      <w:r w:rsidRPr="004D57B3">
        <w:rPr>
          <w:sz w:val="20"/>
        </w:rPr>
        <w:t xml:space="preserve">by </w:t>
      </w:r>
      <w:proofErr w:type="spellStart"/>
      <w:r>
        <w:rPr>
          <w:sz w:val="20"/>
        </w:rPr>
        <w:t>Aspex</w:t>
      </w:r>
      <w:proofErr w:type="spellEnd"/>
      <w:r>
        <w:rPr>
          <w:sz w:val="20"/>
        </w:rPr>
        <w:t xml:space="preserve"> Consulting. </w:t>
      </w:r>
      <w:r w:rsidRPr="004D57B3">
        <w:rPr>
          <w:sz w:val="20"/>
        </w:rPr>
        <w:t xml:space="preserve"> The report was commissioned by the Department of Health on behalf of MSAC. </w:t>
      </w:r>
    </w:p>
    <w:p w14:paraId="10B46C66" w14:textId="1FD8275E" w:rsidR="00A52EAD" w:rsidRPr="008C58E5" w:rsidRDefault="00A52EAD" w:rsidP="00A52EAD">
      <w:pPr>
        <w:pStyle w:val="AspexBodyStandard"/>
        <w:rPr>
          <w:sz w:val="18"/>
          <w:szCs w:val="18"/>
          <w:lang w:eastAsia="zh-TW"/>
        </w:rPr>
      </w:pPr>
      <w:r w:rsidRPr="008C58E5">
        <w:rPr>
          <w:sz w:val="18"/>
          <w:szCs w:val="18"/>
          <w:lang w:eastAsia="zh-TW"/>
        </w:rPr>
        <w:br w:type="page"/>
      </w:r>
    </w:p>
    <w:p w14:paraId="74AF4EEE" w14:textId="77777777" w:rsidR="00AE3430" w:rsidRDefault="00F86829" w:rsidP="00AE3430">
      <w:pPr>
        <w:pStyle w:val="TOCHeading"/>
      </w:pPr>
      <w:r>
        <w:lastRenderedPageBreak/>
        <w:t xml:space="preserve">Table </w:t>
      </w:r>
      <w:r w:rsidRPr="006478D9">
        <w:t>of</w:t>
      </w:r>
      <w:r>
        <w:t xml:space="preserve"> Contents</w:t>
      </w:r>
    </w:p>
    <w:p w14:paraId="389FCAC4" w14:textId="77777777" w:rsidR="00B91A80" w:rsidRPr="004D4CFF" w:rsidRDefault="00CB67AC">
      <w:pPr>
        <w:pStyle w:val="TOC2"/>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fldChar w:fldCharType="begin"/>
      </w:r>
      <w:r w:rsidR="00F86829" w:rsidRPr="004D4CFF">
        <w:rPr>
          <w:rFonts w:ascii="Arial Narrow" w:hAnsi="Arial Narrow"/>
          <w:color w:val="auto"/>
          <w:sz w:val="22"/>
          <w:szCs w:val="22"/>
        </w:rPr>
        <w:instrText xml:space="preserve"> TOC \o "1-3" \t "Aspex Appendix level 1,1,Aspex Appendix Level 2,2" </w:instrText>
      </w:r>
      <w:r w:rsidRPr="004D4CFF">
        <w:rPr>
          <w:rFonts w:ascii="Arial Narrow" w:hAnsi="Arial Narrow"/>
          <w:color w:val="auto"/>
          <w:sz w:val="22"/>
          <w:szCs w:val="22"/>
        </w:rPr>
        <w:fldChar w:fldCharType="separate"/>
      </w:r>
      <w:r w:rsidR="00B91A80" w:rsidRPr="004D4CFF">
        <w:rPr>
          <w:rFonts w:ascii="Arial Narrow" w:hAnsi="Arial Narrow"/>
          <w:color w:val="auto"/>
          <w:sz w:val="22"/>
          <w:szCs w:val="22"/>
        </w:rPr>
        <w:t>List of Abbreviations</w:t>
      </w:r>
      <w:r w:rsidR="00B91A80" w:rsidRPr="004D4CFF">
        <w:rPr>
          <w:rFonts w:ascii="Arial Narrow" w:hAnsi="Arial Narrow"/>
          <w:color w:val="auto"/>
          <w:sz w:val="22"/>
          <w:szCs w:val="22"/>
        </w:rPr>
        <w:tab/>
      </w:r>
      <w:r w:rsidR="00B91A80" w:rsidRPr="004D4CFF">
        <w:rPr>
          <w:rFonts w:ascii="Arial Narrow" w:hAnsi="Arial Narrow"/>
          <w:color w:val="auto"/>
          <w:sz w:val="22"/>
          <w:szCs w:val="22"/>
        </w:rPr>
        <w:fldChar w:fldCharType="begin"/>
      </w:r>
      <w:r w:rsidR="00B91A80" w:rsidRPr="004D4CFF">
        <w:rPr>
          <w:rFonts w:ascii="Arial Narrow" w:hAnsi="Arial Narrow"/>
          <w:color w:val="auto"/>
          <w:sz w:val="22"/>
          <w:szCs w:val="22"/>
        </w:rPr>
        <w:instrText xml:space="preserve"> PAGEREF _Toc382313778 \h </w:instrText>
      </w:r>
      <w:r w:rsidR="00B91A80" w:rsidRPr="004D4CFF">
        <w:rPr>
          <w:rFonts w:ascii="Arial Narrow" w:hAnsi="Arial Narrow"/>
          <w:color w:val="auto"/>
          <w:sz w:val="22"/>
          <w:szCs w:val="22"/>
        </w:rPr>
      </w:r>
      <w:r w:rsidR="00B91A80" w:rsidRPr="004D4CFF">
        <w:rPr>
          <w:rFonts w:ascii="Arial Narrow" w:hAnsi="Arial Narrow"/>
          <w:color w:val="auto"/>
          <w:sz w:val="22"/>
          <w:szCs w:val="22"/>
        </w:rPr>
        <w:fldChar w:fldCharType="separate"/>
      </w:r>
      <w:r w:rsidR="009C72FC">
        <w:rPr>
          <w:rFonts w:ascii="Arial Narrow" w:hAnsi="Arial Narrow"/>
          <w:color w:val="auto"/>
          <w:sz w:val="22"/>
          <w:szCs w:val="22"/>
        </w:rPr>
        <w:t>8</w:t>
      </w:r>
      <w:r w:rsidR="00B91A80" w:rsidRPr="004D4CFF">
        <w:rPr>
          <w:rFonts w:ascii="Arial Narrow" w:hAnsi="Arial Narrow"/>
          <w:color w:val="auto"/>
          <w:sz w:val="22"/>
          <w:szCs w:val="22"/>
        </w:rPr>
        <w:fldChar w:fldCharType="end"/>
      </w:r>
    </w:p>
    <w:p w14:paraId="65328C0E"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1</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Executive summary</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_Toc382313779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10</w:t>
      </w:r>
      <w:r w:rsidRPr="004D4CFF">
        <w:rPr>
          <w:rFonts w:ascii="Arial Narrow" w:hAnsi="Arial Narrow"/>
          <w:sz w:val="22"/>
          <w:szCs w:val="22"/>
        </w:rPr>
        <w:fldChar w:fldCharType="end"/>
      </w:r>
    </w:p>
    <w:p w14:paraId="5F33E088"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Purpose of application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_Toc382313780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w:t>
      </w:r>
      <w:r w:rsidRPr="004D4CFF">
        <w:rPr>
          <w:rFonts w:ascii="Arial Narrow" w:hAnsi="Arial Narrow"/>
          <w:color w:val="auto"/>
          <w:sz w:val="22"/>
          <w:szCs w:val="22"/>
        </w:rPr>
        <w:fldChar w:fldCharType="end"/>
      </w:r>
    </w:p>
    <w:p w14:paraId="6439AD60"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Purpose of this report</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w:t>
      </w:r>
      <w:r w:rsidRPr="004D4CFF">
        <w:rPr>
          <w:rFonts w:ascii="Arial Narrow" w:hAnsi="Arial Narrow"/>
          <w:color w:val="auto"/>
          <w:sz w:val="22"/>
          <w:szCs w:val="22"/>
        </w:rPr>
        <w:fldChar w:fldCharType="end"/>
      </w:r>
    </w:p>
    <w:p w14:paraId="13BD3244"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Background</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w:t>
      </w:r>
      <w:r w:rsidRPr="004D4CFF">
        <w:rPr>
          <w:rFonts w:ascii="Arial Narrow" w:hAnsi="Arial Narrow"/>
          <w:color w:val="auto"/>
          <w:sz w:val="22"/>
          <w:szCs w:val="22"/>
        </w:rPr>
        <w:fldChar w:fldCharType="end"/>
      </w:r>
    </w:p>
    <w:p w14:paraId="5C3E0DE1"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Prerequisites to implementation of funding advice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_Toc382313783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w:t>
      </w:r>
      <w:r w:rsidRPr="004D4CFF">
        <w:rPr>
          <w:rFonts w:ascii="Arial Narrow" w:hAnsi="Arial Narrow"/>
          <w:color w:val="auto"/>
          <w:sz w:val="22"/>
          <w:szCs w:val="22"/>
        </w:rPr>
        <w:fldChar w:fldCharType="end"/>
      </w:r>
    </w:p>
    <w:p w14:paraId="53A74CE6"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1.5</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Proposal for public funding</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_Toc382313784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w:t>
      </w:r>
      <w:r w:rsidRPr="004D4CFF">
        <w:rPr>
          <w:rFonts w:ascii="Arial Narrow" w:hAnsi="Arial Narrow"/>
          <w:color w:val="auto"/>
          <w:sz w:val="22"/>
          <w:szCs w:val="22"/>
        </w:rPr>
        <w:fldChar w:fldCharType="end"/>
      </w:r>
    </w:p>
    <w:p w14:paraId="543DFD6D"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1.6</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Consumer impact statement</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12</w:t>
      </w:r>
      <w:r w:rsidRPr="004D4CFF">
        <w:rPr>
          <w:rFonts w:ascii="Arial Narrow" w:hAnsi="Arial Narrow"/>
          <w:color w:val="auto"/>
          <w:sz w:val="22"/>
          <w:szCs w:val="22"/>
        </w:rPr>
        <w:fldChar w:fldCharType="end"/>
      </w:r>
    </w:p>
    <w:p w14:paraId="693031AF"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1.7</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Proposed interventions’ place in clinical management</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_Toc382313786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12</w:t>
      </w:r>
      <w:r w:rsidRPr="004D4CFF">
        <w:rPr>
          <w:rFonts w:ascii="Arial Narrow" w:hAnsi="Arial Narrow"/>
          <w:color w:val="auto"/>
          <w:sz w:val="22"/>
          <w:szCs w:val="22"/>
        </w:rPr>
        <w:fldChar w:fldCharType="end"/>
      </w:r>
    </w:p>
    <w:p w14:paraId="78EF06C6"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1.8</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Other options for MSAC consideration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14</w:t>
      </w:r>
      <w:r w:rsidRPr="004D4CFF">
        <w:rPr>
          <w:rFonts w:ascii="Arial Narrow" w:hAnsi="Arial Narrow"/>
          <w:color w:val="auto"/>
          <w:sz w:val="22"/>
          <w:szCs w:val="22"/>
        </w:rPr>
        <w:fldChar w:fldCharType="end"/>
      </w:r>
    </w:p>
    <w:p w14:paraId="04E3D1F8"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1.9</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Comparator to the proposed intervention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_Toc382313788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15</w:t>
      </w:r>
      <w:r w:rsidRPr="004D4CFF">
        <w:rPr>
          <w:rFonts w:ascii="Arial Narrow" w:hAnsi="Arial Narrow"/>
          <w:color w:val="auto"/>
          <w:sz w:val="22"/>
          <w:szCs w:val="22"/>
        </w:rPr>
        <w:fldChar w:fldCharType="end"/>
      </w:r>
    </w:p>
    <w:p w14:paraId="32FACA1F"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1.10</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Comparative safety</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_Toc382313789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15</w:t>
      </w:r>
      <w:r w:rsidRPr="004D4CFF">
        <w:rPr>
          <w:rFonts w:ascii="Arial Narrow" w:hAnsi="Arial Narrow"/>
          <w:color w:val="auto"/>
          <w:sz w:val="22"/>
          <w:szCs w:val="22"/>
        </w:rPr>
        <w:fldChar w:fldCharType="end"/>
      </w:r>
    </w:p>
    <w:p w14:paraId="5A28D57C"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Comparative effectiveness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_Toc382313790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16</w:t>
      </w:r>
      <w:r w:rsidRPr="004D4CFF">
        <w:rPr>
          <w:rFonts w:ascii="Arial Narrow" w:hAnsi="Arial Narrow"/>
          <w:color w:val="auto"/>
          <w:sz w:val="22"/>
          <w:szCs w:val="22"/>
        </w:rPr>
        <w:fldChar w:fldCharType="end"/>
      </w:r>
    </w:p>
    <w:p w14:paraId="6B92E829"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Economic evaluation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17</w:t>
      </w:r>
      <w:r w:rsidRPr="004D4CFF">
        <w:rPr>
          <w:rFonts w:ascii="Arial Narrow" w:hAnsi="Arial Narrow"/>
          <w:color w:val="auto"/>
          <w:sz w:val="22"/>
          <w:szCs w:val="22"/>
        </w:rPr>
        <w:fldChar w:fldCharType="end"/>
      </w:r>
    </w:p>
    <w:p w14:paraId="7DE15F3B"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Financial/budgetary impacts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18</w:t>
      </w:r>
      <w:r w:rsidRPr="004D4CFF">
        <w:rPr>
          <w:rFonts w:ascii="Arial Narrow" w:hAnsi="Arial Narrow"/>
          <w:color w:val="auto"/>
          <w:sz w:val="22"/>
          <w:szCs w:val="22"/>
        </w:rPr>
        <w:fldChar w:fldCharType="end"/>
      </w:r>
    </w:p>
    <w:p w14:paraId="4A0F61AE"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Key issues for MSAC</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_Toc382313793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19</w:t>
      </w:r>
      <w:r w:rsidRPr="004D4CFF">
        <w:rPr>
          <w:rFonts w:ascii="Arial Narrow" w:hAnsi="Arial Narrow"/>
          <w:color w:val="auto"/>
          <w:sz w:val="22"/>
          <w:szCs w:val="22"/>
        </w:rPr>
        <w:fldChar w:fldCharType="end"/>
      </w:r>
    </w:p>
    <w:p w14:paraId="4B2324CE"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1.15</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Other significant factors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_Toc382313794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21</w:t>
      </w:r>
      <w:r w:rsidRPr="004D4CFF">
        <w:rPr>
          <w:rFonts w:ascii="Arial Narrow" w:hAnsi="Arial Narrow"/>
          <w:color w:val="auto"/>
          <w:sz w:val="22"/>
          <w:szCs w:val="22"/>
        </w:rPr>
        <w:fldChar w:fldCharType="end"/>
      </w:r>
    </w:p>
    <w:p w14:paraId="1E47CF73"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1.16</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Summary of consideration and rationale for MSAC’s advice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22</w:t>
      </w:r>
      <w:r w:rsidRPr="004D4CFF">
        <w:rPr>
          <w:rFonts w:ascii="Arial Narrow" w:hAnsi="Arial Narrow"/>
          <w:color w:val="auto"/>
          <w:sz w:val="22"/>
          <w:szCs w:val="22"/>
        </w:rPr>
        <w:fldChar w:fldCharType="end"/>
      </w:r>
    </w:p>
    <w:p w14:paraId="43EE35BC"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1.17</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Proposed new items for palliative medicine specialists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_Toc382313796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22</w:t>
      </w:r>
      <w:r w:rsidRPr="004D4CFF">
        <w:rPr>
          <w:rFonts w:ascii="Arial Narrow" w:hAnsi="Arial Narrow"/>
          <w:color w:val="auto"/>
          <w:sz w:val="22"/>
          <w:szCs w:val="22"/>
        </w:rPr>
        <w:fldChar w:fldCharType="end"/>
      </w:r>
    </w:p>
    <w:p w14:paraId="249047AA"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1.18</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Applicant’s response to the public summary document</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27</w:t>
      </w:r>
      <w:r w:rsidRPr="004D4CFF">
        <w:rPr>
          <w:rFonts w:ascii="Arial Narrow" w:hAnsi="Arial Narrow"/>
          <w:color w:val="auto"/>
          <w:sz w:val="22"/>
          <w:szCs w:val="22"/>
        </w:rPr>
        <w:fldChar w:fldCharType="end"/>
      </w:r>
    </w:p>
    <w:p w14:paraId="4E19FA7B"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1.19</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Context for decision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_Toc382313798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27</w:t>
      </w:r>
      <w:r w:rsidRPr="004D4CFF">
        <w:rPr>
          <w:rFonts w:ascii="Arial Narrow" w:hAnsi="Arial Narrow"/>
          <w:color w:val="auto"/>
          <w:sz w:val="22"/>
          <w:szCs w:val="22"/>
        </w:rPr>
        <w:fldChar w:fldCharType="end"/>
      </w:r>
    </w:p>
    <w:p w14:paraId="55AB2397"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1.20</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Linkages to other documents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_Toc382313799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27</w:t>
      </w:r>
      <w:r w:rsidRPr="004D4CFF">
        <w:rPr>
          <w:rFonts w:ascii="Arial Narrow" w:hAnsi="Arial Narrow"/>
          <w:color w:val="auto"/>
          <w:sz w:val="22"/>
          <w:szCs w:val="22"/>
        </w:rPr>
        <w:fldChar w:fldCharType="end"/>
      </w:r>
    </w:p>
    <w:p w14:paraId="218128B5"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2</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Population demand and supply of clinical services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_Toc382313800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28</w:t>
      </w:r>
      <w:r w:rsidRPr="004D4CFF">
        <w:rPr>
          <w:rFonts w:ascii="Arial Narrow" w:hAnsi="Arial Narrow"/>
          <w:sz w:val="22"/>
          <w:szCs w:val="22"/>
        </w:rPr>
        <w:fldChar w:fldCharType="end"/>
      </w:r>
    </w:p>
    <w:p w14:paraId="73035ADA"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The clinical population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_Toc382313801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28</w:t>
      </w:r>
      <w:r w:rsidRPr="004D4CFF">
        <w:rPr>
          <w:rFonts w:ascii="Arial Narrow" w:hAnsi="Arial Narrow"/>
          <w:color w:val="auto"/>
          <w:sz w:val="22"/>
          <w:szCs w:val="22"/>
        </w:rPr>
        <w:fldChar w:fldCharType="end"/>
      </w:r>
    </w:p>
    <w:p w14:paraId="62C158C0"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Demand for palliative care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_Toc382313802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30</w:t>
      </w:r>
      <w:r w:rsidRPr="004D4CFF">
        <w:rPr>
          <w:rFonts w:ascii="Arial Narrow" w:hAnsi="Arial Narrow"/>
          <w:color w:val="auto"/>
          <w:sz w:val="22"/>
          <w:szCs w:val="22"/>
        </w:rPr>
        <w:fldChar w:fldCharType="end"/>
      </w:r>
    </w:p>
    <w:p w14:paraId="2E76ABD2"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2.2.1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the clinical population</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_Toc382313803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30</w:t>
      </w:r>
      <w:r w:rsidRPr="004D4CFF">
        <w:rPr>
          <w:rFonts w:ascii="Arial Narrow" w:hAnsi="Arial Narrow"/>
          <w:color w:val="auto"/>
          <w:szCs w:val="22"/>
        </w:rPr>
        <w:fldChar w:fldCharType="end"/>
      </w:r>
    </w:p>
    <w:p w14:paraId="19AA6A9D"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2.2.2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Influences upon estimation of service demand</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_Toc382313804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34</w:t>
      </w:r>
      <w:r w:rsidRPr="004D4CFF">
        <w:rPr>
          <w:rFonts w:ascii="Arial Narrow" w:hAnsi="Arial Narrow"/>
          <w:color w:val="auto"/>
          <w:szCs w:val="22"/>
        </w:rPr>
        <w:fldChar w:fldCharType="end"/>
      </w:r>
    </w:p>
    <w:p w14:paraId="39C8BBEA"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Supply of palliative care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_Toc382313805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35</w:t>
      </w:r>
      <w:r w:rsidRPr="004D4CFF">
        <w:rPr>
          <w:rFonts w:ascii="Arial Narrow" w:hAnsi="Arial Narrow"/>
          <w:color w:val="auto"/>
          <w:sz w:val="22"/>
          <w:szCs w:val="22"/>
        </w:rPr>
        <w:fldChar w:fldCharType="end"/>
      </w:r>
    </w:p>
    <w:p w14:paraId="64DDC04B"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2.3.1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general practice encounters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_Toc382313806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35</w:t>
      </w:r>
      <w:r w:rsidRPr="004D4CFF">
        <w:rPr>
          <w:rFonts w:ascii="Arial Narrow" w:hAnsi="Arial Narrow"/>
          <w:color w:val="auto"/>
          <w:szCs w:val="22"/>
        </w:rPr>
        <w:fldChar w:fldCharType="end"/>
      </w:r>
    </w:p>
    <w:p w14:paraId="2A26F79B"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2.3.2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other community sector encounters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_Toc382313807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37</w:t>
      </w:r>
      <w:r w:rsidRPr="004D4CFF">
        <w:rPr>
          <w:rFonts w:ascii="Arial Narrow" w:hAnsi="Arial Narrow"/>
          <w:color w:val="auto"/>
          <w:szCs w:val="22"/>
        </w:rPr>
        <w:fldChar w:fldCharType="end"/>
      </w:r>
    </w:p>
    <w:p w14:paraId="33F5C08A"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2.3.3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public hospital encounters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_Toc382313808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38</w:t>
      </w:r>
      <w:r w:rsidRPr="004D4CFF">
        <w:rPr>
          <w:rFonts w:ascii="Arial Narrow" w:hAnsi="Arial Narrow"/>
          <w:color w:val="auto"/>
          <w:szCs w:val="22"/>
        </w:rPr>
        <w:fldChar w:fldCharType="end"/>
      </w:r>
    </w:p>
    <w:p w14:paraId="75E82FB1"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2.3.4</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private hospital encounters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_Toc382313809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38</w:t>
      </w:r>
      <w:r w:rsidRPr="004D4CFF">
        <w:rPr>
          <w:rFonts w:ascii="Arial Narrow" w:hAnsi="Arial Narrow"/>
          <w:color w:val="auto"/>
          <w:szCs w:val="22"/>
        </w:rPr>
        <w:fldChar w:fldCharType="end"/>
      </w:r>
    </w:p>
    <w:p w14:paraId="677A9707"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2.3.5</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Influences upon estimation of service supply</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_Toc382313810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39</w:t>
      </w:r>
      <w:r w:rsidRPr="004D4CFF">
        <w:rPr>
          <w:rFonts w:ascii="Arial Narrow" w:hAnsi="Arial Narrow"/>
          <w:color w:val="auto"/>
          <w:szCs w:val="22"/>
        </w:rPr>
        <w:fldChar w:fldCharType="end"/>
      </w:r>
    </w:p>
    <w:p w14:paraId="6500DFCD"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Unmet demand for palliative care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_Toc382313811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41</w:t>
      </w:r>
      <w:r w:rsidRPr="004D4CFF">
        <w:rPr>
          <w:rFonts w:ascii="Arial Narrow" w:hAnsi="Arial Narrow"/>
          <w:color w:val="auto"/>
          <w:sz w:val="22"/>
          <w:szCs w:val="22"/>
        </w:rPr>
        <w:fldChar w:fldCharType="end"/>
      </w:r>
    </w:p>
    <w:p w14:paraId="6D96A9C4"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lastRenderedPageBreak/>
        <w:t>2.4.1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Total number of hospital separations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_Toc382313812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42</w:t>
      </w:r>
      <w:r w:rsidRPr="004D4CFF">
        <w:rPr>
          <w:rFonts w:ascii="Arial Narrow" w:hAnsi="Arial Narrow"/>
          <w:color w:val="auto"/>
          <w:szCs w:val="22"/>
        </w:rPr>
        <w:fldChar w:fldCharType="end"/>
      </w:r>
    </w:p>
    <w:p w14:paraId="47FBAC6E"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2.4.2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Influences of population growth and ageing</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_Toc382313813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43</w:t>
      </w:r>
      <w:r w:rsidRPr="004D4CFF">
        <w:rPr>
          <w:rFonts w:ascii="Arial Narrow" w:hAnsi="Arial Narrow"/>
          <w:color w:val="auto"/>
          <w:szCs w:val="22"/>
        </w:rPr>
        <w:fldChar w:fldCharType="end"/>
      </w:r>
    </w:p>
    <w:p w14:paraId="1D12C4EA"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2.4.3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Estimations of current and future demand versus supply</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_Toc382313814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43</w:t>
      </w:r>
      <w:r w:rsidRPr="004D4CFF">
        <w:rPr>
          <w:rFonts w:ascii="Arial Narrow" w:hAnsi="Arial Narrow"/>
          <w:color w:val="auto"/>
          <w:szCs w:val="22"/>
        </w:rPr>
        <w:fldChar w:fldCharType="end"/>
      </w:r>
    </w:p>
    <w:p w14:paraId="74190D63"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2.5</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Demand for specialist palliative care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_Toc382313815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45</w:t>
      </w:r>
      <w:r w:rsidRPr="004D4CFF">
        <w:rPr>
          <w:rFonts w:ascii="Arial Narrow" w:hAnsi="Arial Narrow"/>
          <w:color w:val="auto"/>
          <w:sz w:val="22"/>
          <w:szCs w:val="22"/>
        </w:rPr>
        <w:fldChar w:fldCharType="end"/>
      </w:r>
    </w:p>
    <w:p w14:paraId="00237AA4"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2.5.1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GP referral to specialists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_Toc382313816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45</w:t>
      </w:r>
      <w:r w:rsidRPr="004D4CFF">
        <w:rPr>
          <w:rFonts w:ascii="Arial Narrow" w:hAnsi="Arial Narrow"/>
          <w:color w:val="auto"/>
          <w:szCs w:val="22"/>
        </w:rPr>
        <w:fldChar w:fldCharType="end"/>
      </w:r>
    </w:p>
    <w:p w14:paraId="6C2499CD"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2.5.2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other referrals to specialists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_Toc382313817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45</w:t>
      </w:r>
      <w:r w:rsidRPr="004D4CFF">
        <w:rPr>
          <w:rFonts w:ascii="Arial Narrow" w:hAnsi="Arial Narrow"/>
          <w:color w:val="auto"/>
          <w:szCs w:val="22"/>
        </w:rPr>
        <w:fldChar w:fldCharType="end"/>
      </w:r>
    </w:p>
    <w:p w14:paraId="532D3E77"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2.5.3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Influences upon estimation of demand for specialist services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_Toc382313818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46</w:t>
      </w:r>
      <w:r w:rsidRPr="004D4CFF">
        <w:rPr>
          <w:rFonts w:ascii="Arial Narrow" w:hAnsi="Arial Narrow"/>
          <w:color w:val="auto"/>
          <w:szCs w:val="22"/>
        </w:rPr>
        <w:fldChar w:fldCharType="end"/>
      </w:r>
    </w:p>
    <w:p w14:paraId="09C2402A"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2.6</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Supply of specialist palliative care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_Toc382313819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46</w:t>
      </w:r>
      <w:r w:rsidRPr="004D4CFF">
        <w:rPr>
          <w:rFonts w:ascii="Arial Narrow" w:hAnsi="Arial Narrow"/>
          <w:color w:val="auto"/>
          <w:sz w:val="22"/>
          <w:szCs w:val="22"/>
        </w:rPr>
        <w:fldChar w:fldCharType="end"/>
      </w:r>
    </w:p>
    <w:p w14:paraId="7C243211"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2.6.1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private sector specialist assessments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_Toc382313820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46</w:t>
      </w:r>
      <w:r w:rsidRPr="004D4CFF">
        <w:rPr>
          <w:rFonts w:ascii="Arial Narrow" w:hAnsi="Arial Narrow"/>
          <w:color w:val="auto"/>
          <w:szCs w:val="22"/>
        </w:rPr>
        <w:fldChar w:fldCharType="end"/>
      </w:r>
    </w:p>
    <w:p w14:paraId="13A1B9D4"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2.6.2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National estimates of public sector medical assessments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_Toc382313821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46</w:t>
      </w:r>
      <w:r w:rsidRPr="004D4CFF">
        <w:rPr>
          <w:rFonts w:ascii="Arial Narrow" w:hAnsi="Arial Narrow"/>
          <w:color w:val="auto"/>
          <w:szCs w:val="22"/>
        </w:rPr>
        <w:fldChar w:fldCharType="end"/>
      </w:r>
    </w:p>
    <w:p w14:paraId="3E62B309"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2.7</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Potential unmet demand for specialist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_Toc382313822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48</w:t>
      </w:r>
      <w:r w:rsidRPr="004D4CFF">
        <w:rPr>
          <w:rFonts w:ascii="Arial Narrow" w:hAnsi="Arial Narrow"/>
          <w:color w:val="auto"/>
          <w:sz w:val="22"/>
          <w:szCs w:val="22"/>
        </w:rPr>
        <w:fldChar w:fldCharType="end"/>
      </w:r>
    </w:p>
    <w:p w14:paraId="6B7B42DF"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2.8</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The consequences of unmet demand</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_Toc382313823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48</w:t>
      </w:r>
      <w:r w:rsidRPr="004D4CFF">
        <w:rPr>
          <w:rFonts w:ascii="Arial Narrow" w:hAnsi="Arial Narrow"/>
          <w:color w:val="auto"/>
          <w:sz w:val="22"/>
          <w:szCs w:val="22"/>
        </w:rPr>
        <w:fldChar w:fldCharType="end"/>
      </w:r>
    </w:p>
    <w:p w14:paraId="72C166B6"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2.8.1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General considerations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_Toc382313824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48</w:t>
      </w:r>
      <w:r w:rsidRPr="004D4CFF">
        <w:rPr>
          <w:rFonts w:ascii="Arial Narrow" w:hAnsi="Arial Narrow"/>
          <w:color w:val="auto"/>
          <w:szCs w:val="22"/>
        </w:rPr>
        <w:fldChar w:fldCharType="end"/>
      </w:r>
    </w:p>
    <w:p w14:paraId="008E3E25"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2.8.2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Cost modelling in the Australian context</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_Toc382313825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49</w:t>
      </w:r>
      <w:r w:rsidRPr="004D4CFF">
        <w:rPr>
          <w:rFonts w:ascii="Arial Narrow" w:hAnsi="Arial Narrow"/>
          <w:color w:val="auto"/>
          <w:szCs w:val="22"/>
        </w:rPr>
        <w:fldChar w:fldCharType="end"/>
      </w:r>
    </w:p>
    <w:p w14:paraId="6BF2C5D0"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3</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The clinical safety and effectiveness of interventions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_Toc382313826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53</w:t>
      </w:r>
      <w:r w:rsidRPr="004D4CFF">
        <w:rPr>
          <w:rFonts w:ascii="Arial Narrow" w:hAnsi="Arial Narrow"/>
          <w:sz w:val="22"/>
          <w:szCs w:val="22"/>
        </w:rPr>
        <w:fldChar w:fldCharType="end"/>
      </w:r>
    </w:p>
    <w:p w14:paraId="5B9BBB7E"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3.1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Palliative care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_Toc382313827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53</w:t>
      </w:r>
      <w:r w:rsidRPr="004D4CFF">
        <w:rPr>
          <w:rFonts w:ascii="Arial Narrow" w:hAnsi="Arial Narrow"/>
          <w:color w:val="auto"/>
          <w:sz w:val="22"/>
          <w:szCs w:val="22"/>
        </w:rPr>
        <w:fldChar w:fldCharType="end"/>
      </w:r>
    </w:p>
    <w:p w14:paraId="0074AA9E"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3.2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Palliative medicine (definition and scope of practice)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_Toc382313828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56</w:t>
      </w:r>
      <w:r w:rsidRPr="004D4CFF">
        <w:rPr>
          <w:rFonts w:ascii="Arial Narrow" w:hAnsi="Arial Narrow"/>
          <w:color w:val="auto"/>
          <w:sz w:val="22"/>
          <w:szCs w:val="22"/>
        </w:rPr>
        <w:fldChar w:fldCharType="end"/>
      </w:r>
    </w:p>
    <w:p w14:paraId="16C21AB6"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3.3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Types of palliative care specialist intervention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_Toc382313829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57</w:t>
      </w:r>
      <w:r w:rsidRPr="004D4CFF">
        <w:rPr>
          <w:rFonts w:ascii="Arial Narrow" w:hAnsi="Arial Narrow"/>
          <w:color w:val="auto"/>
          <w:sz w:val="22"/>
          <w:szCs w:val="22"/>
        </w:rPr>
        <w:fldChar w:fldCharType="end"/>
      </w:r>
    </w:p>
    <w:p w14:paraId="2F876B25"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3.4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The quality of clinical interventions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_Toc382313830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59</w:t>
      </w:r>
      <w:r w:rsidRPr="004D4CFF">
        <w:rPr>
          <w:rFonts w:ascii="Arial Narrow" w:hAnsi="Arial Narrow"/>
          <w:color w:val="auto"/>
          <w:sz w:val="22"/>
          <w:szCs w:val="22"/>
        </w:rPr>
        <w:fldChar w:fldCharType="end"/>
      </w:r>
    </w:p>
    <w:p w14:paraId="7926442A"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3.4.1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Safety of clinical interventions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_Toc382313831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59</w:t>
      </w:r>
      <w:r w:rsidRPr="004D4CFF">
        <w:rPr>
          <w:rFonts w:ascii="Arial Narrow" w:hAnsi="Arial Narrow"/>
          <w:color w:val="auto"/>
          <w:szCs w:val="22"/>
        </w:rPr>
        <w:fldChar w:fldCharType="end"/>
      </w:r>
    </w:p>
    <w:p w14:paraId="4C120006"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3.4.2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Effectiveness of clinical interventions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_Toc382313832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60</w:t>
      </w:r>
      <w:r w:rsidRPr="004D4CFF">
        <w:rPr>
          <w:rFonts w:ascii="Arial Narrow" w:hAnsi="Arial Narrow"/>
          <w:color w:val="auto"/>
          <w:szCs w:val="22"/>
        </w:rPr>
        <w:fldChar w:fldCharType="end"/>
      </w:r>
    </w:p>
    <w:p w14:paraId="6997B288"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3.4.3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Current and future research in palliative care</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_Toc382313833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63</w:t>
      </w:r>
      <w:r w:rsidRPr="004D4CFF">
        <w:rPr>
          <w:rFonts w:ascii="Arial Narrow" w:hAnsi="Arial Narrow"/>
          <w:color w:val="auto"/>
          <w:szCs w:val="22"/>
        </w:rPr>
        <w:fldChar w:fldCharType="end"/>
      </w:r>
    </w:p>
    <w:p w14:paraId="7BA8E8C3"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4</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The medical workforce delivering palliative care</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_Toc382313834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64</w:t>
      </w:r>
      <w:r w:rsidRPr="004D4CFF">
        <w:rPr>
          <w:rFonts w:ascii="Arial Narrow" w:hAnsi="Arial Narrow"/>
          <w:sz w:val="22"/>
          <w:szCs w:val="22"/>
        </w:rPr>
        <w:fldChar w:fldCharType="end"/>
      </w:r>
    </w:p>
    <w:p w14:paraId="19F68D7C"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4.1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Palliative medicine training</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_Toc382313835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64</w:t>
      </w:r>
      <w:r w:rsidRPr="004D4CFF">
        <w:rPr>
          <w:rFonts w:ascii="Arial Narrow" w:hAnsi="Arial Narrow"/>
          <w:color w:val="auto"/>
          <w:sz w:val="22"/>
          <w:szCs w:val="22"/>
        </w:rPr>
        <w:fldChar w:fldCharType="end"/>
      </w:r>
    </w:p>
    <w:p w14:paraId="229E7F47"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4.2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Palliative medicine workforce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_Toc382313836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66</w:t>
      </w:r>
      <w:r w:rsidRPr="004D4CFF">
        <w:rPr>
          <w:rFonts w:ascii="Arial Narrow" w:hAnsi="Arial Narrow"/>
          <w:color w:val="auto"/>
          <w:sz w:val="22"/>
          <w:szCs w:val="22"/>
        </w:rPr>
        <w:fldChar w:fldCharType="end"/>
      </w:r>
    </w:p>
    <w:p w14:paraId="3585873B"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4.3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Practice settings for palliative medicine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_Toc382313837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69</w:t>
      </w:r>
      <w:r w:rsidRPr="004D4CFF">
        <w:rPr>
          <w:rFonts w:ascii="Arial Narrow" w:hAnsi="Arial Narrow"/>
          <w:color w:val="auto"/>
          <w:sz w:val="22"/>
          <w:szCs w:val="22"/>
        </w:rPr>
        <w:fldChar w:fldCharType="end"/>
      </w:r>
    </w:p>
    <w:p w14:paraId="5EA1C45D"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4.3.1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Public versus private practice and MBS billing arrangements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_Toc382313838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69</w:t>
      </w:r>
      <w:r w:rsidRPr="004D4CFF">
        <w:rPr>
          <w:rFonts w:ascii="Arial Narrow" w:hAnsi="Arial Narrow"/>
          <w:color w:val="auto"/>
          <w:szCs w:val="22"/>
        </w:rPr>
        <w:fldChar w:fldCharType="end"/>
      </w:r>
    </w:p>
    <w:p w14:paraId="7EF70D21"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4.3.2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Public practice arrangements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_Toc382313839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71</w:t>
      </w:r>
      <w:r w:rsidRPr="004D4CFF">
        <w:rPr>
          <w:rFonts w:ascii="Arial Narrow" w:hAnsi="Arial Narrow"/>
          <w:color w:val="auto"/>
          <w:szCs w:val="22"/>
        </w:rPr>
        <w:fldChar w:fldCharType="end"/>
      </w:r>
    </w:p>
    <w:p w14:paraId="66BFBA06"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4.3.3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Private practice arrangements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_Toc382313840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71</w:t>
      </w:r>
      <w:r w:rsidRPr="004D4CFF">
        <w:rPr>
          <w:rFonts w:ascii="Arial Narrow" w:hAnsi="Arial Narrow"/>
          <w:color w:val="auto"/>
          <w:szCs w:val="22"/>
        </w:rPr>
        <w:fldChar w:fldCharType="end"/>
      </w:r>
    </w:p>
    <w:p w14:paraId="64506EF0"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4.4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Comparator specialty groups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_Toc382313841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77</w:t>
      </w:r>
      <w:r w:rsidRPr="004D4CFF">
        <w:rPr>
          <w:rFonts w:ascii="Arial Narrow" w:hAnsi="Arial Narrow"/>
          <w:color w:val="auto"/>
          <w:sz w:val="22"/>
          <w:szCs w:val="22"/>
        </w:rPr>
        <w:fldChar w:fldCharType="end"/>
      </w:r>
    </w:p>
    <w:p w14:paraId="7CBCE991"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4.4.1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Palliative medicine and general practitioners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_Toc382313842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77</w:t>
      </w:r>
      <w:r w:rsidRPr="004D4CFF">
        <w:rPr>
          <w:rFonts w:ascii="Arial Narrow" w:hAnsi="Arial Narrow"/>
          <w:color w:val="auto"/>
          <w:szCs w:val="22"/>
        </w:rPr>
        <w:fldChar w:fldCharType="end"/>
      </w:r>
    </w:p>
    <w:p w14:paraId="76594D98"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5</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Current private sector remuneration arrangements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_Toc382313843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80</w:t>
      </w:r>
      <w:r w:rsidRPr="004D4CFF">
        <w:rPr>
          <w:rFonts w:ascii="Arial Narrow" w:hAnsi="Arial Narrow"/>
          <w:sz w:val="22"/>
          <w:szCs w:val="22"/>
        </w:rPr>
        <w:fldChar w:fldCharType="end"/>
      </w:r>
    </w:p>
    <w:p w14:paraId="5B02AC0A"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5.1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MBS items currently available to palliative care specialists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_Toc382313844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80</w:t>
      </w:r>
      <w:r w:rsidRPr="004D4CFF">
        <w:rPr>
          <w:rFonts w:ascii="Arial Narrow" w:hAnsi="Arial Narrow"/>
          <w:color w:val="auto"/>
          <w:sz w:val="22"/>
          <w:szCs w:val="22"/>
        </w:rPr>
        <w:fldChar w:fldCharType="end"/>
      </w:r>
    </w:p>
    <w:p w14:paraId="108EE429"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5.2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Variations in access to MBS items for assessment</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_Toc382313845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80</w:t>
      </w:r>
      <w:r w:rsidRPr="004D4CFF">
        <w:rPr>
          <w:rFonts w:ascii="Arial Narrow" w:hAnsi="Arial Narrow"/>
          <w:color w:val="auto"/>
          <w:sz w:val="22"/>
          <w:szCs w:val="22"/>
        </w:rPr>
        <w:fldChar w:fldCharType="end"/>
      </w:r>
    </w:p>
    <w:p w14:paraId="54D3BB48"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5.2.1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The availability of current assessment items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_Toc382313846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80</w:t>
      </w:r>
      <w:r w:rsidRPr="004D4CFF">
        <w:rPr>
          <w:rFonts w:ascii="Arial Narrow" w:hAnsi="Arial Narrow"/>
          <w:color w:val="auto"/>
          <w:szCs w:val="22"/>
        </w:rPr>
        <w:fldChar w:fldCharType="end"/>
      </w:r>
    </w:p>
    <w:p w14:paraId="59C49072"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bCs/>
          <w:iCs/>
          <w:color w:val="auto"/>
          <w:sz w:val="22"/>
          <w:szCs w:val="22"/>
        </w:rPr>
        <w:lastRenderedPageBreak/>
        <w:t>5.3</w:t>
      </w:r>
      <w:r w:rsidRPr="004D4CFF">
        <w:rPr>
          <w:rFonts w:ascii="Arial Narrow" w:eastAsiaTheme="minorEastAsia" w:hAnsi="Arial Narrow" w:cstheme="minorBidi"/>
          <w:color w:val="auto"/>
          <w:sz w:val="22"/>
          <w:szCs w:val="22"/>
          <w:lang w:eastAsia="en-AU"/>
        </w:rPr>
        <w:tab/>
      </w:r>
      <w:r w:rsidRPr="004D4CFF">
        <w:rPr>
          <w:rFonts w:ascii="Arial Narrow" w:hAnsi="Arial Narrow"/>
          <w:bCs/>
          <w:iCs/>
          <w:color w:val="auto"/>
          <w:sz w:val="22"/>
          <w:szCs w:val="22"/>
        </w:rPr>
        <w:t>Time spent by specialists and general practitioners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_Toc382313847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84</w:t>
      </w:r>
      <w:r w:rsidRPr="004D4CFF">
        <w:rPr>
          <w:rFonts w:ascii="Arial Narrow" w:hAnsi="Arial Narrow"/>
          <w:color w:val="auto"/>
          <w:sz w:val="22"/>
          <w:szCs w:val="22"/>
        </w:rPr>
        <w:fldChar w:fldCharType="end"/>
      </w:r>
    </w:p>
    <w:p w14:paraId="64E656B4"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5.4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The modelled costs of current expenditure</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_Toc382313848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85</w:t>
      </w:r>
      <w:r w:rsidRPr="004D4CFF">
        <w:rPr>
          <w:rFonts w:ascii="Arial Narrow" w:hAnsi="Arial Narrow"/>
          <w:color w:val="auto"/>
          <w:sz w:val="22"/>
          <w:szCs w:val="22"/>
        </w:rPr>
        <w:fldChar w:fldCharType="end"/>
      </w:r>
    </w:p>
    <w:p w14:paraId="739929CE"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5.4.1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Demand and financial projections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_Toc382313849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86</w:t>
      </w:r>
      <w:r w:rsidRPr="004D4CFF">
        <w:rPr>
          <w:rFonts w:ascii="Arial Narrow" w:hAnsi="Arial Narrow"/>
          <w:color w:val="auto"/>
          <w:szCs w:val="22"/>
        </w:rPr>
        <w:fldChar w:fldCharType="end"/>
      </w:r>
    </w:p>
    <w:p w14:paraId="55E5ABAF"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6</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Options for future private sector remuneration</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_Toc382313850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89</w:t>
      </w:r>
      <w:r w:rsidRPr="004D4CFF">
        <w:rPr>
          <w:rFonts w:ascii="Arial Narrow" w:hAnsi="Arial Narrow"/>
          <w:sz w:val="22"/>
          <w:szCs w:val="22"/>
        </w:rPr>
        <w:fldChar w:fldCharType="end"/>
      </w:r>
    </w:p>
    <w:p w14:paraId="66F84F55"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6.1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Principles underlying item design</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_Toc382313851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89</w:t>
      </w:r>
      <w:r w:rsidRPr="004D4CFF">
        <w:rPr>
          <w:rFonts w:ascii="Arial Narrow" w:hAnsi="Arial Narrow"/>
          <w:color w:val="auto"/>
          <w:sz w:val="22"/>
          <w:szCs w:val="22"/>
        </w:rPr>
        <w:fldChar w:fldCharType="end"/>
      </w:r>
    </w:p>
    <w:p w14:paraId="5F086C42"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6.2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Rationale for new or modified item numbers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89</w:t>
      </w:r>
      <w:r w:rsidRPr="004D4CFF">
        <w:rPr>
          <w:rFonts w:ascii="Arial Narrow" w:hAnsi="Arial Narrow"/>
          <w:color w:val="auto"/>
          <w:sz w:val="22"/>
          <w:szCs w:val="22"/>
        </w:rPr>
        <w:fldChar w:fldCharType="end"/>
      </w:r>
    </w:p>
    <w:p w14:paraId="612E0DE5"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6.3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MBS items for professional attendances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_Toc382313853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91</w:t>
      </w:r>
      <w:r w:rsidRPr="004D4CFF">
        <w:rPr>
          <w:rFonts w:ascii="Arial Narrow" w:hAnsi="Arial Narrow"/>
          <w:color w:val="auto"/>
          <w:sz w:val="22"/>
          <w:szCs w:val="22"/>
        </w:rPr>
        <w:fldChar w:fldCharType="end"/>
      </w:r>
    </w:p>
    <w:p w14:paraId="3ED7F5F0"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6.4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Proposed modifications to existing item numbers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_Toc382313854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97</w:t>
      </w:r>
      <w:r w:rsidRPr="004D4CFF">
        <w:rPr>
          <w:rFonts w:ascii="Arial Narrow" w:hAnsi="Arial Narrow"/>
          <w:color w:val="auto"/>
          <w:sz w:val="22"/>
          <w:szCs w:val="22"/>
        </w:rPr>
        <w:fldChar w:fldCharType="end"/>
      </w:r>
    </w:p>
    <w:p w14:paraId="7E02D9AA" w14:textId="77777777" w:rsidR="00B91A80" w:rsidRPr="004D4CFF" w:rsidRDefault="00B91A80">
      <w:pPr>
        <w:pStyle w:val="TOC1"/>
        <w:rPr>
          <w:rFonts w:ascii="Arial Narrow" w:eastAsiaTheme="minorEastAsia" w:hAnsi="Arial Narrow" w:cstheme="minorBidi"/>
          <w:sz w:val="22"/>
          <w:szCs w:val="22"/>
          <w:lang w:eastAsia="en-AU"/>
        </w:rPr>
      </w:pPr>
      <w:r w:rsidRPr="004D4CFF">
        <w:rPr>
          <w:rFonts w:ascii="Arial Narrow" w:hAnsi="Arial Narrow"/>
          <w:sz w:val="22"/>
          <w:szCs w:val="22"/>
        </w:rPr>
        <w:t>7</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Impact of changes to remuneration arrangements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_Toc382313855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99</w:t>
      </w:r>
      <w:r w:rsidRPr="004D4CFF">
        <w:rPr>
          <w:rFonts w:ascii="Arial Narrow" w:hAnsi="Arial Narrow"/>
          <w:sz w:val="22"/>
          <w:szCs w:val="22"/>
        </w:rPr>
        <w:fldChar w:fldCharType="end"/>
      </w:r>
    </w:p>
    <w:p w14:paraId="4E655B06"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7.1</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Modelling objectives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_Toc382313856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99</w:t>
      </w:r>
      <w:r w:rsidRPr="004D4CFF">
        <w:rPr>
          <w:rFonts w:ascii="Arial Narrow" w:hAnsi="Arial Narrow"/>
          <w:color w:val="auto"/>
          <w:sz w:val="22"/>
          <w:szCs w:val="22"/>
        </w:rPr>
        <w:fldChar w:fldCharType="end"/>
      </w:r>
    </w:p>
    <w:p w14:paraId="2161D038"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7.2</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Private sector</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_Toc382313857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99</w:t>
      </w:r>
      <w:r w:rsidRPr="004D4CFF">
        <w:rPr>
          <w:rFonts w:ascii="Arial Narrow" w:hAnsi="Arial Narrow"/>
          <w:color w:val="auto"/>
          <w:sz w:val="22"/>
          <w:szCs w:val="22"/>
        </w:rPr>
        <w:fldChar w:fldCharType="end"/>
      </w:r>
    </w:p>
    <w:p w14:paraId="407DC26B"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7.2.1</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Scenario modelling</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_Toc382313858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99</w:t>
      </w:r>
      <w:r w:rsidRPr="004D4CFF">
        <w:rPr>
          <w:rFonts w:ascii="Arial Narrow" w:hAnsi="Arial Narrow"/>
          <w:color w:val="auto"/>
          <w:szCs w:val="22"/>
        </w:rPr>
        <w:fldChar w:fldCharType="end"/>
      </w:r>
    </w:p>
    <w:p w14:paraId="3398670D"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7.2.2</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Scenario 1 – physician equivalent</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_Toc382313859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99</w:t>
      </w:r>
      <w:r w:rsidRPr="004D4CFF">
        <w:rPr>
          <w:rFonts w:ascii="Arial Narrow" w:hAnsi="Arial Narrow"/>
          <w:color w:val="auto"/>
          <w:szCs w:val="22"/>
        </w:rPr>
        <w:fldChar w:fldCharType="end"/>
      </w:r>
    </w:p>
    <w:p w14:paraId="78B631F0"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7.2.3</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Scenario 2 – time-tiered</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_Toc382313860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102</w:t>
      </w:r>
      <w:r w:rsidRPr="004D4CFF">
        <w:rPr>
          <w:rFonts w:ascii="Arial Narrow" w:hAnsi="Arial Narrow"/>
          <w:color w:val="auto"/>
          <w:szCs w:val="22"/>
        </w:rPr>
        <w:fldChar w:fldCharType="end"/>
      </w:r>
    </w:p>
    <w:p w14:paraId="00A6CAB0" w14:textId="77777777" w:rsidR="00B91A80" w:rsidRPr="004D4CFF" w:rsidRDefault="00B91A80">
      <w:pPr>
        <w:pStyle w:val="TOC3"/>
        <w:rPr>
          <w:rFonts w:ascii="Arial Narrow" w:eastAsiaTheme="minorEastAsia" w:hAnsi="Arial Narrow" w:cstheme="minorBidi"/>
          <w:color w:val="auto"/>
          <w:szCs w:val="22"/>
          <w:lang w:eastAsia="en-AU"/>
        </w:rPr>
      </w:pPr>
      <w:r w:rsidRPr="004D4CFF">
        <w:rPr>
          <w:rFonts w:ascii="Arial Narrow" w:hAnsi="Arial Narrow"/>
          <w:color w:val="auto"/>
          <w:szCs w:val="22"/>
        </w:rPr>
        <w:t>7.2.4</w:t>
      </w:r>
      <w:r w:rsidRPr="004D4CFF">
        <w:rPr>
          <w:rFonts w:ascii="Arial Narrow" w:eastAsiaTheme="minorEastAsia" w:hAnsi="Arial Narrow" w:cstheme="minorBidi"/>
          <w:color w:val="auto"/>
          <w:szCs w:val="22"/>
          <w:lang w:eastAsia="en-AU"/>
        </w:rPr>
        <w:tab/>
      </w:r>
      <w:r w:rsidRPr="004D4CFF">
        <w:rPr>
          <w:rFonts w:ascii="Arial Narrow" w:hAnsi="Arial Narrow"/>
          <w:color w:val="auto"/>
          <w:szCs w:val="22"/>
        </w:rPr>
        <w:t>Financial projections</w:t>
      </w:r>
      <w:r w:rsidRPr="004D4CFF">
        <w:rPr>
          <w:rFonts w:ascii="Arial Narrow" w:hAnsi="Arial Narrow"/>
          <w:color w:val="auto"/>
          <w:szCs w:val="22"/>
        </w:rPr>
        <w:tab/>
      </w:r>
      <w:r w:rsidRPr="004D4CFF">
        <w:rPr>
          <w:rFonts w:ascii="Arial Narrow" w:hAnsi="Arial Narrow"/>
          <w:color w:val="auto"/>
          <w:szCs w:val="22"/>
        </w:rPr>
        <w:fldChar w:fldCharType="begin"/>
      </w:r>
      <w:r w:rsidRPr="004D4CFF">
        <w:rPr>
          <w:rFonts w:ascii="Arial Narrow" w:hAnsi="Arial Narrow"/>
          <w:color w:val="auto"/>
          <w:szCs w:val="22"/>
        </w:rPr>
        <w:instrText xml:space="preserve"> PAGEREF _Toc382313861 \h </w:instrText>
      </w:r>
      <w:r w:rsidRPr="004D4CFF">
        <w:rPr>
          <w:rFonts w:ascii="Arial Narrow" w:hAnsi="Arial Narrow"/>
          <w:color w:val="auto"/>
          <w:szCs w:val="22"/>
        </w:rPr>
      </w:r>
      <w:r w:rsidRPr="004D4CFF">
        <w:rPr>
          <w:rFonts w:ascii="Arial Narrow" w:hAnsi="Arial Narrow"/>
          <w:color w:val="auto"/>
          <w:szCs w:val="22"/>
        </w:rPr>
        <w:fldChar w:fldCharType="separate"/>
      </w:r>
      <w:r w:rsidR="009C72FC">
        <w:rPr>
          <w:rFonts w:ascii="Arial Narrow" w:hAnsi="Arial Narrow"/>
          <w:color w:val="auto"/>
          <w:szCs w:val="22"/>
        </w:rPr>
        <w:t>104</w:t>
      </w:r>
      <w:r w:rsidRPr="004D4CFF">
        <w:rPr>
          <w:rFonts w:ascii="Arial Narrow" w:hAnsi="Arial Narrow"/>
          <w:color w:val="auto"/>
          <w:szCs w:val="22"/>
        </w:rPr>
        <w:fldChar w:fldCharType="end"/>
      </w:r>
    </w:p>
    <w:p w14:paraId="19BA7737"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7.3</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Public sector</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_Toc382313862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106</w:t>
      </w:r>
      <w:r w:rsidRPr="004D4CFF">
        <w:rPr>
          <w:rFonts w:ascii="Arial Narrow" w:hAnsi="Arial Narrow"/>
          <w:color w:val="auto"/>
          <w:sz w:val="22"/>
          <w:szCs w:val="22"/>
        </w:rPr>
        <w:fldChar w:fldCharType="end"/>
      </w:r>
    </w:p>
    <w:p w14:paraId="217C3214"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7.4</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Revised estimates of cost associated with potentially preventable admissions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_Toc382313863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106</w:t>
      </w:r>
      <w:r w:rsidRPr="004D4CFF">
        <w:rPr>
          <w:rFonts w:ascii="Arial Narrow" w:hAnsi="Arial Narrow"/>
          <w:color w:val="auto"/>
          <w:sz w:val="22"/>
          <w:szCs w:val="22"/>
        </w:rPr>
        <w:fldChar w:fldCharType="end"/>
      </w:r>
    </w:p>
    <w:p w14:paraId="3499F7FB"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7.5</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supply of specialists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_Toc382313864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108</w:t>
      </w:r>
      <w:r w:rsidRPr="004D4CFF">
        <w:rPr>
          <w:rFonts w:ascii="Arial Narrow" w:hAnsi="Arial Narrow"/>
          <w:color w:val="auto"/>
          <w:sz w:val="22"/>
          <w:szCs w:val="22"/>
        </w:rPr>
        <w:fldChar w:fldCharType="end"/>
      </w:r>
    </w:p>
    <w:p w14:paraId="11CB17B0"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7.6</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access to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_Toc382313865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109</w:t>
      </w:r>
      <w:r w:rsidRPr="004D4CFF">
        <w:rPr>
          <w:rFonts w:ascii="Arial Narrow" w:hAnsi="Arial Narrow"/>
          <w:color w:val="auto"/>
          <w:sz w:val="22"/>
          <w:szCs w:val="22"/>
        </w:rPr>
        <w:fldChar w:fldCharType="end"/>
      </w:r>
    </w:p>
    <w:p w14:paraId="37587F4F"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7.7</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patient outcomes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_Toc382313866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109</w:t>
      </w:r>
      <w:r w:rsidRPr="004D4CFF">
        <w:rPr>
          <w:rFonts w:ascii="Arial Narrow" w:hAnsi="Arial Narrow"/>
          <w:color w:val="auto"/>
          <w:sz w:val="22"/>
          <w:szCs w:val="22"/>
        </w:rPr>
        <w:fldChar w:fldCharType="end"/>
      </w:r>
    </w:p>
    <w:p w14:paraId="5918DD04"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7.8</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private sector providers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_Toc382313867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110</w:t>
      </w:r>
      <w:r w:rsidRPr="004D4CFF">
        <w:rPr>
          <w:rFonts w:ascii="Arial Narrow" w:hAnsi="Arial Narrow"/>
          <w:color w:val="auto"/>
          <w:sz w:val="22"/>
          <w:szCs w:val="22"/>
        </w:rPr>
        <w:fldChar w:fldCharType="end"/>
      </w:r>
    </w:p>
    <w:p w14:paraId="29E3C67C"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7.9</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public sector services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_Toc382313868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110</w:t>
      </w:r>
      <w:r w:rsidRPr="004D4CFF">
        <w:rPr>
          <w:rFonts w:ascii="Arial Narrow" w:hAnsi="Arial Narrow"/>
          <w:color w:val="auto"/>
          <w:sz w:val="22"/>
          <w:szCs w:val="22"/>
        </w:rPr>
        <w:fldChar w:fldCharType="end"/>
      </w:r>
    </w:p>
    <w:p w14:paraId="22424955" w14:textId="77777777" w:rsidR="00B91A80" w:rsidRPr="004D4CFF" w:rsidRDefault="00B91A80">
      <w:pPr>
        <w:pStyle w:val="TOC2"/>
        <w:tabs>
          <w:tab w:val="left" w:pos="1320"/>
        </w:tabs>
        <w:rPr>
          <w:rFonts w:ascii="Arial Narrow" w:eastAsiaTheme="minorEastAsia" w:hAnsi="Arial Narrow" w:cstheme="minorBidi"/>
          <w:color w:val="auto"/>
          <w:sz w:val="22"/>
          <w:szCs w:val="22"/>
          <w:lang w:eastAsia="en-AU"/>
        </w:rPr>
      </w:pPr>
      <w:r w:rsidRPr="004D4CFF">
        <w:rPr>
          <w:rFonts w:ascii="Arial Narrow" w:hAnsi="Arial Narrow"/>
          <w:color w:val="auto"/>
          <w:sz w:val="22"/>
          <w:szCs w:val="22"/>
        </w:rPr>
        <w:t>7.10</w:t>
      </w:r>
      <w:r w:rsidRPr="004D4CFF">
        <w:rPr>
          <w:rFonts w:ascii="Arial Narrow" w:eastAsiaTheme="minorEastAsia" w:hAnsi="Arial Narrow" w:cstheme="minorBidi"/>
          <w:color w:val="auto"/>
          <w:sz w:val="22"/>
          <w:szCs w:val="22"/>
          <w:lang w:eastAsia="en-AU"/>
        </w:rPr>
        <w:tab/>
      </w:r>
      <w:r w:rsidRPr="004D4CFF">
        <w:rPr>
          <w:rFonts w:ascii="Arial Narrow" w:hAnsi="Arial Narrow"/>
          <w:color w:val="auto"/>
          <w:sz w:val="22"/>
          <w:szCs w:val="22"/>
        </w:rPr>
        <w:t>Impact upon overall health expenditure (relative cost effectiveness)</w:t>
      </w:r>
      <w:r w:rsidRPr="004D4CFF">
        <w:rPr>
          <w:rFonts w:ascii="Arial Narrow" w:hAnsi="Arial Narrow"/>
          <w:color w:val="auto"/>
          <w:sz w:val="22"/>
          <w:szCs w:val="22"/>
        </w:rPr>
        <w:tab/>
      </w:r>
      <w:r w:rsidRPr="004D4CFF">
        <w:rPr>
          <w:rFonts w:ascii="Arial Narrow" w:hAnsi="Arial Narrow"/>
          <w:color w:val="auto"/>
          <w:sz w:val="22"/>
          <w:szCs w:val="22"/>
        </w:rPr>
        <w:fldChar w:fldCharType="begin"/>
      </w:r>
      <w:r w:rsidRPr="004D4CFF">
        <w:rPr>
          <w:rFonts w:ascii="Arial Narrow" w:hAnsi="Arial Narrow"/>
          <w:color w:val="auto"/>
          <w:sz w:val="22"/>
          <w:szCs w:val="22"/>
        </w:rPr>
        <w:instrText xml:space="preserve"> PAGEREF _Toc382313869 \h </w:instrText>
      </w:r>
      <w:r w:rsidRPr="004D4CFF">
        <w:rPr>
          <w:rFonts w:ascii="Arial Narrow" w:hAnsi="Arial Narrow"/>
          <w:color w:val="auto"/>
          <w:sz w:val="22"/>
          <w:szCs w:val="22"/>
        </w:rPr>
      </w:r>
      <w:r w:rsidRPr="004D4CFF">
        <w:rPr>
          <w:rFonts w:ascii="Arial Narrow" w:hAnsi="Arial Narrow"/>
          <w:color w:val="auto"/>
          <w:sz w:val="22"/>
          <w:szCs w:val="22"/>
        </w:rPr>
        <w:fldChar w:fldCharType="separate"/>
      </w:r>
      <w:r w:rsidR="009C72FC">
        <w:rPr>
          <w:rFonts w:ascii="Arial Narrow" w:hAnsi="Arial Narrow"/>
          <w:color w:val="auto"/>
          <w:sz w:val="22"/>
          <w:szCs w:val="22"/>
        </w:rPr>
        <w:t>110</w:t>
      </w:r>
      <w:r w:rsidRPr="004D4CFF">
        <w:rPr>
          <w:rFonts w:ascii="Arial Narrow" w:hAnsi="Arial Narrow"/>
          <w:color w:val="auto"/>
          <w:sz w:val="22"/>
          <w:szCs w:val="22"/>
        </w:rPr>
        <w:fldChar w:fldCharType="end"/>
      </w:r>
    </w:p>
    <w:p w14:paraId="640403E4" w14:textId="77777777" w:rsidR="00B91A80" w:rsidRPr="004D4CFF" w:rsidRDefault="00B91A80">
      <w:pPr>
        <w:pStyle w:val="TOC1"/>
        <w:tabs>
          <w:tab w:val="left" w:pos="1540"/>
        </w:tabs>
        <w:rPr>
          <w:rFonts w:ascii="Arial Narrow" w:eastAsiaTheme="minorEastAsia" w:hAnsi="Arial Narrow" w:cstheme="minorBidi"/>
          <w:sz w:val="22"/>
          <w:szCs w:val="22"/>
          <w:lang w:eastAsia="en-AU"/>
        </w:rPr>
      </w:pPr>
      <w:r w:rsidRPr="004D4CFF">
        <w:rPr>
          <w:rFonts w:ascii="Arial Narrow" w:hAnsi="Arial Narrow"/>
          <w:sz w:val="22"/>
          <w:szCs w:val="22"/>
        </w:rPr>
        <w:t>Appendix 1</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Modelling of alternate cost scenarios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_Toc382313870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113</w:t>
      </w:r>
      <w:r w:rsidRPr="004D4CFF">
        <w:rPr>
          <w:rFonts w:ascii="Arial Narrow" w:hAnsi="Arial Narrow"/>
          <w:sz w:val="22"/>
          <w:szCs w:val="22"/>
        </w:rPr>
        <w:fldChar w:fldCharType="end"/>
      </w:r>
    </w:p>
    <w:p w14:paraId="09161CA5" w14:textId="77777777" w:rsidR="00B91A80" w:rsidRPr="004D4CFF" w:rsidRDefault="00B91A80">
      <w:pPr>
        <w:pStyle w:val="TOC1"/>
        <w:tabs>
          <w:tab w:val="left" w:pos="1540"/>
        </w:tabs>
        <w:rPr>
          <w:rFonts w:ascii="Arial Narrow" w:eastAsiaTheme="minorEastAsia" w:hAnsi="Arial Narrow" w:cstheme="minorBidi"/>
          <w:sz w:val="22"/>
          <w:szCs w:val="22"/>
          <w:lang w:eastAsia="en-AU"/>
        </w:rPr>
      </w:pPr>
      <w:r w:rsidRPr="004D4CFF">
        <w:rPr>
          <w:rFonts w:ascii="Arial Narrow" w:hAnsi="Arial Narrow"/>
          <w:sz w:val="22"/>
          <w:szCs w:val="22"/>
        </w:rPr>
        <w:t>Appendix 2</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References</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_Toc382313871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120</w:t>
      </w:r>
      <w:r w:rsidRPr="004D4CFF">
        <w:rPr>
          <w:rFonts w:ascii="Arial Narrow" w:hAnsi="Arial Narrow"/>
          <w:sz w:val="22"/>
          <w:szCs w:val="22"/>
        </w:rPr>
        <w:fldChar w:fldCharType="end"/>
      </w:r>
    </w:p>
    <w:p w14:paraId="30559F1D" w14:textId="77777777" w:rsidR="00B91A80" w:rsidRPr="004D4CFF" w:rsidRDefault="00B91A80">
      <w:pPr>
        <w:pStyle w:val="TOC1"/>
        <w:tabs>
          <w:tab w:val="left" w:pos="1540"/>
        </w:tabs>
        <w:rPr>
          <w:rFonts w:ascii="Arial Narrow" w:eastAsiaTheme="minorEastAsia" w:hAnsi="Arial Narrow" w:cstheme="minorBidi"/>
          <w:sz w:val="22"/>
          <w:szCs w:val="22"/>
          <w:lang w:eastAsia="en-AU"/>
        </w:rPr>
      </w:pPr>
      <w:r w:rsidRPr="004D4CFF">
        <w:rPr>
          <w:rFonts w:ascii="Arial Narrow" w:hAnsi="Arial Narrow"/>
          <w:sz w:val="22"/>
          <w:szCs w:val="22"/>
        </w:rPr>
        <w:t>Appendix 3</w:t>
      </w:r>
      <w:r w:rsidRPr="004D4CFF">
        <w:rPr>
          <w:rFonts w:ascii="Arial Narrow" w:eastAsiaTheme="minorEastAsia" w:hAnsi="Arial Narrow" w:cstheme="minorBidi"/>
          <w:sz w:val="22"/>
          <w:szCs w:val="22"/>
          <w:lang w:eastAsia="en-AU"/>
        </w:rPr>
        <w:tab/>
      </w:r>
      <w:r w:rsidRPr="004D4CFF">
        <w:rPr>
          <w:rFonts w:ascii="Arial Narrow" w:hAnsi="Arial Narrow"/>
          <w:sz w:val="22"/>
          <w:szCs w:val="22"/>
        </w:rPr>
        <w:t>Current NHMRC funded research</w:t>
      </w:r>
      <w:r w:rsidRPr="004D4CFF">
        <w:rPr>
          <w:rFonts w:ascii="Arial Narrow" w:hAnsi="Arial Narrow"/>
          <w:sz w:val="22"/>
          <w:szCs w:val="22"/>
        </w:rPr>
        <w:tab/>
      </w:r>
      <w:r w:rsidRPr="004D4CFF">
        <w:rPr>
          <w:rFonts w:ascii="Arial Narrow" w:hAnsi="Arial Narrow"/>
          <w:sz w:val="22"/>
          <w:szCs w:val="22"/>
        </w:rPr>
        <w:fldChar w:fldCharType="begin"/>
      </w:r>
      <w:r w:rsidRPr="004D4CFF">
        <w:rPr>
          <w:rFonts w:ascii="Arial Narrow" w:hAnsi="Arial Narrow"/>
          <w:sz w:val="22"/>
          <w:szCs w:val="22"/>
        </w:rPr>
        <w:instrText xml:space="preserve"> PAGEREF _Toc382313872 \h </w:instrText>
      </w:r>
      <w:r w:rsidRPr="004D4CFF">
        <w:rPr>
          <w:rFonts w:ascii="Arial Narrow" w:hAnsi="Arial Narrow"/>
          <w:sz w:val="22"/>
          <w:szCs w:val="22"/>
        </w:rPr>
      </w:r>
      <w:r w:rsidRPr="004D4CFF">
        <w:rPr>
          <w:rFonts w:ascii="Arial Narrow" w:hAnsi="Arial Narrow"/>
          <w:sz w:val="22"/>
          <w:szCs w:val="22"/>
        </w:rPr>
        <w:fldChar w:fldCharType="separate"/>
      </w:r>
      <w:r w:rsidR="009C72FC">
        <w:rPr>
          <w:rFonts w:ascii="Arial Narrow" w:hAnsi="Arial Narrow"/>
          <w:sz w:val="22"/>
          <w:szCs w:val="22"/>
        </w:rPr>
        <w:t>123</w:t>
      </w:r>
      <w:r w:rsidRPr="004D4CFF">
        <w:rPr>
          <w:rFonts w:ascii="Arial Narrow" w:hAnsi="Arial Narrow"/>
          <w:sz w:val="22"/>
          <w:szCs w:val="22"/>
        </w:rPr>
        <w:fldChar w:fldCharType="end"/>
      </w:r>
    </w:p>
    <w:p w14:paraId="7602AA8C" w14:textId="77777777" w:rsidR="00726609" w:rsidRPr="004D4CFF" w:rsidRDefault="00CB67AC">
      <w:pPr>
        <w:pStyle w:val="TableofFigures"/>
        <w:rPr>
          <w:rFonts w:ascii="Arial Narrow" w:hAnsi="Arial Narrow"/>
          <w:color w:val="auto"/>
          <w:szCs w:val="22"/>
        </w:rPr>
      </w:pPr>
      <w:r w:rsidRPr="004D4CFF">
        <w:rPr>
          <w:rFonts w:ascii="Arial Narrow" w:hAnsi="Arial Narrow"/>
          <w:color w:val="auto"/>
          <w:szCs w:val="22"/>
        </w:rPr>
        <w:fldChar w:fldCharType="end"/>
      </w:r>
    </w:p>
    <w:p w14:paraId="31AB4614" w14:textId="5F55B1D2" w:rsidR="00726609" w:rsidRPr="002167FD" w:rsidRDefault="00F86829">
      <w:pPr>
        <w:pStyle w:val="TableofFigures"/>
        <w:rPr>
          <w:b/>
          <w:sz w:val="28"/>
          <w:szCs w:val="28"/>
        </w:rPr>
      </w:pPr>
      <w:r w:rsidRPr="002167FD">
        <w:rPr>
          <w:b/>
          <w:sz w:val="28"/>
          <w:szCs w:val="28"/>
        </w:rPr>
        <w:t>Index of Figures</w:t>
      </w:r>
    </w:p>
    <w:p w14:paraId="0BDB1347" w14:textId="77777777" w:rsidR="00B91A80" w:rsidRPr="004D4CFF" w:rsidRDefault="00CB67AC"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r w:rsidRPr="00A31FC7">
        <w:rPr>
          <w:rFonts w:ascii="Arial Narrow" w:hAnsi="Arial Narrow"/>
        </w:rPr>
        <w:fldChar w:fldCharType="begin"/>
      </w:r>
      <w:r w:rsidR="00F86829" w:rsidRPr="00A31FC7">
        <w:rPr>
          <w:rFonts w:ascii="Arial Narrow" w:hAnsi="Arial Narrow"/>
        </w:rPr>
        <w:instrText xml:space="preserve"> TOC \h \z \c "Figure" </w:instrText>
      </w:r>
      <w:r w:rsidRPr="00A31FC7">
        <w:rPr>
          <w:rFonts w:ascii="Arial Narrow" w:hAnsi="Arial Narrow"/>
        </w:rPr>
        <w:fldChar w:fldCharType="separate"/>
      </w:r>
      <w:hyperlink w:anchor="_Toc382313732" w:history="1">
        <w:r w:rsidR="00B91A80" w:rsidRPr="004D4CFF">
          <w:rPr>
            <w:rStyle w:val="Hyperlink"/>
            <w:rFonts w:ascii="Arial Narrow" w:hAnsi="Arial Narrow"/>
          </w:rPr>
          <w:t>Figure 2</w:t>
        </w:r>
        <w:r w:rsidR="00B91A80" w:rsidRPr="004D4CFF">
          <w:rPr>
            <w:rStyle w:val="Hyperlink"/>
            <w:rFonts w:ascii="Arial Narrow" w:hAnsi="Arial Narrow"/>
          </w:rPr>
          <w:noBreakHyphen/>
          <w:t>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Population growth and number of deaths in Australia (2010 - 2015)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_Toc382313732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30</w:t>
        </w:r>
        <w:r w:rsidR="00B91A80" w:rsidRPr="004D4CFF">
          <w:rPr>
            <w:rFonts w:ascii="Arial Narrow" w:hAnsi="Arial Narrow"/>
            <w:webHidden/>
          </w:rPr>
          <w:fldChar w:fldCharType="end"/>
        </w:r>
      </w:hyperlink>
    </w:p>
    <w:p w14:paraId="6E7F4D2D"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3" w:history="1">
        <w:r w:rsidR="00B91A80" w:rsidRPr="004D4CFF">
          <w:rPr>
            <w:rStyle w:val="Hyperlink"/>
            <w:rFonts w:ascii="Arial Narrow" w:hAnsi="Arial Narrow"/>
          </w:rPr>
          <w:t>Figure 2</w:t>
        </w:r>
        <w:r w:rsidR="00B91A80" w:rsidRPr="004D4CFF">
          <w:rPr>
            <w:rStyle w:val="Hyperlink"/>
            <w:rFonts w:ascii="Arial Narrow" w:hAnsi="Arial Narrow"/>
          </w:rPr>
          <w:noBreakHyphen/>
          <w:t>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deaths by body system and ICD-10 grouping (2008-2015 est.)</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_Toc382313733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31</w:t>
        </w:r>
        <w:r w:rsidR="00B91A80" w:rsidRPr="004D4CFF">
          <w:rPr>
            <w:rFonts w:ascii="Arial Narrow" w:hAnsi="Arial Narrow"/>
            <w:webHidden/>
          </w:rPr>
          <w:fldChar w:fldCharType="end"/>
        </w:r>
      </w:hyperlink>
    </w:p>
    <w:p w14:paraId="24C0B501"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4" w:history="1">
        <w:r w:rsidR="00B91A80" w:rsidRPr="004D4CFF">
          <w:rPr>
            <w:rStyle w:val="Hyperlink"/>
            <w:rFonts w:ascii="Arial Narrow" w:hAnsi="Arial Narrow"/>
          </w:rPr>
          <w:t>Figure 2</w:t>
        </w:r>
        <w:r w:rsidR="00B91A80" w:rsidRPr="004D4CFF">
          <w:rPr>
            <w:rStyle w:val="Hyperlink"/>
            <w:rFonts w:ascii="Arial Narrow" w:hAnsi="Arial Narrow"/>
          </w:rPr>
          <w:noBreakHyphen/>
          <w:t>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public hospital palliative care separations (2006-2015)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_Toc382313734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38</w:t>
        </w:r>
        <w:r w:rsidR="00B91A80" w:rsidRPr="004D4CFF">
          <w:rPr>
            <w:rFonts w:ascii="Arial Narrow" w:hAnsi="Arial Narrow"/>
            <w:webHidden/>
          </w:rPr>
          <w:fldChar w:fldCharType="end"/>
        </w:r>
      </w:hyperlink>
    </w:p>
    <w:p w14:paraId="0FECB25F"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5" w:history="1">
        <w:r w:rsidR="00B91A80" w:rsidRPr="004D4CFF">
          <w:rPr>
            <w:rStyle w:val="Hyperlink"/>
            <w:rFonts w:ascii="Arial Narrow" w:hAnsi="Arial Narrow"/>
          </w:rPr>
          <w:t>Figure 2</w:t>
        </w:r>
        <w:r w:rsidR="00B91A80" w:rsidRPr="004D4CFF">
          <w:rPr>
            <w:rStyle w:val="Hyperlink"/>
            <w:rFonts w:ascii="Arial Narrow" w:hAnsi="Arial Narrow"/>
          </w:rPr>
          <w:noBreakHyphen/>
          <w:t>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private hospital palliative care separations (2006-2015)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_Toc382313735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39</w:t>
        </w:r>
        <w:r w:rsidR="00B91A80" w:rsidRPr="004D4CFF">
          <w:rPr>
            <w:rFonts w:ascii="Arial Narrow" w:hAnsi="Arial Narrow"/>
            <w:webHidden/>
          </w:rPr>
          <w:fldChar w:fldCharType="end"/>
        </w:r>
      </w:hyperlink>
    </w:p>
    <w:p w14:paraId="0683932C"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36" w:history="1">
        <w:r w:rsidR="00B91A80" w:rsidRPr="004D4CFF">
          <w:rPr>
            <w:rStyle w:val="Hyperlink"/>
            <w:rFonts w:ascii="Arial Narrow" w:hAnsi="Arial Narrow"/>
          </w:rPr>
          <w:t>Figure 2</w:t>
        </w:r>
        <w:r w:rsidR="00B91A80" w:rsidRPr="004D4CFF">
          <w:rPr>
            <w:rStyle w:val="Hyperlink"/>
            <w:rFonts w:ascii="Arial Narrow" w:hAnsi="Arial Narrow"/>
          </w:rPr>
          <w:noBreakHyphen/>
          <w:t xml:space="preserve">5: </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Differences in care types and diagnostic codes between jurisdictions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_Toc382313736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41</w:t>
        </w:r>
        <w:r w:rsidR="00B91A80" w:rsidRPr="004D4CFF">
          <w:rPr>
            <w:rFonts w:ascii="Arial Narrow" w:hAnsi="Arial Narrow"/>
            <w:webHidden/>
          </w:rPr>
          <w:fldChar w:fldCharType="end"/>
        </w:r>
      </w:hyperlink>
    </w:p>
    <w:p w14:paraId="00B1BC5B"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7" w:history="1">
        <w:r w:rsidR="00B91A80" w:rsidRPr="004D4CFF">
          <w:rPr>
            <w:rStyle w:val="Hyperlink"/>
            <w:rFonts w:ascii="Arial Narrow" w:hAnsi="Arial Narrow"/>
          </w:rPr>
          <w:t>Figure 2</w:t>
        </w:r>
        <w:r w:rsidR="00B91A80" w:rsidRPr="004D4CFF">
          <w:rPr>
            <w:rStyle w:val="Hyperlink"/>
            <w:rFonts w:ascii="Arial Narrow" w:hAnsi="Arial Narrow"/>
          </w:rPr>
          <w:noBreakHyphen/>
          <w:t>6:</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public and private separations for palliative care (2006-2015)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_Toc382313737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42</w:t>
        </w:r>
        <w:r w:rsidR="00B91A80" w:rsidRPr="004D4CFF">
          <w:rPr>
            <w:rFonts w:ascii="Arial Narrow" w:hAnsi="Arial Narrow"/>
            <w:webHidden/>
          </w:rPr>
          <w:fldChar w:fldCharType="end"/>
        </w:r>
      </w:hyperlink>
    </w:p>
    <w:p w14:paraId="3D939978"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8" w:history="1">
        <w:r w:rsidR="00B91A80" w:rsidRPr="004D4CFF">
          <w:rPr>
            <w:rStyle w:val="Hyperlink"/>
            <w:rFonts w:ascii="Arial Narrow" w:hAnsi="Arial Narrow"/>
          </w:rPr>
          <w:t>Figure 2</w:t>
        </w:r>
        <w:r w:rsidR="00B91A80" w:rsidRPr="004D4CFF">
          <w:rPr>
            <w:rStyle w:val="Hyperlink"/>
            <w:rFonts w:ascii="Arial Narrow" w:hAnsi="Arial Narrow"/>
          </w:rPr>
          <w:noBreakHyphen/>
          <w:t>7:</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Palliative Care Separations, all hospitals (1999/2000 to 2008/2009)</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_Toc382313738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43</w:t>
        </w:r>
        <w:r w:rsidR="00B91A80" w:rsidRPr="004D4CFF">
          <w:rPr>
            <w:rFonts w:ascii="Arial Narrow" w:hAnsi="Arial Narrow"/>
            <w:webHidden/>
          </w:rPr>
          <w:fldChar w:fldCharType="end"/>
        </w:r>
      </w:hyperlink>
    </w:p>
    <w:p w14:paraId="62736317"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39" w:history="1">
        <w:r w:rsidR="00B91A80" w:rsidRPr="004D4CFF">
          <w:rPr>
            <w:rStyle w:val="Hyperlink"/>
            <w:rFonts w:ascii="Arial Narrow" w:hAnsi="Arial Narrow"/>
          </w:rPr>
          <w:t>Figure 2</w:t>
        </w:r>
        <w:r w:rsidR="00B91A80" w:rsidRPr="004D4CFF">
          <w:rPr>
            <w:rStyle w:val="Hyperlink"/>
            <w:rFonts w:ascii="Arial Narrow" w:hAnsi="Arial Narrow"/>
          </w:rPr>
          <w:noBreakHyphen/>
          <w:t>8:</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Average total demand and supply of palliative care services (2010-2015)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_Toc382313739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44</w:t>
        </w:r>
        <w:r w:rsidR="00B91A80" w:rsidRPr="004D4CFF">
          <w:rPr>
            <w:rFonts w:ascii="Arial Narrow" w:hAnsi="Arial Narrow"/>
            <w:webHidden/>
          </w:rPr>
          <w:fldChar w:fldCharType="end"/>
        </w:r>
      </w:hyperlink>
    </w:p>
    <w:p w14:paraId="7FAD4E21"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0" w:history="1">
        <w:r w:rsidR="00B91A80" w:rsidRPr="004D4CFF">
          <w:rPr>
            <w:rStyle w:val="Hyperlink"/>
            <w:rFonts w:ascii="Arial Narrow" w:hAnsi="Arial Narrow"/>
          </w:rPr>
          <w:t>Figure 2</w:t>
        </w:r>
        <w:r w:rsidR="00B91A80" w:rsidRPr="004D4CFF">
          <w:rPr>
            <w:rStyle w:val="Hyperlink"/>
            <w:rFonts w:ascii="Arial Narrow" w:hAnsi="Arial Narrow"/>
          </w:rPr>
          <w:noBreakHyphen/>
          <w:t>9:</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Linear variation in demand/supply of palliative care services (2010-2015)</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_Toc382313740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45</w:t>
        </w:r>
        <w:r w:rsidR="00B91A80" w:rsidRPr="004D4CFF">
          <w:rPr>
            <w:rFonts w:ascii="Arial Narrow" w:hAnsi="Arial Narrow"/>
            <w:webHidden/>
          </w:rPr>
          <w:fldChar w:fldCharType="end"/>
        </w:r>
      </w:hyperlink>
    </w:p>
    <w:p w14:paraId="369B53F5"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1" w:history="1">
        <w:r w:rsidR="00B91A80" w:rsidRPr="004D4CFF">
          <w:rPr>
            <w:rStyle w:val="Hyperlink"/>
            <w:rFonts w:ascii="Arial Narrow" w:hAnsi="Arial Narrow"/>
          </w:rPr>
          <w:t>Figure 4</w:t>
        </w:r>
        <w:r w:rsidR="00B91A80" w:rsidRPr="004D4CFF">
          <w:rPr>
            <w:rStyle w:val="Hyperlink"/>
            <w:rFonts w:ascii="Arial Narrow" w:hAnsi="Arial Narrow"/>
          </w:rPr>
          <w:noBreakHyphen/>
          <w:t>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Registration status of palliative medicine specialists billing on the MBS over three years (n=142)</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_Toc382313741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66</w:t>
        </w:r>
        <w:r w:rsidR="00B91A80" w:rsidRPr="004D4CFF">
          <w:rPr>
            <w:rFonts w:ascii="Arial Narrow" w:hAnsi="Arial Narrow"/>
            <w:webHidden/>
          </w:rPr>
          <w:fldChar w:fldCharType="end"/>
        </w:r>
      </w:hyperlink>
    </w:p>
    <w:p w14:paraId="7FF09D2A"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2" w:history="1">
        <w:r w:rsidR="00B91A80" w:rsidRPr="004D4CFF">
          <w:rPr>
            <w:rStyle w:val="Hyperlink"/>
            <w:rFonts w:ascii="Arial Narrow" w:hAnsi="Arial Narrow"/>
          </w:rPr>
          <w:t>Figure 4</w:t>
        </w:r>
        <w:r w:rsidR="00B91A80" w:rsidRPr="004D4CFF">
          <w:rPr>
            <w:rStyle w:val="Hyperlink"/>
            <w:rFonts w:ascii="Arial Narrow" w:hAnsi="Arial Narrow"/>
          </w:rPr>
          <w:noBreakHyphen/>
          <w:t>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and percent of fellowships held by palliative medicine specialists (n=216)</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_Toc382313742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67</w:t>
        </w:r>
        <w:r w:rsidR="00B91A80" w:rsidRPr="004D4CFF">
          <w:rPr>
            <w:rFonts w:ascii="Arial Narrow" w:hAnsi="Arial Narrow"/>
            <w:webHidden/>
          </w:rPr>
          <w:fldChar w:fldCharType="end"/>
        </w:r>
      </w:hyperlink>
    </w:p>
    <w:p w14:paraId="4CCA592E"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3" w:history="1">
        <w:r w:rsidR="00B91A80" w:rsidRPr="004D4CFF">
          <w:rPr>
            <w:rStyle w:val="Hyperlink"/>
            <w:rFonts w:ascii="Arial Narrow" w:hAnsi="Arial Narrow"/>
          </w:rPr>
          <w:t>Figure 4</w:t>
        </w:r>
        <w:r w:rsidR="00B91A80" w:rsidRPr="004D4CFF">
          <w:rPr>
            <w:rStyle w:val="Hyperlink"/>
            <w:rFonts w:ascii="Arial Narrow" w:hAnsi="Arial Narrow"/>
          </w:rPr>
          <w:noBreakHyphen/>
          <w:t>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chapter fellows working across Australian jurisdictions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_Toc382313743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67</w:t>
        </w:r>
        <w:r w:rsidR="00B91A80" w:rsidRPr="004D4CFF">
          <w:rPr>
            <w:rFonts w:ascii="Arial Narrow" w:hAnsi="Arial Narrow"/>
            <w:webHidden/>
          </w:rPr>
          <w:fldChar w:fldCharType="end"/>
        </w:r>
      </w:hyperlink>
    </w:p>
    <w:p w14:paraId="09CC1C65"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4" w:history="1">
        <w:r w:rsidR="00B91A80" w:rsidRPr="004D4CFF">
          <w:rPr>
            <w:rStyle w:val="Hyperlink"/>
            <w:rFonts w:ascii="Arial Narrow" w:hAnsi="Arial Narrow"/>
          </w:rPr>
          <w:t>Figure 4</w:t>
        </w:r>
        <w:r w:rsidR="00B91A80" w:rsidRPr="004D4CFF">
          <w:rPr>
            <w:rStyle w:val="Hyperlink"/>
            <w:rFonts w:ascii="Arial Narrow" w:hAnsi="Arial Narrow"/>
          </w:rPr>
          <w:noBreakHyphen/>
          <w:t>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Ratio of specialists across Australian jurisdictions per 100,000-population</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_Toc382313744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68</w:t>
        </w:r>
        <w:r w:rsidR="00B91A80" w:rsidRPr="004D4CFF">
          <w:rPr>
            <w:rFonts w:ascii="Arial Narrow" w:hAnsi="Arial Narrow"/>
            <w:webHidden/>
          </w:rPr>
          <w:fldChar w:fldCharType="end"/>
        </w:r>
      </w:hyperlink>
    </w:p>
    <w:p w14:paraId="766A0AA2"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5" w:history="1">
        <w:r w:rsidR="00B91A80" w:rsidRPr="004D4CFF">
          <w:rPr>
            <w:rStyle w:val="Hyperlink"/>
            <w:rFonts w:ascii="Arial Narrow" w:hAnsi="Arial Narrow"/>
          </w:rPr>
          <w:t>Figure 4</w:t>
        </w:r>
        <w:r w:rsidR="00B91A80" w:rsidRPr="004D4CFF">
          <w:rPr>
            <w:rStyle w:val="Hyperlink"/>
            <w:rFonts w:ascii="Arial Narrow" w:hAnsi="Arial Narrow"/>
          </w:rPr>
          <w:noBreakHyphen/>
          <w:t>5:</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new specialists entering the workforce</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_Toc382313745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69</w:t>
        </w:r>
        <w:r w:rsidR="00B91A80" w:rsidRPr="004D4CFF">
          <w:rPr>
            <w:rFonts w:ascii="Arial Narrow" w:hAnsi="Arial Narrow"/>
            <w:webHidden/>
          </w:rPr>
          <w:fldChar w:fldCharType="end"/>
        </w:r>
      </w:hyperlink>
    </w:p>
    <w:p w14:paraId="5D26CEAD"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6" w:history="1">
        <w:r w:rsidR="00B91A80" w:rsidRPr="004D4CFF">
          <w:rPr>
            <w:rStyle w:val="Hyperlink"/>
            <w:rFonts w:ascii="Arial Narrow" w:hAnsi="Arial Narrow"/>
          </w:rPr>
          <w:t>Figure 4</w:t>
        </w:r>
        <w:r w:rsidR="00B91A80" w:rsidRPr="004D4CFF">
          <w:rPr>
            <w:rStyle w:val="Hyperlink"/>
            <w:rFonts w:ascii="Arial Narrow" w:hAnsi="Arial Narrow"/>
          </w:rPr>
          <w:noBreakHyphen/>
          <w:t>6:</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Proportion of chapter fellows MBS billing by jurisdiction (2012 - 13)</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_Toc382313746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70</w:t>
        </w:r>
        <w:r w:rsidR="00B91A80" w:rsidRPr="004D4CFF">
          <w:rPr>
            <w:rFonts w:ascii="Arial Narrow" w:hAnsi="Arial Narrow"/>
            <w:webHidden/>
          </w:rPr>
          <w:fldChar w:fldCharType="end"/>
        </w:r>
      </w:hyperlink>
    </w:p>
    <w:p w14:paraId="34D3BD5B"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7" w:history="1">
        <w:r w:rsidR="00B91A80" w:rsidRPr="004D4CFF">
          <w:rPr>
            <w:rStyle w:val="Hyperlink"/>
            <w:rFonts w:ascii="Arial Narrow" w:hAnsi="Arial Narrow"/>
          </w:rPr>
          <w:t>Figure 4</w:t>
        </w:r>
        <w:r w:rsidR="00B91A80" w:rsidRPr="004D4CFF">
          <w:rPr>
            <w:rStyle w:val="Hyperlink"/>
            <w:rFonts w:ascii="Arial Narrow" w:hAnsi="Arial Narrow"/>
          </w:rPr>
          <w:noBreakHyphen/>
          <w:t>7:</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Self-reported public and private activity undertaken by specialists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_Toc382313747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70</w:t>
        </w:r>
        <w:r w:rsidR="00B91A80" w:rsidRPr="004D4CFF">
          <w:rPr>
            <w:rFonts w:ascii="Arial Narrow" w:hAnsi="Arial Narrow"/>
            <w:webHidden/>
          </w:rPr>
          <w:fldChar w:fldCharType="end"/>
        </w:r>
      </w:hyperlink>
    </w:p>
    <w:p w14:paraId="3A142539"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8" w:history="1">
        <w:r w:rsidR="00B91A80" w:rsidRPr="004D4CFF">
          <w:rPr>
            <w:rStyle w:val="Hyperlink"/>
            <w:rFonts w:ascii="Arial Narrow" w:hAnsi="Arial Narrow"/>
          </w:rPr>
          <w:t>Figure 4</w:t>
        </w:r>
        <w:r w:rsidR="00B91A80" w:rsidRPr="004D4CFF">
          <w:rPr>
            <w:rStyle w:val="Hyperlink"/>
            <w:rFonts w:ascii="Arial Narrow" w:hAnsi="Arial Narrow"/>
          </w:rPr>
          <w:noBreakHyphen/>
          <w:t>8:</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Self-reported frequency of palliative medicine MBS item billing</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_Toc382313748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71</w:t>
        </w:r>
        <w:r w:rsidR="00B91A80" w:rsidRPr="004D4CFF">
          <w:rPr>
            <w:rFonts w:ascii="Arial Narrow" w:hAnsi="Arial Narrow"/>
            <w:webHidden/>
          </w:rPr>
          <w:fldChar w:fldCharType="end"/>
        </w:r>
      </w:hyperlink>
    </w:p>
    <w:p w14:paraId="31E4DB64"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49" w:history="1">
        <w:r w:rsidR="00B91A80" w:rsidRPr="004D4CFF">
          <w:rPr>
            <w:rStyle w:val="Hyperlink"/>
            <w:rFonts w:ascii="Arial Narrow" w:hAnsi="Arial Narrow"/>
          </w:rPr>
          <w:t>Figure 4</w:t>
        </w:r>
        <w:r w:rsidR="00B91A80" w:rsidRPr="004D4CFF">
          <w:rPr>
            <w:rStyle w:val="Hyperlink"/>
            <w:rFonts w:ascii="Arial Narrow" w:hAnsi="Arial Narrow"/>
          </w:rPr>
          <w:noBreakHyphen/>
          <w:t>9:</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specialist referrals per annum</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_Toc382313749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72</w:t>
        </w:r>
        <w:r w:rsidR="00B91A80" w:rsidRPr="004D4CFF">
          <w:rPr>
            <w:rFonts w:ascii="Arial Narrow" w:hAnsi="Arial Narrow"/>
            <w:webHidden/>
          </w:rPr>
          <w:fldChar w:fldCharType="end"/>
        </w:r>
      </w:hyperlink>
    </w:p>
    <w:p w14:paraId="33C16372"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0" w:history="1">
        <w:r w:rsidR="00B91A80" w:rsidRPr="004D4CFF">
          <w:rPr>
            <w:rStyle w:val="Hyperlink"/>
            <w:rFonts w:ascii="Arial Narrow" w:hAnsi="Arial Narrow"/>
          </w:rPr>
          <w:t>Figure 4</w:t>
        </w:r>
        <w:r w:rsidR="00B91A80" w:rsidRPr="004D4CFF">
          <w:rPr>
            <w:rStyle w:val="Hyperlink"/>
            <w:rFonts w:ascii="Arial Narrow" w:hAnsi="Arial Narrow"/>
          </w:rPr>
          <w:noBreakHyphen/>
          <w:t>10:</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specialist referrals per month</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_Toc382313750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73</w:t>
        </w:r>
        <w:r w:rsidR="00B91A80" w:rsidRPr="004D4CFF">
          <w:rPr>
            <w:rFonts w:ascii="Arial Narrow" w:hAnsi="Arial Narrow"/>
            <w:webHidden/>
          </w:rPr>
          <w:fldChar w:fldCharType="end"/>
        </w:r>
      </w:hyperlink>
    </w:p>
    <w:p w14:paraId="1D10D745"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1" w:history="1">
        <w:r w:rsidR="00B91A80" w:rsidRPr="004D4CFF">
          <w:rPr>
            <w:rStyle w:val="Hyperlink"/>
            <w:rFonts w:ascii="Arial Narrow" w:hAnsi="Arial Narrow"/>
          </w:rPr>
          <w:t>Figure 4</w:t>
        </w:r>
        <w:r w:rsidR="00B91A80" w:rsidRPr="004D4CFF">
          <w:rPr>
            <w:rStyle w:val="Hyperlink"/>
            <w:rFonts w:ascii="Arial Narrow" w:hAnsi="Arial Narrow"/>
          </w:rPr>
          <w:noBreakHyphen/>
          <w:t>11: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specialist referrals per week</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_Toc382313751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73</w:t>
        </w:r>
        <w:r w:rsidR="00B91A80" w:rsidRPr="004D4CFF">
          <w:rPr>
            <w:rFonts w:ascii="Arial Narrow" w:hAnsi="Arial Narrow"/>
            <w:webHidden/>
          </w:rPr>
          <w:fldChar w:fldCharType="end"/>
        </w:r>
      </w:hyperlink>
    </w:p>
    <w:p w14:paraId="2A1F3727"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2" w:history="1">
        <w:r w:rsidR="00B91A80" w:rsidRPr="004D4CFF">
          <w:rPr>
            <w:rStyle w:val="Hyperlink"/>
            <w:rFonts w:ascii="Arial Narrow" w:hAnsi="Arial Narrow"/>
          </w:rPr>
          <w:t>Figure 4</w:t>
        </w:r>
        <w:r w:rsidR="00B91A80" w:rsidRPr="004D4CFF">
          <w:rPr>
            <w:rStyle w:val="Hyperlink"/>
            <w:rFonts w:ascii="Arial Narrow" w:hAnsi="Arial Narrow"/>
          </w:rPr>
          <w:noBreakHyphen/>
          <w:t>12: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Number of specialist referrals per day</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_Toc382313752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74</w:t>
        </w:r>
        <w:r w:rsidR="00B91A80" w:rsidRPr="004D4CFF">
          <w:rPr>
            <w:rFonts w:ascii="Arial Narrow" w:hAnsi="Arial Narrow"/>
            <w:webHidden/>
          </w:rPr>
          <w:fldChar w:fldCharType="end"/>
        </w:r>
      </w:hyperlink>
    </w:p>
    <w:p w14:paraId="0A9398C8"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3" w:history="1">
        <w:r w:rsidR="00B91A80" w:rsidRPr="004D4CFF">
          <w:rPr>
            <w:rStyle w:val="Hyperlink"/>
            <w:rFonts w:ascii="Arial Narrow" w:hAnsi="Arial Narrow"/>
          </w:rPr>
          <w:t>Figure 4</w:t>
        </w:r>
        <w:r w:rsidR="00B91A80" w:rsidRPr="004D4CFF">
          <w:rPr>
            <w:rStyle w:val="Hyperlink"/>
            <w:rFonts w:ascii="Arial Narrow" w:hAnsi="Arial Narrow"/>
          </w:rPr>
          <w:noBreakHyphen/>
          <w:t>13: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Total MBS billing episodes per annum</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_Toc382313753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75</w:t>
        </w:r>
        <w:r w:rsidR="00B91A80" w:rsidRPr="004D4CFF">
          <w:rPr>
            <w:rFonts w:ascii="Arial Narrow" w:hAnsi="Arial Narrow"/>
            <w:webHidden/>
          </w:rPr>
          <w:fldChar w:fldCharType="end"/>
        </w:r>
      </w:hyperlink>
    </w:p>
    <w:p w14:paraId="5B58DA51"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4" w:history="1">
        <w:r w:rsidR="00B91A80" w:rsidRPr="004D4CFF">
          <w:rPr>
            <w:rStyle w:val="Hyperlink"/>
            <w:rFonts w:ascii="Arial Narrow" w:hAnsi="Arial Narrow"/>
          </w:rPr>
          <w:t>Figure 4</w:t>
        </w:r>
        <w:r w:rsidR="00B91A80" w:rsidRPr="004D4CFF">
          <w:rPr>
            <w:rStyle w:val="Hyperlink"/>
            <w:rFonts w:ascii="Arial Narrow" w:hAnsi="Arial Narrow"/>
          </w:rPr>
          <w:noBreakHyphen/>
          <w:t>14: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Average MBS billing episodes per day</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_Toc382313754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75</w:t>
        </w:r>
        <w:r w:rsidR="00B91A80" w:rsidRPr="004D4CFF">
          <w:rPr>
            <w:rFonts w:ascii="Arial Narrow" w:hAnsi="Arial Narrow"/>
            <w:webHidden/>
          </w:rPr>
          <w:fldChar w:fldCharType="end"/>
        </w:r>
      </w:hyperlink>
    </w:p>
    <w:p w14:paraId="7ABC2EF6"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5" w:history="1">
        <w:r w:rsidR="00B91A80" w:rsidRPr="004D4CFF">
          <w:rPr>
            <w:rStyle w:val="Hyperlink"/>
            <w:rFonts w:ascii="Arial Narrow" w:hAnsi="Arial Narrow"/>
          </w:rPr>
          <w:t>Figure 4</w:t>
        </w:r>
        <w:r w:rsidR="00B91A80" w:rsidRPr="004D4CFF">
          <w:rPr>
            <w:rStyle w:val="Hyperlink"/>
            <w:rFonts w:ascii="Arial Narrow" w:hAnsi="Arial Narrow"/>
          </w:rPr>
          <w:noBreakHyphen/>
          <w:t>15:</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Average days per week of MBS billing</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_Toc382313755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76</w:t>
        </w:r>
        <w:r w:rsidR="00B91A80" w:rsidRPr="004D4CFF">
          <w:rPr>
            <w:rFonts w:ascii="Arial Narrow" w:hAnsi="Arial Narrow"/>
            <w:webHidden/>
          </w:rPr>
          <w:fldChar w:fldCharType="end"/>
        </w:r>
      </w:hyperlink>
    </w:p>
    <w:p w14:paraId="206295E5" w14:textId="77777777" w:rsidR="00B91A80" w:rsidRPr="004D4CFF" w:rsidRDefault="001A071B" w:rsidP="004D4CFF">
      <w:pPr>
        <w:pStyle w:val="TableofFigures"/>
        <w:tabs>
          <w:tab w:val="left" w:pos="1134"/>
          <w:tab w:val="left" w:pos="1540"/>
        </w:tabs>
        <w:spacing w:before="120" w:line="240" w:lineRule="auto"/>
        <w:ind w:left="1134" w:hanging="1134"/>
        <w:rPr>
          <w:rFonts w:ascii="Arial Narrow" w:eastAsiaTheme="minorEastAsia" w:hAnsi="Arial Narrow" w:cstheme="minorBidi"/>
          <w:color w:val="auto"/>
          <w:szCs w:val="22"/>
          <w:lang w:eastAsia="en-AU"/>
        </w:rPr>
      </w:pPr>
      <w:hyperlink w:anchor="_Toc382313756" w:history="1">
        <w:r w:rsidR="00B91A80" w:rsidRPr="004D4CFF">
          <w:rPr>
            <w:rStyle w:val="Hyperlink"/>
            <w:rFonts w:ascii="Arial Narrow" w:hAnsi="Arial Narrow"/>
          </w:rPr>
          <w:t>Figure 4</w:t>
        </w:r>
        <w:r w:rsidR="00B91A80" w:rsidRPr="004D4CFF">
          <w:rPr>
            <w:rStyle w:val="Hyperlink"/>
            <w:rFonts w:ascii="Arial Narrow" w:hAnsi="Arial Narrow"/>
          </w:rPr>
          <w:noBreakHyphen/>
          <w:t>16:</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Average weeks per year of MBS billing</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_Toc382313756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76</w:t>
        </w:r>
        <w:r w:rsidR="00B91A80" w:rsidRPr="004D4CFF">
          <w:rPr>
            <w:rFonts w:ascii="Arial Narrow" w:hAnsi="Arial Narrow"/>
            <w:webHidden/>
          </w:rPr>
          <w:fldChar w:fldCharType="end"/>
        </w:r>
      </w:hyperlink>
    </w:p>
    <w:p w14:paraId="011D35B5"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57" w:history="1">
        <w:r w:rsidR="00B91A80" w:rsidRPr="004D4CFF">
          <w:rPr>
            <w:rStyle w:val="Hyperlink"/>
            <w:rFonts w:ascii="Arial Narrow" w:hAnsi="Arial Narrow"/>
          </w:rPr>
          <w:t>Figure 5</w:t>
        </w:r>
        <w:r w:rsidR="00B91A80" w:rsidRPr="004D4CFF">
          <w:rPr>
            <w:rStyle w:val="Hyperlink"/>
            <w:rFonts w:ascii="Arial Narrow" w:hAnsi="Arial Narrow"/>
          </w:rPr>
          <w:noBreakHyphen/>
          <w:t>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Proportion of standard and complex assessments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_Toc382313757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82</w:t>
        </w:r>
        <w:r w:rsidR="00B91A80" w:rsidRPr="004D4CFF">
          <w:rPr>
            <w:rFonts w:ascii="Arial Narrow" w:hAnsi="Arial Narrow"/>
            <w:webHidden/>
          </w:rPr>
          <w:fldChar w:fldCharType="end"/>
        </w:r>
      </w:hyperlink>
    </w:p>
    <w:p w14:paraId="58A2071E"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58" w:history="1">
        <w:r w:rsidR="00B91A80" w:rsidRPr="004D4CFF">
          <w:rPr>
            <w:rStyle w:val="Hyperlink"/>
            <w:rFonts w:ascii="Arial Narrow" w:hAnsi="Arial Narrow"/>
          </w:rPr>
          <w:t>Figure 5</w:t>
        </w:r>
        <w:r w:rsidR="00B91A80" w:rsidRPr="004D4CFF">
          <w:rPr>
            <w:rStyle w:val="Hyperlink"/>
            <w:rFonts w:ascii="Arial Narrow" w:hAnsi="Arial Narrow"/>
          </w:rPr>
          <w:noBreakHyphen/>
          <w:t>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Trends in the use of complex assessment items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_Toc382313758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83</w:t>
        </w:r>
        <w:r w:rsidR="00B91A80" w:rsidRPr="004D4CFF">
          <w:rPr>
            <w:rFonts w:ascii="Arial Narrow" w:hAnsi="Arial Narrow"/>
            <w:webHidden/>
          </w:rPr>
          <w:fldChar w:fldCharType="end"/>
        </w:r>
      </w:hyperlink>
    </w:p>
    <w:p w14:paraId="5AF7E3BD"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59" w:history="1">
        <w:r w:rsidR="00B91A80" w:rsidRPr="004D4CFF">
          <w:rPr>
            <w:rStyle w:val="Hyperlink"/>
            <w:rFonts w:ascii="Arial Narrow" w:hAnsi="Arial Narrow"/>
          </w:rPr>
          <w:t>Figure 5</w:t>
        </w:r>
        <w:r w:rsidR="00B91A80" w:rsidRPr="004D4CFF">
          <w:rPr>
            <w:rStyle w:val="Hyperlink"/>
            <w:rFonts w:ascii="Arial Narrow" w:hAnsi="Arial Narrow"/>
          </w:rPr>
          <w:noBreakHyphen/>
          <w:t>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MBS billing by GPs and palliative medicine specialists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_Toc382313759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84</w:t>
        </w:r>
        <w:r w:rsidR="00B91A80" w:rsidRPr="004D4CFF">
          <w:rPr>
            <w:rFonts w:ascii="Arial Narrow" w:hAnsi="Arial Narrow"/>
            <w:webHidden/>
          </w:rPr>
          <w:fldChar w:fldCharType="end"/>
        </w:r>
      </w:hyperlink>
    </w:p>
    <w:p w14:paraId="72E8A6CB"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0" w:history="1">
        <w:r w:rsidR="00B91A80" w:rsidRPr="004D4CFF">
          <w:rPr>
            <w:rStyle w:val="Hyperlink"/>
            <w:rFonts w:ascii="Arial Narrow" w:hAnsi="Arial Narrow"/>
          </w:rPr>
          <w:t>Figure 5</w:t>
        </w:r>
        <w:r w:rsidR="00B91A80" w:rsidRPr="004D4CFF">
          <w:rPr>
            <w:rStyle w:val="Hyperlink"/>
            <w:rFonts w:ascii="Arial Narrow" w:hAnsi="Arial Narrow"/>
          </w:rPr>
          <w:noBreakHyphen/>
          <w:t>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Assessment services –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_Toc382313760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87</w:t>
        </w:r>
        <w:r w:rsidR="00B91A80" w:rsidRPr="004D4CFF">
          <w:rPr>
            <w:rFonts w:ascii="Arial Narrow" w:hAnsi="Arial Narrow"/>
            <w:webHidden/>
          </w:rPr>
          <w:fldChar w:fldCharType="end"/>
        </w:r>
      </w:hyperlink>
    </w:p>
    <w:p w14:paraId="6253B17B" w14:textId="029187D8"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1" w:history="1">
        <w:r w:rsidR="00B91A80" w:rsidRPr="004D4CFF">
          <w:rPr>
            <w:rStyle w:val="Hyperlink"/>
            <w:rFonts w:ascii="Arial Narrow" w:hAnsi="Arial Narrow"/>
          </w:rPr>
          <w:t>Figure 5</w:t>
        </w:r>
        <w:r w:rsidR="00B91A80" w:rsidRPr="004D4CFF">
          <w:rPr>
            <w:rStyle w:val="Hyperlink"/>
            <w:rFonts w:ascii="Arial Narrow" w:hAnsi="Arial Narrow"/>
          </w:rPr>
          <w:noBreakHyphen/>
          <w:t xml:space="preserve">5: </w:t>
        </w:r>
        <w:r w:rsidR="004D4CFF">
          <w:rPr>
            <w:rStyle w:val="Hyperlink"/>
            <w:rFonts w:ascii="Arial Narrow" w:hAnsi="Arial Narrow"/>
          </w:rPr>
          <w:tab/>
        </w:r>
        <w:r w:rsidR="00B91A80" w:rsidRPr="004D4CFF">
          <w:rPr>
            <w:rStyle w:val="Hyperlink"/>
            <w:rFonts w:ascii="Arial Narrow" w:hAnsi="Arial Narrow"/>
          </w:rPr>
          <w:t>Treatment services -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_Toc382313761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88</w:t>
        </w:r>
        <w:r w:rsidR="00B91A80" w:rsidRPr="004D4CFF">
          <w:rPr>
            <w:rFonts w:ascii="Arial Narrow" w:hAnsi="Arial Narrow"/>
            <w:webHidden/>
          </w:rPr>
          <w:fldChar w:fldCharType="end"/>
        </w:r>
      </w:hyperlink>
    </w:p>
    <w:p w14:paraId="3FCC9F90"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2" w:history="1">
        <w:r w:rsidR="00B91A80" w:rsidRPr="004D4CFF">
          <w:rPr>
            <w:rStyle w:val="Hyperlink"/>
            <w:rFonts w:ascii="Arial Narrow" w:hAnsi="Arial Narrow"/>
          </w:rPr>
          <w:t>Figure 6</w:t>
        </w:r>
        <w:r w:rsidR="00B91A80" w:rsidRPr="004D4CFF">
          <w:rPr>
            <w:rStyle w:val="Hyperlink"/>
            <w:rFonts w:ascii="Arial Narrow" w:hAnsi="Arial Narrow"/>
          </w:rPr>
          <w:noBreakHyphen/>
          <w:t>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items for initial attendance including complex treatment and management planning</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_Toc382313762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91</w:t>
        </w:r>
        <w:r w:rsidR="00B91A80" w:rsidRPr="004D4CFF">
          <w:rPr>
            <w:rFonts w:ascii="Arial Narrow" w:hAnsi="Arial Narrow"/>
            <w:webHidden/>
          </w:rPr>
          <w:fldChar w:fldCharType="end"/>
        </w:r>
      </w:hyperlink>
    </w:p>
    <w:p w14:paraId="28123606"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3" w:history="1">
        <w:r w:rsidR="00B91A80" w:rsidRPr="004D4CFF">
          <w:rPr>
            <w:rStyle w:val="Hyperlink"/>
            <w:rFonts w:ascii="Arial Narrow" w:hAnsi="Arial Narrow"/>
          </w:rPr>
          <w:t>Figure 6</w:t>
        </w:r>
        <w:r w:rsidR="00B91A80" w:rsidRPr="004D4CFF">
          <w:rPr>
            <w:rStyle w:val="Hyperlink"/>
            <w:rFonts w:ascii="Arial Narrow" w:hAnsi="Arial Narrow"/>
          </w:rPr>
          <w:noBreakHyphen/>
          <w:t>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items descriptors for complex patients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_Toc382313763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92</w:t>
        </w:r>
        <w:r w:rsidR="00B91A80" w:rsidRPr="004D4CFF">
          <w:rPr>
            <w:rFonts w:ascii="Arial Narrow" w:hAnsi="Arial Narrow"/>
            <w:webHidden/>
          </w:rPr>
          <w:fldChar w:fldCharType="end"/>
        </w:r>
      </w:hyperlink>
    </w:p>
    <w:p w14:paraId="5DAF4E6F"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4" w:history="1">
        <w:r w:rsidR="00B91A80" w:rsidRPr="004D4CFF">
          <w:rPr>
            <w:rStyle w:val="Hyperlink"/>
            <w:rFonts w:ascii="Arial Narrow" w:hAnsi="Arial Narrow"/>
          </w:rPr>
          <w:t>Figure 6</w:t>
        </w:r>
        <w:r w:rsidR="00B91A80" w:rsidRPr="004D4CFF">
          <w:rPr>
            <w:rStyle w:val="Hyperlink"/>
            <w:rFonts w:ascii="Arial Narrow" w:hAnsi="Arial Narrow"/>
          </w:rPr>
          <w:noBreakHyphen/>
          <w:t>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structure for time-tiered assessment items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_Toc382313764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94</w:t>
        </w:r>
        <w:r w:rsidR="00B91A80" w:rsidRPr="004D4CFF">
          <w:rPr>
            <w:rFonts w:ascii="Arial Narrow" w:hAnsi="Arial Narrow"/>
            <w:webHidden/>
          </w:rPr>
          <w:fldChar w:fldCharType="end"/>
        </w:r>
      </w:hyperlink>
    </w:p>
    <w:p w14:paraId="2960D264"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5" w:history="1">
        <w:r w:rsidR="00B91A80" w:rsidRPr="004D4CFF">
          <w:rPr>
            <w:rStyle w:val="Hyperlink"/>
            <w:rFonts w:ascii="Arial Narrow" w:hAnsi="Arial Narrow"/>
          </w:rPr>
          <w:t>Figure 6</w:t>
        </w:r>
        <w:r w:rsidR="00B91A80" w:rsidRPr="004D4CFF">
          <w:rPr>
            <w:rStyle w:val="Hyperlink"/>
            <w:rFonts w:ascii="Arial Narrow" w:hAnsi="Arial Narrow"/>
          </w:rPr>
          <w:noBreakHyphen/>
          <w:t>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item descriptors for time-tiered assessments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_Toc382313765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95</w:t>
        </w:r>
        <w:r w:rsidR="00B91A80" w:rsidRPr="004D4CFF">
          <w:rPr>
            <w:rFonts w:ascii="Arial Narrow" w:hAnsi="Arial Narrow"/>
            <w:webHidden/>
          </w:rPr>
          <w:fldChar w:fldCharType="end"/>
        </w:r>
      </w:hyperlink>
    </w:p>
    <w:p w14:paraId="0274068C"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6" w:history="1">
        <w:r w:rsidR="00B91A80" w:rsidRPr="004D4CFF">
          <w:rPr>
            <w:rStyle w:val="Hyperlink"/>
            <w:rFonts w:ascii="Arial Narrow" w:hAnsi="Arial Narrow"/>
          </w:rPr>
          <w:t>Figure 6</w:t>
        </w:r>
        <w:r w:rsidR="00B91A80" w:rsidRPr="004D4CFF">
          <w:rPr>
            <w:rStyle w:val="Hyperlink"/>
            <w:rFonts w:ascii="Arial Narrow" w:hAnsi="Arial Narrow"/>
          </w:rPr>
          <w:noBreakHyphen/>
          <w:t>5:</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structure for time-tiered subsequent items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_Toc382313766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96</w:t>
        </w:r>
        <w:r w:rsidR="00B91A80" w:rsidRPr="004D4CFF">
          <w:rPr>
            <w:rFonts w:ascii="Arial Narrow" w:hAnsi="Arial Narrow"/>
            <w:webHidden/>
          </w:rPr>
          <w:fldChar w:fldCharType="end"/>
        </w:r>
      </w:hyperlink>
    </w:p>
    <w:p w14:paraId="382BCF86"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7" w:history="1">
        <w:r w:rsidR="00B91A80" w:rsidRPr="004D4CFF">
          <w:rPr>
            <w:rStyle w:val="Hyperlink"/>
            <w:rFonts w:ascii="Arial Narrow" w:hAnsi="Arial Narrow"/>
          </w:rPr>
          <w:t>Figure 6</w:t>
        </w:r>
        <w:r w:rsidR="00B91A80" w:rsidRPr="004D4CFF">
          <w:rPr>
            <w:rStyle w:val="Hyperlink"/>
            <w:rFonts w:ascii="Arial Narrow" w:hAnsi="Arial Narrow"/>
          </w:rPr>
          <w:noBreakHyphen/>
          <w:t>6:</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item descriptors for time-tiered subsequent consultations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_Toc382313767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96</w:t>
        </w:r>
        <w:r w:rsidR="00B91A80" w:rsidRPr="004D4CFF">
          <w:rPr>
            <w:rFonts w:ascii="Arial Narrow" w:hAnsi="Arial Narrow"/>
            <w:webHidden/>
          </w:rPr>
          <w:fldChar w:fldCharType="end"/>
        </w:r>
      </w:hyperlink>
    </w:p>
    <w:p w14:paraId="03C51709"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8" w:history="1">
        <w:r w:rsidR="00B91A80" w:rsidRPr="004D4CFF">
          <w:rPr>
            <w:rStyle w:val="Hyperlink"/>
            <w:rFonts w:ascii="Arial Narrow" w:hAnsi="Arial Narrow"/>
          </w:rPr>
          <w:t>Figure 6</w:t>
        </w:r>
        <w:r w:rsidR="00B91A80" w:rsidRPr="004D4CFF">
          <w:rPr>
            <w:rStyle w:val="Hyperlink"/>
            <w:rFonts w:ascii="Arial Narrow" w:hAnsi="Arial Narrow"/>
          </w:rPr>
          <w:noBreakHyphen/>
          <w:t>7:</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Proposed descriptors for residential care/home visits items</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_Toc382313768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98</w:t>
        </w:r>
        <w:r w:rsidR="00B91A80" w:rsidRPr="004D4CFF">
          <w:rPr>
            <w:rFonts w:ascii="Arial Narrow" w:hAnsi="Arial Narrow"/>
            <w:webHidden/>
          </w:rPr>
          <w:fldChar w:fldCharType="end"/>
        </w:r>
      </w:hyperlink>
    </w:p>
    <w:p w14:paraId="3B116619"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69" w:history="1">
        <w:r w:rsidR="00B91A80" w:rsidRPr="004D4CFF">
          <w:rPr>
            <w:rStyle w:val="Hyperlink"/>
            <w:rFonts w:ascii="Arial Narrow" w:hAnsi="Arial Narrow"/>
          </w:rPr>
          <w:t>Figure 7</w:t>
        </w:r>
        <w:r w:rsidR="00B91A80" w:rsidRPr="004D4CFF">
          <w:rPr>
            <w:rStyle w:val="Hyperlink"/>
            <w:rFonts w:ascii="Arial Narrow" w:hAnsi="Arial Narrow"/>
          </w:rPr>
          <w:noBreakHyphen/>
          <w:t>1:</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Assessment services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_Toc382313769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100</w:t>
        </w:r>
        <w:r w:rsidR="00B91A80" w:rsidRPr="004D4CFF">
          <w:rPr>
            <w:rFonts w:ascii="Arial Narrow" w:hAnsi="Arial Narrow"/>
            <w:webHidden/>
          </w:rPr>
          <w:fldChar w:fldCharType="end"/>
        </w:r>
      </w:hyperlink>
    </w:p>
    <w:p w14:paraId="25869EE8"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70" w:history="1">
        <w:r w:rsidR="00B91A80" w:rsidRPr="004D4CFF">
          <w:rPr>
            <w:rStyle w:val="Hyperlink"/>
            <w:rFonts w:ascii="Arial Narrow" w:hAnsi="Arial Narrow"/>
          </w:rPr>
          <w:t>Figure 7</w:t>
        </w:r>
        <w:r w:rsidR="00B91A80" w:rsidRPr="004D4CFF">
          <w:rPr>
            <w:rStyle w:val="Hyperlink"/>
            <w:rFonts w:ascii="Arial Narrow" w:hAnsi="Arial Narrow"/>
          </w:rPr>
          <w:noBreakHyphen/>
          <w:t>2:</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Treatment services –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_Toc382313770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101</w:t>
        </w:r>
        <w:r w:rsidR="00B91A80" w:rsidRPr="004D4CFF">
          <w:rPr>
            <w:rFonts w:ascii="Arial Narrow" w:hAnsi="Arial Narrow"/>
            <w:webHidden/>
          </w:rPr>
          <w:fldChar w:fldCharType="end"/>
        </w:r>
      </w:hyperlink>
    </w:p>
    <w:p w14:paraId="388AEB3F"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71" w:history="1">
        <w:r w:rsidR="00B91A80" w:rsidRPr="004D4CFF">
          <w:rPr>
            <w:rStyle w:val="Hyperlink"/>
            <w:rFonts w:ascii="Arial Narrow" w:hAnsi="Arial Narrow"/>
          </w:rPr>
          <w:t>Figure 7</w:t>
        </w:r>
        <w:r w:rsidR="00B91A80" w:rsidRPr="004D4CFF">
          <w:rPr>
            <w:rStyle w:val="Hyperlink"/>
            <w:rFonts w:ascii="Arial Narrow" w:hAnsi="Arial Narrow"/>
          </w:rPr>
          <w:noBreakHyphen/>
          <w:t>3:</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Assessment services –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_Toc382313771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103</w:t>
        </w:r>
        <w:r w:rsidR="00B91A80" w:rsidRPr="004D4CFF">
          <w:rPr>
            <w:rFonts w:ascii="Arial Narrow" w:hAnsi="Arial Narrow"/>
            <w:webHidden/>
          </w:rPr>
          <w:fldChar w:fldCharType="end"/>
        </w:r>
      </w:hyperlink>
    </w:p>
    <w:p w14:paraId="446F95DF"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72" w:history="1">
        <w:r w:rsidR="00B91A80" w:rsidRPr="004D4CFF">
          <w:rPr>
            <w:rStyle w:val="Hyperlink"/>
            <w:rFonts w:ascii="Arial Narrow" w:hAnsi="Arial Narrow"/>
          </w:rPr>
          <w:t>Figure 7</w:t>
        </w:r>
        <w:r w:rsidR="00B91A80" w:rsidRPr="004D4CFF">
          <w:rPr>
            <w:rStyle w:val="Hyperlink"/>
            <w:rFonts w:ascii="Arial Narrow" w:hAnsi="Arial Narrow"/>
          </w:rPr>
          <w:noBreakHyphen/>
          <w:t>4:</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Treatment services – average $ per service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_Toc382313772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103</w:t>
        </w:r>
        <w:r w:rsidR="00B91A80" w:rsidRPr="004D4CFF">
          <w:rPr>
            <w:rFonts w:ascii="Arial Narrow" w:hAnsi="Arial Narrow"/>
            <w:webHidden/>
          </w:rPr>
          <w:fldChar w:fldCharType="end"/>
        </w:r>
      </w:hyperlink>
    </w:p>
    <w:p w14:paraId="07D55884"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73" w:history="1">
        <w:r w:rsidR="00B91A80" w:rsidRPr="004D4CFF">
          <w:rPr>
            <w:rStyle w:val="Hyperlink"/>
            <w:rFonts w:ascii="Arial Narrow" w:hAnsi="Arial Narrow"/>
          </w:rPr>
          <w:t>Figure 7</w:t>
        </w:r>
        <w:r w:rsidR="00B91A80" w:rsidRPr="004D4CFF">
          <w:rPr>
            <w:rStyle w:val="Hyperlink"/>
            <w:rFonts w:ascii="Arial Narrow" w:hAnsi="Arial Narrow"/>
          </w:rPr>
          <w:noBreakHyphen/>
          <w:t>5:</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 xml:space="preserve"> Summary of options – specialist charges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_Toc382313773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105</w:t>
        </w:r>
        <w:r w:rsidR="00B91A80" w:rsidRPr="004D4CFF">
          <w:rPr>
            <w:rFonts w:ascii="Arial Narrow" w:hAnsi="Arial Narrow"/>
            <w:webHidden/>
          </w:rPr>
          <w:fldChar w:fldCharType="end"/>
        </w:r>
      </w:hyperlink>
    </w:p>
    <w:p w14:paraId="1EB184E4" w14:textId="77777777" w:rsidR="00B91A80" w:rsidRPr="004D4CFF" w:rsidRDefault="001A071B" w:rsidP="004D4CF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3774" w:history="1">
        <w:r w:rsidR="00B91A80" w:rsidRPr="004D4CFF">
          <w:rPr>
            <w:rStyle w:val="Hyperlink"/>
            <w:rFonts w:ascii="Arial Narrow" w:hAnsi="Arial Narrow"/>
          </w:rPr>
          <w:t>Figure 7</w:t>
        </w:r>
        <w:r w:rsidR="00B91A80" w:rsidRPr="004D4CFF">
          <w:rPr>
            <w:rStyle w:val="Hyperlink"/>
            <w:rFonts w:ascii="Arial Narrow" w:hAnsi="Arial Narrow"/>
          </w:rPr>
          <w:noBreakHyphen/>
          <w:t>6:</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 xml:space="preserve"> Summary of options – benefits paid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_Toc382313774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105</w:t>
        </w:r>
        <w:r w:rsidR="00B91A80" w:rsidRPr="004D4CFF">
          <w:rPr>
            <w:rFonts w:ascii="Arial Narrow" w:hAnsi="Arial Narrow"/>
            <w:webHidden/>
          </w:rPr>
          <w:fldChar w:fldCharType="end"/>
        </w:r>
      </w:hyperlink>
    </w:p>
    <w:p w14:paraId="1B43D681" w14:textId="77777777" w:rsidR="00B91A80" w:rsidRDefault="001A071B" w:rsidP="004D4CFF">
      <w:pPr>
        <w:pStyle w:val="TableofFigures"/>
        <w:tabs>
          <w:tab w:val="left" w:pos="1134"/>
        </w:tabs>
        <w:spacing w:before="120" w:line="240" w:lineRule="auto"/>
        <w:ind w:left="1134" w:hanging="1134"/>
        <w:rPr>
          <w:rFonts w:asciiTheme="minorHAnsi" w:eastAsiaTheme="minorEastAsia" w:hAnsiTheme="minorHAnsi" w:cstheme="minorBidi"/>
          <w:color w:val="auto"/>
          <w:szCs w:val="22"/>
          <w:lang w:eastAsia="en-AU"/>
        </w:rPr>
      </w:pPr>
      <w:hyperlink w:anchor="_Toc382313775" w:history="1">
        <w:r w:rsidR="00B91A80" w:rsidRPr="004D4CFF">
          <w:rPr>
            <w:rStyle w:val="Hyperlink"/>
            <w:rFonts w:ascii="Arial Narrow" w:hAnsi="Arial Narrow"/>
          </w:rPr>
          <w:t>Figure 7</w:t>
        </w:r>
        <w:r w:rsidR="00B91A80" w:rsidRPr="004D4CFF">
          <w:rPr>
            <w:rStyle w:val="Hyperlink"/>
            <w:rFonts w:ascii="Arial Narrow" w:hAnsi="Arial Narrow"/>
          </w:rPr>
          <w:noBreakHyphen/>
          <w:t>7:</w:t>
        </w:r>
        <w:r w:rsidR="00B91A80" w:rsidRPr="004D4CFF">
          <w:rPr>
            <w:rFonts w:ascii="Arial Narrow" w:eastAsiaTheme="minorEastAsia" w:hAnsi="Arial Narrow" w:cstheme="minorBidi"/>
            <w:color w:val="auto"/>
            <w:szCs w:val="22"/>
            <w:lang w:eastAsia="en-AU"/>
          </w:rPr>
          <w:tab/>
        </w:r>
        <w:r w:rsidR="00B91A80" w:rsidRPr="004D4CFF">
          <w:rPr>
            <w:rStyle w:val="Hyperlink"/>
            <w:rFonts w:ascii="Arial Narrow" w:hAnsi="Arial Narrow"/>
          </w:rPr>
          <w:t xml:space="preserve"> Summary of options – out-of-pockets by financial year</w:t>
        </w:r>
        <w:r w:rsidR="00B91A80" w:rsidRPr="004D4CFF">
          <w:rPr>
            <w:rFonts w:ascii="Arial Narrow" w:hAnsi="Arial Narrow"/>
            <w:webHidden/>
          </w:rPr>
          <w:tab/>
        </w:r>
        <w:r w:rsidR="00B91A80" w:rsidRPr="004D4CFF">
          <w:rPr>
            <w:rFonts w:ascii="Arial Narrow" w:hAnsi="Arial Narrow"/>
            <w:webHidden/>
          </w:rPr>
          <w:fldChar w:fldCharType="begin"/>
        </w:r>
        <w:r w:rsidR="00B91A80" w:rsidRPr="004D4CFF">
          <w:rPr>
            <w:rFonts w:ascii="Arial Narrow" w:hAnsi="Arial Narrow"/>
            <w:webHidden/>
          </w:rPr>
          <w:instrText xml:space="preserve"> PAGEREF _Toc382313775 \h </w:instrText>
        </w:r>
        <w:r w:rsidR="00B91A80" w:rsidRPr="004D4CFF">
          <w:rPr>
            <w:rFonts w:ascii="Arial Narrow" w:hAnsi="Arial Narrow"/>
            <w:webHidden/>
          </w:rPr>
        </w:r>
        <w:r w:rsidR="00B91A80" w:rsidRPr="004D4CFF">
          <w:rPr>
            <w:rFonts w:ascii="Arial Narrow" w:hAnsi="Arial Narrow"/>
            <w:webHidden/>
          </w:rPr>
          <w:fldChar w:fldCharType="separate"/>
        </w:r>
        <w:r w:rsidR="009C72FC">
          <w:rPr>
            <w:rFonts w:ascii="Arial Narrow" w:hAnsi="Arial Narrow"/>
            <w:webHidden/>
          </w:rPr>
          <w:t>106</w:t>
        </w:r>
        <w:r w:rsidR="00B91A80" w:rsidRPr="004D4CFF">
          <w:rPr>
            <w:rFonts w:ascii="Arial Narrow" w:hAnsi="Arial Narrow"/>
            <w:webHidden/>
          </w:rPr>
          <w:fldChar w:fldCharType="end"/>
        </w:r>
      </w:hyperlink>
    </w:p>
    <w:p w14:paraId="07D20A1D" w14:textId="7E4E976F" w:rsidR="00391218" w:rsidRDefault="00CB67AC" w:rsidP="004D4CFF">
      <w:pPr>
        <w:pStyle w:val="TableofFigures"/>
        <w:tabs>
          <w:tab w:val="left" w:pos="1134"/>
          <w:tab w:val="left" w:pos="1418"/>
        </w:tabs>
        <w:spacing w:before="120" w:line="240" w:lineRule="auto"/>
        <w:ind w:left="1418" w:hanging="1418"/>
        <w:rPr>
          <w:b/>
        </w:rPr>
      </w:pPr>
      <w:r w:rsidRPr="00A31FC7">
        <w:rPr>
          <w:rFonts w:ascii="Arial Narrow" w:hAnsi="Arial Narrow"/>
        </w:rPr>
        <w:fldChar w:fldCharType="end"/>
      </w:r>
    </w:p>
    <w:p w14:paraId="5C2812CF" w14:textId="24151142" w:rsidR="002167FD" w:rsidRPr="002167FD" w:rsidRDefault="00F86829">
      <w:pPr>
        <w:pStyle w:val="TableofFigures"/>
        <w:rPr>
          <w:b/>
          <w:sz w:val="28"/>
          <w:szCs w:val="28"/>
        </w:rPr>
      </w:pPr>
      <w:r w:rsidRPr="002167FD">
        <w:rPr>
          <w:b/>
          <w:sz w:val="28"/>
          <w:szCs w:val="28"/>
        </w:rPr>
        <w:t>Index of Tables</w:t>
      </w:r>
    </w:p>
    <w:p w14:paraId="7559BA90" w14:textId="77777777" w:rsidR="003F09AF" w:rsidRPr="003F09AF" w:rsidRDefault="00CB67AC"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r w:rsidRPr="003F09AF">
        <w:rPr>
          <w:rFonts w:ascii="Arial Narrow" w:hAnsi="Arial Narrow"/>
        </w:rPr>
        <w:fldChar w:fldCharType="begin"/>
      </w:r>
      <w:r w:rsidR="00F86829" w:rsidRPr="003F09AF">
        <w:rPr>
          <w:rFonts w:ascii="Arial Narrow" w:hAnsi="Arial Narrow"/>
        </w:rPr>
        <w:instrText xml:space="preserve"> TOC \h \z \c "Table" </w:instrText>
      </w:r>
      <w:r w:rsidRPr="003F09AF">
        <w:rPr>
          <w:rFonts w:ascii="Arial Narrow" w:hAnsi="Arial Narrow"/>
        </w:rPr>
        <w:fldChar w:fldCharType="separate"/>
      </w:r>
      <w:hyperlink w:anchor="_Toc382315611" w:history="1">
        <w:r w:rsidR="003F09AF" w:rsidRPr="003F09AF">
          <w:rPr>
            <w:rStyle w:val="Hyperlink"/>
            <w:rFonts w:ascii="Arial Narrow" w:hAnsi="Arial Narrow"/>
          </w:rPr>
          <w:t>Table 1</w:t>
        </w:r>
        <w:r w:rsidR="003F09AF" w:rsidRPr="003F09AF">
          <w:rPr>
            <w:rStyle w:val="Hyperlink"/>
            <w:rFonts w:ascii="Arial Narrow" w:hAnsi="Arial Narrow"/>
          </w:rPr>
          <w:noBreakHyphen/>
          <w:t>1:</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The financial/budgetary impacts of the proposed alternatives</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_Toc382315611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19</w:t>
        </w:r>
        <w:r w:rsidR="003F09AF" w:rsidRPr="003F09AF">
          <w:rPr>
            <w:rFonts w:ascii="Arial Narrow" w:hAnsi="Arial Narrow"/>
            <w:webHidden/>
          </w:rPr>
          <w:fldChar w:fldCharType="end"/>
        </w:r>
      </w:hyperlink>
    </w:p>
    <w:p w14:paraId="0E570EEA"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2" w:history="1">
        <w:r w:rsidR="003F09AF" w:rsidRPr="003F09AF">
          <w:rPr>
            <w:rStyle w:val="Hyperlink"/>
            <w:rFonts w:ascii="Arial Narrow" w:hAnsi="Arial Narrow"/>
          </w:rPr>
          <w:t>Table 1</w:t>
        </w:r>
        <w:r w:rsidR="003F09AF" w:rsidRPr="003F09AF">
          <w:rPr>
            <w:rStyle w:val="Hyperlink"/>
            <w:rFonts w:ascii="Arial Narrow" w:hAnsi="Arial Narrow"/>
          </w:rPr>
          <w:noBreakHyphen/>
          <w:t>2:</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Summary of item descriptors listed on Schedule A35 of the MBS currently available to palliative care specialists</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_Toc382315612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23</w:t>
        </w:r>
        <w:r w:rsidR="003F09AF" w:rsidRPr="003F09AF">
          <w:rPr>
            <w:rFonts w:ascii="Arial Narrow" w:hAnsi="Arial Narrow"/>
            <w:webHidden/>
          </w:rPr>
          <w:fldChar w:fldCharType="end"/>
        </w:r>
      </w:hyperlink>
    </w:p>
    <w:p w14:paraId="3CE3F05D"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3" w:history="1">
        <w:r w:rsidR="003F09AF" w:rsidRPr="003F09AF">
          <w:rPr>
            <w:rStyle w:val="Hyperlink"/>
            <w:rFonts w:ascii="Arial Narrow" w:hAnsi="Arial Narrow"/>
          </w:rPr>
          <w:t>Table 2</w:t>
        </w:r>
        <w:r w:rsidR="003F09AF" w:rsidRPr="003F09AF">
          <w:rPr>
            <w:rStyle w:val="Hyperlink"/>
            <w:rFonts w:ascii="Arial Narrow" w:hAnsi="Arial Narrow"/>
          </w:rPr>
          <w:noBreakHyphen/>
          <w:t>1:</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Major causes of death in Australia by body system and disease (2011)</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_Toc382315613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32</w:t>
        </w:r>
        <w:r w:rsidR="003F09AF" w:rsidRPr="003F09AF">
          <w:rPr>
            <w:rFonts w:ascii="Arial Narrow" w:hAnsi="Arial Narrow"/>
            <w:webHidden/>
          </w:rPr>
          <w:fldChar w:fldCharType="end"/>
        </w:r>
      </w:hyperlink>
    </w:p>
    <w:p w14:paraId="0F88F2F5"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4" w:history="1">
        <w:r w:rsidR="003F09AF" w:rsidRPr="003F09AF">
          <w:rPr>
            <w:rStyle w:val="Hyperlink"/>
            <w:rFonts w:ascii="Arial Narrow" w:hAnsi="Arial Narrow"/>
          </w:rPr>
          <w:t>Table 2</w:t>
        </w:r>
        <w:r w:rsidR="003F09AF" w:rsidRPr="003F09AF">
          <w:rPr>
            <w:rStyle w:val="Hyperlink"/>
            <w:rFonts w:ascii="Arial Narrow" w:hAnsi="Arial Narrow"/>
          </w:rPr>
          <w:noBreakHyphen/>
          <w:t>2:</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Potential referrals to palliative care for end of life management (2011)</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_Toc382315614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33</w:t>
        </w:r>
        <w:r w:rsidR="003F09AF" w:rsidRPr="003F09AF">
          <w:rPr>
            <w:rFonts w:ascii="Arial Narrow" w:hAnsi="Arial Narrow"/>
            <w:webHidden/>
          </w:rPr>
          <w:fldChar w:fldCharType="end"/>
        </w:r>
      </w:hyperlink>
    </w:p>
    <w:p w14:paraId="13DD6C4F"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5" w:history="1">
        <w:r w:rsidR="003F09AF" w:rsidRPr="003F09AF">
          <w:rPr>
            <w:rStyle w:val="Hyperlink"/>
            <w:rFonts w:ascii="Arial Narrow" w:hAnsi="Arial Narrow"/>
          </w:rPr>
          <w:t>Table 2</w:t>
        </w:r>
        <w:r w:rsidR="003F09AF" w:rsidRPr="003F09AF">
          <w:rPr>
            <w:rStyle w:val="Hyperlink"/>
            <w:rFonts w:ascii="Arial Narrow" w:hAnsi="Arial Narrow"/>
          </w:rPr>
          <w:noBreakHyphen/>
          <w:t>3:</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Classification of GP encounters for palliative care</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_Toc382315615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36</w:t>
        </w:r>
        <w:r w:rsidR="003F09AF" w:rsidRPr="003F09AF">
          <w:rPr>
            <w:rFonts w:ascii="Arial Narrow" w:hAnsi="Arial Narrow"/>
            <w:webHidden/>
          </w:rPr>
          <w:fldChar w:fldCharType="end"/>
        </w:r>
      </w:hyperlink>
    </w:p>
    <w:p w14:paraId="3090DB3B"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6" w:history="1">
        <w:r w:rsidR="003F09AF" w:rsidRPr="003F09AF">
          <w:rPr>
            <w:rStyle w:val="Hyperlink"/>
            <w:rFonts w:ascii="Arial Narrow" w:hAnsi="Arial Narrow"/>
          </w:rPr>
          <w:t>Table 2</w:t>
        </w:r>
        <w:r w:rsidR="003F09AF" w:rsidRPr="003F09AF">
          <w:rPr>
            <w:rStyle w:val="Hyperlink"/>
            <w:rFonts w:ascii="Arial Narrow" w:hAnsi="Arial Narrow"/>
          </w:rPr>
          <w:noBreakHyphen/>
          <w:t xml:space="preserve">4: </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Cost implications of increasing potentially avoidable palliative care deaths in hospital (2012-13 financial year estimates)</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_Toc382315616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51</w:t>
        </w:r>
        <w:r w:rsidR="003F09AF" w:rsidRPr="003F09AF">
          <w:rPr>
            <w:rFonts w:ascii="Arial Narrow" w:hAnsi="Arial Narrow"/>
            <w:webHidden/>
          </w:rPr>
          <w:fldChar w:fldCharType="end"/>
        </w:r>
      </w:hyperlink>
    </w:p>
    <w:p w14:paraId="403739AE"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7" w:history="1">
        <w:r w:rsidR="003F09AF" w:rsidRPr="003F09AF">
          <w:rPr>
            <w:rStyle w:val="Hyperlink"/>
            <w:rFonts w:ascii="Arial Narrow" w:hAnsi="Arial Narrow"/>
          </w:rPr>
          <w:t>Table 2</w:t>
        </w:r>
        <w:r w:rsidR="003F09AF" w:rsidRPr="003F09AF">
          <w:rPr>
            <w:rStyle w:val="Hyperlink"/>
            <w:rFonts w:ascii="Arial Narrow" w:hAnsi="Arial Narrow"/>
          </w:rPr>
          <w:noBreakHyphen/>
          <w:t>5:</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Variation in estimates of 'anticipated' deaths in Australia</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_Toc382315617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52</w:t>
        </w:r>
        <w:r w:rsidR="003F09AF" w:rsidRPr="003F09AF">
          <w:rPr>
            <w:rFonts w:ascii="Arial Narrow" w:hAnsi="Arial Narrow"/>
            <w:webHidden/>
          </w:rPr>
          <w:fldChar w:fldCharType="end"/>
        </w:r>
      </w:hyperlink>
    </w:p>
    <w:p w14:paraId="21AC9A7C"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8" w:history="1">
        <w:r w:rsidR="003F09AF" w:rsidRPr="003F09AF">
          <w:rPr>
            <w:rStyle w:val="Hyperlink"/>
            <w:rFonts w:ascii="Arial Narrow" w:hAnsi="Arial Narrow"/>
          </w:rPr>
          <w:t>Table 3</w:t>
        </w:r>
        <w:r w:rsidR="003F09AF" w:rsidRPr="003F09AF">
          <w:rPr>
            <w:rStyle w:val="Hyperlink"/>
            <w:rFonts w:ascii="Arial Narrow" w:hAnsi="Arial Narrow"/>
          </w:rPr>
          <w:noBreakHyphen/>
          <w:t>1:</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National standards for palliative care</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_Toc382315618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55</w:t>
        </w:r>
        <w:r w:rsidR="003F09AF" w:rsidRPr="003F09AF">
          <w:rPr>
            <w:rFonts w:ascii="Arial Narrow" w:hAnsi="Arial Narrow"/>
            <w:webHidden/>
          </w:rPr>
          <w:fldChar w:fldCharType="end"/>
        </w:r>
      </w:hyperlink>
    </w:p>
    <w:p w14:paraId="75AF4B74"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19" w:history="1">
        <w:r w:rsidR="003F09AF" w:rsidRPr="003F09AF">
          <w:rPr>
            <w:rStyle w:val="Hyperlink"/>
            <w:rFonts w:ascii="Arial Narrow" w:hAnsi="Arial Narrow"/>
          </w:rPr>
          <w:t>Table 5</w:t>
        </w:r>
        <w:r w:rsidR="003F09AF" w:rsidRPr="003F09AF">
          <w:rPr>
            <w:rStyle w:val="Hyperlink"/>
            <w:rFonts w:ascii="Arial Narrow" w:hAnsi="Arial Narrow"/>
          </w:rPr>
          <w:noBreakHyphen/>
          <w:t>1:</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Current MBS item numbers available to all palliative care specialists</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_Toc382315619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80</w:t>
        </w:r>
        <w:r w:rsidR="003F09AF" w:rsidRPr="003F09AF">
          <w:rPr>
            <w:rFonts w:ascii="Arial Narrow" w:hAnsi="Arial Narrow"/>
            <w:webHidden/>
          </w:rPr>
          <w:fldChar w:fldCharType="end"/>
        </w:r>
      </w:hyperlink>
    </w:p>
    <w:p w14:paraId="60EE9B1F"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0" w:history="1">
        <w:r w:rsidR="003F09AF" w:rsidRPr="003F09AF">
          <w:rPr>
            <w:rStyle w:val="Hyperlink"/>
            <w:rFonts w:ascii="Arial Narrow" w:hAnsi="Arial Narrow"/>
          </w:rPr>
          <w:t>Table 5</w:t>
        </w:r>
        <w:r w:rsidR="003F09AF" w:rsidRPr="003F09AF">
          <w:rPr>
            <w:rStyle w:val="Hyperlink"/>
            <w:rFonts w:ascii="Arial Narrow" w:hAnsi="Arial Narrow"/>
          </w:rPr>
          <w:noBreakHyphen/>
          <w:t>2:</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Additional fellowships held by specialists billing on the MBS</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_Toc382315620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81</w:t>
        </w:r>
        <w:r w:rsidR="003F09AF" w:rsidRPr="003F09AF">
          <w:rPr>
            <w:rFonts w:ascii="Arial Narrow" w:hAnsi="Arial Narrow"/>
            <w:webHidden/>
          </w:rPr>
          <w:fldChar w:fldCharType="end"/>
        </w:r>
      </w:hyperlink>
    </w:p>
    <w:p w14:paraId="3CC1E960"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1" w:history="1">
        <w:r w:rsidR="003F09AF" w:rsidRPr="003F09AF">
          <w:rPr>
            <w:rStyle w:val="Hyperlink"/>
            <w:rFonts w:ascii="Arial Narrow" w:hAnsi="Arial Narrow"/>
          </w:rPr>
          <w:t>Table 5</w:t>
        </w:r>
        <w:r w:rsidR="003F09AF" w:rsidRPr="003F09AF">
          <w:rPr>
            <w:rStyle w:val="Hyperlink"/>
            <w:rFonts w:ascii="Arial Narrow" w:hAnsi="Arial Narrow"/>
          </w:rPr>
          <w:noBreakHyphen/>
          <w:t>3:</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Summary of MBS billing data – palliative medicine</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_Toc382315621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85</w:t>
        </w:r>
        <w:r w:rsidR="003F09AF" w:rsidRPr="003F09AF">
          <w:rPr>
            <w:rFonts w:ascii="Arial Narrow" w:hAnsi="Arial Narrow"/>
            <w:webHidden/>
          </w:rPr>
          <w:fldChar w:fldCharType="end"/>
        </w:r>
      </w:hyperlink>
    </w:p>
    <w:p w14:paraId="7622DE0A"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2" w:history="1">
        <w:r w:rsidR="003F09AF" w:rsidRPr="003F09AF">
          <w:rPr>
            <w:rStyle w:val="Hyperlink"/>
            <w:rFonts w:ascii="Arial Narrow" w:hAnsi="Arial Narrow"/>
          </w:rPr>
          <w:t>Table 5</w:t>
        </w:r>
        <w:r w:rsidR="003F09AF" w:rsidRPr="003F09AF">
          <w:rPr>
            <w:rStyle w:val="Hyperlink"/>
            <w:rFonts w:ascii="Arial Narrow" w:hAnsi="Arial Narrow"/>
          </w:rPr>
          <w:noBreakHyphen/>
          <w:t>4:</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Summary of filtered MBS billing data – palliative medicine</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_Toc382315622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86</w:t>
        </w:r>
        <w:r w:rsidR="003F09AF" w:rsidRPr="003F09AF">
          <w:rPr>
            <w:rFonts w:ascii="Arial Narrow" w:hAnsi="Arial Narrow"/>
            <w:webHidden/>
          </w:rPr>
          <w:fldChar w:fldCharType="end"/>
        </w:r>
      </w:hyperlink>
    </w:p>
    <w:p w14:paraId="32AD217E"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3" w:history="1">
        <w:r w:rsidR="003F09AF" w:rsidRPr="003F09AF">
          <w:rPr>
            <w:rStyle w:val="Hyperlink"/>
            <w:rFonts w:ascii="Arial Narrow" w:hAnsi="Arial Narrow"/>
          </w:rPr>
          <w:t>Table 5</w:t>
        </w:r>
        <w:r w:rsidR="003F09AF" w:rsidRPr="003F09AF">
          <w:rPr>
            <w:rStyle w:val="Hyperlink"/>
            <w:rFonts w:ascii="Arial Narrow" w:hAnsi="Arial Narrow"/>
          </w:rPr>
          <w:noBreakHyphen/>
          <w:t>5:</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Estimated MBS billing data for total demand – palliative medicine</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_Toc382315623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86</w:t>
        </w:r>
        <w:r w:rsidR="003F09AF" w:rsidRPr="003F09AF">
          <w:rPr>
            <w:rFonts w:ascii="Arial Narrow" w:hAnsi="Arial Narrow"/>
            <w:webHidden/>
          </w:rPr>
          <w:fldChar w:fldCharType="end"/>
        </w:r>
      </w:hyperlink>
    </w:p>
    <w:p w14:paraId="36EA9BFE"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4" w:history="1">
        <w:r w:rsidR="003F09AF" w:rsidRPr="003F09AF">
          <w:rPr>
            <w:rStyle w:val="Hyperlink"/>
            <w:rFonts w:ascii="Arial Narrow" w:hAnsi="Arial Narrow"/>
          </w:rPr>
          <w:t>Table 5</w:t>
        </w:r>
        <w:r w:rsidR="003F09AF" w:rsidRPr="003F09AF">
          <w:rPr>
            <w:rStyle w:val="Hyperlink"/>
            <w:rFonts w:ascii="Arial Narrow" w:hAnsi="Arial Narrow"/>
          </w:rPr>
          <w:noBreakHyphen/>
          <w:t>6:</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Benefits paid by MBS item – 2009/10 to 2014/15</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_Toc382315624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87</w:t>
        </w:r>
        <w:r w:rsidR="003F09AF" w:rsidRPr="003F09AF">
          <w:rPr>
            <w:rFonts w:ascii="Arial Narrow" w:hAnsi="Arial Narrow"/>
            <w:webHidden/>
          </w:rPr>
          <w:fldChar w:fldCharType="end"/>
        </w:r>
      </w:hyperlink>
    </w:p>
    <w:p w14:paraId="616F221C"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5" w:history="1">
        <w:r w:rsidR="003F09AF" w:rsidRPr="003F09AF">
          <w:rPr>
            <w:rStyle w:val="Hyperlink"/>
            <w:rFonts w:ascii="Arial Narrow" w:hAnsi="Arial Narrow"/>
          </w:rPr>
          <w:t>Table 7</w:t>
        </w:r>
        <w:r w:rsidR="003F09AF" w:rsidRPr="003F09AF">
          <w:rPr>
            <w:rStyle w:val="Hyperlink"/>
            <w:rFonts w:ascii="Arial Narrow" w:hAnsi="Arial Narrow"/>
          </w:rPr>
          <w:noBreakHyphen/>
          <w:t>1:</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Physician equivalent compared to current volumes – 2012/13</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_Toc382315625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100</w:t>
        </w:r>
        <w:r w:rsidR="003F09AF" w:rsidRPr="003F09AF">
          <w:rPr>
            <w:rFonts w:ascii="Arial Narrow" w:hAnsi="Arial Narrow"/>
            <w:webHidden/>
          </w:rPr>
          <w:fldChar w:fldCharType="end"/>
        </w:r>
      </w:hyperlink>
    </w:p>
    <w:p w14:paraId="7F7C66E8"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6" w:history="1">
        <w:r w:rsidR="003F09AF" w:rsidRPr="003F09AF">
          <w:rPr>
            <w:rStyle w:val="Hyperlink"/>
            <w:rFonts w:ascii="Arial Narrow" w:hAnsi="Arial Narrow"/>
          </w:rPr>
          <w:t>Table 7</w:t>
        </w:r>
        <w:r w:rsidR="003F09AF" w:rsidRPr="003F09AF">
          <w:rPr>
            <w:rStyle w:val="Hyperlink"/>
            <w:rFonts w:ascii="Arial Narrow" w:hAnsi="Arial Narrow"/>
          </w:rPr>
          <w:noBreakHyphen/>
          <w:t>2:</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Physician equivalent rates – 2009/10 to 2014/15</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_Toc382315626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101</w:t>
        </w:r>
        <w:r w:rsidR="003F09AF" w:rsidRPr="003F09AF">
          <w:rPr>
            <w:rFonts w:ascii="Arial Narrow" w:hAnsi="Arial Narrow"/>
            <w:webHidden/>
          </w:rPr>
          <w:fldChar w:fldCharType="end"/>
        </w:r>
      </w:hyperlink>
    </w:p>
    <w:p w14:paraId="6284D135"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7" w:history="1">
        <w:r w:rsidR="003F09AF" w:rsidRPr="003F09AF">
          <w:rPr>
            <w:rStyle w:val="Hyperlink"/>
            <w:rFonts w:ascii="Arial Narrow" w:hAnsi="Arial Narrow"/>
          </w:rPr>
          <w:t>Table 7</w:t>
        </w:r>
        <w:r w:rsidR="003F09AF" w:rsidRPr="003F09AF">
          <w:rPr>
            <w:rStyle w:val="Hyperlink"/>
            <w:rFonts w:ascii="Arial Narrow" w:hAnsi="Arial Narrow"/>
          </w:rPr>
          <w:noBreakHyphen/>
          <w:t>3:</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Time-tiered distribution by time-tier</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_Toc382315627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102</w:t>
        </w:r>
        <w:r w:rsidR="003F09AF" w:rsidRPr="003F09AF">
          <w:rPr>
            <w:rFonts w:ascii="Arial Narrow" w:hAnsi="Arial Narrow"/>
            <w:webHidden/>
          </w:rPr>
          <w:fldChar w:fldCharType="end"/>
        </w:r>
      </w:hyperlink>
    </w:p>
    <w:p w14:paraId="1C5AD2EB"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8" w:history="1">
        <w:r w:rsidR="003F09AF" w:rsidRPr="003F09AF">
          <w:rPr>
            <w:rStyle w:val="Hyperlink"/>
            <w:rFonts w:ascii="Arial Narrow" w:hAnsi="Arial Narrow"/>
          </w:rPr>
          <w:t>Table 7</w:t>
        </w:r>
        <w:r w:rsidR="003F09AF" w:rsidRPr="003F09AF">
          <w:rPr>
            <w:rStyle w:val="Hyperlink"/>
            <w:rFonts w:ascii="Arial Narrow" w:hAnsi="Arial Narrow"/>
          </w:rPr>
          <w:noBreakHyphen/>
          <w:t>4:</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Comparison by item</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_Toc382315628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102</w:t>
        </w:r>
        <w:r w:rsidR="003F09AF" w:rsidRPr="003F09AF">
          <w:rPr>
            <w:rFonts w:ascii="Arial Narrow" w:hAnsi="Arial Narrow"/>
            <w:webHidden/>
          </w:rPr>
          <w:fldChar w:fldCharType="end"/>
        </w:r>
      </w:hyperlink>
    </w:p>
    <w:p w14:paraId="635A5417"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29" w:history="1">
        <w:r w:rsidR="003F09AF" w:rsidRPr="003F09AF">
          <w:rPr>
            <w:rStyle w:val="Hyperlink"/>
            <w:rFonts w:ascii="Arial Narrow" w:hAnsi="Arial Narrow"/>
          </w:rPr>
          <w:t>Table 7</w:t>
        </w:r>
        <w:r w:rsidR="003F09AF" w:rsidRPr="003F09AF">
          <w:rPr>
            <w:rStyle w:val="Hyperlink"/>
            <w:rFonts w:ascii="Arial Narrow" w:hAnsi="Arial Narrow"/>
          </w:rPr>
          <w:noBreakHyphen/>
          <w:t>5:</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Time-tiered rates – 2009/10 to 2014/15</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_Toc382315629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104</w:t>
        </w:r>
        <w:r w:rsidR="003F09AF" w:rsidRPr="003F09AF">
          <w:rPr>
            <w:rFonts w:ascii="Arial Narrow" w:hAnsi="Arial Narrow"/>
            <w:webHidden/>
          </w:rPr>
          <w:fldChar w:fldCharType="end"/>
        </w:r>
      </w:hyperlink>
    </w:p>
    <w:p w14:paraId="1B58E494"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30" w:history="1">
        <w:r w:rsidR="003F09AF" w:rsidRPr="003F09AF">
          <w:rPr>
            <w:rStyle w:val="Hyperlink"/>
            <w:rFonts w:ascii="Arial Narrow" w:hAnsi="Arial Narrow"/>
          </w:rPr>
          <w:t>Table 7</w:t>
        </w:r>
        <w:r w:rsidR="003F09AF" w:rsidRPr="003F09AF">
          <w:rPr>
            <w:rStyle w:val="Hyperlink"/>
            <w:rFonts w:ascii="Arial Narrow" w:hAnsi="Arial Narrow"/>
          </w:rPr>
          <w:noBreakHyphen/>
          <w:t>6:</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Notional cost savings under a physician equivalent MBS scenario</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_Toc382315630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107</w:t>
        </w:r>
        <w:r w:rsidR="003F09AF" w:rsidRPr="003F09AF">
          <w:rPr>
            <w:rFonts w:ascii="Arial Narrow" w:hAnsi="Arial Narrow"/>
            <w:webHidden/>
          </w:rPr>
          <w:fldChar w:fldCharType="end"/>
        </w:r>
      </w:hyperlink>
    </w:p>
    <w:p w14:paraId="3C45BCA9" w14:textId="77777777" w:rsidR="003F09AF" w:rsidRPr="003F09AF" w:rsidRDefault="001A071B" w:rsidP="003F09AF">
      <w:pPr>
        <w:pStyle w:val="TableofFigures"/>
        <w:tabs>
          <w:tab w:val="left" w:pos="1134"/>
        </w:tabs>
        <w:spacing w:before="120" w:line="240" w:lineRule="auto"/>
        <w:ind w:left="1134" w:hanging="1134"/>
        <w:rPr>
          <w:rFonts w:ascii="Arial Narrow" w:eastAsiaTheme="minorEastAsia" w:hAnsi="Arial Narrow" w:cstheme="minorBidi"/>
          <w:color w:val="auto"/>
          <w:szCs w:val="22"/>
          <w:lang w:eastAsia="en-AU"/>
        </w:rPr>
      </w:pPr>
      <w:hyperlink w:anchor="_Toc382315631" w:history="1">
        <w:r w:rsidR="003F09AF" w:rsidRPr="003F09AF">
          <w:rPr>
            <w:rStyle w:val="Hyperlink"/>
            <w:rFonts w:ascii="Arial Narrow" w:hAnsi="Arial Narrow"/>
          </w:rPr>
          <w:t>Table 7</w:t>
        </w:r>
        <w:r w:rsidR="003F09AF" w:rsidRPr="003F09AF">
          <w:rPr>
            <w:rStyle w:val="Hyperlink"/>
            <w:rFonts w:ascii="Arial Narrow" w:hAnsi="Arial Narrow"/>
          </w:rPr>
          <w:noBreakHyphen/>
          <w:t>7:</w:t>
        </w:r>
        <w:r w:rsidR="003F09AF" w:rsidRPr="003F09AF">
          <w:rPr>
            <w:rFonts w:ascii="Arial Narrow" w:eastAsiaTheme="minorEastAsia" w:hAnsi="Arial Narrow" w:cstheme="minorBidi"/>
            <w:color w:val="auto"/>
            <w:szCs w:val="22"/>
            <w:lang w:eastAsia="en-AU"/>
          </w:rPr>
          <w:tab/>
        </w:r>
        <w:r w:rsidR="003F09AF" w:rsidRPr="003F09AF">
          <w:rPr>
            <w:rStyle w:val="Hyperlink"/>
            <w:rFonts w:ascii="Arial Narrow" w:hAnsi="Arial Narrow"/>
          </w:rPr>
          <w:t>Notional cost savings under a time-tiered MBS scenario</w:t>
        </w:r>
        <w:r w:rsidR="003F09AF" w:rsidRPr="003F09AF">
          <w:rPr>
            <w:rFonts w:ascii="Arial Narrow" w:hAnsi="Arial Narrow"/>
            <w:webHidden/>
          </w:rPr>
          <w:tab/>
        </w:r>
        <w:r w:rsidR="003F09AF" w:rsidRPr="003F09AF">
          <w:rPr>
            <w:rFonts w:ascii="Arial Narrow" w:hAnsi="Arial Narrow"/>
            <w:webHidden/>
          </w:rPr>
          <w:fldChar w:fldCharType="begin"/>
        </w:r>
        <w:r w:rsidR="003F09AF" w:rsidRPr="003F09AF">
          <w:rPr>
            <w:rFonts w:ascii="Arial Narrow" w:hAnsi="Arial Narrow"/>
            <w:webHidden/>
          </w:rPr>
          <w:instrText xml:space="preserve"> PAGEREF _Toc382315631 \h </w:instrText>
        </w:r>
        <w:r w:rsidR="003F09AF" w:rsidRPr="003F09AF">
          <w:rPr>
            <w:rFonts w:ascii="Arial Narrow" w:hAnsi="Arial Narrow"/>
            <w:webHidden/>
          </w:rPr>
        </w:r>
        <w:r w:rsidR="003F09AF" w:rsidRPr="003F09AF">
          <w:rPr>
            <w:rFonts w:ascii="Arial Narrow" w:hAnsi="Arial Narrow"/>
            <w:webHidden/>
          </w:rPr>
          <w:fldChar w:fldCharType="separate"/>
        </w:r>
        <w:r w:rsidR="009C72FC">
          <w:rPr>
            <w:rFonts w:ascii="Arial Narrow" w:hAnsi="Arial Narrow"/>
            <w:webHidden/>
          </w:rPr>
          <w:t>108</w:t>
        </w:r>
        <w:r w:rsidR="003F09AF" w:rsidRPr="003F09AF">
          <w:rPr>
            <w:rFonts w:ascii="Arial Narrow" w:hAnsi="Arial Narrow"/>
            <w:webHidden/>
          </w:rPr>
          <w:fldChar w:fldCharType="end"/>
        </w:r>
      </w:hyperlink>
    </w:p>
    <w:p w14:paraId="27ED2D4B" w14:textId="77777777" w:rsidR="00550623" w:rsidRPr="00F23EAC" w:rsidRDefault="00CB67AC" w:rsidP="003F09AF">
      <w:pPr>
        <w:pStyle w:val="TableofFigures"/>
        <w:tabs>
          <w:tab w:val="left" w:pos="1134"/>
        </w:tabs>
        <w:spacing w:before="120" w:line="240" w:lineRule="auto"/>
        <w:ind w:left="1134" w:hanging="1134"/>
        <w:rPr>
          <w:rFonts w:ascii="Arial Narrow" w:hAnsi="Arial Narrow"/>
        </w:rPr>
      </w:pPr>
      <w:r w:rsidRPr="003F09AF">
        <w:rPr>
          <w:rFonts w:ascii="Arial Narrow" w:hAnsi="Arial Narrow"/>
        </w:rPr>
        <w:fldChar w:fldCharType="end"/>
      </w:r>
    </w:p>
    <w:p w14:paraId="50EF631F" w14:textId="77777777" w:rsidR="00AE3430" w:rsidRDefault="00F86829" w:rsidP="00AE3430">
      <w:pPr>
        <w:pStyle w:val="AspexAbbreviationsheading"/>
      </w:pPr>
      <w:bookmarkStart w:id="1" w:name="_Toc164935829"/>
      <w:bookmarkStart w:id="2" w:name="_Toc382313778"/>
      <w:r>
        <w:lastRenderedPageBreak/>
        <w:t>List of Abbreviations</w:t>
      </w:r>
      <w:bookmarkEnd w:id="1"/>
      <w:bookmarkEnd w:id="2"/>
    </w:p>
    <w:p w14:paraId="0ABA840A" w14:textId="4E275A92" w:rsidR="00C12CC0" w:rsidRPr="00125729" w:rsidRDefault="00C12CC0" w:rsidP="00711653">
      <w:pPr>
        <w:pStyle w:val="AspexAbbreviations"/>
        <w:tabs>
          <w:tab w:val="clear" w:pos="1418"/>
          <w:tab w:val="left" w:pos="1560"/>
        </w:tabs>
        <w:ind w:left="1560" w:hanging="1560"/>
        <w:rPr>
          <w:rFonts w:ascii="Arial Narrow" w:hAnsi="Arial Narrow"/>
        </w:rPr>
      </w:pPr>
      <w:proofErr w:type="spellStart"/>
      <w:r w:rsidRPr="00125729">
        <w:rPr>
          <w:rFonts w:ascii="Arial Narrow" w:hAnsi="Arial Narrow"/>
        </w:rPr>
        <w:t>AChPM</w:t>
      </w:r>
      <w:proofErr w:type="spellEnd"/>
      <w:r w:rsidRPr="00125729">
        <w:rPr>
          <w:rFonts w:ascii="Arial Narrow" w:hAnsi="Arial Narrow"/>
        </w:rPr>
        <w:tab/>
        <w:t xml:space="preserve">Australasian Chapter of </w:t>
      </w:r>
      <w:r w:rsidR="0081173A" w:rsidRPr="00125729">
        <w:rPr>
          <w:rFonts w:ascii="Arial Narrow" w:hAnsi="Arial Narrow"/>
        </w:rPr>
        <w:t xml:space="preserve">Palliative </w:t>
      </w:r>
      <w:r w:rsidR="002A2727" w:rsidRPr="00125729">
        <w:rPr>
          <w:rFonts w:ascii="Arial Narrow" w:hAnsi="Arial Narrow"/>
        </w:rPr>
        <w:t>M</w:t>
      </w:r>
      <w:r w:rsidR="00184320" w:rsidRPr="00125729">
        <w:rPr>
          <w:rFonts w:ascii="Arial Narrow" w:hAnsi="Arial Narrow"/>
        </w:rPr>
        <w:t>edicine</w:t>
      </w:r>
    </w:p>
    <w:p w14:paraId="30683D10" w14:textId="77777777" w:rsidR="00AE343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AIHW</w:t>
      </w:r>
      <w:r w:rsidR="00A66B66" w:rsidRPr="00125729">
        <w:rPr>
          <w:rFonts w:ascii="Arial Narrow" w:hAnsi="Arial Narrow"/>
        </w:rPr>
        <w:tab/>
      </w:r>
      <w:r w:rsidRPr="00125729">
        <w:rPr>
          <w:rFonts w:ascii="Arial Narrow" w:hAnsi="Arial Narrow"/>
        </w:rPr>
        <w:t>Australian Institute of Health and Welfare</w:t>
      </w:r>
    </w:p>
    <w:p w14:paraId="29FB68F4"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AMC</w:t>
      </w:r>
      <w:r w:rsidRPr="00125729">
        <w:rPr>
          <w:rFonts w:ascii="Arial Narrow" w:hAnsi="Arial Narrow"/>
        </w:rPr>
        <w:tab/>
        <w:t>Australian Medical Council</w:t>
      </w:r>
    </w:p>
    <w:p w14:paraId="2CF61FD3"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ANZCA</w:t>
      </w:r>
      <w:r w:rsidRPr="00125729">
        <w:rPr>
          <w:rFonts w:ascii="Arial Narrow" w:hAnsi="Arial Narrow"/>
        </w:rPr>
        <w:tab/>
        <w:t xml:space="preserve">Australian &amp; New Zealand College of Anaesthetists </w:t>
      </w:r>
    </w:p>
    <w:p w14:paraId="792FAA8E"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ANZSPM</w:t>
      </w:r>
      <w:r w:rsidRPr="00125729">
        <w:rPr>
          <w:rFonts w:ascii="Arial Narrow" w:hAnsi="Arial Narrow"/>
        </w:rPr>
        <w:tab/>
        <w:t>Australian &amp; New Zealand Society of Palliative Medicine</w:t>
      </w:r>
    </w:p>
    <w:p w14:paraId="34AEFFAD"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BEACH</w:t>
      </w:r>
      <w:r w:rsidRPr="00125729">
        <w:rPr>
          <w:rFonts w:ascii="Arial Narrow" w:hAnsi="Arial Narrow"/>
        </w:rPr>
        <w:tab/>
        <w:t>Bettering the Evaluation and Care of Health</w:t>
      </w:r>
    </w:p>
    <w:p w14:paraId="38934D84" w14:textId="77777777" w:rsidR="00A66B66"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CHF</w:t>
      </w:r>
      <w:r w:rsidR="00A66B66" w:rsidRPr="00125729">
        <w:rPr>
          <w:rFonts w:ascii="Arial Narrow" w:hAnsi="Arial Narrow"/>
        </w:rPr>
        <w:tab/>
      </w:r>
      <w:r w:rsidRPr="00125729">
        <w:rPr>
          <w:rFonts w:ascii="Arial Narrow" w:hAnsi="Arial Narrow"/>
        </w:rPr>
        <w:t>Congestive Heart Failure</w:t>
      </w:r>
    </w:p>
    <w:p w14:paraId="0611873D" w14:textId="77777777" w:rsidR="000B470D" w:rsidRPr="00125729" w:rsidRDefault="000B470D" w:rsidP="008C58E5">
      <w:pPr>
        <w:pStyle w:val="AspexAbbreviations"/>
        <w:tabs>
          <w:tab w:val="clear" w:pos="1418"/>
          <w:tab w:val="left" w:pos="1560"/>
        </w:tabs>
        <w:ind w:left="1560" w:hanging="1560"/>
        <w:rPr>
          <w:rFonts w:ascii="Arial Narrow" w:hAnsi="Arial Narrow"/>
        </w:rPr>
      </w:pPr>
      <w:r w:rsidRPr="00125729">
        <w:rPr>
          <w:rFonts w:ascii="Arial Narrow" w:hAnsi="Arial Narrow"/>
        </w:rPr>
        <w:t>CI</w:t>
      </w:r>
      <w:r w:rsidRPr="00125729">
        <w:rPr>
          <w:rFonts w:ascii="Arial Narrow" w:hAnsi="Arial Narrow"/>
        </w:rPr>
        <w:tab/>
        <w:t>Confidence Interval</w:t>
      </w:r>
    </w:p>
    <w:p w14:paraId="697DF12B"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CICM</w:t>
      </w:r>
      <w:r w:rsidRPr="00125729">
        <w:rPr>
          <w:rFonts w:ascii="Arial Narrow" w:hAnsi="Arial Narrow"/>
        </w:rPr>
        <w:tab/>
        <w:t>College of Intensive Care Medicine</w:t>
      </w:r>
    </w:p>
    <w:p w14:paraId="1F99FFCD"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COPD</w:t>
      </w:r>
      <w:r w:rsidRPr="00125729">
        <w:rPr>
          <w:rFonts w:ascii="Arial Narrow" w:hAnsi="Arial Narrow"/>
        </w:rPr>
        <w:tab/>
        <w:t>Chronic Obstructive Pulmonary Disease</w:t>
      </w:r>
    </w:p>
    <w:p w14:paraId="71F714A4"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CPMEC</w:t>
      </w:r>
      <w:r w:rsidRPr="00125729">
        <w:rPr>
          <w:rFonts w:ascii="Arial Narrow" w:hAnsi="Arial Narrow"/>
        </w:rPr>
        <w:tab/>
        <w:t>Confederation of Postgraduate Medical Councils</w:t>
      </w:r>
    </w:p>
    <w:p w14:paraId="2EDFC81F"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CPD</w:t>
      </w:r>
      <w:r w:rsidRPr="00125729">
        <w:rPr>
          <w:rFonts w:ascii="Arial Narrow" w:hAnsi="Arial Narrow"/>
        </w:rPr>
        <w:tab/>
        <w:t>Continuous Professional Development</w:t>
      </w:r>
    </w:p>
    <w:p w14:paraId="5A0D2081"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CT</w:t>
      </w:r>
      <w:r w:rsidRPr="00125729">
        <w:rPr>
          <w:rFonts w:ascii="Arial Narrow" w:hAnsi="Arial Narrow"/>
        </w:rPr>
        <w:tab/>
        <w:t>Computer Tomography</w:t>
      </w:r>
    </w:p>
    <w:p w14:paraId="44A4ED7F" w14:textId="77777777" w:rsidR="000B470D" w:rsidRPr="00125729" w:rsidRDefault="000B470D" w:rsidP="008C58E5">
      <w:pPr>
        <w:pStyle w:val="AspexAbbreviations"/>
        <w:tabs>
          <w:tab w:val="clear" w:pos="1418"/>
          <w:tab w:val="left" w:pos="1560"/>
        </w:tabs>
        <w:ind w:left="1560" w:hanging="1560"/>
        <w:rPr>
          <w:rFonts w:ascii="Arial Narrow" w:hAnsi="Arial Narrow"/>
        </w:rPr>
      </w:pPr>
      <w:r w:rsidRPr="00125729">
        <w:rPr>
          <w:rFonts w:ascii="Arial Narrow" w:hAnsi="Arial Narrow"/>
        </w:rPr>
        <w:t>DAP</w:t>
      </w:r>
      <w:r w:rsidRPr="00125729">
        <w:rPr>
          <w:rFonts w:ascii="Arial Narrow" w:hAnsi="Arial Narrow"/>
        </w:rPr>
        <w:tab/>
        <w:t>Decision Analytic Protocol</w:t>
      </w:r>
    </w:p>
    <w:p w14:paraId="06380BEA" w14:textId="7164595D"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DoHA</w:t>
      </w:r>
      <w:r w:rsidRPr="00125729">
        <w:rPr>
          <w:rFonts w:ascii="Arial Narrow" w:hAnsi="Arial Narrow"/>
        </w:rPr>
        <w:tab/>
        <w:t xml:space="preserve">Department of Health and Ageing (now </w:t>
      </w:r>
      <w:r w:rsidR="003B174C" w:rsidRPr="00125729">
        <w:rPr>
          <w:rFonts w:ascii="Arial Narrow" w:hAnsi="Arial Narrow"/>
        </w:rPr>
        <w:t xml:space="preserve">Australian Government </w:t>
      </w:r>
      <w:r w:rsidRPr="00125729">
        <w:rPr>
          <w:rFonts w:ascii="Arial Narrow" w:hAnsi="Arial Narrow"/>
        </w:rPr>
        <w:t>Department of Health)</w:t>
      </w:r>
    </w:p>
    <w:p w14:paraId="677D8FFD" w14:textId="5709BDB7" w:rsidR="00175613" w:rsidRPr="00125729" w:rsidRDefault="00175613" w:rsidP="00711653">
      <w:pPr>
        <w:pStyle w:val="AspexAbbreviations"/>
        <w:tabs>
          <w:tab w:val="clear" w:pos="1418"/>
          <w:tab w:val="left" w:pos="1560"/>
        </w:tabs>
        <w:ind w:left="1560" w:hanging="1560"/>
        <w:rPr>
          <w:rFonts w:ascii="Arial Narrow" w:hAnsi="Arial Narrow"/>
        </w:rPr>
      </w:pPr>
      <w:r w:rsidRPr="00125729">
        <w:rPr>
          <w:rFonts w:ascii="Arial Narrow" w:hAnsi="Arial Narrow"/>
        </w:rPr>
        <w:t>EMSN</w:t>
      </w:r>
      <w:r w:rsidRPr="00125729">
        <w:rPr>
          <w:rFonts w:ascii="Arial Narrow" w:hAnsi="Arial Narrow"/>
        </w:rPr>
        <w:tab/>
        <w:t>Extended Medicare Safety Net</w:t>
      </w:r>
    </w:p>
    <w:p w14:paraId="2F2DBD44"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FACRRM</w:t>
      </w:r>
      <w:r w:rsidRPr="00125729">
        <w:rPr>
          <w:rFonts w:ascii="Arial Narrow" w:hAnsi="Arial Narrow"/>
        </w:rPr>
        <w:tab/>
        <w:t>Fellowship of the Australasian College of Rural and Remote Medicine</w:t>
      </w:r>
    </w:p>
    <w:p w14:paraId="08C2A875"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FAFRM</w:t>
      </w:r>
      <w:r w:rsidRPr="00125729">
        <w:rPr>
          <w:rFonts w:ascii="Arial Narrow" w:hAnsi="Arial Narrow"/>
        </w:rPr>
        <w:tab/>
        <w:t>Fellowship of the Australasian Faculty of Rehabilitation Medicine </w:t>
      </w:r>
    </w:p>
    <w:p w14:paraId="2EC5404F" w14:textId="77777777" w:rsidR="005C6203" w:rsidRPr="00125729" w:rsidRDefault="005C6203" w:rsidP="008C58E5">
      <w:pPr>
        <w:pStyle w:val="AspexAbbreviations"/>
        <w:tabs>
          <w:tab w:val="clear" w:pos="1418"/>
          <w:tab w:val="left" w:pos="1560"/>
        </w:tabs>
        <w:ind w:left="1560" w:hanging="1560"/>
        <w:rPr>
          <w:rFonts w:ascii="Arial Narrow" w:hAnsi="Arial Narrow"/>
        </w:rPr>
      </w:pPr>
      <w:r w:rsidRPr="00125729">
        <w:rPr>
          <w:rFonts w:ascii="Arial Narrow" w:hAnsi="Arial Narrow"/>
        </w:rPr>
        <w:t>FFPMANZCA</w:t>
      </w:r>
      <w:r w:rsidRPr="00125729">
        <w:rPr>
          <w:rFonts w:ascii="Arial Narrow" w:hAnsi="Arial Narrow"/>
        </w:rPr>
        <w:tab/>
        <w:t>Fellowship of the Faculty of Pain Medicine, Australian and New Zealand College of Anaesthetists</w:t>
      </w:r>
    </w:p>
    <w:p w14:paraId="6040EC31"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FRACP</w:t>
      </w:r>
      <w:r w:rsidRPr="00125729">
        <w:rPr>
          <w:rFonts w:ascii="Arial Narrow" w:hAnsi="Arial Narrow"/>
        </w:rPr>
        <w:tab/>
      </w:r>
      <w:r w:rsidR="005C6203" w:rsidRPr="00125729">
        <w:rPr>
          <w:rFonts w:ascii="Arial Narrow" w:hAnsi="Arial Narrow"/>
        </w:rPr>
        <w:t xml:space="preserve">Fellowship </w:t>
      </w:r>
      <w:r w:rsidRPr="00125729">
        <w:rPr>
          <w:rFonts w:ascii="Arial Narrow" w:hAnsi="Arial Narrow"/>
        </w:rPr>
        <w:t>of the Royal Australasian College of Physicians</w:t>
      </w:r>
    </w:p>
    <w:p w14:paraId="35B1F74E" w14:textId="77777777" w:rsidR="005C6203"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FRACS</w:t>
      </w:r>
      <w:r w:rsidRPr="00125729">
        <w:rPr>
          <w:rFonts w:ascii="Arial Narrow" w:hAnsi="Arial Narrow"/>
        </w:rPr>
        <w:tab/>
        <w:t>Fellowship of the Royal Australasian College of Surgeons</w:t>
      </w:r>
    </w:p>
    <w:p w14:paraId="07694D92" w14:textId="77777777" w:rsidR="005C6203" w:rsidRPr="00125729" w:rsidRDefault="005C6203" w:rsidP="008C58E5">
      <w:pPr>
        <w:pStyle w:val="AspexAbbreviations"/>
        <w:tabs>
          <w:tab w:val="clear" w:pos="1418"/>
          <w:tab w:val="left" w:pos="1560"/>
        </w:tabs>
        <w:ind w:left="1560" w:hanging="1560"/>
        <w:rPr>
          <w:rFonts w:ascii="Arial Narrow" w:hAnsi="Arial Narrow"/>
        </w:rPr>
      </w:pPr>
      <w:r w:rsidRPr="00125729">
        <w:rPr>
          <w:rFonts w:ascii="Arial Narrow" w:hAnsi="Arial Narrow"/>
        </w:rPr>
        <w:t>FRANZCOG</w:t>
      </w:r>
      <w:r w:rsidRPr="00125729">
        <w:rPr>
          <w:rFonts w:ascii="Arial Narrow" w:hAnsi="Arial Narrow"/>
        </w:rPr>
        <w:tab/>
        <w:t>Fellowship of the Royal Australian &amp; New Zealand College of Obstetricians and Gynaecologists</w:t>
      </w:r>
    </w:p>
    <w:p w14:paraId="6DD19288" w14:textId="77777777" w:rsidR="005C6203" w:rsidRPr="00125729" w:rsidRDefault="00721588" w:rsidP="00711653">
      <w:pPr>
        <w:pStyle w:val="AspexAbbreviations"/>
        <w:tabs>
          <w:tab w:val="clear" w:pos="1418"/>
          <w:tab w:val="left" w:pos="1560"/>
        </w:tabs>
        <w:ind w:left="1560" w:hanging="1560"/>
        <w:rPr>
          <w:rFonts w:ascii="Arial Narrow" w:hAnsi="Arial Narrow"/>
        </w:rPr>
      </w:pPr>
      <w:r w:rsidRPr="00125729">
        <w:rPr>
          <w:rFonts w:ascii="Arial Narrow" w:hAnsi="Arial Narrow"/>
        </w:rPr>
        <w:t>FRANZCP</w:t>
      </w:r>
      <w:r w:rsidR="005C6203" w:rsidRPr="00125729">
        <w:rPr>
          <w:rFonts w:ascii="Arial Narrow" w:hAnsi="Arial Narrow"/>
        </w:rPr>
        <w:tab/>
        <w:t>Fellowship of the Royal Australian and New Zealand College of Psychiatrists</w:t>
      </w:r>
    </w:p>
    <w:p w14:paraId="1BEF69F6" w14:textId="77777777" w:rsidR="00721588" w:rsidRPr="00125729" w:rsidRDefault="005C6203" w:rsidP="00711653">
      <w:pPr>
        <w:pStyle w:val="AspexAbbreviations"/>
        <w:tabs>
          <w:tab w:val="clear" w:pos="1418"/>
          <w:tab w:val="left" w:pos="1560"/>
        </w:tabs>
        <w:ind w:left="1560" w:hanging="1560"/>
        <w:rPr>
          <w:rFonts w:ascii="Arial Narrow" w:hAnsi="Arial Narrow"/>
        </w:rPr>
      </w:pPr>
      <w:r w:rsidRPr="00125729">
        <w:rPr>
          <w:rFonts w:ascii="Arial Narrow" w:hAnsi="Arial Narrow"/>
        </w:rPr>
        <w:t>FRNZCGP</w:t>
      </w:r>
      <w:r w:rsidRPr="00125729">
        <w:rPr>
          <w:rFonts w:ascii="Arial Narrow" w:hAnsi="Arial Narrow"/>
        </w:rPr>
        <w:tab/>
        <w:t>Fellowship of the Royal New Zealand College of General Practitioners</w:t>
      </w:r>
    </w:p>
    <w:p w14:paraId="4AC0D443" w14:textId="77777777" w:rsidR="00721588" w:rsidRPr="00125729" w:rsidRDefault="00721588" w:rsidP="00711653">
      <w:pPr>
        <w:pStyle w:val="AspexAbbreviations"/>
        <w:tabs>
          <w:tab w:val="clear" w:pos="1418"/>
          <w:tab w:val="left" w:pos="1560"/>
        </w:tabs>
        <w:ind w:left="1560" w:hanging="1560"/>
        <w:rPr>
          <w:rFonts w:ascii="Arial Narrow" w:hAnsi="Arial Narrow"/>
        </w:rPr>
      </w:pPr>
      <w:r w:rsidRPr="00125729">
        <w:rPr>
          <w:rFonts w:ascii="Arial Narrow" w:hAnsi="Arial Narrow"/>
        </w:rPr>
        <w:lastRenderedPageBreak/>
        <w:t xml:space="preserve">FRANZCR </w:t>
      </w:r>
      <w:r w:rsidRPr="00125729">
        <w:rPr>
          <w:rFonts w:ascii="Arial Narrow" w:hAnsi="Arial Narrow"/>
        </w:rPr>
        <w:tab/>
        <w:t>Fellowship of the Royal Australian and New Zealand College of Radiologists</w:t>
      </w:r>
    </w:p>
    <w:p w14:paraId="629BFCA2"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FTE</w:t>
      </w:r>
      <w:r w:rsidRPr="00125729">
        <w:rPr>
          <w:rFonts w:ascii="Arial Narrow" w:hAnsi="Arial Narrow"/>
        </w:rPr>
        <w:tab/>
        <w:t>Full Time Equivalent</w:t>
      </w:r>
    </w:p>
    <w:p w14:paraId="1537BB14" w14:textId="77777777" w:rsidR="00721588" w:rsidRPr="00125729" w:rsidRDefault="00721588" w:rsidP="00711653">
      <w:pPr>
        <w:pStyle w:val="AspexAbbreviations"/>
        <w:tabs>
          <w:tab w:val="clear" w:pos="1418"/>
          <w:tab w:val="left" w:pos="1560"/>
        </w:tabs>
        <w:ind w:left="1560" w:hanging="1560"/>
        <w:rPr>
          <w:rFonts w:ascii="Arial Narrow" w:hAnsi="Arial Narrow"/>
        </w:rPr>
      </w:pPr>
      <w:r w:rsidRPr="00125729">
        <w:rPr>
          <w:rFonts w:ascii="Arial Narrow" w:hAnsi="Arial Narrow"/>
        </w:rPr>
        <w:t>FY</w:t>
      </w:r>
      <w:r w:rsidRPr="00125729">
        <w:rPr>
          <w:rFonts w:ascii="Arial Narrow" w:hAnsi="Arial Narrow"/>
        </w:rPr>
        <w:tab/>
        <w:t>Financial Year</w:t>
      </w:r>
    </w:p>
    <w:p w14:paraId="1610BB25" w14:textId="56CA74E5"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GP</w:t>
      </w:r>
      <w:r w:rsidRPr="00125729">
        <w:rPr>
          <w:rFonts w:ascii="Arial Narrow" w:hAnsi="Arial Narrow"/>
        </w:rPr>
        <w:tab/>
        <w:t>General Practitioner</w:t>
      </w:r>
      <w:r w:rsidR="0058583D" w:rsidRPr="00125729">
        <w:rPr>
          <w:rFonts w:ascii="Arial Narrow" w:hAnsi="Arial Narrow"/>
        </w:rPr>
        <w:t xml:space="preserve"> </w:t>
      </w:r>
    </w:p>
    <w:p w14:paraId="1AE83BDB" w14:textId="2FF35793"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HIV/AIDS</w:t>
      </w:r>
      <w:r w:rsidRPr="00125729">
        <w:rPr>
          <w:rFonts w:ascii="Arial Narrow" w:hAnsi="Arial Narrow"/>
        </w:rPr>
        <w:tab/>
        <w:t>Human Immunodeficiency Virus/Acquired Immune Deficiency Syndrome</w:t>
      </w:r>
    </w:p>
    <w:p w14:paraId="5A4D09FD" w14:textId="77777777" w:rsidR="00C12CC0"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ICD</w:t>
      </w:r>
      <w:r w:rsidRPr="00125729">
        <w:rPr>
          <w:rFonts w:ascii="Arial Narrow" w:hAnsi="Arial Narrow"/>
        </w:rPr>
        <w:tab/>
        <w:t>International Classification of Diseases</w:t>
      </w:r>
    </w:p>
    <w:p w14:paraId="4C9A5BEC" w14:textId="58C543A6" w:rsidR="0089486E" w:rsidRDefault="0089486E" w:rsidP="00711653">
      <w:pPr>
        <w:pStyle w:val="AspexAbbreviations"/>
        <w:tabs>
          <w:tab w:val="clear" w:pos="1418"/>
          <w:tab w:val="left" w:pos="1560"/>
        </w:tabs>
        <w:ind w:left="1560" w:hanging="1560"/>
        <w:rPr>
          <w:rFonts w:ascii="Arial Narrow" w:hAnsi="Arial Narrow"/>
        </w:rPr>
      </w:pPr>
      <w:r>
        <w:rPr>
          <w:rFonts w:ascii="Arial Narrow" w:hAnsi="Arial Narrow"/>
        </w:rPr>
        <w:t>LCI</w:t>
      </w:r>
      <w:r>
        <w:rPr>
          <w:rFonts w:ascii="Arial Narrow" w:hAnsi="Arial Narrow"/>
        </w:rPr>
        <w:tab/>
        <w:t>Lower Confidence Interval</w:t>
      </w:r>
    </w:p>
    <w:p w14:paraId="62394B77" w14:textId="4B10FB7B" w:rsidR="0089486E" w:rsidRPr="00125729" w:rsidRDefault="0089486E" w:rsidP="00711653">
      <w:pPr>
        <w:pStyle w:val="AspexAbbreviations"/>
        <w:tabs>
          <w:tab w:val="clear" w:pos="1418"/>
          <w:tab w:val="left" w:pos="1560"/>
        </w:tabs>
        <w:ind w:left="1560" w:hanging="1560"/>
        <w:rPr>
          <w:rFonts w:ascii="Arial Narrow" w:hAnsi="Arial Narrow"/>
        </w:rPr>
      </w:pPr>
      <w:r>
        <w:rPr>
          <w:rFonts w:ascii="Arial Narrow" w:hAnsi="Arial Narrow"/>
        </w:rPr>
        <w:t>LPI</w:t>
      </w:r>
      <w:r>
        <w:rPr>
          <w:rFonts w:ascii="Arial Narrow" w:hAnsi="Arial Narrow"/>
        </w:rPr>
        <w:tab/>
        <w:t>Lower Prediction Interval</w:t>
      </w:r>
    </w:p>
    <w:p w14:paraId="5885090C"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MBS</w:t>
      </w:r>
      <w:r w:rsidRPr="00125729">
        <w:rPr>
          <w:rFonts w:ascii="Arial Narrow" w:hAnsi="Arial Narrow"/>
        </w:rPr>
        <w:tab/>
        <w:t>Medicare Benefits Schedule</w:t>
      </w:r>
    </w:p>
    <w:p w14:paraId="02B8FEE9"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MET</w:t>
      </w:r>
      <w:r w:rsidRPr="00125729">
        <w:rPr>
          <w:rFonts w:ascii="Arial Narrow" w:hAnsi="Arial Narrow"/>
        </w:rPr>
        <w:tab/>
        <w:t>Medical Emergency Team</w:t>
      </w:r>
    </w:p>
    <w:p w14:paraId="0E17D331" w14:textId="77777777" w:rsidR="000B470D" w:rsidRPr="00125729" w:rsidRDefault="000B470D" w:rsidP="008C58E5">
      <w:pPr>
        <w:pStyle w:val="AspexAbbreviations"/>
        <w:tabs>
          <w:tab w:val="clear" w:pos="1418"/>
          <w:tab w:val="left" w:pos="1560"/>
        </w:tabs>
        <w:ind w:left="1560" w:hanging="1560"/>
        <w:rPr>
          <w:rFonts w:ascii="Arial Narrow" w:hAnsi="Arial Narrow"/>
        </w:rPr>
      </w:pPr>
      <w:r w:rsidRPr="00125729">
        <w:rPr>
          <w:rFonts w:ascii="Arial Narrow" w:hAnsi="Arial Narrow"/>
        </w:rPr>
        <w:t>MND</w:t>
      </w:r>
      <w:r w:rsidRPr="00125729">
        <w:rPr>
          <w:rFonts w:ascii="Arial Narrow" w:hAnsi="Arial Narrow"/>
        </w:rPr>
        <w:tab/>
        <w:t>Motor Neurone Disease</w:t>
      </w:r>
    </w:p>
    <w:p w14:paraId="430DA82A"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MRI</w:t>
      </w:r>
      <w:r w:rsidRPr="00125729">
        <w:rPr>
          <w:rFonts w:ascii="Arial Narrow" w:hAnsi="Arial Narrow"/>
        </w:rPr>
        <w:tab/>
        <w:t>Magnetic Resonance Imaging</w:t>
      </w:r>
    </w:p>
    <w:p w14:paraId="7DF927EC" w14:textId="77777777" w:rsidR="00A66B66" w:rsidRPr="00125729" w:rsidRDefault="00407C32" w:rsidP="00711653">
      <w:pPr>
        <w:pStyle w:val="AspexAbbreviations"/>
        <w:tabs>
          <w:tab w:val="clear" w:pos="1418"/>
          <w:tab w:val="left" w:pos="1560"/>
        </w:tabs>
        <w:ind w:left="1560" w:hanging="1560"/>
        <w:rPr>
          <w:rFonts w:ascii="Arial Narrow" w:hAnsi="Arial Narrow"/>
        </w:rPr>
      </w:pPr>
      <w:r w:rsidRPr="00125729">
        <w:rPr>
          <w:rFonts w:ascii="Arial Narrow" w:hAnsi="Arial Narrow"/>
        </w:rPr>
        <w:t>MSAC</w:t>
      </w:r>
      <w:r w:rsidR="00A66B66" w:rsidRPr="00125729">
        <w:rPr>
          <w:rFonts w:ascii="Arial Narrow" w:hAnsi="Arial Narrow"/>
        </w:rPr>
        <w:tab/>
      </w:r>
      <w:r w:rsidRPr="00125729">
        <w:rPr>
          <w:rFonts w:ascii="Arial Narrow" w:hAnsi="Arial Narrow"/>
        </w:rPr>
        <w:t>Medical Services Advisory Committee</w:t>
      </w:r>
    </w:p>
    <w:p w14:paraId="31C5334E" w14:textId="754E0E2D" w:rsidR="003B174C" w:rsidRPr="00125729" w:rsidRDefault="003B174C" w:rsidP="00711653">
      <w:pPr>
        <w:pStyle w:val="AspexAbbreviations"/>
        <w:tabs>
          <w:tab w:val="clear" w:pos="1418"/>
          <w:tab w:val="left" w:pos="1560"/>
        </w:tabs>
        <w:ind w:left="1560" w:hanging="1560"/>
        <w:rPr>
          <w:rFonts w:ascii="Arial Narrow" w:hAnsi="Arial Narrow"/>
        </w:rPr>
      </w:pPr>
      <w:r w:rsidRPr="00125729">
        <w:rPr>
          <w:rFonts w:ascii="Arial Narrow" w:hAnsi="Arial Narrow"/>
        </w:rPr>
        <w:t>MSN</w:t>
      </w:r>
      <w:r w:rsidRPr="00125729">
        <w:rPr>
          <w:rFonts w:ascii="Arial Narrow" w:hAnsi="Arial Narrow"/>
        </w:rPr>
        <w:tab/>
        <w:t>Medicare Safety Net</w:t>
      </w:r>
    </w:p>
    <w:p w14:paraId="5A7D92AD"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NHDD</w:t>
      </w:r>
      <w:r w:rsidRPr="00125729">
        <w:rPr>
          <w:rFonts w:ascii="Arial Narrow" w:hAnsi="Arial Narrow"/>
        </w:rPr>
        <w:tab/>
        <w:t>National Health Data Dictionary</w:t>
      </w:r>
    </w:p>
    <w:p w14:paraId="1E70E020"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NHMRC</w:t>
      </w:r>
      <w:r w:rsidRPr="00125729">
        <w:rPr>
          <w:rFonts w:ascii="Arial Narrow" w:hAnsi="Arial Narrow"/>
        </w:rPr>
        <w:tab/>
        <w:t>National Health and Medical Research Council</w:t>
      </w:r>
    </w:p>
    <w:p w14:paraId="6B52E6F7" w14:textId="77777777" w:rsidR="008E17AE" w:rsidRPr="00125729" w:rsidRDefault="008E17AE" w:rsidP="00711653">
      <w:pPr>
        <w:pStyle w:val="AspexAbbreviations"/>
        <w:tabs>
          <w:tab w:val="clear" w:pos="1418"/>
          <w:tab w:val="left" w:pos="1560"/>
        </w:tabs>
        <w:ind w:left="1560" w:hanging="1560"/>
        <w:rPr>
          <w:rFonts w:ascii="Arial Narrow" w:hAnsi="Arial Narrow"/>
        </w:rPr>
      </w:pPr>
      <w:r w:rsidRPr="00125729">
        <w:rPr>
          <w:rFonts w:ascii="Arial Narrow" w:hAnsi="Arial Narrow"/>
        </w:rPr>
        <w:t>PCA</w:t>
      </w:r>
      <w:r w:rsidRPr="00125729">
        <w:rPr>
          <w:rFonts w:ascii="Arial Narrow" w:hAnsi="Arial Narrow"/>
        </w:rPr>
        <w:tab/>
        <w:t>Palliative Care Australia</w:t>
      </w:r>
    </w:p>
    <w:p w14:paraId="66738C89" w14:textId="77777777" w:rsidR="00A66B66"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PCOC</w:t>
      </w:r>
      <w:r w:rsidR="00A66B66" w:rsidRPr="00125729">
        <w:rPr>
          <w:rFonts w:ascii="Arial Narrow" w:hAnsi="Arial Narrow"/>
        </w:rPr>
        <w:tab/>
      </w:r>
      <w:r w:rsidRPr="00125729">
        <w:rPr>
          <w:rFonts w:ascii="Arial Narrow" w:hAnsi="Arial Narrow"/>
        </w:rPr>
        <w:t>Palliative Care Outcomes Collaboration</w:t>
      </w:r>
    </w:p>
    <w:p w14:paraId="79E358E1" w14:textId="77777777" w:rsidR="00C12CC0" w:rsidRPr="00125729" w:rsidRDefault="00C12CC0" w:rsidP="00711653">
      <w:pPr>
        <w:pStyle w:val="AspexAbbreviations"/>
        <w:tabs>
          <w:tab w:val="clear" w:pos="1418"/>
          <w:tab w:val="left" w:pos="1560"/>
        </w:tabs>
        <w:ind w:left="1560" w:hanging="1560"/>
        <w:rPr>
          <w:rFonts w:ascii="Arial Narrow" w:hAnsi="Arial Narrow"/>
        </w:rPr>
      </w:pPr>
      <w:r w:rsidRPr="00125729">
        <w:rPr>
          <w:rFonts w:ascii="Arial Narrow" w:hAnsi="Arial Narrow"/>
        </w:rPr>
        <w:t>RACP</w:t>
      </w:r>
      <w:r w:rsidRPr="00125729">
        <w:rPr>
          <w:rFonts w:ascii="Arial Narrow" w:hAnsi="Arial Narrow"/>
        </w:rPr>
        <w:tab/>
        <w:t>Royal Australasian College of Physicians</w:t>
      </w:r>
    </w:p>
    <w:p w14:paraId="24243F40" w14:textId="0960B695" w:rsidR="00175613" w:rsidRPr="00125729" w:rsidRDefault="00175613" w:rsidP="003B174C">
      <w:pPr>
        <w:pStyle w:val="AspexAbbreviations"/>
        <w:tabs>
          <w:tab w:val="clear" w:pos="1418"/>
          <w:tab w:val="left" w:pos="1560"/>
        </w:tabs>
        <w:ind w:left="1560" w:hanging="1560"/>
        <w:rPr>
          <w:rFonts w:ascii="Arial Narrow" w:hAnsi="Arial Narrow"/>
        </w:rPr>
      </w:pPr>
      <w:r w:rsidRPr="00125729">
        <w:rPr>
          <w:rFonts w:ascii="Arial Narrow" w:hAnsi="Arial Narrow"/>
        </w:rPr>
        <w:t>TGA</w:t>
      </w:r>
      <w:r w:rsidR="003B174C" w:rsidRPr="00125729">
        <w:rPr>
          <w:rFonts w:ascii="Arial Narrow" w:hAnsi="Arial Narrow"/>
        </w:rPr>
        <w:tab/>
        <w:t>Therapeutic Goods Administration</w:t>
      </w:r>
    </w:p>
    <w:p w14:paraId="21D5AC45" w14:textId="77777777" w:rsidR="000B470D" w:rsidRDefault="000B470D" w:rsidP="008C58E5">
      <w:pPr>
        <w:pStyle w:val="AspexAbbreviations"/>
        <w:tabs>
          <w:tab w:val="clear" w:pos="1418"/>
          <w:tab w:val="left" w:pos="1560"/>
        </w:tabs>
        <w:ind w:left="1560" w:hanging="1560"/>
        <w:rPr>
          <w:rFonts w:ascii="Arial Narrow" w:hAnsi="Arial Narrow"/>
        </w:rPr>
      </w:pPr>
      <w:r w:rsidRPr="00125729">
        <w:rPr>
          <w:rFonts w:ascii="Arial Narrow" w:hAnsi="Arial Narrow"/>
        </w:rPr>
        <w:t>UK</w:t>
      </w:r>
      <w:r w:rsidRPr="00125729">
        <w:rPr>
          <w:rFonts w:ascii="Arial Narrow" w:hAnsi="Arial Narrow"/>
        </w:rPr>
        <w:tab/>
        <w:t>United Kingdom</w:t>
      </w:r>
    </w:p>
    <w:p w14:paraId="66B2063F" w14:textId="56A68071" w:rsidR="0089486E" w:rsidRDefault="0089486E" w:rsidP="008C58E5">
      <w:pPr>
        <w:pStyle w:val="AspexAbbreviations"/>
        <w:tabs>
          <w:tab w:val="clear" w:pos="1418"/>
          <w:tab w:val="left" w:pos="1560"/>
        </w:tabs>
        <w:ind w:left="1560" w:hanging="1560"/>
        <w:rPr>
          <w:rFonts w:ascii="Arial Narrow" w:hAnsi="Arial Narrow"/>
        </w:rPr>
      </w:pPr>
      <w:r>
        <w:rPr>
          <w:rFonts w:ascii="Arial Narrow" w:hAnsi="Arial Narrow"/>
        </w:rPr>
        <w:t>UCI</w:t>
      </w:r>
      <w:r>
        <w:rPr>
          <w:rFonts w:ascii="Arial Narrow" w:hAnsi="Arial Narrow"/>
        </w:rPr>
        <w:tab/>
        <w:t>Upper Confidence Interval</w:t>
      </w:r>
    </w:p>
    <w:p w14:paraId="658C830F" w14:textId="5A8CCD6F" w:rsidR="0089486E" w:rsidRPr="00125729" w:rsidRDefault="0089486E" w:rsidP="008C58E5">
      <w:pPr>
        <w:pStyle w:val="AspexAbbreviations"/>
        <w:tabs>
          <w:tab w:val="clear" w:pos="1418"/>
          <w:tab w:val="left" w:pos="1560"/>
        </w:tabs>
        <w:ind w:left="1560" w:hanging="1560"/>
        <w:rPr>
          <w:rFonts w:ascii="Arial Narrow" w:hAnsi="Arial Narrow"/>
        </w:rPr>
      </w:pPr>
      <w:r>
        <w:rPr>
          <w:rFonts w:ascii="Arial Narrow" w:hAnsi="Arial Narrow"/>
        </w:rPr>
        <w:t>UPI</w:t>
      </w:r>
      <w:r>
        <w:rPr>
          <w:rFonts w:ascii="Arial Narrow" w:hAnsi="Arial Narrow"/>
        </w:rPr>
        <w:tab/>
        <w:t>Upper Prediction Interval</w:t>
      </w:r>
    </w:p>
    <w:p w14:paraId="07DB1933" w14:textId="5789A9B1" w:rsidR="00A52EAD" w:rsidRPr="00125729" w:rsidRDefault="00C12CC0" w:rsidP="002A2727">
      <w:pPr>
        <w:pStyle w:val="AspexAbbreviations"/>
        <w:tabs>
          <w:tab w:val="clear" w:pos="1418"/>
          <w:tab w:val="left" w:pos="1560"/>
        </w:tabs>
        <w:ind w:left="1560" w:hanging="1560"/>
        <w:rPr>
          <w:rFonts w:ascii="Arial Narrow" w:hAnsi="Arial Narrow"/>
        </w:rPr>
      </w:pPr>
      <w:proofErr w:type="gramStart"/>
      <w:r w:rsidRPr="00125729">
        <w:rPr>
          <w:rFonts w:ascii="Arial Narrow" w:hAnsi="Arial Narrow"/>
        </w:rPr>
        <w:t>WHO</w:t>
      </w:r>
      <w:proofErr w:type="gramEnd"/>
      <w:r w:rsidR="00A66B66" w:rsidRPr="00125729">
        <w:rPr>
          <w:rFonts w:ascii="Arial Narrow" w:hAnsi="Arial Narrow"/>
        </w:rPr>
        <w:tab/>
      </w:r>
      <w:r w:rsidRPr="00125729">
        <w:rPr>
          <w:rFonts w:ascii="Arial Narrow" w:hAnsi="Arial Narrow"/>
        </w:rPr>
        <w:t>World Health Organi</w:t>
      </w:r>
      <w:r w:rsidR="0058583D" w:rsidRPr="00125729">
        <w:rPr>
          <w:rFonts w:ascii="Arial Narrow" w:hAnsi="Arial Narrow"/>
        </w:rPr>
        <w:t>z</w:t>
      </w:r>
      <w:r w:rsidRPr="00125729">
        <w:rPr>
          <w:rFonts w:ascii="Arial Narrow" w:hAnsi="Arial Narrow"/>
        </w:rPr>
        <w:t>ation</w:t>
      </w:r>
      <w:r w:rsidR="00F86829" w:rsidRPr="00125729">
        <w:rPr>
          <w:rFonts w:ascii="Arial Narrow" w:hAnsi="Arial Narrow"/>
        </w:rPr>
        <w:br w:type="page"/>
      </w:r>
    </w:p>
    <w:p w14:paraId="7B626D26" w14:textId="77777777" w:rsidR="00550623" w:rsidRPr="00125729" w:rsidRDefault="00550623" w:rsidP="001E2E0D">
      <w:pPr>
        <w:rPr>
          <w:rFonts w:ascii="Arial Narrow" w:hAnsi="Arial Narrow"/>
        </w:rPr>
        <w:sectPr w:rsidR="00550623" w:rsidRPr="00125729" w:rsidSect="00FF7355">
          <w:headerReference w:type="default" r:id="rId12"/>
          <w:footerReference w:type="even" r:id="rId13"/>
          <w:footerReference w:type="default" r:id="rId14"/>
          <w:headerReference w:type="first" r:id="rId15"/>
          <w:footerReference w:type="first" r:id="rId16"/>
          <w:pgSz w:w="11906" w:h="16838" w:code="9"/>
          <w:pgMar w:top="2269" w:right="1276" w:bottom="1134" w:left="1616" w:header="923" w:footer="709" w:gutter="0"/>
          <w:cols w:space="708"/>
          <w:titlePg/>
          <w:docGrid w:linePitch="360"/>
        </w:sectPr>
      </w:pPr>
    </w:p>
    <w:p w14:paraId="0A0250C8" w14:textId="0A9DC22A" w:rsidR="00DB58A1" w:rsidRDefault="005A1398" w:rsidP="00AE3430">
      <w:pPr>
        <w:pStyle w:val="Heading1"/>
      </w:pPr>
      <w:bookmarkStart w:id="3" w:name="_Toc382313779"/>
      <w:r>
        <w:lastRenderedPageBreak/>
        <w:t>Executive s</w:t>
      </w:r>
      <w:r w:rsidR="00F86829">
        <w:t>ummary</w:t>
      </w:r>
      <w:bookmarkEnd w:id="3"/>
    </w:p>
    <w:p w14:paraId="39EB7474" w14:textId="77777777" w:rsidR="000A32D0" w:rsidRDefault="000A32D0" w:rsidP="000A32D0">
      <w:pPr>
        <w:pStyle w:val="Heading2"/>
      </w:pPr>
      <w:bookmarkStart w:id="4" w:name="_Toc373163086"/>
      <w:bookmarkStart w:id="5" w:name="_Toc247923869"/>
      <w:bookmarkStart w:id="6" w:name="_Toc382313780"/>
      <w:bookmarkStart w:id="7" w:name="_Toc373163105"/>
      <w:r>
        <w:t>Purpose of application</w:t>
      </w:r>
      <w:bookmarkEnd w:id="4"/>
      <w:bookmarkEnd w:id="5"/>
      <w:bookmarkEnd w:id="6"/>
    </w:p>
    <w:p w14:paraId="18DF55A4" w14:textId="14EFFAB0" w:rsidR="000A32D0" w:rsidRDefault="000A32D0" w:rsidP="000A32D0">
      <w:pPr>
        <w:pStyle w:val="AspexBodyStandard"/>
      </w:pPr>
      <w:r>
        <w:t xml:space="preserve">An application has been received from the </w:t>
      </w:r>
      <w:r w:rsidR="00543548" w:rsidRPr="00543548">
        <w:t>Australian &amp; New Zealand Society of Palliative Medicine</w:t>
      </w:r>
      <w:r w:rsidR="00543548" w:rsidRPr="00543548" w:rsidDel="00543548">
        <w:t xml:space="preserve"> </w:t>
      </w:r>
      <w:r w:rsidR="003B174C">
        <w:t>(</w:t>
      </w:r>
      <w:r w:rsidR="00543548" w:rsidRPr="00543548">
        <w:t>ANZSPM</w:t>
      </w:r>
      <w:r w:rsidR="00175613">
        <w:t>)</w:t>
      </w:r>
      <w:r>
        <w:t xml:space="preserve"> requesting a modification to the current listing of Medicare Benefits Schedule (MBS) items for the management of individuals with terminal illness.</w:t>
      </w:r>
      <w:r w:rsidR="00377B70">
        <w:t xml:space="preserve">  Specifically, </w:t>
      </w:r>
      <w:r w:rsidR="00543548" w:rsidRPr="00543548">
        <w:t>ANZSPM</w:t>
      </w:r>
      <w:r w:rsidR="00543548" w:rsidRPr="00543548" w:rsidDel="00543548">
        <w:t xml:space="preserve"> </w:t>
      </w:r>
      <w:r w:rsidR="00377B70">
        <w:t xml:space="preserve">has requested </w:t>
      </w:r>
      <w:r w:rsidR="00F66BE1">
        <w:t xml:space="preserve">equivalence for all </w:t>
      </w:r>
      <w:r w:rsidR="00377B70">
        <w:t>palliative care specialists</w:t>
      </w:r>
      <w:r w:rsidR="00F66BE1">
        <w:t xml:space="preserve"> for</w:t>
      </w:r>
      <w:r w:rsidR="00377B70">
        <w:t xml:space="preserve"> </w:t>
      </w:r>
      <w:r w:rsidR="00F66BE1">
        <w:t>items for complex assessment and treatment planning,</w:t>
      </w:r>
      <w:r w:rsidR="00377B70">
        <w:t xml:space="preserve"> </w:t>
      </w:r>
      <w:r w:rsidR="00F66BE1">
        <w:t xml:space="preserve">whether or </w:t>
      </w:r>
      <w:r w:rsidR="00377B70" w:rsidRPr="005676E8">
        <w:rPr>
          <w:u w:val="single"/>
        </w:rPr>
        <w:t>not</w:t>
      </w:r>
      <w:r w:rsidR="00377B70">
        <w:t xml:space="preserve"> </w:t>
      </w:r>
      <w:r w:rsidR="00F66BE1">
        <w:t xml:space="preserve">they are </w:t>
      </w:r>
      <w:r w:rsidR="00377B70">
        <w:t>co-registered on the MBS as physicians.</w:t>
      </w:r>
    </w:p>
    <w:p w14:paraId="4AE543B4" w14:textId="6E038431" w:rsidR="000A32D0" w:rsidRDefault="000A32D0" w:rsidP="000A32D0">
      <w:pPr>
        <w:pStyle w:val="AspexBodyStandard"/>
      </w:pPr>
      <w:r>
        <w:t>As already known to the Department</w:t>
      </w:r>
      <w:r w:rsidR="00175613">
        <w:t xml:space="preserve"> of Health, formerly the Department of Health and Ageing (Department)</w:t>
      </w:r>
      <w:r>
        <w:t xml:space="preserve">, </w:t>
      </w:r>
      <w:r w:rsidR="003B174C">
        <w:t>p</w:t>
      </w:r>
      <w:r w:rsidR="00377B70">
        <w:t xml:space="preserve">alliative </w:t>
      </w:r>
      <w:r w:rsidR="003B174C">
        <w:t>m</w:t>
      </w:r>
      <w:r>
        <w:t xml:space="preserve">edicine </w:t>
      </w:r>
      <w:r w:rsidR="003B174C">
        <w:t>s</w:t>
      </w:r>
      <w:r>
        <w:t xml:space="preserve">pecialists provide a unique range of evidence-based interventions tailored to the specific needs of individuals (and their carers) who are facing life-limiting illnesses with little or no prospect of cure.  The aim of </w:t>
      </w:r>
      <w:r w:rsidR="002A2727">
        <w:t>palliative medicine</w:t>
      </w:r>
      <w:r>
        <w:t xml:space="preserve"> is to provide specialist medical care and </w:t>
      </w:r>
      <w:r w:rsidR="00263E64">
        <w:t xml:space="preserve">to </w:t>
      </w:r>
      <w:r>
        <w:t xml:space="preserve">co-ordinate a range of multidisciplinary interventions aimed at maximising the physical, psychological, social and spiritual quality of day-to-day living for those facing the last years, months, weeks or days of their lives. </w:t>
      </w:r>
    </w:p>
    <w:p w14:paraId="58632309" w14:textId="77777777" w:rsidR="000A32D0" w:rsidRDefault="000A32D0" w:rsidP="000A32D0">
      <w:pPr>
        <w:pStyle w:val="AspexBodyStandard"/>
      </w:pPr>
      <w:r>
        <w:t>This application represents an extension of previously recognised skills and funding through the MBS, to accommodate interventions associated with the recognised phases of palliative illness, and the provision of best-practice models of specialist medical care to patients during the final stages of terminal disease.</w:t>
      </w:r>
    </w:p>
    <w:p w14:paraId="3DB614D8" w14:textId="27366C04" w:rsidR="00131084" w:rsidRDefault="00131084" w:rsidP="00131084">
      <w:pPr>
        <w:pStyle w:val="Heading2"/>
      </w:pPr>
      <w:bookmarkStart w:id="8" w:name="_Toc382313781"/>
      <w:r>
        <w:t>Purpose of this report</w:t>
      </w:r>
      <w:bookmarkEnd w:id="8"/>
    </w:p>
    <w:p w14:paraId="2F2763F2" w14:textId="53020C14" w:rsidR="004B4CB5" w:rsidRPr="00657078" w:rsidRDefault="00131084" w:rsidP="00131084">
      <w:pPr>
        <w:pStyle w:val="AspexBodyStandard"/>
      </w:pPr>
      <w:proofErr w:type="spellStart"/>
      <w:r w:rsidRPr="00657078">
        <w:t>Aspex</w:t>
      </w:r>
      <w:proofErr w:type="spellEnd"/>
      <w:r w:rsidRPr="00657078">
        <w:t xml:space="preserve"> Consulting were commissioned by the Department of Health to evaluate the </w:t>
      </w:r>
      <w:r w:rsidR="004B4CB5" w:rsidRPr="00657078">
        <w:t>application by</w:t>
      </w:r>
      <w:r w:rsidRPr="00657078">
        <w:t xml:space="preserve"> palliative medicin</w:t>
      </w:r>
      <w:r w:rsidR="004B4CB5" w:rsidRPr="00657078">
        <w:t>e specialists</w:t>
      </w:r>
      <w:r w:rsidRPr="00657078">
        <w:t xml:space="preserve"> for additional MBS items supporting complex patient assessment and treatment planning.  Information was gathered to address specific issues outlined in the Final Decision Analytic Protocol (DAP) approved by the Protocol Advisory Sub-Committe</w:t>
      </w:r>
      <w:r w:rsidR="004B4CB5" w:rsidRPr="00657078">
        <w:t xml:space="preserve">e (PASC) for investigation, focusing upon available evidence of: </w:t>
      </w:r>
    </w:p>
    <w:p w14:paraId="3C9FF69F" w14:textId="73DBF411" w:rsidR="004B4CB5" w:rsidRPr="00657078" w:rsidRDefault="004B4CB5" w:rsidP="004B4CB5">
      <w:pPr>
        <w:pStyle w:val="AspexBullet1"/>
      </w:pPr>
      <w:r w:rsidRPr="00657078">
        <w:t>Population demand and supply of palliative medicine specialists;</w:t>
      </w:r>
    </w:p>
    <w:p w14:paraId="361A37EE" w14:textId="23AADEA5" w:rsidR="004B4CB5" w:rsidRPr="00657078" w:rsidRDefault="004B4CB5" w:rsidP="004B4CB5">
      <w:pPr>
        <w:pStyle w:val="AspexBullet1"/>
      </w:pPr>
      <w:r w:rsidRPr="00657078">
        <w:t>The clinical safety and effectiveness of interventions provided by specialists;</w:t>
      </w:r>
    </w:p>
    <w:p w14:paraId="582F24FD" w14:textId="4E0F4C7B" w:rsidR="004B4CB5" w:rsidRPr="00657078" w:rsidRDefault="004B4CB5" w:rsidP="004B4CB5">
      <w:pPr>
        <w:pStyle w:val="AspexBullet1"/>
      </w:pPr>
      <w:r w:rsidRPr="00657078">
        <w:t>The palliative medicine workforce and scope of practice in delivering clinical services;</w:t>
      </w:r>
    </w:p>
    <w:p w14:paraId="238C817B" w14:textId="5570DD18" w:rsidR="004B4CB5" w:rsidRPr="00657078" w:rsidRDefault="00AC6827" w:rsidP="004B4CB5">
      <w:pPr>
        <w:pStyle w:val="AspexBullet1"/>
      </w:pPr>
      <w:r>
        <w:t>Alternatives</w:t>
      </w:r>
      <w:r w:rsidRPr="00657078">
        <w:t xml:space="preserve"> </w:t>
      </w:r>
      <w:r w:rsidR="004B4CB5" w:rsidRPr="00657078">
        <w:t>for future MBS items to address the claims made by specialists; and</w:t>
      </w:r>
    </w:p>
    <w:p w14:paraId="3BF5E952" w14:textId="65DED388" w:rsidR="004B4CB5" w:rsidRPr="00657078" w:rsidRDefault="004B4CB5" w:rsidP="004B4CB5">
      <w:pPr>
        <w:pStyle w:val="AspexBullet1"/>
      </w:pPr>
      <w:r w:rsidRPr="00657078">
        <w:t xml:space="preserve">The financial impact of each </w:t>
      </w:r>
      <w:r w:rsidR="00AC6827">
        <w:t>alternative</w:t>
      </w:r>
      <w:r w:rsidR="00AC6827" w:rsidRPr="00657078">
        <w:t xml:space="preserve"> </w:t>
      </w:r>
      <w:r w:rsidRPr="00657078">
        <w:t xml:space="preserve">upon current and future MBS arrangements. </w:t>
      </w:r>
    </w:p>
    <w:p w14:paraId="307D270A" w14:textId="0D71B09C" w:rsidR="004B4CB5" w:rsidRPr="00657078" w:rsidRDefault="004B4CB5" w:rsidP="00131084">
      <w:pPr>
        <w:pStyle w:val="AspexBodyStandard"/>
      </w:pPr>
      <w:r w:rsidRPr="00657078">
        <w:t xml:space="preserve">Information was drawn from a range of sources including, </w:t>
      </w:r>
      <w:r w:rsidR="00A11F9F" w:rsidRPr="00657078">
        <w:t xml:space="preserve">MBS data, other </w:t>
      </w:r>
      <w:r w:rsidRPr="00657078">
        <w:t xml:space="preserve">national datasets, government policy papers, peer-reviewed publications, and consultations with specialists across </w:t>
      </w:r>
      <w:r w:rsidR="00A11F9F" w:rsidRPr="00657078">
        <w:t>Australian jurisdictions.  This report summarises the available evidence for further consideration by the Medical Services Advisory Committee (MSAC), and inform</w:t>
      </w:r>
      <w:r w:rsidR="009E454E">
        <w:t>s</w:t>
      </w:r>
      <w:r w:rsidR="00A11F9F" w:rsidRPr="00657078">
        <w:t xml:space="preserve"> any recommendations made to the Minister for Health for subsequent changes to the MBS item schedule.</w:t>
      </w:r>
    </w:p>
    <w:p w14:paraId="10963329" w14:textId="77777777" w:rsidR="004B4CB5" w:rsidRPr="00657078" w:rsidRDefault="004B4CB5" w:rsidP="00131084">
      <w:pPr>
        <w:pStyle w:val="AspexBodyStandard"/>
      </w:pPr>
    </w:p>
    <w:p w14:paraId="24D3CAB3" w14:textId="77777777" w:rsidR="004B4CB5" w:rsidRPr="00657078" w:rsidRDefault="004B4CB5" w:rsidP="00131084">
      <w:pPr>
        <w:pStyle w:val="AspexBodyStandard"/>
      </w:pPr>
    </w:p>
    <w:p w14:paraId="6E43F785" w14:textId="77777777" w:rsidR="000A32D0" w:rsidRPr="00657078" w:rsidRDefault="000A32D0" w:rsidP="000A32D0">
      <w:pPr>
        <w:pStyle w:val="Heading2"/>
        <w:rPr>
          <w:color w:val="auto"/>
        </w:rPr>
      </w:pPr>
      <w:bookmarkStart w:id="9" w:name="_Toc373163087"/>
      <w:bookmarkStart w:id="10" w:name="_Toc247923870"/>
      <w:bookmarkStart w:id="11" w:name="_Toc382313782"/>
      <w:r w:rsidRPr="00657078">
        <w:rPr>
          <w:color w:val="auto"/>
        </w:rPr>
        <w:lastRenderedPageBreak/>
        <w:t>Background</w:t>
      </w:r>
      <w:bookmarkEnd w:id="9"/>
      <w:bookmarkEnd w:id="10"/>
      <w:bookmarkEnd w:id="11"/>
    </w:p>
    <w:p w14:paraId="407B8EB2" w14:textId="73B45276" w:rsidR="000A32D0" w:rsidRPr="00657078" w:rsidRDefault="000A32D0" w:rsidP="000A32D0">
      <w:pPr>
        <w:pStyle w:val="AspexBodyStandard"/>
      </w:pPr>
      <w:r w:rsidRPr="00657078">
        <w:t xml:space="preserve">The professional value and contribution of the specialty of </w:t>
      </w:r>
      <w:r w:rsidR="002A2727" w:rsidRPr="00657078">
        <w:t>palliative medicine</w:t>
      </w:r>
      <w:r w:rsidRPr="00657078">
        <w:t xml:space="preserve"> has been previously assessed and formally recognised by the Australian Medical Council</w:t>
      </w:r>
      <w:r w:rsidR="00175613" w:rsidRPr="00657078">
        <w:t xml:space="preserve"> (AMC)</w:t>
      </w:r>
      <w:r w:rsidRPr="00657078">
        <w:t xml:space="preserve"> (2005).  As such, the evidence underlying the unique range of skills offered by this group of specialists is accepted and has not been considered as a primary focus of the current application. Instead, this report has focused upon specific evidence that the designated specialty group:</w:t>
      </w:r>
    </w:p>
    <w:p w14:paraId="5F1E135C" w14:textId="6EC82399" w:rsidR="000A32D0" w:rsidRPr="00657078" w:rsidRDefault="00263E64" w:rsidP="000A32D0">
      <w:pPr>
        <w:pStyle w:val="AspexBullet1"/>
      </w:pPr>
      <w:r w:rsidRPr="00657078">
        <w:rPr>
          <w:b/>
        </w:rPr>
        <w:t>Has been t</w:t>
      </w:r>
      <w:r w:rsidR="00D150AC" w:rsidRPr="00657078">
        <w:rPr>
          <w:b/>
        </w:rPr>
        <w:t>rained to meet</w:t>
      </w:r>
      <w:r w:rsidR="000A32D0" w:rsidRPr="00657078">
        <w:rPr>
          <w:b/>
        </w:rPr>
        <w:t xml:space="preserve"> a growing need</w:t>
      </w:r>
      <w:r w:rsidR="000A32D0" w:rsidRPr="00657078">
        <w:t xml:space="preserve"> for services in the Australian community;</w:t>
      </w:r>
    </w:p>
    <w:p w14:paraId="1FD9A251" w14:textId="0F0A93C7" w:rsidR="000A32D0" w:rsidRPr="00657078" w:rsidRDefault="00263E64" w:rsidP="000A32D0">
      <w:pPr>
        <w:pStyle w:val="AspexBullet1"/>
      </w:pPr>
      <w:r w:rsidRPr="00657078">
        <w:rPr>
          <w:b/>
        </w:rPr>
        <w:t>Has been t</w:t>
      </w:r>
      <w:r w:rsidR="000A32D0" w:rsidRPr="00657078">
        <w:rPr>
          <w:b/>
        </w:rPr>
        <w:t>rained and operate at a more advanced level of clinical competency</w:t>
      </w:r>
      <w:r w:rsidR="000A32D0" w:rsidRPr="00657078">
        <w:t xml:space="preserve"> than other medical practitioners in addressing the needs of dying patients;</w:t>
      </w:r>
    </w:p>
    <w:p w14:paraId="7B34B47F" w14:textId="1E09637F" w:rsidR="000A32D0" w:rsidRPr="00657078" w:rsidRDefault="000A32D0" w:rsidP="000A32D0">
      <w:pPr>
        <w:pStyle w:val="AspexBullet1"/>
      </w:pPr>
      <w:r w:rsidRPr="00657078">
        <w:rPr>
          <w:b/>
        </w:rPr>
        <w:t>Add</w:t>
      </w:r>
      <w:r w:rsidR="00263E64" w:rsidRPr="00657078">
        <w:rPr>
          <w:b/>
        </w:rPr>
        <w:t>s</w:t>
      </w:r>
      <w:r w:rsidRPr="00657078">
        <w:rPr>
          <w:b/>
        </w:rPr>
        <w:t xml:space="preserve"> value to the practice of other medical specialists</w:t>
      </w:r>
      <w:r w:rsidRPr="00657078">
        <w:t xml:space="preserve"> through the provision of specialist advice under ‘consultation liaison’ and ‘shared care’ arrangements;</w:t>
      </w:r>
    </w:p>
    <w:p w14:paraId="2FFD5962" w14:textId="77777777" w:rsidR="000A32D0" w:rsidRPr="00657078" w:rsidRDefault="000A32D0" w:rsidP="000A32D0">
      <w:pPr>
        <w:pStyle w:val="AspexBullet1"/>
      </w:pPr>
      <w:r w:rsidRPr="00657078">
        <w:rPr>
          <w:b/>
        </w:rPr>
        <w:t>Can demonstrate equal or better outcomes</w:t>
      </w:r>
      <w:r w:rsidRPr="00657078">
        <w:t xml:space="preserve"> in the personal management of more complex patients;</w:t>
      </w:r>
    </w:p>
    <w:p w14:paraId="255AD826" w14:textId="693AC9EA" w:rsidR="000A32D0" w:rsidRPr="00657078" w:rsidRDefault="000A32D0" w:rsidP="000A32D0">
      <w:pPr>
        <w:pStyle w:val="AspexBullet1"/>
      </w:pPr>
      <w:r w:rsidRPr="00657078">
        <w:rPr>
          <w:b/>
        </w:rPr>
        <w:t>Require</w:t>
      </w:r>
      <w:r w:rsidR="00263E64" w:rsidRPr="00657078">
        <w:rPr>
          <w:b/>
        </w:rPr>
        <w:t>s</w:t>
      </w:r>
      <w:r w:rsidRPr="00657078">
        <w:rPr>
          <w:b/>
        </w:rPr>
        <w:t xml:space="preserve"> modifications to existing MBS items to deliver best practice</w:t>
      </w:r>
      <w:r w:rsidRPr="00657078">
        <w:t xml:space="preserve"> standards of clinical care (in both public and private sector settings); and</w:t>
      </w:r>
    </w:p>
    <w:p w14:paraId="2922F196" w14:textId="23D4020D" w:rsidR="000A32D0" w:rsidRPr="00657078" w:rsidRDefault="00263E64" w:rsidP="000A32D0">
      <w:pPr>
        <w:pStyle w:val="AspexBullet1"/>
      </w:pPr>
      <w:r w:rsidRPr="00657078">
        <w:rPr>
          <w:b/>
        </w:rPr>
        <w:t xml:space="preserve">Is </w:t>
      </w:r>
      <w:r w:rsidR="000A32D0" w:rsidRPr="00657078">
        <w:rPr>
          <w:b/>
        </w:rPr>
        <w:t>more cost effective</w:t>
      </w:r>
      <w:r w:rsidR="000A32D0" w:rsidRPr="00657078">
        <w:t xml:space="preserve"> when engaged in the community setting, thus preventing potentially avoidable (and more expensive) hospital admissions associated with end of life care.</w:t>
      </w:r>
    </w:p>
    <w:p w14:paraId="3C9AE1C8" w14:textId="77777777" w:rsidR="000A32D0" w:rsidRPr="00657078" w:rsidRDefault="000A32D0" w:rsidP="000A32D0">
      <w:pPr>
        <w:pStyle w:val="Heading2"/>
        <w:rPr>
          <w:color w:val="auto"/>
        </w:rPr>
      </w:pPr>
      <w:bookmarkStart w:id="12" w:name="_Toc373163088"/>
      <w:bookmarkStart w:id="13" w:name="_Toc247923871"/>
      <w:bookmarkStart w:id="14" w:name="_Toc382313783"/>
      <w:r w:rsidRPr="00657078">
        <w:rPr>
          <w:color w:val="auto"/>
        </w:rPr>
        <w:t>Prerequisites to implementation of funding advice</w:t>
      </w:r>
      <w:bookmarkEnd w:id="12"/>
      <w:bookmarkEnd w:id="13"/>
      <w:bookmarkEnd w:id="14"/>
    </w:p>
    <w:p w14:paraId="1FECD819" w14:textId="279B8009" w:rsidR="00156062" w:rsidRPr="00657078" w:rsidRDefault="000A32D0" w:rsidP="00156062">
      <w:pPr>
        <w:pStyle w:val="AspexBodyStandard"/>
      </w:pPr>
      <w:r w:rsidRPr="00657078">
        <w:t xml:space="preserve">It is noted that any new or modified MBS items would require a referral in accordance with the MBS G6.1 </w:t>
      </w:r>
      <w:r w:rsidRPr="00657078">
        <w:rPr>
          <w:i/>
        </w:rPr>
        <w:t>Referral of Patients to Specialist of Consultant Physician</w:t>
      </w:r>
      <w:r w:rsidRPr="00657078">
        <w:t>. It is also noted that any new MBS items would apply only to medical practitioners who were eligible for registration as a palliative medicine specialist. Eligible registrants will have completed an approved course of training and have been awarded a Fellowship of the Australasian</w:t>
      </w:r>
      <w:r w:rsidR="00156062" w:rsidRPr="00657078">
        <w:t xml:space="preserve"> Chapter of Palliative Medicine (</w:t>
      </w:r>
      <w:proofErr w:type="spellStart"/>
      <w:r w:rsidR="00156062" w:rsidRPr="00657078">
        <w:t>FAChPM</w:t>
      </w:r>
      <w:proofErr w:type="spellEnd"/>
      <w:r w:rsidR="00156062" w:rsidRPr="00657078">
        <w:t xml:space="preserve">). </w:t>
      </w:r>
    </w:p>
    <w:p w14:paraId="5C2AFE1D" w14:textId="77777777" w:rsidR="00156062" w:rsidRPr="00657078" w:rsidRDefault="00156062" w:rsidP="00156062">
      <w:pPr>
        <w:pStyle w:val="Heading2"/>
        <w:tabs>
          <w:tab w:val="clear" w:pos="964"/>
        </w:tabs>
        <w:ind w:left="851" w:hanging="851"/>
        <w:rPr>
          <w:color w:val="auto"/>
        </w:rPr>
      </w:pPr>
      <w:bookmarkStart w:id="15" w:name="_Toc224792855"/>
      <w:bookmarkStart w:id="16" w:name="_Toc382313784"/>
      <w:r w:rsidRPr="00657078">
        <w:rPr>
          <w:color w:val="auto"/>
        </w:rPr>
        <w:t>Proposal for public funding</w:t>
      </w:r>
      <w:bookmarkEnd w:id="15"/>
      <w:bookmarkEnd w:id="16"/>
    </w:p>
    <w:p w14:paraId="78637FDD" w14:textId="2EA06734" w:rsidR="00156062" w:rsidRPr="00657078" w:rsidRDefault="00156062" w:rsidP="00156062">
      <w:pPr>
        <w:pStyle w:val="AspexBodyStandard"/>
      </w:pPr>
      <w:r w:rsidRPr="00657078">
        <w:t xml:space="preserve">It is proposed that there would be </w:t>
      </w:r>
      <w:r w:rsidR="007E6E74" w:rsidRPr="00657078">
        <w:t>up to six</w:t>
      </w:r>
      <w:r w:rsidRPr="00657078">
        <w:t xml:space="preserve"> groups of MBS items </w:t>
      </w:r>
      <w:r w:rsidR="007E6E74" w:rsidRPr="00657078">
        <w:t>(</w:t>
      </w:r>
      <w:r w:rsidR="00175613" w:rsidRPr="00657078">
        <w:t xml:space="preserve">four </w:t>
      </w:r>
      <w:r w:rsidR="007E6E74" w:rsidRPr="00657078">
        <w:t>new,</w:t>
      </w:r>
      <w:r w:rsidRPr="00657078">
        <w:t xml:space="preserve"> </w:t>
      </w:r>
      <w:r w:rsidR="007E6E74" w:rsidRPr="00657078">
        <w:t xml:space="preserve">and </w:t>
      </w:r>
      <w:r w:rsidR="00175613" w:rsidRPr="00657078">
        <w:t xml:space="preserve">two </w:t>
      </w:r>
      <w:r w:rsidR="004056C5" w:rsidRPr="00657078">
        <w:t xml:space="preserve">modified) </w:t>
      </w:r>
      <w:r w:rsidRPr="00657078">
        <w:t xml:space="preserve">for </w:t>
      </w:r>
      <w:r w:rsidR="002A2727" w:rsidRPr="00657078">
        <w:t xml:space="preserve">palliative medicine </w:t>
      </w:r>
      <w:r w:rsidRPr="00657078">
        <w:t>(</w:t>
      </w:r>
      <w:r w:rsidR="00263E64" w:rsidRPr="00657078">
        <w:t>s</w:t>
      </w:r>
      <w:r w:rsidRPr="00657078">
        <w:t>ee Chapter 6)</w:t>
      </w:r>
      <w:r w:rsidR="00263E64" w:rsidRPr="00657078">
        <w:t>.</w:t>
      </w:r>
      <w:r w:rsidRPr="00657078">
        <w:t xml:space="preserve">  These items have been developed in consultation with the applicant</w:t>
      </w:r>
      <w:r w:rsidR="007E6E74" w:rsidRPr="00657078">
        <w:t xml:space="preserve"> to</w:t>
      </w:r>
      <w:r w:rsidR="007E6E74" w:rsidRPr="00657078">
        <w:rPr>
          <w:i/>
        </w:rPr>
        <w:t xml:space="preserve"> recognise the need</w:t>
      </w:r>
      <w:r w:rsidR="00D752F4" w:rsidRPr="00657078">
        <w:rPr>
          <w:i/>
        </w:rPr>
        <w:t xml:space="preserve"> for</w:t>
      </w:r>
      <w:r w:rsidR="007E6E74" w:rsidRPr="00657078">
        <w:rPr>
          <w:i/>
        </w:rPr>
        <w:t xml:space="preserve"> an initial patient consultation, in addition to a subsequent consultation that allows for detailed investigation and management of secondary diagnoses, comorbidities or treatment complications that arise during end-of-life care.</w:t>
      </w:r>
      <w:r w:rsidR="007E6E74" w:rsidRPr="00657078">
        <w:t xml:space="preserve"> </w:t>
      </w:r>
      <w:r w:rsidRPr="00657078">
        <w:t>The proposed items</w:t>
      </w:r>
      <w:r w:rsidR="00DF4FBF">
        <w:t>, which will be available to all palliative care specialists,</w:t>
      </w:r>
      <w:r w:rsidRPr="00657078">
        <w:t xml:space="preserve"> are </w:t>
      </w:r>
      <w:r w:rsidRPr="00657078">
        <w:rPr>
          <w:b/>
          <w:i/>
        </w:rPr>
        <w:t>equivalent to</w:t>
      </w:r>
      <w:r w:rsidRPr="00657078">
        <w:t xml:space="preserve"> </w:t>
      </w:r>
      <w:r w:rsidR="00181B93" w:rsidRPr="00657078">
        <w:t>existing MBS</w:t>
      </w:r>
      <w:r w:rsidR="001653AE" w:rsidRPr="00657078">
        <w:t xml:space="preserve"> arrangements and involve the following</w:t>
      </w:r>
      <w:r w:rsidR="00263E64" w:rsidRPr="00657078">
        <w:t>:</w:t>
      </w:r>
    </w:p>
    <w:p w14:paraId="157B43D5" w14:textId="3066053D" w:rsidR="00245A32" w:rsidRPr="00657078" w:rsidRDefault="002A4543" w:rsidP="00156062">
      <w:pPr>
        <w:pStyle w:val="AspexBullet1"/>
      </w:pPr>
      <w:r>
        <w:t>Either u</w:t>
      </w:r>
      <w:r w:rsidR="001653AE" w:rsidRPr="00657078">
        <w:t>se of c</w:t>
      </w:r>
      <w:r w:rsidR="00245A32" w:rsidRPr="00657078">
        <w:t xml:space="preserve">onsultant physician referred consultations for </w:t>
      </w:r>
      <w:r w:rsidR="00245A32" w:rsidRPr="00657078">
        <w:rPr>
          <w:b/>
          <w:i/>
        </w:rPr>
        <w:t>complex treatment and management planning</w:t>
      </w:r>
      <w:r w:rsidR="00245A32" w:rsidRPr="00657078">
        <w:t xml:space="preserve"> (item 132)</w:t>
      </w:r>
      <w:r w:rsidR="00F27644" w:rsidRPr="00657078">
        <w:t xml:space="preserve"> to more appropriately reflect that actual time to undertake comprehensive assessment of palliative care patients</w:t>
      </w:r>
      <w:r w:rsidR="00245A32" w:rsidRPr="00657078">
        <w:t>;</w:t>
      </w:r>
      <w:r>
        <w:t xml:space="preserve"> and</w:t>
      </w:r>
    </w:p>
    <w:p w14:paraId="0D902317" w14:textId="404FDE47" w:rsidR="00245A32" w:rsidRDefault="00245A32" w:rsidP="00156062">
      <w:pPr>
        <w:pStyle w:val="AspexBullet1"/>
      </w:pPr>
      <w:r w:rsidRPr="00657078">
        <w:t xml:space="preserve">The retention and capacity to claim </w:t>
      </w:r>
      <w:r w:rsidR="00F53B37" w:rsidRPr="00657078">
        <w:t xml:space="preserve">palliative care items for </w:t>
      </w:r>
      <w:r w:rsidRPr="00657078">
        <w:t xml:space="preserve">existing </w:t>
      </w:r>
      <w:r w:rsidRPr="00657078">
        <w:rPr>
          <w:b/>
          <w:i/>
        </w:rPr>
        <w:t>professional attendance</w:t>
      </w:r>
      <w:r w:rsidR="00F53B37" w:rsidRPr="00657078">
        <w:rPr>
          <w:b/>
          <w:i/>
        </w:rPr>
        <w:t>s</w:t>
      </w:r>
      <w:r w:rsidRPr="00657078">
        <w:rPr>
          <w:b/>
          <w:i/>
        </w:rPr>
        <w:t xml:space="preserve"> </w:t>
      </w:r>
      <w:r w:rsidRPr="00657078">
        <w:t xml:space="preserve">for hospital/surgery (3005) and home </w:t>
      </w:r>
      <w:r w:rsidR="0090218C">
        <w:t xml:space="preserve">visits </w:t>
      </w:r>
      <w:r w:rsidR="00263E64" w:rsidRPr="00657078">
        <w:t xml:space="preserve">(3018) </w:t>
      </w:r>
      <w:r w:rsidR="00F27644" w:rsidRPr="00657078">
        <w:t>to allow for detailed follow up assessment of any secondary diagnoses or other issues that emerge as patients deteriorate in condition</w:t>
      </w:r>
      <w:r w:rsidR="00263E64" w:rsidRPr="00657078">
        <w:t>;</w:t>
      </w:r>
      <w:r w:rsidR="00263E64" w:rsidRPr="00657078" w:rsidDel="00263E64">
        <w:t xml:space="preserve"> </w:t>
      </w:r>
      <w:r w:rsidR="002A4543">
        <w:t>or</w:t>
      </w:r>
    </w:p>
    <w:p w14:paraId="55186F23" w14:textId="56FF083E" w:rsidR="002A4543" w:rsidRPr="00657078" w:rsidRDefault="002A4543" w:rsidP="00156062">
      <w:pPr>
        <w:pStyle w:val="AspexBullet1"/>
      </w:pPr>
      <w:r>
        <w:lastRenderedPageBreak/>
        <w:t xml:space="preserve">No use of the </w:t>
      </w:r>
      <w:r w:rsidRPr="00657078">
        <w:t xml:space="preserve">of consultant physician referred consultations for </w:t>
      </w:r>
      <w:r w:rsidRPr="00657078">
        <w:rPr>
          <w:b/>
          <w:i/>
        </w:rPr>
        <w:t>complex treatment and management planning</w:t>
      </w:r>
      <w:r w:rsidRPr="00657078">
        <w:t xml:space="preserve"> (item 132)</w:t>
      </w:r>
      <w:r>
        <w:t xml:space="preserve"> but ability to access Item 3005 twice for the same patient</w:t>
      </w:r>
      <w:r w:rsidR="0088199A">
        <w:t>;</w:t>
      </w:r>
    </w:p>
    <w:p w14:paraId="3899A27B" w14:textId="530F2D86" w:rsidR="00FE6035" w:rsidRPr="00657078" w:rsidRDefault="00FE6035" w:rsidP="00FE6035">
      <w:pPr>
        <w:pStyle w:val="AspexBullet1"/>
      </w:pPr>
      <w:r w:rsidRPr="00657078">
        <w:t xml:space="preserve">Modification to the titles of all items currently specified for </w:t>
      </w:r>
      <w:r w:rsidRPr="00657078">
        <w:rPr>
          <w:b/>
          <w:i/>
        </w:rPr>
        <w:t>home visits</w:t>
      </w:r>
      <w:r w:rsidRPr="00657078">
        <w:t xml:space="preserve"> (</w:t>
      </w:r>
      <w:r w:rsidRPr="00657078">
        <w:rPr>
          <w:i/>
        </w:rPr>
        <w:t>replacing the term ‘home visit’ with ‘</w:t>
      </w:r>
      <w:r w:rsidRPr="00657078">
        <w:rPr>
          <w:b/>
          <w:i/>
        </w:rPr>
        <w:t>outside of hospital or surgery</w:t>
      </w:r>
      <w:r w:rsidRPr="00657078">
        <w:rPr>
          <w:i/>
        </w:rPr>
        <w:t>’</w:t>
      </w:r>
      <w:r w:rsidRPr="00657078">
        <w:t>) to make explicit their application to a range of community settings (e.g., home visits, residential aged care visits, hospice visits)</w:t>
      </w:r>
      <w:r w:rsidR="0088199A">
        <w:t>;</w:t>
      </w:r>
    </w:p>
    <w:p w14:paraId="229717E4" w14:textId="4B89131C" w:rsidR="00245A32" w:rsidRDefault="00F53B37" w:rsidP="00156062">
      <w:pPr>
        <w:pStyle w:val="AspexBullet1"/>
      </w:pPr>
      <w:r w:rsidRPr="00657078">
        <w:t xml:space="preserve">Alternative </w:t>
      </w:r>
      <w:r w:rsidRPr="00657078">
        <w:rPr>
          <w:b/>
          <w:i/>
        </w:rPr>
        <w:t>t</w:t>
      </w:r>
      <w:r w:rsidR="00245A32" w:rsidRPr="00657078">
        <w:rPr>
          <w:b/>
          <w:i/>
        </w:rPr>
        <w:t xml:space="preserve">ime-tiered items for initial assessment </w:t>
      </w:r>
      <w:r w:rsidR="00245A32" w:rsidRPr="00657078">
        <w:t>(no equivalent items)</w:t>
      </w:r>
      <w:r w:rsidR="001653AE" w:rsidRPr="00657078">
        <w:t>;</w:t>
      </w:r>
      <w:r w:rsidR="0088199A">
        <w:t xml:space="preserve"> and</w:t>
      </w:r>
    </w:p>
    <w:p w14:paraId="024384A8" w14:textId="7344DD1F" w:rsidR="00B91A80" w:rsidRPr="00657078" w:rsidRDefault="00B91A80" w:rsidP="00156062">
      <w:pPr>
        <w:pStyle w:val="AspexBullet1"/>
      </w:pPr>
      <w:r w:rsidRPr="00657078">
        <w:t xml:space="preserve">Alternative </w:t>
      </w:r>
      <w:r w:rsidRPr="00657078">
        <w:rPr>
          <w:b/>
          <w:i/>
        </w:rPr>
        <w:t>time-tiered items for subsequent attendances</w:t>
      </w:r>
      <w:r w:rsidRPr="00657078">
        <w:t xml:space="preserve"> (no equivalent items)</w:t>
      </w:r>
      <w:r>
        <w:t>.</w:t>
      </w:r>
    </w:p>
    <w:p w14:paraId="6A9487CD" w14:textId="4E49DA2B" w:rsidR="00156062" w:rsidRPr="00657078" w:rsidRDefault="00156062" w:rsidP="00156062">
      <w:pPr>
        <w:pStyle w:val="Heading2"/>
        <w:tabs>
          <w:tab w:val="clear" w:pos="964"/>
        </w:tabs>
        <w:ind w:left="851" w:hanging="851"/>
        <w:rPr>
          <w:color w:val="auto"/>
        </w:rPr>
      </w:pPr>
      <w:bookmarkStart w:id="17" w:name="_Toc224792856"/>
      <w:bookmarkStart w:id="18" w:name="_Toc382313785"/>
      <w:r w:rsidRPr="00657078">
        <w:rPr>
          <w:color w:val="auto"/>
        </w:rPr>
        <w:t xml:space="preserve">Consumer </w:t>
      </w:r>
      <w:r w:rsidR="009606BD" w:rsidRPr="00657078">
        <w:rPr>
          <w:color w:val="auto"/>
        </w:rPr>
        <w:t>i</w:t>
      </w:r>
      <w:r w:rsidRPr="00657078">
        <w:rPr>
          <w:color w:val="auto"/>
        </w:rPr>
        <w:t xml:space="preserve">mpact </w:t>
      </w:r>
      <w:r w:rsidR="009606BD" w:rsidRPr="00657078">
        <w:rPr>
          <w:color w:val="auto"/>
        </w:rPr>
        <w:t>s</w:t>
      </w:r>
      <w:r w:rsidRPr="00657078">
        <w:rPr>
          <w:color w:val="auto"/>
        </w:rPr>
        <w:t>tatement</w:t>
      </w:r>
      <w:bookmarkEnd w:id="17"/>
      <w:bookmarkEnd w:id="18"/>
    </w:p>
    <w:p w14:paraId="5F2ABF67" w14:textId="75F539B9" w:rsidR="00156062" w:rsidRPr="00657078" w:rsidRDefault="00D752F4" w:rsidP="00156062">
      <w:pPr>
        <w:pStyle w:val="AspexBodyStandard"/>
      </w:pPr>
      <w:r w:rsidRPr="00657078">
        <w:t>The contracted assessment concludes that patients will benefit f</w:t>
      </w:r>
      <w:r w:rsidR="001653AE" w:rsidRPr="00657078">
        <w:t>ro</w:t>
      </w:r>
      <w:r w:rsidRPr="00657078">
        <w:t xml:space="preserve">m the new MBS items for </w:t>
      </w:r>
      <w:r w:rsidR="002A2727" w:rsidRPr="00657078">
        <w:t>palliative medicine</w:t>
      </w:r>
      <w:r w:rsidRPr="00657078">
        <w:t xml:space="preserve"> because:</w:t>
      </w:r>
    </w:p>
    <w:p w14:paraId="35E35923" w14:textId="3F445A7A" w:rsidR="00FF38D4" w:rsidRPr="00657078" w:rsidRDefault="00FF38D4" w:rsidP="00FF38D4">
      <w:pPr>
        <w:pStyle w:val="AspexBullet1"/>
      </w:pPr>
      <w:r w:rsidRPr="00657078">
        <w:t xml:space="preserve">The majority of individuals who have a choice, choose to die in a community environment (rather than </w:t>
      </w:r>
      <w:r w:rsidR="00384CAB" w:rsidRPr="00657078">
        <w:t xml:space="preserve">as </w:t>
      </w:r>
      <w:r w:rsidR="00A103C3" w:rsidRPr="00657078">
        <w:t>an admitted hospital</w:t>
      </w:r>
      <w:r w:rsidR="00384CAB" w:rsidRPr="00657078">
        <w:t xml:space="preserve"> patient</w:t>
      </w:r>
      <w:r w:rsidR="00A103C3" w:rsidRPr="00657078">
        <w:t>)</w:t>
      </w:r>
      <w:r w:rsidRPr="00657078">
        <w:t>;</w:t>
      </w:r>
    </w:p>
    <w:p w14:paraId="259EB238" w14:textId="0433B083" w:rsidR="00A103C3" w:rsidRPr="00657078" w:rsidRDefault="00A103C3" w:rsidP="00A103C3">
      <w:pPr>
        <w:pStyle w:val="AspexBullet1"/>
      </w:pPr>
      <w:r w:rsidRPr="00657078">
        <w:t xml:space="preserve">They will promote management of end stage palliative care in the community, thus avoiding potentially preventable hospital admissions (at significantly </w:t>
      </w:r>
      <w:r w:rsidR="00614855" w:rsidRPr="00657078">
        <w:t>lower</w:t>
      </w:r>
      <w:r w:rsidRPr="00657078">
        <w:t xml:space="preserve"> cost to the Australian health </w:t>
      </w:r>
      <w:r w:rsidR="00E165E0" w:rsidRPr="00657078">
        <w:t xml:space="preserve">care </w:t>
      </w:r>
      <w:r w:rsidRPr="00657078">
        <w:t>system);</w:t>
      </w:r>
    </w:p>
    <w:p w14:paraId="5810B5BE" w14:textId="75610CD9" w:rsidR="00FF38D4" w:rsidRPr="00657078" w:rsidRDefault="00FF38D4" w:rsidP="00FF38D4">
      <w:pPr>
        <w:pStyle w:val="AspexBullet1"/>
      </w:pPr>
      <w:r w:rsidRPr="00657078">
        <w:t>They will support the capacity of general practitioners</w:t>
      </w:r>
      <w:r w:rsidR="0081173A" w:rsidRPr="00657078">
        <w:t xml:space="preserve"> (GPs)</w:t>
      </w:r>
      <w:r w:rsidRPr="00657078">
        <w:t xml:space="preserve"> to </w:t>
      </w:r>
      <w:r w:rsidR="00A103C3" w:rsidRPr="00657078">
        <w:t>effectively identify</w:t>
      </w:r>
      <w:r w:rsidR="00073D7F" w:rsidRPr="00657078">
        <w:t xml:space="preserve"> (</w:t>
      </w:r>
      <w:r w:rsidR="00384CAB" w:rsidRPr="00657078">
        <w:t xml:space="preserve">i.e. </w:t>
      </w:r>
      <w:r w:rsidR="00073D7F" w:rsidRPr="00657078">
        <w:t>case find)</w:t>
      </w:r>
      <w:r w:rsidR="00A103C3" w:rsidRPr="00657078">
        <w:t xml:space="preserve">, refer and thus deliver </w:t>
      </w:r>
      <w:r w:rsidRPr="00657078">
        <w:t>shared-care care arrangements for palliative care patients under current management;</w:t>
      </w:r>
    </w:p>
    <w:p w14:paraId="5E3CB7A0" w14:textId="03DF24BC" w:rsidR="00A103C3" w:rsidRPr="00657078" w:rsidRDefault="00A103C3" w:rsidP="00FF38D4">
      <w:pPr>
        <w:pStyle w:val="AspexBullet1"/>
      </w:pPr>
      <w:r w:rsidRPr="00657078">
        <w:t xml:space="preserve">They will reduce ad hoc and potentially unnecessary referrals to a range of </w:t>
      </w:r>
      <w:r w:rsidR="00073D7F" w:rsidRPr="00657078">
        <w:t xml:space="preserve">other independent </w:t>
      </w:r>
      <w:r w:rsidRPr="00657078">
        <w:t xml:space="preserve">specialists </w:t>
      </w:r>
      <w:r w:rsidR="00F04899" w:rsidRPr="00657078">
        <w:t xml:space="preserve">(in addition to any </w:t>
      </w:r>
      <w:r w:rsidR="00073D7F" w:rsidRPr="00657078">
        <w:t xml:space="preserve">repeated or unnecessary </w:t>
      </w:r>
      <w:r w:rsidR="00F04899" w:rsidRPr="00657078">
        <w:t xml:space="preserve">further investigations, pharmacological interventions or other procedures) </w:t>
      </w:r>
      <w:r w:rsidRPr="00657078">
        <w:t>for management of ongoing, or newly acquired secondary diagnoses, comorbidities or co</w:t>
      </w:r>
      <w:r w:rsidR="00073D7F" w:rsidRPr="00657078">
        <w:t>mplications associated with end-of-</w:t>
      </w:r>
      <w:r w:rsidRPr="00657078">
        <w:t>life care;</w:t>
      </w:r>
      <w:r w:rsidR="00F343C7" w:rsidRPr="00657078">
        <w:t xml:space="preserve"> </w:t>
      </w:r>
      <w:r w:rsidR="00175613" w:rsidRPr="00657078">
        <w:t>and</w:t>
      </w:r>
    </w:p>
    <w:p w14:paraId="427B5A6C" w14:textId="514E31ED" w:rsidR="00156062" w:rsidRPr="00657078" w:rsidRDefault="00073D7F" w:rsidP="00156062">
      <w:pPr>
        <w:pStyle w:val="AspexBullet1"/>
      </w:pPr>
      <w:r w:rsidRPr="00657078">
        <w:t>They are likely to</w:t>
      </w:r>
      <w:r w:rsidR="00156062" w:rsidRPr="00657078">
        <w:t xml:space="preserve"> promote </w:t>
      </w:r>
      <w:r w:rsidR="00A103C3" w:rsidRPr="00657078">
        <w:t xml:space="preserve">palliative care specialist </w:t>
      </w:r>
      <w:r w:rsidR="00156062" w:rsidRPr="00657078">
        <w:t>workforce development and increase access to services for patients</w:t>
      </w:r>
      <w:r w:rsidR="00A103C3" w:rsidRPr="00657078">
        <w:t xml:space="preserve"> (particularly in the community).</w:t>
      </w:r>
    </w:p>
    <w:p w14:paraId="4185553A" w14:textId="7D9CC7A1" w:rsidR="00156062" w:rsidRPr="00657078" w:rsidRDefault="00156062" w:rsidP="00156062">
      <w:pPr>
        <w:pStyle w:val="Heading2"/>
        <w:tabs>
          <w:tab w:val="clear" w:pos="964"/>
        </w:tabs>
        <w:ind w:left="851" w:hanging="851"/>
        <w:rPr>
          <w:color w:val="auto"/>
        </w:rPr>
      </w:pPr>
      <w:bookmarkStart w:id="19" w:name="_Toc224792857"/>
      <w:bookmarkStart w:id="20" w:name="_Toc382313786"/>
      <w:r w:rsidRPr="00657078">
        <w:rPr>
          <w:color w:val="auto"/>
        </w:rPr>
        <w:t>Proposed interventions</w:t>
      </w:r>
      <w:r w:rsidR="001653AE" w:rsidRPr="00657078">
        <w:rPr>
          <w:color w:val="auto"/>
        </w:rPr>
        <w:t>’</w:t>
      </w:r>
      <w:r w:rsidRPr="00657078">
        <w:rPr>
          <w:color w:val="auto"/>
        </w:rPr>
        <w:t xml:space="preserve"> place in clinical management</w:t>
      </w:r>
      <w:bookmarkEnd w:id="19"/>
      <w:bookmarkEnd w:id="20"/>
    </w:p>
    <w:p w14:paraId="33236D2F" w14:textId="14B9C3F7" w:rsidR="00156062" w:rsidRPr="00657078" w:rsidRDefault="00156062" w:rsidP="00156062">
      <w:pPr>
        <w:pStyle w:val="AspexBodyStandard"/>
      </w:pPr>
      <w:r w:rsidRPr="00657078">
        <w:t xml:space="preserve">The majority of patients </w:t>
      </w:r>
      <w:r w:rsidR="001653AE" w:rsidRPr="00657078">
        <w:t xml:space="preserve">requiring </w:t>
      </w:r>
      <w:r w:rsidR="0053395D" w:rsidRPr="00657078">
        <w:t xml:space="preserve">palliative care will, at least initially, </w:t>
      </w:r>
      <w:r w:rsidRPr="00657078">
        <w:t>present to general practice for assessment and treatment</w:t>
      </w:r>
      <w:r w:rsidR="0053395D" w:rsidRPr="00657078">
        <w:t xml:space="preserve"> – and then be referred on</w:t>
      </w:r>
      <w:r w:rsidR="001653AE" w:rsidRPr="00657078">
        <w:t xml:space="preserve"> </w:t>
      </w:r>
      <w:r w:rsidR="0053395D" w:rsidRPr="00657078">
        <w:t>to an appropriate medical specialist, or referred for hospital admission</w:t>
      </w:r>
      <w:r w:rsidRPr="00657078">
        <w:t xml:space="preserve">. Evidence from </w:t>
      </w:r>
      <w:r w:rsidR="00B74A87" w:rsidRPr="00657078">
        <w:t>a range of sources</w:t>
      </w:r>
      <w:r w:rsidRPr="00657078">
        <w:t xml:space="preserve"> indicates that these patients:</w:t>
      </w:r>
    </w:p>
    <w:p w14:paraId="2B56D2E7" w14:textId="72F8BC90" w:rsidR="0053395D" w:rsidRPr="00657078" w:rsidRDefault="0053395D" w:rsidP="00156062">
      <w:pPr>
        <w:pStyle w:val="AspexBullet1"/>
      </w:pPr>
      <w:r w:rsidRPr="00657078">
        <w:t xml:space="preserve">Will have a number of physical, psychological, social, cultural, </w:t>
      </w:r>
      <w:r w:rsidR="00C245FB" w:rsidRPr="00657078">
        <w:t xml:space="preserve">legal, </w:t>
      </w:r>
      <w:r w:rsidRPr="00657078">
        <w:t xml:space="preserve">spiritual, and other issues that </w:t>
      </w:r>
      <w:r w:rsidR="00621A71" w:rsidRPr="00657078">
        <w:t xml:space="preserve">may </w:t>
      </w:r>
      <w:r w:rsidRPr="00657078">
        <w:t xml:space="preserve">impact upon </w:t>
      </w:r>
      <w:r w:rsidR="00621A71" w:rsidRPr="00657078">
        <w:t>the</w:t>
      </w:r>
      <w:r w:rsidRPr="00657078">
        <w:t xml:space="preserve"> quality of their end-of-life experience, and </w:t>
      </w:r>
      <w:r w:rsidR="00621A71" w:rsidRPr="00657078">
        <w:t xml:space="preserve">thus a range </w:t>
      </w:r>
      <w:r w:rsidR="00BC3F4C" w:rsidRPr="00657078">
        <w:t>of associated</w:t>
      </w:r>
      <w:r w:rsidR="00621A71" w:rsidRPr="00657078">
        <w:t xml:space="preserve"> </w:t>
      </w:r>
      <w:r w:rsidRPr="00657078">
        <w:t>need</w:t>
      </w:r>
      <w:r w:rsidR="00621A71" w:rsidRPr="00657078">
        <w:t>s</w:t>
      </w:r>
      <w:r w:rsidRPr="00657078">
        <w:t xml:space="preserve"> for resolution of </w:t>
      </w:r>
      <w:r w:rsidR="00621A71" w:rsidRPr="00657078">
        <w:t>individual, family, and/or carer related</w:t>
      </w:r>
      <w:r w:rsidRPr="00657078">
        <w:t xml:space="preserve"> issues prior to dying;</w:t>
      </w:r>
    </w:p>
    <w:p w14:paraId="7120791D" w14:textId="522CB0C5" w:rsidR="00156062" w:rsidRPr="00657078" w:rsidRDefault="00422B86" w:rsidP="00156062">
      <w:pPr>
        <w:pStyle w:val="AspexBullet1"/>
      </w:pPr>
      <w:r w:rsidRPr="00657078">
        <w:t xml:space="preserve">Will transition (over; years, months, weeks or days) through </w:t>
      </w:r>
      <w:r w:rsidR="004E0D50" w:rsidRPr="00657078">
        <w:t xml:space="preserve">various </w:t>
      </w:r>
      <w:r w:rsidR="00664216" w:rsidRPr="00657078">
        <w:t>periods of stable symptoms, unstable symptoms, deteriorating symptoms</w:t>
      </w:r>
      <w:r w:rsidR="00C668F4" w:rsidRPr="00657078">
        <w:t>,</w:t>
      </w:r>
      <w:r w:rsidR="00664216" w:rsidRPr="00657078">
        <w:t xml:space="preserve"> and terminal symptoms</w:t>
      </w:r>
      <w:r w:rsidR="00CC2D55" w:rsidRPr="00657078">
        <w:t>. T</w:t>
      </w:r>
      <w:r w:rsidR="00664216" w:rsidRPr="00657078">
        <w:t xml:space="preserve">heir carers will </w:t>
      </w:r>
      <w:r w:rsidR="004E0D50" w:rsidRPr="00657078">
        <w:t xml:space="preserve">also </w:t>
      </w:r>
      <w:r w:rsidR="00664216" w:rsidRPr="00657078">
        <w:t xml:space="preserve">obviously experience a period of </w:t>
      </w:r>
      <w:r w:rsidR="004E0D50" w:rsidRPr="00657078">
        <w:t>bereavement</w:t>
      </w:r>
      <w:r w:rsidR="00664216" w:rsidRPr="00657078">
        <w:t xml:space="preserve"> that may </w:t>
      </w:r>
      <w:r w:rsidR="004E0D50" w:rsidRPr="00657078">
        <w:t>require</w:t>
      </w:r>
      <w:r w:rsidR="00CC2D55" w:rsidRPr="00657078">
        <w:t xml:space="preserve"> palliative care intervention</w:t>
      </w:r>
      <w:r w:rsidR="00156062" w:rsidRPr="00657078">
        <w:t>;</w:t>
      </w:r>
    </w:p>
    <w:p w14:paraId="143C13F3" w14:textId="585D1487" w:rsidR="00C668F4" w:rsidRPr="00657078" w:rsidRDefault="00C668F4" w:rsidP="00156062">
      <w:pPr>
        <w:pStyle w:val="AspexBullet1"/>
      </w:pPr>
      <w:r w:rsidRPr="00657078">
        <w:lastRenderedPageBreak/>
        <w:t>Are highly likely to experience a range of secondary conditions, comorbidities or treatment complications that arise during end-of-life care (e.g. spinal cord compression from metastatic cancer; dysphagia causing aspiration pneumonia, or acute airway occlusion associated with end stage brain-stem related neurological disease; ascites associated wi</w:t>
      </w:r>
      <w:r w:rsidR="00976EFB" w:rsidRPr="00657078">
        <w:t>th liver failure etc.);</w:t>
      </w:r>
    </w:p>
    <w:p w14:paraId="359F9E18" w14:textId="3CB362C9" w:rsidR="00B74A87" w:rsidRPr="00657078" w:rsidRDefault="00B74A87" w:rsidP="00156062">
      <w:pPr>
        <w:pStyle w:val="AspexBullet1"/>
      </w:pPr>
      <w:r w:rsidRPr="00657078">
        <w:t>Are therefore highly likely to require a subsequent reassessment to any initial assessment in order to address the consequences of any secondary issues that emerge, particularly as they become unstabl</w:t>
      </w:r>
      <w:r w:rsidR="00F27644" w:rsidRPr="00657078">
        <w:t>e or deteriorating during the period of their palliative care intervention.</w:t>
      </w:r>
    </w:p>
    <w:p w14:paraId="05D353F6" w14:textId="687E942C" w:rsidR="00156062" w:rsidRPr="00657078" w:rsidRDefault="00C668F4" w:rsidP="00156062">
      <w:pPr>
        <w:pStyle w:val="AspexBullet1"/>
      </w:pPr>
      <w:r w:rsidRPr="00657078">
        <w:t>Will require relatively urgent implementation of a range of multi-disc</w:t>
      </w:r>
      <w:r w:rsidR="009041E2" w:rsidRPr="00657078">
        <w:t>iplinary interventions</w:t>
      </w:r>
      <w:r w:rsidR="006E56B3" w:rsidRPr="00657078">
        <w:t>, aids, equipment or residential modifications</w:t>
      </w:r>
      <w:r w:rsidR="009041E2" w:rsidRPr="00657078">
        <w:t xml:space="preserve"> to address identified or emerging concerns relating to end-of-li</w:t>
      </w:r>
      <w:r w:rsidR="00976EFB" w:rsidRPr="00657078">
        <w:t>fe medical symptoms or concerns;</w:t>
      </w:r>
    </w:p>
    <w:p w14:paraId="1748B2C0" w14:textId="78730671" w:rsidR="00156062" w:rsidRPr="00657078" w:rsidRDefault="009041E2" w:rsidP="00156062">
      <w:pPr>
        <w:pStyle w:val="AspexBullet1"/>
      </w:pPr>
      <w:r w:rsidRPr="00657078">
        <w:t xml:space="preserve">Require a specialist with appropriate knowledge and capacity to identify current, foreseeable and emerging needs, implement </w:t>
      </w:r>
      <w:r w:rsidR="006E56B3" w:rsidRPr="00657078">
        <w:t>appropriate</w:t>
      </w:r>
      <w:r w:rsidRPr="00657078">
        <w:t xml:space="preserve"> medical interventions, and refer and co-ordinate a comprehensive range of multi-disciplinary </w:t>
      </w:r>
      <w:r w:rsidR="006E56B3" w:rsidRPr="00657078">
        <w:t>care arrangements that meet the existing and changing needs of individuals during end-o</w:t>
      </w:r>
      <w:r w:rsidR="001653AE" w:rsidRPr="00657078">
        <w:t>f</w:t>
      </w:r>
      <w:r w:rsidR="006E56B3" w:rsidRPr="00657078">
        <w:t>-life care.</w:t>
      </w:r>
    </w:p>
    <w:p w14:paraId="651B3CE7" w14:textId="2103EF48" w:rsidR="00156062" w:rsidRPr="00657078" w:rsidRDefault="002A2727" w:rsidP="00156062">
      <w:pPr>
        <w:pStyle w:val="AspexBodyStandard"/>
      </w:pPr>
      <w:r w:rsidRPr="00657078">
        <w:t>Palliative medicine</w:t>
      </w:r>
      <w:r w:rsidR="00156062" w:rsidRPr="00657078">
        <w:t xml:space="preserve"> specialis</w:t>
      </w:r>
      <w:r w:rsidR="00254EA0" w:rsidRPr="00657078">
        <w:t>ts play a role in shared care</w:t>
      </w:r>
      <w:r w:rsidR="00156062" w:rsidRPr="00657078">
        <w:t xml:space="preserve"> arrangements with general practice, providing practitioner advice, specialist assessment</w:t>
      </w:r>
      <w:r w:rsidR="00254EA0" w:rsidRPr="00657078">
        <w:t xml:space="preserve"> and consultation. For individuals and their families requiring more immediate or comprehensive services</w:t>
      </w:r>
      <w:r w:rsidR="001653AE" w:rsidRPr="00657078">
        <w:t>,</w:t>
      </w:r>
      <w:r w:rsidR="00156062" w:rsidRPr="00657078">
        <w:t xml:space="preserve"> </w:t>
      </w:r>
      <w:r w:rsidR="00254EA0" w:rsidRPr="00657078">
        <w:t>specialists have knowledge of and ready access to a range of</w:t>
      </w:r>
      <w:r w:rsidR="00156062" w:rsidRPr="00657078">
        <w:t xml:space="preserve"> </w:t>
      </w:r>
      <w:r w:rsidR="00254EA0" w:rsidRPr="00657078">
        <w:t xml:space="preserve">other </w:t>
      </w:r>
      <w:r w:rsidR="00696AA7" w:rsidRPr="00657078">
        <w:t xml:space="preserve">clinicians </w:t>
      </w:r>
      <w:r w:rsidR="00175613" w:rsidRPr="00657078">
        <w:t xml:space="preserve">who </w:t>
      </w:r>
      <w:r w:rsidR="0090218C">
        <w:t xml:space="preserve">are </w:t>
      </w:r>
      <w:r w:rsidR="00254EA0" w:rsidRPr="00657078">
        <w:t xml:space="preserve">able to meet a </w:t>
      </w:r>
      <w:r w:rsidR="001653AE" w:rsidRPr="00657078">
        <w:t xml:space="preserve">variety </w:t>
      </w:r>
      <w:r w:rsidR="00254EA0" w:rsidRPr="00657078">
        <w:t>of needs</w:t>
      </w:r>
      <w:r w:rsidR="001653AE" w:rsidRPr="00657078">
        <w:t xml:space="preserve">.  These </w:t>
      </w:r>
      <w:r w:rsidR="00696AA7" w:rsidRPr="00657078">
        <w:t xml:space="preserve">clinicians </w:t>
      </w:r>
      <w:r w:rsidR="00254EA0" w:rsidRPr="00657078">
        <w:t>includ</w:t>
      </w:r>
      <w:r w:rsidR="001653AE" w:rsidRPr="00657078">
        <w:t>e</w:t>
      </w:r>
      <w:r w:rsidR="00175613" w:rsidRPr="00657078">
        <w:t>;</w:t>
      </w:r>
      <w:r w:rsidR="00254EA0" w:rsidRPr="00657078">
        <w:t xml:space="preserve"> pastoral care, other physicians, nurses, social workers and mental health professionals.  Specifically, </w:t>
      </w:r>
      <w:r w:rsidRPr="00657078">
        <w:t>palliative medicine</w:t>
      </w:r>
      <w:r w:rsidR="003B174C" w:rsidRPr="00657078">
        <w:t xml:space="preserve"> </w:t>
      </w:r>
      <w:r w:rsidR="00254EA0" w:rsidRPr="00657078">
        <w:t xml:space="preserve">specialists </w:t>
      </w:r>
      <w:r w:rsidR="00156062" w:rsidRPr="00657078">
        <w:t xml:space="preserve">are trained to provide a number of </w:t>
      </w:r>
      <w:r w:rsidR="00EF5C8E" w:rsidRPr="00657078">
        <w:t>medical services</w:t>
      </w:r>
      <w:r w:rsidR="00156062" w:rsidRPr="00657078">
        <w:t xml:space="preserve"> including (but not limited to):</w:t>
      </w:r>
    </w:p>
    <w:p w14:paraId="60FC4507" w14:textId="407CECDE" w:rsidR="00156062" w:rsidRPr="00657078" w:rsidRDefault="00156062" w:rsidP="00156062">
      <w:pPr>
        <w:pStyle w:val="AspexBullet1"/>
      </w:pPr>
      <w:r w:rsidRPr="00657078">
        <w:t>Complex assessment</w:t>
      </w:r>
      <w:r w:rsidR="00EF5C8E" w:rsidRPr="00657078">
        <w:t>s</w:t>
      </w:r>
      <w:r w:rsidRPr="00657078">
        <w:t xml:space="preserve"> of patients experiencing</w:t>
      </w:r>
      <w:r w:rsidR="00EF5C8E" w:rsidRPr="00657078">
        <w:t xml:space="preserve"> life limiting illness, with the capacity to discuss prognostic implications, timeframes, symptom management, and address a holistic range of </w:t>
      </w:r>
      <w:r w:rsidR="00791715" w:rsidRPr="00657078">
        <w:t>end-</w:t>
      </w:r>
      <w:r w:rsidR="00EF5C8E" w:rsidRPr="00657078">
        <w:t>of</w:t>
      </w:r>
      <w:r w:rsidR="00791715" w:rsidRPr="00657078">
        <w:t>-</w:t>
      </w:r>
      <w:r w:rsidR="00EF5C8E" w:rsidRPr="00657078">
        <w:t>life concerns relating to psychosocial adjustment, functional ability, cultural issues, spiritual concerns and any other matters required to maximise the quality of life remaining for individuals and their families</w:t>
      </w:r>
      <w:r w:rsidRPr="00657078">
        <w:t>;</w:t>
      </w:r>
    </w:p>
    <w:p w14:paraId="48F118F3" w14:textId="05437AF2" w:rsidR="00156062" w:rsidRPr="00657078" w:rsidRDefault="00EF5C8E" w:rsidP="00156062">
      <w:pPr>
        <w:pStyle w:val="AspexBullet1"/>
      </w:pPr>
      <w:r w:rsidRPr="00657078">
        <w:t>Organise for on-going medical and multidisciplinary management in a range of settings including</w:t>
      </w:r>
      <w:r w:rsidR="00175613" w:rsidRPr="00657078">
        <w:t>;</w:t>
      </w:r>
      <w:r w:rsidRPr="00657078">
        <w:t xml:space="preserve"> inpatient, sub-acute/palliative care, hospice, home or residential care environments</w:t>
      </w:r>
      <w:r w:rsidR="00156062" w:rsidRPr="00657078">
        <w:t>;</w:t>
      </w:r>
    </w:p>
    <w:p w14:paraId="64570255" w14:textId="43D1A347" w:rsidR="00156062" w:rsidRPr="00657078" w:rsidRDefault="00871609" w:rsidP="00156062">
      <w:pPr>
        <w:pStyle w:val="AspexBullet1"/>
      </w:pPr>
      <w:r w:rsidRPr="00657078">
        <w:t>Re-assess patient deterioration and adjust complex treatment/management plans and the appropriate mix of care arrangements and supports required by individuals and their carers</w:t>
      </w:r>
      <w:r w:rsidR="00156062" w:rsidRPr="00657078">
        <w:t>;</w:t>
      </w:r>
    </w:p>
    <w:p w14:paraId="4778FB5A" w14:textId="1397CFED" w:rsidR="00156062" w:rsidRPr="00657078" w:rsidRDefault="00871609" w:rsidP="00156062">
      <w:pPr>
        <w:pStyle w:val="AspexBullet1"/>
      </w:pPr>
      <w:r w:rsidRPr="00657078">
        <w:t xml:space="preserve">Understand and manage a range of complex </w:t>
      </w:r>
      <w:proofErr w:type="spellStart"/>
      <w:r w:rsidRPr="00657078">
        <w:t>pharmaco</w:t>
      </w:r>
      <w:proofErr w:type="spellEnd"/>
      <w:r w:rsidRPr="00657078">
        <w:t xml:space="preserve">-therapeutic regimes for patients that manage symptoms, control pain and minimise or otherwise manage side effects associated with </w:t>
      </w:r>
      <w:r w:rsidR="00245A32" w:rsidRPr="00657078">
        <w:t>specific medications or medication interactions; and</w:t>
      </w:r>
    </w:p>
    <w:p w14:paraId="1654D7D2" w14:textId="681E5B80" w:rsidR="00245A32" w:rsidRPr="00657078" w:rsidRDefault="00245A32" w:rsidP="00156062">
      <w:pPr>
        <w:pStyle w:val="AspexBullet1"/>
      </w:pPr>
      <w:r w:rsidRPr="00657078">
        <w:t>Perform a range of other medical interventions including, administration of blood and blood products, and a range of abdominal or peritoneal procedures.</w:t>
      </w:r>
    </w:p>
    <w:p w14:paraId="074F9905" w14:textId="7E16B191" w:rsidR="00156062" w:rsidRPr="00657078" w:rsidRDefault="00156062" w:rsidP="00156062">
      <w:pPr>
        <w:pStyle w:val="AspexBodyStandard"/>
      </w:pPr>
      <w:r w:rsidRPr="00657078">
        <w:t xml:space="preserve">Thus, </w:t>
      </w:r>
      <w:r w:rsidR="002A2727" w:rsidRPr="00657078">
        <w:t>palliative medicine</w:t>
      </w:r>
      <w:r w:rsidRPr="00657078">
        <w:t xml:space="preserve"> is now a recognised specialty area that is available to </w:t>
      </w:r>
      <w:r w:rsidR="00245A32" w:rsidRPr="00657078">
        <w:t>a range of medical</w:t>
      </w:r>
      <w:r w:rsidRPr="00657078">
        <w:t xml:space="preserve"> practitioners in the same way that other specialties may be called upon for advice and or management of complex medical conditions. The clinical algorithm is therefore equivalent to other specialty areas whereby the majority of patients are managed in general practice, and acute or complex patients are referred for specialist consultation and/or ongoing management as appropriate. These issues are discussed further in Chapter 3.</w:t>
      </w:r>
    </w:p>
    <w:p w14:paraId="13AE08D2" w14:textId="77777777" w:rsidR="00156062" w:rsidRPr="00657078" w:rsidRDefault="00156062" w:rsidP="00156062">
      <w:pPr>
        <w:pStyle w:val="Heading2"/>
        <w:tabs>
          <w:tab w:val="clear" w:pos="964"/>
        </w:tabs>
        <w:ind w:left="851" w:hanging="851"/>
        <w:rPr>
          <w:color w:val="auto"/>
        </w:rPr>
      </w:pPr>
      <w:bookmarkStart w:id="21" w:name="_Toc224792858"/>
      <w:bookmarkStart w:id="22" w:name="_Toc382313787"/>
      <w:r w:rsidRPr="00657078">
        <w:rPr>
          <w:color w:val="auto"/>
        </w:rPr>
        <w:lastRenderedPageBreak/>
        <w:t>Other options for MSAC consideration</w:t>
      </w:r>
      <w:bookmarkEnd w:id="21"/>
      <w:bookmarkEnd w:id="22"/>
    </w:p>
    <w:p w14:paraId="16951604" w14:textId="111730E7" w:rsidR="00156062" w:rsidRPr="00657078" w:rsidRDefault="00156062" w:rsidP="00156062">
      <w:pPr>
        <w:pStyle w:val="AspexBodyStandard"/>
      </w:pPr>
      <w:r w:rsidRPr="00657078">
        <w:t xml:space="preserve">For physician equivalent items relating to </w:t>
      </w:r>
      <w:r w:rsidR="00FB5EAC" w:rsidRPr="00657078">
        <w:rPr>
          <w:b/>
        </w:rPr>
        <w:t>patient assessment</w:t>
      </w:r>
      <w:r w:rsidR="00FB5EAC" w:rsidRPr="00657078">
        <w:t xml:space="preserve"> (and reassessment) two </w:t>
      </w:r>
      <w:r w:rsidR="0088199A">
        <w:t>alternatives</w:t>
      </w:r>
      <w:r w:rsidR="0088199A" w:rsidRPr="00657078">
        <w:t xml:space="preserve"> </w:t>
      </w:r>
      <w:r w:rsidR="00FB5EAC" w:rsidRPr="00657078">
        <w:t>have been proposed:</w:t>
      </w:r>
    </w:p>
    <w:p w14:paraId="3E953900" w14:textId="41BBD600" w:rsidR="00FB5EAC" w:rsidRPr="00657078" w:rsidRDefault="00FB5EAC" w:rsidP="00FB5EAC">
      <w:pPr>
        <w:pStyle w:val="AspexBullet1"/>
      </w:pPr>
      <w:r w:rsidRPr="00657078">
        <w:t xml:space="preserve">The first </w:t>
      </w:r>
      <w:r w:rsidR="0088199A">
        <w:t>alternative</w:t>
      </w:r>
      <w:r w:rsidR="0088199A" w:rsidRPr="00657078">
        <w:t xml:space="preserve"> </w:t>
      </w:r>
      <w:r w:rsidRPr="00657078">
        <w:t>would involve:</w:t>
      </w:r>
    </w:p>
    <w:p w14:paraId="23B2DCFC" w14:textId="6F83EE33" w:rsidR="00F53B37" w:rsidRPr="00657078" w:rsidRDefault="00F53B37" w:rsidP="00FB5EAC">
      <w:pPr>
        <w:pStyle w:val="AspexBullet2"/>
      </w:pPr>
      <w:r w:rsidRPr="00657078">
        <w:t xml:space="preserve">One new item at a consultant physician ‘referred patient treatment and management planning’ rate (132) to be claimable for an </w:t>
      </w:r>
      <w:r w:rsidRPr="00657078">
        <w:rPr>
          <w:b/>
          <w:i/>
        </w:rPr>
        <w:t>initial assessment</w:t>
      </w:r>
      <w:r w:rsidRPr="00657078">
        <w:t xml:space="preserve"> in hospital/surgery or as a home visit; </w:t>
      </w:r>
      <w:r w:rsidRPr="00657078">
        <w:rPr>
          <w:u w:val="single"/>
        </w:rPr>
        <w:t>AND</w:t>
      </w:r>
      <w:r w:rsidRPr="00657078">
        <w:t xml:space="preserve">, one existing ‘professional attendance’ item for </w:t>
      </w:r>
      <w:r w:rsidR="00184320" w:rsidRPr="00657078">
        <w:t>p</w:t>
      </w:r>
      <w:r w:rsidRPr="00657078">
        <w:t xml:space="preserve">alliative </w:t>
      </w:r>
      <w:r w:rsidR="00184320" w:rsidRPr="00657078">
        <w:t>m</w:t>
      </w:r>
      <w:r w:rsidRPr="00657078">
        <w:t xml:space="preserve">edicine </w:t>
      </w:r>
      <w:r w:rsidR="00184320" w:rsidRPr="00657078">
        <w:t>s</w:t>
      </w:r>
      <w:r w:rsidRPr="00657078">
        <w:t xml:space="preserve">pecialists to undertake detailed patient </w:t>
      </w:r>
      <w:r w:rsidRPr="00657078">
        <w:rPr>
          <w:b/>
          <w:i/>
        </w:rPr>
        <w:t>reassessment</w:t>
      </w:r>
      <w:r w:rsidRPr="00657078">
        <w:rPr>
          <w:b/>
        </w:rPr>
        <w:t xml:space="preserve"> </w:t>
      </w:r>
      <w:r w:rsidRPr="00657078">
        <w:t xml:space="preserve">in hospital/surgery (3005) or as a home visit (3018); </w:t>
      </w:r>
    </w:p>
    <w:p w14:paraId="1FD47409" w14:textId="77777777" w:rsidR="00F53B37" w:rsidRPr="00657078" w:rsidRDefault="00F53B37" w:rsidP="00F53B37">
      <w:pPr>
        <w:pStyle w:val="AspexBullet2"/>
        <w:numPr>
          <w:ilvl w:val="0"/>
          <w:numId w:val="0"/>
        </w:numPr>
        <w:ind w:left="567"/>
      </w:pPr>
      <w:r w:rsidRPr="00657078">
        <w:rPr>
          <w:u w:val="single"/>
        </w:rPr>
        <w:t>OR</w:t>
      </w:r>
    </w:p>
    <w:p w14:paraId="3474317F" w14:textId="3BAE8FEE" w:rsidR="00F53B37" w:rsidRPr="00657078" w:rsidRDefault="00F53B37" w:rsidP="00F53B37">
      <w:pPr>
        <w:pStyle w:val="AspexBullet2"/>
      </w:pPr>
      <w:r w:rsidRPr="00657078">
        <w:t xml:space="preserve">Two existing ‘professional attendance’ items for </w:t>
      </w:r>
      <w:r w:rsidR="00184320" w:rsidRPr="00657078">
        <w:t>p</w:t>
      </w:r>
      <w:r w:rsidRPr="00657078">
        <w:t xml:space="preserve">alliative </w:t>
      </w:r>
      <w:r w:rsidR="00184320" w:rsidRPr="00657078">
        <w:t>m</w:t>
      </w:r>
      <w:r w:rsidRPr="00657078">
        <w:t xml:space="preserve">edicine </w:t>
      </w:r>
      <w:r w:rsidR="00184320" w:rsidRPr="00657078">
        <w:t>s</w:t>
      </w:r>
      <w:r w:rsidRPr="00657078">
        <w:t xml:space="preserve">pecialists to undertake an </w:t>
      </w:r>
      <w:r w:rsidRPr="00657078">
        <w:rPr>
          <w:b/>
          <w:i/>
        </w:rPr>
        <w:t>initial assessment</w:t>
      </w:r>
      <w:r w:rsidRPr="00657078">
        <w:t xml:space="preserve"> and detailed </w:t>
      </w:r>
      <w:r w:rsidRPr="00657078">
        <w:rPr>
          <w:b/>
          <w:i/>
        </w:rPr>
        <w:t>reassessment</w:t>
      </w:r>
      <w:r w:rsidRPr="00657078">
        <w:t xml:space="preserve"> in hospital/surgery (3005) or as a home visit (3018).</w:t>
      </w:r>
    </w:p>
    <w:p w14:paraId="5A904B89" w14:textId="5E0D8DCC" w:rsidR="00FB5EAC" w:rsidRPr="00657078" w:rsidRDefault="00FB5EAC" w:rsidP="00FB5EAC">
      <w:pPr>
        <w:pStyle w:val="AspexBullet1"/>
      </w:pPr>
      <w:r w:rsidRPr="00657078">
        <w:t xml:space="preserve">The second </w:t>
      </w:r>
      <w:r w:rsidR="0088199A">
        <w:t>alternative</w:t>
      </w:r>
      <w:r w:rsidR="0088199A" w:rsidRPr="00657078">
        <w:t xml:space="preserve"> </w:t>
      </w:r>
      <w:r w:rsidRPr="00657078">
        <w:t>would involve four ‘time-tiered’ items, allowing specialists to claim for actual t</w:t>
      </w:r>
      <w:r w:rsidR="009737C9" w:rsidRPr="00657078">
        <w:t>ime spent with a patient</w:t>
      </w:r>
      <w:r w:rsidRPr="00657078">
        <w:t xml:space="preserve">. </w:t>
      </w:r>
      <w:r w:rsidR="009737C9" w:rsidRPr="00657078">
        <w:t xml:space="preserve">Allowance would be made for specialists to claim these items on two separate occasions for any given patient within a 12-month period. </w:t>
      </w:r>
      <w:r w:rsidRPr="00657078">
        <w:t xml:space="preserve">This would be similar to a range of current MBS item numbers available to </w:t>
      </w:r>
      <w:r w:rsidR="009737C9" w:rsidRPr="00657078">
        <w:t xml:space="preserve">existing </w:t>
      </w:r>
      <w:r w:rsidR="00184320" w:rsidRPr="00657078">
        <w:t>s</w:t>
      </w:r>
      <w:r w:rsidRPr="00657078">
        <w:t>pecialists (A3)</w:t>
      </w:r>
      <w:r w:rsidR="009737C9" w:rsidRPr="00657078">
        <w:t xml:space="preserve"> and</w:t>
      </w:r>
      <w:r w:rsidRPr="00657078">
        <w:t xml:space="preserve"> </w:t>
      </w:r>
      <w:r w:rsidR="00184320" w:rsidRPr="00657078">
        <w:t>p</w:t>
      </w:r>
      <w:r w:rsidRPr="00657078">
        <w:t xml:space="preserve">alliative </w:t>
      </w:r>
      <w:r w:rsidR="00184320" w:rsidRPr="00657078">
        <w:t>m</w:t>
      </w:r>
      <w:r w:rsidRPr="00657078">
        <w:t xml:space="preserve">edicine </w:t>
      </w:r>
      <w:r w:rsidR="00184320" w:rsidRPr="00657078">
        <w:t>s</w:t>
      </w:r>
      <w:r w:rsidRPr="00657078">
        <w:t>pecialists (A24)</w:t>
      </w:r>
      <w:r w:rsidR="00791715" w:rsidRPr="00657078">
        <w:t>,</w:t>
      </w:r>
      <w:r w:rsidRPr="00657078">
        <w:t xml:space="preserve"> but the price would be fixed so that it did not exceed the maximum available to other Physicians (A4), and include: </w:t>
      </w:r>
    </w:p>
    <w:p w14:paraId="6CAEB36A" w14:textId="64F1BB44" w:rsidR="00FB5EAC" w:rsidRPr="00657078" w:rsidRDefault="00FB5EAC" w:rsidP="00FB5EAC">
      <w:pPr>
        <w:pStyle w:val="AspexBullet2"/>
        <w:spacing w:before="60"/>
      </w:pPr>
      <w:r w:rsidRPr="00657078">
        <w:t>An MBS item for consultations of</w:t>
      </w:r>
      <w:r w:rsidRPr="00657078">
        <w:rPr>
          <w:rFonts w:ascii="MS Gothic" w:eastAsia="MS Gothic" w:hAnsi="MS Gothic"/>
        </w:rPr>
        <w:t xml:space="preserve"> ≤</w:t>
      </w:r>
      <w:r w:rsidR="009737C9" w:rsidRPr="00657078">
        <w:t xml:space="preserve"> 20</w:t>
      </w:r>
      <w:r w:rsidRPr="00657078">
        <w:t xml:space="preserve"> minutes duration (priced at the value of MBS item </w:t>
      </w:r>
      <w:r w:rsidR="00FE6035" w:rsidRPr="00657078">
        <w:t>104</w:t>
      </w:r>
      <w:r w:rsidRPr="00657078">
        <w:t xml:space="preserve"> for </w:t>
      </w:r>
      <w:r w:rsidR="009737C9" w:rsidRPr="00657078">
        <w:t xml:space="preserve">other specialist </w:t>
      </w:r>
      <w:r w:rsidRPr="00657078">
        <w:t>consultations up to 20 minutes duration);</w:t>
      </w:r>
    </w:p>
    <w:p w14:paraId="0525D1E3" w14:textId="408D50A0" w:rsidR="00FB5EAC" w:rsidRPr="00657078" w:rsidRDefault="00FB5EAC" w:rsidP="00FB5EAC">
      <w:pPr>
        <w:pStyle w:val="AspexBullet2"/>
        <w:spacing w:before="60"/>
      </w:pPr>
      <w:r w:rsidRPr="00657078">
        <w:t xml:space="preserve">An MBS item for consultations of &gt; </w:t>
      </w:r>
      <w:r w:rsidR="009737C9" w:rsidRPr="00657078">
        <w:t>20</w:t>
      </w:r>
      <w:r w:rsidRPr="00657078">
        <w:t xml:space="preserve"> but </w:t>
      </w:r>
      <w:r w:rsidRPr="00657078">
        <w:rPr>
          <w:rFonts w:ascii="MS Gothic" w:eastAsia="MS Gothic" w:hAnsi="MS Gothic"/>
        </w:rPr>
        <w:t>≤</w:t>
      </w:r>
      <w:r w:rsidR="009737C9" w:rsidRPr="00657078">
        <w:t xml:space="preserve"> 4</w:t>
      </w:r>
      <w:r w:rsidRPr="00657078">
        <w:t xml:space="preserve">0 minutes duration (equivalent to MBS item </w:t>
      </w:r>
      <w:r w:rsidR="009737C9" w:rsidRPr="00657078">
        <w:t>3005</w:t>
      </w:r>
      <w:r w:rsidRPr="00657078">
        <w:t>);</w:t>
      </w:r>
    </w:p>
    <w:p w14:paraId="16F1A5FE" w14:textId="1D63C953" w:rsidR="00FB5EAC" w:rsidRPr="00657078" w:rsidRDefault="00FB5EAC" w:rsidP="00FB5EAC">
      <w:pPr>
        <w:pStyle w:val="AspexBullet2"/>
        <w:spacing w:before="60"/>
      </w:pPr>
      <w:r w:rsidRPr="00657078">
        <w:t>An MBS item for consultations</w:t>
      </w:r>
      <w:r w:rsidR="009737C9" w:rsidRPr="00657078">
        <w:t xml:space="preserve"> of &gt; 4</w:t>
      </w:r>
      <w:r w:rsidRPr="00657078">
        <w:t xml:space="preserve">0 but </w:t>
      </w:r>
      <w:r w:rsidRPr="00657078">
        <w:rPr>
          <w:rFonts w:ascii="MS Gothic" w:eastAsia="MS Gothic" w:hAnsi="MS Gothic"/>
        </w:rPr>
        <w:t>≤</w:t>
      </w:r>
      <w:r w:rsidR="009737C9" w:rsidRPr="00657078">
        <w:t xml:space="preserve"> 60</w:t>
      </w:r>
      <w:r w:rsidRPr="00657078">
        <w:t xml:space="preserve"> minutes duration (priced between MBS items </w:t>
      </w:r>
      <w:r w:rsidR="00FE6035" w:rsidRPr="00657078">
        <w:t>3005</w:t>
      </w:r>
      <w:r w:rsidRPr="00657078">
        <w:t xml:space="preserve"> and </w:t>
      </w:r>
      <w:r w:rsidR="009737C9" w:rsidRPr="00657078">
        <w:t>132</w:t>
      </w:r>
      <w:r w:rsidRPr="00657078">
        <w:t>); and</w:t>
      </w:r>
    </w:p>
    <w:p w14:paraId="4F79C169" w14:textId="67A1DA46" w:rsidR="00FB5EAC" w:rsidRPr="00657078" w:rsidRDefault="00FB5EAC" w:rsidP="00FB5EAC">
      <w:pPr>
        <w:pStyle w:val="AspexBullet2"/>
        <w:spacing w:before="60"/>
      </w:pPr>
      <w:r w:rsidRPr="00657078">
        <w:t>An MB</w:t>
      </w:r>
      <w:r w:rsidR="009737C9" w:rsidRPr="00657078">
        <w:t>S item for consultations of &gt; 60</w:t>
      </w:r>
      <w:r w:rsidRPr="00657078">
        <w:t xml:space="preserve"> minutes duration (equivalent to MBS item </w:t>
      </w:r>
      <w:r w:rsidR="009737C9" w:rsidRPr="00657078">
        <w:t>132</w:t>
      </w:r>
      <w:r w:rsidRPr="00657078">
        <w:t>).</w:t>
      </w:r>
    </w:p>
    <w:p w14:paraId="71B08B2A" w14:textId="3C23986B" w:rsidR="00FB5EAC" w:rsidRPr="00657078" w:rsidRDefault="009737C9" w:rsidP="009737C9">
      <w:pPr>
        <w:pStyle w:val="AspexBodyStandard"/>
      </w:pPr>
      <w:r w:rsidRPr="00657078">
        <w:t xml:space="preserve">Any new time-tiered items would replace current items for </w:t>
      </w:r>
      <w:r w:rsidRPr="00657078">
        <w:rPr>
          <w:b/>
          <w:i/>
        </w:rPr>
        <w:t>initial</w:t>
      </w:r>
      <w:r w:rsidRPr="00657078">
        <w:t xml:space="preserve"> ‘professional attendance’ in hospital/surgery (3005) or home visit (3018).</w:t>
      </w:r>
    </w:p>
    <w:p w14:paraId="08A18ACB" w14:textId="4905B61B" w:rsidR="009737C9" w:rsidRPr="00657078" w:rsidRDefault="009737C9" w:rsidP="009737C9">
      <w:pPr>
        <w:pStyle w:val="AspexBodyStandard"/>
      </w:pPr>
      <w:r w:rsidRPr="00657078">
        <w:t xml:space="preserve">For items relating to subsequent attendances, two </w:t>
      </w:r>
      <w:r w:rsidR="0088199A">
        <w:t>alternatives</w:t>
      </w:r>
      <w:r w:rsidR="0088199A" w:rsidRPr="00657078">
        <w:t xml:space="preserve"> </w:t>
      </w:r>
      <w:r w:rsidRPr="00657078">
        <w:t>are also proposed</w:t>
      </w:r>
      <w:r w:rsidR="00175613" w:rsidRPr="00657078">
        <w:t>:</w:t>
      </w:r>
    </w:p>
    <w:p w14:paraId="602DB815" w14:textId="7B281255" w:rsidR="009737C9" w:rsidRPr="00657078" w:rsidRDefault="009737C9" w:rsidP="00FE6035">
      <w:pPr>
        <w:pStyle w:val="AspexBullet1"/>
      </w:pPr>
      <w:r w:rsidRPr="00657078">
        <w:t xml:space="preserve">The first would be to retain all current items relating to subsequent and subsequent minor attendances </w:t>
      </w:r>
      <w:r w:rsidR="00D75EA9" w:rsidRPr="00657078">
        <w:t>for</w:t>
      </w:r>
      <w:r w:rsidRPr="00657078">
        <w:t xml:space="preserve"> hospital/surgery </w:t>
      </w:r>
      <w:r w:rsidR="00D75EA9" w:rsidRPr="00657078">
        <w:t xml:space="preserve">consultation (3010, 3014) </w:t>
      </w:r>
      <w:r w:rsidRPr="00657078">
        <w:t>or home visits</w:t>
      </w:r>
      <w:r w:rsidR="00D75EA9" w:rsidRPr="00657078">
        <w:t xml:space="preserve"> (3023, 3028)</w:t>
      </w:r>
      <w:r w:rsidR="00175613" w:rsidRPr="00657078">
        <w:t>; and</w:t>
      </w:r>
    </w:p>
    <w:p w14:paraId="467E48E9" w14:textId="4B542FA1" w:rsidR="00FE6035" w:rsidRPr="00657078" w:rsidRDefault="00FE6035" w:rsidP="00FE6035">
      <w:pPr>
        <w:pStyle w:val="AspexBullet1"/>
      </w:pPr>
      <w:r w:rsidRPr="00657078">
        <w:t xml:space="preserve">The second would involve four ‘time-tiered’ items, allowing specialists to claim for actual time spent with a patient. This would be also similar to a range of current MBS item numbers available to existing Specialists (A3) and </w:t>
      </w:r>
      <w:r w:rsidR="00184320" w:rsidRPr="00657078">
        <w:t>p</w:t>
      </w:r>
      <w:r w:rsidRPr="00657078">
        <w:t xml:space="preserve">alliative </w:t>
      </w:r>
      <w:r w:rsidR="00184320" w:rsidRPr="00657078">
        <w:t>m</w:t>
      </w:r>
      <w:r w:rsidRPr="00657078">
        <w:t xml:space="preserve">edicine </w:t>
      </w:r>
      <w:r w:rsidR="00184320" w:rsidRPr="00657078">
        <w:t>s</w:t>
      </w:r>
      <w:r w:rsidRPr="00657078">
        <w:t xml:space="preserve">pecialists (A24) but the price would be fixed so that it did not exceed the maximum available to other Physicians (A4) and </w:t>
      </w:r>
      <w:r w:rsidR="00791715" w:rsidRPr="00657078">
        <w:t xml:space="preserve">would </w:t>
      </w:r>
      <w:r w:rsidRPr="00657078">
        <w:t xml:space="preserve">include: </w:t>
      </w:r>
    </w:p>
    <w:p w14:paraId="75BFE30A" w14:textId="77777777" w:rsidR="00FE6035" w:rsidRPr="00657078" w:rsidRDefault="00FE6035" w:rsidP="00FE6035">
      <w:pPr>
        <w:pStyle w:val="AspexBullet2"/>
        <w:spacing w:before="60"/>
      </w:pPr>
      <w:r w:rsidRPr="00657078">
        <w:t>An MBS item for consultations of</w:t>
      </w:r>
      <w:r w:rsidRPr="00657078">
        <w:rPr>
          <w:rFonts w:ascii="MS Gothic" w:eastAsia="MS Gothic" w:hAnsi="MS Gothic"/>
        </w:rPr>
        <w:t xml:space="preserve"> ≤</w:t>
      </w:r>
      <w:r w:rsidRPr="00657078">
        <w:t xml:space="preserve"> 20 minutes duration (priced at the value of MBS item 105 for other specialist consultations up to 20 minutes duration);</w:t>
      </w:r>
    </w:p>
    <w:p w14:paraId="5D75F303" w14:textId="6527EF4B" w:rsidR="00FE6035" w:rsidRPr="00657078" w:rsidRDefault="00FE6035" w:rsidP="00FE6035">
      <w:pPr>
        <w:pStyle w:val="AspexBullet2"/>
        <w:spacing w:before="60"/>
      </w:pPr>
      <w:r w:rsidRPr="00657078">
        <w:t xml:space="preserve">An MBS item for consultations of &gt; 20 but </w:t>
      </w:r>
      <w:r w:rsidRPr="00657078">
        <w:rPr>
          <w:rFonts w:ascii="MS Gothic" w:eastAsia="MS Gothic" w:hAnsi="MS Gothic"/>
        </w:rPr>
        <w:t>≤</w:t>
      </w:r>
      <w:r w:rsidRPr="00657078">
        <w:t xml:space="preserve"> 40 minutes duration (equivalent to MBS item 3010);</w:t>
      </w:r>
    </w:p>
    <w:p w14:paraId="10F8A803" w14:textId="22D6C233" w:rsidR="00FE6035" w:rsidRPr="00657078" w:rsidRDefault="00FE6035" w:rsidP="00FE6035">
      <w:pPr>
        <w:pStyle w:val="AspexBullet2"/>
        <w:spacing w:before="60"/>
      </w:pPr>
      <w:r w:rsidRPr="00657078">
        <w:t xml:space="preserve">An MBS item for consultations of &gt; 40 but </w:t>
      </w:r>
      <w:r w:rsidRPr="00657078">
        <w:rPr>
          <w:rFonts w:ascii="MS Gothic" w:eastAsia="MS Gothic" w:hAnsi="MS Gothic"/>
        </w:rPr>
        <w:t>≤</w:t>
      </w:r>
      <w:r w:rsidRPr="00657078">
        <w:t xml:space="preserve"> 60 minutes duration (priced between MBS items 3010 and 133); and</w:t>
      </w:r>
    </w:p>
    <w:p w14:paraId="1BD1C54B" w14:textId="534F2BCE" w:rsidR="009737C9" w:rsidRPr="00657078" w:rsidRDefault="00FE6035" w:rsidP="00F53B37">
      <w:pPr>
        <w:pStyle w:val="AspexBullet2"/>
        <w:spacing w:before="60"/>
      </w:pPr>
      <w:r w:rsidRPr="00657078">
        <w:lastRenderedPageBreak/>
        <w:t>An MBS item for consultations of &gt; 60 minutes duration (equivalent to MBS item 133).</w:t>
      </w:r>
    </w:p>
    <w:p w14:paraId="37E811CC" w14:textId="05A3D865" w:rsidR="00156062" w:rsidRPr="00657078" w:rsidRDefault="009737C9" w:rsidP="00156062">
      <w:pPr>
        <w:pStyle w:val="AspexBodyStandard"/>
      </w:pPr>
      <w:r w:rsidRPr="00657078">
        <w:t>Any new time-tiered items would replace current items for ‘subsequent’ and ‘minor subsequent’ attendances in hospital/surgery (3010 and 3023) or home environments (3018 and 3028).</w:t>
      </w:r>
      <w:r w:rsidR="00FA528D" w:rsidRPr="00657078">
        <w:t xml:space="preserve"> </w:t>
      </w:r>
      <w:r w:rsidR="00156062" w:rsidRPr="00657078">
        <w:t>These alternatives are discussed further in Chapter 6.</w:t>
      </w:r>
    </w:p>
    <w:p w14:paraId="5CFF8D55" w14:textId="77777777" w:rsidR="00156062" w:rsidRPr="00657078" w:rsidRDefault="00156062" w:rsidP="00156062">
      <w:pPr>
        <w:pStyle w:val="Heading2"/>
        <w:tabs>
          <w:tab w:val="clear" w:pos="964"/>
        </w:tabs>
        <w:ind w:left="851" w:hanging="851"/>
        <w:rPr>
          <w:color w:val="auto"/>
        </w:rPr>
      </w:pPr>
      <w:bookmarkStart w:id="23" w:name="_Toc224792859"/>
      <w:bookmarkStart w:id="24" w:name="_Toc382313788"/>
      <w:r w:rsidRPr="00657078">
        <w:rPr>
          <w:color w:val="auto"/>
        </w:rPr>
        <w:t>Comparator to the proposed intervention</w:t>
      </w:r>
      <w:bookmarkEnd w:id="23"/>
      <w:bookmarkEnd w:id="24"/>
    </w:p>
    <w:p w14:paraId="0223E446" w14:textId="3C97C600" w:rsidR="005F42E1" w:rsidRDefault="009E0134" w:rsidP="00156062">
      <w:pPr>
        <w:pStyle w:val="AspexBodyStandard"/>
      </w:pPr>
      <w:r>
        <w:t>Palliative medicine is a key component of p</w:t>
      </w:r>
      <w:r w:rsidR="005F42E1">
        <w:t>alliative care</w:t>
      </w:r>
      <w:r>
        <w:t>. Palliative care services are</w:t>
      </w:r>
      <w:r w:rsidR="005F42E1">
        <w:t xml:space="preserve"> currently provided by a range of </w:t>
      </w:r>
      <w:r w:rsidR="00EB31A1">
        <w:t>medical, nursing, allied health</w:t>
      </w:r>
      <w:r w:rsidR="005F42E1">
        <w:t xml:space="preserve"> and other professionals</w:t>
      </w:r>
      <w:r>
        <w:t xml:space="preserve"> in both hospital and community settings</w:t>
      </w:r>
      <w:r w:rsidR="005F42E1">
        <w:t xml:space="preserve">.  Referrals </w:t>
      </w:r>
      <w:r>
        <w:t>for</w:t>
      </w:r>
      <w:r w:rsidR="005F42E1">
        <w:t xml:space="preserve"> palliative care</w:t>
      </w:r>
      <w:r>
        <w:t>-related</w:t>
      </w:r>
      <w:r w:rsidR="005F42E1">
        <w:t xml:space="preserve"> </w:t>
      </w:r>
      <w:r>
        <w:t xml:space="preserve">services </w:t>
      </w:r>
      <w:r w:rsidR="005F42E1">
        <w:t xml:space="preserve">may be made by general practitioners, medical specialists, individual patients, their </w:t>
      </w:r>
      <w:proofErr w:type="spellStart"/>
      <w:r w:rsidR="005F42E1">
        <w:t>carers</w:t>
      </w:r>
      <w:proofErr w:type="spellEnd"/>
      <w:r>
        <w:t>,</w:t>
      </w:r>
      <w:r w:rsidR="005F42E1">
        <w:t xml:space="preserve"> or a range of other health professionals.  Palliative medicine is </w:t>
      </w:r>
      <w:r>
        <w:t>the</w:t>
      </w:r>
      <w:r w:rsidR="005F42E1">
        <w:t xml:space="preserve"> specialty that is trained to deal with a comprehensive range of medical </w:t>
      </w:r>
      <w:r>
        <w:t>issues</w:t>
      </w:r>
      <w:r w:rsidR="005F42E1">
        <w:t xml:space="preserve"> and to assess, plan and co-ordinate a wide range of </w:t>
      </w:r>
      <w:r>
        <w:t>physical</w:t>
      </w:r>
      <w:r w:rsidR="005F42E1">
        <w:t xml:space="preserve">, psychological, social, and spiritual supports to address the end of life needs of patients and their </w:t>
      </w:r>
      <w:proofErr w:type="spellStart"/>
      <w:r w:rsidR="005F42E1">
        <w:t>carers</w:t>
      </w:r>
      <w:proofErr w:type="spellEnd"/>
      <w:r w:rsidR="005F42E1">
        <w:t>.</w:t>
      </w:r>
    </w:p>
    <w:p w14:paraId="2619ED9E" w14:textId="737C5A9F" w:rsidR="00156062" w:rsidRPr="00657078" w:rsidRDefault="00666A04" w:rsidP="00156062">
      <w:pPr>
        <w:pStyle w:val="AspexBodyStandard"/>
      </w:pPr>
      <w:r>
        <w:t>Where</w:t>
      </w:r>
      <w:r w:rsidR="001B7C47">
        <w:t xml:space="preserve"> </w:t>
      </w:r>
      <w:r w:rsidR="002A2727" w:rsidRPr="00657078">
        <w:t>palliative medicine</w:t>
      </w:r>
      <w:r w:rsidR="00156062" w:rsidRPr="00657078">
        <w:t xml:space="preserve"> specialists</w:t>
      </w:r>
      <w:r w:rsidR="001B7C47">
        <w:t xml:space="preserve"> are unavailable</w:t>
      </w:r>
      <w:r w:rsidR="00156062" w:rsidRPr="00657078">
        <w:t xml:space="preserve">, patients have access to interventions provided </w:t>
      </w:r>
      <w:r w:rsidR="005F42E1">
        <w:t>by</w:t>
      </w:r>
      <w:r w:rsidR="00156062" w:rsidRPr="00657078">
        <w:t xml:space="preserve"> a range of different </w:t>
      </w:r>
      <w:r w:rsidR="009E0134">
        <w:t>health professionals</w:t>
      </w:r>
      <w:r w:rsidR="00156062" w:rsidRPr="00657078">
        <w:t xml:space="preserve">. </w:t>
      </w:r>
      <w:r w:rsidR="005F42E1">
        <w:t xml:space="preserve">Access to different </w:t>
      </w:r>
      <w:r w:rsidR="009E0134">
        <w:t xml:space="preserve">medical </w:t>
      </w:r>
      <w:r w:rsidR="005F42E1">
        <w:t xml:space="preserve">specialists </w:t>
      </w:r>
      <w:r w:rsidR="009E0134">
        <w:t xml:space="preserve">(and other services) </w:t>
      </w:r>
      <w:r w:rsidR="005F42E1">
        <w:t>would be dependent</w:t>
      </w:r>
      <w:r w:rsidR="00156062" w:rsidRPr="00657078">
        <w:t xml:space="preserve"> upon the knowledge of </w:t>
      </w:r>
      <w:r w:rsidR="00EB31A1">
        <w:t>the referring med</w:t>
      </w:r>
      <w:r w:rsidR="005F42E1">
        <w:t>ical</w:t>
      </w:r>
      <w:r w:rsidR="00FA528D" w:rsidRPr="00657078">
        <w:t xml:space="preserve"> practitioner, t</w:t>
      </w:r>
      <w:r w:rsidR="00156062" w:rsidRPr="00657078">
        <w:t xml:space="preserve">he availability of </w:t>
      </w:r>
      <w:r w:rsidR="005F42E1">
        <w:t>different</w:t>
      </w:r>
      <w:r w:rsidR="00156062" w:rsidRPr="00657078">
        <w:t xml:space="preserve"> </w:t>
      </w:r>
      <w:r w:rsidR="009E0134">
        <w:t>health professionals</w:t>
      </w:r>
      <w:r w:rsidR="00156062" w:rsidRPr="00657078">
        <w:t xml:space="preserve"> and </w:t>
      </w:r>
      <w:r w:rsidR="00FA528D" w:rsidRPr="00657078">
        <w:t xml:space="preserve">the capacity of the medical practitioner to identify and co-ordinate a wide range of </w:t>
      </w:r>
      <w:r w:rsidR="00156062" w:rsidRPr="00657078">
        <w:t xml:space="preserve">other </w:t>
      </w:r>
      <w:r w:rsidR="00FA528D" w:rsidRPr="00657078">
        <w:t>multi-disciplinary services</w:t>
      </w:r>
      <w:r w:rsidR="00156062" w:rsidRPr="00657078">
        <w:t xml:space="preserve"> </w:t>
      </w:r>
      <w:r w:rsidR="00FA528D" w:rsidRPr="00657078">
        <w:t xml:space="preserve">required by individual patients and their </w:t>
      </w:r>
      <w:proofErr w:type="spellStart"/>
      <w:r w:rsidR="00FA528D" w:rsidRPr="00657078">
        <w:t>carers</w:t>
      </w:r>
      <w:proofErr w:type="spellEnd"/>
      <w:r w:rsidR="00156062" w:rsidRPr="00657078">
        <w:t xml:space="preserve">.  </w:t>
      </w:r>
      <w:r w:rsidR="00881A99" w:rsidRPr="00657078">
        <w:t>The capacity to undertake and coordinate these referrals would also be dependent upon the individual medical practitioner</w:t>
      </w:r>
      <w:r w:rsidR="00791715" w:rsidRPr="00657078">
        <w:t>’</w:t>
      </w:r>
      <w:r w:rsidR="00881A99" w:rsidRPr="00657078">
        <w:t>s acceptance and capability to deal with palliative phases of patient treatment (rather than predominantly focusing upon potentially curative approaches to any underlying illness).</w:t>
      </w:r>
    </w:p>
    <w:p w14:paraId="4BBD80EB" w14:textId="77B40AC7" w:rsidR="00156062" w:rsidRPr="00657078" w:rsidRDefault="00FA528D" w:rsidP="00FA528D">
      <w:pPr>
        <w:pStyle w:val="AspexBodyStandard"/>
      </w:pPr>
      <w:r w:rsidRPr="00657078">
        <w:t xml:space="preserve">The most clinically acceptable and cost-effective comparison for investigation involves the referral and management of palliative care patients in the community rather than an admitted hospital environment. Research reveals that the majority of patients and their carers prefer to die in a community environment.  Evidence also indicates that when appropriately managed in the community, palliative care patients are 87.5% more likely to remain in the community until death.  Thus, whilst palliative care admissions to hospital </w:t>
      </w:r>
      <w:r w:rsidR="00881A99" w:rsidRPr="00657078">
        <w:t>cannot</w:t>
      </w:r>
      <w:r w:rsidRPr="00657078">
        <w:t xml:space="preserve"> entirely be avoided, there is a significant cohort of individuals who may prevent hospital admission by receiving appropriate community based management.</w:t>
      </w:r>
      <w:r w:rsidR="00156062" w:rsidRPr="00657078">
        <w:t xml:space="preserve"> Comparator specialty </w:t>
      </w:r>
      <w:r w:rsidR="00AC6827">
        <w:t>alternatives</w:t>
      </w:r>
      <w:r w:rsidR="00AC6827" w:rsidRPr="00657078">
        <w:t xml:space="preserve"> </w:t>
      </w:r>
      <w:r w:rsidR="00156062" w:rsidRPr="00657078">
        <w:t>are discussed in further detail in Chapter 4.</w:t>
      </w:r>
    </w:p>
    <w:p w14:paraId="40078BE4" w14:textId="77777777" w:rsidR="00156062" w:rsidRPr="00657078" w:rsidRDefault="00156062" w:rsidP="00156062">
      <w:pPr>
        <w:pStyle w:val="Heading2"/>
        <w:tabs>
          <w:tab w:val="clear" w:pos="964"/>
        </w:tabs>
        <w:ind w:left="851" w:hanging="851"/>
        <w:rPr>
          <w:color w:val="auto"/>
        </w:rPr>
      </w:pPr>
      <w:bookmarkStart w:id="25" w:name="_Toc224792860"/>
      <w:bookmarkStart w:id="26" w:name="_Toc382313789"/>
      <w:r w:rsidRPr="00657078">
        <w:rPr>
          <w:color w:val="auto"/>
        </w:rPr>
        <w:t>Comparative safety</w:t>
      </w:r>
      <w:bookmarkEnd w:id="25"/>
      <w:bookmarkEnd w:id="26"/>
    </w:p>
    <w:p w14:paraId="7C8E7F78" w14:textId="3C2697B9" w:rsidR="00156062" w:rsidRPr="00657078" w:rsidRDefault="00156062" w:rsidP="00156062">
      <w:pPr>
        <w:pStyle w:val="AspexBodyStandard"/>
      </w:pPr>
      <w:r w:rsidRPr="00657078">
        <w:t xml:space="preserve">There is strong evidence for the safety of pharmacotherapy </w:t>
      </w:r>
      <w:r w:rsidR="00881A99" w:rsidRPr="00657078">
        <w:t>interventions provided by palliative care specialists (all of which have been previously approved by the Therapeutic Goods Administration</w:t>
      </w:r>
      <w:r w:rsidR="00175613" w:rsidRPr="00657078">
        <w:t xml:space="preserve"> (TGA)</w:t>
      </w:r>
      <w:r w:rsidR="00881A99" w:rsidRPr="00657078">
        <w:t xml:space="preserve"> for prescription in Australia)</w:t>
      </w:r>
      <w:r w:rsidRPr="00657078">
        <w:t>.</w:t>
      </w:r>
    </w:p>
    <w:p w14:paraId="174B1A1B" w14:textId="761B38CB" w:rsidR="001A657B" w:rsidRPr="00657078" w:rsidRDefault="001A657B" w:rsidP="001A657B">
      <w:pPr>
        <w:pStyle w:val="AspexBodyStandard"/>
      </w:pPr>
      <w:r w:rsidRPr="00657078">
        <w:t xml:space="preserve">It is acknowledged however, that systematic analysis of the specific safety associated with delivery of these interventions by palliative specialists (compared with delivery by other specialist groups) is lacking in the research literature.  Notwithstanding, anecdotal examples of where </w:t>
      </w:r>
      <w:r w:rsidR="002A2727" w:rsidRPr="00657078">
        <w:t>palliative medicine</w:t>
      </w:r>
      <w:r w:rsidRPr="00657078">
        <w:t xml:space="preserve"> can offer safer outcomes (pending further specialty specific research) include, but are not limited to:</w:t>
      </w:r>
    </w:p>
    <w:p w14:paraId="37352E37" w14:textId="77777777" w:rsidR="001A657B" w:rsidRPr="00657078" w:rsidRDefault="001A657B" w:rsidP="001A657B">
      <w:pPr>
        <w:pStyle w:val="AspexBullet1"/>
      </w:pPr>
      <w:r w:rsidRPr="00657078">
        <w:t>Avoidable hospitalisations or investigations;</w:t>
      </w:r>
    </w:p>
    <w:p w14:paraId="0E3AB47F" w14:textId="77777777" w:rsidR="001A657B" w:rsidRPr="00657078" w:rsidRDefault="001A657B" w:rsidP="001A657B">
      <w:pPr>
        <w:pStyle w:val="AspexBullet1"/>
      </w:pPr>
      <w:r w:rsidRPr="00657078">
        <w:t>Prevention of pharmaceutical toxicity;</w:t>
      </w:r>
    </w:p>
    <w:p w14:paraId="7D2B2EAB" w14:textId="77777777" w:rsidR="001A657B" w:rsidRPr="00657078" w:rsidRDefault="001A657B" w:rsidP="001A657B">
      <w:pPr>
        <w:pStyle w:val="AspexBullet1"/>
      </w:pPr>
      <w:r w:rsidRPr="00657078">
        <w:lastRenderedPageBreak/>
        <w:t>Management of pharmaceutical interactions;</w:t>
      </w:r>
    </w:p>
    <w:p w14:paraId="7CAA61B6" w14:textId="77777777" w:rsidR="001A657B" w:rsidRPr="00657078" w:rsidRDefault="001A657B" w:rsidP="001A657B">
      <w:pPr>
        <w:pStyle w:val="AspexBullet1"/>
      </w:pPr>
      <w:r w:rsidRPr="00657078">
        <w:t>Early identification and management of spinal cord compression and/or other acute onset events secondary to systemic neoplastic disease;</w:t>
      </w:r>
    </w:p>
    <w:p w14:paraId="2F736C3E" w14:textId="77777777" w:rsidR="001A657B" w:rsidRPr="00657078" w:rsidRDefault="001A657B" w:rsidP="001A657B">
      <w:pPr>
        <w:pStyle w:val="AspexBullet1"/>
      </w:pPr>
      <w:r w:rsidRPr="00657078">
        <w:t>Management of severe psychological distress;</w:t>
      </w:r>
    </w:p>
    <w:p w14:paraId="7A0C5A5D" w14:textId="77777777" w:rsidR="001A657B" w:rsidRPr="00657078" w:rsidRDefault="001A657B" w:rsidP="001A657B">
      <w:pPr>
        <w:pStyle w:val="AspexBullet1"/>
      </w:pPr>
      <w:r w:rsidRPr="00657078">
        <w:t>Management of pain;</w:t>
      </w:r>
    </w:p>
    <w:p w14:paraId="46F3ABCE" w14:textId="77777777" w:rsidR="001A657B" w:rsidRPr="00657078" w:rsidRDefault="001A657B" w:rsidP="001A657B">
      <w:pPr>
        <w:pStyle w:val="AspexBullet1"/>
      </w:pPr>
      <w:r w:rsidRPr="00657078">
        <w:t>Management of patient agitation; and</w:t>
      </w:r>
    </w:p>
    <w:p w14:paraId="0D12C7CB" w14:textId="77777777" w:rsidR="001A657B" w:rsidRPr="00657078" w:rsidRDefault="001A657B" w:rsidP="001A657B">
      <w:pPr>
        <w:pStyle w:val="AspexBullet1"/>
      </w:pPr>
      <w:r w:rsidRPr="00657078">
        <w:t>Management of dyspnoea.</w:t>
      </w:r>
    </w:p>
    <w:p w14:paraId="3014569A" w14:textId="4BB5D86A" w:rsidR="001A657B" w:rsidRPr="00657078" w:rsidRDefault="009D19C1" w:rsidP="00156062">
      <w:pPr>
        <w:pStyle w:val="AspexBodyStandard"/>
      </w:pPr>
      <w:r w:rsidRPr="00657078">
        <w:t xml:space="preserve">Comparisons with palliative care provided in general practice indicate that palliative care specialists are able to spend more time with patients (on average), have a higher level of specific training across a multitude of end-of-life interventions, are more readily able to implement and co-ordinate a range of multi-disciplinary interventions, and have greater exposure to a larger number of patients requiring end of life care in a typical year - thus </w:t>
      </w:r>
      <w:r w:rsidR="00791715" w:rsidRPr="00657078">
        <w:t>en</w:t>
      </w:r>
      <w:r w:rsidRPr="00657078">
        <w:t>abl</w:t>
      </w:r>
      <w:r w:rsidR="00791715" w:rsidRPr="00657078">
        <w:t xml:space="preserve">ing them </w:t>
      </w:r>
      <w:r w:rsidRPr="00657078">
        <w:t>to maintain a higher level of skill across a wide range of patients with palliative care needs.</w:t>
      </w:r>
    </w:p>
    <w:p w14:paraId="63E5686C" w14:textId="7C26FE44" w:rsidR="00156062" w:rsidRPr="00657078" w:rsidRDefault="00156062" w:rsidP="00156062">
      <w:pPr>
        <w:pStyle w:val="AspexBullet1"/>
        <w:numPr>
          <w:ilvl w:val="0"/>
          <w:numId w:val="0"/>
        </w:numPr>
      </w:pPr>
      <w:r w:rsidRPr="00657078">
        <w:t xml:space="preserve">Thus from the available evidence, services provided by </w:t>
      </w:r>
      <w:r w:rsidR="002A2727" w:rsidRPr="00657078">
        <w:t>palliative medicine</w:t>
      </w:r>
      <w:r w:rsidRPr="00657078">
        <w:t xml:space="preserve"> specialists are possibly safer and more effective than the same services provided across a range of different </w:t>
      </w:r>
      <w:r w:rsidR="00881A99" w:rsidRPr="00657078">
        <w:t>medical practitioners</w:t>
      </w:r>
      <w:r w:rsidRPr="00657078">
        <w:t xml:space="preserve">. </w:t>
      </w:r>
    </w:p>
    <w:p w14:paraId="72E3E441" w14:textId="77777777" w:rsidR="00156062" w:rsidRPr="00657078" w:rsidRDefault="00156062" w:rsidP="00156062">
      <w:pPr>
        <w:pStyle w:val="Heading2"/>
        <w:tabs>
          <w:tab w:val="clear" w:pos="964"/>
        </w:tabs>
        <w:ind w:left="851" w:hanging="851"/>
        <w:rPr>
          <w:color w:val="auto"/>
        </w:rPr>
      </w:pPr>
      <w:bookmarkStart w:id="27" w:name="_Toc224792861"/>
      <w:bookmarkStart w:id="28" w:name="_Toc382313790"/>
      <w:r w:rsidRPr="00657078">
        <w:rPr>
          <w:color w:val="auto"/>
        </w:rPr>
        <w:t>Comparative effectiveness</w:t>
      </w:r>
      <w:bookmarkEnd w:id="27"/>
      <w:bookmarkEnd w:id="28"/>
    </w:p>
    <w:p w14:paraId="35D13587" w14:textId="7EF574A7" w:rsidR="009D19C1" w:rsidRPr="00657078" w:rsidRDefault="00156062" w:rsidP="00156062">
      <w:pPr>
        <w:pStyle w:val="AspexBodyStandard"/>
      </w:pPr>
      <w:r w:rsidRPr="00657078">
        <w:t xml:space="preserve">Evidence indicates that an appropriate mix of interventions is required in order to maximise </w:t>
      </w:r>
      <w:r w:rsidR="009D19C1" w:rsidRPr="00657078">
        <w:t>the quality of life remaining</w:t>
      </w:r>
      <w:r w:rsidRPr="00657078">
        <w:t xml:space="preserve"> for patients with </w:t>
      </w:r>
      <w:r w:rsidR="009D19C1" w:rsidRPr="00657078">
        <w:t>terminal illness</w:t>
      </w:r>
      <w:r w:rsidRPr="00657078">
        <w:t xml:space="preserve">.  </w:t>
      </w:r>
      <w:r w:rsidR="009D19C1" w:rsidRPr="00657078">
        <w:t xml:space="preserve">Given the multi-disciplinary nature of palliative care, research has not specifically examined the role of palliative medicine specialists as an individual component of team based interventions. More generally, the involvement of palliative care teams (including specialists) has been reported to result in: </w:t>
      </w:r>
    </w:p>
    <w:p w14:paraId="027B8682" w14:textId="616E83A2" w:rsidR="00156062" w:rsidRPr="00657078" w:rsidRDefault="009D19C1" w:rsidP="00156062">
      <w:pPr>
        <w:pStyle w:val="AspexBullet1"/>
      </w:pPr>
      <w:r w:rsidRPr="00657078">
        <w:t>Increased time spent at home;</w:t>
      </w:r>
    </w:p>
    <w:p w14:paraId="2846CC3D" w14:textId="585A8C21" w:rsidR="009D19C1" w:rsidRPr="00657078" w:rsidRDefault="009D19C1" w:rsidP="00156062">
      <w:pPr>
        <w:pStyle w:val="AspexBullet1"/>
      </w:pPr>
      <w:r w:rsidRPr="00657078">
        <w:t>A reduction in the number of inpatient hospital days;</w:t>
      </w:r>
    </w:p>
    <w:p w14:paraId="668A07CF" w14:textId="24BEB877" w:rsidR="009D19C1" w:rsidRPr="00657078" w:rsidRDefault="009D19C1" w:rsidP="00156062">
      <w:pPr>
        <w:pStyle w:val="AspexBullet1"/>
      </w:pPr>
      <w:r w:rsidRPr="00657078">
        <w:t>A reduction in the length of time spent in hospital for those requiring admission;</w:t>
      </w:r>
    </w:p>
    <w:p w14:paraId="6B2ABBAB" w14:textId="507AB4F8" w:rsidR="009D19C1" w:rsidRPr="00657078" w:rsidRDefault="009D19C1" w:rsidP="00156062">
      <w:pPr>
        <w:pStyle w:val="AspexBullet1"/>
      </w:pPr>
      <w:r w:rsidRPr="00657078">
        <w:t>Improved satisfaction by patients and their carers;</w:t>
      </w:r>
    </w:p>
    <w:p w14:paraId="67BCC912" w14:textId="65F2A23C" w:rsidR="009D19C1" w:rsidRPr="00657078" w:rsidRDefault="009D19C1" w:rsidP="00156062">
      <w:pPr>
        <w:pStyle w:val="AspexBullet1"/>
      </w:pPr>
      <w:r w:rsidRPr="00657078">
        <w:t>Improved symptom control;</w:t>
      </w:r>
    </w:p>
    <w:p w14:paraId="49BD340A" w14:textId="726E91C3" w:rsidR="009D19C1" w:rsidRPr="00657078" w:rsidRDefault="009D19C1" w:rsidP="00156062">
      <w:pPr>
        <w:pStyle w:val="AspexBullet1"/>
      </w:pPr>
      <w:r w:rsidRPr="00657078">
        <w:t>A reduction in care giver burden; and</w:t>
      </w:r>
    </w:p>
    <w:p w14:paraId="7A8243C3" w14:textId="5CE6B545" w:rsidR="009D19C1" w:rsidRPr="00657078" w:rsidRDefault="009D19C1" w:rsidP="00156062">
      <w:pPr>
        <w:pStyle w:val="AspexBullet1"/>
      </w:pPr>
      <w:r w:rsidRPr="00657078">
        <w:t>A reduction in the overall costs of care</w:t>
      </w:r>
      <w:r w:rsidR="00583ACB" w:rsidRPr="00657078">
        <w:t>.</w:t>
      </w:r>
    </w:p>
    <w:p w14:paraId="57E3E1CC" w14:textId="0B88D18D" w:rsidR="00156062" w:rsidRPr="00657078" w:rsidRDefault="00353236" w:rsidP="00156062">
      <w:pPr>
        <w:pStyle w:val="AspexBodyStandard"/>
      </w:pPr>
      <w:r w:rsidRPr="00657078">
        <w:t>The a</w:t>
      </w:r>
      <w:r w:rsidR="00156062" w:rsidRPr="00657078">
        <w:t xml:space="preserve">vailable evidence indicates that specialists in </w:t>
      </w:r>
      <w:r w:rsidR="002A2727" w:rsidRPr="00657078">
        <w:t>palliative medicine</w:t>
      </w:r>
      <w:r w:rsidR="00156062" w:rsidRPr="00657078">
        <w:t xml:space="preserve"> are more likely</w:t>
      </w:r>
      <w:r w:rsidR="00175613" w:rsidRPr="00657078">
        <w:t xml:space="preserve"> to</w:t>
      </w:r>
      <w:r w:rsidR="00156062" w:rsidRPr="00657078">
        <w:t xml:space="preserve"> provide</w:t>
      </w:r>
      <w:r w:rsidR="00175613" w:rsidRPr="00657078">
        <w:t>,</w:t>
      </w:r>
      <w:r w:rsidR="00156062" w:rsidRPr="00657078">
        <w:t xml:space="preserve"> or otherwise co-ordinate</w:t>
      </w:r>
      <w:r w:rsidR="00175613" w:rsidRPr="00657078">
        <w:t>,</w:t>
      </w:r>
      <w:r w:rsidR="00156062" w:rsidRPr="00657078">
        <w:t xml:space="preserve"> the best mix of evidence</w:t>
      </w:r>
      <w:r w:rsidR="006E0FBB" w:rsidRPr="00657078">
        <w:t>-</w:t>
      </w:r>
      <w:r w:rsidR="00156062" w:rsidRPr="00657078">
        <w:t>based interventions in the right environment, to</w:t>
      </w:r>
      <w:r w:rsidR="009D19C1" w:rsidRPr="00657078">
        <w:t xml:space="preserve"> maximise patient and carer quality of life.  It is also noted that a great deal of recent research has been funded in Australia</w:t>
      </w:r>
      <w:r w:rsidR="00583ACB" w:rsidRPr="00657078">
        <w:t>,</w:t>
      </w:r>
      <w:r w:rsidR="009D19C1" w:rsidRPr="00657078">
        <w:t xml:space="preserve"> through the National Health and Medical Research Council</w:t>
      </w:r>
      <w:r w:rsidR="00583ACB" w:rsidRPr="00657078">
        <w:t xml:space="preserve"> (NHMRC</w:t>
      </w:r>
      <w:r w:rsidR="006E0FBB" w:rsidRPr="00657078">
        <w:t>)</w:t>
      </w:r>
      <w:r w:rsidR="009D19C1" w:rsidRPr="00657078">
        <w:t>.  Many of these studies are expected to appear in the peer-reviewed literature over the next few years.</w:t>
      </w:r>
    </w:p>
    <w:p w14:paraId="1A1E8653" w14:textId="0AA02EA4" w:rsidR="00353236" w:rsidRPr="00657078" w:rsidRDefault="00353236" w:rsidP="00353236">
      <w:pPr>
        <w:pStyle w:val="AspexBodyStandard"/>
      </w:pPr>
      <w:r w:rsidRPr="00657078">
        <w:t xml:space="preserve">Thus, there is no evidence that the outcomes of interventions provided by </w:t>
      </w:r>
      <w:r w:rsidR="002A2727" w:rsidRPr="00657078">
        <w:t>palliative medicine</w:t>
      </w:r>
      <w:r w:rsidRPr="00657078">
        <w:t xml:space="preserve"> specialists will be any worse than the same interventions provided by other specialists. </w:t>
      </w:r>
      <w:r w:rsidR="001B7C47">
        <w:t xml:space="preserve">Similarly, there is no evidence that outcomes provided by palliative medicine specialists who </w:t>
      </w:r>
      <w:r w:rsidR="001B7C47">
        <w:lastRenderedPageBreak/>
        <w:t xml:space="preserve">are co-registered as </w:t>
      </w:r>
      <w:r w:rsidR="00C43D2F">
        <w:t>physicians on the MBS</w:t>
      </w:r>
      <w:r w:rsidR="001B7C47">
        <w:t>, and have access to items for comprehensive assessment and treatment planning, are any better or worse than other palliative medicine specialists</w:t>
      </w:r>
      <w:r w:rsidR="001B7C47">
        <w:rPr>
          <w:rStyle w:val="FootnoteReference"/>
        </w:rPr>
        <w:footnoteReference w:id="1"/>
      </w:r>
      <w:r w:rsidR="001B7C47">
        <w:t xml:space="preserve">. </w:t>
      </w:r>
      <w:r w:rsidR="000121B0">
        <w:t>Thus</w:t>
      </w:r>
      <w:r w:rsidRPr="00657078">
        <w:t xml:space="preserve">, it is acknowledged, that in the absence of specific comparisons between </w:t>
      </w:r>
      <w:r w:rsidR="002A2727" w:rsidRPr="00657078">
        <w:t>palliative medicine</w:t>
      </w:r>
      <w:r w:rsidRPr="00657078">
        <w:t xml:space="preserve"> specialists and other specialists providing services to the same group of patients, there remains some uncertainty </w:t>
      </w:r>
      <w:r w:rsidR="006E0FBB" w:rsidRPr="00657078">
        <w:t xml:space="preserve">in relation to </w:t>
      </w:r>
      <w:r w:rsidRPr="00657078">
        <w:t>this judgement.</w:t>
      </w:r>
    </w:p>
    <w:p w14:paraId="5188FF38" w14:textId="77777777" w:rsidR="00156062" w:rsidRPr="00657078" w:rsidRDefault="00156062" w:rsidP="00156062">
      <w:pPr>
        <w:pStyle w:val="Heading2"/>
        <w:tabs>
          <w:tab w:val="clear" w:pos="964"/>
        </w:tabs>
        <w:ind w:left="851" w:hanging="851"/>
        <w:rPr>
          <w:color w:val="auto"/>
        </w:rPr>
      </w:pPr>
      <w:bookmarkStart w:id="29" w:name="_Toc224792862"/>
      <w:bookmarkStart w:id="30" w:name="_Toc382313791"/>
      <w:r w:rsidRPr="00657078">
        <w:rPr>
          <w:color w:val="auto"/>
        </w:rPr>
        <w:t>Economic evaluation</w:t>
      </w:r>
      <w:bookmarkEnd w:id="29"/>
      <w:bookmarkEnd w:id="30"/>
    </w:p>
    <w:p w14:paraId="72A1289D" w14:textId="3FCF02B9" w:rsidR="001B5B90" w:rsidRPr="00657078" w:rsidRDefault="001B5B90" w:rsidP="001B5B90">
      <w:pPr>
        <w:pStyle w:val="AspexBodyStandard"/>
      </w:pPr>
      <w:bookmarkStart w:id="31" w:name="_Toc224792863"/>
      <w:r w:rsidRPr="00657078">
        <w:t xml:space="preserve">Cost effectiveness analysis is used as a means </w:t>
      </w:r>
      <w:r w:rsidR="006E0FBB" w:rsidRPr="00657078">
        <w:t>of</w:t>
      </w:r>
      <w:r w:rsidRPr="00657078">
        <w:t xml:space="preserve"> determin</w:t>
      </w:r>
      <w:r w:rsidR="006E0FBB" w:rsidRPr="00657078">
        <w:t>ing</w:t>
      </w:r>
      <w:r w:rsidRPr="00657078">
        <w:t xml:space="preserve"> the relative cost of undertaking a course of action compared with the most appropriate existing course of action. In the context of </w:t>
      </w:r>
      <w:r w:rsidR="002A2727" w:rsidRPr="00657078">
        <w:t>palliative medicine</w:t>
      </w:r>
      <w:r w:rsidR="006E0FBB" w:rsidRPr="00657078">
        <w:t>,</w:t>
      </w:r>
      <w:r w:rsidRPr="00657078">
        <w:t xml:space="preserve"> cost effectiveness analysis is between two independent</w:t>
      </w:r>
      <w:r w:rsidRPr="00657078">
        <w:rPr>
          <w:rStyle w:val="FootnoteReference"/>
        </w:rPr>
        <w:footnoteReference w:id="2"/>
      </w:r>
      <w:r w:rsidRPr="00657078">
        <w:t xml:space="preserve"> treatment contexts, i.e. between interventions provided </w:t>
      </w:r>
      <w:r w:rsidR="0076130E">
        <w:t xml:space="preserve">in </w:t>
      </w:r>
      <w:r w:rsidRPr="00657078">
        <w:t xml:space="preserve">hospital </w:t>
      </w:r>
      <w:r w:rsidR="006E0FBB" w:rsidRPr="00657078">
        <w:t xml:space="preserve">and </w:t>
      </w:r>
      <w:r w:rsidR="0076130E">
        <w:t xml:space="preserve">in </w:t>
      </w:r>
      <w:r w:rsidRPr="00657078">
        <w:t>community environment</w:t>
      </w:r>
      <w:r w:rsidR="006E0FBB" w:rsidRPr="00657078">
        <w:t>s</w:t>
      </w:r>
      <w:r w:rsidRPr="00657078">
        <w:t>.</w:t>
      </w:r>
    </w:p>
    <w:p w14:paraId="2B9FFCCF" w14:textId="42FF2C7A" w:rsidR="001B5B90" w:rsidRPr="00657078" w:rsidRDefault="001B5B90" w:rsidP="001B5B90">
      <w:pPr>
        <w:pStyle w:val="AspexBodyStandard"/>
      </w:pPr>
      <w:r w:rsidRPr="00657078">
        <w:t xml:space="preserve">Analysis between independent contexts would ordinarily suggest comparative analysis between the </w:t>
      </w:r>
      <w:proofErr w:type="gramStart"/>
      <w:r w:rsidRPr="00657078">
        <w:t>cost</w:t>
      </w:r>
      <w:proofErr w:type="gramEnd"/>
      <w:r w:rsidRPr="00657078">
        <w:t xml:space="preserve"> of interventions compared with the health gain of the intervention (usually expressed as a ratio).  This is where conventional cost effectiveness analysis becomes problematic.  Whilst it is possible to estimate the cost difference between consultations delivered by a </w:t>
      </w:r>
      <w:r w:rsidR="002A2727" w:rsidRPr="00657078">
        <w:t>palliative medicine</w:t>
      </w:r>
      <w:r w:rsidRPr="00657078">
        <w:t xml:space="preserve"> specialist </w:t>
      </w:r>
      <w:r w:rsidRPr="00657078">
        <w:rPr>
          <w:i/>
        </w:rPr>
        <w:t>(as part of a multidisciplinary team)</w:t>
      </w:r>
      <w:r w:rsidRPr="00657078">
        <w:t xml:space="preserve"> in a hospital versus a community context, it is not possible to identify the relative or absolute health gain resulting from one or a series of medical consultations in either context.  </w:t>
      </w:r>
    </w:p>
    <w:p w14:paraId="33B248B9" w14:textId="3C78CC98" w:rsidR="001B5B90" w:rsidRPr="00657078" w:rsidRDefault="001B5B90" w:rsidP="001B5B90">
      <w:pPr>
        <w:pStyle w:val="AspexBodyStandard"/>
      </w:pPr>
      <w:r w:rsidRPr="00657078">
        <w:t xml:space="preserve">There has been acceptance within the medical profession that there are superior clinical benefits from </w:t>
      </w:r>
      <w:r w:rsidR="002A2727" w:rsidRPr="00657078">
        <w:t>palliative medicine</w:t>
      </w:r>
      <w:r w:rsidRPr="00657078">
        <w:t xml:space="preserve"> interventions for palliative care related disorders relative to interventions provided by (willing) </w:t>
      </w:r>
      <w:r w:rsidR="0081173A" w:rsidRPr="00657078">
        <w:t>GPs</w:t>
      </w:r>
      <w:r w:rsidRPr="00657078">
        <w:t xml:space="preserve"> or other specialty groups.  On this basis, a cost effectiveness analysis should only need to demonstrate costs at or below the alternative contextual environments to demonstrate overall superior cost effectiveness.</w:t>
      </w:r>
    </w:p>
    <w:p w14:paraId="599CAB89" w14:textId="7FCDC23F" w:rsidR="001B5B90" w:rsidRPr="00657078" w:rsidRDefault="001B5B90" w:rsidP="001B5B90">
      <w:pPr>
        <w:pStyle w:val="AspexBodyStandard"/>
      </w:pPr>
      <w:r w:rsidRPr="00657078">
        <w:t xml:space="preserve">Therefore, an economic evaluation of the </w:t>
      </w:r>
      <w:r w:rsidR="002A2727" w:rsidRPr="00657078">
        <w:t>palliative medicine</w:t>
      </w:r>
      <w:r w:rsidRPr="00657078">
        <w:t xml:space="preserve"> MBS items has been based on a </w:t>
      </w:r>
      <w:r w:rsidRPr="00657078">
        <w:rPr>
          <w:i/>
        </w:rPr>
        <w:t>relative cost of medical consultations in hospitals versus the community.</w:t>
      </w:r>
      <w:r w:rsidRPr="00657078">
        <w:t xml:space="preserve"> A modelled comparative analysis of </w:t>
      </w:r>
      <w:r w:rsidRPr="00657078">
        <w:rPr>
          <w:i/>
        </w:rPr>
        <w:t>current</w:t>
      </w:r>
      <w:r w:rsidRPr="00657078">
        <w:t xml:space="preserve"> costs as at 2012-13 by </w:t>
      </w:r>
      <w:r w:rsidR="002A2727" w:rsidRPr="00657078">
        <w:t>palliative medicine</w:t>
      </w:r>
      <w:r w:rsidRPr="00657078">
        <w:t xml:space="preserve"> (and other unknown) specialists working in the community rather than a hospital environment has been developed.  The forecast costs for </w:t>
      </w:r>
      <w:r w:rsidR="002A2727" w:rsidRPr="00657078">
        <w:t>palliative medicine</w:t>
      </w:r>
      <w:r w:rsidRPr="00657078">
        <w:t xml:space="preserve"> are based on the proposed fee structure where assessment and patient review are at physician rates.</w:t>
      </w:r>
    </w:p>
    <w:p w14:paraId="6A6D87CD" w14:textId="43209E08" w:rsidR="001B5B90" w:rsidRPr="0017710F" w:rsidRDefault="001B5B90" w:rsidP="0017710F">
      <w:pPr>
        <w:pStyle w:val="AspexBodyStandard"/>
        <w:spacing w:before="360"/>
        <w:rPr>
          <w:b/>
        </w:rPr>
      </w:pPr>
      <w:r w:rsidRPr="0017710F">
        <w:rPr>
          <w:b/>
        </w:rPr>
        <w:t>Modelled comparative analysis</w:t>
      </w:r>
    </w:p>
    <w:p w14:paraId="06FFA5EF" w14:textId="030C038E" w:rsidR="001B5B90" w:rsidRPr="00657078" w:rsidRDefault="001B5B90" w:rsidP="001B5B90">
      <w:pPr>
        <w:pStyle w:val="AspexBodyStandard"/>
      </w:pPr>
      <w:r w:rsidRPr="00657078">
        <w:t xml:space="preserve">The current (2012/13) MBS outlays for </w:t>
      </w:r>
      <w:r w:rsidR="002A2727" w:rsidRPr="00657078">
        <w:t>palliative medicine</w:t>
      </w:r>
      <w:r w:rsidRPr="00657078">
        <w:t xml:space="preserve"> are estimated to be ~$5.82</w:t>
      </w:r>
      <w:r w:rsidR="000D5025" w:rsidRPr="00657078">
        <w:t>M</w:t>
      </w:r>
      <w:r w:rsidRPr="00657078">
        <w:t>.  However, due to service number increases and indexation, it is estimated that this w</w:t>
      </w:r>
      <w:r w:rsidR="006E0FBB" w:rsidRPr="00657078">
        <w:t>ill</w:t>
      </w:r>
      <w:r w:rsidRPr="00657078">
        <w:t xml:space="preserve"> rise to $7.18</w:t>
      </w:r>
      <w:r w:rsidR="00583ACB" w:rsidRPr="00657078">
        <w:t>M</w:t>
      </w:r>
      <w:r w:rsidRPr="00657078">
        <w:t xml:space="preserve"> by 2014/15. </w:t>
      </w:r>
    </w:p>
    <w:p w14:paraId="344C762C" w14:textId="4BB176E5" w:rsidR="003F76C2" w:rsidRPr="00657078" w:rsidRDefault="003F76C2" w:rsidP="003F76C2">
      <w:pPr>
        <w:pStyle w:val="AspexBodyStandard"/>
      </w:pPr>
      <w:r w:rsidRPr="00657078">
        <w:t xml:space="preserve">In 2012/13, benefits paid under the current scenario are estimated at $5.820M ($76.45/service) rising to $7.178M ($80.01/service) by 2014/15. Under scenario 1 (allowing for the addition of complex assessment and treatment planning), physician equivalent, benefits paid in 2012/13 are estimated at $8.378M ($110.06/service) an increase of $2.558M or 43.9% over current conditions. The increase above current conditions projected to </w:t>
      </w:r>
      <w:r w:rsidRPr="00657078">
        <w:lastRenderedPageBreak/>
        <w:t>2014/15 is $3.634M or 50.6% with total benefits estimated at $10.812M ($120.52/service). Under scenario 2 (time-tier) benefits are estimated at $8.027M in 2012/13 ($105.45) which is lower than the physician equivalent benefit by $0.351M and rises to $9.957M by 2014/15 ($110.99/service).</w:t>
      </w:r>
    </w:p>
    <w:p w14:paraId="03FCB21E" w14:textId="259B6F7E" w:rsidR="001B5B90" w:rsidRPr="00657078" w:rsidRDefault="0035169D" w:rsidP="001B5B90">
      <w:pPr>
        <w:pStyle w:val="AspexBodyStandard"/>
      </w:pPr>
      <w:r w:rsidRPr="00657078">
        <w:t xml:space="preserve">Forecasts (for both scenarios) also indicate that an additional outlay of up to ~$5.0M could result in savings of up to $21M, provided that an additional 20% of the palliative care population could be identified and treated in the community (avoiding a potentially preventable hospital admission). </w:t>
      </w:r>
      <w:r w:rsidR="001B5B90" w:rsidRPr="00657078">
        <w:t xml:space="preserve">This suggests that even with an increase in payment rates for </w:t>
      </w:r>
      <w:r w:rsidR="002A2727" w:rsidRPr="00657078">
        <w:t>palliative medicine</w:t>
      </w:r>
      <w:r w:rsidR="001B5B90" w:rsidRPr="00657078">
        <w:t xml:space="preserve"> specialists, a significant cost advantage may be realised if an increase in the number of community palliative specialist consultations can be achieved</w:t>
      </w:r>
      <w:r w:rsidR="00696AA7" w:rsidRPr="00657078">
        <w:t>, substituting potentially preventable hospital admissions</w:t>
      </w:r>
      <w:r w:rsidR="001B5B90" w:rsidRPr="00657078">
        <w:t>.</w:t>
      </w:r>
    </w:p>
    <w:p w14:paraId="1049D57C" w14:textId="1391958B" w:rsidR="001B5B90" w:rsidRPr="00657078" w:rsidRDefault="001B5B90" w:rsidP="001B5B90">
      <w:pPr>
        <w:pStyle w:val="AspexBodyStandard"/>
      </w:pPr>
      <w:r w:rsidRPr="00657078">
        <w:t xml:space="preserve">The assumed </w:t>
      </w:r>
      <w:proofErr w:type="gramStart"/>
      <w:r w:rsidRPr="00657078">
        <w:t xml:space="preserve">mix of consultations between </w:t>
      </w:r>
      <w:r w:rsidR="002A2727" w:rsidRPr="00657078">
        <w:t>palliative medicine</w:t>
      </w:r>
      <w:r w:rsidRPr="00657078">
        <w:t xml:space="preserve"> services delivered in a hospital or community environment are</w:t>
      </w:r>
      <w:proofErr w:type="gramEnd"/>
      <w:r w:rsidRPr="00657078">
        <w:t xml:space="preserve"> currently different; namely:</w:t>
      </w:r>
    </w:p>
    <w:p w14:paraId="7B8FAC71" w14:textId="435C5070" w:rsidR="001B5B90" w:rsidRPr="00657078" w:rsidRDefault="001B5B90" w:rsidP="001B5B90">
      <w:pPr>
        <w:pStyle w:val="AspexBullet1"/>
      </w:pPr>
      <w:r w:rsidRPr="00657078">
        <w:t xml:space="preserve">In-hospital assessment comprises around 17% of consultations (with </w:t>
      </w:r>
      <w:r w:rsidR="00D513CF" w:rsidRPr="00657078">
        <w:t xml:space="preserve">the remaining </w:t>
      </w:r>
      <w:r w:rsidRPr="00657078">
        <w:t xml:space="preserve">83% of consultations involving </w:t>
      </w:r>
      <w:r w:rsidR="00696AA7" w:rsidRPr="00657078">
        <w:t xml:space="preserve">subsequent </w:t>
      </w:r>
      <w:r w:rsidRPr="00657078">
        <w:t>patient review); and</w:t>
      </w:r>
    </w:p>
    <w:p w14:paraId="51D7664F" w14:textId="510E6595" w:rsidR="001B5B90" w:rsidRPr="00657078" w:rsidRDefault="0076130E" w:rsidP="001B5B90">
      <w:pPr>
        <w:pStyle w:val="AspexBullet1"/>
      </w:pPr>
      <w:r>
        <w:t>C</w:t>
      </w:r>
      <w:r w:rsidR="001B5B90" w:rsidRPr="00657078">
        <w:t>ommunity assessment comprises around 42% of consultations (compared with 58% of consultations involving patient review.</w:t>
      </w:r>
    </w:p>
    <w:p w14:paraId="4F7CB6E5" w14:textId="77777777" w:rsidR="001B5B90" w:rsidRPr="00657078" w:rsidRDefault="001B5B90" w:rsidP="001B5B90">
      <w:pPr>
        <w:pStyle w:val="AspexBodyStandard"/>
      </w:pPr>
      <w:r w:rsidRPr="00657078">
        <w:t>Under any revised MBS item scenario it is estimated that the proportion of assessments would double (due to the availability of two patient assessment items), with a corresponding reduction in the relative percentage of patient reviews.  It must be noted however, that the overall number of community consultations may increase – but this cannot be readily determined from the available data.</w:t>
      </w:r>
    </w:p>
    <w:p w14:paraId="75F9ED74" w14:textId="57087280" w:rsidR="00156062" w:rsidRPr="00657078" w:rsidRDefault="00156062" w:rsidP="00185433">
      <w:pPr>
        <w:pStyle w:val="Heading2"/>
        <w:rPr>
          <w:color w:val="auto"/>
        </w:rPr>
      </w:pPr>
      <w:bookmarkStart w:id="32" w:name="_Toc382313792"/>
      <w:r w:rsidRPr="00657078">
        <w:rPr>
          <w:color w:val="auto"/>
        </w:rPr>
        <w:t>Financial/budgetary impacts</w:t>
      </w:r>
      <w:bookmarkEnd w:id="31"/>
      <w:bookmarkEnd w:id="32"/>
    </w:p>
    <w:p w14:paraId="10176D69" w14:textId="1ED361BC" w:rsidR="00156062" w:rsidRDefault="00156062" w:rsidP="00156062">
      <w:pPr>
        <w:pStyle w:val="AspexBodyStandard"/>
      </w:pPr>
      <w:r w:rsidRPr="00657078">
        <w:t>It is estimated that a total of 76,</w:t>
      </w:r>
      <w:r w:rsidR="001B5B90" w:rsidRPr="00657078">
        <w:t>124</w:t>
      </w:r>
      <w:r w:rsidRPr="00657078">
        <w:t xml:space="preserve"> occasions of MBS billed service are currently provided per annum (20</w:t>
      </w:r>
      <w:r w:rsidR="001B5B90" w:rsidRPr="00657078">
        <w:t>13</w:t>
      </w:r>
      <w:r w:rsidRPr="00657078">
        <w:t xml:space="preserve">) for </w:t>
      </w:r>
      <w:r w:rsidR="002A2727" w:rsidRPr="00657078">
        <w:t>palliative medicine</w:t>
      </w:r>
      <w:r w:rsidRPr="00657078">
        <w:t>. Data on the frequency of use per patient per annum were unavailable from the MBS information</w:t>
      </w:r>
      <w:r w:rsidR="00152501">
        <w:t xml:space="preserve">. </w:t>
      </w:r>
      <w:r w:rsidRPr="00657078">
        <w:t xml:space="preserve"> </w:t>
      </w:r>
      <w:r w:rsidR="00152501">
        <w:t>H</w:t>
      </w:r>
      <w:r w:rsidRPr="00657078">
        <w:t>owever</w:t>
      </w:r>
      <w:r w:rsidR="00583ACB" w:rsidRPr="00657078">
        <w:t>,</w:t>
      </w:r>
      <w:r w:rsidRPr="00657078">
        <w:t xml:space="preserve"> </w:t>
      </w:r>
      <w:r w:rsidR="00152501">
        <w:t xml:space="preserve">based on actual MBS data analysed for the part financial year 2012-2013 (Jul-Dec), </w:t>
      </w:r>
      <w:r w:rsidRPr="00657078">
        <w:t>the overall average</w:t>
      </w:r>
      <w:r w:rsidR="00D513CF" w:rsidRPr="00657078">
        <w:t xml:space="preserve"> ratio</w:t>
      </w:r>
      <w:r w:rsidRPr="00657078">
        <w:t xml:space="preserve"> of </w:t>
      </w:r>
      <w:r w:rsidR="003F76C2" w:rsidRPr="00657078">
        <w:t>initial to subsequent attendances</w:t>
      </w:r>
      <w:r w:rsidR="00152501">
        <w:t xml:space="preserve"> for MBS items based on initial and subsequent visits,</w:t>
      </w:r>
      <w:r w:rsidRPr="00657078">
        <w:t xml:space="preserve"> is </w:t>
      </w:r>
      <w:r w:rsidR="00583ACB" w:rsidRPr="00657078">
        <w:t xml:space="preserve">1 </w:t>
      </w:r>
      <w:r w:rsidR="003F76C2" w:rsidRPr="00657078">
        <w:t>initial</w:t>
      </w:r>
      <w:r w:rsidRPr="00657078">
        <w:t xml:space="preserve"> to </w:t>
      </w:r>
      <w:r w:rsidR="00185433" w:rsidRPr="00657078">
        <w:t>4.76</w:t>
      </w:r>
      <w:r w:rsidRPr="00657078">
        <w:t xml:space="preserve"> </w:t>
      </w:r>
      <w:r w:rsidR="003F76C2" w:rsidRPr="00657078">
        <w:t>subsequent services</w:t>
      </w:r>
      <w:r w:rsidR="00185433" w:rsidRPr="00657078">
        <w:t xml:space="preserve"> in an admitted hospital context</w:t>
      </w:r>
      <w:r w:rsidR="00152501">
        <w:t xml:space="preserve"> (</w:t>
      </w:r>
      <w:r w:rsidR="00671C6A">
        <w:t xml:space="preserve">Items 3010 and 3005, </w:t>
      </w:r>
      <w:r w:rsidR="00152501">
        <w:t>75% rebate)</w:t>
      </w:r>
      <w:r w:rsidR="00185433" w:rsidRPr="00657078">
        <w:t xml:space="preserve">, and </w:t>
      </w:r>
      <w:r w:rsidR="00583ACB" w:rsidRPr="00657078">
        <w:t xml:space="preserve">1 </w:t>
      </w:r>
      <w:r w:rsidR="003F76C2" w:rsidRPr="00657078">
        <w:t>initial</w:t>
      </w:r>
      <w:r w:rsidR="00185433" w:rsidRPr="00657078">
        <w:t xml:space="preserve"> to 1.4</w:t>
      </w:r>
      <w:r w:rsidR="0088199A">
        <w:t>0-</w:t>
      </w:r>
      <w:r w:rsidR="00185433" w:rsidRPr="00657078">
        <w:t xml:space="preserve"> </w:t>
      </w:r>
      <w:r w:rsidR="003F76C2" w:rsidRPr="00657078">
        <w:t>subsequent services</w:t>
      </w:r>
      <w:r w:rsidR="00185433" w:rsidRPr="00657078">
        <w:t xml:space="preserve"> in a community context</w:t>
      </w:r>
      <w:r w:rsidR="00152501">
        <w:t xml:space="preserve"> (</w:t>
      </w:r>
      <w:r w:rsidR="00671C6A">
        <w:t xml:space="preserve">Items 3023 and 3018, </w:t>
      </w:r>
      <w:r w:rsidR="00152501">
        <w:t>85% rebate)</w:t>
      </w:r>
      <w:r w:rsidRPr="00657078">
        <w:t xml:space="preserve">. However, </w:t>
      </w:r>
      <w:r w:rsidR="00185433" w:rsidRPr="00657078">
        <w:t>these</w:t>
      </w:r>
      <w:r w:rsidRPr="00657078">
        <w:t xml:space="preserve"> crude ratio</w:t>
      </w:r>
      <w:r w:rsidR="00185433" w:rsidRPr="00657078">
        <w:t>s mask</w:t>
      </w:r>
      <w:r w:rsidRPr="00657078">
        <w:t xml:space="preserve"> a variety of models of care ranging from regular (monthly) pharmacotherapy treatments to single event assessment on a </w:t>
      </w:r>
      <w:r w:rsidR="0081173A" w:rsidRPr="00657078">
        <w:t>GP</w:t>
      </w:r>
      <w:r w:rsidR="00C85633" w:rsidRPr="00657078">
        <w:t xml:space="preserve"> </w:t>
      </w:r>
      <w:r w:rsidRPr="00657078">
        <w:t>referral.</w:t>
      </w:r>
    </w:p>
    <w:p w14:paraId="30E846F6" w14:textId="60DAA6F1" w:rsidR="00B306BD" w:rsidRDefault="00D338E2" w:rsidP="00D338E2">
      <w:pPr>
        <w:pStyle w:val="AspexBodyStandard"/>
      </w:pPr>
      <w:r>
        <w:t xml:space="preserve">The financial/budgetary impacts of the proposed alternatives and comparisons to the current conditions are summarised in </w:t>
      </w:r>
      <w:r w:rsidR="003F09AF">
        <w:fldChar w:fldCharType="begin"/>
      </w:r>
      <w:r w:rsidR="003F09AF">
        <w:instrText xml:space="preserve"> REF _Ref382315200 \h </w:instrText>
      </w:r>
      <w:r w:rsidR="003F09AF">
        <w:fldChar w:fldCharType="separate"/>
      </w:r>
      <w:r w:rsidR="009C72FC">
        <w:t xml:space="preserve">Table </w:t>
      </w:r>
      <w:r w:rsidR="009C72FC">
        <w:rPr>
          <w:noProof/>
        </w:rPr>
        <w:t>1</w:t>
      </w:r>
      <w:r w:rsidR="009C72FC">
        <w:noBreakHyphen/>
      </w:r>
      <w:r w:rsidR="009C72FC">
        <w:rPr>
          <w:noProof/>
        </w:rPr>
        <w:t>1</w:t>
      </w:r>
      <w:r w:rsidR="003F09AF">
        <w:fldChar w:fldCharType="end"/>
      </w:r>
      <w:r>
        <w:t>.</w:t>
      </w:r>
      <w:r w:rsidR="00671C6A">
        <w:t xml:space="preserve">  </w:t>
      </w:r>
    </w:p>
    <w:p w14:paraId="6FE4126B" w14:textId="77777777" w:rsidR="00B306BD" w:rsidRDefault="00B306BD" w:rsidP="00B306BD">
      <w:pPr>
        <w:pStyle w:val="AspexBodyStandard"/>
      </w:pPr>
      <w:r>
        <w:br w:type="page"/>
      </w:r>
    </w:p>
    <w:p w14:paraId="74EEEC40" w14:textId="77777777" w:rsidR="00B306BD" w:rsidRDefault="00B306BD" w:rsidP="00B306BD">
      <w:pPr>
        <w:pStyle w:val="Caption"/>
      </w:pPr>
      <w:bookmarkStart w:id="33" w:name="_Ref382315200"/>
      <w:bookmarkStart w:id="34" w:name="_Toc382315611"/>
      <w:r>
        <w:lastRenderedPageBreak/>
        <w:t xml:space="preserve">Table </w:t>
      </w:r>
      <w:fldSimple w:instr=" STYLEREF 1 \s ">
        <w:r w:rsidR="009C72FC">
          <w:rPr>
            <w:noProof/>
          </w:rPr>
          <w:t>1</w:t>
        </w:r>
      </w:fldSimple>
      <w:r>
        <w:noBreakHyphen/>
      </w:r>
      <w:fldSimple w:instr=" SEQ Table \* ARABIC \s 1 ">
        <w:r w:rsidR="009C72FC">
          <w:rPr>
            <w:noProof/>
          </w:rPr>
          <w:t>1</w:t>
        </w:r>
      </w:fldSimple>
      <w:bookmarkEnd w:id="33"/>
      <w:r>
        <w:t>:</w:t>
      </w:r>
      <w:r>
        <w:tab/>
        <w:t>The financial/budgetary impacts of the proposed alternatives</w:t>
      </w:r>
      <w:bookmarkEnd w:id="34"/>
      <w:r>
        <w:t xml:space="preserve"> </w:t>
      </w:r>
    </w:p>
    <w:p w14:paraId="27FDC2D4" w14:textId="0CEA4C43" w:rsidR="00D338E2" w:rsidRPr="00657078" w:rsidRDefault="00671C6A" w:rsidP="00B306BD">
      <w:pPr>
        <w:pStyle w:val="Caption"/>
        <w:jc w:val="center"/>
      </w:pPr>
      <w:r w:rsidRPr="00671C6A">
        <w:rPr>
          <w:noProof/>
          <w:lang w:eastAsia="en-AU"/>
        </w:rPr>
        <w:drawing>
          <wp:inline distT="0" distB="0" distL="0" distR="0" wp14:anchorId="5544B80D" wp14:editId="04B99D7C">
            <wp:extent cx="3810000" cy="2190750"/>
            <wp:effectExtent l="0" t="0" r="0" b="0"/>
            <wp:docPr id="11" name="Picture 11" descr="The financial/budgetary impacts of the proposed alternatives as discussed in Section 1.13" title="Table 1.1: The financial/budgetary impacts of the proposed altern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14:paraId="5DB8CAF3" w14:textId="198DA21A" w:rsidR="00D338E2" w:rsidRDefault="00D338E2" w:rsidP="00D338E2">
      <w:pPr>
        <w:pStyle w:val="AspexBodyStandard"/>
      </w:pPr>
      <w:r>
        <w:t xml:space="preserve">Benefit outlays under the physician equivalent </w:t>
      </w:r>
      <w:r w:rsidR="00AC6827">
        <w:t>alternative</w:t>
      </w:r>
      <w:r>
        <w:t xml:space="preserve"> increase by $2.558M in 2012/13 and $3.634M in 2014/15 compared to estimated outlays under current conditions. The increases under the time-tier </w:t>
      </w:r>
      <w:r w:rsidR="00AC6827">
        <w:t>alternative</w:t>
      </w:r>
      <w:r>
        <w:t xml:space="preserve"> are lower at $2.207M /2012/13) and $2.779 (2014/15). </w:t>
      </w:r>
    </w:p>
    <w:p w14:paraId="3F903F30" w14:textId="69A115A5" w:rsidR="00156062" w:rsidRPr="00657078" w:rsidRDefault="00D338E2" w:rsidP="00156062">
      <w:pPr>
        <w:pStyle w:val="AspexBodyStandard"/>
      </w:pPr>
      <w:r>
        <w:t xml:space="preserve">Out-of-pocket cost increases under the time-tier option rise by $0.525M in 2012/13 and $0.661M in 2014/15 and are higher than the increases under the physician equivalent </w:t>
      </w:r>
      <w:r w:rsidR="00AC6827">
        <w:t>alt</w:t>
      </w:r>
      <w:r w:rsidR="0076130E">
        <w:t>e</w:t>
      </w:r>
      <w:r w:rsidR="00AC6827">
        <w:t>rnative</w:t>
      </w:r>
      <w:r>
        <w:t xml:space="preserve">. </w:t>
      </w:r>
      <w:r w:rsidRPr="00657078">
        <w:t>The majority of these costs occur in the hospital sector</w:t>
      </w:r>
      <w:r>
        <w:t xml:space="preserve"> with</w:t>
      </w:r>
      <w:r w:rsidRPr="00657078">
        <w:t xml:space="preserve"> only </w:t>
      </w:r>
      <w:r>
        <w:t xml:space="preserve">a </w:t>
      </w:r>
      <w:r w:rsidRPr="00657078">
        <w:t>minor increase</w:t>
      </w:r>
      <w:r>
        <w:t xml:space="preserve"> </w:t>
      </w:r>
      <w:r w:rsidRPr="00657078">
        <w:t>for palliative medicine services delivered</w:t>
      </w:r>
      <w:r>
        <w:t xml:space="preserve"> </w:t>
      </w:r>
      <w:r w:rsidRPr="00657078">
        <w:t xml:space="preserve">in a community </w:t>
      </w:r>
      <w:r>
        <w:t xml:space="preserve">environment. </w:t>
      </w:r>
      <w:r w:rsidR="00185433" w:rsidRPr="00657078">
        <w:t xml:space="preserve">The analysis assumes the same out-of pocket cost differential between current </w:t>
      </w:r>
      <w:r w:rsidR="00C85633" w:rsidRPr="00657078">
        <w:t>p</w:t>
      </w:r>
      <w:r w:rsidR="00185433" w:rsidRPr="00657078">
        <w:t xml:space="preserve">alliative </w:t>
      </w:r>
      <w:r w:rsidR="00C85633" w:rsidRPr="00657078">
        <w:t>m</w:t>
      </w:r>
      <w:r w:rsidR="00185433" w:rsidRPr="00657078">
        <w:t xml:space="preserve">edicine arrangements and those associated with a change in MBS item structure.  </w:t>
      </w:r>
      <w:r w:rsidR="00156062" w:rsidRPr="00657078">
        <w:t xml:space="preserve">There was insufficient data to identify or model the impact of any changes in MBS item numbers upon the Medicare Safety Net </w:t>
      </w:r>
      <w:r w:rsidR="00583ACB" w:rsidRPr="00657078">
        <w:t xml:space="preserve">(MSN) </w:t>
      </w:r>
      <w:r w:rsidR="00156062" w:rsidRPr="00657078">
        <w:t>or Extended Medicare Safety Net</w:t>
      </w:r>
      <w:r w:rsidR="00583ACB" w:rsidRPr="00657078">
        <w:t xml:space="preserve"> (EMSN)</w:t>
      </w:r>
      <w:r w:rsidR="00156062" w:rsidRPr="00657078">
        <w:t>.</w:t>
      </w:r>
    </w:p>
    <w:p w14:paraId="50A6A3E8" w14:textId="677415F1" w:rsidR="00156062" w:rsidRPr="00657078" w:rsidRDefault="00156062" w:rsidP="00156062">
      <w:pPr>
        <w:pStyle w:val="Heading2"/>
        <w:tabs>
          <w:tab w:val="clear" w:pos="964"/>
        </w:tabs>
        <w:ind w:left="851" w:hanging="851"/>
        <w:rPr>
          <w:color w:val="auto"/>
        </w:rPr>
      </w:pPr>
      <w:bookmarkStart w:id="35" w:name="_Toc224792864"/>
      <w:bookmarkStart w:id="36" w:name="_Toc382313793"/>
      <w:r w:rsidRPr="00657078">
        <w:rPr>
          <w:color w:val="auto"/>
        </w:rPr>
        <w:t xml:space="preserve">Key </w:t>
      </w:r>
      <w:r w:rsidR="00583ACB" w:rsidRPr="00657078">
        <w:rPr>
          <w:color w:val="auto"/>
        </w:rPr>
        <w:t>i</w:t>
      </w:r>
      <w:r w:rsidRPr="00657078">
        <w:rPr>
          <w:color w:val="auto"/>
        </w:rPr>
        <w:t>ssues for MSAC</w:t>
      </w:r>
      <w:bookmarkEnd w:id="35"/>
      <w:bookmarkEnd w:id="36"/>
    </w:p>
    <w:p w14:paraId="23EAE049" w14:textId="77777777" w:rsidR="00156062" w:rsidRPr="003F09AF" w:rsidRDefault="00156062" w:rsidP="003F09AF">
      <w:pPr>
        <w:pStyle w:val="AspexBodyStandard"/>
        <w:spacing w:before="360"/>
        <w:rPr>
          <w:b/>
        </w:rPr>
      </w:pPr>
      <w:r w:rsidRPr="003F09AF">
        <w:rPr>
          <w:b/>
        </w:rPr>
        <w:t>Main issues relating to the proposed eligible population</w:t>
      </w:r>
    </w:p>
    <w:p w14:paraId="7B022C4C" w14:textId="3A95BBCC" w:rsidR="001C58A3" w:rsidRPr="00657078" w:rsidRDefault="00156062" w:rsidP="00156062">
      <w:pPr>
        <w:pStyle w:val="AspexBodyStandard"/>
      </w:pPr>
      <w:r w:rsidRPr="00657078">
        <w:t xml:space="preserve">The proposed eligible population that is likely to benefit from </w:t>
      </w:r>
      <w:r w:rsidR="002A2727" w:rsidRPr="00657078">
        <w:t>palliative medicine</w:t>
      </w:r>
      <w:r w:rsidRPr="00657078">
        <w:t xml:space="preserve"> services can only be estimated from population </w:t>
      </w:r>
      <w:r w:rsidR="001C58A3" w:rsidRPr="00657078">
        <w:t>mortality data,</w:t>
      </w:r>
      <w:r w:rsidRPr="00657078">
        <w:t xml:space="preserve"> which indicate</w:t>
      </w:r>
      <w:r w:rsidR="001C58A3" w:rsidRPr="00657078">
        <w:t>s</w:t>
      </w:r>
      <w:r w:rsidRPr="00657078">
        <w:t xml:space="preserve"> that </w:t>
      </w:r>
      <w:r w:rsidR="001C58A3" w:rsidRPr="00657078">
        <w:t>around 59% of all patient deaths in Australia may be eligible for a</w:t>
      </w:r>
      <w:r w:rsidRPr="00657078">
        <w:t xml:space="preserve"> palliative care </w:t>
      </w:r>
      <w:r w:rsidR="001C58A3" w:rsidRPr="00657078">
        <w:t>referral.</w:t>
      </w:r>
      <w:r w:rsidRPr="00657078">
        <w:t xml:space="preserve"> </w:t>
      </w:r>
    </w:p>
    <w:p w14:paraId="434295F2" w14:textId="11BC06B0" w:rsidR="001C58A3" w:rsidRPr="00657078" w:rsidRDefault="001C58A3" w:rsidP="00156062">
      <w:pPr>
        <w:pStyle w:val="AspexBodyStandard"/>
      </w:pPr>
      <w:r w:rsidRPr="00657078">
        <w:t>It is important to note however, that</w:t>
      </w:r>
      <w:r w:rsidR="00156062" w:rsidRPr="00657078">
        <w:t xml:space="preserve"> the estimated number of Australians </w:t>
      </w:r>
      <w:r w:rsidRPr="00657078">
        <w:t xml:space="preserve">potentially benefiting from palliative care services varies according to different stakeholder groups. </w:t>
      </w:r>
      <w:r w:rsidR="00583ACB" w:rsidRPr="00657078">
        <w:t xml:space="preserve">The </w:t>
      </w:r>
      <w:r w:rsidRPr="00657078">
        <w:t>Department estimates indicate that up to 48% of all deaths may benefit from referral</w:t>
      </w:r>
      <w:r w:rsidR="003F76C2" w:rsidRPr="00657078">
        <w:rPr>
          <w:rStyle w:val="FootnoteReference"/>
        </w:rPr>
        <w:footnoteReference w:id="3"/>
      </w:r>
      <w:r w:rsidRPr="00657078">
        <w:t xml:space="preserve">, </w:t>
      </w:r>
      <w:r w:rsidR="00D513CF" w:rsidRPr="00657078">
        <w:t xml:space="preserve">while </w:t>
      </w:r>
      <w:r w:rsidRPr="00657078">
        <w:t xml:space="preserve">the </w:t>
      </w:r>
      <w:proofErr w:type="spellStart"/>
      <w:r w:rsidR="00886F4E" w:rsidRPr="00657078">
        <w:t>AChP</w:t>
      </w:r>
      <w:r w:rsidR="00583ACB" w:rsidRPr="00657078">
        <w:t>M</w:t>
      </w:r>
      <w:proofErr w:type="spellEnd"/>
      <w:r w:rsidRPr="00657078">
        <w:t xml:space="preserve"> estimates that up to 76% of all deaths may benefit from referral</w:t>
      </w:r>
      <w:r w:rsidR="003F76C2" w:rsidRPr="00657078">
        <w:rPr>
          <w:rStyle w:val="FootnoteReference"/>
        </w:rPr>
        <w:footnoteReference w:id="4"/>
      </w:r>
      <w:r w:rsidRPr="00657078">
        <w:t>.  Variations in estimates of the potentially eligible population are perhaps best expressed in research literature, which provides estimates ranging from 44% to 78% of all deaths in Australia.  Thus, the current estimate of 59% of all deaths in Australia as a potentially eligible population for referral to palliative care services is mid-range (compared with other forecasts) and was considered to be the best basis for modelling of population demand.</w:t>
      </w:r>
    </w:p>
    <w:p w14:paraId="75A94E56" w14:textId="5B181A7A" w:rsidR="00E25E28" w:rsidRPr="0017710F" w:rsidRDefault="00E25E28" w:rsidP="0017710F">
      <w:pPr>
        <w:pStyle w:val="AspexBodyStandard"/>
        <w:spacing w:before="360"/>
        <w:rPr>
          <w:b/>
        </w:rPr>
      </w:pPr>
      <w:r w:rsidRPr="0017710F">
        <w:rPr>
          <w:b/>
        </w:rPr>
        <w:lastRenderedPageBreak/>
        <w:t>Main issues relating to the actual supply of palliative care services in Australia</w:t>
      </w:r>
    </w:p>
    <w:p w14:paraId="7B2F27D5" w14:textId="5ECF2F68" w:rsidR="00E25E28" w:rsidRPr="00657078" w:rsidRDefault="00E25E28" w:rsidP="00E25E28">
      <w:pPr>
        <w:pStyle w:val="AspexBodyStandard"/>
      </w:pPr>
      <w:r w:rsidRPr="00657078">
        <w:t xml:space="preserve">Significant difficulty exists in estimating the number of palliative care services actually delivered across Australia.  In relation to public and private hospital statistics, the Australian Institute of Health and Welfare </w:t>
      </w:r>
      <w:r w:rsidR="000A2786" w:rsidRPr="00657078">
        <w:t xml:space="preserve">(AIHW) </w:t>
      </w:r>
      <w:r w:rsidRPr="00657078">
        <w:t xml:space="preserve">captures </w:t>
      </w:r>
      <w:r w:rsidR="00D513CF" w:rsidRPr="00657078">
        <w:t xml:space="preserve">data on </w:t>
      </w:r>
      <w:r w:rsidRPr="00657078">
        <w:t>palliative care patients by identifying those admitted under a  ‘palliative care type’ in addition to those where a ‘primary or additional diagnosis’ of palliative care has been coded in the hospital record.  Coding practices differ significantly across jurisdictions</w:t>
      </w:r>
      <w:r w:rsidR="000A2786" w:rsidRPr="00657078">
        <w:t xml:space="preserve"> such that: some jurisdictions (e.g., Western Australia and more recently New South Wales) will not code primary or additional palliative care diagnoses </w:t>
      </w:r>
      <w:r w:rsidR="000A2786" w:rsidRPr="00657078">
        <w:rPr>
          <w:i/>
        </w:rPr>
        <w:t>unless</w:t>
      </w:r>
      <w:r w:rsidR="000A2786" w:rsidRPr="00657078">
        <w:t xml:space="preserve"> a patient has been formally admitted (or statistically separated) to a palliative care ‘type’ resulting in significant undercounting of the number of patients receiving palliative related clinical care.  The same practices are apparent for Queensland.  Other jurisdictions appear to have variable levels of coding in relation to primary or additional diagnoses of palliative care, delivered during a hospital admission.</w:t>
      </w:r>
    </w:p>
    <w:p w14:paraId="79EE1C47" w14:textId="35FE05F6" w:rsidR="000A2786" w:rsidRPr="00657078" w:rsidRDefault="000A2786" w:rsidP="00E25E28">
      <w:pPr>
        <w:pStyle w:val="AspexBodyStandard"/>
      </w:pPr>
      <w:r w:rsidRPr="00657078">
        <w:t>Moreover, the classification of palliative care patients admitted to hospital does not mean that the same patients received services from a palliative medicine specialist.  Although more likely in a designated ‘palliative care type’ admission (implying admission or transfer to a specialist palliative care unit), it is known that additional consultations to other medical and surgical units occur by palliative care specialists</w:t>
      </w:r>
      <w:r w:rsidR="00DB50F0" w:rsidRPr="00657078">
        <w:t>,</w:t>
      </w:r>
      <w:r w:rsidRPr="00657078">
        <w:t xml:space="preserve"> but the coverage of these consultations across the entire ‘eligible’ cohort of patients classified as palliative care remains unknown.</w:t>
      </w:r>
    </w:p>
    <w:p w14:paraId="0E284F72" w14:textId="25C4AEC1" w:rsidR="00AE2BBE" w:rsidRPr="00657078" w:rsidRDefault="00AE2BBE" w:rsidP="00E25E28">
      <w:pPr>
        <w:pStyle w:val="AspexBodyStandard"/>
      </w:pPr>
      <w:r w:rsidRPr="00657078">
        <w:t>Notwithstanding, current estimates reported by the AIHW have been used as the only available data upon which to estimate supply of hospital-related services</w:t>
      </w:r>
      <w:r w:rsidR="0077099B" w:rsidRPr="00657078">
        <w:t xml:space="preserve">.  However, </w:t>
      </w:r>
      <w:r w:rsidRPr="00657078">
        <w:t>it is acknowledged that these may over-represent palliative care services provided by palliative medicine specialists (and relate to a range of other hospital</w:t>
      </w:r>
      <w:r w:rsidR="0077099B" w:rsidRPr="00657078">
        <w:t>-</w:t>
      </w:r>
      <w:r w:rsidRPr="00657078">
        <w:t>based medical practitioners providing palliative services</w:t>
      </w:r>
      <w:r w:rsidR="0077099B" w:rsidRPr="00657078">
        <w:t>,</w:t>
      </w:r>
      <w:r w:rsidRPr="00657078">
        <w:t xml:space="preserve"> which may not necessarily cover the full range of needs of individual patients and their carers).</w:t>
      </w:r>
    </w:p>
    <w:p w14:paraId="072924FA" w14:textId="1433721C" w:rsidR="000A2786" w:rsidRPr="00657078" w:rsidRDefault="000A2786" w:rsidP="00E25E28">
      <w:pPr>
        <w:pStyle w:val="AspexBodyStandard"/>
      </w:pPr>
      <w:r w:rsidRPr="00657078">
        <w:t>Additional difficulties exist in estimating the number of patients receiving palliative care in the community setting. Reporting of the number of community patients to the Palliative Care Outcomes Collaboration (PCOC) is voluntary.  Moreover, the total number of community palliative care services operating across Australia is unknown (and can only be estimated by the number of registered providers listed by Palliative Care Australia).  Thus, the coverage of current community</w:t>
      </w:r>
      <w:r w:rsidR="00AE2BBE" w:rsidRPr="00657078">
        <w:t xml:space="preserve"> services reporting to PCOC can</w:t>
      </w:r>
      <w:r w:rsidRPr="00657078">
        <w:t>not be determined in order to estimate the annual number of community sector patients from available data.</w:t>
      </w:r>
      <w:r w:rsidR="00AE2BBE" w:rsidRPr="00657078">
        <w:t xml:space="preserve">  The only remaining source of community service supply is the estimated number of patients presenting to general practice</w:t>
      </w:r>
      <w:r w:rsidR="00F849D7" w:rsidRPr="00657078">
        <w:t xml:space="preserve">, being </w:t>
      </w:r>
      <w:r w:rsidR="00AE2BBE" w:rsidRPr="00657078">
        <w:t xml:space="preserve">the primary point of contact for the majority of patients </w:t>
      </w:r>
      <w:r w:rsidR="00F849D7" w:rsidRPr="00657078">
        <w:t xml:space="preserve">in the community (as opposed to hospital) who are </w:t>
      </w:r>
      <w:r w:rsidR="00AE2BBE" w:rsidRPr="00657078">
        <w:t>seeking services.  This data has therefore been used as the best available source upon which to base any estimations of community supply.</w:t>
      </w:r>
    </w:p>
    <w:p w14:paraId="083B4B6C" w14:textId="77777777" w:rsidR="00156062" w:rsidRPr="0017710F" w:rsidRDefault="00156062" w:rsidP="0017710F">
      <w:pPr>
        <w:pStyle w:val="AspexBodyStandard"/>
        <w:spacing w:before="360"/>
        <w:rPr>
          <w:b/>
        </w:rPr>
      </w:pPr>
      <w:r w:rsidRPr="0017710F">
        <w:rPr>
          <w:b/>
        </w:rPr>
        <w:t>Main issues around the evidence and conclusions for safety</w:t>
      </w:r>
    </w:p>
    <w:p w14:paraId="65C91FFC" w14:textId="2D6115A2" w:rsidR="00156062" w:rsidRPr="00657078" w:rsidRDefault="00156062" w:rsidP="00156062">
      <w:pPr>
        <w:pStyle w:val="AspexBodyStandard"/>
      </w:pPr>
      <w:r w:rsidRPr="00657078">
        <w:t xml:space="preserve">The safety of pharmacotherapies listed on the Pharmaceutical Benefits Scheme (PBS) and prescribed to treat patients </w:t>
      </w:r>
      <w:r w:rsidR="00F849D7" w:rsidRPr="00657078">
        <w:t xml:space="preserve">requiring </w:t>
      </w:r>
      <w:r w:rsidRPr="00657078">
        <w:t xml:space="preserve">palliative care has been previously established.  The safety of psychosocial </w:t>
      </w:r>
      <w:r w:rsidR="00AE2BBE" w:rsidRPr="00657078">
        <w:t xml:space="preserve">and other </w:t>
      </w:r>
      <w:r w:rsidRPr="00657078">
        <w:t xml:space="preserve">interventions </w:t>
      </w:r>
      <w:r w:rsidR="00AE2BBE" w:rsidRPr="00657078">
        <w:t xml:space="preserve">to maximise the quality of life for patients </w:t>
      </w:r>
      <w:r w:rsidRPr="00657078">
        <w:t xml:space="preserve">is more difficult to ascertain, as it is dependent upon the appropriate training and qualifications of those delivering specific interventions.  Training and ongoing professional accreditation remains within the purview of individual medical Colleges. Palliative </w:t>
      </w:r>
      <w:r w:rsidR="00C85633" w:rsidRPr="00657078">
        <w:t>c</w:t>
      </w:r>
      <w:r w:rsidRPr="00657078">
        <w:t xml:space="preserve">are </w:t>
      </w:r>
      <w:r w:rsidR="00C85633" w:rsidRPr="00657078">
        <w:t>m</w:t>
      </w:r>
      <w:r w:rsidRPr="00657078">
        <w:t xml:space="preserve">edicine specialists are trained and professionally accredited to deliver a wide range of psychosocial </w:t>
      </w:r>
      <w:r w:rsidR="00AE2BBE" w:rsidRPr="00657078">
        <w:t xml:space="preserve">and other </w:t>
      </w:r>
      <w:r w:rsidRPr="00657078">
        <w:t>interventions.  Thus, there is no evidence tha</w:t>
      </w:r>
      <w:r w:rsidR="00AE2BBE" w:rsidRPr="00657078">
        <w:t xml:space="preserve">t the safety of pharmacotherapy, medical and </w:t>
      </w:r>
      <w:r w:rsidRPr="00657078">
        <w:t>psychosocial interventions will be any worse than the safety of the same interventions delivered by other appropriately qualified medical practitioners.</w:t>
      </w:r>
    </w:p>
    <w:p w14:paraId="459AEE10" w14:textId="77777777" w:rsidR="00B91A80" w:rsidRDefault="00B91A80" w:rsidP="0017710F">
      <w:pPr>
        <w:pStyle w:val="AspexBodyStandard"/>
        <w:spacing w:before="360"/>
        <w:rPr>
          <w:b/>
        </w:rPr>
      </w:pPr>
    </w:p>
    <w:p w14:paraId="6FDCF7C3" w14:textId="77777777" w:rsidR="00156062" w:rsidRPr="0017710F" w:rsidRDefault="00156062" w:rsidP="0017710F">
      <w:pPr>
        <w:pStyle w:val="AspexBodyStandard"/>
        <w:spacing w:before="360"/>
        <w:rPr>
          <w:b/>
        </w:rPr>
      </w:pPr>
      <w:r w:rsidRPr="0017710F">
        <w:rPr>
          <w:b/>
        </w:rPr>
        <w:t>Main issues around the evidence and conclusions for clinical effectiveness</w:t>
      </w:r>
    </w:p>
    <w:p w14:paraId="0B19DF4A" w14:textId="355B0850" w:rsidR="00156062" w:rsidRPr="00657078" w:rsidRDefault="00156062" w:rsidP="00156062">
      <w:pPr>
        <w:pStyle w:val="AspexBodyStandard"/>
      </w:pPr>
      <w:r w:rsidRPr="00657078">
        <w:t xml:space="preserve">The effectiveness of pharmacotherapies listed on the PBS and prescribed to treat patients </w:t>
      </w:r>
      <w:r w:rsidR="00F849D7" w:rsidRPr="00657078">
        <w:t xml:space="preserve">in </w:t>
      </w:r>
      <w:r w:rsidRPr="00657078">
        <w:t xml:space="preserve">palliative care has also been previously established.  The clinical effectiveness of individual pharmacotherapies and other </w:t>
      </w:r>
      <w:r w:rsidR="00AE2BBE" w:rsidRPr="00657078">
        <w:t xml:space="preserve">medical and </w:t>
      </w:r>
      <w:r w:rsidRPr="00657078">
        <w:t>psychosocial interventions is evident across a range of systematic reviews</w:t>
      </w:r>
      <w:r w:rsidR="00AE2BBE" w:rsidRPr="00657078">
        <w:t xml:space="preserve"> (considered beyond the scope of the current report)</w:t>
      </w:r>
      <w:r w:rsidRPr="00657078">
        <w:t xml:space="preserve">. </w:t>
      </w:r>
      <w:r w:rsidR="002A2727" w:rsidRPr="00657078">
        <w:t>Palliative medicine</w:t>
      </w:r>
      <w:r w:rsidRPr="00657078">
        <w:t xml:space="preserve"> specialists are well placed to deliver these services.  Thus there is no evidence that the clinical effectiveness of interventions to address palliative care </w:t>
      </w:r>
      <w:r w:rsidR="00F849D7" w:rsidRPr="00657078">
        <w:t>needs</w:t>
      </w:r>
      <w:r w:rsidRPr="00657078">
        <w:t xml:space="preserve"> by </w:t>
      </w:r>
      <w:r w:rsidR="002A2727" w:rsidRPr="00657078">
        <w:t>palliative medicine</w:t>
      </w:r>
      <w:r w:rsidRPr="00657078">
        <w:t xml:space="preserve"> specialists would be any worse than the effectiveness of the same interventions provided by alternative medical specialties.</w:t>
      </w:r>
      <w:r w:rsidR="00AE2BBE" w:rsidRPr="00657078">
        <w:t xml:space="preserve"> Rather, the range of interventions considered and implemented is more likely to be </w:t>
      </w:r>
      <w:r w:rsidR="008D1D72" w:rsidRPr="00657078">
        <w:t xml:space="preserve">more </w:t>
      </w:r>
      <w:r w:rsidR="00AE2BBE" w:rsidRPr="00657078">
        <w:t>comprehensive under</w:t>
      </w:r>
      <w:r w:rsidR="008D1D72" w:rsidRPr="00657078">
        <w:t xml:space="preserve"> the treatment of palliative medicine specialists who are also trained to spend sufficient time discussing difficult and complex end-of-life issues with patients and their </w:t>
      </w:r>
      <w:proofErr w:type="spellStart"/>
      <w:r w:rsidR="008D1D72" w:rsidRPr="00657078">
        <w:t>carers</w:t>
      </w:r>
      <w:proofErr w:type="spellEnd"/>
      <w:r w:rsidR="008D1D72" w:rsidRPr="00657078">
        <w:t xml:space="preserve">. </w:t>
      </w:r>
    </w:p>
    <w:p w14:paraId="7A97DFA3" w14:textId="77777777" w:rsidR="00156062" w:rsidRPr="0017710F" w:rsidRDefault="00156062" w:rsidP="0017710F">
      <w:pPr>
        <w:pStyle w:val="AspexBodyStandard"/>
        <w:spacing w:before="360"/>
        <w:rPr>
          <w:b/>
        </w:rPr>
      </w:pPr>
      <w:r w:rsidRPr="0017710F">
        <w:rPr>
          <w:b/>
        </w:rPr>
        <w:t>Other important clinical issues and areas of clinical uncertainty</w:t>
      </w:r>
    </w:p>
    <w:p w14:paraId="2F6B748A" w14:textId="7D3914F8" w:rsidR="00156062" w:rsidRPr="00657078" w:rsidRDefault="00156062" w:rsidP="00156062">
      <w:pPr>
        <w:pStyle w:val="AspexBodyStandard"/>
      </w:pPr>
      <w:r w:rsidRPr="00657078">
        <w:t xml:space="preserve">It is acknowledged that the specialty of </w:t>
      </w:r>
      <w:r w:rsidR="002A2727" w:rsidRPr="00657078">
        <w:t>palliat</w:t>
      </w:r>
      <w:r w:rsidR="00C85633" w:rsidRPr="00657078">
        <w:t xml:space="preserve">ive </w:t>
      </w:r>
      <w:r w:rsidR="002A2727" w:rsidRPr="00657078">
        <w:t>medicine</w:t>
      </w:r>
      <w:r w:rsidRPr="00657078">
        <w:t xml:space="preserve"> has only recently been recognised</w:t>
      </w:r>
      <w:r w:rsidR="008D1D72" w:rsidRPr="00657078">
        <w:t xml:space="preserve"> by the Australian Medical Council (2005)</w:t>
      </w:r>
      <w:r w:rsidRPr="00657078">
        <w:t xml:space="preserve">. As such, there has been limited time to develop and implement specific randomised controlled trials examining the safety and effectiveness of interventions delivered by this group of specialists </w:t>
      </w:r>
      <w:r w:rsidR="00F849D7" w:rsidRPr="00657078">
        <w:t xml:space="preserve">relative to </w:t>
      </w:r>
      <w:r w:rsidRPr="00657078">
        <w:t>interventions provided by other specialists.</w:t>
      </w:r>
      <w:r w:rsidR="001A77BE">
        <w:t xml:space="preserve">  Notwithstanding, available evidence suggests that comprehensive assessment, treatment planning, referral, and ongoing monitoring lead to bette</w:t>
      </w:r>
      <w:r w:rsidR="00DE67D1">
        <w:t xml:space="preserve">r outcomes for terminally ill patients and their </w:t>
      </w:r>
      <w:proofErr w:type="spellStart"/>
      <w:r w:rsidR="00DE67D1">
        <w:t>carers</w:t>
      </w:r>
      <w:proofErr w:type="spellEnd"/>
      <w:r w:rsidR="00DE67D1">
        <w:t>.  Palliative medicine specialists are spec</w:t>
      </w:r>
      <w:r w:rsidR="00EB31A1">
        <w:t>ifically trained to deliver thes</w:t>
      </w:r>
      <w:r w:rsidR="00DE67D1">
        <w:t>e services.</w:t>
      </w:r>
    </w:p>
    <w:p w14:paraId="4862A394" w14:textId="77777777" w:rsidR="00156062" w:rsidRPr="009D20E1" w:rsidRDefault="00156062" w:rsidP="009D20E1">
      <w:pPr>
        <w:pStyle w:val="AspexBodyStandard"/>
        <w:rPr>
          <w:b/>
        </w:rPr>
      </w:pPr>
      <w:r w:rsidRPr="009D20E1">
        <w:rPr>
          <w:b/>
        </w:rPr>
        <w:t>Main economic issues and areas of uncertainty</w:t>
      </w:r>
    </w:p>
    <w:p w14:paraId="0B2A4F9E" w14:textId="057AA082" w:rsidR="00156062" w:rsidRPr="00657078" w:rsidRDefault="00156062" w:rsidP="00156062">
      <w:pPr>
        <w:pStyle w:val="AspexBodyStandard"/>
      </w:pPr>
      <w:r w:rsidRPr="00657078">
        <w:t xml:space="preserve">Economic analysis has relied upon an examination of the relative cost efficiency of services provided by </w:t>
      </w:r>
      <w:r w:rsidR="002A2727" w:rsidRPr="00657078">
        <w:t>palliative medicine</w:t>
      </w:r>
      <w:r w:rsidRPr="00657078">
        <w:t xml:space="preserve"> specialists </w:t>
      </w:r>
      <w:r w:rsidR="008D1D72" w:rsidRPr="00657078">
        <w:t>as part of a multidisciplinary team in a hospital versus a community context</w:t>
      </w:r>
      <w:r w:rsidRPr="00657078">
        <w:t xml:space="preserve">.  In the absence of specific studies focusing upon relative differences in clinical outcomes achieved by this group of specialists, analysis has relied upon the assumption that clinical outcomes will be no worse.  </w:t>
      </w:r>
      <w:r w:rsidR="008D1D72" w:rsidRPr="00657078">
        <w:t xml:space="preserve">Evidence available from the literature indicates that outcomes experienced by patients and their </w:t>
      </w:r>
      <w:proofErr w:type="spellStart"/>
      <w:r w:rsidR="008D1D72" w:rsidRPr="00657078">
        <w:t>carers</w:t>
      </w:r>
      <w:proofErr w:type="spellEnd"/>
      <w:r w:rsidR="008D1D72" w:rsidRPr="00657078">
        <w:t xml:space="preserve"> are no worse and</w:t>
      </w:r>
      <w:r w:rsidR="00F849D7" w:rsidRPr="00657078">
        <w:t xml:space="preserve"> are </w:t>
      </w:r>
      <w:r w:rsidR="008D1D72" w:rsidRPr="00657078">
        <w:t xml:space="preserve">more congruent with their general preferences to die at home. Evidence also indicates that appropriate community management can significantly reduce the chances of dying in hospital. </w:t>
      </w:r>
      <w:r w:rsidRPr="00657078">
        <w:t xml:space="preserve">A comparison of costs has occurred within this context.  It is acknowledged that no better information is currently available to inform the economic analysis. </w:t>
      </w:r>
    </w:p>
    <w:p w14:paraId="713D149F" w14:textId="77777777" w:rsidR="00156062" w:rsidRPr="00657078" w:rsidRDefault="00156062" w:rsidP="00156062">
      <w:pPr>
        <w:pStyle w:val="Heading2"/>
        <w:tabs>
          <w:tab w:val="clear" w:pos="964"/>
        </w:tabs>
        <w:ind w:left="851" w:hanging="851"/>
        <w:rPr>
          <w:color w:val="auto"/>
        </w:rPr>
      </w:pPr>
      <w:bookmarkStart w:id="37" w:name="_Toc224792865"/>
      <w:bookmarkStart w:id="38" w:name="_Toc382313794"/>
      <w:r w:rsidRPr="00657078">
        <w:rPr>
          <w:color w:val="auto"/>
        </w:rPr>
        <w:t>Other significant factors</w:t>
      </w:r>
      <w:bookmarkEnd w:id="37"/>
      <w:bookmarkEnd w:id="38"/>
    </w:p>
    <w:p w14:paraId="4F4D08C1" w14:textId="7B3A511C" w:rsidR="00156062" w:rsidRPr="00657078" w:rsidRDefault="00156062" w:rsidP="00156062">
      <w:pPr>
        <w:pStyle w:val="AspexBodyStandard"/>
      </w:pPr>
      <w:r w:rsidRPr="00657078">
        <w:t xml:space="preserve">Several additional factors are worthy of consideration in relation to the current submission by </w:t>
      </w:r>
      <w:r w:rsidR="002A2727" w:rsidRPr="00657078">
        <w:t>palliative medicine</w:t>
      </w:r>
      <w:r w:rsidRPr="00657078">
        <w:t xml:space="preserve"> specialists for new MBS items, namely that:</w:t>
      </w:r>
    </w:p>
    <w:p w14:paraId="75FC0BEC" w14:textId="42FF4DD1" w:rsidR="00886F4E" w:rsidRPr="00657078" w:rsidRDefault="00886F4E" w:rsidP="00156062">
      <w:pPr>
        <w:pStyle w:val="AspexBullet1"/>
      </w:pPr>
      <w:r w:rsidRPr="00657078">
        <w:t>Current evidence based models of palliative medicine require comprehensive patient assessment and treatment planning.  These activities have been consistently reported by specialists to take up to or more than one hour (on average).  Time appropriate payment is sought in this context, as specialists are not able to reduce the time taken for complex assessments without compromising the quality of patient care.</w:t>
      </w:r>
    </w:p>
    <w:p w14:paraId="5955AAA7" w14:textId="622C88B0" w:rsidR="00156062" w:rsidRPr="00657078" w:rsidRDefault="00156062" w:rsidP="00156062">
      <w:pPr>
        <w:pStyle w:val="AspexBullet1"/>
      </w:pPr>
      <w:r w:rsidRPr="00657078">
        <w:lastRenderedPageBreak/>
        <w:t xml:space="preserve">Current funding arrangements available through the MBS present inequities in access to reimbursement of services by different </w:t>
      </w:r>
      <w:r w:rsidR="002A2727" w:rsidRPr="00657078">
        <w:t>palliative medicine</w:t>
      </w:r>
      <w:r w:rsidRPr="00657078">
        <w:t xml:space="preserve"> specialists:  Many specialists have dual fellowship with another medical college and can access items available to other medical practitioners in order to achieve a higher rebate for services provided to patients.  </w:t>
      </w:r>
    </w:p>
    <w:p w14:paraId="4680C101" w14:textId="5A88A395" w:rsidR="00156062" w:rsidRPr="00657078" w:rsidRDefault="00156062" w:rsidP="00156062">
      <w:pPr>
        <w:pStyle w:val="AspexBullet1"/>
      </w:pPr>
      <w:r w:rsidRPr="00657078">
        <w:t xml:space="preserve">Current funding arrangements available through the MBS present inequities in reimbursement arrangements between </w:t>
      </w:r>
      <w:r w:rsidR="002A2727" w:rsidRPr="00657078">
        <w:t>palliative medicine</w:t>
      </w:r>
      <w:r w:rsidRPr="00657078">
        <w:t xml:space="preserve"> specialists and other specialists recognised by the Australian Medical Council and the Australian Government.</w:t>
      </w:r>
    </w:p>
    <w:p w14:paraId="54791243" w14:textId="635C6FA6" w:rsidR="00156062" w:rsidRDefault="00156062" w:rsidP="00156062">
      <w:pPr>
        <w:pStyle w:val="AspexBullet1"/>
      </w:pPr>
      <w:r w:rsidRPr="00657078">
        <w:t xml:space="preserve">Current funding arrangements have been reported to be </w:t>
      </w:r>
      <w:r w:rsidR="008D1D72" w:rsidRPr="00657078">
        <w:t xml:space="preserve">incongruent with the actual time spent with patients in order to deliver current evidence-based palliative care, and carry </w:t>
      </w:r>
      <w:r w:rsidRPr="00657078">
        <w:t xml:space="preserve">a disincentive for trainees considering a future in </w:t>
      </w:r>
      <w:r w:rsidR="002A2727" w:rsidRPr="00657078">
        <w:t>palliative medicine</w:t>
      </w:r>
      <w:r w:rsidRPr="00657078">
        <w:t xml:space="preserve">. The capacity to </w:t>
      </w:r>
      <w:r w:rsidR="008D1D72" w:rsidRPr="00657078">
        <w:t xml:space="preserve">maintain employment or </w:t>
      </w:r>
      <w:r w:rsidRPr="00657078">
        <w:t>engage in full scope of practice in the private sector has been limited.  Workforce numbers are in decline and attraction of new trainees is considered important to maintain the viability and sustainability of the speciality area.</w:t>
      </w:r>
    </w:p>
    <w:p w14:paraId="7B23CA59" w14:textId="0AD63168" w:rsidR="00DE67D1" w:rsidRPr="00657078" w:rsidRDefault="00DE67D1" w:rsidP="00DE67D1">
      <w:pPr>
        <w:pStyle w:val="AspexBullet1"/>
      </w:pPr>
      <w:r>
        <w:t xml:space="preserve">Current funding arrangements have been reported by specialists to be an impediment to the </w:t>
      </w:r>
      <w:r w:rsidR="00A97D55">
        <w:t>provision</w:t>
      </w:r>
      <w:r>
        <w:t xml:space="preserve"> of private (hospital and community) services.  In some cases, this has been reported to result in a discontinuation of service provision. In other cases, the current level of MBS funding has been considered to be a disincentive to develop services in the private sector.  Thus, access to higher rebated MBS items is considered by specialists to improve levels of palliative medicine service provision in the private sector.</w:t>
      </w:r>
    </w:p>
    <w:p w14:paraId="1C1D20D8" w14:textId="77777777" w:rsidR="000A32D0" w:rsidRPr="00657078" w:rsidRDefault="000A32D0" w:rsidP="000A32D0">
      <w:pPr>
        <w:pStyle w:val="Heading2"/>
        <w:rPr>
          <w:color w:val="auto"/>
        </w:rPr>
      </w:pPr>
      <w:bookmarkStart w:id="39" w:name="_Toc224375120"/>
      <w:bookmarkStart w:id="40" w:name="_Toc373163100"/>
      <w:bookmarkStart w:id="41" w:name="_Toc247923883"/>
      <w:bookmarkStart w:id="42" w:name="_Toc382313795"/>
      <w:r w:rsidRPr="00657078">
        <w:rPr>
          <w:color w:val="auto"/>
        </w:rPr>
        <w:t>Summary of consideration and rationale for MSAC’s advice</w:t>
      </w:r>
      <w:bookmarkEnd w:id="39"/>
      <w:bookmarkEnd w:id="40"/>
      <w:bookmarkEnd w:id="41"/>
      <w:bookmarkEnd w:id="42"/>
    </w:p>
    <w:p w14:paraId="2481B3BF" w14:textId="7C23A643" w:rsidR="000A32D0" w:rsidRPr="00657078" w:rsidRDefault="000A32D0" w:rsidP="000A32D0">
      <w:pPr>
        <w:pStyle w:val="AspexBodyStandard"/>
      </w:pPr>
      <w:r w:rsidRPr="00657078">
        <w:t>In summary, despite recognised challenges identifying accurate estimates of community demand for services, there appears to be significant additional demand for palliative care specialist interventions. The majority (if not all) of this demand could be identified through improved ‘case finding’ and referral from the general practice population. The interventions provided by palliative care specialists appear to be no worse in terms of safety or clinical effectiveness than the same services provided across a wide range of other medical specialists currently addressing the needs of individuals at the point of ‘end of life’ care. More importantly, the competency in delivering a comprehensive range of interventions by palliative medicine specialists to maximise the quality of end</w:t>
      </w:r>
      <w:r w:rsidR="003F066E" w:rsidRPr="00657078">
        <w:t>-</w:t>
      </w:r>
      <w:r w:rsidRPr="00657078">
        <w:t>of</w:t>
      </w:r>
      <w:r w:rsidR="003F066E" w:rsidRPr="00657078">
        <w:t>-</w:t>
      </w:r>
      <w:r w:rsidRPr="00657078">
        <w:t>life experiences by individuals and their families cannot be assured by other medical practitioners managing the same patient cohorts. Financial modelling indicates that any services provided by palliative medicine specialists, particularly in the community setting, are likely to be more cost-effective and result in lower out-of-pocket costs to patients compared with the same services delivered in a hospital context (by palliative care or other medical specialties).</w:t>
      </w:r>
    </w:p>
    <w:p w14:paraId="1ED95F7C" w14:textId="64A191B7" w:rsidR="000A32D0" w:rsidRPr="00657078" w:rsidRDefault="000A32D0" w:rsidP="000A32D0">
      <w:pPr>
        <w:pStyle w:val="Heading2"/>
        <w:rPr>
          <w:color w:val="auto"/>
        </w:rPr>
      </w:pPr>
      <w:bookmarkStart w:id="43" w:name="_Toc224375121"/>
      <w:bookmarkStart w:id="44" w:name="_Toc373163101"/>
      <w:bookmarkStart w:id="45" w:name="_Toc247923884"/>
      <w:bookmarkStart w:id="46" w:name="_Toc382313796"/>
      <w:r w:rsidRPr="00657078">
        <w:rPr>
          <w:color w:val="auto"/>
        </w:rPr>
        <w:t xml:space="preserve">Proposed new items for </w:t>
      </w:r>
      <w:r w:rsidR="002A2727" w:rsidRPr="00657078">
        <w:rPr>
          <w:color w:val="auto"/>
        </w:rPr>
        <w:t>palliative medicine</w:t>
      </w:r>
      <w:r w:rsidRPr="00657078">
        <w:rPr>
          <w:color w:val="auto"/>
        </w:rPr>
        <w:t xml:space="preserve"> specialists</w:t>
      </w:r>
      <w:bookmarkEnd w:id="43"/>
      <w:bookmarkEnd w:id="44"/>
      <w:bookmarkEnd w:id="45"/>
      <w:bookmarkEnd w:id="46"/>
    </w:p>
    <w:p w14:paraId="1430DB43" w14:textId="0750BD00" w:rsidR="000A32D0" w:rsidRPr="00657078" w:rsidRDefault="000A32D0" w:rsidP="000A32D0">
      <w:pPr>
        <w:pStyle w:val="AspexBodyStandard"/>
      </w:pPr>
      <w:r w:rsidRPr="00657078">
        <w:t xml:space="preserve">After considering the strength of the available evidence in relation to the demand, safety, effectiveness and anticipated cost of MBS items for </w:t>
      </w:r>
      <w:r w:rsidR="002A2727" w:rsidRPr="00657078">
        <w:t>palliative medicine</w:t>
      </w:r>
      <w:r w:rsidRPr="00657078">
        <w:t>, this contracted assessment concludes that MBS item descriptors could be similar to those detailed below.</w:t>
      </w:r>
    </w:p>
    <w:p w14:paraId="31584A32" w14:textId="0776E7BB" w:rsidR="000A32D0" w:rsidRPr="00657078" w:rsidRDefault="000A32D0" w:rsidP="000A32D0">
      <w:pPr>
        <w:pStyle w:val="AspexBodyStandard"/>
      </w:pPr>
      <w:r w:rsidRPr="00657078">
        <w:t>To ensure policy consistency between existing MBS item groups, it is also advised that Extended Medicare Safety Net capping be applied to any new palliative health medicine MBS items. The financial risk of initially listing new professional attendance items in the absence of ESM capping is considered to be low, given that palliative care specialists, to date, have not been associated with excessive out-of-pocket-costs.</w:t>
      </w:r>
    </w:p>
    <w:p w14:paraId="23CC7EEF" w14:textId="2A7D270D" w:rsidR="00A821CD" w:rsidRDefault="00A821CD" w:rsidP="000A32D0">
      <w:pPr>
        <w:pStyle w:val="AspexBodyStandard"/>
      </w:pPr>
    </w:p>
    <w:p w14:paraId="23232420" w14:textId="50AFD5B8" w:rsidR="000A32D0" w:rsidRPr="00657078" w:rsidRDefault="00A821CD" w:rsidP="000A32D0">
      <w:pPr>
        <w:pStyle w:val="AspexBodyStandard"/>
      </w:pPr>
      <w:r w:rsidRPr="00657078">
        <w:t>T</w:t>
      </w:r>
      <w:r w:rsidR="000A32D0" w:rsidRPr="00657078">
        <w:t>he</w:t>
      </w:r>
      <w:r w:rsidR="00F874A0">
        <w:t xml:space="preserve"> </w:t>
      </w:r>
      <w:r>
        <w:t>two</w:t>
      </w:r>
      <w:r w:rsidR="000A32D0" w:rsidRPr="00657078">
        <w:t xml:space="preserve"> </w:t>
      </w:r>
      <w:r>
        <w:t xml:space="preserve">alternatives </w:t>
      </w:r>
      <w:r w:rsidR="00AC6827">
        <w:t>(</w:t>
      </w:r>
      <w:r>
        <w:t>to maintaining the</w:t>
      </w:r>
      <w:r w:rsidR="00F874A0">
        <w:t xml:space="preserve"> status quo of the</w:t>
      </w:r>
      <w:r>
        <w:t xml:space="preserve"> current MBS schedule</w:t>
      </w:r>
      <w:r w:rsidR="00AC6827">
        <w:t>)</w:t>
      </w:r>
      <w:r>
        <w:t xml:space="preserve"> </w:t>
      </w:r>
      <w:r w:rsidR="000A32D0" w:rsidRPr="00657078">
        <w:t xml:space="preserve">proposed </w:t>
      </w:r>
      <w:r>
        <w:t>for</w:t>
      </w:r>
      <w:r w:rsidRPr="00657078">
        <w:t xml:space="preserve"> </w:t>
      </w:r>
      <w:r w:rsidR="000A32D0" w:rsidRPr="00657078">
        <w:t>consideration by MSAC, are to:</w:t>
      </w:r>
    </w:p>
    <w:p w14:paraId="71BE0C95" w14:textId="01D8EE28" w:rsidR="000A32D0" w:rsidRPr="00657078" w:rsidRDefault="000A32D0" w:rsidP="000A32D0">
      <w:pPr>
        <w:pStyle w:val="AspexBullet1"/>
      </w:pPr>
      <w:r w:rsidRPr="00657078">
        <w:rPr>
          <w:b/>
        </w:rPr>
        <w:t>Introduce complex assessments</w:t>
      </w:r>
      <w:r w:rsidRPr="00657078">
        <w:t xml:space="preserve"> as an optional additional patient assessment item, in addition to claiming the current initial assessment item – thus allowing the opportunity to conduct patient assessment on two individual occasions, by either claiming one new complex assessment and one existing assessment (in any order according to patient need), or two existing assessment items (</w:t>
      </w:r>
      <w:r w:rsidRPr="00657078">
        <w:rPr>
          <w:b/>
        </w:rPr>
        <w:t xml:space="preserve">Option </w:t>
      </w:r>
      <w:r w:rsidR="00A821CD">
        <w:rPr>
          <w:b/>
        </w:rPr>
        <w:t>1</w:t>
      </w:r>
      <w:r w:rsidRPr="00657078">
        <w:t>); or</w:t>
      </w:r>
    </w:p>
    <w:p w14:paraId="22F5AA6A" w14:textId="7A3533EB" w:rsidR="000A32D0" w:rsidRPr="00657078" w:rsidRDefault="000A32D0" w:rsidP="000A32D0">
      <w:pPr>
        <w:pStyle w:val="AspexBullet1"/>
      </w:pPr>
      <w:r w:rsidRPr="00657078">
        <w:rPr>
          <w:b/>
        </w:rPr>
        <w:t>Introduce time-tiered consultations</w:t>
      </w:r>
      <w:r w:rsidRPr="00657078">
        <w:t>, allowing for two patient assessment claims in the palliative care illness trajectory, and any follow-up consultation according to the actual time spent with individual patients (</w:t>
      </w:r>
      <w:r w:rsidRPr="00657078">
        <w:rPr>
          <w:b/>
        </w:rPr>
        <w:t xml:space="preserve">Option </w:t>
      </w:r>
      <w:r w:rsidR="00A821CD">
        <w:rPr>
          <w:b/>
        </w:rPr>
        <w:t>2</w:t>
      </w:r>
      <w:r w:rsidRPr="00657078">
        <w:t>).</w:t>
      </w:r>
    </w:p>
    <w:p w14:paraId="2E7FF080" w14:textId="5669866F" w:rsidR="00F874A0" w:rsidRPr="00657078" w:rsidRDefault="000A32D0" w:rsidP="00F874A0">
      <w:pPr>
        <w:pStyle w:val="AspexBullet1"/>
      </w:pPr>
      <w:r w:rsidRPr="00657078">
        <w:t xml:space="preserve">In addition, </w:t>
      </w:r>
      <w:r w:rsidR="00F874A0">
        <w:t>it is</w:t>
      </w:r>
      <w:r w:rsidRPr="00657078">
        <w:t xml:space="preserve"> </w:t>
      </w:r>
      <w:r w:rsidR="00833B6C">
        <w:t>proposed</w:t>
      </w:r>
      <w:r w:rsidR="00F874A0">
        <w:t xml:space="preserve"> that the </w:t>
      </w:r>
      <w:r w:rsidR="00F874A0" w:rsidRPr="00F874A0">
        <w:t>current wording</w:t>
      </w:r>
      <w:r w:rsidR="00F874A0" w:rsidRPr="00657078">
        <w:t xml:space="preserve"> for home visitation items</w:t>
      </w:r>
      <w:r w:rsidR="00F874A0">
        <w:t xml:space="preserve"> is modified</w:t>
      </w:r>
      <w:r w:rsidR="00F874A0" w:rsidRPr="00657078">
        <w:t xml:space="preserve"> to make explicit their application in other community settings</w:t>
      </w:r>
      <w:r w:rsidR="00F874A0">
        <w:t>.</w:t>
      </w:r>
    </w:p>
    <w:p w14:paraId="265900F2" w14:textId="58F98CE6" w:rsidR="000A32D0" w:rsidRPr="00657078" w:rsidRDefault="000A32D0" w:rsidP="000A32D0">
      <w:pPr>
        <w:pStyle w:val="AspexBodyStandard"/>
      </w:pPr>
      <w:r w:rsidRPr="00657078">
        <w:t>Item summaries or descriptors for additional MBS items are described below for MSAC’s consideration</w:t>
      </w:r>
      <w:r w:rsidR="00D702DE">
        <w:t>,</w:t>
      </w:r>
      <w:r w:rsidR="006B3E1F">
        <w:t xml:space="preserve"> in the context of current items which are </w:t>
      </w:r>
      <w:r w:rsidR="00B553C3">
        <w:t xml:space="preserve">also </w:t>
      </w:r>
      <w:r w:rsidR="006B3E1F">
        <w:t xml:space="preserve">set out </w:t>
      </w:r>
      <w:r w:rsidR="003F09AF">
        <w:t xml:space="preserve">in </w:t>
      </w:r>
      <w:r w:rsidR="003F09AF">
        <w:fldChar w:fldCharType="begin"/>
      </w:r>
      <w:r w:rsidR="003F09AF">
        <w:instrText xml:space="preserve"> REF _Ref382315519 \h </w:instrText>
      </w:r>
      <w:r w:rsidR="003F09AF">
        <w:fldChar w:fldCharType="separate"/>
      </w:r>
      <w:r w:rsidR="009C72FC">
        <w:t xml:space="preserve">Table </w:t>
      </w:r>
      <w:r w:rsidR="009C72FC">
        <w:rPr>
          <w:noProof/>
        </w:rPr>
        <w:t>1</w:t>
      </w:r>
      <w:r w:rsidR="009C72FC">
        <w:noBreakHyphen/>
      </w:r>
      <w:r w:rsidR="009C72FC">
        <w:rPr>
          <w:noProof/>
        </w:rPr>
        <w:t>2</w:t>
      </w:r>
      <w:r w:rsidR="003F09AF">
        <w:fldChar w:fldCharType="end"/>
      </w:r>
      <w:r w:rsidR="003F09AF">
        <w:t xml:space="preserve"> </w:t>
      </w:r>
      <w:r w:rsidR="00B553C3">
        <w:t>below</w:t>
      </w:r>
      <w:r w:rsidRPr="00657078">
        <w:t>.</w:t>
      </w:r>
    </w:p>
    <w:p w14:paraId="11D80459" w14:textId="561C4A59" w:rsidR="000A32D0" w:rsidRDefault="003F09AF" w:rsidP="003F09AF">
      <w:pPr>
        <w:pStyle w:val="Caption"/>
        <w:rPr>
          <w:b w:val="0"/>
        </w:rPr>
      </w:pPr>
      <w:bookmarkStart w:id="47" w:name="_Ref382315519"/>
      <w:bookmarkStart w:id="48" w:name="_Toc382315612"/>
      <w:r>
        <w:t xml:space="preserve">Table </w:t>
      </w:r>
      <w:fldSimple w:instr=" STYLEREF 1 \s ">
        <w:r w:rsidR="009C72FC">
          <w:rPr>
            <w:noProof/>
          </w:rPr>
          <w:t>1</w:t>
        </w:r>
      </w:fldSimple>
      <w:r>
        <w:noBreakHyphen/>
      </w:r>
      <w:fldSimple w:instr=" SEQ Table \* ARABIC \s 1 ">
        <w:r w:rsidR="009C72FC">
          <w:rPr>
            <w:noProof/>
          </w:rPr>
          <w:t>2</w:t>
        </w:r>
      </w:fldSimple>
      <w:bookmarkEnd w:id="47"/>
      <w:r>
        <w:t>:</w:t>
      </w:r>
      <w:r>
        <w:tab/>
      </w:r>
      <w:r w:rsidR="000A32D0" w:rsidRPr="003F09AF">
        <w:t xml:space="preserve">Summary of </w:t>
      </w:r>
      <w:r w:rsidR="00507E0C" w:rsidRPr="003F09AF">
        <w:t xml:space="preserve">item descriptors </w:t>
      </w:r>
      <w:r w:rsidR="00B91A80" w:rsidRPr="003F09AF">
        <w:t xml:space="preserve">listed on Schedule A35 of the MBS </w:t>
      </w:r>
      <w:r w:rsidR="00507E0C" w:rsidRPr="003F09AF">
        <w:t xml:space="preserve">currently available to palliative </w:t>
      </w:r>
      <w:r w:rsidR="000A32D0" w:rsidRPr="003F09AF">
        <w:t>care specialists</w:t>
      </w:r>
      <w:bookmarkEnd w:id="48"/>
    </w:p>
    <w:tbl>
      <w:tblPr>
        <w:tblStyle w:val="AspexTable1"/>
        <w:tblW w:w="0" w:type="auto"/>
        <w:tblLayout w:type="fixed"/>
        <w:tblLook w:val="04A0" w:firstRow="1" w:lastRow="0" w:firstColumn="1" w:lastColumn="0" w:noHBand="0" w:noVBand="1"/>
        <w:tblCaption w:val="Table describing existing item descriptors for palliative care "/>
        <w:tblDescription w:val="Summary of existing item descriptors currently available to palliative care specialists"/>
      </w:tblPr>
      <w:tblGrid>
        <w:gridCol w:w="3397"/>
        <w:gridCol w:w="1430"/>
        <w:gridCol w:w="1122"/>
        <w:gridCol w:w="1417"/>
        <w:gridCol w:w="1418"/>
      </w:tblGrid>
      <w:tr w:rsidR="000A32D0" w:rsidRPr="006B2E47" w14:paraId="2B79A5D8" w14:textId="77777777" w:rsidTr="006162EC">
        <w:trPr>
          <w:cnfStyle w:val="100000000000" w:firstRow="1" w:lastRow="0" w:firstColumn="0" w:lastColumn="0" w:oddVBand="0" w:evenVBand="0" w:oddHBand="0" w:evenHBand="0" w:firstRowFirstColumn="0" w:firstRowLastColumn="0" w:lastRowFirstColumn="0" w:lastRowLastColumn="0"/>
          <w:tblHeader/>
        </w:trPr>
        <w:tc>
          <w:tcPr>
            <w:tcW w:w="3397" w:type="dxa"/>
          </w:tcPr>
          <w:p w14:paraId="272B8275" w14:textId="77777777" w:rsidR="000A32D0" w:rsidRPr="00D21F54" w:rsidRDefault="000A32D0" w:rsidP="004056C5">
            <w:pPr>
              <w:pStyle w:val="AspexBodyStandard"/>
              <w:spacing w:before="144" w:after="144"/>
              <w:rPr>
                <w:rFonts w:ascii="Arial Narrow" w:hAnsi="Arial Narrow"/>
                <w:color w:val="FFFFFF" w:themeColor="background1"/>
                <w:sz w:val="20"/>
              </w:rPr>
            </w:pPr>
            <w:r w:rsidRPr="00D21F54">
              <w:rPr>
                <w:rFonts w:ascii="Arial Narrow" w:hAnsi="Arial Narrow"/>
                <w:color w:val="FFFFFF" w:themeColor="background1"/>
                <w:sz w:val="20"/>
              </w:rPr>
              <w:t>Short Description</w:t>
            </w:r>
          </w:p>
        </w:tc>
        <w:tc>
          <w:tcPr>
            <w:tcW w:w="1430" w:type="dxa"/>
          </w:tcPr>
          <w:p w14:paraId="4B3877DA" w14:textId="77777777" w:rsidR="000A32D0" w:rsidRPr="00D21F54" w:rsidRDefault="000A32D0" w:rsidP="004056C5">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Surgery or Hospital</w:t>
            </w:r>
          </w:p>
        </w:tc>
        <w:tc>
          <w:tcPr>
            <w:tcW w:w="1122" w:type="dxa"/>
          </w:tcPr>
          <w:p w14:paraId="505ACC9F" w14:textId="77777777" w:rsidR="000A32D0" w:rsidRPr="00D21F54" w:rsidRDefault="000A32D0" w:rsidP="004056C5">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Home visit</w:t>
            </w:r>
          </w:p>
        </w:tc>
        <w:tc>
          <w:tcPr>
            <w:tcW w:w="1417" w:type="dxa"/>
          </w:tcPr>
          <w:p w14:paraId="4668D537" w14:textId="77777777" w:rsidR="000A32D0" w:rsidRPr="00D21F54" w:rsidRDefault="000A32D0" w:rsidP="004056C5">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Discharge Case Conference</w:t>
            </w:r>
          </w:p>
        </w:tc>
        <w:tc>
          <w:tcPr>
            <w:tcW w:w="1418" w:type="dxa"/>
          </w:tcPr>
          <w:p w14:paraId="3EC87692" w14:textId="77777777" w:rsidR="000A32D0" w:rsidRPr="00D21F54" w:rsidRDefault="000A32D0" w:rsidP="004056C5">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Community case conference</w:t>
            </w:r>
          </w:p>
        </w:tc>
      </w:tr>
      <w:tr w:rsidR="000A32D0" w:rsidRPr="006B2E47" w14:paraId="23730117" w14:textId="77777777" w:rsidTr="004056C5">
        <w:trPr>
          <w:trHeight w:hRule="exact" w:val="340"/>
        </w:trPr>
        <w:tc>
          <w:tcPr>
            <w:tcW w:w="3397" w:type="dxa"/>
            <w:vAlign w:val="center"/>
          </w:tcPr>
          <w:p w14:paraId="74DC0B09"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Professional attendance</w:t>
            </w:r>
          </w:p>
        </w:tc>
        <w:tc>
          <w:tcPr>
            <w:tcW w:w="1430" w:type="dxa"/>
            <w:vAlign w:val="center"/>
          </w:tcPr>
          <w:p w14:paraId="38A0419F"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3005</w:t>
            </w:r>
          </w:p>
        </w:tc>
        <w:tc>
          <w:tcPr>
            <w:tcW w:w="1122" w:type="dxa"/>
            <w:vAlign w:val="center"/>
          </w:tcPr>
          <w:p w14:paraId="77023338"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3018</w:t>
            </w:r>
          </w:p>
        </w:tc>
        <w:tc>
          <w:tcPr>
            <w:tcW w:w="1417" w:type="dxa"/>
            <w:vAlign w:val="center"/>
          </w:tcPr>
          <w:p w14:paraId="2A73EFF8"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8" w:type="dxa"/>
            <w:vAlign w:val="center"/>
          </w:tcPr>
          <w:p w14:paraId="3CC9C40D"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0A32D0" w:rsidRPr="006B2E47" w14:paraId="24F963AF" w14:textId="77777777" w:rsidTr="004056C5">
        <w:trPr>
          <w:trHeight w:hRule="exact" w:val="340"/>
        </w:trPr>
        <w:tc>
          <w:tcPr>
            <w:tcW w:w="3397" w:type="dxa"/>
            <w:vAlign w:val="center"/>
          </w:tcPr>
          <w:p w14:paraId="0DFD8515" w14:textId="77777777" w:rsidR="000A32D0"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Subsequent attendance</w:t>
            </w:r>
          </w:p>
          <w:p w14:paraId="51E7332C"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Min</w:t>
            </w:r>
          </w:p>
        </w:tc>
        <w:tc>
          <w:tcPr>
            <w:tcW w:w="1430" w:type="dxa"/>
            <w:vAlign w:val="center"/>
          </w:tcPr>
          <w:p w14:paraId="2DA2EFD5"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3010</w:t>
            </w:r>
          </w:p>
        </w:tc>
        <w:tc>
          <w:tcPr>
            <w:tcW w:w="1122" w:type="dxa"/>
            <w:vAlign w:val="center"/>
          </w:tcPr>
          <w:p w14:paraId="5ED797D7"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3023</w:t>
            </w:r>
          </w:p>
        </w:tc>
        <w:tc>
          <w:tcPr>
            <w:tcW w:w="1417" w:type="dxa"/>
            <w:vAlign w:val="center"/>
          </w:tcPr>
          <w:p w14:paraId="0FE90EAA"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8" w:type="dxa"/>
            <w:vAlign w:val="center"/>
          </w:tcPr>
          <w:p w14:paraId="7AE45763"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0A32D0" w:rsidRPr="006B2E47" w14:paraId="41482C8D" w14:textId="77777777" w:rsidTr="004056C5">
        <w:trPr>
          <w:trHeight w:hRule="exact" w:val="340"/>
        </w:trPr>
        <w:tc>
          <w:tcPr>
            <w:tcW w:w="3397" w:type="dxa"/>
            <w:vAlign w:val="center"/>
          </w:tcPr>
          <w:p w14:paraId="0E71E7A6"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Minor subsequent attendance</w:t>
            </w:r>
          </w:p>
        </w:tc>
        <w:tc>
          <w:tcPr>
            <w:tcW w:w="1430" w:type="dxa"/>
            <w:vAlign w:val="center"/>
          </w:tcPr>
          <w:p w14:paraId="42D09230"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3014</w:t>
            </w:r>
          </w:p>
        </w:tc>
        <w:tc>
          <w:tcPr>
            <w:tcW w:w="1122" w:type="dxa"/>
            <w:vAlign w:val="center"/>
          </w:tcPr>
          <w:p w14:paraId="56850ED5"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3028</w:t>
            </w:r>
          </w:p>
        </w:tc>
        <w:tc>
          <w:tcPr>
            <w:tcW w:w="1417" w:type="dxa"/>
            <w:vAlign w:val="center"/>
          </w:tcPr>
          <w:p w14:paraId="4996E196"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8" w:type="dxa"/>
            <w:vAlign w:val="center"/>
          </w:tcPr>
          <w:p w14:paraId="3C591A06"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0A32D0" w:rsidRPr="006B2E47" w14:paraId="14322F76" w14:textId="77777777" w:rsidTr="004056C5">
        <w:trPr>
          <w:trHeight w:hRule="exact" w:val="340"/>
        </w:trPr>
        <w:tc>
          <w:tcPr>
            <w:tcW w:w="3397" w:type="dxa"/>
            <w:vAlign w:val="center"/>
          </w:tcPr>
          <w:p w14:paraId="08E1E4EF"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Organise/coordinate – duration 15-30 mins</w:t>
            </w:r>
          </w:p>
        </w:tc>
        <w:tc>
          <w:tcPr>
            <w:tcW w:w="1430" w:type="dxa"/>
            <w:vAlign w:val="center"/>
          </w:tcPr>
          <w:p w14:paraId="5D1851C8"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09063EE6"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4FA7BDD8"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3032</w:t>
            </w:r>
          </w:p>
        </w:tc>
        <w:tc>
          <w:tcPr>
            <w:tcW w:w="1418" w:type="dxa"/>
            <w:vAlign w:val="center"/>
          </w:tcPr>
          <w:p w14:paraId="712ADB76"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3069</w:t>
            </w:r>
          </w:p>
        </w:tc>
      </w:tr>
      <w:tr w:rsidR="000A32D0" w:rsidRPr="006B2E47" w14:paraId="3BFEA3A5" w14:textId="77777777" w:rsidTr="004056C5">
        <w:trPr>
          <w:trHeight w:hRule="exact" w:val="340"/>
        </w:trPr>
        <w:tc>
          <w:tcPr>
            <w:tcW w:w="3397" w:type="dxa"/>
            <w:vAlign w:val="center"/>
          </w:tcPr>
          <w:p w14:paraId="6453836D"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Organise/coordinate – duration 30-45 mins</w:t>
            </w:r>
          </w:p>
        </w:tc>
        <w:tc>
          <w:tcPr>
            <w:tcW w:w="1430" w:type="dxa"/>
            <w:vAlign w:val="center"/>
          </w:tcPr>
          <w:p w14:paraId="72E5EA53"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795B6A69"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430E2C84"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3040</w:t>
            </w:r>
          </w:p>
        </w:tc>
        <w:tc>
          <w:tcPr>
            <w:tcW w:w="1418" w:type="dxa"/>
            <w:vAlign w:val="center"/>
          </w:tcPr>
          <w:p w14:paraId="11CE8CDD"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3074</w:t>
            </w:r>
          </w:p>
        </w:tc>
      </w:tr>
      <w:tr w:rsidR="000A32D0" w:rsidRPr="006B2E47" w14:paraId="373E1B83" w14:textId="77777777" w:rsidTr="004056C5">
        <w:trPr>
          <w:trHeight w:hRule="exact" w:val="340"/>
        </w:trPr>
        <w:tc>
          <w:tcPr>
            <w:tcW w:w="3397" w:type="dxa"/>
            <w:vAlign w:val="center"/>
          </w:tcPr>
          <w:p w14:paraId="32D8D4F9"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Organise/coordinate – duration 45+ mins</w:t>
            </w:r>
          </w:p>
        </w:tc>
        <w:tc>
          <w:tcPr>
            <w:tcW w:w="1430" w:type="dxa"/>
            <w:vAlign w:val="center"/>
          </w:tcPr>
          <w:p w14:paraId="436F1ABD"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1861AD0A"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76380D14"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3044</w:t>
            </w:r>
          </w:p>
        </w:tc>
        <w:tc>
          <w:tcPr>
            <w:tcW w:w="1418" w:type="dxa"/>
            <w:vAlign w:val="center"/>
          </w:tcPr>
          <w:p w14:paraId="5F5ABE29"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3078</w:t>
            </w:r>
          </w:p>
        </w:tc>
      </w:tr>
      <w:tr w:rsidR="000A32D0" w:rsidRPr="006B2E47" w14:paraId="630D4D6E" w14:textId="77777777" w:rsidTr="004056C5">
        <w:trPr>
          <w:trHeight w:hRule="exact" w:val="340"/>
        </w:trPr>
        <w:tc>
          <w:tcPr>
            <w:tcW w:w="3397" w:type="dxa"/>
            <w:vAlign w:val="center"/>
          </w:tcPr>
          <w:p w14:paraId="64B24AA7"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15-30 mins</w:t>
            </w:r>
          </w:p>
        </w:tc>
        <w:tc>
          <w:tcPr>
            <w:tcW w:w="1430" w:type="dxa"/>
            <w:vAlign w:val="center"/>
          </w:tcPr>
          <w:p w14:paraId="26E6CF3F"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7FA970E9"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225D905C"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3051</w:t>
            </w:r>
          </w:p>
        </w:tc>
        <w:tc>
          <w:tcPr>
            <w:tcW w:w="1418" w:type="dxa"/>
            <w:vAlign w:val="center"/>
          </w:tcPr>
          <w:p w14:paraId="7A77DAAE"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3083</w:t>
            </w:r>
          </w:p>
        </w:tc>
      </w:tr>
      <w:tr w:rsidR="000A32D0" w:rsidRPr="006B2E47" w14:paraId="2B0FC603" w14:textId="77777777" w:rsidTr="004056C5">
        <w:trPr>
          <w:trHeight w:hRule="exact" w:val="340"/>
        </w:trPr>
        <w:tc>
          <w:tcPr>
            <w:tcW w:w="3397" w:type="dxa"/>
            <w:vAlign w:val="center"/>
          </w:tcPr>
          <w:p w14:paraId="1060577F"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30-45 mins</w:t>
            </w:r>
          </w:p>
        </w:tc>
        <w:tc>
          <w:tcPr>
            <w:tcW w:w="1430" w:type="dxa"/>
            <w:vAlign w:val="center"/>
          </w:tcPr>
          <w:p w14:paraId="5B095124"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0F7AC027"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732A451F"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3055</w:t>
            </w:r>
          </w:p>
        </w:tc>
        <w:tc>
          <w:tcPr>
            <w:tcW w:w="1418" w:type="dxa"/>
            <w:vAlign w:val="center"/>
          </w:tcPr>
          <w:p w14:paraId="37AAB5DE"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3088</w:t>
            </w:r>
          </w:p>
        </w:tc>
      </w:tr>
      <w:tr w:rsidR="000A32D0" w:rsidRPr="006B2E47" w14:paraId="065736F1" w14:textId="77777777" w:rsidTr="004056C5">
        <w:trPr>
          <w:trHeight w:hRule="exact" w:val="340"/>
        </w:trPr>
        <w:tc>
          <w:tcPr>
            <w:tcW w:w="3397" w:type="dxa"/>
            <w:vAlign w:val="center"/>
          </w:tcPr>
          <w:p w14:paraId="172C3C0E" w14:textId="77777777" w:rsidR="000A32D0" w:rsidRPr="006B2E47" w:rsidRDefault="000A32D0" w:rsidP="004056C5">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45+ mins</w:t>
            </w:r>
          </w:p>
        </w:tc>
        <w:tc>
          <w:tcPr>
            <w:tcW w:w="1430" w:type="dxa"/>
            <w:vAlign w:val="center"/>
          </w:tcPr>
          <w:p w14:paraId="1708AC32"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122" w:type="dxa"/>
            <w:vAlign w:val="center"/>
          </w:tcPr>
          <w:p w14:paraId="42C2BC1A"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17" w:type="dxa"/>
            <w:vAlign w:val="center"/>
          </w:tcPr>
          <w:p w14:paraId="43B7054A"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3062</w:t>
            </w:r>
          </w:p>
        </w:tc>
        <w:tc>
          <w:tcPr>
            <w:tcW w:w="1418" w:type="dxa"/>
            <w:vAlign w:val="center"/>
          </w:tcPr>
          <w:p w14:paraId="5F52CB89" w14:textId="77777777" w:rsidR="000A32D0" w:rsidRPr="006B2E47" w:rsidRDefault="000A32D0" w:rsidP="004056C5">
            <w:pPr>
              <w:pStyle w:val="AspexBodyStandard"/>
              <w:spacing w:before="100" w:beforeAutospacing="1" w:after="100" w:afterAutospacing="1"/>
              <w:jc w:val="center"/>
              <w:rPr>
                <w:rFonts w:ascii="Arial Narrow" w:hAnsi="Arial Narrow"/>
                <w:sz w:val="20"/>
              </w:rPr>
            </w:pPr>
            <w:r>
              <w:rPr>
                <w:rFonts w:ascii="Arial Narrow" w:hAnsi="Arial Narrow"/>
                <w:sz w:val="20"/>
              </w:rPr>
              <w:t>3093</w:t>
            </w:r>
          </w:p>
        </w:tc>
      </w:tr>
    </w:tbl>
    <w:p w14:paraId="5AE36BCE" w14:textId="77777777" w:rsidR="000A32D0" w:rsidRDefault="000A32D0" w:rsidP="000A32D0">
      <w:pPr>
        <w:pStyle w:val="AspexBodyStandard"/>
        <w:rPr>
          <w:b/>
        </w:rPr>
      </w:pPr>
    </w:p>
    <w:p w14:paraId="521B162F" w14:textId="77777777" w:rsidR="00F874A0" w:rsidRDefault="00F874A0">
      <w:pPr>
        <w:spacing w:before="0" w:after="0" w:line="240" w:lineRule="auto"/>
        <w:rPr>
          <w:b/>
        </w:rPr>
      </w:pPr>
      <w:r>
        <w:rPr>
          <w:b/>
        </w:rPr>
        <w:br w:type="page"/>
      </w:r>
    </w:p>
    <w:p w14:paraId="61AB96C6" w14:textId="6D82548B" w:rsidR="000A32D0" w:rsidRDefault="000A32D0" w:rsidP="000A32D0">
      <w:pPr>
        <w:pStyle w:val="AspexBodyStandard"/>
        <w:rPr>
          <w:b/>
        </w:rPr>
      </w:pPr>
      <w:r>
        <w:rPr>
          <w:b/>
        </w:rPr>
        <w:lastRenderedPageBreak/>
        <w:t xml:space="preserve">OPTION </w:t>
      </w:r>
      <w:r w:rsidR="00B553C3">
        <w:rPr>
          <w:b/>
        </w:rPr>
        <w:t>1</w:t>
      </w:r>
      <w:r>
        <w:rPr>
          <w:b/>
        </w:rPr>
        <w:t xml:space="preserve">: Introduce an additional assessment item for complex assessment </w:t>
      </w:r>
    </w:p>
    <w:p w14:paraId="38D73C11" w14:textId="77777777" w:rsidR="00670B48" w:rsidRDefault="00670B48" w:rsidP="00670B48">
      <w:pPr>
        <w:pStyle w:val="AspexBodyStandard"/>
        <w:rPr>
          <w:b/>
        </w:rPr>
      </w:pPr>
      <w:r>
        <w:rPr>
          <w:b/>
        </w:rPr>
        <w:t>Item descriptors for an additional assessment item to be used with the current assessment item 3005 (Hospital or Surgery) or item 3128 (Home Visit)</w:t>
      </w:r>
    </w:p>
    <w:p w14:paraId="0EC41B13" w14:textId="60949229" w:rsidR="000A32D0" w:rsidRDefault="000A32D0" w:rsidP="000A32D0">
      <w:pPr>
        <w:pStyle w:val="AspexBodyStandard"/>
        <w:rPr>
          <w:b/>
        </w:rPr>
      </w:pPr>
      <w:r>
        <w:rPr>
          <w:noProof/>
          <w:lang w:eastAsia="en-AU"/>
        </w:rPr>
        <w:drawing>
          <wp:inline distT="0" distB="0" distL="0" distR="0" wp14:anchorId="232AB3CB" wp14:editId="42464302">
            <wp:extent cx="6228000" cy="7772216"/>
            <wp:effectExtent l="0" t="0" r="0" b="0"/>
            <wp:docPr id="16" name="Picture 16" descr="Item descriptors for an additional assessment item to be used with the current assessment item 3005 (Hospital or Surgery) or item 3128 (Home Visit)" title="Table detailing additional assessment items for use with curren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8000" cy="777221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4F6605" w14:textId="77777777" w:rsidR="000A32D0" w:rsidRPr="00882372" w:rsidRDefault="000A32D0" w:rsidP="000A32D0">
      <w:pPr>
        <w:pStyle w:val="AspexBodyStandard"/>
        <w:rPr>
          <w:b/>
        </w:rPr>
      </w:pPr>
    </w:p>
    <w:p w14:paraId="4509978C" w14:textId="1C856C56" w:rsidR="000A32D0" w:rsidRDefault="000A32D0" w:rsidP="000A32D0">
      <w:pPr>
        <w:pStyle w:val="AspexBodyStandard"/>
        <w:rPr>
          <w:b/>
        </w:rPr>
      </w:pPr>
      <w:r>
        <w:rPr>
          <w:b/>
        </w:rPr>
        <w:t xml:space="preserve">OPTION </w:t>
      </w:r>
      <w:r w:rsidR="00B553C3">
        <w:rPr>
          <w:b/>
        </w:rPr>
        <w:t>2</w:t>
      </w:r>
      <w:r>
        <w:rPr>
          <w:b/>
        </w:rPr>
        <w:t xml:space="preserve">: Replace current items 3005 to 3028 with time-tiered consultation items </w:t>
      </w:r>
    </w:p>
    <w:p w14:paraId="13C0ED90" w14:textId="6B666DAC" w:rsidR="00670B48" w:rsidRDefault="00670B48" w:rsidP="000A32D0">
      <w:pPr>
        <w:pStyle w:val="AspexBodyStandard"/>
        <w:rPr>
          <w:b/>
        </w:rPr>
      </w:pPr>
      <w:r>
        <w:rPr>
          <w:b/>
        </w:rPr>
        <w:t>Descriptors for 2 x time-tiered assessment items (for Hospital/Surgery or Residential consultations)</w:t>
      </w:r>
    </w:p>
    <w:p w14:paraId="04B9664A" w14:textId="43BC5335" w:rsidR="000A32D0" w:rsidRDefault="004A3978" w:rsidP="000A32D0">
      <w:pPr>
        <w:pStyle w:val="AspexBodyStandard"/>
      </w:pPr>
      <w:r>
        <w:rPr>
          <w:noProof/>
          <w:lang w:eastAsia="en-AU"/>
        </w:rPr>
        <w:drawing>
          <wp:inline distT="0" distB="0" distL="0" distR="0" wp14:anchorId="3160E187" wp14:editId="13BCA026">
            <wp:extent cx="6228000" cy="6111821"/>
            <wp:effectExtent l="0" t="0" r="0" b="0"/>
            <wp:docPr id="51" name="Picture 5" descr="Descriptors for 2 x time-tiered assessment items (for Hospital/Surgery or Residential consultations)" title="Option 3 - Descriptors for current items 3005 to 3028 with time-tiered consultation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8000" cy="6111821"/>
                    </a:xfrm>
                    <a:prstGeom prst="rect">
                      <a:avLst/>
                    </a:prstGeom>
                    <a:noFill/>
                    <a:ln>
                      <a:noFill/>
                    </a:ln>
                  </pic:spPr>
                </pic:pic>
              </a:graphicData>
            </a:graphic>
          </wp:inline>
        </w:drawing>
      </w:r>
    </w:p>
    <w:p w14:paraId="5795E698" w14:textId="77777777" w:rsidR="000A32D0" w:rsidRDefault="000A32D0" w:rsidP="000A32D0">
      <w:pPr>
        <w:pStyle w:val="AspexBodyStandard"/>
        <w:rPr>
          <w:b/>
        </w:rPr>
      </w:pPr>
      <w:r>
        <w:rPr>
          <w:b/>
        </w:rPr>
        <w:br w:type="column"/>
      </w:r>
      <w:r>
        <w:rPr>
          <w:b/>
        </w:rPr>
        <w:lastRenderedPageBreak/>
        <w:t>Descriptors for all subsequent time-tiered consultation items (for Hospital/Surgery or Residential consultations)</w:t>
      </w:r>
    </w:p>
    <w:p w14:paraId="2CBC3A86" w14:textId="2AD0F5FE" w:rsidR="000A32D0" w:rsidRDefault="004A3978" w:rsidP="000A32D0">
      <w:pPr>
        <w:pStyle w:val="AspexBodyStandard"/>
      </w:pPr>
      <w:r>
        <w:rPr>
          <w:noProof/>
          <w:lang w:eastAsia="en-AU"/>
        </w:rPr>
        <w:drawing>
          <wp:inline distT="0" distB="0" distL="0" distR="0" wp14:anchorId="4C849C24" wp14:editId="1815C367">
            <wp:extent cx="6228000" cy="4753766"/>
            <wp:effectExtent l="0" t="0" r="0" b="0"/>
            <wp:docPr id="50" name="Picture 4" descr="Descriptors for all subsequent time-tiered consultation items (for Hospital/Surgery or Residential consultations)" title="ption 3 - Descriptors for current items 3005 to 3028 with time-tiered consultation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8000" cy="4753766"/>
                    </a:xfrm>
                    <a:prstGeom prst="rect">
                      <a:avLst/>
                    </a:prstGeom>
                    <a:noFill/>
                    <a:ln>
                      <a:noFill/>
                    </a:ln>
                  </pic:spPr>
                </pic:pic>
              </a:graphicData>
            </a:graphic>
          </wp:inline>
        </w:drawing>
      </w:r>
    </w:p>
    <w:p w14:paraId="0A728695" w14:textId="77777777" w:rsidR="000A32D0" w:rsidRPr="00D76FF9" w:rsidRDefault="000A32D0" w:rsidP="000A32D0">
      <w:pPr>
        <w:pStyle w:val="AspexBodyStandard"/>
        <w:rPr>
          <w:b/>
        </w:rPr>
      </w:pPr>
      <w:r>
        <w:rPr>
          <w:b/>
        </w:rPr>
        <w:br w:type="column"/>
      </w:r>
      <w:r>
        <w:rPr>
          <w:b/>
        </w:rPr>
        <w:lastRenderedPageBreak/>
        <w:t>MODIFICATIONS:</w:t>
      </w:r>
      <w:r w:rsidRPr="00D76FF9">
        <w:rPr>
          <w:b/>
        </w:rPr>
        <w:t xml:space="preserve"> </w:t>
      </w:r>
      <w:r>
        <w:rPr>
          <w:b/>
        </w:rPr>
        <w:t xml:space="preserve">Current </w:t>
      </w:r>
      <w:r w:rsidRPr="00D76FF9">
        <w:rPr>
          <w:b/>
        </w:rPr>
        <w:t>item descriptors for Home visitations and follow-up consultations</w:t>
      </w:r>
    </w:p>
    <w:p w14:paraId="66A1A857" w14:textId="77777777" w:rsidR="000A32D0" w:rsidRDefault="000A32D0" w:rsidP="003F09AF">
      <w:pPr>
        <w:pStyle w:val="AspexBodyStandard"/>
        <w:ind w:hanging="426"/>
        <w:jc w:val="center"/>
      </w:pPr>
      <w:r>
        <w:rPr>
          <w:noProof/>
          <w:lang w:eastAsia="en-AU"/>
        </w:rPr>
        <w:drawing>
          <wp:inline distT="0" distB="0" distL="0" distR="0" wp14:anchorId="7705F9EF" wp14:editId="1A20BFE2">
            <wp:extent cx="6228000" cy="4249193"/>
            <wp:effectExtent l="0" t="0" r="0" b="0"/>
            <wp:docPr id="18" name="Picture 18" descr="Current item descriptors for Home visitations and follow-up consultations" title="Modifications to current item descriptors for Home visitations and follow-up consul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8000" cy="4249193"/>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64F09B" w14:textId="3792702C" w:rsidR="000A32D0" w:rsidRDefault="000A32D0" w:rsidP="00507E0C">
      <w:pPr>
        <w:pStyle w:val="Heading2"/>
        <w:spacing w:before="120"/>
      </w:pPr>
      <w:bookmarkStart w:id="49" w:name="_Toc373163102"/>
      <w:bookmarkStart w:id="50" w:name="_Toc247923885"/>
      <w:bookmarkStart w:id="51" w:name="_Toc382313797"/>
      <w:r>
        <w:t xml:space="preserve">Applicant’s response to the </w:t>
      </w:r>
      <w:r w:rsidR="002A2727">
        <w:t>p</w:t>
      </w:r>
      <w:r>
        <w:t xml:space="preserve">ublic </w:t>
      </w:r>
      <w:r w:rsidR="002A2727">
        <w:t>s</w:t>
      </w:r>
      <w:r>
        <w:t xml:space="preserve">ummary </w:t>
      </w:r>
      <w:r w:rsidR="002A2727">
        <w:t>d</w:t>
      </w:r>
      <w:r>
        <w:t>ocument</w:t>
      </w:r>
      <w:bookmarkEnd w:id="49"/>
      <w:bookmarkEnd w:id="50"/>
      <w:bookmarkEnd w:id="51"/>
    </w:p>
    <w:p w14:paraId="6C6F4D70" w14:textId="77777777" w:rsidR="000A32D0" w:rsidRDefault="000A32D0" w:rsidP="000A32D0">
      <w:pPr>
        <w:pStyle w:val="AspexBodyStandard"/>
      </w:pPr>
      <w:proofErr w:type="gramStart"/>
      <w:r>
        <w:t>Nil.</w:t>
      </w:r>
      <w:proofErr w:type="gramEnd"/>
    </w:p>
    <w:p w14:paraId="04FAA772" w14:textId="77777777" w:rsidR="000A32D0" w:rsidRDefault="000A32D0" w:rsidP="000A32D0">
      <w:pPr>
        <w:pStyle w:val="Heading2"/>
      </w:pPr>
      <w:bookmarkStart w:id="52" w:name="_Toc224375123"/>
      <w:bookmarkStart w:id="53" w:name="_Toc373163103"/>
      <w:bookmarkStart w:id="54" w:name="_Toc247923886"/>
      <w:bookmarkStart w:id="55" w:name="_Toc382313798"/>
      <w:r>
        <w:t>Context for decision</w:t>
      </w:r>
      <w:bookmarkEnd w:id="52"/>
      <w:bookmarkEnd w:id="53"/>
      <w:bookmarkEnd w:id="54"/>
      <w:bookmarkEnd w:id="55"/>
    </w:p>
    <w:p w14:paraId="1EF6674E" w14:textId="77777777" w:rsidR="000A32D0" w:rsidRDefault="000A32D0" w:rsidP="000A32D0">
      <w:pPr>
        <w:pStyle w:val="AspexBodyStandard"/>
      </w:pPr>
      <w:r>
        <w:t>See MSAC terms of reference.</w:t>
      </w:r>
    </w:p>
    <w:p w14:paraId="6DE5D939" w14:textId="77777777" w:rsidR="000A32D0" w:rsidRDefault="000A32D0" w:rsidP="000A32D0">
      <w:pPr>
        <w:pStyle w:val="Heading2"/>
      </w:pPr>
      <w:bookmarkStart w:id="56" w:name="_Toc224375124"/>
      <w:bookmarkStart w:id="57" w:name="_Toc373163104"/>
      <w:bookmarkStart w:id="58" w:name="_Toc247923887"/>
      <w:bookmarkStart w:id="59" w:name="_Toc382313799"/>
      <w:r>
        <w:t>Linkages to other documents</w:t>
      </w:r>
      <w:bookmarkEnd w:id="56"/>
      <w:bookmarkEnd w:id="57"/>
      <w:bookmarkEnd w:id="58"/>
      <w:bookmarkEnd w:id="59"/>
    </w:p>
    <w:p w14:paraId="25CB6143" w14:textId="77777777" w:rsidR="000A32D0" w:rsidRDefault="000A32D0" w:rsidP="000A32D0">
      <w:pPr>
        <w:pStyle w:val="AspexBodyStandard"/>
      </w:pPr>
      <w:proofErr w:type="gramStart"/>
      <w:r>
        <w:t>Australian Medical Council Report (2005) on Assessment of Palliative Medicine as a Medical Specialty.</w:t>
      </w:r>
      <w:proofErr w:type="gramEnd"/>
    </w:p>
    <w:p w14:paraId="065EFD11" w14:textId="77777777" w:rsidR="000A32D0" w:rsidRPr="008E352C" w:rsidRDefault="000A32D0" w:rsidP="000A32D0">
      <w:pPr>
        <w:pStyle w:val="AspexBodyStandard"/>
      </w:pPr>
      <w:r>
        <w:t>MSAC’s processes are detailed on the MSAC Website at: www.msac.gov.au (home page).</w:t>
      </w:r>
    </w:p>
    <w:p w14:paraId="56BBD37E" w14:textId="583A8D31" w:rsidR="008E352C" w:rsidRDefault="008E352C" w:rsidP="008E352C">
      <w:pPr>
        <w:pStyle w:val="Heading1"/>
      </w:pPr>
      <w:bookmarkStart w:id="60" w:name="_Toc382313800"/>
      <w:r>
        <w:lastRenderedPageBreak/>
        <w:t>Population demand and supply of clinical services</w:t>
      </w:r>
      <w:bookmarkEnd w:id="7"/>
      <w:bookmarkEnd w:id="60"/>
    </w:p>
    <w:p w14:paraId="7EAD7CFC" w14:textId="77777777" w:rsidR="006206B3" w:rsidRDefault="006206B3" w:rsidP="006206B3">
      <w:pPr>
        <w:pStyle w:val="Heading2"/>
      </w:pPr>
      <w:bookmarkStart w:id="61" w:name="_Toc224375126"/>
      <w:bookmarkStart w:id="62" w:name="_Toc382313801"/>
      <w:r>
        <w:t>The clinical population</w:t>
      </w:r>
      <w:bookmarkEnd w:id="61"/>
      <w:bookmarkEnd w:id="62"/>
    </w:p>
    <w:p w14:paraId="60A0C52F" w14:textId="59478191" w:rsidR="006206B3" w:rsidRDefault="006206B3" w:rsidP="006206B3">
      <w:pPr>
        <w:pStyle w:val="AspexBodyStandard"/>
      </w:pPr>
      <w:r>
        <w:t>Palliative care</w:t>
      </w:r>
      <w:r w:rsidR="00325CC8">
        <w:t xml:space="preserve"> is</w:t>
      </w:r>
      <w:r>
        <w:t xml:space="preserve"> </w:t>
      </w:r>
      <w:r w:rsidR="00E601B7">
        <w:t>the</w:t>
      </w:r>
      <w:r>
        <w:t xml:space="preserve"> area of health where the clinical intent and treatment goals are to improve the quality of life for patients </w:t>
      </w:r>
      <w:r w:rsidR="000B470D">
        <w:t>who</w:t>
      </w:r>
      <w:r>
        <w:t xml:space="preserve"> have a life limiting illness with little or no prospect of cure.   The clinical population treated by palliative care specialists has expanded from an historical focus upon oncology patients, to include those with a </w:t>
      </w:r>
      <w:r w:rsidR="00325CC8">
        <w:t>wide range of terminal illness.</w:t>
      </w:r>
      <w:r w:rsidR="00325CC8">
        <w:rPr>
          <w:rStyle w:val="FootnoteReference"/>
        </w:rPr>
        <w:footnoteReference w:id="5"/>
      </w:r>
      <w:r>
        <w:t xml:space="preserve"> </w:t>
      </w:r>
    </w:p>
    <w:p w14:paraId="12B97CCF" w14:textId="7D44A964" w:rsidR="006206B3" w:rsidRPr="00830E9B" w:rsidRDefault="006206B3" w:rsidP="006206B3">
      <w:pPr>
        <w:pStyle w:val="AspexHighlightText"/>
        <w:spacing w:before="240" w:after="120"/>
        <w:jc w:val="both"/>
        <w:rPr>
          <w:rFonts w:ascii="Arial Narrow" w:hAnsi="Arial Narrow"/>
          <w:i/>
          <w:color w:val="A6A6A6" w:themeColor="background1" w:themeShade="A6"/>
          <w:sz w:val="22"/>
          <w:szCs w:val="22"/>
        </w:rPr>
      </w:pPr>
      <w:r w:rsidRPr="00830E9B">
        <w:rPr>
          <w:rFonts w:ascii="Arial Narrow" w:hAnsi="Arial Narrow"/>
          <w:i/>
          <w:color w:val="A6A6A6" w:themeColor="background1" w:themeShade="A6"/>
          <w:sz w:val="22"/>
          <w:szCs w:val="22"/>
        </w:rPr>
        <w:t>“Palliative care has historically been more closely aligned with cancer but this is changing – despite cancer rates increasing due to increasing cancer in an ag</w:t>
      </w:r>
      <w:r w:rsidR="00254808">
        <w:rPr>
          <w:rFonts w:ascii="Arial Narrow" w:hAnsi="Arial Narrow"/>
          <w:i/>
          <w:color w:val="A6A6A6" w:themeColor="background1" w:themeShade="A6"/>
          <w:sz w:val="22"/>
          <w:szCs w:val="22"/>
        </w:rPr>
        <w:t>e</w:t>
      </w:r>
      <w:r w:rsidRPr="00830E9B">
        <w:rPr>
          <w:rFonts w:ascii="Arial Narrow" w:hAnsi="Arial Narrow"/>
          <w:i/>
          <w:color w:val="A6A6A6" w:themeColor="background1" w:themeShade="A6"/>
          <w:sz w:val="22"/>
          <w:szCs w:val="22"/>
        </w:rPr>
        <w:t xml:space="preserve">ing community, the increase in other types </w:t>
      </w:r>
      <w:r w:rsidR="00D702DE">
        <w:rPr>
          <w:rFonts w:ascii="Arial Narrow" w:hAnsi="Arial Narrow"/>
          <w:i/>
          <w:color w:val="A6A6A6" w:themeColor="background1" w:themeShade="A6"/>
          <w:sz w:val="22"/>
          <w:szCs w:val="22"/>
        </w:rPr>
        <w:t xml:space="preserve">of </w:t>
      </w:r>
      <w:r w:rsidRPr="00830E9B">
        <w:rPr>
          <w:rFonts w:ascii="Arial Narrow" w:hAnsi="Arial Narrow"/>
          <w:i/>
          <w:color w:val="A6A6A6" w:themeColor="background1" w:themeShade="A6"/>
          <w:sz w:val="22"/>
          <w:szCs w:val="22"/>
        </w:rPr>
        <w:t>conditions that are requiring palliative care are also increasing</w:t>
      </w:r>
      <w:r w:rsidR="00D702DE">
        <w:rPr>
          <w:rFonts w:ascii="Arial Narrow" w:hAnsi="Arial Narrow"/>
          <w:i/>
          <w:color w:val="A6A6A6" w:themeColor="background1" w:themeShade="A6"/>
          <w:sz w:val="22"/>
          <w:szCs w:val="22"/>
        </w:rPr>
        <w:t>,</w:t>
      </w:r>
      <w:r w:rsidRPr="00830E9B">
        <w:rPr>
          <w:rFonts w:ascii="Arial Narrow" w:hAnsi="Arial Narrow"/>
          <w:i/>
          <w:color w:val="A6A6A6" w:themeColor="background1" w:themeShade="A6"/>
          <w:sz w:val="22"/>
          <w:szCs w:val="22"/>
        </w:rPr>
        <w:t xml:space="preserve"> and cancer is decreasing</w:t>
      </w:r>
      <w:r w:rsidR="000B470D">
        <w:rPr>
          <w:rFonts w:ascii="Arial Narrow" w:hAnsi="Arial Narrow"/>
          <w:i/>
          <w:color w:val="A6A6A6" w:themeColor="background1" w:themeShade="A6"/>
          <w:sz w:val="22"/>
          <w:szCs w:val="22"/>
        </w:rPr>
        <w:t xml:space="preserve"> as</w:t>
      </w:r>
      <w:r w:rsidRPr="00830E9B">
        <w:rPr>
          <w:rFonts w:ascii="Arial Narrow" w:hAnsi="Arial Narrow"/>
          <w:i/>
          <w:color w:val="A6A6A6" w:themeColor="background1" w:themeShade="A6"/>
          <w:sz w:val="22"/>
          <w:szCs w:val="22"/>
        </w:rPr>
        <w:t xml:space="preserve"> a proportion of </w:t>
      </w:r>
      <w:r w:rsidR="00D702DE">
        <w:rPr>
          <w:rFonts w:ascii="Arial Narrow" w:hAnsi="Arial Narrow"/>
          <w:i/>
          <w:color w:val="A6A6A6" w:themeColor="background1" w:themeShade="A6"/>
          <w:sz w:val="22"/>
          <w:szCs w:val="22"/>
        </w:rPr>
        <w:t xml:space="preserve">the </w:t>
      </w:r>
      <w:r w:rsidRPr="00830E9B">
        <w:rPr>
          <w:rFonts w:ascii="Arial Narrow" w:hAnsi="Arial Narrow"/>
          <w:i/>
          <w:color w:val="A6A6A6" w:themeColor="background1" w:themeShade="A6"/>
          <w:sz w:val="22"/>
          <w:szCs w:val="22"/>
        </w:rPr>
        <w:t>total.  The main other types of patient</w:t>
      </w:r>
      <w:r w:rsidR="00D702DE">
        <w:rPr>
          <w:rFonts w:ascii="Arial Narrow" w:hAnsi="Arial Narrow"/>
          <w:i/>
          <w:color w:val="A6A6A6" w:themeColor="background1" w:themeShade="A6"/>
          <w:sz w:val="22"/>
          <w:szCs w:val="22"/>
        </w:rPr>
        <w:t>s</w:t>
      </w:r>
      <w:r w:rsidRPr="00830E9B">
        <w:rPr>
          <w:rFonts w:ascii="Arial Narrow" w:hAnsi="Arial Narrow"/>
          <w:i/>
          <w:color w:val="A6A6A6" w:themeColor="background1" w:themeShade="A6"/>
          <w:sz w:val="22"/>
          <w:szCs w:val="22"/>
        </w:rPr>
        <w:t xml:space="preserve"> include various organ failures (heart/liver/lung), MND and dementia patients.”</w:t>
      </w:r>
      <w:r w:rsidR="00873929" w:rsidRPr="00873929">
        <w:rPr>
          <w:rStyle w:val="FootnoteReference"/>
        </w:rPr>
        <w:t xml:space="preserve"> </w:t>
      </w:r>
      <w:r w:rsidR="00873929">
        <w:rPr>
          <w:rStyle w:val="FootnoteReference"/>
        </w:rPr>
        <w:footnoteReference w:id="6"/>
      </w:r>
    </w:p>
    <w:p w14:paraId="70F5D7C7" w14:textId="77777777" w:rsidR="006206B3" w:rsidRDefault="006206B3" w:rsidP="006206B3">
      <w:pPr>
        <w:pStyle w:val="AspexBodyStandard"/>
      </w:pPr>
      <w:r>
        <w:t xml:space="preserve">A national survey, </w:t>
      </w:r>
      <w:r w:rsidR="00E601B7">
        <w:t xml:space="preserve">review of the literature, </w:t>
      </w:r>
      <w:r>
        <w:t>and targeted consultations with palliative care specialists revealed that:</w:t>
      </w:r>
    </w:p>
    <w:p w14:paraId="2263F18B" w14:textId="77777777" w:rsidR="006206B3" w:rsidRPr="00E23735" w:rsidRDefault="006206B3" w:rsidP="006206B3">
      <w:pPr>
        <w:pStyle w:val="AspexHighlightText"/>
        <w:rPr>
          <w:rStyle w:val="IntenseEmphasis"/>
        </w:rPr>
      </w:pPr>
      <w:r w:rsidRPr="00E23735">
        <w:rPr>
          <w:rStyle w:val="IntenseEmphasis"/>
        </w:rPr>
        <w:t>There are three main categories (by volume) of palliative care patients, including those who have been diagnosed with cancer (the majority of patients), followed by organ failure, and terminal neurological disease.</w:t>
      </w:r>
    </w:p>
    <w:p w14:paraId="6F362BE6" w14:textId="4E236C9F" w:rsidR="006206B3" w:rsidRPr="006C5AB8" w:rsidRDefault="006206B3" w:rsidP="006206B3">
      <w:pPr>
        <w:pStyle w:val="AspexHighlightText"/>
        <w:spacing w:before="240" w:after="120"/>
        <w:jc w:val="both"/>
        <w:rPr>
          <w:rFonts w:ascii="Arial Narrow" w:hAnsi="Arial Narrow"/>
          <w:i/>
          <w:color w:val="A6A6A6" w:themeColor="background1" w:themeShade="A6"/>
          <w:sz w:val="22"/>
          <w:szCs w:val="22"/>
        </w:rPr>
      </w:pPr>
      <w:r w:rsidRPr="006C5AB8">
        <w:rPr>
          <w:rFonts w:ascii="Arial Narrow" w:hAnsi="Arial Narrow"/>
          <w:i/>
          <w:color w:val="A6A6A6" w:themeColor="background1" w:themeShade="A6"/>
          <w:sz w:val="22"/>
          <w:szCs w:val="22"/>
        </w:rPr>
        <w:t xml:space="preserve"> “The patients we see would be 80:20 </w:t>
      </w:r>
      <w:proofErr w:type="gramStart"/>
      <w:r w:rsidRPr="006C5AB8">
        <w:rPr>
          <w:rFonts w:ascii="Arial Narrow" w:hAnsi="Arial Narrow"/>
          <w:i/>
          <w:color w:val="A6A6A6" w:themeColor="background1" w:themeShade="A6"/>
          <w:sz w:val="22"/>
          <w:szCs w:val="22"/>
        </w:rPr>
        <w:t>cancer</w:t>
      </w:r>
      <w:proofErr w:type="gramEnd"/>
      <w:r w:rsidRPr="006C5AB8">
        <w:rPr>
          <w:rFonts w:ascii="Arial Narrow" w:hAnsi="Arial Narrow"/>
          <w:i/>
          <w:color w:val="A6A6A6" w:themeColor="background1" w:themeShade="A6"/>
          <w:sz w:val="22"/>
          <w:szCs w:val="22"/>
        </w:rPr>
        <w:t xml:space="preserve"> versus non</w:t>
      </w:r>
      <w:r w:rsidR="00D702DE">
        <w:rPr>
          <w:rFonts w:ascii="Arial Narrow" w:hAnsi="Arial Narrow"/>
          <w:i/>
          <w:color w:val="A6A6A6" w:themeColor="background1" w:themeShade="A6"/>
          <w:sz w:val="22"/>
          <w:szCs w:val="22"/>
        </w:rPr>
        <w:t>-</w:t>
      </w:r>
      <w:r w:rsidRPr="006C5AB8">
        <w:rPr>
          <w:rFonts w:ascii="Arial Narrow" w:hAnsi="Arial Narrow"/>
          <w:i/>
          <w:color w:val="A6A6A6" w:themeColor="background1" w:themeShade="A6"/>
          <w:sz w:val="22"/>
          <w:szCs w:val="22"/>
        </w:rPr>
        <w:t>cancer patients, where the main cancer types are lung/colorectal/brain.  The main non</w:t>
      </w:r>
      <w:r w:rsidR="000B470D">
        <w:rPr>
          <w:rFonts w:ascii="Arial Narrow" w:hAnsi="Arial Narrow"/>
          <w:i/>
          <w:color w:val="A6A6A6" w:themeColor="background1" w:themeShade="A6"/>
          <w:sz w:val="22"/>
          <w:szCs w:val="22"/>
        </w:rPr>
        <w:t>-</w:t>
      </w:r>
      <w:r w:rsidRPr="006C5AB8">
        <w:rPr>
          <w:rFonts w:ascii="Arial Narrow" w:hAnsi="Arial Narrow"/>
          <w:i/>
          <w:color w:val="A6A6A6" w:themeColor="background1" w:themeShade="A6"/>
          <w:sz w:val="22"/>
          <w:szCs w:val="22"/>
        </w:rPr>
        <w:t>cancer palliative care patients are CHF, COPD and MND.”</w:t>
      </w:r>
    </w:p>
    <w:p w14:paraId="0C3EFE8F" w14:textId="77777777" w:rsidR="006206B3" w:rsidRPr="006C5AB8" w:rsidRDefault="006206B3" w:rsidP="006206B3">
      <w:pPr>
        <w:pStyle w:val="AspexHighlightText"/>
        <w:spacing w:after="120"/>
        <w:jc w:val="both"/>
        <w:rPr>
          <w:rFonts w:ascii="Arial Narrow" w:hAnsi="Arial Narrow"/>
          <w:i/>
          <w:color w:val="A6A6A6" w:themeColor="background1" w:themeShade="A6"/>
          <w:sz w:val="22"/>
          <w:szCs w:val="22"/>
        </w:rPr>
      </w:pPr>
      <w:r w:rsidRPr="006C5AB8">
        <w:rPr>
          <w:rFonts w:ascii="Arial Narrow" w:hAnsi="Arial Narrow"/>
          <w:i/>
          <w:color w:val="A6A6A6" w:themeColor="background1" w:themeShade="A6"/>
          <w:sz w:val="22"/>
          <w:szCs w:val="22"/>
        </w:rPr>
        <w:t>“64% of the cases we see are where the primary diagnosis is malignancy – the balance include COPD, CHF and renal failure – 60% of non-malignant cases relate to end stage renal disease.”</w:t>
      </w:r>
    </w:p>
    <w:p w14:paraId="67B86BEB" w14:textId="77777777" w:rsidR="006206B3" w:rsidRPr="006C5AB8" w:rsidRDefault="006206B3" w:rsidP="006206B3">
      <w:pPr>
        <w:pStyle w:val="AspexHighlightText"/>
        <w:spacing w:after="120"/>
        <w:jc w:val="both"/>
        <w:rPr>
          <w:rFonts w:ascii="Arial Narrow" w:hAnsi="Arial Narrow"/>
          <w:i/>
          <w:color w:val="A6A6A6" w:themeColor="background1" w:themeShade="A6"/>
          <w:sz w:val="22"/>
          <w:szCs w:val="22"/>
        </w:rPr>
      </w:pPr>
      <w:r w:rsidRPr="006C5AB8">
        <w:rPr>
          <w:rFonts w:ascii="Arial Narrow" w:hAnsi="Arial Narrow"/>
          <w:i/>
          <w:color w:val="A6A6A6" w:themeColor="background1" w:themeShade="A6"/>
          <w:sz w:val="22"/>
          <w:szCs w:val="22"/>
        </w:rPr>
        <w:t>“80-85% of patients have advanced malignancies – the balance of cases is COPD, CHF or frail elderly.”</w:t>
      </w:r>
    </w:p>
    <w:p w14:paraId="29110A83" w14:textId="3D28EE2F" w:rsidR="006206B3" w:rsidRDefault="006206B3" w:rsidP="006206B3">
      <w:pPr>
        <w:pStyle w:val="AspexBodyStandard"/>
        <w:rPr>
          <w:lang w:val="en"/>
        </w:rPr>
      </w:pPr>
      <w:r>
        <w:t>A small</w:t>
      </w:r>
      <w:r w:rsidRPr="00710BB1">
        <w:t xml:space="preserve"> </w:t>
      </w:r>
      <w:r>
        <w:t>number</w:t>
      </w:r>
      <w:r w:rsidRPr="00710BB1">
        <w:t xml:space="preserve"> of palliative care </w:t>
      </w:r>
      <w:r>
        <w:t>specialist</w:t>
      </w:r>
      <w:r w:rsidRPr="00710BB1">
        <w:t xml:space="preserve">s focus upon paediatric populations </w:t>
      </w:r>
      <w:r>
        <w:t>who</w:t>
      </w:r>
      <w:r w:rsidRPr="00710BB1">
        <w:t xml:space="preserve"> </w:t>
      </w:r>
      <w:r>
        <w:t xml:space="preserve">may </w:t>
      </w:r>
      <w:r w:rsidRPr="00710BB1">
        <w:t xml:space="preserve">be diagnosed with a range of life limiting perinatal or genetic conditions.  </w:t>
      </w:r>
      <w:r>
        <w:t xml:space="preserve">Others have also indicated the potential involvement of palliative care specialists with </w:t>
      </w:r>
      <w:r>
        <w:rPr>
          <w:lang w:val="en"/>
        </w:rPr>
        <w:t xml:space="preserve">hospital patients requiring ‘end of life’ treatment decisions (e.g., treatment withdrawal or not for active </w:t>
      </w:r>
      <w:r w:rsidR="00391218">
        <w:rPr>
          <w:lang w:val="en"/>
        </w:rPr>
        <w:t>resuscitation</w:t>
      </w:r>
      <w:r>
        <w:rPr>
          <w:lang w:val="en"/>
        </w:rPr>
        <w:t>).</w:t>
      </w:r>
    </w:p>
    <w:p w14:paraId="0DCD0BE6" w14:textId="66464ED9" w:rsidR="006206B3" w:rsidRPr="006C5AB8" w:rsidRDefault="006206B3" w:rsidP="006206B3">
      <w:pPr>
        <w:pStyle w:val="AspexHighlightText"/>
        <w:spacing w:after="120"/>
        <w:jc w:val="both"/>
        <w:rPr>
          <w:rFonts w:ascii="Arial Narrow" w:hAnsi="Arial Narrow"/>
          <w:i/>
          <w:color w:val="A6A6A6" w:themeColor="background1" w:themeShade="A6"/>
          <w:sz w:val="22"/>
          <w:szCs w:val="22"/>
        </w:rPr>
      </w:pPr>
      <w:r w:rsidRPr="006C5AB8">
        <w:rPr>
          <w:rFonts w:ascii="Arial Narrow" w:hAnsi="Arial Narrow"/>
          <w:i/>
          <w:color w:val="A6A6A6" w:themeColor="background1" w:themeShade="A6"/>
          <w:sz w:val="22"/>
          <w:szCs w:val="22"/>
        </w:rPr>
        <w:t xml:space="preserve"> “Paediatric patients are a different mix of cases as non-malignant cases are the majority. Approximately 10% would be oncology cases.  Major non-malignant conditions include </w:t>
      </w:r>
      <w:proofErr w:type="spellStart"/>
      <w:r w:rsidRPr="006C5AB8">
        <w:rPr>
          <w:rFonts w:ascii="Arial Narrow" w:hAnsi="Arial Narrow"/>
          <w:i/>
          <w:color w:val="A6A6A6" w:themeColor="background1" w:themeShade="A6"/>
          <w:sz w:val="22"/>
          <w:szCs w:val="22"/>
        </w:rPr>
        <w:t>progeria</w:t>
      </w:r>
      <w:proofErr w:type="spellEnd"/>
      <w:r w:rsidRPr="006C5AB8">
        <w:rPr>
          <w:rFonts w:ascii="Arial Narrow" w:hAnsi="Arial Narrow"/>
          <w:i/>
          <w:color w:val="A6A6A6" w:themeColor="background1" w:themeShade="A6"/>
          <w:sz w:val="22"/>
          <w:szCs w:val="22"/>
        </w:rPr>
        <w:t xml:space="preserve"> (Button’s) disease, muscular atrophy disease and chromosomal depletion, particularly with neurological impacts.  </w:t>
      </w:r>
      <w:r w:rsidR="000B470D">
        <w:rPr>
          <w:rFonts w:ascii="Arial Narrow" w:hAnsi="Arial Narrow"/>
          <w:i/>
          <w:color w:val="A6A6A6" w:themeColor="background1" w:themeShade="A6"/>
          <w:sz w:val="22"/>
          <w:szCs w:val="22"/>
        </w:rPr>
        <w:t>We a</w:t>
      </w:r>
      <w:r w:rsidRPr="006C5AB8">
        <w:rPr>
          <w:rFonts w:ascii="Arial Narrow" w:hAnsi="Arial Narrow"/>
          <w:i/>
          <w:color w:val="A6A6A6" w:themeColor="background1" w:themeShade="A6"/>
          <w:sz w:val="22"/>
          <w:szCs w:val="22"/>
        </w:rPr>
        <w:t>lso deal with severe end of life cerebral palsy cases.  Paediatric cases have an unpredictable disease trajectory.”</w:t>
      </w:r>
    </w:p>
    <w:p w14:paraId="0E4E34E6" w14:textId="77777777" w:rsidR="006206B3" w:rsidRPr="006C5AB8" w:rsidRDefault="006206B3" w:rsidP="006206B3">
      <w:pPr>
        <w:pStyle w:val="AspexHighlightText"/>
        <w:spacing w:after="120"/>
        <w:jc w:val="both"/>
        <w:rPr>
          <w:rFonts w:ascii="Arial Narrow" w:hAnsi="Arial Narrow"/>
          <w:i/>
          <w:color w:val="A6A6A6" w:themeColor="background1" w:themeShade="A6"/>
          <w:sz w:val="22"/>
          <w:szCs w:val="22"/>
        </w:rPr>
      </w:pPr>
      <w:r w:rsidRPr="006C5AB8">
        <w:rPr>
          <w:rFonts w:ascii="Arial Narrow" w:hAnsi="Arial Narrow"/>
          <w:i/>
          <w:color w:val="A6A6A6" w:themeColor="background1" w:themeShade="A6"/>
          <w:sz w:val="22"/>
          <w:szCs w:val="22"/>
        </w:rPr>
        <w:t>“There are also trials including palliative care nurses on MET teams, and this could be an area of future practice.”</w:t>
      </w:r>
    </w:p>
    <w:p w14:paraId="695013D3" w14:textId="77777777" w:rsidR="006206B3" w:rsidRDefault="006206B3" w:rsidP="006206B3">
      <w:pPr>
        <w:pStyle w:val="AspexBodyStandard"/>
      </w:pPr>
      <w:r>
        <w:t xml:space="preserve">The precise mix of patients seen by individual palliative care specialists depends upon the clinical context in which they are employed (see Appendix 1), which frequently includes a </w:t>
      </w:r>
      <w:r>
        <w:lastRenderedPageBreak/>
        <w:t>mix of public and/or private hospitals, hospices</w:t>
      </w:r>
      <w:r w:rsidR="00325CC8">
        <w:t>,</w:t>
      </w:r>
      <w:r w:rsidR="00E601B7">
        <w:rPr>
          <w:rStyle w:val="FootnoteReference"/>
        </w:rPr>
        <w:footnoteReference w:id="7"/>
      </w:r>
      <w:r>
        <w:t xml:space="preserve"> community palliative care services and/or residential aged care services. </w:t>
      </w:r>
      <w:r w:rsidR="00E601B7">
        <w:t xml:space="preserve">The definition and mix of these clinical contexts varies across each jurisdiction in Australia. </w:t>
      </w:r>
      <w:r>
        <w:t>Notwithstanding, the most common diagnostic conditions reported across all treatment settings (in relative order of patient volume) involve:</w:t>
      </w:r>
    </w:p>
    <w:p w14:paraId="40156F4D" w14:textId="77777777" w:rsidR="006206B3" w:rsidRDefault="006206B3" w:rsidP="006206B3">
      <w:pPr>
        <w:pStyle w:val="AspexBullet1"/>
        <w:spacing w:before="60" w:after="0"/>
      </w:pPr>
      <w:r>
        <w:t>Lung cancer;</w:t>
      </w:r>
    </w:p>
    <w:p w14:paraId="115BBB29" w14:textId="77777777" w:rsidR="006206B3" w:rsidRDefault="006206B3" w:rsidP="006206B3">
      <w:pPr>
        <w:pStyle w:val="AspexBullet1"/>
        <w:spacing w:before="60" w:after="0"/>
      </w:pPr>
      <w:r>
        <w:t>Colorectal cancer;</w:t>
      </w:r>
    </w:p>
    <w:p w14:paraId="0727D3BD" w14:textId="77777777" w:rsidR="006206B3" w:rsidRDefault="006206B3" w:rsidP="006206B3">
      <w:pPr>
        <w:pStyle w:val="AspexBullet1"/>
        <w:spacing w:before="60" w:after="0"/>
      </w:pPr>
      <w:r>
        <w:t>Breast cancer;</w:t>
      </w:r>
    </w:p>
    <w:p w14:paraId="1DF2A3D9" w14:textId="77777777" w:rsidR="006206B3" w:rsidRDefault="006206B3" w:rsidP="006206B3">
      <w:pPr>
        <w:pStyle w:val="AspexBullet1"/>
        <w:spacing w:before="60" w:after="0"/>
      </w:pPr>
      <w:proofErr w:type="spellStart"/>
      <w:r>
        <w:t>Genito</w:t>
      </w:r>
      <w:proofErr w:type="spellEnd"/>
      <w:r>
        <w:t>-urinary cancer;</w:t>
      </w:r>
    </w:p>
    <w:p w14:paraId="0084796D" w14:textId="77777777" w:rsidR="006206B3" w:rsidRDefault="006206B3" w:rsidP="006206B3">
      <w:pPr>
        <w:pStyle w:val="AspexBullet1"/>
        <w:spacing w:before="60" w:after="0"/>
      </w:pPr>
      <w:r>
        <w:t xml:space="preserve">Upper gastro-intestinal cancer; </w:t>
      </w:r>
    </w:p>
    <w:p w14:paraId="753309E9" w14:textId="77777777" w:rsidR="006206B3" w:rsidRDefault="006206B3" w:rsidP="006206B3">
      <w:pPr>
        <w:pStyle w:val="AspexBullet1"/>
        <w:spacing w:before="60" w:after="0"/>
      </w:pPr>
      <w:r>
        <w:t>Chronic obstructive pulmonary disease; and</w:t>
      </w:r>
    </w:p>
    <w:p w14:paraId="42101C24" w14:textId="77777777" w:rsidR="006206B3" w:rsidRDefault="006206B3" w:rsidP="006206B3">
      <w:pPr>
        <w:pStyle w:val="AspexBullet1"/>
        <w:spacing w:before="60" w:after="0"/>
      </w:pPr>
      <w:r>
        <w:t>Other neurological diseases</w:t>
      </w:r>
      <w:r w:rsidR="00325CC8">
        <w:t>.</w:t>
      </w:r>
      <w:r>
        <w:rPr>
          <w:rStyle w:val="FootnoteReference"/>
        </w:rPr>
        <w:footnoteReference w:id="8"/>
      </w:r>
    </w:p>
    <w:p w14:paraId="7F14770D" w14:textId="454C3031" w:rsidR="006206B3" w:rsidRPr="002A0CE9" w:rsidRDefault="006206B3" w:rsidP="006206B3">
      <w:pPr>
        <w:pStyle w:val="AspexBodyStandard"/>
      </w:pPr>
      <w:r>
        <w:t xml:space="preserve">Recent </w:t>
      </w:r>
      <w:proofErr w:type="gramStart"/>
      <w:r>
        <w:t>a</w:t>
      </w:r>
      <w:r w:rsidRPr="002A0CE9">
        <w:t xml:space="preserve">nalysis of major clinical populations receiving </w:t>
      </w:r>
      <w:r>
        <w:t xml:space="preserve">same-day or overnight </w:t>
      </w:r>
      <w:r w:rsidRPr="002A0CE9">
        <w:t>palliative care in Australia</w:t>
      </w:r>
      <w:r>
        <w:t>n public and private hospitals</w:t>
      </w:r>
      <w:r w:rsidRPr="002A0CE9">
        <w:t xml:space="preserve"> have</w:t>
      </w:r>
      <w:proofErr w:type="gramEnd"/>
      <w:r w:rsidRPr="002A0CE9">
        <w:t xml:space="preserve"> been undertaken by the Australian Institute of Health and Welfare (</w:t>
      </w:r>
      <w:r w:rsidR="00B74A87">
        <w:t>AIHW</w:t>
      </w:r>
      <w:r w:rsidRPr="002A0CE9">
        <w:t>)</w:t>
      </w:r>
      <w:r w:rsidRPr="00E104EC">
        <w:rPr>
          <w:vertAlign w:val="superscript"/>
        </w:rPr>
        <w:t xml:space="preserve"> </w:t>
      </w:r>
      <w:r w:rsidRPr="002A0CE9">
        <w:t>wh</w:t>
      </w:r>
      <w:r w:rsidR="000B470D">
        <w:t>ich</w:t>
      </w:r>
      <w:r w:rsidRPr="002A0CE9">
        <w:t xml:space="preserve"> </w:t>
      </w:r>
      <w:r w:rsidR="00E601B7">
        <w:t>report</w:t>
      </w:r>
      <w:r w:rsidRPr="002A0CE9">
        <w:t xml:space="preserve"> that:</w:t>
      </w:r>
      <w:r w:rsidR="00937B1C" w:rsidRPr="00937B1C">
        <w:rPr>
          <w:rStyle w:val="FootnoteReference"/>
        </w:rPr>
        <w:t xml:space="preserve"> </w:t>
      </w:r>
      <w:r w:rsidR="00937B1C" w:rsidRPr="00E104EC">
        <w:rPr>
          <w:rStyle w:val="FootnoteReference"/>
        </w:rPr>
        <w:footnoteReference w:id="9"/>
      </w:r>
    </w:p>
    <w:p w14:paraId="4F283617" w14:textId="77777777" w:rsidR="006206B3" w:rsidRPr="002A0CE9" w:rsidRDefault="006206B3" w:rsidP="006206B3">
      <w:pPr>
        <w:pStyle w:val="AspexBullet1"/>
        <w:spacing w:before="60" w:after="0"/>
      </w:pPr>
      <w:r w:rsidRPr="002A0CE9">
        <w:t xml:space="preserve">Around three quarters (74-76%) of all </w:t>
      </w:r>
      <w:r>
        <w:t xml:space="preserve">hospital based </w:t>
      </w:r>
      <w:r w:rsidRPr="002A0CE9">
        <w:t>palliative care services are delivered to patients who have been diagnosed with neoplastic disease (cancer) including:</w:t>
      </w:r>
    </w:p>
    <w:p w14:paraId="54B000AC" w14:textId="77777777" w:rsidR="006206B3" w:rsidRPr="002A0CE9" w:rsidRDefault="006206B3" w:rsidP="007051AD">
      <w:pPr>
        <w:pStyle w:val="AspexBullet2"/>
      </w:pPr>
      <w:r w:rsidRPr="002A0CE9">
        <w:t>Secondary site cancer (53%)</w:t>
      </w:r>
      <w:r w:rsidR="00325CC8">
        <w:t>;</w:t>
      </w:r>
      <w:r w:rsidRPr="00E104EC">
        <w:rPr>
          <w:rStyle w:val="FootnoteReference"/>
        </w:rPr>
        <w:footnoteReference w:id="10"/>
      </w:r>
    </w:p>
    <w:p w14:paraId="7F16AB09" w14:textId="77777777" w:rsidR="006206B3" w:rsidRDefault="006206B3" w:rsidP="007051AD">
      <w:pPr>
        <w:pStyle w:val="AspexBullet2"/>
      </w:pPr>
      <w:r>
        <w:t>Lung cancer (16%);</w:t>
      </w:r>
    </w:p>
    <w:p w14:paraId="23AC6F55" w14:textId="77777777" w:rsidR="006206B3" w:rsidRDefault="006206B3" w:rsidP="007051AD">
      <w:pPr>
        <w:pStyle w:val="AspexBullet2"/>
      </w:pPr>
      <w:r>
        <w:t>Bowel cancer (9%);</w:t>
      </w:r>
    </w:p>
    <w:p w14:paraId="2937DB7C" w14:textId="77777777" w:rsidR="006206B3" w:rsidRDefault="006206B3" w:rsidP="007051AD">
      <w:pPr>
        <w:pStyle w:val="AspexBullet2"/>
      </w:pPr>
      <w:r>
        <w:t>Prostate cancer (6%)</w:t>
      </w:r>
      <w:r w:rsidR="000B470D">
        <w:t>;</w:t>
      </w:r>
      <w:r>
        <w:t xml:space="preserve"> or</w:t>
      </w:r>
    </w:p>
    <w:p w14:paraId="5EEBE216" w14:textId="77777777" w:rsidR="006206B3" w:rsidRDefault="006206B3" w:rsidP="007051AD">
      <w:pPr>
        <w:pStyle w:val="AspexBullet2"/>
      </w:pPr>
      <w:r>
        <w:t>Breast cancer (6%).</w:t>
      </w:r>
    </w:p>
    <w:p w14:paraId="1A4D4F1F" w14:textId="77777777" w:rsidR="006206B3" w:rsidRDefault="006206B3" w:rsidP="006206B3">
      <w:pPr>
        <w:pStyle w:val="AspexBullet1"/>
        <w:spacing w:before="60" w:after="0"/>
      </w:pPr>
      <w:r>
        <w:t>The remaining quarter of all hospital based palliative care services are provided to patients with a range of different conditions, the most common of which include:</w:t>
      </w:r>
    </w:p>
    <w:p w14:paraId="22E105AC" w14:textId="77777777" w:rsidR="006206B3" w:rsidRDefault="006206B3" w:rsidP="007051AD">
      <w:pPr>
        <w:pStyle w:val="AspexBullet2"/>
      </w:pPr>
      <w:r>
        <w:t>Renal failure (13%);</w:t>
      </w:r>
    </w:p>
    <w:p w14:paraId="2DA34DCF" w14:textId="77777777" w:rsidR="006206B3" w:rsidRDefault="006206B3" w:rsidP="007051AD">
      <w:pPr>
        <w:pStyle w:val="AspexBullet2"/>
      </w:pPr>
      <w:r>
        <w:t>Heart failure (8%); and</w:t>
      </w:r>
    </w:p>
    <w:p w14:paraId="6CECCC1F" w14:textId="77777777" w:rsidR="006206B3" w:rsidRDefault="006206B3" w:rsidP="007051AD">
      <w:pPr>
        <w:pStyle w:val="AspexBullet2"/>
      </w:pPr>
      <w:r>
        <w:t>Chronic obstructive pulmonary disease (6%).</w:t>
      </w:r>
    </w:p>
    <w:p w14:paraId="535FBDDE" w14:textId="77777777" w:rsidR="006206B3" w:rsidRDefault="006206B3" w:rsidP="006206B3">
      <w:pPr>
        <w:pStyle w:val="AspexBodyStandard"/>
      </w:pPr>
      <w:r>
        <w:t xml:space="preserve">Patients receiving palliative care services often experience multiple hospital admissions, particularly towards the end of their disease trajectory. </w:t>
      </w:r>
      <w:r w:rsidR="00556A1B">
        <w:t xml:space="preserve">It is also </w:t>
      </w:r>
      <w:r w:rsidR="00E601B7">
        <w:t>recognised</w:t>
      </w:r>
      <w:r w:rsidR="00556A1B">
        <w:t xml:space="preserve"> that around 50% of </w:t>
      </w:r>
      <w:r w:rsidR="00E601B7">
        <w:t xml:space="preserve">palliative care-type </w:t>
      </w:r>
      <w:r w:rsidR="00556A1B">
        <w:t xml:space="preserve">patients eventually die in hospital. </w:t>
      </w:r>
      <w:r>
        <w:t xml:space="preserve">Accordingly, it is also useful to understand the characteristics of patients who are </w:t>
      </w:r>
      <w:r w:rsidR="00E601B7">
        <w:t xml:space="preserve">admitted under palliative care or are otherwise considered to be receiving palliation during some point of their hospital stay, </w:t>
      </w:r>
      <w:r>
        <w:t xml:space="preserve">and who subsequently die during the same hospital admission.  </w:t>
      </w:r>
    </w:p>
    <w:p w14:paraId="1B03CA30" w14:textId="77777777" w:rsidR="006206B3" w:rsidRDefault="006206B3" w:rsidP="006206B3">
      <w:pPr>
        <w:pStyle w:val="AspexBullet1"/>
        <w:spacing w:before="60" w:after="0"/>
      </w:pPr>
      <w:r>
        <w:t xml:space="preserve">The majority of patients who die in hospital whilst receiving palliative care services </w:t>
      </w:r>
      <w:r w:rsidR="000B470D">
        <w:t xml:space="preserve">have </w:t>
      </w:r>
      <w:r>
        <w:t>been diagnosed with cancers such as:</w:t>
      </w:r>
    </w:p>
    <w:p w14:paraId="7B70536C" w14:textId="77777777" w:rsidR="006206B3" w:rsidRPr="00B94956" w:rsidRDefault="006206B3" w:rsidP="007051AD">
      <w:pPr>
        <w:pStyle w:val="AspexBullet2"/>
      </w:pPr>
      <w:r w:rsidRPr="00B94956">
        <w:t>Brain cancer (74%</w:t>
      </w:r>
      <w:r w:rsidR="000B470D">
        <w:t xml:space="preserve"> die in hospital</w:t>
      </w:r>
      <w:r w:rsidRPr="00B94956">
        <w:t>);</w:t>
      </w:r>
    </w:p>
    <w:p w14:paraId="1F3D5B16" w14:textId="77777777" w:rsidR="006206B3" w:rsidRPr="00B94956" w:rsidRDefault="006206B3" w:rsidP="007051AD">
      <w:pPr>
        <w:pStyle w:val="AspexBullet2"/>
      </w:pPr>
      <w:r w:rsidRPr="00B94956">
        <w:lastRenderedPageBreak/>
        <w:t>Pancreatic cancer (70%);</w:t>
      </w:r>
    </w:p>
    <w:p w14:paraId="0FDC106B" w14:textId="77777777" w:rsidR="006206B3" w:rsidRPr="00B94956" w:rsidRDefault="006206B3" w:rsidP="007051AD">
      <w:pPr>
        <w:pStyle w:val="AspexBullet2"/>
      </w:pPr>
      <w:r w:rsidRPr="00B94956">
        <w:t>Stomach cancer (70%);</w:t>
      </w:r>
    </w:p>
    <w:p w14:paraId="086E9FE8" w14:textId="77777777" w:rsidR="006206B3" w:rsidRPr="00B94956" w:rsidRDefault="006206B3" w:rsidP="007051AD">
      <w:pPr>
        <w:pStyle w:val="AspexBullet2"/>
      </w:pPr>
      <w:r w:rsidRPr="00B94956">
        <w:t>Secondary site cancer (68%); and</w:t>
      </w:r>
    </w:p>
    <w:p w14:paraId="16F94241" w14:textId="77777777" w:rsidR="006206B3" w:rsidRPr="00B94956" w:rsidRDefault="006206B3" w:rsidP="007051AD">
      <w:pPr>
        <w:pStyle w:val="AspexBullet2"/>
      </w:pPr>
      <w:r w:rsidRPr="00B94956">
        <w:t>Breast cancer (67%).</w:t>
      </w:r>
    </w:p>
    <w:p w14:paraId="736F6937" w14:textId="77777777" w:rsidR="006206B3" w:rsidRPr="00D8380B" w:rsidRDefault="006206B3" w:rsidP="006206B3">
      <w:pPr>
        <w:pStyle w:val="AspexBullet1"/>
        <w:spacing w:before="60" w:after="0"/>
      </w:pPr>
      <w:r w:rsidRPr="00D8380B">
        <w:t>The remaining patients who die in hospital whilst receiving palliative care services have a range of other conditions, most commonly:</w:t>
      </w:r>
    </w:p>
    <w:p w14:paraId="14244643" w14:textId="77777777" w:rsidR="006206B3" w:rsidRPr="00D8380B" w:rsidRDefault="006206B3" w:rsidP="007051AD">
      <w:pPr>
        <w:pStyle w:val="AspexBullet2"/>
      </w:pPr>
      <w:r w:rsidRPr="00D8380B">
        <w:t>Motor neurone disease (50%);</w:t>
      </w:r>
    </w:p>
    <w:p w14:paraId="4EA845BD" w14:textId="77777777" w:rsidR="006206B3" w:rsidRDefault="006206B3" w:rsidP="007051AD">
      <w:pPr>
        <w:pStyle w:val="AspexBullet2"/>
      </w:pPr>
      <w:r>
        <w:t>HIV/AIDS (45%);</w:t>
      </w:r>
    </w:p>
    <w:p w14:paraId="288855DA" w14:textId="77777777" w:rsidR="006206B3" w:rsidRDefault="006206B3" w:rsidP="007051AD">
      <w:pPr>
        <w:pStyle w:val="AspexBullet2"/>
      </w:pPr>
      <w:r>
        <w:t>Huntington disease (40%);</w:t>
      </w:r>
    </w:p>
    <w:p w14:paraId="11525F25" w14:textId="77777777" w:rsidR="006206B3" w:rsidRDefault="006206B3" w:rsidP="007051AD">
      <w:pPr>
        <w:pStyle w:val="AspexBullet2"/>
      </w:pPr>
      <w:r>
        <w:t>Parkinson’s disease (35%): and</w:t>
      </w:r>
    </w:p>
    <w:p w14:paraId="2018C4D7" w14:textId="77777777" w:rsidR="006206B3" w:rsidRDefault="006206B3" w:rsidP="007051AD">
      <w:pPr>
        <w:pStyle w:val="AspexBullet2"/>
      </w:pPr>
      <w:r>
        <w:t>Liver failure (30%).</w:t>
      </w:r>
    </w:p>
    <w:p w14:paraId="714440FF" w14:textId="07E618B0" w:rsidR="006206B3" w:rsidRDefault="006206B3" w:rsidP="006206B3">
      <w:pPr>
        <w:pStyle w:val="AspexBodyStandard"/>
        <w:rPr>
          <w:lang w:val="en"/>
        </w:rPr>
      </w:pPr>
      <w:r>
        <w:rPr>
          <w:lang w:val="en"/>
        </w:rPr>
        <w:t xml:space="preserve">Thus, evidence </w:t>
      </w:r>
      <w:r w:rsidR="00E601B7">
        <w:rPr>
          <w:lang w:val="en"/>
        </w:rPr>
        <w:t xml:space="preserve">reported from the literature, analysis of national data, and </w:t>
      </w:r>
      <w:r w:rsidR="0058583D">
        <w:rPr>
          <w:lang w:val="en"/>
        </w:rPr>
        <w:t>clinical</w:t>
      </w:r>
      <w:r w:rsidR="00E601B7">
        <w:rPr>
          <w:lang w:val="en"/>
        </w:rPr>
        <w:t xml:space="preserve"> consultation with medical specialists presents</w:t>
      </w:r>
      <w:r>
        <w:rPr>
          <w:lang w:val="en"/>
        </w:rPr>
        <w:t xml:space="preserve"> a consistent picture of the clinical population receiving services from palliative care </w:t>
      </w:r>
      <w:r w:rsidR="00E601B7">
        <w:rPr>
          <w:lang w:val="en"/>
        </w:rPr>
        <w:t>services</w:t>
      </w:r>
      <w:r>
        <w:rPr>
          <w:lang w:val="en"/>
        </w:rPr>
        <w:t>.</w:t>
      </w:r>
    </w:p>
    <w:p w14:paraId="627E6F1F" w14:textId="77777777" w:rsidR="006206B3" w:rsidRDefault="006206B3" w:rsidP="006206B3">
      <w:pPr>
        <w:pStyle w:val="Heading2"/>
      </w:pPr>
      <w:bookmarkStart w:id="63" w:name="_Ref248053730"/>
      <w:bookmarkStart w:id="64" w:name="_Toc382313802"/>
      <w:r>
        <w:t>Demand for palliative care services</w:t>
      </w:r>
      <w:bookmarkEnd w:id="63"/>
      <w:bookmarkEnd w:id="64"/>
    </w:p>
    <w:p w14:paraId="2779D51A" w14:textId="77777777" w:rsidR="006206B3" w:rsidRDefault="00856788" w:rsidP="006206B3">
      <w:pPr>
        <w:pStyle w:val="Heading3"/>
      </w:pPr>
      <w:bookmarkStart w:id="65" w:name="_Toc382313803"/>
      <w:r>
        <w:t>National e</w:t>
      </w:r>
      <w:r w:rsidR="006206B3">
        <w:t>stimates of the clinical population</w:t>
      </w:r>
      <w:bookmarkEnd w:id="65"/>
    </w:p>
    <w:p w14:paraId="07F0FBF3" w14:textId="63FDE3B3" w:rsidR="006206B3" w:rsidRDefault="006206B3" w:rsidP="006206B3">
      <w:pPr>
        <w:pStyle w:val="AspexBodyStandard"/>
      </w:pPr>
      <w:r>
        <w:t xml:space="preserve">The number of deaths in Australia is increasing at the same rate of growth as the general population </w:t>
      </w:r>
      <w:r w:rsidR="000B470D">
        <w:t xml:space="preserve">– approximately </w:t>
      </w:r>
      <w:r>
        <w:t>one percent per annum (</w:t>
      </w:r>
      <w:r w:rsidR="00E601B7">
        <w:fldChar w:fldCharType="begin"/>
      </w:r>
      <w:r w:rsidR="00E601B7">
        <w:instrText xml:space="preserve"> REF _Ref247508050 \h </w:instrText>
      </w:r>
      <w:r w:rsidR="00E601B7">
        <w:fldChar w:fldCharType="separate"/>
      </w:r>
      <w:r w:rsidR="009C72FC">
        <w:t xml:space="preserve">Figure </w:t>
      </w:r>
      <w:r w:rsidR="009C72FC">
        <w:rPr>
          <w:noProof/>
        </w:rPr>
        <w:t>2</w:t>
      </w:r>
      <w:r w:rsidR="009C72FC">
        <w:noBreakHyphen/>
      </w:r>
      <w:r w:rsidR="009C72FC">
        <w:rPr>
          <w:noProof/>
        </w:rPr>
        <w:t>1</w:t>
      </w:r>
      <w:r w:rsidR="00E601B7">
        <w:fldChar w:fldCharType="end"/>
      </w:r>
      <w:r>
        <w:t>).</w:t>
      </w:r>
    </w:p>
    <w:p w14:paraId="42FE40EA" w14:textId="45FDF9F3" w:rsidR="006206B3" w:rsidRDefault="006206B3" w:rsidP="009F7D7B">
      <w:pPr>
        <w:pStyle w:val="Caption"/>
      </w:pPr>
      <w:bookmarkStart w:id="66" w:name="_Ref247508050"/>
      <w:bookmarkStart w:id="67" w:name="_Toc382313732"/>
      <w:r>
        <w:t xml:space="preserve">Figure </w:t>
      </w:r>
      <w:fldSimple w:instr=" STYLEREF 1 \s ">
        <w:r w:rsidR="009C72FC">
          <w:rPr>
            <w:noProof/>
          </w:rPr>
          <w:t>2</w:t>
        </w:r>
      </w:fldSimple>
      <w:r w:rsidR="00A31FC7">
        <w:noBreakHyphen/>
      </w:r>
      <w:fldSimple w:instr=" SEQ Figure \* ARABIC \s 1 ">
        <w:r w:rsidR="009C72FC">
          <w:rPr>
            <w:noProof/>
          </w:rPr>
          <w:t>1</w:t>
        </w:r>
      </w:fldSimple>
      <w:bookmarkEnd w:id="66"/>
      <w:r w:rsidR="002167FD">
        <w:t>:</w:t>
      </w:r>
      <w:r w:rsidR="002167FD">
        <w:tab/>
      </w:r>
      <w:r>
        <w:t>Population growth and number of deaths in Australia (2010</w:t>
      </w:r>
      <w:r w:rsidR="00C448E4">
        <w:t xml:space="preserve"> </w:t>
      </w:r>
      <w:r>
        <w:t>-</w:t>
      </w:r>
      <w:r w:rsidR="00C448E4">
        <w:t xml:space="preserve"> </w:t>
      </w:r>
      <w:r>
        <w:t>2015)</w:t>
      </w:r>
      <w:bookmarkEnd w:id="67"/>
    </w:p>
    <w:p w14:paraId="5F077B1A" w14:textId="09C063B6" w:rsidR="00455A1F" w:rsidRDefault="00455A1F" w:rsidP="00455A1F">
      <w:pPr>
        <w:pStyle w:val="AspexBodyStandard"/>
      </w:pPr>
      <w:r>
        <w:rPr>
          <w:noProof/>
          <w:lang w:eastAsia="en-AU"/>
        </w:rPr>
        <w:drawing>
          <wp:inline distT="0" distB="0" distL="0" distR="0" wp14:anchorId="34BDE880" wp14:editId="369D7A21">
            <wp:extent cx="5723890" cy="2921875"/>
            <wp:effectExtent l="0" t="0" r="0" b="0"/>
            <wp:docPr id="30" name="Picture 30" descr="Population growth and number of deaths in Australia (2010 - 2015) as discussed in Section 2.2.1"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23890" cy="2921875"/>
                    </a:xfrm>
                    <a:prstGeom prst="rect">
                      <a:avLst/>
                    </a:prstGeom>
                  </pic:spPr>
                </pic:pic>
              </a:graphicData>
            </a:graphic>
          </wp:inline>
        </w:drawing>
      </w:r>
    </w:p>
    <w:p w14:paraId="3D0A6F42" w14:textId="77777777" w:rsidR="00455A1F" w:rsidRDefault="00455A1F" w:rsidP="00455A1F">
      <w:pPr>
        <w:pStyle w:val="AspexBodyStandard"/>
      </w:pPr>
    </w:p>
    <w:p w14:paraId="545B1682" w14:textId="77777777" w:rsidR="00455A1F" w:rsidRPr="00455A1F" w:rsidRDefault="00455A1F" w:rsidP="00455A1F">
      <w:pPr>
        <w:pStyle w:val="AspexBodyStandard"/>
      </w:pPr>
    </w:p>
    <w:p w14:paraId="27B2F2B0" w14:textId="77777777" w:rsidR="006206B3" w:rsidRDefault="006206B3" w:rsidP="006206B3">
      <w:pPr>
        <w:pStyle w:val="AspexBodyStandard"/>
      </w:pPr>
      <w:r>
        <w:lastRenderedPageBreak/>
        <w:t>Analysis of death</w:t>
      </w:r>
      <w:r w:rsidR="00E601B7">
        <w:t>s</w:t>
      </w:r>
      <w:r>
        <w:t xml:space="preserve"> in Australia </w:t>
      </w:r>
      <w:r w:rsidR="00E601B7">
        <w:t xml:space="preserve">reported by the AIHW </w:t>
      </w:r>
      <w:r>
        <w:t>between 2002 and 2011</w:t>
      </w:r>
      <w:r w:rsidR="00E601B7">
        <w:t xml:space="preserve"> (and forecast to 2015)</w:t>
      </w:r>
      <w:r>
        <w:t xml:space="preserve"> </w:t>
      </w:r>
      <w:r w:rsidR="00E601B7">
        <w:t>reveals</w:t>
      </w:r>
      <w:r>
        <w:t xml:space="preserve"> that around 90% </w:t>
      </w:r>
      <w:r w:rsidR="00E601B7">
        <w:t xml:space="preserve">of all causes </w:t>
      </w:r>
      <w:r>
        <w:t>can be attributed to diseases within 10 body systems.  With the exception of circulatory and congenital disease</w:t>
      </w:r>
      <w:r w:rsidR="00325CC8">
        <w:t>,</w:t>
      </w:r>
      <w:r>
        <w:rPr>
          <w:rStyle w:val="FootnoteReference"/>
        </w:rPr>
        <w:footnoteReference w:id="11"/>
      </w:r>
      <w:r>
        <w:t xml:space="preserve"> the number of deaths within the remaining body systems is anticipated to rise in future years (</w:t>
      </w:r>
      <w:r w:rsidR="00E601B7">
        <w:fldChar w:fldCharType="begin"/>
      </w:r>
      <w:r w:rsidR="00E601B7">
        <w:instrText xml:space="preserve"> REF _Ref247508131 \h </w:instrText>
      </w:r>
      <w:r w:rsidR="00E601B7">
        <w:fldChar w:fldCharType="separate"/>
      </w:r>
      <w:r w:rsidR="009C72FC">
        <w:t xml:space="preserve">Figure </w:t>
      </w:r>
      <w:r w:rsidR="009C72FC">
        <w:rPr>
          <w:noProof/>
        </w:rPr>
        <w:t>2</w:t>
      </w:r>
      <w:r w:rsidR="009C72FC">
        <w:noBreakHyphen/>
      </w:r>
      <w:r w:rsidR="009C72FC">
        <w:rPr>
          <w:noProof/>
        </w:rPr>
        <w:t>2</w:t>
      </w:r>
      <w:r w:rsidR="00E601B7">
        <w:fldChar w:fldCharType="end"/>
      </w:r>
      <w:r>
        <w:t xml:space="preserve">). </w:t>
      </w:r>
    </w:p>
    <w:p w14:paraId="17150356" w14:textId="7C9B70F8" w:rsidR="006206B3" w:rsidRDefault="006206B3" w:rsidP="009F7D7B">
      <w:pPr>
        <w:pStyle w:val="Caption"/>
      </w:pPr>
      <w:bookmarkStart w:id="68" w:name="_Ref247508131"/>
      <w:bookmarkStart w:id="69" w:name="_Toc382313733"/>
      <w:r>
        <w:t xml:space="preserve">Figure </w:t>
      </w:r>
      <w:fldSimple w:instr=" STYLEREF 1 \s ">
        <w:r w:rsidR="009C72FC">
          <w:rPr>
            <w:noProof/>
          </w:rPr>
          <w:t>2</w:t>
        </w:r>
      </w:fldSimple>
      <w:r w:rsidR="00A31FC7">
        <w:noBreakHyphen/>
      </w:r>
      <w:fldSimple w:instr=" SEQ Figure \* ARABIC \s 1 ">
        <w:r w:rsidR="009C72FC">
          <w:rPr>
            <w:noProof/>
          </w:rPr>
          <w:t>2</w:t>
        </w:r>
      </w:fldSimple>
      <w:bookmarkEnd w:id="68"/>
      <w:r w:rsidR="002167FD">
        <w:t>:</w:t>
      </w:r>
      <w:r w:rsidR="002167FD">
        <w:tab/>
      </w:r>
      <w:r>
        <w:t xml:space="preserve">Number of deaths by body system and ICD-10 grouping (2008-2015 </w:t>
      </w:r>
      <w:proofErr w:type="gramStart"/>
      <w:r>
        <w:t>est</w:t>
      </w:r>
      <w:proofErr w:type="gramEnd"/>
      <w:r>
        <w:t>.)</w:t>
      </w:r>
      <w:bookmarkEnd w:id="69"/>
    </w:p>
    <w:p w14:paraId="1C2DB2F7" w14:textId="77777777" w:rsidR="006206B3" w:rsidRDefault="006206B3" w:rsidP="006206B3">
      <w:pPr>
        <w:pStyle w:val="AspexBodyStandard"/>
      </w:pPr>
      <w:r>
        <w:rPr>
          <w:noProof/>
          <w:lang w:eastAsia="en-AU"/>
        </w:rPr>
        <w:drawing>
          <wp:inline distT="0" distB="0" distL="0" distR="0" wp14:anchorId="6E525EFA" wp14:editId="6912912F">
            <wp:extent cx="5721985" cy="6176676"/>
            <wp:effectExtent l="0" t="0" r="0" b="0"/>
            <wp:docPr id="22" name="Picture 12" descr="Number of deaths by body system and ICD-10 grouping (2008-2015 est.) as discussed in Section 2.2.1"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90" cy="6178732"/>
                    </a:xfrm>
                    <a:prstGeom prst="rect">
                      <a:avLst/>
                    </a:prstGeom>
                    <a:noFill/>
                    <a:ln>
                      <a:noFill/>
                    </a:ln>
                  </pic:spPr>
                </pic:pic>
              </a:graphicData>
            </a:graphic>
          </wp:inline>
        </w:drawing>
      </w:r>
    </w:p>
    <w:p w14:paraId="20377477" w14:textId="77777777" w:rsidR="006206B3" w:rsidRDefault="006206B3" w:rsidP="006206B3">
      <w:pPr>
        <w:pStyle w:val="AspexBodyStandard"/>
      </w:pPr>
      <w:r>
        <w:t xml:space="preserve">The most recent causes of death </w:t>
      </w:r>
      <w:r w:rsidR="00E23735">
        <w:t xml:space="preserve">reported by the AIHW </w:t>
      </w:r>
      <w:r>
        <w:t xml:space="preserve">(for 2011) are outlined in </w:t>
      </w:r>
      <w:r w:rsidR="00E23735">
        <w:fldChar w:fldCharType="begin"/>
      </w:r>
      <w:r w:rsidR="00E23735">
        <w:instrText xml:space="preserve"> REF _Ref247508245 \h </w:instrText>
      </w:r>
      <w:r w:rsidR="00E23735">
        <w:fldChar w:fldCharType="separate"/>
      </w:r>
      <w:r w:rsidR="009C72FC">
        <w:t xml:space="preserve">Table </w:t>
      </w:r>
      <w:r w:rsidR="009C72FC">
        <w:rPr>
          <w:noProof/>
        </w:rPr>
        <w:t>2</w:t>
      </w:r>
      <w:r w:rsidR="009C72FC">
        <w:noBreakHyphen/>
      </w:r>
      <w:r w:rsidR="009C72FC">
        <w:rPr>
          <w:noProof/>
        </w:rPr>
        <w:t>1</w:t>
      </w:r>
      <w:r w:rsidR="00E23735">
        <w:fldChar w:fldCharType="end"/>
      </w:r>
      <w:r>
        <w:t xml:space="preserve">.  Around two in every three deaths in Australia are accounted for by circulatory disease, </w:t>
      </w:r>
      <w:r>
        <w:lastRenderedPageBreak/>
        <w:t>cancer, or respiratory illness.</w:t>
      </w:r>
      <w:r w:rsidR="00E23735">
        <w:t xml:space="preserve"> The majority of these deaths (66%) occur for individuals who are 75 years of age or older.</w:t>
      </w:r>
    </w:p>
    <w:p w14:paraId="0A7BBEB1" w14:textId="1152B093" w:rsidR="006206B3" w:rsidRDefault="006206B3" w:rsidP="009F7D7B">
      <w:pPr>
        <w:pStyle w:val="Caption"/>
      </w:pPr>
      <w:bookmarkStart w:id="70" w:name="_Ref247508245"/>
      <w:bookmarkStart w:id="71" w:name="_Toc382315613"/>
      <w:r>
        <w:t xml:space="preserve">Table </w:t>
      </w:r>
      <w:fldSimple w:instr=" STYLEREF 1 \s ">
        <w:r w:rsidR="009C72FC">
          <w:rPr>
            <w:noProof/>
          </w:rPr>
          <w:t>2</w:t>
        </w:r>
      </w:fldSimple>
      <w:r w:rsidR="006310FD">
        <w:noBreakHyphen/>
      </w:r>
      <w:fldSimple w:instr=" SEQ Table \* ARABIC \s 1 ">
        <w:r w:rsidR="009C72FC">
          <w:rPr>
            <w:noProof/>
          </w:rPr>
          <w:t>1</w:t>
        </w:r>
      </w:fldSimple>
      <w:bookmarkEnd w:id="70"/>
      <w:r w:rsidR="002167FD">
        <w:t>:</w:t>
      </w:r>
      <w:r w:rsidR="002167FD">
        <w:tab/>
      </w:r>
      <w:r>
        <w:t>Major causes of death in Australia by body system and disease (2011)</w:t>
      </w:r>
      <w:bookmarkEnd w:id="71"/>
    </w:p>
    <w:tbl>
      <w:tblPr>
        <w:tblStyle w:val="AspexTable1"/>
        <w:tblW w:w="0" w:type="auto"/>
        <w:tblLayout w:type="fixed"/>
        <w:tblCellMar>
          <w:top w:w="11" w:type="dxa"/>
          <w:bottom w:w="11" w:type="dxa"/>
        </w:tblCellMar>
        <w:tblLook w:val="04A0" w:firstRow="1" w:lastRow="0" w:firstColumn="1" w:lastColumn="0" w:noHBand="0" w:noVBand="1"/>
        <w:tblCaption w:val="Table 2-1: "/>
        <w:tblDescription w:val="Major causes of death in Australia by body system and disease (2011) as discussed in Section 2.2.1"/>
      </w:tblPr>
      <w:tblGrid>
        <w:gridCol w:w="2122"/>
        <w:gridCol w:w="1134"/>
        <w:gridCol w:w="4536"/>
        <w:gridCol w:w="1134"/>
      </w:tblGrid>
      <w:tr w:rsidR="006206B3" w:rsidRPr="000E7CA7" w14:paraId="1C947E1F" w14:textId="77777777" w:rsidTr="001C0F55">
        <w:trPr>
          <w:cnfStyle w:val="100000000000" w:firstRow="1" w:lastRow="0" w:firstColumn="0" w:lastColumn="0" w:oddVBand="0" w:evenVBand="0" w:oddHBand="0" w:evenHBand="0" w:firstRowFirstColumn="0" w:firstRowLastColumn="0" w:lastRowFirstColumn="0" w:lastRowLastColumn="0"/>
          <w:tblHeader/>
        </w:trPr>
        <w:tc>
          <w:tcPr>
            <w:tcW w:w="2122" w:type="dxa"/>
          </w:tcPr>
          <w:p w14:paraId="484F4E63"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Body system</w:t>
            </w:r>
          </w:p>
        </w:tc>
        <w:tc>
          <w:tcPr>
            <w:tcW w:w="1134" w:type="dxa"/>
          </w:tcPr>
          <w:p w14:paraId="257F0DC0"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 of all deaths</w:t>
            </w:r>
          </w:p>
        </w:tc>
        <w:tc>
          <w:tcPr>
            <w:tcW w:w="4536" w:type="dxa"/>
          </w:tcPr>
          <w:p w14:paraId="163F33CD"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Most common diseases</w:t>
            </w:r>
          </w:p>
        </w:tc>
        <w:tc>
          <w:tcPr>
            <w:tcW w:w="1134" w:type="dxa"/>
          </w:tcPr>
          <w:p w14:paraId="11B30A08"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 of all deaths</w:t>
            </w:r>
          </w:p>
        </w:tc>
      </w:tr>
      <w:tr w:rsidR="006206B3" w:rsidRPr="000E7CA7" w14:paraId="1AB4AF66" w14:textId="77777777" w:rsidTr="006206B3">
        <w:tc>
          <w:tcPr>
            <w:tcW w:w="2122" w:type="dxa"/>
          </w:tcPr>
          <w:p w14:paraId="07B71AFF"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Circulatory</w:t>
            </w:r>
          </w:p>
        </w:tc>
        <w:tc>
          <w:tcPr>
            <w:tcW w:w="1134" w:type="dxa"/>
          </w:tcPr>
          <w:p w14:paraId="169350CD"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31.0</w:t>
            </w:r>
          </w:p>
        </w:tc>
        <w:tc>
          <w:tcPr>
            <w:tcW w:w="4536" w:type="dxa"/>
          </w:tcPr>
          <w:p w14:paraId="2C8F89BD"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Ischaemic heart disease </w:t>
            </w:r>
          </w:p>
          <w:p w14:paraId="19A3D328"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Cerebrovascular disease </w:t>
            </w:r>
          </w:p>
          <w:p w14:paraId="3CE8618D"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Other forms of heart disease </w:t>
            </w:r>
          </w:p>
        </w:tc>
        <w:tc>
          <w:tcPr>
            <w:tcW w:w="1134" w:type="dxa"/>
          </w:tcPr>
          <w:p w14:paraId="39F324A8"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14.6</w:t>
            </w:r>
          </w:p>
          <w:p w14:paraId="3FD210FB"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7.7</w:t>
            </w:r>
          </w:p>
          <w:p w14:paraId="78E23FC0"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5.3</w:t>
            </w:r>
          </w:p>
        </w:tc>
      </w:tr>
      <w:tr w:rsidR="006206B3" w:rsidRPr="000E7CA7" w14:paraId="54E33E49" w14:textId="77777777" w:rsidTr="006206B3">
        <w:tc>
          <w:tcPr>
            <w:tcW w:w="2122" w:type="dxa"/>
          </w:tcPr>
          <w:p w14:paraId="20B99F45"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Cancer</w:t>
            </w:r>
          </w:p>
        </w:tc>
        <w:tc>
          <w:tcPr>
            <w:tcW w:w="1134" w:type="dxa"/>
          </w:tcPr>
          <w:p w14:paraId="0C1FCAEC"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29.8</w:t>
            </w:r>
          </w:p>
        </w:tc>
        <w:tc>
          <w:tcPr>
            <w:tcW w:w="4536" w:type="dxa"/>
          </w:tcPr>
          <w:p w14:paraId="3AB883B2"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Lung </w:t>
            </w:r>
          </w:p>
          <w:p w14:paraId="53A113D6"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Prostate </w:t>
            </w:r>
          </w:p>
          <w:p w14:paraId="6582E037"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Breast </w:t>
            </w:r>
          </w:p>
          <w:p w14:paraId="68E09843"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Secondary sites </w:t>
            </w:r>
          </w:p>
          <w:p w14:paraId="0B3E2CF7"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Pancreas </w:t>
            </w:r>
          </w:p>
          <w:p w14:paraId="6B4FC569"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Colon </w:t>
            </w:r>
          </w:p>
          <w:p w14:paraId="6E554A7F"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Skin </w:t>
            </w:r>
          </w:p>
          <w:p w14:paraId="5917E5FE"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Urinary tract </w:t>
            </w:r>
          </w:p>
        </w:tc>
        <w:tc>
          <w:tcPr>
            <w:tcW w:w="1134" w:type="dxa"/>
          </w:tcPr>
          <w:p w14:paraId="04DF24DB"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5.5</w:t>
            </w:r>
          </w:p>
          <w:p w14:paraId="7F95A864"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2.2</w:t>
            </w:r>
          </w:p>
          <w:p w14:paraId="2B6A056E"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2</w:t>
            </w:r>
            <w:r>
              <w:rPr>
                <w:rFonts w:ascii="Arial Narrow" w:hAnsi="Arial Narrow"/>
                <w:i/>
              </w:rPr>
              <w:t>.0</w:t>
            </w:r>
          </w:p>
          <w:p w14:paraId="1D5F259B"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1.7</w:t>
            </w:r>
          </w:p>
          <w:p w14:paraId="66325A36"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1.6</w:t>
            </w:r>
          </w:p>
          <w:p w14:paraId="34BBBE95"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1.4</w:t>
            </w:r>
          </w:p>
          <w:p w14:paraId="218B225D"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1.4</w:t>
            </w:r>
          </w:p>
          <w:p w14:paraId="71B20128"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1.4</w:t>
            </w:r>
          </w:p>
        </w:tc>
      </w:tr>
      <w:tr w:rsidR="006206B3" w:rsidRPr="000E7CA7" w14:paraId="2EFEC15C" w14:textId="77777777" w:rsidTr="006206B3">
        <w:tc>
          <w:tcPr>
            <w:tcW w:w="2122" w:type="dxa"/>
          </w:tcPr>
          <w:p w14:paraId="2CD95FF2"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Respiratory</w:t>
            </w:r>
          </w:p>
        </w:tc>
        <w:tc>
          <w:tcPr>
            <w:tcW w:w="1134" w:type="dxa"/>
          </w:tcPr>
          <w:p w14:paraId="2A429032"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8.5</w:t>
            </w:r>
          </w:p>
        </w:tc>
        <w:tc>
          <w:tcPr>
            <w:tcW w:w="4536" w:type="dxa"/>
          </w:tcPr>
          <w:p w14:paraId="56A29A5D"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Chronic obstructive pulmonary disease </w:t>
            </w:r>
          </w:p>
          <w:p w14:paraId="3708D793"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Influenza and pneumonia </w:t>
            </w:r>
          </w:p>
        </w:tc>
        <w:tc>
          <w:tcPr>
            <w:tcW w:w="1134" w:type="dxa"/>
          </w:tcPr>
          <w:p w14:paraId="6942EA8E"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3.6</w:t>
            </w:r>
          </w:p>
          <w:p w14:paraId="472D46B7"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1.7</w:t>
            </w:r>
          </w:p>
        </w:tc>
      </w:tr>
      <w:tr w:rsidR="006206B3" w:rsidRPr="000E7CA7" w14:paraId="014F7A0F" w14:textId="77777777" w:rsidTr="006206B3">
        <w:tc>
          <w:tcPr>
            <w:tcW w:w="2122" w:type="dxa"/>
          </w:tcPr>
          <w:p w14:paraId="7E4CA8F4"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Mental and behavioural disease</w:t>
            </w:r>
          </w:p>
        </w:tc>
        <w:tc>
          <w:tcPr>
            <w:tcW w:w="1134" w:type="dxa"/>
          </w:tcPr>
          <w:p w14:paraId="5DFAA43B"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5.2</w:t>
            </w:r>
          </w:p>
        </w:tc>
        <w:tc>
          <w:tcPr>
            <w:tcW w:w="4536" w:type="dxa"/>
          </w:tcPr>
          <w:p w14:paraId="737B548E"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Unspecified dementia</w:t>
            </w:r>
          </w:p>
          <w:p w14:paraId="5D67C5B8"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Vascular dementia</w:t>
            </w:r>
          </w:p>
        </w:tc>
        <w:tc>
          <w:tcPr>
            <w:tcW w:w="1134" w:type="dxa"/>
          </w:tcPr>
          <w:p w14:paraId="711900AD"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3.9</w:t>
            </w:r>
          </w:p>
          <w:p w14:paraId="673BEF12"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0.8</w:t>
            </w:r>
          </w:p>
        </w:tc>
      </w:tr>
      <w:tr w:rsidR="006206B3" w:rsidRPr="000E7CA7" w14:paraId="1A7BAFEB" w14:textId="77777777" w:rsidTr="006206B3">
        <w:tc>
          <w:tcPr>
            <w:tcW w:w="2122" w:type="dxa"/>
          </w:tcPr>
          <w:p w14:paraId="610A2FDE"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 xml:space="preserve">Nervous system </w:t>
            </w:r>
          </w:p>
        </w:tc>
        <w:tc>
          <w:tcPr>
            <w:tcW w:w="1134" w:type="dxa"/>
          </w:tcPr>
          <w:p w14:paraId="5EDB4E1C"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4.6</w:t>
            </w:r>
          </w:p>
        </w:tc>
        <w:tc>
          <w:tcPr>
            <w:tcW w:w="4536" w:type="dxa"/>
          </w:tcPr>
          <w:p w14:paraId="1E507425"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Alzheimer’s disease</w:t>
            </w:r>
          </w:p>
          <w:p w14:paraId="0F847F78"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Parkinson’s disease</w:t>
            </w:r>
          </w:p>
          <w:p w14:paraId="691AD1C5"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Systemic atrophies such as Huntington’s disease and Motor Neurone Disease</w:t>
            </w:r>
          </w:p>
        </w:tc>
        <w:tc>
          <w:tcPr>
            <w:tcW w:w="1134" w:type="dxa"/>
          </w:tcPr>
          <w:p w14:paraId="44EE4EBA"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2</w:t>
            </w:r>
            <w:r>
              <w:rPr>
                <w:rFonts w:ascii="Arial Narrow" w:hAnsi="Arial Narrow"/>
                <w:i/>
              </w:rPr>
              <w:t>.0</w:t>
            </w:r>
          </w:p>
          <w:p w14:paraId="054F1F73"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0.9</w:t>
            </w:r>
          </w:p>
          <w:p w14:paraId="47762524"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0.5</w:t>
            </w:r>
          </w:p>
        </w:tc>
      </w:tr>
      <w:tr w:rsidR="006206B3" w:rsidRPr="000E7CA7" w14:paraId="38286A85" w14:textId="77777777" w:rsidTr="006206B3">
        <w:tc>
          <w:tcPr>
            <w:tcW w:w="2122" w:type="dxa"/>
          </w:tcPr>
          <w:p w14:paraId="16189C0C"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Endocrine</w:t>
            </w:r>
          </w:p>
        </w:tc>
        <w:tc>
          <w:tcPr>
            <w:tcW w:w="1134" w:type="dxa"/>
          </w:tcPr>
          <w:p w14:paraId="49272B63"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4.1</w:t>
            </w:r>
          </w:p>
        </w:tc>
        <w:tc>
          <w:tcPr>
            <w:tcW w:w="4536" w:type="dxa"/>
          </w:tcPr>
          <w:p w14:paraId="7EB84330"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Diabetes mellitus</w:t>
            </w:r>
          </w:p>
          <w:p w14:paraId="7DF67A8D"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Other metabolic disorders</w:t>
            </w:r>
          </w:p>
        </w:tc>
        <w:tc>
          <w:tcPr>
            <w:tcW w:w="1134" w:type="dxa"/>
          </w:tcPr>
          <w:p w14:paraId="73C865A3"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2.9</w:t>
            </w:r>
          </w:p>
          <w:p w14:paraId="69F00623"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0.9</w:t>
            </w:r>
          </w:p>
        </w:tc>
      </w:tr>
      <w:tr w:rsidR="006206B3" w:rsidRPr="000E7CA7" w14:paraId="1E03F32B" w14:textId="77777777" w:rsidTr="006206B3">
        <w:tc>
          <w:tcPr>
            <w:tcW w:w="2122" w:type="dxa"/>
          </w:tcPr>
          <w:p w14:paraId="018B492F"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Digestive system</w:t>
            </w:r>
          </w:p>
        </w:tc>
        <w:tc>
          <w:tcPr>
            <w:tcW w:w="1134" w:type="dxa"/>
          </w:tcPr>
          <w:p w14:paraId="578353E2"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3.5</w:t>
            </w:r>
          </w:p>
        </w:tc>
        <w:tc>
          <w:tcPr>
            <w:tcW w:w="4536" w:type="dxa"/>
          </w:tcPr>
          <w:p w14:paraId="6435EDB3"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Liver disease</w:t>
            </w:r>
          </w:p>
          <w:p w14:paraId="03ECE737"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 xml:space="preserve">Intestinal diseases </w:t>
            </w:r>
          </w:p>
        </w:tc>
        <w:tc>
          <w:tcPr>
            <w:tcW w:w="1134" w:type="dxa"/>
          </w:tcPr>
          <w:p w14:paraId="326ECDC5"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1.1</w:t>
            </w:r>
          </w:p>
          <w:p w14:paraId="5FD8DF86"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1.1</w:t>
            </w:r>
          </w:p>
        </w:tc>
      </w:tr>
      <w:tr w:rsidR="006206B3" w:rsidRPr="000E7CA7" w14:paraId="328FF914" w14:textId="77777777" w:rsidTr="006206B3">
        <w:tc>
          <w:tcPr>
            <w:tcW w:w="2122" w:type="dxa"/>
          </w:tcPr>
          <w:p w14:paraId="18948A25"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Genitourinary</w:t>
            </w:r>
          </w:p>
        </w:tc>
        <w:tc>
          <w:tcPr>
            <w:tcW w:w="1134" w:type="dxa"/>
          </w:tcPr>
          <w:p w14:paraId="158478E6"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2.4</w:t>
            </w:r>
          </w:p>
        </w:tc>
        <w:tc>
          <w:tcPr>
            <w:tcW w:w="4536" w:type="dxa"/>
          </w:tcPr>
          <w:p w14:paraId="161EBFA9"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Renal failure</w:t>
            </w:r>
          </w:p>
        </w:tc>
        <w:tc>
          <w:tcPr>
            <w:tcW w:w="1134" w:type="dxa"/>
            <w:vAlign w:val="center"/>
          </w:tcPr>
          <w:p w14:paraId="34AB8166"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1.7</w:t>
            </w:r>
          </w:p>
        </w:tc>
      </w:tr>
      <w:tr w:rsidR="006206B3" w:rsidRPr="000E7CA7" w14:paraId="42E43F86" w14:textId="77777777" w:rsidTr="006206B3">
        <w:tc>
          <w:tcPr>
            <w:tcW w:w="2122" w:type="dxa"/>
          </w:tcPr>
          <w:p w14:paraId="585331A1"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Infectious/parasitic</w:t>
            </w:r>
          </w:p>
        </w:tc>
        <w:tc>
          <w:tcPr>
            <w:tcW w:w="1134" w:type="dxa"/>
          </w:tcPr>
          <w:p w14:paraId="0AA3E4A1"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1.6</w:t>
            </w:r>
          </w:p>
        </w:tc>
        <w:tc>
          <w:tcPr>
            <w:tcW w:w="4536" w:type="dxa"/>
          </w:tcPr>
          <w:p w14:paraId="4C86A09F"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Bacterial disease</w:t>
            </w:r>
          </w:p>
        </w:tc>
        <w:tc>
          <w:tcPr>
            <w:tcW w:w="1134" w:type="dxa"/>
            <w:vAlign w:val="center"/>
          </w:tcPr>
          <w:p w14:paraId="63CCCD13"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1.1</w:t>
            </w:r>
          </w:p>
        </w:tc>
      </w:tr>
      <w:tr w:rsidR="006206B3" w:rsidRPr="000E7CA7" w14:paraId="7D50FB33" w14:textId="77777777" w:rsidTr="006206B3">
        <w:tc>
          <w:tcPr>
            <w:tcW w:w="2122" w:type="dxa"/>
          </w:tcPr>
          <w:p w14:paraId="4965C78E" w14:textId="77777777" w:rsidR="006206B3" w:rsidRPr="000E7CA7" w:rsidRDefault="006206B3" w:rsidP="006206B3">
            <w:pPr>
              <w:pStyle w:val="AspexTableText"/>
              <w:spacing w:before="20" w:after="20"/>
              <w:rPr>
                <w:rFonts w:ascii="Arial Narrow" w:hAnsi="Arial Narrow"/>
              </w:rPr>
            </w:pPr>
            <w:r w:rsidRPr="000E7CA7">
              <w:rPr>
                <w:rFonts w:ascii="Arial Narrow" w:hAnsi="Arial Narrow"/>
              </w:rPr>
              <w:t>Congenital/chromosomal</w:t>
            </w:r>
          </w:p>
        </w:tc>
        <w:tc>
          <w:tcPr>
            <w:tcW w:w="1134" w:type="dxa"/>
          </w:tcPr>
          <w:p w14:paraId="60A55E30" w14:textId="77777777" w:rsidR="006206B3" w:rsidRPr="000E7CA7" w:rsidRDefault="006206B3" w:rsidP="006206B3">
            <w:pPr>
              <w:pStyle w:val="AspexTableText"/>
              <w:tabs>
                <w:tab w:val="left" w:pos="307"/>
                <w:tab w:val="center" w:pos="435"/>
              </w:tabs>
              <w:spacing w:before="20" w:after="20"/>
              <w:jc w:val="center"/>
              <w:rPr>
                <w:rFonts w:ascii="Arial Narrow" w:hAnsi="Arial Narrow"/>
              </w:rPr>
            </w:pPr>
            <w:r w:rsidRPr="000E7CA7">
              <w:rPr>
                <w:rFonts w:ascii="Arial Narrow" w:hAnsi="Arial Narrow"/>
              </w:rPr>
              <w:t>0.4</w:t>
            </w:r>
          </w:p>
        </w:tc>
        <w:tc>
          <w:tcPr>
            <w:tcW w:w="4536" w:type="dxa"/>
          </w:tcPr>
          <w:p w14:paraId="431B3BD7" w14:textId="77777777" w:rsidR="006206B3" w:rsidRPr="000E7CA7" w:rsidRDefault="006206B3" w:rsidP="006206B3">
            <w:pPr>
              <w:pStyle w:val="AspexTableText"/>
              <w:spacing w:before="20" w:after="20"/>
              <w:rPr>
                <w:rFonts w:ascii="Arial Narrow" w:hAnsi="Arial Narrow"/>
                <w:i/>
              </w:rPr>
            </w:pPr>
            <w:r w:rsidRPr="000E7CA7">
              <w:rPr>
                <w:rFonts w:ascii="Arial Narrow" w:hAnsi="Arial Narrow"/>
                <w:i/>
              </w:rPr>
              <w:t>Various</w:t>
            </w:r>
          </w:p>
        </w:tc>
        <w:tc>
          <w:tcPr>
            <w:tcW w:w="1134" w:type="dxa"/>
            <w:vAlign w:val="center"/>
          </w:tcPr>
          <w:p w14:paraId="06D3903C" w14:textId="77777777" w:rsidR="006206B3" w:rsidRPr="000E7CA7" w:rsidRDefault="006206B3" w:rsidP="006206B3">
            <w:pPr>
              <w:pStyle w:val="AspexTableText"/>
              <w:spacing w:before="20" w:after="20"/>
              <w:ind w:right="121"/>
              <w:jc w:val="right"/>
              <w:rPr>
                <w:rFonts w:ascii="Arial Narrow" w:hAnsi="Arial Narrow"/>
                <w:i/>
              </w:rPr>
            </w:pPr>
            <w:r w:rsidRPr="000E7CA7">
              <w:rPr>
                <w:rFonts w:ascii="Arial Narrow" w:hAnsi="Arial Narrow"/>
                <w:i/>
              </w:rPr>
              <w:t>0.4</w:t>
            </w:r>
          </w:p>
        </w:tc>
      </w:tr>
      <w:tr w:rsidR="006206B3" w:rsidRPr="000E7CA7" w14:paraId="1CCEAF98" w14:textId="77777777" w:rsidTr="006206B3">
        <w:tc>
          <w:tcPr>
            <w:tcW w:w="2122" w:type="dxa"/>
          </w:tcPr>
          <w:p w14:paraId="26C1D694" w14:textId="77777777" w:rsidR="006206B3" w:rsidRPr="000E7CA7" w:rsidRDefault="006206B3" w:rsidP="006206B3">
            <w:pPr>
              <w:pStyle w:val="AspexTableText"/>
              <w:spacing w:before="20" w:after="20"/>
              <w:rPr>
                <w:rFonts w:ascii="Arial Narrow" w:hAnsi="Arial Narrow"/>
                <w:b/>
              </w:rPr>
            </w:pPr>
            <w:r w:rsidRPr="000E7CA7">
              <w:rPr>
                <w:rFonts w:ascii="Arial Narrow" w:hAnsi="Arial Narrow"/>
                <w:b/>
              </w:rPr>
              <w:t>Total (of all deaths)</w:t>
            </w:r>
          </w:p>
        </w:tc>
        <w:tc>
          <w:tcPr>
            <w:tcW w:w="1134" w:type="dxa"/>
          </w:tcPr>
          <w:p w14:paraId="7551B9C3" w14:textId="77777777" w:rsidR="006206B3" w:rsidRPr="000E7CA7" w:rsidRDefault="006206B3" w:rsidP="006206B3">
            <w:pPr>
              <w:pStyle w:val="AspexTableText"/>
              <w:tabs>
                <w:tab w:val="left" w:pos="307"/>
                <w:tab w:val="center" w:pos="435"/>
              </w:tabs>
              <w:spacing w:before="20" w:after="20"/>
              <w:jc w:val="center"/>
              <w:rPr>
                <w:rFonts w:ascii="Arial Narrow" w:hAnsi="Arial Narrow"/>
                <w:b/>
              </w:rPr>
            </w:pPr>
            <w:r w:rsidRPr="000E7CA7">
              <w:rPr>
                <w:rFonts w:ascii="Arial Narrow" w:hAnsi="Arial Narrow"/>
                <w:b/>
              </w:rPr>
              <w:t>91.1</w:t>
            </w:r>
          </w:p>
        </w:tc>
        <w:tc>
          <w:tcPr>
            <w:tcW w:w="4536" w:type="dxa"/>
          </w:tcPr>
          <w:p w14:paraId="5B50716A" w14:textId="77777777" w:rsidR="006206B3" w:rsidRPr="000E7CA7" w:rsidRDefault="006206B3" w:rsidP="006206B3">
            <w:pPr>
              <w:pStyle w:val="AspexTableText"/>
              <w:spacing w:before="20" w:after="20"/>
              <w:rPr>
                <w:rFonts w:ascii="Arial Narrow" w:hAnsi="Arial Narrow"/>
                <w:b/>
                <w:i/>
              </w:rPr>
            </w:pPr>
            <w:r w:rsidRPr="000E7CA7">
              <w:rPr>
                <w:rFonts w:ascii="Arial Narrow" w:hAnsi="Arial Narrow"/>
                <w:b/>
                <w:i/>
              </w:rPr>
              <w:t>Total (of all deaths)</w:t>
            </w:r>
          </w:p>
        </w:tc>
        <w:tc>
          <w:tcPr>
            <w:tcW w:w="1134" w:type="dxa"/>
            <w:vAlign w:val="bottom"/>
          </w:tcPr>
          <w:p w14:paraId="381BC7D9" w14:textId="77777777" w:rsidR="006206B3" w:rsidRPr="000E7CA7" w:rsidRDefault="006206B3" w:rsidP="006206B3">
            <w:pPr>
              <w:pStyle w:val="AspexTableText"/>
              <w:spacing w:before="20" w:after="20"/>
              <w:ind w:right="121"/>
              <w:jc w:val="right"/>
              <w:rPr>
                <w:rFonts w:ascii="Arial Narrow" w:hAnsi="Arial Narrow"/>
                <w:b/>
                <w:i/>
              </w:rPr>
            </w:pPr>
            <w:r w:rsidRPr="000E7CA7">
              <w:rPr>
                <w:rFonts w:ascii="Arial Narrow" w:hAnsi="Arial Narrow"/>
                <w:b/>
                <w:i/>
              </w:rPr>
              <w:t>67.4</w:t>
            </w:r>
          </w:p>
        </w:tc>
      </w:tr>
    </w:tbl>
    <w:p w14:paraId="403312F1" w14:textId="77777777" w:rsidR="00DE6E93" w:rsidRPr="00C06E7F" w:rsidRDefault="00DE6E93" w:rsidP="006206B3">
      <w:pPr>
        <w:pStyle w:val="AspexBodyStandard"/>
      </w:pPr>
      <w:r w:rsidRPr="00C06E7F">
        <w:t>Additionally, there are a range of policy drivers that will shift demand for palliative care services.  Internationally, i</w:t>
      </w:r>
      <w:r w:rsidR="006206B3" w:rsidRPr="00C06E7F">
        <w:t xml:space="preserve">n 2004, the World Health Organisation </w:t>
      </w:r>
      <w:r w:rsidR="00E23735" w:rsidRPr="00C06E7F">
        <w:t>declared</w:t>
      </w:r>
      <w:r w:rsidR="006206B3" w:rsidRPr="00C06E7F">
        <w:t xml:space="preserve"> that palliative care should be an integral part of </w:t>
      </w:r>
      <w:r w:rsidR="00E23735" w:rsidRPr="00C06E7F">
        <w:t xml:space="preserve">all </w:t>
      </w:r>
      <w:r w:rsidR="006206B3" w:rsidRPr="00C06E7F">
        <w:t>aged care services</w:t>
      </w:r>
      <w:r w:rsidR="00E23735" w:rsidRPr="00C06E7F">
        <w:t xml:space="preserve"> and an important component of any health care system</w:t>
      </w:r>
      <w:r w:rsidR="006206B3" w:rsidRPr="00C06E7F">
        <w:t xml:space="preserve">.  </w:t>
      </w:r>
      <w:r w:rsidR="002930C2" w:rsidRPr="00C06E7F">
        <w:t>Locally, t</w:t>
      </w:r>
      <w:r w:rsidRPr="00C06E7F">
        <w:t xml:space="preserve">he </w:t>
      </w:r>
      <w:r w:rsidR="00E23735" w:rsidRPr="00C06E7F">
        <w:t>Australian government has a number of major policy platforms to address further development of comprehensive palliative care services across the country</w:t>
      </w:r>
      <w:r w:rsidRPr="00C06E7F">
        <w:t xml:space="preserve"> supported through funding from the National Palliative Care Program</w:t>
      </w:r>
      <w:r w:rsidR="00325CC8" w:rsidRPr="00C06E7F">
        <w:t>.</w:t>
      </w:r>
      <w:r w:rsidRPr="00C06E7F">
        <w:t xml:space="preserve"> The aim of the Program is to improve access and quality of palliative care for all Australians by:</w:t>
      </w:r>
    </w:p>
    <w:p w14:paraId="026A6E4A" w14:textId="77777777" w:rsidR="00DE6E93" w:rsidRPr="00C06E7F" w:rsidRDefault="00DE6E93" w:rsidP="00DE6E93">
      <w:pPr>
        <w:pStyle w:val="AspexBullet1"/>
      </w:pPr>
      <w:r w:rsidRPr="00C06E7F">
        <w:t>Supporting patients, families and carers in the community;</w:t>
      </w:r>
    </w:p>
    <w:p w14:paraId="4815ABFA" w14:textId="6E0B2DF1" w:rsidR="00DE6E93" w:rsidRPr="00C06E7F" w:rsidRDefault="00DE6E93" w:rsidP="00DE6E93">
      <w:pPr>
        <w:pStyle w:val="AspexBullet1"/>
      </w:pPr>
      <w:r w:rsidRPr="00C06E7F">
        <w:t xml:space="preserve">Increasing access to </w:t>
      </w:r>
      <w:r w:rsidR="002A2727">
        <w:t>palliative medicine</w:t>
      </w:r>
      <w:r w:rsidRPr="00C06E7F">
        <w:t xml:space="preserve"> in the community; </w:t>
      </w:r>
    </w:p>
    <w:p w14:paraId="02737E47" w14:textId="77777777" w:rsidR="00DE6E93" w:rsidRPr="00C06E7F" w:rsidRDefault="00DE6E93" w:rsidP="00DE6E93">
      <w:pPr>
        <w:pStyle w:val="AspexBullet1"/>
      </w:pPr>
      <w:r w:rsidRPr="00C06E7F">
        <w:t>Education, training and support for the workforce; and</w:t>
      </w:r>
    </w:p>
    <w:p w14:paraId="23C015DA" w14:textId="77777777" w:rsidR="00DE6E93" w:rsidRPr="00C06E7F" w:rsidRDefault="00DE6E93" w:rsidP="00DE6E93">
      <w:pPr>
        <w:pStyle w:val="AspexBullet1"/>
      </w:pPr>
      <w:r w:rsidRPr="00C06E7F">
        <w:t>Research and quality improvement for palliative care services.</w:t>
      </w:r>
    </w:p>
    <w:p w14:paraId="1B131E8C" w14:textId="77777777" w:rsidR="00DE6E93" w:rsidRPr="00C06E7F" w:rsidRDefault="00DE6E93" w:rsidP="00DE6E93">
      <w:pPr>
        <w:pStyle w:val="AspexBodyStandard"/>
      </w:pPr>
      <w:r w:rsidRPr="00C06E7F">
        <w:lastRenderedPageBreak/>
        <w:t>This includes supporting States and territories in provision of sub-acute care palliative care services.</w:t>
      </w:r>
      <w:r w:rsidR="004734BB" w:rsidRPr="00C06E7F">
        <w:t xml:space="preserve"> </w:t>
      </w:r>
    </w:p>
    <w:p w14:paraId="47879CE0" w14:textId="77777777" w:rsidR="004734BB" w:rsidRPr="00C06E7F" w:rsidRDefault="004734BB" w:rsidP="00DE6E93">
      <w:pPr>
        <w:pStyle w:val="AspexBodyStandard"/>
      </w:pPr>
      <w:r w:rsidRPr="00C06E7F">
        <w:t xml:space="preserve">The </w:t>
      </w:r>
      <w:r w:rsidR="00DE6E93" w:rsidRPr="00C06E7F">
        <w:t>cornerstone</w:t>
      </w:r>
      <w:r w:rsidRPr="00C06E7F">
        <w:t xml:space="preserve"> for national and jurisdictional developments and investment in palliative care is provided in the National Palliative Care Strategy, 2010.   The Strategy aims to:</w:t>
      </w:r>
    </w:p>
    <w:p w14:paraId="389A2A2C" w14:textId="77777777" w:rsidR="004734BB" w:rsidRPr="00C06E7F" w:rsidRDefault="004734BB" w:rsidP="004734BB">
      <w:pPr>
        <w:pStyle w:val="AspexBullet1"/>
      </w:pPr>
      <w:r w:rsidRPr="00C06E7F">
        <w:t>Enhance the awareness and understanding;</w:t>
      </w:r>
    </w:p>
    <w:p w14:paraId="0D50A9F0" w14:textId="77777777" w:rsidR="004734BB" w:rsidRPr="00C06E7F" w:rsidRDefault="004734BB" w:rsidP="004734BB">
      <w:pPr>
        <w:pStyle w:val="AspexBullet1"/>
      </w:pPr>
      <w:r w:rsidRPr="00C06E7F">
        <w:t>Support appropriate and effective care;</w:t>
      </w:r>
    </w:p>
    <w:p w14:paraId="6A940865" w14:textId="77777777" w:rsidR="004734BB" w:rsidRPr="00C06E7F" w:rsidRDefault="004734BB" w:rsidP="004734BB">
      <w:pPr>
        <w:pStyle w:val="AspexBullet1"/>
      </w:pPr>
      <w:r w:rsidRPr="00C06E7F">
        <w:t>Support leadership and governance; and</w:t>
      </w:r>
    </w:p>
    <w:p w14:paraId="4C12EAF9" w14:textId="400ADD03" w:rsidR="004734BB" w:rsidRPr="00C06E7F" w:rsidRDefault="004734BB" w:rsidP="004734BB">
      <w:pPr>
        <w:pStyle w:val="AspexBullet1"/>
      </w:pPr>
      <w:r w:rsidRPr="00C06E7F">
        <w:t>Build capacity and capability.</w:t>
      </w:r>
      <w:r w:rsidRPr="00C06E7F">
        <w:rPr>
          <w:rStyle w:val="FootnoteReference"/>
        </w:rPr>
        <w:footnoteReference w:id="12"/>
      </w:r>
    </w:p>
    <w:p w14:paraId="0CCD3BF6" w14:textId="77777777" w:rsidR="00323C3B" w:rsidRDefault="00323C3B" w:rsidP="006206B3">
      <w:pPr>
        <w:pStyle w:val="AspexBodyStandard"/>
      </w:pPr>
      <w:r w:rsidRPr="00C06E7F">
        <w:t>States and territories, which are at differing levels of system maturity, in turn have their own palliative care strategies and frameworks that seek to address the emerging needs for palliative care.</w:t>
      </w:r>
    </w:p>
    <w:p w14:paraId="3881F641" w14:textId="77777777" w:rsidR="006206B3" w:rsidRDefault="00E23735" w:rsidP="006206B3">
      <w:pPr>
        <w:pStyle w:val="AspexBodyStandard"/>
      </w:pPr>
      <w:r>
        <w:t>Thus</w:t>
      </w:r>
      <w:r w:rsidR="006206B3">
        <w:t xml:space="preserve">, changes in </w:t>
      </w:r>
      <w:r>
        <w:t>the level</w:t>
      </w:r>
      <w:r w:rsidR="006206B3">
        <w:t xml:space="preserve"> of </w:t>
      </w:r>
      <w:r>
        <w:t xml:space="preserve">clinical awareness and </w:t>
      </w:r>
      <w:r w:rsidR="006206B3">
        <w:t xml:space="preserve">public expectations are likely to </w:t>
      </w:r>
      <w:r>
        <w:t>increase</w:t>
      </w:r>
      <w:r w:rsidR="006206B3">
        <w:t xml:space="preserve"> the</w:t>
      </w:r>
      <w:r>
        <w:t xml:space="preserve"> future</w:t>
      </w:r>
      <w:r w:rsidR="006206B3">
        <w:t xml:space="preserve"> demand for palliative care services.  </w:t>
      </w:r>
    </w:p>
    <w:p w14:paraId="6CD0E3B1" w14:textId="77777777" w:rsidR="006206B3" w:rsidRDefault="006206B3" w:rsidP="006206B3">
      <w:pPr>
        <w:pStyle w:val="AspexBodyStandard"/>
      </w:pPr>
      <w:r>
        <w:t xml:space="preserve">As levels of public awareness increase, it is highly likely that a </w:t>
      </w:r>
      <w:r w:rsidR="00E23735">
        <w:t>greater</w:t>
      </w:r>
      <w:r>
        <w:t xml:space="preserve"> number of individuals and families will seek access to palliative care services</w:t>
      </w:r>
      <w:r w:rsidR="00E23735">
        <w:t>,</w:t>
      </w:r>
      <w:r>
        <w:t xml:space="preserve"> </w:t>
      </w:r>
      <w:r w:rsidR="00E23735">
        <w:t>at earlier stages of disease progression</w:t>
      </w:r>
      <w:r>
        <w:t xml:space="preserve"> and for a greater breadth of illnesses.  Palliative Care Australia</w:t>
      </w:r>
      <w:r w:rsidR="004E238C">
        <w:t xml:space="preserve"> (PCA)</w:t>
      </w:r>
      <w:r>
        <w:t xml:space="preserve"> and state and territory departments of health therefore consider that the demand for palliative care services will increase as the community gains a better understanding of the nature of the care provided</w:t>
      </w:r>
      <w:r w:rsidR="00E23735">
        <w:t>,</w:t>
      </w:r>
      <w:r>
        <w:t xml:space="preserve"> including issues such as advanced care planning.  </w:t>
      </w:r>
    </w:p>
    <w:p w14:paraId="24BBF377" w14:textId="77777777" w:rsidR="006206B3" w:rsidRDefault="00E23735" w:rsidP="006206B3">
      <w:pPr>
        <w:pStyle w:val="AspexBodyStandard"/>
      </w:pPr>
      <w:r>
        <w:t>Thus, f</w:t>
      </w:r>
      <w:r w:rsidR="006206B3">
        <w:t xml:space="preserve">urther analysis was undertaken on </w:t>
      </w:r>
      <w:r w:rsidR="006A58C9">
        <w:t xml:space="preserve">specific ICD coding of </w:t>
      </w:r>
      <w:r w:rsidR="006206B3">
        <w:t xml:space="preserve">available mortality data </w:t>
      </w:r>
      <w:r>
        <w:t xml:space="preserve">reported by the AIHW </w:t>
      </w:r>
      <w:r w:rsidR="006206B3">
        <w:t xml:space="preserve">to identify the number and type of cases that </w:t>
      </w:r>
      <w:r w:rsidR="006206B3" w:rsidRPr="00E23735">
        <w:rPr>
          <w:i/>
        </w:rPr>
        <w:t>may be eligible</w:t>
      </w:r>
      <w:r w:rsidR="006206B3">
        <w:t xml:space="preserve"> for future palliative care services.  </w:t>
      </w:r>
    </w:p>
    <w:p w14:paraId="5977E0F0" w14:textId="77777777" w:rsidR="006206B3" w:rsidRPr="00C21055" w:rsidRDefault="006206B3" w:rsidP="00E23735">
      <w:pPr>
        <w:pStyle w:val="AspexHighlightText"/>
        <w:spacing w:before="240"/>
        <w:rPr>
          <w:rStyle w:val="IntenseEmphasis"/>
        </w:rPr>
      </w:pPr>
      <w:r w:rsidRPr="00C21055">
        <w:rPr>
          <w:rStyle w:val="IntenseEmphasis"/>
        </w:rPr>
        <w:t xml:space="preserve">Eligible cases were defined as individuals who were unlikely to experience sudden death, thus having sufficient time for referral to palliative care for appropriate end of life management.  </w:t>
      </w:r>
    </w:p>
    <w:p w14:paraId="66FD46AE" w14:textId="77777777" w:rsidR="00E23735" w:rsidRPr="00E23735" w:rsidRDefault="00E23735" w:rsidP="00E23735">
      <w:pPr>
        <w:pStyle w:val="AspexBodyStandard"/>
        <w:rPr>
          <w:b/>
          <w:bCs/>
          <w:i/>
          <w:iCs/>
        </w:rPr>
      </w:pPr>
      <w:r>
        <w:t>These types of cases are also referred to as ‘anticipated deaths’ in the palliative care literature (</w:t>
      </w:r>
      <w:r>
        <w:fldChar w:fldCharType="begin"/>
      </w:r>
      <w:r>
        <w:instrText xml:space="preserve"> REF _Ref247508791 \h </w:instrText>
      </w:r>
      <w:r>
        <w:fldChar w:fldCharType="separate"/>
      </w:r>
      <w:r w:rsidR="009C72FC">
        <w:t xml:space="preserve">Table </w:t>
      </w:r>
      <w:r w:rsidR="009C72FC">
        <w:rPr>
          <w:noProof/>
        </w:rPr>
        <w:t>2</w:t>
      </w:r>
      <w:r w:rsidR="009C72FC">
        <w:noBreakHyphen/>
      </w:r>
      <w:r w:rsidR="009C72FC">
        <w:rPr>
          <w:noProof/>
        </w:rPr>
        <w:t>2</w:t>
      </w:r>
      <w:r>
        <w:fldChar w:fldCharType="end"/>
      </w:r>
      <w:r>
        <w:t>).</w:t>
      </w:r>
    </w:p>
    <w:p w14:paraId="1D8D65D8" w14:textId="15F4549B" w:rsidR="006206B3" w:rsidRDefault="006206B3" w:rsidP="009F7D7B">
      <w:pPr>
        <w:pStyle w:val="Caption"/>
      </w:pPr>
      <w:bookmarkStart w:id="72" w:name="_Ref247508791"/>
      <w:bookmarkStart w:id="73" w:name="_Toc382315614"/>
      <w:r>
        <w:t xml:space="preserve">Table </w:t>
      </w:r>
      <w:fldSimple w:instr=" STYLEREF 1 \s ">
        <w:r w:rsidR="009C72FC">
          <w:rPr>
            <w:noProof/>
          </w:rPr>
          <w:t>2</w:t>
        </w:r>
      </w:fldSimple>
      <w:r w:rsidR="006310FD">
        <w:noBreakHyphen/>
      </w:r>
      <w:fldSimple w:instr=" SEQ Table \* ARABIC \s 1 ">
        <w:r w:rsidR="009C72FC">
          <w:rPr>
            <w:noProof/>
          </w:rPr>
          <w:t>2</w:t>
        </w:r>
      </w:fldSimple>
      <w:bookmarkEnd w:id="72"/>
      <w:r w:rsidR="002167FD">
        <w:t>:</w:t>
      </w:r>
      <w:r w:rsidR="002167FD">
        <w:tab/>
      </w:r>
      <w:r>
        <w:t>Potential referrals to palliative care for end of life management (2011)</w:t>
      </w:r>
      <w:bookmarkEnd w:id="73"/>
    </w:p>
    <w:tbl>
      <w:tblPr>
        <w:tblStyle w:val="AspexTable1"/>
        <w:tblW w:w="0" w:type="auto"/>
        <w:tblLayout w:type="fixed"/>
        <w:tblCellMar>
          <w:top w:w="11" w:type="dxa"/>
          <w:bottom w:w="11" w:type="dxa"/>
        </w:tblCellMar>
        <w:tblLook w:val="04A0" w:firstRow="1" w:lastRow="0" w:firstColumn="1" w:lastColumn="0" w:noHBand="0" w:noVBand="1"/>
        <w:tblCaption w:val="Table 2 2:"/>
        <w:tblDescription w:val="Potential referrals to palliative care for end of life management (2011) as discussed in Section 2.2.1"/>
      </w:tblPr>
      <w:tblGrid>
        <w:gridCol w:w="2122"/>
        <w:gridCol w:w="1134"/>
        <w:gridCol w:w="4536"/>
        <w:gridCol w:w="1134"/>
      </w:tblGrid>
      <w:tr w:rsidR="006206B3" w:rsidRPr="000E7CA7" w14:paraId="71726E91" w14:textId="77777777" w:rsidTr="001C0F55">
        <w:trPr>
          <w:cnfStyle w:val="100000000000" w:firstRow="1" w:lastRow="0" w:firstColumn="0" w:lastColumn="0" w:oddVBand="0" w:evenVBand="0" w:oddHBand="0" w:evenHBand="0" w:firstRowFirstColumn="0" w:firstRowLastColumn="0" w:lastRowFirstColumn="0" w:lastRowLastColumn="0"/>
          <w:tblHeader/>
        </w:trPr>
        <w:tc>
          <w:tcPr>
            <w:tcW w:w="2122" w:type="dxa"/>
          </w:tcPr>
          <w:p w14:paraId="5488C0C5"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Body system</w:t>
            </w:r>
          </w:p>
        </w:tc>
        <w:tc>
          <w:tcPr>
            <w:tcW w:w="1134" w:type="dxa"/>
          </w:tcPr>
          <w:p w14:paraId="1D583357"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 of all deaths</w:t>
            </w:r>
          </w:p>
        </w:tc>
        <w:tc>
          <w:tcPr>
            <w:tcW w:w="4536" w:type="dxa"/>
          </w:tcPr>
          <w:p w14:paraId="5BB6480D"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Most common diseases</w:t>
            </w:r>
          </w:p>
        </w:tc>
        <w:tc>
          <w:tcPr>
            <w:tcW w:w="1134" w:type="dxa"/>
          </w:tcPr>
          <w:p w14:paraId="7AF70471" w14:textId="77777777" w:rsidR="006206B3" w:rsidRPr="000E64B1" w:rsidRDefault="006206B3" w:rsidP="006206B3">
            <w:pPr>
              <w:pStyle w:val="AspexBodyStandard"/>
              <w:spacing w:beforeLines="30" w:before="72" w:afterLines="30" w:after="72"/>
              <w:jc w:val="center"/>
              <w:rPr>
                <w:rFonts w:ascii="Arial Narrow" w:hAnsi="Arial Narrow"/>
                <w:color w:val="FFFFFF" w:themeColor="background1"/>
                <w:sz w:val="20"/>
              </w:rPr>
            </w:pPr>
            <w:r w:rsidRPr="000E64B1">
              <w:rPr>
                <w:rFonts w:ascii="Arial Narrow" w:hAnsi="Arial Narrow"/>
                <w:color w:val="FFFFFF" w:themeColor="background1"/>
                <w:sz w:val="20"/>
              </w:rPr>
              <w:t>% of all deaths</w:t>
            </w:r>
          </w:p>
        </w:tc>
      </w:tr>
      <w:tr w:rsidR="006206B3" w:rsidRPr="000E7CA7" w14:paraId="213309FF" w14:textId="77777777" w:rsidTr="006206B3">
        <w:tc>
          <w:tcPr>
            <w:tcW w:w="2122" w:type="dxa"/>
          </w:tcPr>
          <w:p w14:paraId="4E0892E8"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Cancer</w:t>
            </w:r>
          </w:p>
        </w:tc>
        <w:tc>
          <w:tcPr>
            <w:tcW w:w="1134" w:type="dxa"/>
          </w:tcPr>
          <w:p w14:paraId="39F8AD37"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29.76</w:t>
            </w:r>
          </w:p>
        </w:tc>
        <w:tc>
          <w:tcPr>
            <w:tcW w:w="4536" w:type="dxa"/>
          </w:tcPr>
          <w:p w14:paraId="1419F624"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 xml:space="preserve">All forms </w:t>
            </w:r>
          </w:p>
        </w:tc>
        <w:tc>
          <w:tcPr>
            <w:tcW w:w="1134" w:type="dxa"/>
          </w:tcPr>
          <w:p w14:paraId="430490C7"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29.76</w:t>
            </w:r>
          </w:p>
        </w:tc>
      </w:tr>
      <w:tr w:rsidR="006206B3" w:rsidRPr="000E7CA7" w14:paraId="0766AB84" w14:textId="77777777" w:rsidTr="006206B3">
        <w:tc>
          <w:tcPr>
            <w:tcW w:w="2122" w:type="dxa"/>
          </w:tcPr>
          <w:p w14:paraId="3E133E19"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Circulatory</w:t>
            </w:r>
          </w:p>
        </w:tc>
        <w:tc>
          <w:tcPr>
            <w:tcW w:w="1134" w:type="dxa"/>
          </w:tcPr>
          <w:p w14:paraId="03422359"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10.39</w:t>
            </w:r>
          </w:p>
        </w:tc>
        <w:tc>
          <w:tcPr>
            <w:tcW w:w="4536" w:type="dxa"/>
          </w:tcPr>
          <w:p w14:paraId="1B52ADC7"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 xml:space="preserve">Chronic ischaemic heart disease </w:t>
            </w:r>
          </w:p>
          <w:p w14:paraId="4DE177B9"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Heart failure</w:t>
            </w:r>
          </w:p>
          <w:p w14:paraId="5DBAC92D"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 xml:space="preserve">Cardiomyopathy </w:t>
            </w:r>
          </w:p>
        </w:tc>
        <w:tc>
          <w:tcPr>
            <w:tcW w:w="1134" w:type="dxa"/>
          </w:tcPr>
          <w:p w14:paraId="61C49C70"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7.78</w:t>
            </w:r>
          </w:p>
          <w:p w14:paraId="4EB24D67"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2.00</w:t>
            </w:r>
          </w:p>
          <w:p w14:paraId="295044A8"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0.61</w:t>
            </w:r>
          </w:p>
        </w:tc>
      </w:tr>
      <w:tr w:rsidR="006206B3" w:rsidRPr="000E7CA7" w14:paraId="374729AB" w14:textId="77777777" w:rsidTr="006206B3">
        <w:tc>
          <w:tcPr>
            <w:tcW w:w="2122" w:type="dxa"/>
          </w:tcPr>
          <w:p w14:paraId="08CE8933"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Mental and behavioural disease</w:t>
            </w:r>
          </w:p>
        </w:tc>
        <w:tc>
          <w:tcPr>
            <w:tcW w:w="1134" w:type="dxa"/>
          </w:tcPr>
          <w:p w14:paraId="76721D60"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4.68</w:t>
            </w:r>
          </w:p>
        </w:tc>
        <w:tc>
          <w:tcPr>
            <w:tcW w:w="4536" w:type="dxa"/>
          </w:tcPr>
          <w:p w14:paraId="12DDE064"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Unspecified dementia</w:t>
            </w:r>
          </w:p>
          <w:p w14:paraId="64F6212F"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Vascular dementia</w:t>
            </w:r>
          </w:p>
        </w:tc>
        <w:tc>
          <w:tcPr>
            <w:tcW w:w="1134" w:type="dxa"/>
          </w:tcPr>
          <w:p w14:paraId="51640581"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3.85</w:t>
            </w:r>
          </w:p>
          <w:p w14:paraId="05340241"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0.83</w:t>
            </w:r>
          </w:p>
        </w:tc>
      </w:tr>
      <w:tr w:rsidR="006206B3" w:rsidRPr="000E7CA7" w14:paraId="016BD9A1" w14:textId="77777777" w:rsidTr="006206B3">
        <w:tc>
          <w:tcPr>
            <w:tcW w:w="2122" w:type="dxa"/>
          </w:tcPr>
          <w:p w14:paraId="4016457C"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Respiratory</w:t>
            </w:r>
          </w:p>
        </w:tc>
        <w:tc>
          <w:tcPr>
            <w:tcW w:w="1134" w:type="dxa"/>
          </w:tcPr>
          <w:p w14:paraId="31748103"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3.97</w:t>
            </w:r>
          </w:p>
        </w:tc>
        <w:tc>
          <w:tcPr>
            <w:tcW w:w="4536" w:type="dxa"/>
          </w:tcPr>
          <w:p w14:paraId="5D861732"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 xml:space="preserve">Chronic obstructive pulmonary disease </w:t>
            </w:r>
          </w:p>
          <w:p w14:paraId="7C34C176"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Emphysema</w:t>
            </w:r>
          </w:p>
        </w:tc>
        <w:tc>
          <w:tcPr>
            <w:tcW w:w="1134" w:type="dxa"/>
          </w:tcPr>
          <w:p w14:paraId="0EEEC614"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3.56</w:t>
            </w:r>
          </w:p>
          <w:p w14:paraId="7931AAA1"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0.41</w:t>
            </w:r>
          </w:p>
        </w:tc>
      </w:tr>
      <w:tr w:rsidR="006206B3" w:rsidRPr="000E7CA7" w14:paraId="6971BC9D" w14:textId="77777777" w:rsidTr="006206B3">
        <w:tc>
          <w:tcPr>
            <w:tcW w:w="2122" w:type="dxa"/>
          </w:tcPr>
          <w:p w14:paraId="2188A1C6"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lastRenderedPageBreak/>
              <w:t>Endocrine</w:t>
            </w:r>
          </w:p>
        </w:tc>
        <w:tc>
          <w:tcPr>
            <w:tcW w:w="1134" w:type="dxa"/>
          </w:tcPr>
          <w:p w14:paraId="11B2E9D2"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3.74</w:t>
            </w:r>
          </w:p>
        </w:tc>
        <w:tc>
          <w:tcPr>
            <w:tcW w:w="4536" w:type="dxa"/>
          </w:tcPr>
          <w:p w14:paraId="17C0E7CF"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Diabetes mellitus</w:t>
            </w:r>
          </w:p>
          <w:p w14:paraId="5E89A91B"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Other metabolic disorders</w:t>
            </w:r>
          </w:p>
        </w:tc>
        <w:tc>
          <w:tcPr>
            <w:tcW w:w="1134" w:type="dxa"/>
          </w:tcPr>
          <w:p w14:paraId="62295C24"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2.86</w:t>
            </w:r>
          </w:p>
          <w:p w14:paraId="67C0C5D0"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0.88</w:t>
            </w:r>
          </w:p>
        </w:tc>
      </w:tr>
      <w:tr w:rsidR="006206B3" w:rsidRPr="000E7CA7" w14:paraId="668D90ED" w14:textId="77777777" w:rsidTr="006206B3">
        <w:tc>
          <w:tcPr>
            <w:tcW w:w="2122" w:type="dxa"/>
          </w:tcPr>
          <w:p w14:paraId="4B5DBD22"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 xml:space="preserve">Nervous system </w:t>
            </w:r>
          </w:p>
        </w:tc>
        <w:tc>
          <w:tcPr>
            <w:tcW w:w="1134" w:type="dxa"/>
          </w:tcPr>
          <w:p w14:paraId="662DA2FB"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3.60</w:t>
            </w:r>
          </w:p>
        </w:tc>
        <w:tc>
          <w:tcPr>
            <w:tcW w:w="4536" w:type="dxa"/>
          </w:tcPr>
          <w:p w14:paraId="7FD26B05"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Alzheimer’s disease</w:t>
            </w:r>
          </w:p>
          <w:p w14:paraId="466097FA"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Parkinson’s disease</w:t>
            </w:r>
          </w:p>
          <w:p w14:paraId="02B320B9"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Systemic atrophies such as Huntington’s disease and Motor Neurone Disease</w:t>
            </w:r>
          </w:p>
          <w:p w14:paraId="2CFB16F3" w14:textId="77777777" w:rsidR="006206B3" w:rsidRPr="00933DAF" w:rsidRDefault="006206B3" w:rsidP="006206B3">
            <w:pPr>
              <w:spacing w:before="20" w:after="20" w:line="240" w:lineRule="auto"/>
              <w:rPr>
                <w:rFonts w:ascii="Arial Narrow" w:hAnsi="Arial Narrow"/>
                <w:i/>
                <w:sz w:val="20"/>
              </w:rPr>
            </w:pPr>
            <w:r w:rsidRPr="00933DAF">
              <w:rPr>
                <w:rFonts w:ascii="Arial Narrow" w:hAnsi="Arial Narrow"/>
                <w:i/>
                <w:sz w:val="20"/>
              </w:rPr>
              <w:t xml:space="preserve">Demyelinating diseases of the central nervous system </w:t>
            </w:r>
          </w:p>
        </w:tc>
        <w:tc>
          <w:tcPr>
            <w:tcW w:w="1134" w:type="dxa"/>
          </w:tcPr>
          <w:p w14:paraId="37AC3588"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2.03</w:t>
            </w:r>
          </w:p>
          <w:p w14:paraId="648E774C"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0.91</w:t>
            </w:r>
          </w:p>
          <w:p w14:paraId="48839718"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0.55</w:t>
            </w:r>
          </w:p>
          <w:p w14:paraId="7B48508D" w14:textId="77777777" w:rsidR="006206B3" w:rsidRDefault="006206B3" w:rsidP="006206B3">
            <w:pPr>
              <w:pStyle w:val="AspexTableText"/>
              <w:spacing w:before="20" w:after="20"/>
              <w:ind w:right="121"/>
              <w:jc w:val="right"/>
              <w:rPr>
                <w:rFonts w:ascii="Arial Narrow" w:hAnsi="Arial Narrow"/>
                <w:i/>
              </w:rPr>
            </w:pPr>
          </w:p>
          <w:p w14:paraId="20473373"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0.11</w:t>
            </w:r>
          </w:p>
        </w:tc>
      </w:tr>
      <w:tr w:rsidR="006206B3" w:rsidRPr="000E7CA7" w14:paraId="408D35F3" w14:textId="77777777" w:rsidTr="006206B3">
        <w:tc>
          <w:tcPr>
            <w:tcW w:w="2122" w:type="dxa"/>
          </w:tcPr>
          <w:p w14:paraId="5FFDBF3E"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Genitourinary</w:t>
            </w:r>
          </w:p>
        </w:tc>
        <w:tc>
          <w:tcPr>
            <w:tcW w:w="1134" w:type="dxa"/>
          </w:tcPr>
          <w:p w14:paraId="249EA3FD"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1.67</w:t>
            </w:r>
          </w:p>
        </w:tc>
        <w:tc>
          <w:tcPr>
            <w:tcW w:w="4536" w:type="dxa"/>
          </w:tcPr>
          <w:p w14:paraId="7505DB0D"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Renal failure</w:t>
            </w:r>
          </w:p>
        </w:tc>
        <w:tc>
          <w:tcPr>
            <w:tcW w:w="1134" w:type="dxa"/>
            <w:vAlign w:val="center"/>
          </w:tcPr>
          <w:p w14:paraId="7CB18020"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1.67</w:t>
            </w:r>
          </w:p>
        </w:tc>
      </w:tr>
      <w:tr w:rsidR="006206B3" w:rsidRPr="000E7CA7" w14:paraId="1EE5F1B6" w14:textId="77777777" w:rsidTr="006206B3">
        <w:tc>
          <w:tcPr>
            <w:tcW w:w="2122" w:type="dxa"/>
          </w:tcPr>
          <w:p w14:paraId="045B7B88"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Digestive system</w:t>
            </w:r>
          </w:p>
        </w:tc>
        <w:tc>
          <w:tcPr>
            <w:tcW w:w="1134" w:type="dxa"/>
          </w:tcPr>
          <w:p w14:paraId="449EB220"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0.89</w:t>
            </w:r>
          </w:p>
        </w:tc>
        <w:tc>
          <w:tcPr>
            <w:tcW w:w="4536" w:type="dxa"/>
          </w:tcPr>
          <w:p w14:paraId="1724456D"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Alcoholic liver disease</w:t>
            </w:r>
          </w:p>
          <w:p w14:paraId="65882B3B"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Fibrosis and cirrhosis of liver</w:t>
            </w:r>
          </w:p>
          <w:p w14:paraId="33EF5EF6"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Hepatic failure, not elsewhere classified</w:t>
            </w:r>
          </w:p>
        </w:tc>
        <w:tc>
          <w:tcPr>
            <w:tcW w:w="1134" w:type="dxa"/>
          </w:tcPr>
          <w:p w14:paraId="011AC5C2"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0.49</w:t>
            </w:r>
          </w:p>
          <w:p w14:paraId="7B215467"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0.24</w:t>
            </w:r>
          </w:p>
          <w:p w14:paraId="48AFE4B6"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0.15</w:t>
            </w:r>
          </w:p>
        </w:tc>
      </w:tr>
      <w:tr w:rsidR="006206B3" w:rsidRPr="000E7CA7" w14:paraId="4F374D85" w14:textId="77777777" w:rsidTr="006206B3">
        <w:tc>
          <w:tcPr>
            <w:tcW w:w="2122" w:type="dxa"/>
          </w:tcPr>
          <w:p w14:paraId="7676938D"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Congenital/chromosomal</w:t>
            </w:r>
          </w:p>
        </w:tc>
        <w:tc>
          <w:tcPr>
            <w:tcW w:w="1134" w:type="dxa"/>
          </w:tcPr>
          <w:p w14:paraId="3E079085"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0.37</w:t>
            </w:r>
          </w:p>
        </w:tc>
        <w:tc>
          <w:tcPr>
            <w:tcW w:w="4536" w:type="dxa"/>
          </w:tcPr>
          <w:p w14:paraId="43400161"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Various</w:t>
            </w:r>
          </w:p>
        </w:tc>
        <w:tc>
          <w:tcPr>
            <w:tcW w:w="1134" w:type="dxa"/>
            <w:vAlign w:val="center"/>
          </w:tcPr>
          <w:p w14:paraId="0981AF86"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0.37</w:t>
            </w:r>
          </w:p>
        </w:tc>
      </w:tr>
      <w:tr w:rsidR="006206B3" w:rsidRPr="000E7CA7" w14:paraId="5B00A292" w14:textId="77777777" w:rsidTr="006206B3">
        <w:tc>
          <w:tcPr>
            <w:tcW w:w="2122" w:type="dxa"/>
          </w:tcPr>
          <w:p w14:paraId="17A5B6BE" w14:textId="77777777" w:rsidR="006206B3" w:rsidRPr="00933DAF" w:rsidRDefault="006206B3" w:rsidP="006206B3">
            <w:pPr>
              <w:pStyle w:val="AspexTableText"/>
              <w:spacing w:before="20" w:after="20"/>
              <w:rPr>
                <w:rFonts w:ascii="Arial Narrow" w:hAnsi="Arial Narrow"/>
              </w:rPr>
            </w:pPr>
            <w:r w:rsidRPr="00933DAF">
              <w:rPr>
                <w:rFonts w:ascii="Arial Narrow" w:hAnsi="Arial Narrow"/>
              </w:rPr>
              <w:t>Infectious/parasitic</w:t>
            </w:r>
          </w:p>
        </w:tc>
        <w:tc>
          <w:tcPr>
            <w:tcW w:w="1134" w:type="dxa"/>
          </w:tcPr>
          <w:p w14:paraId="4B605F2E" w14:textId="77777777" w:rsidR="006206B3" w:rsidRPr="00933DAF" w:rsidRDefault="006206B3" w:rsidP="006206B3">
            <w:pPr>
              <w:pStyle w:val="AspexTableText"/>
              <w:tabs>
                <w:tab w:val="left" w:pos="307"/>
                <w:tab w:val="center" w:pos="435"/>
              </w:tabs>
              <w:spacing w:before="20" w:after="20"/>
              <w:jc w:val="center"/>
              <w:rPr>
                <w:rFonts w:ascii="Arial Narrow" w:hAnsi="Arial Narrow"/>
              </w:rPr>
            </w:pPr>
            <w:r w:rsidRPr="00933DAF">
              <w:rPr>
                <w:rFonts w:ascii="Arial Narrow" w:hAnsi="Arial Narrow"/>
              </w:rPr>
              <w:t>0.31</w:t>
            </w:r>
          </w:p>
        </w:tc>
        <w:tc>
          <w:tcPr>
            <w:tcW w:w="4536" w:type="dxa"/>
          </w:tcPr>
          <w:p w14:paraId="4B303E7A" w14:textId="77777777" w:rsidR="006206B3" w:rsidRPr="00933DAF" w:rsidRDefault="006206B3" w:rsidP="006206B3">
            <w:pPr>
              <w:pStyle w:val="AspexTableText"/>
              <w:spacing w:before="20" w:after="20"/>
              <w:rPr>
                <w:rFonts w:ascii="Arial Narrow" w:hAnsi="Arial Narrow"/>
                <w:i/>
              </w:rPr>
            </w:pPr>
            <w:proofErr w:type="spellStart"/>
            <w:r w:rsidRPr="00933DAF">
              <w:rPr>
                <w:rFonts w:ascii="Arial Narrow" w:hAnsi="Arial Narrow"/>
                <w:i/>
              </w:rPr>
              <w:t>Sequelae</w:t>
            </w:r>
            <w:proofErr w:type="spellEnd"/>
            <w:r w:rsidRPr="00933DAF">
              <w:rPr>
                <w:rFonts w:ascii="Arial Narrow" w:hAnsi="Arial Narrow"/>
                <w:i/>
              </w:rPr>
              <w:t xml:space="preserve"> of infectious and parasitic diseases</w:t>
            </w:r>
          </w:p>
          <w:p w14:paraId="14D9B533"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Human immunodeficiency virus [HIV] disease</w:t>
            </w:r>
          </w:p>
          <w:p w14:paraId="7F09280F" w14:textId="77777777" w:rsidR="006206B3" w:rsidRPr="00933DAF" w:rsidRDefault="006206B3" w:rsidP="006206B3">
            <w:pPr>
              <w:pStyle w:val="AspexTableText"/>
              <w:spacing w:before="20" w:after="20"/>
              <w:rPr>
                <w:rFonts w:ascii="Arial Narrow" w:hAnsi="Arial Narrow"/>
                <w:i/>
              </w:rPr>
            </w:pPr>
            <w:r w:rsidRPr="00933DAF">
              <w:rPr>
                <w:rFonts w:ascii="Arial Narrow" w:hAnsi="Arial Narrow"/>
                <w:i/>
              </w:rPr>
              <w:t>Viral hepatitis</w:t>
            </w:r>
          </w:p>
        </w:tc>
        <w:tc>
          <w:tcPr>
            <w:tcW w:w="1134" w:type="dxa"/>
            <w:vAlign w:val="center"/>
          </w:tcPr>
          <w:p w14:paraId="1D52D30B"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0.23</w:t>
            </w:r>
          </w:p>
          <w:p w14:paraId="0D770FC3"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0.06</w:t>
            </w:r>
          </w:p>
          <w:p w14:paraId="2BA4593F" w14:textId="77777777" w:rsidR="006206B3" w:rsidRPr="00933DAF" w:rsidRDefault="006206B3" w:rsidP="006206B3">
            <w:pPr>
              <w:pStyle w:val="AspexTableText"/>
              <w:spacing w:before="20" w:after="20"/>
              <w:ind w:right="121"/>
              <w:jc w:val="right"/>
              <w:rPr>
                <w:rFonts w:ascii="Arial Narrow" w:hAnsi="Arial Narrow"/>
                <w:i/>
              </w:rPr>
            </w:pPr>
            <w:r w:rsidRPr="00933DAF">
              <w:rPr>
                <w:rFonts w:ascii="Arial Narrow" w:hAnsi="Arial Narrow"/>
                <w:i/>
              </w:rPr>
              <w:t>0.02</w:t>
            </w:r>
          </w:p>
        </w:tc>
      </w:tr>
      <w:tr w:rsidR="006206B3" w:rsidRPr="000E7CA7" w14:paraId="1BDC1A77" w14:textId="77777777" w:rsidTr="006206B3">
        <w:tc>
          <w:tcPr>
            <w:tcW w:w="2122" w:type="dxa"/>
          </w:tcPr>
          <w:p w14:paraId="4269AF54" w14:textId="77777777" w:rsidR="006206B3" w:rsidRPr="000E7CA7" w:rsidRDefault="006206B3" w:rsidP="006206B3">
            <w:pPr>
              <w:pStyle w:val="AspexTableText"/>
              <w:spacing w:before="20" w:after="20"/>
              <w:rPr>
                <w:rFonts w:ascii="Arial Narrow" w:hAnsi="Arial Narrow"/>
                <w:b/>
              </w:rPr>
            </w:pPr>
            <w:r w:rsidRPr="000E7CA7">
              <w:rPr>
                <w:rFonts w:ascii="Arial Narrow" w:hAnsi="Arial Narrow"/>
                <w:b/>
              </w:rPr>
              <w:t>Total (of all deaths)</w:t>
            </w:r>
          </w:p>
        </w:tc>
        <w:tc>
          <w:tcPr>
            <w:tcW w:w="1134" w:type="dxa"/>
          </w:tcPr>
          <w:p w14:paraId="6B77FFC1" w14:textId="77777777" w:rsidR="006206B3" w:rsidRPr="000E7CA7" w:rsidRDefault="006206B3" w:rsidP="006206B3">
            <w:pPr>
              <w:pStyle w:val="AspexTableText"/>
              <w:tabs>
                <w:tab w:val="left" w:pos="307"/>
                <w:tab w:val="center" w:pos="435"/>
              </w:tabs>
              <w:spacing w:before="20" w:after="20"/>
              <w:jc w:val="center"/>
              <w:rPr>
                <w:rFonts w:ascii="Arial Narrow" w:hAnsi="Arial Narrow"/>
                <w:b/>
              </w:rPr>
            </w:pPr>
            <w:r>
              <w:rPr>
                <w:rFonts w:ascii="Arial Narrow" w:hAnsi="Arial Narrow"/>
                <w:b/>
              </w:rPr>
              <w:t>59.38</w:t>
            </w:r>
          </w:p>
        </w:tc>
        <w:tc>
          <w:tcPr>
            <w:tcW w:w="4536" w:type="dxa"/>
          </w:tcPr>
          <w:p w14:paraId="759B91EF" w14:textId="77777777" w:rsidR="006206B3" w:rsidRPr="000E7CA7" w:rsidRDefault="006206B3" w:rsidP="006206B3">
            <w:pPr>
              <w:pStyle w:val="AspexTableText"/>
              <w:spacing w:before="20" w:after="20"/>
              <w:rPr>
                <w:rFonts w:ascii="Arial Narrow" w:hAnsi="Arial Narrow"/>
                <w:b/>
                <w:i/>
              </w:rPr>
            </w:pPr>
            <w:r w:rsidRPr="000E7CA7">
              <w:rPr>
                <w:rFonts w:ascii="Arial Narrow" w:hAnsi="Arial Narrow"/>
                <w:b/>
                <w:i/>
              </w:rPr>
              <w:t>Total (of all deaths)</w:t>
            </w:r>
          </w:p>
        </w:tc>
        <w:tc>
          <w:tcPr>
            <w:tcW w:w="1134" w:type="dxa"/>
            <w:vAlign w:val="bottom"/>
          </w:tcPr>
          <w:p w14:paraId="6C3A83B8" w14:textId="77777777" w:rsidR="006206B3" w:rsidRPr="000E7CA7" w:rsidRDefault="006206B3" w:rsidP="006206B3">
            <w:pPr>
              <w:pStyle w:val="AspexTableText"/>
              <w:spacing w:before="20" w:after="20"/>
              <w:ind w:right="121"/>
              <w:jc w:val="right"/>
              <w:rPr>
                <w:rFonts w:ascii="Arial Narrow" w:hAnsi="Arial Narrow"/>
                <w:b/>
                <w:i/>
              </w:rPr>
            </w:pPr>
            <w:r>
              <w:rPr>
                <w:rFonts w:ascii="Arial Narrow" w:hAnsi="Arial Narrow"/>
                <w:b/>
                <w:i/>
              </w:rPr>
              <w:t>59.38</w:t>
            </w:r>
          </w:p>
        </w:tc>
      </w:tr>
    </w:tbl>
    <w:p w14:paraId="65EFFB01" w14:textId="77777777" w:rsidR="006206B3" w:rsidRDefault="006206B3" w:rsidP="006206B3">
      <w:pPr>
        <w:pStyle w:val="AspexBodyStandard"/>
        <w:spacing w:before="0"/>
      </w:pPr>
    </w:p>
    <w:p w14:paraId="427D42E9" w14:textId="77777777" w:rsidR="006206B3" w:rsidRDefault="006206B3" w:rsidP="006206B3">
      <w:pPr>
        <w:pStyle w:val="AspexHighlightText"/>
        <w:rPr>
          <w:rStyle w:val="IntenseEmphasis"/>
        </w:rPr>
      </w:pPr>
      <w:r w:rsidRPr="00145C1D">
        <w:rPr>
          <w:rStyle w:val="IntenseEmphasis"/>
        </w:rPr>
        <w:t xml:space="preserve">Based upon current mortality data, almost two thirds of all Australians who die (59%) have the potential to benefit from palliative care services. </w:t>
      </w:r>
      <w:proofErr w:type="gramStart"/>
      <w:r w:rsidRPr="00145C1D">
        <w:rPr>
          <w:rStyle w:val="IntenseEmphasis"/>
        </w:rPr>
        <w:t xml:space="preserve">If this estimate were applied to Australia in </w:t>
      </w:r>
      <w:r w:rsidR="00C21055">
        <w:rPr>
          <w:rStyle w:val="IntenseEmphasis"/>
        </w:rPr>
        <w:t>2013</w:t>
      </w:r>
      <w:r w:rsidRPr="00145C1D">
        <w:rPr>
          <w:rStyle w:val="IntenseEmphasis"/>
        </w:rPr>
        <w:t xml:space="preserve">, then at least </w:t>
      </w:r>
      <w:r w:rsidR="00C21055">
        <w:rPr>
          <w:rStyle w:val="IntenseEmphasis"/>
        </w:rPr>
        <w:t>88,749</w:t>
      </w:r>
      <w:r w:rsidRPr="00145C1D">
        <w:rPr>
          <w:rStyle w:val="IntenseEmphasis"/>
        </w:rPr>
        <w:t xml:space="preserve"> individuals might reasonably demand palliative care services each year.</w:t>
      </w:r>
      <w:proofErr w:type="gramEnd"/>
    </w:p>
    <w:p w14:paraId="5A7CAD8C" w14:textId="77777777" w:rsidR="006206B3" w:rsidRDefault="006206B3" w:rsidP="006206B3">
      <w:pPr>
        <w:pStyle w:val="Heading3"/>
      </w:pPr>
      <w:bookmarkStart w:id="74" w:name="_Toc382313804"/>
      <w:r>
        <w:t>Influences upon estimation of service demand</w:t>
      </w:r>
      <w:bookmarkEnd w:id="74"/>
    </w:p>
    <w:p w14:paraId="7C1AC9F1" w14:textId="77777777" w:rsidR="006206B3" w:rsidRDefault="006206B3" w:rsidP="006206B3">
      <w:pPr>
        <w:pStyle w:val="AspexBodyStandard"/>
      </w:pPr>
      <w:r>
        <w:t>Community demand for palliative care services is likely to be heavily influenced by levels of public awareness and expectations of service delivery. These issues are difficult to measure but, as previously noted, are likely to increase in future years.</w:t>
      </w:r>
    </w:p>
    <w:p w14:paraId="2AC22CF2" w14:textId="77777777" w:rsidR="006206B3" w:rsidRDefault="006206B3" w:rsidP="006206B3">
      <w:pPr>
        <w:pStyle w:val="AspexBodyStandard"/>
      </w:pPr>
      <w:r>
        <w:t>Current attempts to estimate demand have been based upon the number of deaths in Australia where treating clinicians were likely to have had sufficient time to refer individuals (and their carers) for palliative care services. This</w:t>
      </w:r>
      <w:r w:rsidR="004E238C">
        <w:t>,</w:t>
      </w:r>
      <w:r>
        <w:t xml:space="preserve"> however, does not preclude the involvement of palliative care specialists in other end of life scenarios (e.g., palliation of comatose patients following stroke, withdrawal of life support etc.).  Accordingly, current estimates of community demand ar</w:t>
      </w:r>
      <w:r w:rsidR="00091817">
        <w:t>e considered to be conse</w:t>
      </w:r>
      <w:r w:rsidR="00D5439D">
        <w:t>rvative and range from around 25</w:t>
      </w:r>
      <w:r w:rsidR="00091817">
        <w:t>% of all deaths</w:t>
      </w:r>
      <w:r w:rsidR="00F95325">
        <w:t>,</w:t>
      </w:r>
      <w:r w:rsidR="00091817">
        <w:rPr>
          <w:rStyle w:val="FootnoteReference"/>
        </w:rPr>
        <w:footnoteReference w:id="13"/>
      </w:r>
      <w:r w:rsidR="00091817">
        <w:t xml:space="preserve"> to as high as almost 78%</w:t>
      </w:r>
      <w:r w:rsidR="00D5439D">
        <w:rPr>
          <w:rStyle w:val="FootnoteReference"/>
        </w:rPr>
        <w:footnoteReference w:id="14"/>
      </w:r>
      <w:r w:rsidR="00091817">
        <w:t xml:space="preserve"> of all deaths occurring in Australia.</w:t>
      </w:r>
    </w:p>
    <w:p w14:paraId="76430645" w14:textId="77777777" w:rsidR="006206B3" w:rsidRDefault="006206B3" w:rsidP="006206B3">
      <w:pPr>
        <w:pStyle w:val="AspexBodyStandard"/>
      </w:pPr>
      <w:r>
        <w:t xml:space="preserve">Alternative approaches to estimating </w:t>
      </w:r>
      <w:r w:rsidR="00C775BC">
        <w:t xml:space="preserve">general </w:t>
      </w:r>
      <w:r>
        <w:t>community demand were also considered, such as estimation of the number of referrals for palliative care assessment</w:t>
      </w:r>
      <w:r w:rsidR="00F95325">
        <w:t>.</w:t>
      </w:r>
      <w:r w:rsidR="009647F0">
        <w:rPr>
          <w:rStyle w:val="FootnoteReference"/>
        </w:rPr>
        <w:footnoteReference w:id="15"/>
      </w:r>
      <w:r>
        <w:t xml:space="preserve">  This approach was not pursued for several reasons, namely that:</w:t>
      </w:r>
    </w:p>
    <w:p w14:paraId="0454746A" w14:textId="77777777" w:rsidR="006206B3" w:rsidRDefault="006206B3" w:rsidP="006206B3">
      <w:pPr>
        <w:pStyle w:val="AspexBullet1"/>
        <w:spacing w:before="60" w:after="0"/>
      </w:pPr>
      <w:r>
        <w:lastRenderedPageBreak/>
        <w:t xml:space="preserve">The known availability of palliative care specialists will influence medical referral for services, particularly where there </w:t>
      </w:r>
      <w:r w:rsidR="004E238C">
        <w:t>may be</w:t>
      </w:r>
      <w:r>
        <w:t xml:space="preserve"> limited workforce, thus underestimating the true demand for services. </w:t>
      </w:r>
    </w:p>
    <w:p w14:paraId="3702B6FD" w14:textId="77777777" w:rsidR="006206B3" w:rsidRDefault="006206B3" w:rsidP="006206B3">
      <w:pPr>
        <w:pStyle w:val="AspexBullet1"/>
        <w:spacing w:before="60" w:after="0"/>
      </w:pPr>
      <w:r>
        <w:t>Referrals for palliative care services (particularly in the community setting) may be received from a variety of sources, including patients and/or their carers or other non-medical professionals (e.g., nurses, allied health, other professionals).  Thus the true underlying nature of demand (based upon knowledge and consideration of subsequent referral by members of the broader community) is virtually impossible to estimate in the absence of specific population studies.</w:t>
      </w:r>
    </w:p>
    <w:p w14:paraId="7E32CF63" w14:textId="3DEE56D6" w:rsidR="006206B3" w:rsidRDefault="006206B3" w:rsidP="006206B3">
      <w:pPr>
        <w:pStyle w:val="AspexBullet1"/>
        <w:spacing w:before="60" w:after="0"/>
      </w:pPr>
      <w:r>
        <w:t xml:space="preserve">Palliative care may be provided by a range of medical practitioners who continue to manage their own patients whilst shifting the focus of service delivery to maintain patient comfort and quality of life (e.g., oncologists, </w:t>
      </w:r>
      <w:r w:rsidR="0081173A">
        <w:t>GPs</w:t>
      </w:r>
      <w:r>
        <w:t xml:space="preserve">), without any specific referral to palliative care specialist services. Analysis of the supply of palliative care services in Australia would support this clinical approach for </w:t>
      </w:r>
      <w:r w:rsidR="009647F0">
        <w:t>a notable proportion</w:t>
      </w:r>
      <w:r>
        <w:t xml:space="preserve"> of patients receiving palliative care, and is discussed further in the following section.</w:t>
      </w:r>
    </w:p>
    <w:p w14:paraId="7E4B141A" w14:textId="77777777" w:rsidR="009647F0" w:rsidRDefault="009647F0" w:rsidP="009647F0">
      <w:pPr>
        <w:pStyle w:val="AspexBodyStandard"/>
      </w:pPr>
      <w:r>
        <w:t>Thus, estimation of the level of community demand based upon the proportion of patients with a classification of ‘anticipated’ death has remained as the most appropriate method of determining the potential population need for palliative care services</w:t>
      </w:r>
      <w:r w:rsidR="00F95325">
        <w:t>.</w:t>
      </w:r>
      <w:r>
        <w:rPr>
          <w:rStyle w:val="FootnoteReference"/>
        </w:rPr>
        <w:footnoteReference w:id="16"/>
      </w:r>
      <w:r w:rsidRPr="009647F0">
        <w:rPr>
          <w:vertAlign w:val="superscript"/>
        </w:rPr>
        <w:t>,</w:t>
      </w:r>
      <w:r>
        <w:rPr>
          <w:rStyle w:val="FootnoteReference"/>
        </w:rPr>
        <w:footnoteReference w:id="17"/>
      </w:r>
    </w:p>
    <w:p w14:paraId="214F357D" w14:textId="77777777" w:rsidR="006206B3" w:rsidRDefault="006206B3" w:rsidP="006206B3">
      <w:pPr>
        <w:pStyle w:val="Heading2"/>
      </w:pPr>
      <w:bookmarkStart w:id="75" w:name="_Ref248053757"/>
      <w:bookmarkStart w:id="76" w:name="_Toc382313805"/>
      <w:r>
        <w:t>Supply of palliative care services</w:t>
      </w:r>
      <w:bookmarkEnd w:id="75"/>
      <w:bookmarkEnd w:id="76"/>
    </w:p>
    <w:p w14:paraId="76C3C29D" w14:textId="77777777" w:rsidR="006206B3" w:rsidRDefault="006206B3" w:rsidP="006206B3">
      <w:pPr>
        <w:pStyle w:val="AspexBodyStandard"/>
      </w:pPr>
      <w:r>
        <w:t xml:space="preserve">The supply </w:t>
      </w:r>
      <w:r w:rsidR="000E64B1">
        <w:t xml:space="preserve">(delivery) </w:t>
      </w:r>
      <w:r>
        <w:t>of palliative care services in Australia can be classified into four main areas, involving:</w:t>
      </w:r>
    </w:p>
    <w:p w14:paraId="4F0E08CE" w14:textId="7B8612F3" w:rsidR="006206B3" w:rsidRDefault="0081173A" w:rsidP="006206B3">
      <w:pPr>
        <w:pStyle w:val="AspexBullet1"/>
        <w:spacing w:before="60" w:after="0"/>
      </w:pPr>
      <w:r>
        <w:t>GP</w:t>
      </w:r>
      <w:r w:rsidR="006206B3">
        <w:t xml:space="preserve"> services;</w:t>
      </w:r>
    </w:p>
    <w:p w14:paraId="6874A5C5" w14:textId="77777777" w:rsidR="006206B3" w:rsidRDefault="006206B3" w:rsidP="006206B3">
      <w:pPr>
        <w:pStyle w:val="AspexBullet1"/>
        <w:spacing w:before="60" w:after="0"/>
      </w:pPr>
      <w:r>
        <w:t>Community palliative care services (including publically funded community hospices);</w:t>
      </w:r>
    </w:p>
    <w:p w14:paraId="5E0855B9" w14:textId="77777777" w:rsidR="006206B3" w:rsidRDefault="006206B3" w:rsidP="006206B3">
      <w:pPr>
        <w:pStyle w:val="AspexBullet1"/>
        <w:spacing w:before="60" w:after="0"/>
      </w:pPr>
      <w:r>
        <w:t>Public hospital services (including available hospice/palliative care beds); and</w:t>
      </w:r>
    </w:p>
    <w:p w14:paraId="00CD8E46" w14:textId="77777777" w:rsidR="006206B3" w:rsidRPr="00D12EFD" w:rsidRDefault="006206B3" w:rsidP="006206B3">
      <w:pPr>
        <w:pStyle w:val="AspexBullet1"/>
        <w:spacing w:before="60" w:after="0"/>
      </w:pPr>
      <w:r>
        <w:t>Private hospital services (including available hospice/palliative care beds).</w:t>
      </w:r>
    </w:p>
    <w:p w14:paraId="68D7D4C4" w14:textId="77777777" w:rsidR="006206B3" w:rsidRDefault="006206B3" w:rsidP="006206B3">
      <w:pPr>
        <w:pStyle w:val="Heading3"/>
      </w:pPr>
      <w:bookmarkStart w:id="77" w:name="_Ref247624473"/>
      <w:bookmarkStart w:id="78" w:name="_Toc382313806"/>
      <w:r>
        <w:t>National estimates of general practice encounters</w:t>
      </w:r>
      <w:bookmarkEnd w:id="77"/>
      <w:bookmarkEnd w:id="78"/>
    </w:p>
    <w:p w14:paraId="3B0A4C08" w14:textId="11FB1326" w:rsidR="006206B3" w:rsidRDefault="000E64B1" w:rsidP="006206B3">
      <w:pPr>
        <w:pStyle w:val="AspexBodyStandard"/>
      </w:pPr>
      <w:r>
        <w:t>Most</w:t>
      </w:r>
      <w:r w:rsidR="006206B3">
        <w:t xml:space="preserve"> patients requiring palliative care type services </w:t>
      </w:r>
      <w:r>
        <w:t xml:space="preserve">in the community </w:t>
      </w:r>
      <w:r w:rsidR="006206B3">
        <w:t>pr</w:t>
      </w:r>
      <w:r w:rsidR="004E238C">
        <w:t xml:space="preserve">esent to a </w:t>
      </w:r>
      <w:r w:rsidR="0081173A">
        <w:t>GP</w:t>
      </w:r>
      <w:r w:rsidR="006206B3">
        <w:t xml:space="preserve"> for </w:t>
      </w:r>
      <w:r w:rsidR="004E238C">
        <w:t>treatment. Using data from the B</w:t>
      </w:r>
      <w:r w:rsidR="006206B3">
        <w:t>ettering Evaluation and Care of Health Study (BEACH) from April 2009 to March 2012</w:t>
      </w:r>
      <w:r w:rsidR="00F95325">
        <w:t>,</w:t>
      </w:r>
      <w:r>
        <w:rPr>
          <w:rStyle w:val="FootnoteReference"/>
        </w:rPr>
        <w:footnoteReference w:id="18"/>
      </w:r>
      <w:r w:rsidR="006206B3">
        <w:t xml:space="preserve"> it has been estimated that a total of 204,000 (95%ci: 177,000-231,000) </w:t>
      </w:r>
      <w:r w:rsidR="004E238C">
        <w:t xml:space="preserve">GP </w:t>
      </w:r>
      <w:r w:rsidR="006206B3">
        <w:t>encounters occur each year relating to palliative care, representing around 0.17% (95%ci: 0.15-0.19) of all general practice visits</w:t>
      </w:r>
      <w:r w:rsidR="00F95325">
        <w:t>.</w:t>
      </w:r>
      <w:r w:rsidR="00DA1AF1">
        <w:rPr>
          <w:rStyle w:val="FootnoteReference"/>
        </w:rPr>
        <w:footnoteReference w:id="19"/>
      </w:r>
      <w:r w:rsidR="006206B3">
        <w:t xml:space="preserve">  Almost all (97%) palliative care encounters </w:t>
      </w:r>
      <w:r w:rsidR="00DA1AF1">
        <w:t xml:space="preserve">to general practice </w:t>
      </w:r>
      <w:r w:rsidR="006206B3">
        <w:t>can be classified into four distinct groups (</w:t>
      </w:r>
      <w:r w:rsidR="006206B3">
        <w:fldChar w:fldCharType="begin"/>
      </w:r>
      <w:r w:rsidR="006206B3">
        <w:instrText xml:space="preserve"> REF _Ref224197510 \h </w:instrText>
      </w:r>
      <w:r w:rsidR="006206B3">
        <w:fldChar w:fldCharType="separate"/>
      </w:r>
      <w:r w:rsidR="009C72FC" w:rsidRPr="001F739C">
        <w:t xml:space="preserve">Table </w:t>
      </w:r>
      <w:r w:rsidR="009C72FC">
        <w:rPr>
          <w:noProof/>
        </w:rPr>
        <w:t>2</w:t>
      </w:r>
      <w:r w:rsidR="009C72FC">
        <w:noBreakHyphen/>
      </w:r>
      <w:r w:rsidR="009C72FC">
        <w:rPr>
          <w:noProof/>
        </w:rPr>
        <w:t>3</w:t>
      </w:r>
      <w:r w:rsidR="006206B3">
        <w:fldChar w:fldCharType="end"/>
      </w:r>
      <w:r w:rsidR="006206B3">
        <w:t>).</w:t>
      </w:r>
    </w:p>
    <w:p w14:paraId="22469C3A" w14:textId="77777777" w:rsidR="0002559B" w:rsidRDefault="0002559B" w:rsidP="006206B3">
      <w:pPr>
        <w:pStyle w:val="AspexBodyStandard"/>
      </w:pPr>
    </w:p>
    <w:p w14:paraId="15139245" w14:textId="2751CEEC" w:rsidR="006206B3" w:rsidRPr="001F739C" w:rsidRDefault="006206B3" w:rsidP="009F7D7B">
      <w:pPr>
        <w:pStyle w:val="Caption"/>
      </w:pPr>
      <w:bookmarkStart w:id="79" w:name="_Ref224197510"/>
      <w:bookmarkStart w:id="80" w:name="_Toc350872817"/>
      <w:bookmarkStart w:id="81" w:name="_Toc382315615"/>
      <w:r w:rsidRPr="001F739C">
        <w:lastRenderedPageBreak/>
        <w:t xml:space="preserve">Table </w:t>
      </w:r>
      <w:fldSimple w:instr=" STYLEREF 1 \s ">
        <w:r w:rsidR="009C72FC">
          <w:rPr>
            <w:noProof/>
          </w:rPr>
          <w:t>2</w:t>
        </w:r>
      </w:fldSimple>
      <w:r w:rsidR="006310FD">
        <w:noBreakHyphen/>
      </w:r>
      <w:fldSimple w:instr=" SEQ Table \* ARABIC \s 1 ">
        <w:r w:rsidR="009C72FC">
          <w:rPr>
            <w:noProof/>
          </w:rPr>
          <w:t>3</w:t>
        </w:r>
      </w:fldSimple>
      <w:bookmarkEnd w:id="79"/>
      <w:r>
        <w:rPr>
          <w:noProof/>
        </w:rPr>
        <w:t>:</w:t>
      </w:r>
      <w:r w:rsidR="002167FD">
        <w:tab/>
      </w:r>
      <w:r w:rsidRPr="001F739C">
        <w:t xml:space="preserve">Classification of GP encounters for </w:t>
      </w:r>
      <w:bookmarkEnd w:id="80"/>
      <w:r>
        <w:t>palliative care</w:t>
      </w:r>
      <w:bookmarkEnd w:id="81"/>
    </w:p>
    <w:tbl>
      <w:tblPr>
        <w:tblStyle w:val="AspexTable1"/>
        <w:tblW w:w="9067" w:type="dxa"/>
        <w:tblLayout w:type="fixed"/>
        <w:tblLook w:val="04A0" w:firstRow="1" w:lastRow="0" w:firstColumn="1" w:lastColumn="0" w:noHBand="0" w:noVBand="1"/>
        <w:tblCaption w:val="Table 2 3:"/>
        <w:tblDescription w:val="Classification of GP encounters for palliative care as discussed in Section 2.3.1"/>
      </w:tblPr>
      <w:tblGrid>
        <w:gridCol w:w="4531"/>
        <w:gridCol w:w="4536"/>
      </w:tblGrid>
      <w:tr w:rsidR="006206B3" w:rsidRPr="001F739C" w14:paraId="4763C280" w14:textId="77777777" w:rsidTr="001C0F55">
        <w:trPr>
          <w:cnfStyle w:val="100000000000" w:firstRow="1" w:lastRow="0" w:firstColumn="0" w:lastColumn="0" w:oddVBand="0" w:evenVBand="0" w:oddHBand="0" w:evenHBand="0" w:firstRowFirstColumn="0" w:firstRowLastColumn="0" w:lastRowFirstColumn="0" w:lastRowLastColumn="0"/>
          <w:tblHeader/>
        </w:trPr>
        <w:tc>
          <w:tcPr>
            <w:tcW w:w="4531" w:type="dxa"/>
          </w:tcPr>
          <w:p w14:paraId="2ADF1FDC" w14:textId="77777777" w:rsidR="006206B3" w:rsidRPr="00AE66EA" w:rsidRDefault="006206B3" w:rsidP="006206B3">
            <w:pPr>
              <w:spacing w:beforeLines="0" w:before="80" w:afterLines="0" w:after="80" w:line="240" w:lineRule="auto"/>
              <w:jc w:val="center"/>
              <w:rPr>
                <w:rFonts w:ascii="Arial Narrow" w:hAnsi="Arial Narrow"/>
                <w:color w:val="FFFFFF" w:themeColor="background1"/>
                <w:sz w:val="20"/>
              </w:rPr>
            </w:pPr>
            <w:r w:rsidRPr="00AE66EA">
              <w:rPr>
                <w:rFonts w:ascii="Arial Narrow" w:hAnsi="Arial Narrow"/>
                <w:color w:val="FFFFFF" w:themeColor="background1"/>
                <w:sz w:val="20"/>
              </w:rPr>
              <w:t>Reason for encounter</w:t>
            </w:r>
          </w:p>
        </w:tc>
        <w:tc>
          <w:tcPr>
            <w:tcW w:w="4536" w:type="dxa"/>
          </w:tcPr>
          <w:p w14:paraId="4CD5F6A4" w14:textId="77777777" w:rsidR="006206B3" w:rsidRPr="00AE66EA" w:rsidRDefault="006206B3" w:rsidP="006206B3">
            <w:pPr>
              <w:spacing w:beforeLines="0" w:before="80" w:afterLines="0" w:after="80" w:line="240" w:lineRule="auto"/>
              <w:jc w:val="center"/>
              <w:rPr>
                <w:rFonts w:ascii="Arial Narrow" w:hAnsi="Arial Narrow"/>
                <w:color w:val="FFFFFF" w:themeColor="background1"/>
                <w:sz w:val="20"/>
              </w:rPr>
            </w:pPr>
            <w:r w:rsidRPr="00AE66EA">
              <w:rPr>
                <w:rFonts w:ascii="Arial Narrow" w:hAnsi="Arial Narrow"/>
                <w:color w:val="FFFFFF" w:themeColor="background1"/>
                <w:sz w:val="20"/>
              </w:rPr>
              <w:t>Estimated % of encounters</w:t>
            </w:r>
          </w:p>
        </w:tc>
      </w:tr>
      <w:tr w:rsidR="006206B3" w:rsidRPr="001F739C" w14:paraId="56C3848F" w14:textId="77777777" w:rsidTr="006206B3">
        <w:tc>
          <w:tcPr>
            <w:tcW w:w="4531" w:type="dxa"/>
          </w:tcPr>
          <w:p w14:paraId="592988EE" w14:textId="77777777" w:rsidR="006206B3" w:rsidRPr="00AE66EA" w:rsidRDefault="006206B3" w:rsidP="006206B3">
            <w:pPr>
              <w:spacing w:before="40" w:after="40" w:line="240" w:lineRule="auto"/>
              <w:rPr>
                <w:rFonts w:ascii="Arial Narrow" w:hAnsi="Arial Narrow"/>
                <w:sz w:val="20"/>
              </w:rPr>
            </w:pPr>
            <w:r>
              <w:rPr>
                <w:rFonts w:ascii="Arial Narrow" w:hAnsi="Arial Narrow"/>
                <w:sz w:val="20"/>
              </w:rPr>
              <w:t>Neoplastic disease</w:t>
            </w:r>
          </w:p>
        </w:tc>
        <w:tc>
          <w:tcPr>
            <w:tcW w:w="4536" w:type="dxa"/>
          </w:tcPr>
          <w:p w14:paraId="297709E6" w14:textId="77777777" w:rsidR="006206B3" w:rsidRPr="00AE66EA" w:rsidRDefault="006206B3" w:rsidP="006206B3">
            <w:pPr>
              <w:spacing w:before="40" w:after="40" w:line="240" w:lineRule="auto"/>
              <w:jc w:val="center"/>
              <w:rPr>
                <w:rFonts w:ascii="Arial Narrow" w:hAnsi="Arial Narrow"/>
                <w:sz w:val="20"/>
              </w:rPr>
            </w:pPr>
            <w:r>
              <w:rPr>
                <w:rFonts w:ascii="Arial Narrow" w:hAnsi="Arial Narrow"/>
                <w:sz w:val="20"/>
              </w:rPr>
              <w:t>84</w:t>
            </w:r>
            <w:r w:rsidRPr="00AE66EA">
              <w:rPr>
                <w:rFonts w:ascii="Arial Narrow" w:hAnsi="Arial Narrow"/>
                <w:sz w:val="20"/>
              </w:rPr>
              <w:t>%</w:t>
            </w:r>
          </w:p>
        </w:tc>
      </w:tr>
      <w:tr w:rsidR="006206B3" w:rsidRPr="001F739C" w14:paraId="75CA8350" w14:textId="77777777" w:rsidTr="006206B3">
        <w:tc>
          <w:tcPr>
            <w:tcW w:w="4531" w:type="dxa"/>
          </w:tcPr>
          <w:p w14:paraId="25C15125" w14:textId="77777777" w:rsidR="006206B3" w:rsidRPr="00AE66EA" w:rsidRDefault="006206B3" w:rsidP="006206B3">
            <w:pPr>
              <w:spacing w:before="40" w:after="40" w:line="240" w:lineRule="auto"/>
              <w:rPr>
                <w:rFonts w:ascii="Arial Narrow" w:hAnsi="Arial Narrow"/>
                <w:sz w:val="20"/>
              </w:rPr>
            </w:pPr>
            <w:r>
              <w:rPr>
                <w:rFonts w:ascii="Arial Narrow" w:hAnsi="Arial Narrow"/>
                <w:sz w:val="20"/>
              </w:rPr>
              <w:t>Organ failure</w:t>
            </w:r>
          </w:p>
        </w:tc>
        <w:tc>
          <w:tcPr>
            <w:tcW w:w="4536" w:type="dxa"/>
          </w:tcPr>
          <w:p w14:paraId="0452C133" w14:textId="77777777" w:rsidR="006206B3" w:rsidRPr="00AE66EA" w:rsidRDefault="006206B3" w:rsidP="006206B3">
            <w:pPr>
              <w:spacing w:before="40" w:after="40" w:line="240" w:lineRule="auto"/>
              <w:jc w:val="center"/>
              <w:rPr>
                <w:rFonts w:ascii="Arial Narrow" w:hAnsi="Arial Narrow"/>
                <w:sz w:val="20"/>
              </w:rPr>
            </w:pPr>
            <w:r>
              <w:rPr>
                <w:rFonts w:ascii="Arial Narrow" w:hAnsi="Arial Narrow"/>
                <w:sz w:val="20"/>
              </w:rPr>
              <w:t>6</w:t>
            </w:r>
            <w:r w:rsidRPr="00AE66EA">
              <w:rPr>
                <w:rFonts w:ascii="Arial Narrow" w:hAnsi="Arial Narrow"/>
                <w:sz w:val="20"/>
              </w:rPr>
              <w:t>%</w:t>
            </w:r>
          </w:p>
        </w:tc>
      </w:tr>
      <w:tr w:rsidR="006206B3" w:rsidRPr="001F739C" w14:paraId="4050034B" w14:textId="77777777" w:rsidTr="006206B3">
        <w:tc>
          <w:tcPr>
            <w:tcW w:w="4531" w:type="dxa"/>
          </w:tcPr>
          <w:p w14:paraId="751C8055" w14:textId="77777777" w:rsidR="006206B3" w:rsidRPr="00AE66EA" w:rsidRDefault="006206B3" w:rsidP="006206B3">
            <w:pPr>
              <w:spacing w:before="40" w:after="40" w:line="240" w:lineRule="auto"/>
              <w:rPr>
                <w:rFonts w:ascii="Arial Narrow" w:hAnsi="Arial Narrow"/>
                <w:sz w:val="20"/>
              </w:rPr>
            </w:pPr>
            <w:r>
              <w:rPr>
                <w:rFonts w:ascii="Arial Narrow" w:hAnsi="Arial Narrow"/>
                <w:sz w:val="20"/>
              </w:rPr>
              <w:t>Neurological disease</w:t>
            </w:r>
          </w:p>
        </w:tc>
        <w:tc>
          <w:tcPr>
            <w:tcW w:w="4536" w:type="dxa"/>
          </w:tcPr>
          <w:p w14:paraId="617428D9" w14:textId="77777777" w:rsidR="006206B3" w:rsidRPr="00AE66EA" w:rsidRDefault="006206B3" w:rsidP="006206B3">
            <w:pPr>
              <w:spacing w:before="40" w:after="40" w:line="240" w:lineRule="auto"/>
              <w:jc w:val="center"/>
              <w:rPr>
                <w:rFonts w:ascii="Arial Narrow" w:hAnsi="Arial Narrow"/>
                <w:sz w:val="20"/>
              </w:rPr>
            </w:pPr>
            <w:r>
              <w:rPr>
                <w:rFonts w:ascii="Arial Narrow" w:hAnsi="Arial Narrow"/>
                <w:sz w:val="20"/>
              </w:rPr>
              <w:t>5</w:t>
            </w:r>
            <w:r w:rsidRPr="00AE66EA">
              <w:rPr>
                <w:rFonts w:ascii="Arial Narrow" w:hAnsi="Arial Narrow"/>
                <w:sz w:val="20"/>
              </w:rPr>
              <w:t>%</w:t>
            </w:r>
          </w:p>
        </w:tc>
      </w:tr>
      <w:tr w:rsidR="006206B3" w:rsidRPr="001F739C" w14:paraId="1F96CA6B" w14:textId="77777777" w:rsidTr="006206B3">
        <w:tc>
          <w:tcPr>
            <w:tcW w:w="4531" w:type="dxa"/>
          </w:tcPr>
          <w:p w14:paraId="589B34C1" w14:textId="77777777" w:rsidR="006206B3" w:rsidRPr="00AE66EA" w:rsidRDefault="006206B3" w:rsidP="006206B3">
            <w:pPr>
              <w:spacing w:before="40" w:after="40" w:line="240" w:lineRule="auto"/>
              <w:rPr>
                <w:rFonts w:ascii="Arial Narrow" w:hAnsi="Arial Narrow"/>
                <w:sz w:val="20"/>
              </w:rPr>
            </w:pPr>
            <w:r>
              <w:rPr>
                <w:rFonts w:ascii="Arial Narrow" w:hAnsi="Arial Narrow"/>
                <w:sz w:val="20"/>
              </w:rPr>
              <w:t>Other signs and symptoms</w:t>
            </w:r>
          </w:p>
        </w:tc>
        <w:tc>
          <w:tcPr>
            <w:tcW w:w="4536" w:type="dxa"/>
          </w:tcPr>
          <w:p w14:paraId="5543A827" w14:textId="77777777" w:rsidR="006206B3" w:rsidRPr="00AE66EA" w:rsidRDefault="006206B3" w:rsidP="006206B3">
            <w:pPr>
              <w:spacing w:before="40" w:after="40" w:line="240" w:lineRule="auto"/>
              <w:jc w:val="center"/>
              <w:rPr>
                <w:rFonts w:ascii="Arial Narrow" w:hAnsi="Arial Narrow"/>
                <w:sz w:val="20"/>
              </w:rPr>
            </w:pPr>
            <w:r>
              <w:rPr>
                <w:rFonts w:ascii="Arial Narrow" w:hAnsi="Arial Narrow"/>
                <w:sz w:val="20"/>
              </w:rPr>
              <w:t>2</w:t>
            </w:r>
            <w:r w:rsidRPr="00AE66EA">
              <w:rPr>
                <w:rFonts w:ascii="Arial Narrow" w:hAnsi="Arial Narrow"/>
                <w:sz w:val="20"/>
              </w:rPr>
              <w:t>%</w:t>
            </w:r>
          </w:p>
        </w:tc>
      </w:tr>
    </w:tbl>
    <w:p w14:paraId="76E03413" w14:textId="316FB8D3" w:rsidR="006206B3" w:rsidRDefault="006206B3" w:rsidP="006206B3">
      <w:pPr>
        <w:pStyle w:val="AspexBodyStandard"/>
      </w:pPr>
      <w:r>
        <w:t xml:space="preserve">The </w:t>
      </w:r>
      <w:r w:rsidRPr="00BA7972">
        <w:rPr>
          <w:b/>
          <w:i/>
        </w:rPr>
        <w:t>six</w:t>
      </w:r>
      <w:r>
        <w:t xml:space="preserve"> </w:t>
      </w:r>
      <w:r w:rsidRPr="007D699E">
        <w:rPr>
          <w:b/>
          <w:i/>
        </w:rPr>
        <w:t>most common reasons</w:t>
      </w:r>
      <w:r>
        <w:t xml:space="preserve"> for </w:t>
      </w:r>
      <w:r w:rsidR="00DA1AF1">
        <w:t>general practice visits</w:t>
      </w:r>
      <w:r>
        <w:t xml:space="preserve"> </w:t>
      </w:r>
      <w:r w:rsidR="000B470D">
        <w:t xml:space="preserve">accounted for </w:t>
      </w:r>
      <w:r>
        <w:t>around 60% of all palliative care encounters and included:</w:t>
      </w:r>
    </w:p>
    <w:p w14:paraId="123AA881" w14:textId="77777777" w:rsidR="006206B3" w:rsidRDefault="006206B3" w:rsidP="006206B3">
      <w:pPr>
        <w:pStyle w:val="AspexBullet1"/>
        <w:spacing w:before="60" w:after="0"/>
      </w:pPr>
      <w:r>
        <w:t>Around 15% for cancer of the respiratory system, including:</w:t>
      </w:r>
    </w:p>
    <w:p w14:paraId="6F5F0A0B" w14:textId="77777777" w:rsidR="006206B3" w:rsidRDefault="006206B3" w:rsidP="007051AD">
      <w:pPr>
        <w:pStyle w:val="AspexBullet2"/>
      </w:pPr>
      <w:r>
        <w:t>11% (23,000; 95%CI 17,000-30,000) for lung cancer, and</w:t>
      </w:r>
    </w:p>
    <w:p w14:paraId="2C113624" w14:textId="77777777" w:rsidR="006206B3" w:rsidRDefault="006206B3" w:rsidP="007051AD">
      <w:pPr>
        <w:pStyle w:val="AspexBullet2"/>
      </w:pPr>
      <w:r>
        <w:t>3% (7,000; 95%CI 4,000-10,000) for other respiratory neoplasms</w:t>
      </w:r>
      <w:r w:rsidR="004E238C">
        <w:t>;</w:t>
      </w:r>
    </w:p>
    <w:p w14:paraId="2B56DD85" w14:textId="77777777" w:rsidR="006206B3" w:rsidRDefault="006206B3" w:rsidP="006206B3">
      <w:pPr>
        <w:pStyle w:val="AspexBullet1"/>
        <w:spacing w:before="60" w:after="0"/>
      </w:pPr>
      <w:r>
        <w:t>Around 13% (26,000; 95%CI 19,000-33,000) for bowel cancer;</w:t>
      </w:r>
      <w:r w:rsidRPr="00F24ADB">
        <w:t xml:space="preserve"> </w:t>
      </w:r>
    </w:p>
    <w:p w14:paraId="3E7CF402" w14:textId="77777777" w:rsidR="006206B3" w:rsidRDefault="006206B3" w:rsidP="006206B3">
      <w:pPr>
        <w:pStyle w:val="AspexBullet1"/>
        <w:spacing w:before="60" w:after="0"/>
      </w:pPr>
      <w:r>
        <w:t>Around 11% (23,000; 95%CI 17,000-30,000) for prostate cancer;</w:t>
      </w:r>
    </w:p>
    <w:p w14:paraId="5AA9CF82" w14:textId="77777777" w:rsidR="006206B3" w:rsidRDefault="006206B3" w:rsidP="006206B3">
      <w:pPr>
        <w:pStyle w:val="AspexBullet1"/>
        <w:spacing w:before="60" w:after="0"/>
      </w:pPr>
      <w:r>
        <w:t>Around 8% (17,000; 95%CI 12,000-22,000) for breast cancer;</w:t>
      </w:r>
    </w:p>
    <w:p w14:paraId="3F8AA5D0" w14:textId="77777777" w:rsidR="006206B3" w:rsidRDefault="006206B3" w:rsidP="006206B3">
      <w:pPr>
        <w:pStyle w:val="AspexBullet1"/>
        <w:spacing w:before="60" w:after="0"/>
      </w:pPr>
      <w:r>
        <w:t>Around 7% (14,000; 95%CI 0-34,000) for other female genital cancer; and</w:t>
      </w:r>
    </w:p>
    <w:p w14:paraId="4507F281" w14:textId="77777777" w:rsidR="006206B3" w:rsidRDefault="006206B3" w:rsidP="006206B3">
      <w:pPr>
        <w:pStyle w:val="AspexBullet1"/>
        <w:spacing w:before="60" w:after="0"/>
      </w:pPr>
      <w:r>
        <w:t>Around 6% (13,000; 95%CI 8,000-18,000) for cancers of the digestive system.</w:t>
      </w:r>
    </w:p>
    <w:p w14:paraId="5CEF25D0" w14:textId="77777777" w:rsidR="006206B3" w:rsidRDefault="006206B3" w:rsidP="006206B3">
      <w:pPr>
        <w:pStyle w:val="AspexBodyStandard"/>
      </w:pPr>
      <w:r>
        <w:t xml:space="preserve">GP visits for palliative care relating to </w:t>
      </w:r>
      <w:r w:rsidRPr="002E5E57">
        <w:rPr>
          <w:b/>
          <w:i/>
        </w:rPr>
        <w:t>organ failure</w:t>
      </w:r>
      <w:r>
        <w:t xml:space="preserve"> included:</w:t>
      </w:r>
    </w:p>
    <w:p w14:paraId="5D8A8C6E" w14:textId="77777777" w:rsidR="006206B3" w:rsidRDefault="006206B3" w:rsidP="006206B3">
      <w:pPr>
        <w:pStyle w:val="AspexBullet1"/>
        <w:spacing w:before="60" w:after="0"/>
      </w:pPr>
      <w:r>
        <w:t>Around 2% (4,000; 95%CI</w:t>
      </w:r>
      <w:r w:rsidR="004E238C">
        <w:t xml:space="preserve"> 1,000-6,000) for heart failure;</w:t>
      </w:r>
    </w:p>
    <w:p w14:paraId="273A3912" w14:textId="77777777" w:rsidR="006206B3" w:rsidRDefault="006206B3" w:rsidP="006206B3">
      <w:pPr>
        <w:pStyle w:val="AspexBullet1"/>
        <w:spacing w:before="60" w:after="0"/>
      </w:pPr>
      <w:r>
        <w:t>Around 2% (3,000; 95%CI 1,</w:t>
      </w:r>
      <w:r w:rsidRPr="001F739C">
        <w:t>6</w:t>
      </w:r>
      <w:r>
        <w:t>00-6,</w:t>
      </w:r>
      <w:r w:rsidRPr="001F739C">
        <w:t>4</w:t>
      </w:r>
      <w:r>
        <w:t xml:space="preserve">00) for chronic obstructive pulmonary disease; </w:t>
      </w:r>
    </w:p>
    <w:p w14:paraId="7FAC2A99" w14:textId="77777777" w:rsidR="006206B3" w:rsidRDefault="006206B3" w:rsidP="006206B3">
      <w:pPr>
        <w:pStyle w:val="AspexBullet1"/>
        <w:spacing w:before="60" w:after="0"/>
      </w:pPr>
      <w:r>
        <w:t>Around 0.5% (1,000) for other respiratory disease; and</w:t>
      </w:r>
    </w:p>
    <w:p w14:paraId="0AEB1F3B" w14:textId="77777777" w:rsidR="006206B3" w:rsidRDefault="006206B3" w:rsidP="006206B3">
      <w:pPr>
        <w:pStyle w:val="AspexBullet1"/>
        <w:spacing w:before="60" w:after="0"/>
      </w:pPr>
      <w:r>
        <w:t>Around 0.5% (1,000) for liver disease.</w:t>
      </w:r>
    </w:p>
    <w:p w14:paraId="7919C06B" w14:textId="77777777" w:rsidR="006206B3" w:rsidRDefault="006206B3" w:rsidP="006206B3">
      <w:pPr>
        <w:pStyle w:val="AspexBodyStandard"/>
      </w:pPr>
      <w:r>
        <w:t xml:space="preserve">Palliative care visits relating to </w:t>
      </w:r>
      <w:r>
        <w:rPr>
          <w:b/>
          <w:i/>
        </w:rPr>
        <w:t>neurological disease</w:t>
      </w:r>
      <w:r>
        <w:t xml:space="preserve"> included:</w:t>
      </w:r>
    </w:p>
    <w:p w14:paraId="6BF7CC98" w14:textId="77777777" w:rsidR="006206B3" w:rsidRDefault="006206B3" w:rsidP="006206B3">
      <w:pPr>
        <w:pStyle w:val="AspexBullet1"/>
        <w:spacing w:before="60" w:after="0"/>
      </w:pPr>
      <w:r>
        <w:t>Around 3% (7,000; 95%CI 4,000-10,000) for multiple sclerosis;</w:t>
      </w:r>
    </w:p>
    <w:p w14:paraId="1C70C9A6" w14:textId="77777777" w:rsidR="006206B3" w:rsidRDefault="006206B3" w:rsidP="006206B3">
      <w:pPr>
        <w:pStyle w:val="AspexBullet1"/>
        <w:spacing w:before="60" w:after="0"/>
      </w:pPr>
      <w:r>
        <w:t>Around 1% (2,000; 95%CI 0-4,000) for other neurological diseases;</w:t>
      </w:r>
    </w:p>
    <w:p w14:paraId="2DF4A478" w14:textId="77777777" w:rsidR="006206B3" w:rsidRDefault="006206B3" w:rsidP="006206B3">
      <w:pPr>
        <w:pStyle w:val="AspexBullet1"/>
        <w:spacing w:before="60" w:after="0"/>
      </w:pPr>
      <w:r>
        <w:t>Around 0.5% (1,000) for stroke; and</w:t>
      </w:r>
    </w:p>
    <w:p w14:paraId="1D566E28" w14:textId="77777777" w:rsidR="006206B3" w:rsidRDefault="006206B3" w:rsidP="006206B3">
      <w:pPr>
        <w:pStyle w:val="AspexBullet1"/>
        <w:spacing w:before="60" w:after="0"/>
      </w:pPr>
      <w:r>
        <w:t>Less than 0.5% (1,000) for dementia.</w:t>
      </w:r>
    </w:p>
    <w:p w14:paraId="17CCB0DA" w14:textId="77777777" w:rsidR="006206B3" w:rsidRDefault="006206B3" w:rsidP="006206B3">
      <w:pPr>
        <w:pStyle w:val="AspexBodyStandard"/>
      </w:pPr>
      <w:r>
        <w:t xml:space="preserve">Palliative care visits relating to </w:t>
      </w:r>
      <w:r w:rsidRPr="007D699E">
        <w:rPr>
          <w:b/>
          <w:i/>
        </w:rPr>
        <w:t xml:space="preserve">other </w:t>
      </w:r>
      <w:r>
        <w:rPr>
          <w:b/>
          <w:i/>
        </w:rPr>
        <w:t>signs or symptoms</w:t>
      </w:r>
      <w:r>
        <w:t xml:space="preserve"> included:</w:t>
      </w:r>
    </w:p>
    <w:p w14:paraId="22A95724" w14:textId="77777777" w:rsidR="006206B3" w:rsidRDefault="006206B3" w:rsidP="006206B3">
      <w:pPr>
        <w:pStyle w:val="AspexBullet1"/>
        <w:spacing w:before="60" w:after="0"/>
      </w:pPr>
      <w:r>
        <w:t xml:space="preserve">Around 0.5% (1,000) for weakness; </w:t>
      </w:r>
    </w:p>
    <w:p w14:paraId="5580BF8B" w14:textId="77777777" w:rsidR="006206B3" w:rsidRDefault="006206B3" w:rsidP="006206B3">
      <w:pPr>
        <w:pStyle w:val="AspexBullet1"/>
        <w:spacing w:before="60" w:after="0"/>
      </w:pPr>
      <w:r>
        <w:t>Around 0.5% (1,000) for limited functional ability; and</w:t>
      </w:r>
    </w:p>
    <w:p w14:paraId="47410B91" w14:textId="77777777" w:rsidR="006206B3" w:rsidRDefault="006206B3" w:rsidP="006206B3">
      <w:pPr>
        <w:pStyle w:val="AspexBullet1"/>
        <w:spacing w:before="60" w:after="0"/>
      </w:pPr>
      <w:r>
        <w:t xml:space="preserve">Around 0.5% (1,000) for </w:t>
      </w:r>
      <w:r w:rsidR="004E238C">
        <w:t>anaemia</w:t>
      </w:r>
      <w:r>
        <w:t>.</w:t>
      </w:r>
    </w:p>
    <w:p w14:paraId="25658BE0" w14:textId="61A75905" w:rsidR="006206B3" w:rsidRDefault="006206B3" w:rsidP="006206B3">
      <w:pPr>
        <w:pStyle w:val="AspexBodyStandard"/>
      </w:pPr>
      <w:r>
        <w:t>Available data suggests that the average length of community pallia</w:t>
      </w:r>
      <w:r w:rsidR="00800416">
        <w:t>tive care treatment is around 50</w:t>
      </w:r>
      <w:r>
        <w:t xml:space="preserve"> days</w:t>
      </w:r>
      <w:r w:rsidR="00F95325">
        <w:t>,</w:t>
      </w:r>
      <w:r w:rsidR="00DA1AF1">
        <w:rPr>
          <w:rStyle w:val="FootnoteReference"/>
        </w:rPr>
        <w:footnoteReference w:id="20"/>
      </w:r>
      <w:r>
        <w:t xml:space="preserve"> and that </w:t>
      </w:r>
      <w:r w:rsidR="0081173A">
        <w:t>GPs</w:t>
      </w:r>
      <w:r>
        <w:t xml:space="preserve"> are likely to see palliative patients around four times each </w:t>
      </w:r>
      <w:r>
        <w:lastRenderedPageBreak/>
        <w:t xml:space="preserve">month during </w:t>
      </w:r>
      <w:r w:rsidR="00800416">
        <w:t>a typical palliative care treatment</w:t>
      </w:r>
      <w:r>
        <w:t xml:space="preserve"> period</w:t>
      </w:r>
      <w:r w:rsidR="00F95325">
        <w:t>.</w:t>
      </w:r>
      <w:r w:rsidR="00800416">
        <w:rPr>
          <w:rStyle w:val="FootnoteReference"/>
        </w:rPr>
        <w:footnoteReference w:id="21"/>
      </w:r>
      <w:r>
        <w:t xml:space="preserve">  Accordingly, based upon these data:</w:t>
      </w:r>
    </w:p>
    <w:p w14:paraId="43B3CDD1" w14:textId="6C0EFCBD" w:rsidR="006206B3" w:rsidRPr="00EE2040" w:rsidRDefault="006206B3" w:rsidP="00EE2040">
      <w:pPr>
        <w:pStyle w:val="AspexHighlightText"/>
        <w:spacing w:before="240"/>
        <w:rPr>
          <w:rStyle w:val="IntenseEmphasis"/>
        </w:rPr>
      </w:pPr>
      <w:r w:rsidRPr="00EE2040">
        <w:rPr>
          <w:rStyle w:val="IntenseEmphasis"/>
        </w:rPr>
        <w:t xml:space="preserve">It is estimated that around 23,502 patients receive palliative care services from their </w:t>
      </w:r>
      <w:r w:rsidR="0081173A">
        <w:rPr>
          <w:rStyle w:val="IntenseEmphasis"/>
        </w:rPr>
        <w:t>GP</w:t>
      </w:r>
      <w:r w:rsidRPr="00EE2040">
        <w:rPr>
          <w:rStyle w:val="IntenseEmphasis"/>
        </w:rPr>
        <w:t xml:space="preserve"> per annum in Australia</w:t>
      </w:r>
      <w:r w:rsidR="00F95325">
        <w:rPr>
          <w:rStyle w:val="IntenseEmphasis"/>
        </w:rPr>
        <w:t>.</w:t>
      </w:r>
      <w:r w:rsidRPr="007D2C26">
        <w:rPr>
          <w:rStyle w:val="IntenseEmphasis"/>
          <w:vertAlign w:val="superscript"/>
        </w:rPr>
        <w:footnoteReference w:id="22"/>
      </w:r>
    </w:p>
    <w:p w14:paraId="63EBA2AA" w14:textId="77777777" w:rsidR="006206B3" w:rsidRDefault="006206B3" w:rsidP="006206B3">
      <w:pPr>
        <w:pStyle w:val="AspexBodyStandard"/>
        <w:rPr>
          <w:bCs/>
          <w:iCs/>
        </w:rPr>
      </w:pPr>
      <w:r w:rsidRPr="00F41034">
        <w:rPr>
          <w:bCs/>
          <w:iCs/>
        </w:rPr>
        <w:t>BEACH</w:t>
      </w:r>
      <w:r>
        <w:rPr>
          <w:bCs/>
          <w:iCs/>
        </w:rPr>
        <w:t xml:space="preserve"> data also indicates that a</w:t>
      </w:r>
      <w:r w:rsidR="00C74DD3">
        <w:rPr>
          <w:bCs/>
          <w:iCs/>
        </w:rPr>
        <w:t>round one in four patients (26</w:t>
      </w:r>
      <w:r>
        <w:rPr>
          <w:bCs/>
          <w:iCs/>
        </w:rPr>
        <w:t xml:space="preserve">%) presenting with a palliative care problem during a general practice encounter </w:t>
      </w:r>
      <w:r w:rsidR="00C12CC0">
        <w:rPr>
          <w:bCs/>
          <w:iCs/>
        </w:rPr>
        <w:t>is</w:t>
      </w:r>
      <w:r>
        <w:rPr>
          <w:bCs/>
          <w:iCs/>
        </w:rPr>
        <w:t xml:space="preserve"> referred for </w:t>
      </w:r>
      <w:r w:rsidR="00800416">
        <w:rPr>
          <w:bCs/>
          <w:iCs/>
        </w:rPr>
        <w:t xml:space="preserve">additional or alternative </w:t>
      </w:r>
      <w:r>
        <w:rPr>
          <w:bCs/>
          <w:iCs/>
        </w:rPr>
        <w:t>tr</w:t>
      </w:r>
      <w:r w:rsidR="00CF40E8">
        <w:rPr>
          <w:bCs/>
          <w:iCs/>
        </w:rPr>
        <w:t xml:space="preserve">eatment.  Of these referrals, the majority </w:t>
      </w:r>
      <w:r>
        <w:rPr>
          <w:bCs/>
          <w:iCs/>
        </w:rPr>
        <w:t>are made to allied health working in palliative care teams (</w:t>
      </w:r>
      <w:r w:rsidR="00C74DD3">
        <w:rPr>
          <w:bCs/>
          <w:iCs/>
        </w:rPr>
        <w:t>61</w:t>
      </w:r>
      <w:r>
        <w:rPr>
          <w:bCs/>
          <w:iCs/>
        </w:rPr>
        <w:t xml:space="preserve">%), and medical specialists </w:t>
      </w:r>
      <w:r w:rsidR="00CF40E8">
        <w:rPr>
          <w:bCs/>
          <w:iCs/>
        </w:rPr>
        <w:t>(24%), most of which were to oncologists</w:t>
      </w:r>
      <w:r w:rsidR="00C74DD3">
        <w:rPr>
          <w:bCs/>
          <w:iCs/>
        </w:rPr>
        <w:t xml:space="preserve"> (</w:t>
      </w:r>
      <w:r w:rsidR="00CF40E8">
        <w:rPr>
          <w:bCs/>
          <w:iCs/>
        </w:rPr>
        <w:t>i.e. 52</w:t>
      </w:r>
      <w:r>
        <w:rPr>
          <w:bCs/>
          <w:iCs/>
        </w:rPr>
        <w:t>%</w:t>
      </w:r>
      <w:r w:rsidR="00CF40E8">
        <w:rPr>
          <w:bCs/>
          <w:iCs/>
        </w:rPr>
        <w:t xml:space="preserve"> of all medical specialist referrals</w:t>
      </w:r>
      <w:r>
        <w:rPr>
          <w:bCs/>
          <w:iCs/>
        </w:rPr>
        <w:t>).</w:t>
      </w:r>
    </w:p>
    <w:p w14:paraId="61CC487F" w14:textId="26125118" w:rsidR="006206B3" w:rsidRPr="00EE2040" w:rsidRDefault="000B470D" w:rsidP="00EE2040">
      <w:pPr>
        <w:pStyle w:val="AspexHighlightText"/>
        <w:spacing w:before="240"/>
        <w:rPr>
          <w:rStyle w:val="IntenseEmphasis"/>
        </w:rPr>
      </w:pPr>
      <w:r>
        <w:rPr>
          <w:rStyle w:val="IntenseEmphasis"/>
        </w:rPr>
        <w:t>On this basis it is estimated that</w:t>
      </w:r>
      <w:r w:rsidR="00CF40E8" w:rsidRPr="003F4C5D">
        <w:rPr>
          <w:rStyle w:val="IntenseEmphasis"/>
        </w:rPr>
        <w:t xml:space="preserve"> around 17,392</w:t>
      </w:r>
      <w:r w:rsidR="006206B3" w:rsidRPr="003F4C5D">
        <w:rPr>
          <w:rStyle w:val="IntenseEmphasis"/>
        </w:rPr>
        <w:t xml:space="preserve"> patients may receive palliative care in general practice each year, without any involvement of other medical or palliative care specialists.</w:t>
      </w:r>
    </w:p>
    <w:p w14:paraId="750609D3" w14:textId="77777777" w:rsidR="006206B3" w:rsidRDefault="006206B3" w:rsidP="006206B3">
      <w:pPr>
        <w:pStyle w:val="Heading3"/>
      </w:pPr>
      <w:bookmarkStart w:id="82" w:name="_Toc382313807"/>
      <w:r>
        <w:t>National estimates of other community sector encounters</w:t>
      </w:r>
      <w:bookmarkEnd w:id="82"/>
    </w:p>
    <w:p w14:paraId="03B3CDC1" w14:textId="1602DC65" w:rsidR="006206B3" w:rsidRDefault="006206B3" w:rsidP="006206B3">
      <w:pPr>
        <w:pStyle w:val="AspexBodyStandard"/>
      </w:pPr>
      <w:r>
        <w:t>Estimates of other community palliative care encounters are more difficult to ascertain.  Moreover, a large proportion of community palliative care episodes are provided by non-medical clinicians, such as community nursing and other allied health professionals, working as part of designated regional palliative care team</w:t>
      </w:r>
      <w:r w:rsidR="000B470D">
        <w:t>s</w:t>
      </w:r>
      <w:r>
        <w:t>. In this context, demand for medical specialist services is substantially lower than levels of demand in a hospital setting</w:t>
      </w:r>
      <w:r w:rsidR="00F95325">
        <w:t>.</w:t>
      </w:r>
      <w:r>
        <w:rPr>
          <w:rStyle w:val="FootnoteReference"/>
        </w:rPr>
        <w:footnoteReference w:id="23"/>
      </w:r>
      <w:r w:rsidR="00F95325">
        <w:t xml:space="preserve">   </w:t>
      </w:r>
      <w:r>
        <w:t xml:space="preserve">Shared care arrangements between regional palliative care teams and </w:t>
      </w:r>
      <w:r w:rsidR="0081173A">
        <w:t>GPs</w:t>
      </w:r>
      <w:r>
        <w:t xml:space="preserve"> are also more commonplace in the community setting.</w:t>
      </w:r>
    </w:p>
    <w:p w14:paraId="23E92062" w14:textId="77777777" w:rsidR="006206B3" w:rsidRDefault="006206B3" w:rsidP="006206B3">
      <w:pPr>
        <w:pStyle w:val="AspexBodyStandard"/>
      </w:pPr>
      <w:r>
        <w:t xml:space="preserve">The Palliative Care Outcomes Collaboration (PCOC) reports </w:t>
      </w:r>
      <w:r w:rsidR="000B470D">
        <w:t xml:space="preserve">are </w:t>
      </w:r>
      <w:r>
        <w:t xml:space="preserve">the only national source of community palliative care episodes.  Whilst this data is important to understand the nature of palliative care services provided across Australia, the absence of a baseline count of potentially eligible community palliative care services in Australia renders this data unreliable for estimating the total volume of services delivered in the community (as the percentage of all potential services reporting to the database </w:t>
      </w:r>
      <w:r w:rsidR="004E238C">
        <w:t>cannot</w:t>
      </w:r>
      <w:r>
        <w:t xml:space="preserve"> be established or used to estimate national community service demand).</w:t>
      </w:r>
      <w:r w:rsidR="00EE2040">
        <w:t xml:space="preserve"> Having received multiple submissions and feedback from a range of palliative care patients, carers, service providers, health service managers, government and not for profit organisations, the Australian Senate Community Affairs Reference Committee investigation into Palliative Care Services in Australia (2012) noted the current lack of consistent national data collection for palliative care services across Australia, and specifically recommended:</w:t>
      </w:r>
    </w:p>
    <w:p w14:paraId="418C1D14" w14:textId="77777777" w:rsidR="00EE2040" w:rsidRPr="00EE2040" w:rsidRDefault="004E238C" w:rsidP="00EE2040">
      <w:pPr>
        <w:pStyle w:val="AspexHighlightText"/>
        <w:spacing w:before="240"/>
        <w:rPr>
          <w:rStyle w:val="IntenseEmphasis"/>
        </w:rPr>
      </w:pPr>
      <w:proofErr w:type="gramStart"/>
      <w:r>
        <w:rPr>
          <w:rStyle w:val="IntenseEmphasis"/>
        </w:rPr>
        <w:t>“</w:t>
      </w:r>
      <w:r w:rsidR="00EE2040" w:rsidRPr="00EE2040">
        <w:rPr>
          <w:rStyle w:val="IntenseEmphasis"/>
        </w:rPr>
        <w:t>…the development and introduction of consistent national data collection specifically [to] provide for the recording and reporting of palliative care data</w:t>
      </w:r>
      <w:r w:rsidR="00F95325">
        <w:rPr>
          <w:rStyle w:val="IntenseEmphasis"/>
        </w:rPr>
        <w:t>.</w:t>
      </w:r>
      <w:r>
        <w:rPr>
          <w:rStyle w:val="IntenseEmphasis"/>
        </w:rPr>
        <w:t>”</w:t>
      </w:r>
      <w:proofErr w:type="gramEnd"/>
      <w:r w:rsidR="00EE2040" w:rsidRPr="003F603C">
        <w:rPr>
          <w:rStyle w:val="IntenseEmphasis"/>
          <w:vertAlign w:val="superscript"/>
        </w:rPr>
        <w:footnoteReference w:id="24"/>
      </w:r>
    </w:p>
    <w:p w14:paraId="37445B10" w14:textId="60C2D59C" w:rsidR="006206B3" w:rsidRDefault="007845BC" w:rsidP="006206B3">
      <w:pPr>
        <w:pStyle w:val="Heading3"/>
      </w:pPr>
      <w:r>
        <w:br w:type="column"/>
      </w:r>
      <w:bookmarkStart w:id="83" w:name="_Toc382313808"/>
      <w:r w:rsidR="00856788">
        <w:lastRenderedPageBreak/>
        <w:t>National estimates of public h</w:t>
      </w:r>
      <w:r w:rsidR="006206B3">
        <w:t>ospital encounters</w:t>
      </w:r>
      <w:bookmarkEnd w:id="83"/>
    </w:p>
    <w:p w14:paraId="546643A3" w14:textId="743D53AC" w:rsidR="00856788" w:rsidRPr="00856788" w:rsidRDefault="006206B3" w:rsidP="00856788">
      <w:pPr>
        <w:pStyle w:val="AspexBodyStandard"/>
      </w:pPr>
      <w:r>
        <w:t>National estimates of public hospital encounters relating to palliative care have recently been published by the AI</w:t>
      </w:r>
      <w:r w:rsidR="00B74A87">
        <w:t>HW</w:t>
      </w:r>
      <w:r>
        <w:t xml:space="preserve"> (2012, 2013), and are presented in </w:t>
      </w:r>
      <w:r w:rsidR="008B0C39">
        <w:fldChar w:fldCharType="begin"/>
      </w:r>
      <w:r w:rsidR="008B0C39">
        <w:instrText xml:space="preserve"> REF _Ref374100166 \h </w:instrText>
      </w:r>
      <w:r w:rsidR="008B0C39">
        <w:fldChar w:fldCharType="separate"/>
      </w:r>
      <w:r w:rsidR="009C72FC" w:rsidRPr="00A56131">
        <w:t xml:space="preserve">Figure </w:t>
      </w:r>
      <w:r w:rsidR="009C72FC">
        <w:rPr>
          <w:noProof/>
        </w:rPr>
        <w:t>2</w:t>
      </w:r>
      <w:r w:rsidR="009C72FC">
        <w:noBreakHyphen/>
      </w:r>
      <w:r w:rsidR="009C72FC">
        <w:rPr>
          <w:noProof/>
        </w:rPr>
        <w:t>3</w:t>
      </w:r>
      <w:r w:rsidR="008B0C39">
        <w:fldChar w:fldCharType="end"/>
      </w:r>
      <w:r>
        <w:t>.</w:t>
      </w:r>
      <w:r w:rsidRPr="00145C1D">
        <w:t xml:space="preserve"> </w:t>
      </w:r>
      <w:r w:rsidR="00856788" w:rsidRPr="00856788">
        <w:t xml:space="preserve">Examination of public hospital supply of palliative care reveals an increasing number of separations between 2005-06 and 2009-10.  </w:t>
      </w:r>
      <w:r w:rsidR="00856788">
        <w:t>Thus, based upon published data from the AIHW:</w:t>
      </w:r>
    </w:p>
    <w:p w14:paraId="723DA159" w14:textId="571F45C9" w:rsidR="00856788" w:rsidRDefault="00856788" w:rsidP="00E56191">
      <w:pPr>
        <w:pStyle w:val="AspexHighlightText"/>
        <w:spacing w:before="240"/>
        <w:rPr>
          <w:rStyle w:val="IntenseEmphasis"/>
        </w:rPr>
      </w:pPr>
      <w:r w:rsidRPr="00CF271C">
        <w:rPr>
          <w:rStyle w:val="IntenseEmphasis"/>
        </w:rPr>
        <w:t xml:space="preserve">The </w:t>
      </w:r>
      <w:r>
        <w:rPr>
          <w:rStyle w:val="IntenseEmphasis"/>
        </w:rPr>
        <w:t>number of</w:t>
      </w:r>
      <w:r w:rsidRPr="00CF271C">
        <w:rPr>
          <w:rStyle w:val="IntenseEmphasis"/>
        </w:rPr>
        <w:t xml:space="preserve"> palliative care </w:t>
      </w:r>
      <w:r>
        <w:rPr>
          <w:rStyle w:val="IntenseEmphasis"/>
        </w:rPr>
        <w:t>related separations</w:t>
      </w:r>
      <w:r w:rsidRPr="00CF271C">
        <w:rPr>
          <w:rStyle w:val="IntenseEmphasis"/>
        </w:rPr>
        <w:t xml:space="preserve"> is forecast to increase from 49,613 in 2010/11 to </w:t>
      </w:r>
      <w:r>
        <w:rPr>
          <w:rStyle w:val="IntenseEmphasis"/>
        </w:rPr>
        <w:t xml:space="preserve">at least 60,611 patients </w:t>
      </w:r>
      <w:r w:rsidR="000B470D">
        <w:rPr>
          <w:rStyle w:val="IntenseEmphasis"/>
        </w:rPr>
        <w:t xml:space="preserve">per </w:t>
      </w:r>
      <w:r>
        <w:rPr>
          <w:rStyle w:val="IntenseEmphasis"/>
        </w:rPr>
        <w:t xml:space="preserve">year </w:t>
      </w:r>
      <w:r w:rsidRPr="00CF271C">
        <w:rPr>
          <w:rStyle w:val="IntenseEmphasis"/>
        </w:rPr>
        <w:t xml:space="preserve">by 2014/15. </w:t>
      </w:r>
    </w:p>
    <w:p w14:paraId="4163CB11" w14:textId="65C51120" w:rsidR="00856788" w:rsidRPr="004D0B71" w:rsidRDefault="00856788" w:rsidP="00856788">
      <w:pPr>
        <w:pStyle w:val="AspexBodyStandard"/>
      </w:pPr>
      <w:r>
        <w:t>The increas</w:t>
      </w:r>
      <w:r w:rsidR="000B470D">
        <w:t>ing</w:t>
      </w:r>
      <w:r>
        <w:t xml:space="preserve"> supply of</w:t>
      </w:r>
      <w:r w:rsidRPr="004D0B71">
        <w:t xml:space="preserve"> public hospital palliative care services can be seen across all Australian jurisdictions with the exception of Western Australia, which has a higher </w:t>
      </w:r>
      <w:r>
        <w:t xml:space="preserve">relative </w:t>
      </w:r>
      <w:r w:rsidRPr="004D0B71">
        <w:t xml:space="preserve">proportion of </w:t>
      </w:r>
      <w:r>
        <w:t>community</w:t>
      </w:r>
      <w:r w:rsidRPr="004D0B71">
        <w:t xml:space="preserve"> </w:t>
      </w:r>
      <w:r>
        <w:t>palliative care service provision</w:t>
      </w:r>
      <w:r w:rsidRPr="004D0B71">
        <w:t xml:space="preserve"> </w:t>
      </w:r>
      <w:r>
        <w:t xml:space="preserve">(compared with public services within the same state) </w:t>
      </w:r>
      <w:r w:rsidRPr="004D0B71">
        <w:t xml:space="preserve">as </w:t>
      </w:r>
      <w:r>
        <w:t xml:space="preserve">discussed </w:t>
      </w:r>
      <w:r w:rsidR="00BB79C7">
        <w:t>further in the following sections</w:t>
      </w:r>
      <w:r w:rsidRPr="004D0B71">
        <w:t>.</w:t>
      </w:r>
    </w:p>
    <w:p w14:paraId="2C722F35" w14:textId="0B692D99" w:rsidR="006206B3" w:rsidRPr="00A56131" w:rsidRDefault="006206B3" w:rsidP="004734BB">
      <w:pPr>
        <w:pStyle w:val="Caption"/>
        <w:ind w:left="0" w:firstLine="0"/>
      </w:pPr>
      <w:bookmarkStart w:id="84" w:name="_Ref247527607"/>
      <w:bookmarkStart w:id="85" w:name="_Ref374100166"/>
      <w:bookmarkStart w:id="86" w:name="_Toc382313734"/>
      <w:r w:rsidRPr="00A56131">
        <w:t xml:space="preserve">Figure </w:t>
      </w:r>
      <w:fldSimple w:instr=" STYLEREF 1 \s ">
        <w:r w:rsidR="009C72FC">
          <w:rPr>
            <w:noProof/>
          </w:rPr>
          <w:t>2</w:t>
        </w:r>
      </w:fldSimple>
      <w:r w:rsidR="00A31FC7">
        <w:noBreakHyphen/>
      </w:r>
      <w:fldSimple w:instr=" SEQ Figure \* ARABIC \s 1 ">
        <w:r w:rsidR="009C72FC">
          <w:rPr>
            <w:noProof/>
          </w:rPr>
          <w:t>3</w:t>
        </w:r>
      </w:fldSimple>
      <w:bookmarkEnd w:id="84"/>
      <w:bookmarkEnd w:id="85"/>
      <w:r w:rsidR="002167FD">
        <w:t>:</w:t>
      </w:r>
      <w:r w:rsidR="002167FD">
        <w:tab/>
      </w:r>
      <w:r w:rsidRPr="00A56131">
        <w:t>Number of public hospital palliative care separations (2006-2015)</w:t>
      </w:r>
      <w:bookmarkEnd w:id="86"/>
    </w:p>
    <w:p w14:paraId="3389CA8A" w14:textId="77777777" w:rsidR="006206B3" w:rsidRDefault="006206B3" w:rsidP="006206B3">
      <w:pPr>
        <w:pStyle w:val="AspexBodyStandard"/>
      </w:pPr>
      <w:r>
        <w:rPr>
          <w:noProof/>
          <w:lang w:eastAsia="en-AU"/>
        </w:rPr>
        <w:drawing>
          <wp:inline distT="0" distB="0" distL="0" distR="0" wp14:anchorId="0858955D" wp14:editId="4966C9BB">
            <wp:extent cx="5723890" cy="2680554"/>
            <wp:effectExtent l="0" t="0" r="0" b="5715"/>
            <wp:docPr id="2" name="Picture 4" descr="Number of public hospital palliative care separations (2006-2015) as discussed in Sections 2.3.3 and 2.3.5"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2680554"/>
                    </a:xfrm>
                    <a:prstGeom prst="rect">
                      <a:avLst/>
                    </a:prstGeom>
                    <a:noFill/>
                    <a:ln>
                      <a:noFill/>
                    </a:ln>
                  </pic:spPr>
                </pic:pic>
              </a:graphicData>
            </a:graphic>
          </wp:inline>
        </w:drawing>
      </w:r>
    </w:p>
    <w:p w14:paraId="482BD225" w14:textId="77777777" w:rsidR="00F17D25" w:rsidRDefault="00F17D25" w:rsidP="006206B3">
      <w:pPr>
        <w:pStyle w:val="AspexBodyStandard"/>
      </w:pPr>
    </w:p>
    <w:p w14:paraId="5429B041" w14:textId="77777777" w:rsidR="006206B3" w:rsidRDefault="00856788" w:rsidP="006206B3">
      <w:pPr>
        <w:pStyle w:val="Heading3"/>
      </w:pPr>
      <w:bookmarkStart w:id="87" w:name="_Toc382313809"/>
      <w:r>
        <w:t>National estimates of private h</w:t>
      </w:r>
      <w:r w:rsidR="006206B3">
        <w:t>ospital encounters</w:t>
      </w:r>
      <w:bookmarkEnd w:id="87"/>
    </w:p>
    <w:p w14:paraId="5E5B8D25" w14:textId="3AB92A3F" w:rsidR="004734BB" w:rsidRDefault="006206B3" w:rsidP="006206B3">
      <w:pPr>
        <w:pStyle w:val="AspexBodyStandard"/>
      </w:pPr>
      <w:r>
        <w:t xml:space="preserve">National estimates of private hospital encounters relating to palliative care have also recently been published by the </w:t>
      </w:r>
      <w:r w:rsidR="00B74A87">
        <w:t>AIHW</w:t>
      </w:r>
      <w:r>
        <w:t xml:space="preserve"> (2012, 2013), and are presented in </w:t>
      </w:r>
      <w:r w:rsidR="000E65C1">
        <w:fldChar w:fldCharType="begin"/>
      </w:r>
      <w:r w:rsidR="000E65C1">
        <w:instrText xml:space="preserve"> REF _Ref374308667 \h </w:instrText>
      </w:r>
      <w:r w:rsidR="000E65C1">
        <w:fldChar w:fldCharType="separate"/>
      </w:r>
      <w:r w:rsidR="009C72FC" w:rsidRPr="00A56131">
        <w:t xml:space="preserve">Figure </w:t>
      </w:r>
      <w:r w:rsidR="009C72FC">
        <w:rPr>
          <w:noProof/>
        </w:rPr>
        <w:t>2</w:t>
      </w:r>
      <w:r w:rsidR="009C72FC">
        <w:noBreakHyphen/>
      </w:r>
      <w:r w:rsidR="009C72FC">
        <w:rPr>
          <w:noProof/>
        </w:rPr>
        <w:t>4</w:t>
      </w:r>
      <w:r w:rsidR="000E65C1">
        <w:fldChar w:fldCharType="end"/>
      </w:r>
      <w:r w:rsidR="000E65C1">
        <w:t>.</w:t>
      </w:r>
    </w:p>
    <w:p w14:paraId="7942B4FB" w14:textId="59512FE0" w:rsidR="006206B3" w:rsidRPr="00A56131" w:rsidRDefault="007845BC" w:rsidP="009F7D7B">
      <w:pPr>
        <w:pStyle w:val="Caption"/>
      </w:pPr>
      <w:bookmarkStart w:id="88" w:name="_Ref247529978"/>
      <w:r>
        <w:br w:type="column"/>
      </w:r>
      <w:bookmarkStart w:id="89" w:name="_Ref374308667"/>
      <w:bookmarkStart w:id="90" w:name="_Toc382313735"/>
      <w:r w:rsidR="006206B3" w:rsidRPr="00A56131">
        <w:lastRenderedPageBreak/>
        <w:t xml:space="preserve">Figure </w:t>
      </w:r>
      <w:fldSimple w:instr=" STYLEREF 1 \s ">
        <w:r w:rsidR="009C72FC">
          <w:rPr>
            <w:noProof/>
          </w:rPr>
          <w:t>2</w:t>
        </w:r>
      </w:fldSimple>
      <w:r w:rsidR="00A31FC7">
        <w:noBreakHyphen/>
      </w:r>
      <w:fldSimple w:instr=" SEQ Figure \* ARABIC \s 1 ">
        <w:r w:rsidR="009C72FC">
          <w:rPr>
            <w:noProof/>
          </w:rPr>
          <w:t>4</w:t>
        </w:r>
      </w:fldSimple>
      <w:bookmarkEnd w:id="88"/>
      <w:bookmarkEnd w:id="89"/>
      <w:r w:rsidR="002167FD">
        <w:t>:</w:t>
      </w:r>
      <w:r w:rsidR="002167FD">
        <w:tab/>
      </w:r>
      <w:r w:rsidR="006206B3" w:rsidRPr="00A56131">
        <w:t xml:space="preserve">Number of </w:t>
      </w:r>
      <w:r w:rsidR="006206B3">
        <w:t>private</w:t>
      </w:r>
      <w:r w:rsidR="006206B3" w:rsidRPr="00A56131">
        <w:t xml:space="preserve"> hospital palliative care separations (2006-2015)</w:t>
      </w:r>
      <w:bookmarkEnd w:id="90"/>
    </w:p>
    <w:p w14:paraId="0F25FAA5" w14:textId="77777777" w:rsidR="006206B3" w:rsidRDefault="006206B3" w:rsidP="006206B3">
      <w:pPr>
        <w:pStyle w:val="AspexBodyStandard"/>
      </w:pPr>
      <w:r>
        <w:rPr>
          <w:noProof/>
          <w:lang w:eastAsia="en-AU"/>
        </w:rPr>
        <w:drawing>
          <wp:inline distT="0" distB="0" distL="0" distR="0" wp14:anchorId="0755E693" wp14:editId="057B4E80">
            <wp:extent cx="5723890" cy="2680554"/>
            <wp:effectExtent l="0" t="0" r="0" b="5715"/>
            <wp:docPr id="3" name="Picture 5" descr="Number of private hospital palliative care separations (2006-2015)as discussed in Section 2.3.4" title="Figur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2680554"/>
                    </a:xfrm>
                    <a:prstGeom prst="rect">
                      <a:avLst/>
                    </a:prstGeom>
                    <a:noFill/>
                    <a:ln>
                      <a:noFill/>
                    </a:ln>
                  </pic:spPr>
                </pic:pic>
              </a:graphicData>
            </a:graphic>
          </wp:inline>
        </w:drawing>
      </w:r>
    </w:p>
    <w:p w14:paraId="3F0D505A" w14:textId="1C1565FF" w:rsidR="00856788" w:rsidRDefault="00856788" w:rsidP="006206B3">
      <w:pPr>
        <w:pStyle w:val="AspexBodyStandard"/>
      </w:pPr>
      <w:r>
        <w:t xml:space="preserve">Private sector </w:t>
      </w:r>
      <w:r w:rsidR="00122CBE">
        <w:t>provision of palliative care services varies</w:t>
      </w:r>
      <w:r>
        <w:t xml:space="preserve"> between the jurisdictions.  A rising pattern of </w:t>
      </w:r>
      <w:r w:rsidR="00122CBE">
        <w:t>supply is forecast for VIC, NSW and SA. By contrast, the proportion of private sector palliative care services is predicted to further decline for WA and QLD.  In the latter cases, it is known that a high quality community</w:t>
      </w:r>
      <w:r w:rsidR="00EF3452">
        <w:t>-</w:t>
      </w:r>
      <w:r w:rsidR="00122CBE">
        <w:t>focused approach to service delivery is implemented in WA.  The picture in QLD is harder to interpret. A number of private hospitals provide palliative care services to public patients in QLD.  Whether this results in a decision to admit individuals as public patient</w:t>
      </w:r>
      <w:r w:rsidR="00EF3452">
        <w:t>s</w:t>
      </w:r>
      <w:r w:rsidR="00122CBE">
        <w:t xml:space="preserve"> to these facilities (rather than a</w:t>
      </w:r>
      <w:r w:rsidR="00EF3452">
        <w:t>s</w:t>
      </w:r>
      <w:r w:rsidR="00122CBE">
        <w:t xml:space="preserve"> private patient</w:t>
      </w:r>
      <w:r w:rsidR="00EF3452">
        <w:t>s</w:t>
      </w:r>
      <w:r w:rsidR="00122CBE">
        <w:t xml:space="preserve"> where potential may exist to do so) remains unknown.  Private sector data for the remaining jurisdictions (TAS, ACT, </w:t>
      </w:r>
      <w:proofErr w:type="gramStart"/>
      <w:r w:rsidR="00122CBE">
        <w:t>NT</w:t>
      </w:r>
      <w:proofErr w:type="gramEnd"/>
      <w:r w:rsidR="00122CBE">
        <w:t>) is not reported by the AIHW.  Thus based upon the current data:</w:t>
      </w:r>
    </w:p>
    <w:p w14:paraId="7CD06050" w14:textId="77777777" w:rsidR="00BB79C7" w:rsidRDefault="00122CBE" w:rsidP="00122CBE">
      <w:pPr>
        <w:pStyle w:val="AspexHighlightText"/>
        <w:spacing w:before="240"/>
        <w:rPr>
          <w:rStyle w:val="IntenseEmphasis"/>
        </w:rPr>
      </w:pPr>
      <w:r w:rsidRPr="00122CBE">
        <w:rPr>
          <w:rStyle w:val="IntenseEmphasis"/>
        </w:rPr>
        <w:t>The overall proportion of private hospital separations related to palliative care is forecast to gradually decline over the next three years (to 2014-15).</w:t>
      </w:r>
      <w:r>
        <w:rPr>
          <w:rStyle w:val="IntenseEmphasis"/>
        </w:rPr>
        <w:t xml:space="preserve"> </w:t>
      </w:r>
    </w:p>
    <w:p w14:paraId="610BD22C" w14:textId="77777777" w:rsidR="00122CBE" w:rsidRPr="00BB79C7" w:rsidRDefault="00122CBE" w:rsidP="00BB79C7">
      <w:pPr>
        <w:pStyle w:val="AspexBodyStandard"/>
        <w:rPr>
          <w:bCs/>
          <w:iCs/>
        </w:rPr>
      </w:pPr>
      <w:r w:rsidRPr="00BB79C7">
        <w:rPr>
          <w:bCs/>
          <w:iCs/>
        </w:rPr>
        <w:t>Precise estimation of the actual number of private hospital separations is not currently possible, given the absence of data from jurisdictions with smaller populations.</w:t>
      </w:r>
    </w:p>
    <w:p w14:paraId="1D8ADE98" w14:textId="77777777" w:rsidR="006206B3" w:rsidRDefault="006206B3" w:rsidP="006206B3">
      <w:pPr>
        <w:pStyle w:val="Heading3"/>
      </w:pPr>
      <w:bookmarkStart w:id="91" w:name="_Toc382313810"/>
      <w:r>
        <w:t>Influences upon estimation of service supply</w:t>
      </w:r>
      <w:bookmarkEnd w:id="91"/>
    </w:p>
    <w:p w14:paraId="738A2350" w14:textId="3E035230" w:rsidR="007D2C26" w:rsidRDefault="007D2C26" w:rsidP="007D2C26">
      <w:pPr>
        <w:pStyle w:val="AspexBodyStandard"/>
      </w:pPr>
      <w:r>
        <w:t>It is important to note that the methods used to define palliative care separations by the AIHW have been questioned by some jurisdictions, despite having received approval from the AIHW Palliative Care Working Group prior to</w:t>
      </w:r>
      <w:r w:rsidR="00F540EA">
        <w:t xml:space="preserve"> implementation</w:t>
      </w:r>
      <w:r>
        <w:t xml:space="preserve">.  The controversy is best illustrated by examining data from Victoria (red lines) in </w:t>
      </w:r>
      <w:r w:rsidR="008B0C39">
        <w:fldChar w:fldCharType="begin"/>
      </w:r>
      <w:r w:rsidR="008B0C39">
        <w:instrText xml:space="preserve"> REF _Ref374100166 \h </w:instrText>
      </w:r>
      <w:r w:rsidR="008B0C39">
        <w:fldChar w:fldCharType="separate"/>
      </w:r>
      <w:r w:rsidR="009C72FC" w:rsidRPr="00A56131">
        <w:t xml:space="preserve">Figure </w:t>
      </w:r>
      <w:r w:rsidR="009C72FC">
        <w:rPr>
          <w:noProof/>
        </w:rPr>
        <w:t>2</w:t>
      </w:r>
      <w:r w:rsidR="009C72FC">
        <w:noBreakHyphen/>
      </w:r>
      <w:r w:rsidR="009C72FC">
        <w:rPr>
          <w:noProof/>
        </w:rPr>
        <w:t>3</w:t>
      </w:r>
      <w:r w:rsidR="008B0C39">
        <w:fldChar w:fldCharType="end"/>
      </w:r>
      <w:r>
        <w:t xml:space="preserve">.  </w:t>
      </w:r>
    </w:p>
    <w:p w14:paraId="1579B9D0" w14:textId="63260FFF" w:rsidR="007D2C26" w:rsidRDefault="007D2C26" w:rsidP="007D2C26">
      <w:pPr>
        <w:pStyle w:val="AspexBodyStandard"/>
      </w:pPr>
      <w:r>
        <w:t xml:space="preserve">AIHW estimates indicate that in 2010/11 there were approximately 16,047 public hospital separations in Victoria relating to palliative care (solid red line).  Independent data from the Victorian Department of Health (2013) officially recorded 7,269 public hospital separations during the same </w:t>
      </w:r>
      <w:r w:rsidR="004734BB">
        <w:t>period;</w:t>
      </w:r>
      <w:r>
        <w:t xml:space="preserve"> approximately 45% of the AIHW estimates (broken red line).  This example illustrates how differences in the definition and counting of palliative care patients impacts upon estimates of demand.  </w:t>
      </w:r>
    </w:p>
    <w:p w14:paraId="79DA1CE0" w14:textId="2A0A819C" w:rsidR="007D2C26" w:rsidRDefault="007D2C26" w:rsidP="007D2C26">
      <w:pPr>
        <w:pStyle w:val="AspexBodyStandard"/>
      </w:pPr>
      <w:r>
        <w:t xml:space="preserve">State estimates (like those in Victoria) define and count patients according to the ‘care type’ received during hospital admission.  Given that differences exist between jurisdictions in </w:t>
      </w:r>
      <w:r>
        <w:lastRenderedPageBreak/>
        <w:t>counting of care type, the AIHW also decided to include patient</w:t>
      </w:r>
      <w:r w:rsidR="00EF3452">
        <w:t xml:space="preserve"> episode</w:t>
      </w:r>
      <w:r>
        <w:t xml:space="preserve">s that had an identified care type </w:t>
      </w:r>
      <w:r w:rsidRPr="007530A0">
        <w:rPr>
          <w:u w:val="single"/>
        </w:rPr>
        <w:t>and/or</w:t>
      </w:r>
      <w:r>
        <w:t xml:space="preserve"> a principle </w:t>
      </w:r>
      <w:r w:rsidRPr="00691C2E">
        <w:rPr>
          <w:u w:val="single"/>
        </w:rPr>
        <w:t>and/or</w:t>
      </w:r>
      <w:r>
        <w:t xml:space="preserve"> </w:t>
      </w:r>
      <w:r w:rsidRPr="00691C2E">
        <w:rPr>
          <w:i/>
        </w:rPr>
        <w:t>additional</w:t>
      </w:r>
      <w:r>
        <w:rPr>
          <w:rStyle w:val="FootnoteReference"/>
        </w:rPr>
        <w:footnoteReference w:id="25"/>
      </w:r>
      <w:r>
        <w:t xml:space="preserve"> diagnosis relating to palliative care during their hospital stay, </w:t>
      </w:r>
      <w:r>
        <w:rPr>
          <w:i/>
        </w:rPr>
        <w:t>regardless of whether they were admitted or changed</w:t>
      </w:r>
      <w:r>
        <w:rPr>
          <w:rStyle w:val="FootnoteReference"/>
          <w:i/>
        </w:rPr>
        <w:footnoteReference w:id="26"/>
      </w:r>
      <w:r>
        <w:rPr>
          <w:i/>
        </w:rPr>
        <w:t xml:space="preserve"> to a palliative care type of patient prior to hospital separation.</w:t>
      </w:r>
      <w:r>
        <w:t xml:space="preserve"> </w:t>
      </w:r>
      <w:r w:rsidR="00C06E7F" w:rsidRPr="004B34EA">
        <w:t xml:space="preserve">However, as can be seen from </w:t>
      </w:r>
      <w:r w:rsidR="003F34EC">
        <w:fldChar w:fldCharType="begin"/>
      </w:r>
      <w:r w:rsidR="003F34EC">
        <w:instrText xml:space="preserve"> REF _Ref374116719 \h </w:instrText>
      </w:r>
      <w:r w:rsidR="003F34EC">
        <w:fldChar w:fldCharType="separate"/>
      </w:r>
      <w:r w:rsidR="009C72FC" w:rsidRPr="00657ED0">
        <w:t xml:space="preserve">Figure </w:t>
      </w:r>
      <w:r w:rsidR="009C72FC">
        <w:rPr>
          <w:noProof/>
        </w:rPr>
        <w:t>2</w:t>
      </w:r>
      <w:r w:rsidR="009C72FC">
        <w:noBreakHyphen/>
      </w:r>
      <w:r w:rsidR="009C72FC">
        <w:rPr>
          <w:noProof/>
        </w:rPr>
        <w:t>5</w:t>
      </w:r>
      <w:r w:rsidR="003F34EC">
        <w:fldChar w:fldCharType="end"/>
      </w:r>
      <w:r w:rsidR="00C06E7F" w:rsidRPr="004B34EA">
        <w:t xml:space="preserve">, the proportion of cases identified using </w:t>
      </w:r>
      <w:r w:rsidR="00EF3452">
        <w:t>‘</w:t>
      </w:r>
      <w:r w:rsidR="00C06E7F" w:rsidRPr="004B34EA">
        <w:t>care type</w:t>
      </w:r>
      <w:r w:rsidR="00EF3452">
        <w:t>’</w:t>
      </w:r>
      <w:r w:rsidR="00C06E7F" w:rsidRPr="004B34EA">
        <w:t xml:space="preserve"> differs across Australian jurisdictions, with 100% of current cases in Queensland and Western Australia counted by care type</w:t>
      </w:r>
      <w:r w:rsidR="00EF3452" w:rsidRPr="00EF3452">
        <w:t xml:space="preserve"> </w:t>
      </w:r>
      <w:r w:rsidR="00EF3452" w:rsidRPr="004B34EA">
        <w:t>only</w:t>
      </w:r>
      <w:r w:rsidR="00C06E7F" w:rsidRPr="004B34EA">
        <w:t>.  By contrast around 40% to 50% of cases are comprised of care type records in other jurisdictions</w:t>
      </w:r>
    </w:p>
    <w:p w14:paraId="3F92C60B" w14:textId="04ACB714" w:rsidR="007D2C26" w:rsidRDefault="007D2C26" w:rsidP="007D2C26">
      <w:pPr>
        <w:pStyle w:val="AspexBodyStandard"/>
      </w:pPr>
      <w:r>
        <w:t xml:space="preserve">Another concern in relation to the AIHW estimates relate to jurisdictions where the proportion of palliative care services </w:t>
      </w:r>
      <w:r w:rsidR="008B0C39">
        <w:t>is</w:t>
      </w:r>
      <w:r>
        <w:t xml:space="preserve"> higher in the community </w:t>
      </w:r>
      <w:r w:rsidR="00EF3452">
        <w:t>relative to</w:t>
      </w:r>
      <w:r>
        <w:t xml:space="preserve"> the hospital setting. Some jurisdictions such as Western Australia have a highly developed and well-funded community palliative care sector (with comparatively fewer patients admitted directly to hospital for palliative care). By contrast other states, such as Queensland, have very limited community resources, resulting in a </w:t>
      </w:r>
      <w:r w:rsidR="00122CBE">
        <w:t xml:space="preserve">relatively </w:t>
      </w:r>
      <w:r>
        <w:t>higher proportion of hospital admissions.</w:t>
      </w:r>
    </w:p>
    <w:p w14:paraId="7CC479D2" w14:textId="77777777" w:rsidR="003F34EC" w:rsidRPr="00254808" w:rsidRDefault="007D2C26" w:rsidP="00254808">
      <w:pPr>
        <w:pStyle w:val="AspexHighlightText"/>
        <w:spacing w:before="240"/>
        <w:rPr>
          <w:rStyle w:val="IntenseEmphasis"/>
        </w:rPr>
      </w:pPr>
      <w:r w:rsidRPr="00254808">
        <w:rPr>
          <w:rStyle w:val="IntenseEmphasis"/>
        </w:rPr>
        <w:t>“The resources in Queensland in terms of specific community based palliative care are very limited. It is probably a differential of about 1000 per cent …in comparison to what is provided in Western Australia.”</w:t>
      </w:r>
      <w:r w:rsidRPr="00254808">
        <w:rPr>
          <w:rStyle w:val="IntenseEmphasis"/>
          <w:rFonts w:ascii="Arial Bold" w:hAnsi="Arial Bold"/>
          <w:vertAlign w:val="superscript"/>
        </w:rPr>
        <w:footnoteReference w:id="27"/>
      </w:r>
    </w:p>
    <w:p w14:paraId="1F4B7B5E" w14:textId="77777777" w:rsidR="007845BC" w:rsidRDefault="007845BC" w:rsidP="007845BC">
      <w:pPr>
        <w:pStyle w:val="AspexBodyStandard"/>
      </w:pPr>
      <w:r>
        <w:t>In addition, the mix of public and private services provided in different jurisdictions varies, especially in relation to palliative care type patients.  For example, a higher proportion of public patients are treated in private hospitals in Queensland and the Australian Capital Territory.  The implication of these ‘outsourced’ services upon potential differences in patient admission and data-coding practices within and between jurisdictions remains unknown. Most importantly however:</w:t>
      </w:r>
    </w:p>
    <w:p w14:paraId="2DC88C55" w14:textId="77777777" w:rsidR="007845BC" w:rsidRPr="00435B52" w:rsidRDefault="007845BC" w:rsidP="007845BC">
      <w:pPr>
        <w:pStyle w:val="AspexHighlightText"/>
        <w:spacing w:before="240"/>
        <w:rPr>
          <w:rStyle w:val="IntenseEmphasis"/>
        </w:rPr>
      </w:pPr>
      <w:r w:rsidRPr="00435B52">
        <w:rPr>
          <w:rStyle w:val="IntenseEmphasis"/>
        </w:rPr>
        <w:t xml:space="preserve">Current demand estimates for hospital based palliative care services are based upon the number of patient separations and </w:t>
      </w:r>
      <w:r w:rsidRPr="00435B52">
        <w:rPr>
          <w:rStyle w:val="IntenseEmphasis"/>
          <w:u w:val="single"/>
        </w:rPr>
        <w:t>not</w:t>
      </w:r>
      <w:r w:rsidRPr="00435B52">
        <w:rPr>
          <w:rStyle w:val="IntenseEmphasis"/>
        </w:rPr>
        <w:t xml:space="preserve"> the number of unique patients admitted to those services.</w:t>
      </w:r>
    </w:p>
    <w:p w14:paraId="01BC61CA" w14:textId="77777777" w:rsidR="007845BC" w:rsidRDefault="007845BC" w:rsidP="007845BC">
      <w:pPr>
        <w:pStyle w:val="AspexBodyStandard"/>
      </w:pPr>
      <w:r>
        <w:t>Whilst it is appreciated that individuals may receive multiple admissions to hospital, particularly in the final months of life, analysis of the number of individual patients has not been reported, as it is not specifically recorded in Australian National Hospital Minimum Dataset (upon which all AIHW estimates are based).</w:t>
      </w:r>
      <w:r>
        <w:rPr>
          <w:rStyle w:val="FootnoteReference"/>
        </w:rPr>
        <w:footnoteReference w:id="28"/>
      </w:r>
      <w:r>
        <w:t xml:space="preserve">  This may result in a level of over-estimation of palliative care patients treated in public and private hospitals.  More recent research indicates that:</w:t>
      </w:r>
    </w:p>
    <w:p w14:paraId="36B6DA99" w14:textId="012DC51F" w:rsidR="007845BC" w:rsidRPr="00814306" w:rsidRDefault="007845BC" w:rsidP="007845BC">
      <w:pPr>
        <w:pStyle w:val="AspexHighlightText"/>
        <w:spacing w:before="240"/>
        <w:rPr>
          <w:rStyle w:val="IntenseEmphasis"/>
        </w:rPr>
      </w:pPr>
      <w:r>
        <w:rPr>
          <w:rStyle w:val="IntenseEmphasis"/>
        </w:rPr>
        <w:t>I</w:t>
      </w:r>
      <w:r w:rsidRPr="00814306">
        <w:rPr>
          <w:rStyle w:val="IntenseEmphasis"/>
        </w:rPr>
        <w:t>ndividual patients may be admitted to hospital approximately 7.8 times on average during the final 12 months of their lives. However, the number of admissions varies considerably (median = 4) and has not been specifically analysed in the context of whether such patients were receiving formal palliative care services</w:t>
      </w:r>
      <w:r>
        <w:rPr>
          <w:rStyle w:val="IntenseEmphasis"/>
        </w:rPr>
        <w:t>.</w:t>
      </w:r>
      <w:r w:rsidRPr="00814306">
        <w:rPr>
          <w:rStyle w:val="IntenseEmphasis"/>
          <w:vertAlign w:val="superscript"/>
        </w:rPr>
        <w:footnoteReference w:id="29"/>
      </w:r>
    </w:p>
    <w:p w14:paraId="5DD1F68D" w14:textId="7211A1F0" w:rsidR="00601B38" w:rsidRDefault="00601B38" w:rsidP="00601B38">
      <w:pPr>
        <w:pStyle w:val="Caption"/>
      </w:pPr>
      <w:bookmarkStart w:id="92" w:name="_Ref374116719"/>
      <w:bookmarkStart w:id="93" w:name="_Toc301618117"/>
      <w:bookmarkStart w:id="94" w:name="_Toc304372165"/>
      <w:bookmarkStart w:id="95" w:name="_Toc304979299"/>
      <w:bookmarkStart w:id="96" w:name="_Toc382313736"/>
      <w:r w:rsidRPr="00657ED0">
        <w:lastRenderedPageBreak/>
        <w:t xml:space="preserve">Figure </w:t>
      </w:r>
      <w:fldSimple w:instr=" STYLEREF 1 \s ">
        <w:r w:rsidR="009C72FC">
          <w:rPr>
            <w:noProof/>
          </w:rPr>
          <w:t>2</w:t>
        </w:r>
      </w:fldSimple>
      <w:r w:rsidR="00A31FC7">
        <w:noBreakHyphen/>
      </w:r>
      <w:fldSimple w:instr=" SEQ Figure \* ARABIC \s 1 ">
        <w:r w:rsidR="009C72FC">
          <w:rPr>
            <w:noProof/>
          </w:rPr>
          <w:t>5</w:t>
        </w:r>
      </w:fldSimple>
      <w:bookmarkEnd w:id="92"/>
      <w:r w:rsidRPr="00657ED0">
        <w:rPr>
          <w:noProof/>
        </w:rPr>
        <w:t>:</w:t>
      </w:r>
      <w:r w:rsidR="002167FD">
        <w:t xml:space="preserve"> </w:t>
      </w:r>
      <w:r w:rsidR="002167FD">
        <w:tab/>
      </w:r>
      <w:bookmarkEnd w:id="93"/>
      <w:bookmarkEnd w:id="94"/>
      <w:bookmarkEnd w:id="95"/>
      <w:r w:rsidRPr="00657ED0">
        <w:t>Differences in care types and diagnostic codes between jurisdictions</w:t>
      </w:r>
      <w:bookmarkEnd w:id="96"/>
    </w:p>
    <w:p w14:paraId="5AEC70F6" w14:textId="77777777" w:rsidR="00601B38" w:rsidRDefault="00657ED0" w:rsidP="00601B38">
      <w:pPr>
        <w:pStyle w:val="Caption"/>
      </w:pPr>
      <w:r>
        <w:rPr>
          <w:noProof/>
          <w:lang w:eastAsia="en-AU"/>
        </w:rPr>
        <w:drawing>
          <wp:inline distT="0" distB="0" distL="0" distR="0" wp14:anchorId="667F47B5" wp14:editId="3BEEE856">
            <wp:extent cx="5270500" cy="4889005"/>
            <wp:effectExtent l="0" t="0" r="6350" b="6985"/>
            <wp:docPr id="64" name="Picture 64" descr="Differences in care types and diagnostic codes between jurisdictions as discussed in Section 2.3.5"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4889005"/>
                    </a:xfrm>
                    <a:prstGeom prst="rect">
                      <a:avLst/>
                    </a:prstGeom>
                    <a:noFill/>
                    <a:ln>
                      <a:noFill/>
                    </a:ln>
                  </pic:spPr>
                </pic:pic>
              </a:graphicData>
            </a:graphic>
          </wp:inline>
        </w:drawing>
      </w:r>
    </w:p>
    <w:p w14:paraId="6BDF87F8" w14:textId="58828562" w:rsidR="004B484C" w:rsidRDefault="00814306" w:rsidP="007D2C26">
      <w:pPr>
        <w:pStyle w:val="AspexBodyStandard"/>
      </w:pPr>
      <w:r>
        <w:t>However</w:t>
      </w:r>
      <w:r w:rsidR="00435B52">
        <w:t xml:space="preserve">, current estimates of demand were not adjusted, as sufficient information was </w:t>
      </w:r>
      <w:r w:rsidR="00EF3452">
        <w:t xml:space="preserve">not </w:t>
      </w:r>
      <w:r>
        <w:t>available at a national level to determine the specific number of presentations per patient. Regardless of the number of actual presentations per patient</w:t>
      </w:r>
      <w:r w:rsidR="008B0C39">
        <w:t>,</w:t>
      </w:r>
      <w:r>
        <w:t xml:space="preserve"> however, current estimates were considered to reflect real demand for palliative care services at the current point in time, given the relative maturity of the palliative care sector across Australia.</w:t>
      </w:r>
    </w:p>
    <w:p w14:paraId="79702C14" w14:textId="77777777" w:rsidR="007D2C26" w:rsidRDefault="00814306" w:rsidP="007D2C26">
      <w:pPr>
        <w:pStyle w:val="AspexBodyStandard"/>
      </w:pPr>
      <w:r>
        <w:t>Taking all</w:t>
      </w:r>
      <w:r w:rsidR="007D2C26">
        <w:t xml:space="preserve"> these issues</w:t>
      </w:r>
      <w:r>
        <w:t xml:space="preserve"> into account</w:t>
      </w:r>
      <w:r w:rsidR="007D2C26">
        <w:t>, AIHW estimates were considered to be the only national indicators of service supply, and were thus used for analysis. However, some caution must be applied when interpreting jurisdictions with a higher proportion of community and/or privately provided palliative care services (e.g., Western Australia).</w:t>
      </w:r>
    </w:p>
    <w:p w14:paraId="5F57E630" w14:textId="77777777" w:rsidR="006206B3" w:rsidRDefault="006206B3" w:rsidP="006206B3">
      <w:pPr>
        <w:pStyle w:val="Heading2"/>
      </w:pPr>
      <w:bookmarkStart w:id="97" w:name="_Toc382313811"/>
      <w:r>
        <w:t>Unmet demand for palliative care services</w:t>
      </w:r>
      <w:bookmarkEnd w:id="97"/>
    </w:p>
    <w:p w14:paraId="4A26A112" w14:textId="77777777" w:rsidR="00BB79C7" w:rsidRDefault="006206B3" w:rsidP="006206B3">
      <w:pPr>
        <w:pStyle w:val="AspexBodyStandard"/>
      </w:pPr>
      <w:r>
        <w:t xml:space="preserve">National estimates of </w:t>
      </w:r>
      <w:r w:rsidR="00BB79C7">
        <w:t xml:space="preserve">unmet demand were examined in three stages. First, the total number of public and private hospital separations relating to palliative care was examined against the number of deaths reported annually.  Second, the aged-standardised rate of hospital separations was examined to determine whether the increasing age and overall size of the Australian population was impacting upon service supply (delivery). Finally, the number of estimated palliative care patients treated in hospitals and the community were compared </w:t>
      </w:r>
      <w:r w:rsidR="00BB79C7">
        <w:lastRenderedPageBreak/>
        <w:t>with the number of those who may be potentially eligible for palliative care services (anticipated deaths) to estimate any potential gaps in service delivery to the community.</w:t>
      </w:r>
    </w:p>
    <w:p w14:paraId="46FDFD04" w14:textId="77777777" w:rsidR="00342351" w:rsidRDefault="00342351" w:rsidP="00342351">
      <w:pPr>
        <w:pStyle w:val="Heading3"/>
      </w:pPr>
      <w:bookmarkStart w:id="98" w:name="_Toc382313812"/>
      <w:r>
        <w:t>Total number of hospital separations</w:t>
      </w:r>
      <w:bookmarkEnd w:id="98"/>
    </w:p>
    <w:p w14:paraId="18E05540" w14:textId="5CC8B584" w:rsidR="003F34EC" w:rsidRDefault="00BB79C7" w:rsidP="006206B3">
      <w:pPr>
        <w:pStyle w:val="AspexBodyStandard"/>
      </w:pPr>
      <w:r>
        <w:t xml:space="preserve">The combined number of public and private hospital </w:t>
      </w:r>
      <w:r w:rsidR="00714685">
        <w:t xml:space="preserve">palliative care </w:t>
      </w:r>
      <w:r>
        <w:t>separations</w:t>
      </w:r>
      <w:r w:rsidR="006206B3">
        <w:t xml:space="preserve"> published by the </w:t>
      </w:r>
      <w:r w:rsidR="00B74A87">
        <w:t>AIHW</w:t>
      </w:r>
      <w:r w:rsidR="006206B3">
        <w:t xml:space="preserve"> (2012, 2013)</w:t>
      </w:r>
      <w:r>
        <w:t xml:space="preserve"> was calculated and</w:t>
      </w:r>
      <w:r w:rsidR="006206B3">
        <w:t xml:space="preserve"> </w:t>
      </w:r>
      <w:r w:rsidR="003F4C5D">
        <w:t xml:space="preserve">future trends were </w:t>
      </w:r>
      <w:r>
        <w:t xml:space="preserve">forecast </w:t>
      </w:r>
      <w:r w:rsidR="003F4C5D">
        <w:t>for a further</w:t>
      </w:r>
      <w:r>
        <w:t xml:space="preserve"> </w:t>
      </w:r>
      <w:r w:rsidR="003F4C5D">
        <w:t>five</w:t>
      </w:r>
      <w:r>
        <w:t xml:space="preserve"> years</w:t>
      </w:r>
      <w:r w:rsidR="003F4C5D">
        <w:t xml:space="preserve"> to the end of 2014-15.  Historical data and future estimations are presented in </w:t>
      </w:r>
      <w:r>
        <w:fldChar w:fldCharType="begin"/>
      </w:r>
      <w:r>
        <w:instrText xml:space="preserve"> REF _Ref247530938 \h </w:instrText>
      </w:r>
      <w:r>
        <w:fldChar w:fldCharType="separate"/>
      </w:r>
      <w:r w:rsidR="009C72FC" w:rsidRPr="00A56131">
        <w:t xml:space="preserve">Figure </w:t>
      </w:r>
      <w:r w:rsidR="009C72FC">
        <w:rPr>
          <w:noProof/>
        </w:rPr>
        <w:t>2</w:t>
      </w:r>
      <w:r w:rsidR="009C72FC">
        <w:noBreakHyphen/>
      </w:r>
      <w:r w:rsidR="009C72FC">
        <w:rPr>
          <w:noProof/>
        </w:rPr>
        <w:t>6</w:t>
      </w:r>
      <w:r>
        <w:fldChar w:fldCharType="end"/>
      </w:r>
      <w:r w:rsidR="006206B3">
        <w:t>.</w:t>
      </w:r>
    </w:p>
    <w:p w14:paraId="573A810A" w14:textId="206FEF5D" w:rsidR="006206B3" w:rsidRPr="00A56131" w:rsidRDefault="006206B3" w:rsidP="009F7D7B">
      <w:pPr>
        <w:pStyle w:val="Caption"/>
      </w:pPr>
      <w:bookmarkStart w:id="99" w:name="_Ref247530938"/>
      <w:bookmarkStart w:id="100" w:name="_Toc382313737"/>
      <w:r w:rsidRPr="00A56131">
        <w:t xml:space="preserve">Figure </w:t>
      </w:r>
      <w:fldSimple w:instr=" STYLEREF 1 \s ">
        <w:r w:rsidR="009C72FC">
          <w:rPr>
            <w:noProof/>
          </w:rPr>
          <w:t>2</w:t>
        </w:r>
      </w:fldSimple>
      <w:r w:rsidR="00A31FC7">
        <w:noBreakHyphen/>
      </w:r>
      <w:fldSimple w:instr=" SEQ Figure \* ARABIC \s 1 ">
        <w:r w:rsidR="009C72FC">
          <w:rPr>
            <w:noProof/>
          </w:rPr>
          <w:t>6</w:t>
        </w:r>
      </w:fldSimple>
      <w:bookmarkEnd w:id="99"/>
      <w:r w:rsidR="002167FD">
        <w:t>:</w:t>
      </w:r>
      <w:r w:rsidR="002167FD">
        <w:tab/>
      </w:r>
      <w:r w:rsidRPr="00A56131">
        <w:t xml:space="preserve">Number of </w:t>
      </w:r>
      <w:r>
        <w:t xml:space="preserve">public and private separations for </w:t>
      </w:r>
      <w:r w:rsidRPr="00A56131">
        <w:t>palliative care (2006-2015)</w:t>
      </w:r>
      <w:bookmarkEnd w:id="100"/>
    </w:p>
    <w:p w14:paraId="7A752E14" w14:textId="77777777" w:rsidR="006206B3" w:rsidRDefault="006206B3" w:rsidP="006206B3">
      <w:pPr>
        <w:pStyle w:val="AspexBodyStandard"/>
      </w:pPr>
      <w:r>
        <w:rPr>
          <w:noProof/>
          <w:lang w:eastAsia="en-AU"/>
        </w:rPr>
        <w:drawing>
          <wp:inline distT="0" distB="0" distL="0" distR="0" wp14:anchorId="5753EF33" wp14:editId="4A0C6E10">
            <wp:extent cx="5723890" cy="2680554"/>
            <wp:effectExtent l="0" t="0" r="0" b="5715"/>
            <wp:docPr id="5" name="Picture 6" descr="Number of public and private separations for palliative care (2006-2015) as discussed in Section2.4.1" title="Figure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3890" cy="2680554"/>
                    </a:xfrm>
                    <a:prstGeom prst="rect">
                      <a:avLst/>
                    </a:prstGeom>
                    <a:noFill/>
                    <a:ln>
                      <a:noFill/>
                    </a:ln>
                  </pic:spPr>
                </pic:pic>
              </a:graphicData>
            </a:graphic>
          </wp:inline>
        </w:drawing>
      </w:r>
    </w:p>
    <w:p w14:paraId="7C75A01C" w14:textId="77777777" w:rsidR="00BB79C7" w:rsidRPr="00511163" w:rsidRDefault="003F4C5D" w:rsidP="00511163">
      <w:pPr>
        <w:pStyle w:val="AspexHighlightText"/>
        <w:spacing w:before="240"/>
        <w:rPr>
          <w:rStyle w:val="IntenseEmphasis"/>
        </w:rPr>
      </w:pPr>
      <w:r w:rsidRPr="00511163">
        <w:rPr>
          <w:rStyle w:val="IntenseEmphasis"/>
        </w:rPr>
        <w:t>The total national supply of hospital services relating to palliative care is forecast to increase considerably from 55,983 (in 2009-10) to around 68,515 (by the end of 2014-15).</w:t>
      </w:r>
    </w:p>
    <w:p w14:paraId="478C5346" w14:textId="77777777" w:rsidR="003F4C5D" w:rsidRDefault="003F4C5D" w:rsidP="006206B3">
      <w:pPr>
        <w:pStyle w:val="AspexBodyStandard"/>
      </w:pPr>
      <w:r>
        <w:t xml:space="preserve">National supply is driven mainly by the most populous states (NSW, VIC, </w:t>
      </w:r>
      <w:proofErr w:type="gramStart"/>
      <w:r>
        <w:t>QLD</w:t>
      </w:r>
      <w:proofErr w:type="gramEnd"/>
      <w:r>
        <w:t>).  The overall supply of services from SA is forecast to remain stable. This may be due in part to an expansion of case</w:t>
      </w:r>
      <w:r w:rsidR="00511163">
        <w:t>-</w:t>
      </w:r>
      <w:r>
        <w:t>m</w:t>
      </w:r>
      <w:r w:rsidR="00511163">
        <w:t>ix type funding for services into the community sector</w:t>
      </w:r>
      <w:r w:rsidR="00F95325">
        <w:t>.</w:t>
      </w:r>
      <w:r w:rsidR="00511163">
        <w:rPr>
          <w:rStyle w:val="FootnoteReference"/>
        </w:rPr>
        <w:footnoteReference w:id="30"/>
      </w:r>
      <w:r w:rsidR="00F95325">
        <w:t xml:space="preserve"> </w:t>
      </w:r>
      <w:r w:rsidR="00511163">
        <w:t xml:space="preserve"> Supply in the smaller jurisdictions is also predicted to remain relatively stable or decrease slightly over the forecast period.  Although public hospital data for these jurisdictions predicts an overall increase, private and community sector data are unavailable and thus further interpretation is impeded. </w:t>
      </w:r>
      <w:r w:rsidR="008B0C39">
        <w:t>Overall decreases in supply for WA has been previously discussed and are</w:t>
      </w:r>
      <w:r w:rsidR="00511163">
        <w:t xml:space="preserve"> related to the highly developed and well-respected community service model of care operating in that jurisdiction</w:t>
      </w:r>
      <w:r w:rsidR="00F95325">
        <w:t>.</w:t>
      </w:r>
      <w:r w:rsidR="00511163">
        <w:rPr>
          <w:rStyle w:val="FootnoteReference"/>
        </w:rPr>
        <w:footnoteReference w:id="31"/>
      </w:r>
    </w:p>
    <w:p w14:paraId="6D637D11" w14:textId="53EFE4CB" w:rsidR="00342351" w:rsidRDefault="007845BC" w:rsidP="00342351">
      <w:pPr>
        <w:pStyle w:val="Heading3"/>
      </w:pPr>
      <w:r>
        <w:br w:type="column"/>
      </w:r>
      <w:bookmarkStart w:id="101" w:name="_Toc382313813"/>
      <w:r w:rsidR="00342351">
        <w:lastRenderedPageBreak/>
        <w:t>Influences of population growth and ageing</w:t>
      </w:r>
      <w:bookmarkEnd w:id="101"/>
    </w:p>
    <w:p w14:paraId="4DE45772" w14:textId="352911DF" w:rsidR="00511163" w:rsidRDefault="006206B3" w:rsidP="006206B3">
      <w:pPr>
        <w:pStyle w:val="AspexBodyStandard"/>
      </w:pPr>
      <w:r>
        <w:t xml:space="preserve">Age standardised rates of all palliative care separations were </w:t>
      </w:r>
      <w:r w:rsidR="00511163">
        <w:t>then</w:t>
      </w:r>
      <w:r>
        <w:t xml:space="preserve"> identified across all public and private hospitals</w:t>
      </w:r>
      <w:r w:rsidR="00511163">
        <w:t>. These have been</w:t>
      </w:r>
      <w:r>
        <w:t xml:space="preserve"> reported to </w:t>
      </w:r>
      <w:r w:rsidR="00511163">
        <w:t>increase</w:t>
      </w:r>
      <w:r>
        <w:t xml:space="preserve"> between 2000-01 and 2009-10</w:t>
      </w:r>
      <w:r w:rsidR="00556A1B">
        <w:t xml:space="preserve"> (</w:t>
      </w:r>
      <w:r w:rsidR="00511163">
        <w:fldChar w:fldCharType="begin"/>
      </w:r>
      <w:r w:rsidR="00511163">
        <w:instrText xml:space="preserve"> REF _Ref247532251 \h </w:instrText>
      </w:r>
      <w:r w:rsidR="00511163">
        <w:fldChar w:fldCharType="separate"/>
      </w:r>
      <w:r w:rsidR="009C72FC">
        <w:t xml:space="preserve">Figure </w:t>
      </w:r>
      <w:r w:rsidR="009C72FC">
        <w:rPr>
          <w:noProof/>
        </w:rPr>
        <w:t>2</w:t>
      </w:r>
      <w:r w:rsidR="009C72FC">
        <w:noBreakHyphen/>
      </w:r>
      <w:r w:rsidR="009C72FC">
        <w:rPr>
          <w:noProof/>
        </w:rPr>
        <w:t>7</w:t>
      </w:r>
      <w:r w:rsidR="00511163">
        <w:fldChar w:fldCharType="end"/>
      </w:r>
      <w:r w:rsidR="00556A1B">
        <w:t>)</w:t>
      </w:r>
      <w:r w:rsidR="00F95325">
        <w:t>.</w:t>
      </w:r>
      <w:r w:rsidR="00511163">
        <w:rPr>
          <w:rStyle w:val="FootnoteReference"/>
        </w:rPr>
        <w:footnoteReference w:id="32"/>
      </w:r>
    </w:p>
    <w:p w14:paraId="4BFB85E8" w14:textId="5C212E6C" w:rsidR="00092A3B" w:rsidRDefault="00092A3B" w:rsidP="009F7D7B">
      <w:pPr>
        <w:pStyle w:val="Caption"/>
      </w:pPr>
      <w:bookmarkStart w:id="102" w:name="_Ref247532251"/>
      <w:bookmarkStart w:id="103" w:name="_Toc382313738"/>
      <w:r>
        <w:t xml:space="preserve">Figure </w:t>
      </w:r>
      <w:fldSimple w:instr=" STYLEREF 1 \s ">
        <w:r w:rsidR="009C72FC">
          <w:rPr>
            <w:noProof/>
          </w:rPr>
          <w:t>2</w:t>
        </w:r>
      </w:fldSimple>
      <w:r w:rsidR="00A31FC7">
        <w:noBreakHyphen/>
      </w:r>
      <w:fldSimple w:instr=" SEQ Figure \* ARABIC \s 1 ">
        <w:r w:rsidR="009C72FC">
          <w:rPr>
            <w:noProof/>
          </w:rPr>
          <w:t>7</w:t>
        </w:r>
      </w:fldSimple>
      <w:bookmarkEnd w:id="102"/>
      <w:r w:rsidR="002167FD">
        <w:t>:</w:t>
      </w:r>
      <w:r w:rsidR="002167FD">
        <w:tab/>
      </w:r>
      <w:r w:rsidRPr="00FE5E96">
        <w:t>Palliative C</w:t>
      </w:r>
      <w:r>
        <w:t xml:space="preserve">are Separations, </w:t>
      </w:r>
      <w:r w:rsidR="002A2727">
        <w:t>a</w:t>
      </w:r>
      <w:r>
        <w:t xml:space="preserve">ll </w:t>
      </w:r>
      <w:r w:rsidR="002A2727">
        <w:t>h</w:t>
      </w:r>
      <w:r>
        <w:t>ospitals (</w:t>
      </w:r>
      <w:r w:rsidRPr="00FE5E96">
        <w:t>1999/2000 to 2008/2009</w:t>
      </w:r>
      <w:r>
        <w:t>)</w:t>
      </w:r>
      <w:bookmarkEnd w:id="103"/>
    </w:p>
    <w:p w14:paraId="66A72162" w14:textId="64F61D86" w:rsidR="00C448E4" w:rsidRDefault="00C448E4" w:rsidP="00C448E4">
      <w:pPr>
        <w:pStyle w:val="AspexBodyStandard"/>
      </w:pPr>
      <w:r>
        <w:rPr>
          <w:noProof/>
          <w:lang w:eastAsia="en-AU"/>
        </w:rPr>
        <w:drawing>
          <wp:inline distT="0" distB="0" distL="0" distR="0" wp14:anchorId="50D77951" wp14:editId="5D73D995">
            <wp:extent cx="5723890" cy="2478518"/>
            <wp:effectExtent l="0" t="0" r="0" b="0"/>
            <wp:docPr id="39" name="Picture 39" descr="Palliative Care Separations, all hospitals (1999/2000 to 2008/2009) as discussed in Section 2.4.2"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23890" cy="2478518"/>
                    </a:xfrm>
                    <a:prstGeom prst="rect">
                      <a:avLst/>
                    </a:prstGeom>
                  </pic:spPr>
                </pic:pic>
              </a:graphicData>
            </a:graphic>
          </wp:inline>
        </w:drawing>
      </w:r>
    </w:p>
    <w:p w14:paraId="22F11941" w14:textId="77777777" w:rsidR="006206B3" w:rsidRDefault="00E736BB" w:rsidP="006206B3">
      <w:pPr>
        <w:pStyle w:val="AspexBodyStandard"/>
      </w:pPr>
      <w:r>
        <w:t>The aged-standardised population rates of palliative care separation from public and private hospitals across Australia indicate a rising trend over the first decade of the 21</w:t>
      </w:r>
      <w:r w:rsidRPr="00E736BB">
        <w:rPr>
          <w:vertAlign w:val="superscript"/>
        </w:rPr>
        <w:t>st</w:t>
      </w:r>
      <w:r>
        <w:t xml:space="preserve"> century. On the basis of this trend</w:t>
      </w:r>
      <w:r w:rsidR="006206B3">
        <w:t xml:space="preserve"> the AIHW </w:t>
      </w:r>
      <w:r>
        <w:t>has concluded that,</w:t>
      </w:r>
    </w:p>
    <w:p w14:paraId="16628B1D" w14:textId="77777777" w:rsidR="006206B3" w:rsidRPr="00CF271C" w:rsidRDefault="008B0C39" w:rsidP="006206B3">
      <w:pPr>
        <w:pStyle w:val="AspexHighlightText"/>
        <w:rPr>
          <w:rStyle w:val="IntenseEmphasis"/>
        </w:rPr>
      </w:pPr>
      <w:r>
        <w:rPr>
          <w:rStyle w:val="IntenseEmphasis"/>
        </w:rPr>
        <w:t>“</w:t>
      </w:r>
      <w:r w:rsidR="006206B3" w:rsidRPr="00CF271C">
        <w:rPr>
          <w:rStyle w:val="IntenseEmphasis"/>
        </w:rPr>
        <w:t>…there was a ‘real’ increase in the number of admitted patient palliative care separations that goes beyond the increase explained by population growth and an ageing population.</w:t>
      </w:r>
      <w:r>
        <w:rPr>
          <w:rStyle w:val="IntenseEmphasis"/>
        </w:rPr>
        <w:t>”</w:t>
      </w:r>
      <w:r w:rsidR="00E736BB">
        <w:rPr>
          <w:rStyle w:val="FootnoteReference"/>
          <w:b/>
          <w:bCs/>
          <w:i/>
          <w:iCs/>
          <w:color w:val="4F81BD" w:themeColor="accent1"/>
          <w:sz w:val="22"/>
          <w:szCs w:val="22"/>
        </w:rPr>
        <w:footnoteReference w:id="33"/>
      </w:r>
      <w:r w:rsidR="00E736BB">
        <w:rPr>
          <w:rStyle w:val="IntenseEmphasis"/>
        </w:rPr>
        <w:t xml:space="preserve"> </w:t>
      </w:r>
    </w:p>
    <w:p w14:paraId="5D7F895C" w14:textId="1005D1C0" w:rsidR="006206B3" w:rsidRDefault="00E736BB" w:rsidP="006206B3">
      <w:pPr>
        <w:pStyle w:val="AspexBodyStandard"/>
      </w:pPr>
      <w:r>
        <w:t xml:space="preserve">Thus, changes in specialist availability, clinical training and awareness of other clinical professionals, together with possible improvements </w:t>
      </w:r>
      <w:r w:rsidR="00254808">
        <w:t xml:space="preserve">in </w:t>
      </w:r>
      <w:r>
        <w:t>public knowledge about palliative care services</w:t>
      </w:r>
      <w:r w:rsidR="00254808">
        <w:t>,</w:t>
      </w:r>
      <w:r>
        <w:t xml:space="preserve"> have contributed to an increase in overall supply – above and beyond what may otherwise have been expected by natural population growth or an ageing population</w:t>
      </w:r>
      <w:r w:rsidR="00F3301B">
        <w:t>.</w:t>
      </w:r>
      <w:r>
        <w:rPr>
          <w:rStyle w:val="FootnoteReference"/>
        </w:rPr>
        <w:footnoteReference w:id="34"/>
      </w:r>
    </w:p>
    <w:p w14:paraId="00C5869C" w14:textId="77777777" w:rsidR="00342351" w:rsidRDefault="00342351" w:rsidP="00342351">
      <w:pPr>
        <w:pStyle w:val="Heading3"/>
      </w:pPr>
      <w:bookmarkStart w:id="104" w:name="_Toc382313814"/>
      <w:r>
        <w:t>Estimations of current and future demand versus supply</w:t>
      </w:r>
      <w:bookmarkEnd w:id="104"/>
    </w:p>
    <w:p w14:paraId="34C9CFA3" w14:textId="783170C0" w:rsidR="00C775BC" w:rsidRDefault="009F7D7B" w:rsidP="006206B3">
      <w:pPr>
        <w:pStyle w:val="AspexBodyStandard"/>
      </w:pPr>
      <w:r>
        <w:t>Finally, comparisons were undertaken against the estimated population eligibility/demand for palliative care services</w:t>
      </w:r>
      <w:r w:rsidR="004C3A0B">
        <w:t xml:space="preserve"> (Section </w:t>
      </w:r>
      <w:r w:rsidR="004C3A0B">
        <w:fldChar w:fldCharType="begin"/>
      </w:r>
      <w:r w:rsidR="004C3A0B">
        <w:instrText xml:space="preserve"> REF _Ref248053730 \r \h </w:instrText>
      </w:r>
      <w:r w:rsidR="004C3A0B">
        <w:fldChar w:fldCharType="separate"/>
      </w:r>
      <w:r w:rsidR="009C72FC">
        <w:t>2.2</w:t>
      </w:r>
      <w:r w:rsidR="004C3A0B">
        <w:fldChar w:fldCharType="end"/>
      </w:r>
      <w:r w:rsidR="004C3A0B">
        <w:t>)</w:t>
      </w:r>
      <w:r>
        <w:t>, and the current supply of services provided from general practices, and hospital facilities</w:t>
      </w:r>
      <w:r w:rsidR="004C3A0B">
        <w:t xml:space="preserve">, outlined in Section </w:t>
      </w:r>
      <w:r w:rsidR="004C3A0B">
        <w:fldChar w:fldCharType="begin"/>
      </w:r>
      <w:r w:rsidR="004C3A0B">
        <w:instrText xml:space="preserve"> REF _Ref248053757 \r \h </w:instrText>
      </w:r>
      <w:r w:rsidR="004C3A0B">
        <w:fldChar w:fldCharType="separate"/>
      </w:r>
      <w:r w:rsidR="009C72FC">
        <w:t>2.3</w:t>
      </w:r>
      <w:r w:rsidR="004C3A0B">
        <w:fldChar w:fldCharType="end"/>
      </w:r>
      <w:r w:rsidR="00C775BC">
        <w:t xml:space="preserve"> (</w:t>
      </w:r>
      <w:r w:rsidR="00C775BC">
        <w:fldChar w:fldCharType="begin"/>
      </w:r>
      <w:r w:rsidR="00C775BC">
        <w:instrText xml:space="preserve"> REF _Ref247533176 \h </w:instrText>
      </w:r>
      <w:r w:rsidR="00C775BC">
        <w:fldChar w:fldCharType="separate"/>
      </w:r>
      <w:r w:rsidR="009C72FC" w:rsidRPr="009F7D7B">
        <w:t xml:space="preserve">Figure </w:t>
      </w:r>
      <w:r w:rsidR="009C72FC">
        <w:rPr>
          <w:noProof/>
        </w:rPr>
        <w:t>2</w:t>
      </w:r>
      <w:r w:rsidR="009C72FC">
        <w:noBreakHyphen/>
      </w:r>
      <w:r w:rsidR="009C72FC">
        <w:rPr>
          <w:noProof/>
        </w:rPr>
        <w:t>8</w:t>
      </w:r>
      <w:r w:rsidR="00C775BC">
        <w:fldChar w:fldCharType="end"/>
      </w:r>
      <w:r w:rsidR="00C775BC">
        <w:t>)</w:t>
      </w:r>
      <w:r>
        <w:t>.</w:t>
      </w:r>
    </w:p>
    <w:p w14:paraId="3D2F6633" w14:textId="7982C866" w:rsidR="00814306" w:rsidRDefault="00814306" w:rsidP="00814306">
      <w:pPr>
        <w:pStyle w:val="AspexBodyStandard"/>
      </w:pPr>
      <w:r>
        <w:t xml:space="preserve">It should be noted that some discrepancy in the supply of services might be inherent in the available data (due to the absence of private hospital statistics from some jurisdictions and absence of comprehensive community palliative care data).  Notwithstanding, it was assumed that most individuals referred to community services would have accessed these </w:t>
      </w:r>
      <w:r>
        <w:lastRenderedPageBreak/>
        <w:t>services from existing community resources (</w:t>
      </w:r>
      <w:r w:rsidR="0081173A">
        <w:t>GPs</w:t>
      </w:r>
      <w:r>
        <w:t xml:space="preserve"> or public hospitals) prior to referral</w:t>
      </w:r>
      <w:r w:rsidR="008E5728">
        <w:t>.</w:t>
      </w:r>
      <w:r>
        <w:rPr>
          <w:rStyle w:val="FootnoteReference"/>
        </w:rPr>
        <w:footnoteReference w:id="35"/>
      </w:r>
      <w:r>
        <w:t xml:space="preserve">  It is also critical to note that:</w:t>
      </w:r>
    </w:p>
    <w:p w14:paraId="5E708A87" w14:textId="77777777" w:rsidR="00814306" w:rsidRPr="00CE24BC" w:rsidRDefault="00814306" w:rsidP="00814306">
      <w:pPr>
        <w:pStyle w:val="AspexHighlightText"/>
        <w:spacing w:before="240"/>
        <w:rPr>
          <w:rStyle w:val="IntenseEmphasis"/>
          <w:b w:val="0"/>
          <w:color w:val="E36C0A" w:themeColor="accent6" w:themeShade="BF"/>
        </w:rPr>
      </w:pPr>
      <w:r w:rsidRPr="00CE24BC">
        <w:rPr>
          <w:rStyle w:val="IntenseEmphasis"/>
          <w:b w:val="0"/>
          <w:color w:val="E36C0A" w:themeColor="accent6" w:themeShade="BF"/>
        </w:rPr>
        <w:t>Hospital separations relating to ‘palliative care’ as currently reported, do not guarantee that services were supplied to individuals by medical specialists (or other clinicians) who were appropriately qualified and credentialed to deliver palliative care services in accordance with professional and nationally recognised standards of care</w:t>
      </w:r>
      <w:r w:rsidR="008E5728">
        <w:rPr>
          <w:rStyle w:val="IntenseEmphasis"/>
          <w:b w:val="0"/>
          <w:color w:val="E36C0A" w:themeColor="accent6" w:themeShade="BF"/>
        </w:rPr>
        <w:t>.</w:t>
      </w:r>
      <w:r w:rsidRPr="00CE24BC">
        <w:rPr>
          <w:rStyle w:val="IntenseEmphasis"/>
          <w:b w:val="0"/>
          <w:color w:val="E36C0A" w:themeColor="accent6" w:themeShade="BF"/>
          <w:sz w:val="24"/>
          <w:vertAlign w:val="superscript"/>
        </w:rPr>
        <w:footnoteReference w:id="36"/>
      </w:r>
    </w:p>
    <w:p w14:paraId="1E7F5707" w14:textId="59FB5B80" w:rsidR="00814306" w:rsidRDefault="00814306" w:rsidP="00814306">
      <w:pPr>
        <w:pStyle w:val="AspexBodyStandard"/>
      </w:pPr>
      <w:r>
        <w:t xml:space="preserve">Similarly, estimates of service demand are based upon analysis of available ICD codes in Australian mortality data.  The availability of more recent </w:t>
      </w:r>
      <w:r w:rsidR="00672B64">
        <w:t>data,</w:t>
      </w:r>
      <w:r>
        <w:t xml:space="preserve"> or alternative assumptions regarding the proportion of potentially eligible patients for palliative care</w:t>
      </w:r>
      <w:r w:rsidR="00672B64">
        <w:t>,</w:t>
      </w:r>
      <w:r>
        <w:t xml:space="preserve"> will influence conclusions based upon the data presented in </w:t>
      </w:r>
      <w:r>
        <w:fldChar w:fldCharType="begin"/>
      </w:r>
      <w:r>
        <w:instrText xml:space="preserve"> REF _Ref247533176 \h </w:instrText>
      </w:r>
      <w:r>
        <w:fldChar w:fldCharType="separate"/>
      </w:r>
      <w:r w:rsidR="009C72FC" w:rsidRPr="009F7D7B">
        <w:t xml:space="preserve">Figure </w:t>
      </w:r>
      <w:r w:rsidR="009C72FC">
        <w:rPr>
          <w:noProof/>
        </w:rPr>
        <w:t>2</w:t>
      </w:r>
      <w:r w:rsidR="009C72FC">
        <w:noBreakHyphen/>
      </w:r>
      <w:r w:rsidR="009C72FC">
        <w:rPr>
          <w:noProof/>
        </w:rPr>
        <w:t>8</w:t>
      </w:r>
      <w:r>
        <w:fldChar w:fldCharType="end"/>
      </w:r>
      <w:r>
        <w:t>. Notwithstanding these considerations:</w:t>
      </w:r>
    </w:p>
    <w:p w14:paraId="163A764C" w14:textId="77777777" w:rsidR="00814306" w:rsidRDefault="00814306" w:rsidP="00814306">
      <w:pPr>
        <w:pStyle w:val="AspexHighlightText"/>
        <w:spacing w:before="240"/>
        <w:rPr>
          <w:rStyle w:val="IntenseEmphasis"/>
        </w:rPr>
      </w:pPr>
      <w:r w:rsidRPr="00E56191">
        <w:rPr>
          <w:rStyle w:val="IntenseEmphasis"/>
        </w:rPr>
        <w:t xml:space="preserve">Raw estimates of service supply and demand appear to indicate that the supply of services is </w:t>
      </w:r>
      <w:r>
        <w:rPr>
          <w:rStyle w:val="IntenseEmphasis"/>
        </w:rPr>
        <w:t xml:space="preserve">below, but </w:t>
      </w:r>
      <w:r w:rsidRPr="00E56191">
        <w:rPr>
          <w:rStyle w:val="IntenseEmphasis"/>
        </w:rPr>
        <w:t>growing to meet predicted population demand for palliative care services in Australia.</w:t>
      </w:r>
    </w:p>
    <w:p w14:paraId="5BD8F16A" w14:textId="7B5F858C" w:rsidR="006206B3" w:rsidRPr="009F7D7B" w:rsidRDefault="006206B3" w:rsidP="009F7D7B">
      <w:pPr>
        <w:pStyle w:val="Caption"/>
      </w:pPr>
      <w:bookmarkStart w:id="105" w:name="_Ref247533176"/>
      <w:bookmarkStart w:id="106" w:name="_Toc382313739"/>
      <w:r w:rsidRPr="009F7D7B">
        <w:t xml:space="preserve">Figure </w:t>
      </w:r>
      <w:fldSimple w:instr=" STYLEREF 1 \s ">
        <w:r w:rsidR="009C72FC">
          <w:rPr>
            <w:noProof/>
          </w:rPr>
          <w:t>2</w:t>
        </w:r>
      </w:fldSimple>
      <w:r w:rsidR="00A31FC7">
        <w:noBreakHyphen/>
      </w:r>
      <w:fldSimple w:instr=" SEQ Figure \* ARABIC \s 1 ">
        <w:r w:rsidR="009C72FC">
          <w:rPr>
            <w:noProof/>
          </w:rPr>
          <w:t>8</w:t>
        </w:r>
      </w:fldSimple>
      <w:bookmarkEnd w:id="105"/>
      <w:r w:rsidR="002167FD">
        <w:t>:</w:t>
      </w:r>
      <w:r w:rsidR="002167FD">
        <w:tab/>
      </w:r>
      <w:r w:rsidRPr="009F7D7B">
        <w:t>Average total demand and supply of palliative care services (2010-2015)</w:t>
      </w:r>
      <w:bookmarkEnd w:id="106"/>
    </w:p>
    <w:p w14:paraId="2CB24501" w14:textId="77777777" w:rsidR="006206B3" w:rsidRDefault="006206B3" w:rsidP="006206B3">
      <w:pPr>
        <w:pStyle w:val="AspexBodyStandard"/>
      </w:pPr>
      <w:r>
        <w:rPr>
          <w:noProof/>
          <w:lang w:eastAsia="en-AU"/>
        </w:rPr>
        <w:drawing>
          <wp:inline distT="0" distB="0" distL="0" distR="0" wp14:anchorId="4FA24018" wp14:editId="1E81C4C5">
            <wp:extent cx="5723890" cy="2700709"/>
            <wp:effectExtent l="0" t="0" r="0" b="4445"/>
            <wp:docPr id="27" name="Picture 15" descr="Average total demand and supply of palliative care services (2010-2015) as discussed in Section 2.4.3" title="Figur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890" cy="2700709"/>
                    </a:xfrm>
                    <a:prstGeom prst="rect">
                      <a:avLst/>
                    </a:prstGeom>
                    <a:noFill/>
                    <a:ln>
                      <a:noFill/>
                    </a:ln>
                  </pic:spPr>
                </pic:pic>
              </a:graphicData>
            </a:graphic>
          </wp:inline>
        </w:drawing>
      </w:r>
    </w:p>
    <w:p w14:paraId="4E0DF481" w14:textId="734B8614" w:rsidR="007B3C22" w:rsidRDefault="007B3C22" w:rsidP="007B3C22">
      <w:pPr>
        <w:pStyle w:val="AspexBodyStandard"/>
        <w:rPr>
          <w:rStyle w:val="IntenseEmphasis"/>
          <w:b w:val="0"/>
          <w:i w:val="0"/>
          <w:color w:val="auto"/>
        </w:rPr>
      </w:pPr>
      <w:r w:rsidRPr="007B3C22">
        <w:rPr>
          <w:rStyle w:val="IntenseEmphasis"/>
          <w:b w:val="0"/>
          <w:i w:val="0"/>
          <w:color w:val="auto"/>
        </w:rPr>
        <w:t xml:space="preserve">Analysis of </w:t>
      </w:r>
      <w:r>
        <w:rPr>
          <w:rStyle w:val="IntenseEmphasis"/>
          <w:b w:val="0"/>
          <w:i w:val="0"/>
          <w:color w:val="auto"/>
        </w:rPr>
        <w:t>variations associated with forecast modelling equations strengthen conclusions that the total volume (not quality) of services may have already been meeting population demand since 2010, and is likely to have matched demand by the end of the 2013 financial year (</w:t>
      </w:r>
      <w:r w:rsidR="00672B64">
        <w:rPr>
          <w:rStyle w:val="IntenseEmphasis"/>
          <w:b w:val="0"/>
          <w:i w:val="0"/>
          <w:color w:val="auto"/>
        </w:rPr>
        <w:fldChar w:fldCharType="begin"/>
      </w:r>
      <w:r w:rsidR="00672B64">
        <w:rPr>
          <w:rStyle w:val="IntenseEmphasis"/>
          <w:b w:val="0"/>
          <w:i w:val="0"/>
          <w:color w:val="auto"/>
        </w:rPr>
        <w:instrText xml:space="preserve"> REF _Ref374100931 \h </w:instrText>
      </w:r>
      <w:r w:rsidR="00672B64">
        <w:rPr>
          <w:rStyle w:val="IntenseEmphasis"/>
          <w:b w:val="0"/>
          <w:i w:val="0"/>
          <w:color w:val="auto"/>
        </w:rPr>
      </w:r>
      <w:r w:rsidR="00672B64">
        <w:rPr>
          <w:rStyle w:val="IntenseEmphasis"/>
          <w:b w:val="0"/>
          <w:i w:val="0"/>
          <w:color w:val="auto"/>
        </w:rPr>
        <w:fldChar w:fldCharType="separate"/>
      </w:r>
      <w:r w:rsidR="009C72FC" w:rsidRPr="00A56131">
        <w:t xml:space="preserve">Figure </w:t>
      </w:r>
      <w:r w:rsidR="009C72FC">
        <w:rPr>
          <w:noProof/>
        </w:rPr>
        <w:t>2</w:t>
      </w:r>
      <w:r w:rsidR="009C72FC">
        <w:noBreakHyphen/>
      </w:r>
      <w:r w:rsidR="009C72FC">
        <w:rPr>
          <w:noProof/>
        </w:rPr>
        <w:t>9</w:t>
      </w:r>
      <w:r w:rsidR="00672B64">
        <w:rPr>
          <w:rStyle w:val="IntenseEmphasis"/>
          <w:b w:val="0"/>
          <w:i w:val="0"/>
          <w:color w:val="auto"/>
        </w:rPr>
        <w:fldChar w:fldCharType="end"/>
      </w:r>
      <w:r w:rsidR="00714685">
        <w:rPr>
          <w:rStyle w:val="IntenseEmphasis"/>
          <w:b w:val="0"/>
          <w:i w:val="0"/>
          <w:color w:val="auto"/>
        </w:rPr>
        <w:t>)</w:t>
      </w:r>
      <w:r w:rsidR="008E5728">
        <w:rPr>
          <w:rStyle w:val="IntenseEmphasis"/>
          <w:b w:val="0"/>
          <w:i w:val="0"/>
          <w:color w:val="auto"/>
        </w:rPr>
        <w:t>.</w:t>
      </w:r>
      <w:r>
        <w:rPr>
          <w:rStyle w:val="FootnoteReference"/>
          <w:bCs/>
          <w:iCs/>
          <w:szCs w:val="22"/>
        </w:rPr>
        <w:footnoteReference w:id="37"/>
      </w:r>
    </w:p>
    <w:p w14:paraId="0869DB19" w14:textId="219EFCDF" w:rsidR="006206B3" w:rsidRDefault="00FF7355" w:rsidP="009F7D7B">
      <w:pPr>
        <w:pStyle w:val="Caption"/>
      </w:pPr>
      <w:bookmarkStart w:id="107" w:name="_Ref247534450"/>
      <w:r>
        <w:br w:type="column"/>
      </w:r>
      <w:bookmarkStart w:id="108" w:name="_Ref374100931"/>
      <w:bookmarkStart w:id="109" w:name="_Toc382313740"/>
      <w:r w:rsidR="006206B3" w:rsidRPr="00A56131">
        <w:lastRenderedPageBreak/>
        <w:t xml:space="preserve">Figure </w:t>
      </w:r>
      <w:fldSimple w:instr=" STYLEREF 1 \s ">
        <w:r w:rsidR="009C72FC">
          <w:rPr>
            <w:noProof/>
          </w:rPr>
          <w:t>2</w:t>
        </w:r>
      </w:fldSimple>
      <w:r w:rsidR="00A31FC7">
        <w:noBreakHyphen/>
      </w:r>
      <w:fldSimple w:instr=" SEQ Figure \* ARABIC \s 1 ">
        <w:r w:rsidR="009C72FC">
          <w:rPr>
            <w:noProof/>
          </w:rPr>
          <w:t>9</w:t>
        </w:r>
      </w:fldSimple>
      <w:bookmarkEnd w:id="107"/>
      <w:bookmarkEnd w:id="108"/>
      <w:r w:rsidR="002167FD">
        <w:t>:</w:t>
      </w:r>
      <w:r w:rsidR="002167FD">
        <w:tab/>
      </w:r>
      <w:r w:rsidR="006206B3">
        <w:t xml:space="preserve">Linear variation in demand/supply of </w:t>
      </w:r>
      <w:r w:rsidR="006206B3" w:rsidRPr="00A56131">
        <w:t>palliative care</w:t>
      </w:r>
      <w:r w:rsidR="006206B3">
        <w:t xml:space="preserve"> services (2010</w:t>
      </w:r>
      <w:r w:rsidR="006206B3" w:rsidRPr="00A56131">
        <w:t>-2015)</w:t>
      </w:r>
      <w:bookmarkEnd w:id="109"/>
    </w:p>
    <w:p w14:paraId="60070694" w14:textId="77777777" w:rsidR="006206B3" w:rsidRDefault="006206B3" w:rsidP="006206B3">
      <w:pPr>
        <w:pStyle w:val="AspexBodyStandard"/>
      </w:pPr>
      <w:r>
        <w:rPr>
          <w:noProof/>
          <w:lang w:eastAsia="en-AU"/>
        </w:rPr>
        <w:drawing>
          <wp:inline distT="0" distB="0" distL="0" distR="0" wp14:anchorId="73666A31" wp14:editId="3B04D595">
            <wp:extent cx="5723890" cy="2617752"/>
            <wp:effectExtent l="0" t="0" r="0" b="0"/>
            <wp:docPr id="6" name="Picture 17" descr="Linear variation in demand/supply of palliative care services (2010-2015) as discussed in Section 2.4.3" title="Figur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2617752"/>
                    </a:xfrm>
                    <a:prstGeom prst="rect">
                      <a:avLst/>
                    </a:prstGeom>
                    <a:noFill/>
                    <a:ln>
                      <a:noFill/>
                    </a:ln>
                  </pic:spPr>
                </pic:pic>
              </a:graphicData>
            </a:graphic>
          </wp:inline>
        </w:drawing>
      </w:r>
    </w:p>
    <w:p w14:paraId="089433F6" w14:textId="77777777" w:rsidR="006206B3" w:rsidRDefault="006206B3" w:rsidP="006206B3">
      <w:pPr>
        <w:pStyle w:val="Heading2"/>
      </w:pPr>
      <w:bookmarkStart w:id="110" w:name="_Toc382313815"/>
      <w:r>
        <w:t>Demand for specialist palliative care services</w:t>
      </w:r>
      <w:bookmarkEnd w:id="110"/>
    </w:p>
    <w:p w14:paraId="389A0FD4" w14:textId="77777777" w:rsidR="006206B3" w:rsidRDefault="006206B3" w:rsidP="006206B3">
      <w:pPr>
        <w:pStyle w:val="Heading3"/>
      </w:pPr>
      <w:bookmarkStart w:id="111" w:name="_Toc382313816"/>
      <w:r>
        <w:t>National estimates of GP referral to specialists</w:t>
      </w:r>
      <w:bookmarkEnd w:id="111"/>
    </w:p>
    <w:p w14:paraId="095DF8FB" w14:textId="77777777" w:rsidR="006206B3" w:rsidRDefault="006206B3" w:rsidP="006206B3">
      <w:pPr>
        <w:pStyle w:val="AspexBodyStandard"/>
      </w:pPr>
      <w:r>
        <w:t>As previously reported, around a quarter of all palliative care patients who are managed in general practices are referred to other services, however:</w:t>
      </w:r>
    </w:p>
    <w:p w14:paraId="75257B2A" w14:textId="7051B827" w:rsidR="006206B3" w:rsidRPr="002D2201" w:rsidRDefault="00C775BC" w:rsidP="00995447">
      <w:pPr>
        <w:pStyle w:val="AspexHighlightText"/>
        <w:spacing w:before="240"/>
        <w:rPr>
          <w:rStyle w:val="IntenseEmphasis"/>
        </w:rPr>
      </w:pPr>
      <w:r>
        <w:rPr>
          <w:rStyle w:val="IntenseEmphasis"/>
        </w:rPr>
        <w:t>Only one in twenty palliative care patients (6</w:t>
      </w:r>
      <w:r w:rsidR="006206B3" w:rsidRPr="002D2201">
        <w:rPr>
          <w:rStyle w:val="IntenseEmphasis"/>
        </w:rPr>
        <w:t>%) presenting to a general practice are referred to medical specialists.</w:t>
      </w:r>
      <w:r w:rsidR="00420D58">
        <w:rPr>
          <w:rStyle w:val="FootnoteReference"/>
          <w:b/>
          <w:bCs/>
          <w:i/>
          <w:iCs/>
          <w:color w:val="4F81BD" w:themeColor="accent1"/>
          <w:sz w:val="22"/>
          <w:szCs w:val="22"/>
        </w:rPr>
        <w:footnoteReference w:id="38"/>
      </w:r>
      <w:r w:rsidR="006206B3" w:rsidRPr="002D2201">
        <w:rPr>
          <w:rStyle w:val="IntenseEmphasis"/>
        </w:rPr>
        <w:t xml:space="preserve">  </w:t>
      </w:r>
    </w:p>
    <w:p w14:paraId="39F2ED20" w14:textId="77777777" w:rsidR="006206B3" w:rsidRPr="005D2F05" w:rsidRDefault="006206B3" w:rsidP="006206B3">
      <w:pPr>
        <w:pStyle w:val="AspexBodyStandard"/>
      </w:pPr>
      <w:r>
        <w:t xml:space="preserve">Around half of </w:t>
      </w:r>
      <w:r w:rsidR="00CE24BC">
        <w:t>all specialist medical</w:t>
      </w:r>
      <w:r>
        <w:t xml:space="preserve"> referrals are made to oncologists. Specific referrals to palliative care specialists are not reported in the BEACH data. In addition, the available data does not indicate whether patient referrals are made to specialists in public facilities or private consulting suites.</w:t>
      </w:r>
    </w:p>
    <w:p w14:paraId="377FA9A3" w14:textId="77777777" w:rsidR="006206B3" w:rsidRDefault="006206B3" w:rsidP="006206B3">
      <w:pPr>
        <w:pStyle w:val="Heading3"/>
      </w:pPr>
      <w:bookmarkStart w:id="112" w:name="_Toc382313817"/>
      <w:r>
        <w:t xml:space="preserve">National estimates of </w:t>
      </w:r>
      <w:r w:rsidR="00CE24BC">
        <w:t>other</w:t>
      </w:r>
      <w:r>
        <w:t xml:space="preserve"> referral</w:t>
      </w:r>
      <w:r w:rsidR="00CE24BC">
        <w:t>s</w:t>
      </w:r>
      <w:r>
        <w:t xml:space="preserve"> to specialists</w:t>
      </w:r>
      <w:bookmarkEnd w:id="112"/>
    </w:p>
    <w:p w14:paraId="379B90DB" w14:textId="77777777" w:rsidR="006206B3" w:rsidRDefault="006206B3" w:rsidP="006206B3">
      <w:pPr>
        <w:pStyle w:val="AspexBodyStandard"/>
      </w:pPr>
      <w:r>
        <w:t>In the public</w:t>
      </w:r>
      <w:r w:rsidR="00CE24BC">
        <w:t xml:space="preserve"> and private hospital</w:t>
      </w:r>
      <w:r>
        <w:t xml:space="preserve"> sector, a range of different specialist and non-specialist medical practitioners address the needs of patients with palliative care related problems. Whilst patients admitted or transferred to a palliative care stream (care type) may be more likely to receive services by a palliative care specialist, the larger proportion of patients receiving a diagnosis of </w:t>
      </w:r>
      <w:r w:rsidR="00CE24BC">
        <w:t xml:space="preserve">or otherwise classified as </w:t>
      </w:r>
      <w:r>
        <w:t xml:space="preserve">‘palliative care’ </w:t>
      </w:r>
      <w:r w:rsidR="00CE24BC">
        <w:t xml:space="preserve">in current national data collections </w:t>
      </w:r>
      <w:r>
        <w:t xml:space="preserve">may receive medical care from any other type of medical practitioner – with or without a corresponding referral for palliative care specialist involvement.  Accordingly: </w:t>
      </w:r>
    </w:p>
    <w:p w14:paraId="6610F5B3" w14:textId="77777777" w:rsidR="006206B3" w:rsidRDefault="00FE6CB4" w:rsidP="00995447">
      <w:pPr>
        <w:pStyle w:val="AspexHighlightText"/>
        <w:spacing w:before="240"/>
        <w:rPr>
          <w:rStyle w:val="IntenseEmphasis"/>
        </w:rPr>
      </w:pPr>
      <w:r>
        <w:rPr>
          <w:rStyle w:val="IntenseEmphasis"/>
        </w:rPr>
        <w:t xml:space="preserve">It </w:t>
      </w:r>
      <w:r w:rsidR="006206B3" w:rsidRPr="002D2201">
        <w:rPr>
          <w:rStyle w:val="IntenseEmphasis"/>
        </w:rPr>
        <w:t xml:space="preserve">is </w:t>
      </w:r>
      <w:r>
        <w:rPr>
          <w:rStyle w:val="IntenseEmphasis"/>
        </w:rPr>
        <w:t>not possible</w:t>
      </w:r>
      <w:r w:rsidR="006206B3" w:rsidRPr="002D2201">
        <w:rPr>
          <w:rStyle w:val="IntenseEmphasis"/>
        </w:rPr>
        <w:t xml:space="preserve"> to estimate the number of specific referrals to palliative care specialists in public </w:t>
      </w:r>
      <w:r w:rsidR="00CE24BC">
        <w:rPr>
          <w:rStyle w:val="IntenseEmphasis"/>
        </w:rPr>
        <w:t xml:space="preserve">and private </w:t>
      </w:r>
      <w:r w:rsidR="006206B3" w:rsidRPr="002D2201">
        <w:rPr>
          <w:rStyle w:val="IntenseEmphasis"/>
        </w:rPr>
        <w:t>hospitals across Australia</w:t>
      </w:r>
      <w:r>
        <w:rPr>
          <w:rStyle w:val="IntenseEmphasis"/>
        </w:rPr>
        <w:t xml:space="preserve"> from the</w:t>
      </w:r>
      <w:r w:rsidRPr="002D2201">
        <w:rPr>
          <w:rStyle w:val="IntenseEmphasis"/>
        </w:rPr>
        <w:t xml:space="preserve"> available data</w:t>
      </w:r>
      <w:r w:rsidR="006206B3" w:rsidRPr="002D2201">
        <w:rPr>
          <w:rStyle w:val="IntenseEmphasis"/>
        </w:rPr>
        <w:t xml:space="preserve">. </w:t>
      </w:r>
    </w:p>
    <w:p w14:paraId="33AED38E" w14:textId="77777777" w:rsidR="007479AD" w:rsidRDefault="00FF7355" w:rsidP="007479AD">
      <w:pPr>
        <w:pStyle w:val="Heading3"/>
      </w:pPr>
      <w:r>
        <w:br w:type="column"/>
      </w:r>
      <w:bookmarkStart w:id="113" w:name="_Toc382313818"/>
      <w:r w:rsidR="007479AD">
        <w:lastRenderedPageBreak/>
        <w:t>Influences upon estimation of demand for specialist services</w:t>
      </w:r>
      <w:bookmarkEnd w:id="113"/>
    </w:p>
    <w:p w14:paraId="54F6CE45" w14:textId="77777777" w:rsidR="004B484C" w:rsidRDefault="004B484C" w:rsidP="004B484C">
      <w:pPr>
        <w:pStyle w:val="AspexBodyStandard"/>
      </w:pPr>
      <w:r>
        <w:t>Estimates of demand for specialist services are likely to be influenced by a number of issues, including:</w:t>
      </w:r>
    </w:p>
    <w:p w14:paraId="1B54052F" w14:textId="19E09712" w:rsidR="004B484C" w:rsidRDefault="004B484C" w:rsidP="004B484C">
      <w:pPr>
        <w:pStyle w:val="AspexBullet1"/>
      </w:pPr>
      <w:r>
        <w:t xml:space="preserve">Constraints upon general practice referral: It is appreciated that the number of referrals from </w:t>
      </w:r>
      <w:r w:rsidR="00672B64">
        <w:t>GPs</w:t>
      </w:r>
      <w:r>
        <w:t xml:space="preserve"> for specialist assessment will be heavily influenced by the known availability of specialists and anticipated time to treatment for patients. Thus, current demand may also be constrained by supply. Referrals to </w:t>
      </w:r>
      <w:r w:rsidR="002A2727">
        <w:t>palliative medicine</w:t>
      </w:r>
      <w:r w:rsidRPr="00D270B7">
        <w:t xml:space="preserve"> </w:t>
      </w:r>
      <w:r>
        <w:t xml:space="preserve">specialists were not included in the BEACH data. Accordingly, it is highly likely that an increase in the supply of </w:t>
      </w:r>
      <w:r w:rsidR="002A2727">
        <w:t>palliative medicine</w:t>
      </w:r>
      <w:r w:rsidRPr="00D270B7">
        <w:t xml:space="preserve"> </w:t>
      </w:r>
      <w:r>
        <w:t xml:space="preserve">specialists may also generate demand for services (supply induced demand); </w:t>
      </w:r>
    </w:p>
    <w:p w14:paraId="0157A6EF" w14:textId="58104A74" w:rsidR="004B484C" w:rsidRDefault="004B484C" w:rsidP="004B484C">
      <w:pPr>
        <w:pStyle w:val="AspexBullet1"/>
      </w:pPr>
      <w:r>
        <w:t>Constraints upon public and private s</w:t>
      </w:r>
      <w:r w:rsidR="00672B64">
        <w:t>ector referral to specialists: p</w:t>
      </w:r>
      <w:r>
        <w:t xml:space="preserve">ublic and private sector medical practitioners encounter similar issues to those faced by </w:t>
      </w:r>
      <w:r w:rsidR="0081173A">
        <w:t>GPs</w:t>
      </w:r>
      <w:r>
        <w:t>.  Specialists base referrals upon the availability of palliative care specialists and the likely time it may take to receive an assessment for any given patient.  Accordingly, if more palliative care specialists are available in the public and private sector</w:t>
      </w:r>
      <w:r w:rsidR="00672B64">
        <w:t>s</w:t>
      </w:r>
      <w:r>
        <w:t>, a higher number of referrals may be anticipated (supply constrained demand); and</w:t>
      </w:r>
    </w:p>
    <w:p w14:paraId="1AABBD8C" w14:textId="040537D5" w:rsidR="004B484C" w:rsidRDefault="004B484C" w:rsidP="004B484C">
      <w:pPr>
        <w:pStyle w:val="AspexBullet1"/>
      </w:pPr>
      <w:r>
        <w:t xml:space="preserve">Exclusion of demand arising from other sources of referral: As previously identified, individuals may present for community palliative care services on a ‘self-referred’ basis, rather than presenting to their </w:t>
      </w:r>
      <w:r w:rsidR="0081173A">
        <w:t>GP</w:t>
      </w:r>
      <w:r>
        <w:t>.  Further, other medical specialists may also refer for palliative medical specialist assessment. Data on self-referrals was not available for analysis, and thus additional demand for specialist services is likely.</w:t>
      </w:r>
    </w:p>
    <w:p w14:paraId="49936978" w14:textId="77777777" w:rsidR="006206B3" w:rsidRDefault="006206B3" w:rsidP="006206B3">
      <w:pPr>
        <w:pStyle w:val="Heading2"/>
      </w:pPr>
      <w:bookmarkStart w:id="114" w:name="_Toc382313819"/>
      <w:r>
        <w:t>Supply of specialist palliative care services</w:t>
      </w:r>
      <w:bookmarkEnd w:id="114"/>
    </w:p>
    <w:p w14:paraId="3741FC1F" w14:textId="573BAB3D" w:rsidR="006206B3" w:rsidRDefault="006206B3" w:rsidP="006206B3">
      <w:pPr>
        <w:pStyle w:val="Heading3"/>
      </w:pPr>
      <w:bookmarkStart w:id="115" w:name="_Toc382313820"/>
      <w:r>
        <w:t xml:space="preserve">National estimates of private sector </w:t>
      </w:r>
      <w:r w:rsidR="0058583D">
        <w:t>s</w:t>
      </w:r>
      <w:r>
        <w:t>pecialist assessments</w:t>
      </w:r>
      <w:bookmarkEnd w:id="115"/>
    </w:p>
    <w:p w14:paraId="7971F30C" w14:textId="77777777" w:rsidR="004B7306" w:rsidRDefault="006206B3" w:rsidP="004B7306">
      <w:pPr>
        <w:pStyle w:val="AspexBodyStandard"/>
      </w:pPr>
      <w:r>
        <w:t xml:space="preserve">MBS data indicates that </w:t>
      </w:r>
      <w:r w:rsidR="00CE13BB">
        <w:t xml:space="preserve">138 </w:t>
      </w:r>
      <w:r>
        <w:t>palliative care specialists</w:t>
      </w:r>
      <w:r w:rsidR="00FC5965">
        <w:t xml:space="preserve"> were</w:t>
      </w:r>
      <w:r>
        <w:t xml:space="preserve"> </w:t>
      </w:r>
      <w:r w:rsidR="00800B4B">
        <w:t xml:space="preserve">registered </w:t>
      </w:r>
      <w:r w:rsidR="00CE13BB">
        <w:t>and billing</w:t>
      </w:r>
      <w:r w:rsidR="00800B4B">
        <w:t xml:space="preserve"> the MBS </w:t>
      </w:r>
      <w:r w:rsidR="00CE13BB">
        <w:t>in 2012-13</w:t>
      </w:r>
      <w:r w:rsidR="004B7306">
        <w:t xml:space="preserve">. Analysis of this data revealed that: </w:t>
      </w:r>
    </w:p>
    <w:p w14:paraId="2385FFA2" w14:textId="77777777" w:rsidR="004B7306" w:rsidRPr="004B7306" w:rsidRDefault="004B7306" w:rsidP="004B7306">
      <w:pPr>
        <w:pStyle w:val="AspexHighlightText"/>
        <w:spacing w:before="240"/>
        <w:rPr>
          <w:rStyle w:val="IntenseEmphasis"/>
        </w:rPr>
      </w:pPr>
      <w:r w:rsidRPr="004B7306">
        <w:rPr>
          <w:rStyle w:val="IntenseEmphasis"/>
        </w:rPr>
        <w:t>Palliative care specialists</w:t>
      </w:r>
      <w:r w:rsidR="00CE13BB" w:rsidRPr="004B7306">
        <w:rPr>
          <w:rStyle w:val="IntenseEmphasis"/>
        </w:rPr>
        <w:t xml:space="preserve"> </w:t>
      </w:r>
      <w:r w:rsidR="00A53C08" w:rsidRPr="004B7306">
        <w:rPr>
          <w:rStyle w:val="IntenseEmphasis"/>
        </w:rPr>
        <w:t xml:space="preserve">will have </w:t>
      </w:r>
      <w:r w:rsidR="006206B3" w:rsidRPr="004B7306">
        <w:rPr>
          <w:rStyle w:val="IntenseEmphasis"/>
        </w:rPr>
        <w:t xml:space="preserve">conducted </w:t>
      </w:r>
      <w:r w:rsidR="00800B4B" w:rsidRPr="004B7306">
        <w:rPr>
          <w:rStyle w:val="IntenseEmphasis"/>
        </w:rPr>
        <w:t>15,932</w:t>
      </w:r>
      <w:r w:rsidR="006206B3" w:rsidRPr="004B7306">
        <w:rPr>
          <w:rStyle w:val="IntenseEmphasis"/>
        </w:rPr>
        <w:t xml:space="preserve"> referred hospi</w:t>
      </w:r>
      <w:r w:rsidR="00800B4B" w:rsidRPr="004B7306">
        <w:rPr>
          <w:rStyle w:val="IntenseEmphasis"/>
        </w:rPr>
        <w:t>tal/</w:t>
      </w:r>
      <w:r w:rsidR="006206B3" w:rsidRPr="004B7306">
        <w:rPr>
          <w:rStyle w:val="IntenseEmphasis"/>
        </w:rPr>
        <w:t xml:space="preserve">consulting room </w:t>
      </w:r>
      <w:r w:rsidR="00800B4B" w:rsidRPr="004B7306">
        <w:rPr>
          <w:rStyle w:val="IntenseEmphasis"/>
        </w:rPr>
        <w:t xml:space="preserve">or home/residential aged care </w:t>
      </w:r>
      <w:r w:rsidR="006206B3" w:rsidRPr="004B7306">
        <w:rPr>
          <w:rStyle w:val="IntenseEmphasis"/>
        </w:rPr>
        <w:t>assessments</w:t>
      </w:r>
      <w:r w:rsidR="008E5728">
        <w:rPr>
          <w:rStyle w:val="IntenseEmphasis"/>
        </w:rPr>
        <w:t>.</w:t>
      </w:r>
      <w:r w:rsidR="006206B3" w:rsidRPr="004B7306">
        <w:rPr>
          <w:rStyle w:val="IntenseEmphasis"/>
          <w:vertAlign w:val="superscript"/>
        </w:rPr>
        <w:footnoteReference w:id="39"/>
      </w:r>
    </w:p>
    <w:p w14:paraId="66ACAF75" w14:textId="42715104" w:rsidR="006206B3" w:rsidRDefault="004B7306" w:rsidP="004B7306">
      <w:pPr>
        <w:pStyle w:val="AspexBodyStandard"/>
      </w:pPr>
      <w:r>
        <w:t xml:space="preserve">Importantly, </w:t>
      </w:r>
      <w:r w:rsidR="00B74A87">
        <w:t xml:space="preserve">(based upon current rates of growth) </w:t>
      </w:r>
      <w:r>
        <w:t>t</w:t>
      </w:r>
      <w:r w:rsidR="006206B3" w:rsidRPr="004B7306">
        <w:t xml:space="preserve">he total number of </w:t>
      </w:r>
      <w:r w:rsidR="00FC5965">
        <w:t xml:space="preserve">private </w:t>
      </w:r>
      <w:r w:rsidR="006206B3" w:rsidRPr="004B7306">
        <w:t xml:space="preserve">palliative care assessments is forecast to increase to around </w:t>
      </w:r>
      <w:r w:rsidR="00800B4B" w:rsidRPr="004B7306">
        <w:t>19,419</w:t>
      </w:r>
      <w:r w:rsidR="006206B3" w:rsidRPr="004B7306">
        <w:t xml:space="preserve"> by 2014-15.  </w:t>
      </w:r>
    </w:p>
    <w:p w14:paraId="09D411E5" w14:textId="77777777" w:rsidR="006206B3" w:rsidRPr="00093590" w:rsidRDefault="006206B3" w:rsidP="006206B3">
      <w:pPr>
        <w:pStyle w:val="Heading3"/>
      </w:pPr>
      <w:bookmarkStart w:id="116" w:name="_Toc382313821"/>
      <w:r>
        <w:t>National estimates of public sector medical assessments</w:t>
      </w:r>
      <w:bookmarkEnd w:id="116"/>
    </w:p>
    <w:p w14:paraId="27BF315F" w14:textId="77777777" w:rsidR="00252AF5" w:rsidRDefault="00814306" w:rsidP="006206B3">
      <w:pPr>
        <w:pStyle w:val="AspexBodyStandard"/>
      </w:pPr>
      <w:r>
        <w:t xml:space="preserve">National estimates of public sector medical assessments undertaken by palliative care specialists are currently unavailable. Accordingly, based upon a limited number of key assumptions </w:t>
      </w:r>
      <w:r w:rsidR="00FE4685">
        <w:t xml:space="preserve">(outlined below) </w:t>
      </w:r>
      <w:r>
        <w:t>they were derived from available MBS data.</w:t>
      </w:r>
    </w:p>
    <w:p w14:paraId="6CD5BF4F" w14:textId="77777777" w:rsidR="0080768E" w:rsidRDefault="00FF7355" w:rsidP="006206B3">
      <w:pPr>
        <w:pStyle w:val="AspexBodyStandard"/>
      </w:pPr>
      <w:r>
        <w:br w:type="column"/>
      </w:r>
      <w:r w:rsidR="0080768E">
        <w:lastRenderedPageBreak/>
        <w:t xml:space="preserve">In relation to the palliative care </w:t>
      </w:r>
      <w:r w:rsidR="0080768E" w:rsidRPr="008C0840">
        <w:rPr>
          <w:i/>
        </w:rPr>
        <w:t>specialist workforce</w:t>
      </w:r>
      <w:r w:rsidR="008E5728">
        <w:rPr>
          <w:i/>
        </w:rPr>
        <w:t>,</w:t>
      </w:r>
      <w:r w:rsidR="0080768E">
        <w:rPr>
          <w:rStyle w:val="FootnoteReference"/>
        </w:rPr>
        <w:footnoteReference w:id="40"/>
      </w:r>
      <w:r w:rsidR="0080768E">
        <w:t xml:space="preserve"> it was assumed that:</w:t>
      </w:r>
    </w:p>
    <w:p w14:paraId="5F192392" w14:textId="4C689ED2" w:rsidR="0080768E" w:rsidRDefault="0080768E" w:rsidP="0080768E">
      <w:pPr>
        <w:pStyle w:val="AspexBullet1"/>
      </w:pPr>
      <w:r>
        <w:t xml:space="preserve">The current membership of 243 </w:t>
      </w:r>
      <w:r w:rsidR="00900CFA">
        <w:t xml:space="preserve">Australian </w:t>
      </w:r>
      <w:r>
        <w:t>fellows (in 2012-13) w</w:t>
      </w:r>
      <w:r w:rsidR="00FC5965">
        <w:t>ere</w:t>
      </w:r>
      <w:r>
        <w:t xml:space="preserve"> working a Full Time Equivalent (FTE) of </w:t>
      </w:r>
      <w:r w:rsidR="00900CFA">
        <w:t>140</w:t>
      </w:r>
      <w:r>
        <w:t xml:space="preserve"> positions across Australia</w:t>
      </w:r>
      <w:r w:rsidR="008E5728">
        <w:t>;</w:t>
      </w:r>
      <w:r>
        <w:rPr>
          <w:rStyle w:val="FootnoteReference"/>
        </w:rPr>
        <w:footnoteReference w:id="41"/>
      </w:r>
    </w:p>
    <w:p w14:paraId="62768B34" w14:textId="77777777" w:rsidR="002F7AA0" w:rsidRDefault="002F7AA0" w:rsidP="0080768E">
      <w:pPr>
        <w:pStyle w:val="AspexBullet1"/>
      </w:pPr>
      <w:r>
        <w:t>The total FTE workforce would equate to 206,388 hours of employment across the private and public sector each year in Australia.</w:t>
      </w:r>
    </w:p>
    <w:p w14:paraId="78C72AB2" w14:textId="77777777" w:rsidR="00814306" w:rsidRDefault="00FE4685" w:rsidP="006206B3">
      <w:pPr>
        <w:pStyle w:val="AspexBodyStandard"/>
      </w:pPr>
      <w:r>
        <w:t>Where</w:t>
      </w:r>
      <w:r w:rsidR="002F7AA0">
        <w:t xml:space="preserve"> </w:t>
      </w:r>
      <w:r>
        <w:t xml:space="preserve">specialists were undertaking </w:t>
      </w:r>
      <w:r w:rsidRPr="008C0840">
        <w:rPr>
          <w:i/>
        </w:rPr>
        <w:t>private sector employment</w:t>
      </w:r>
      <w:r w:rsidR="008C0840">
        <w:t xml:space="preserve"> in a hospital, hospice, residential aged care or other community environment</w:t>
      </w:r>
      <w:r w:rsidR="00814306">
        <w:t>, it was assumed that</w:t>
      </w:r>
      <w:r w:rsidR="008C0840">
        <w:t xml:space="preserve"> (on average)</w:t>
      </w:r>
      <w:r w:rsidR="002F7AA0">
        <w:t>:</w:t>
      </w:r>
    </w:p>
    <w:p w14:paraId="0BBDE295" w14:textId="77777777" w:rsidR="002F7AA0" w:rsidRDefault="002F7AA0" w:rsidP="002F7AA0">
      <w:pPr>
        <w:pStyle w:val="AspexBullet1"/>
      </w:pPr>
      <w:r>
        <w:t xml:space="preserve">One hour of time was devoted on average to each initial attendance conducted by a palliative care specialist </w:t>
      </w:r>
      <w:r w:rsidR="00FE4685">
        <w:t xml:space="preserve">registered on the MBS </w:t>
      </w:r>
      <w:r>
        <w:t xml:space="preserve">(billed under items 3005, 110, 132, or 3018); </w:t>
      </w:r>
    </w:p>
    <w:p w14:paraId="0EAA219C" w14:textId="77777777" w:rsidR="002F7AA0" w:rsidRDefault="002F7AA0" w:rsidP="002F7AA0">
      <w:pPr>
        <w:pStyle w:val="AspexBullet1"/>
      </w:pPr>
      <w:r>
        <w:t>Half an hour of time was devoted on average to each subsequent attendance conducted by a</w:t>
      </w:r>
      <w:r w:rsidR="00FE4685">
        <w:t xml:space="preserve"> palliative care specialist registered on the MBS (billed under items 3010, 116, 133, or 3023);</w:t>
      </w:r>
    </w:p>
    <w:p w14:paraId="2FD808FB" w14:textId="5F19C520" w:rsidR="00BB107D" w:rsidRDefault="00BB107D" w:rsidP="00BB107D">
      <w:pPr>
        <w:pStyle w:val="AspexBullet1"/>
      </w:pPr>
      <w:r>
        <w:t>All private sector work was ‘patient related’ and thus would represent 100% of clinical time spent in private sector employment.</w:t>
      </w:r>
    </w:p>
    <w:p w14:paraId="0081FBA2" w14:textId="6292B666" w:rsidR="00FE4685" w:rsidRDefault="00FC5965" w:rsidP="004C3A0B">
      <w:pPr>
        <w:pStyle w:val="AspexBodyStandard"/>
      </w:pPr>
      <w:r>
        <w:t>C</w:t>
      </w:r>
      <w:r w:rsidR="00FE4685">
        <w:t xml:space="preserve">ounting of recorded (and forecast) MBS data for the 2012-13 financial </w:t>
      </w:r>
      <w:proofErr w:type="gramStart"/>
      <w:r w:rsidR="00FE4685">
        <w:t>year</w:t>
      </w:r>
      <w:proofErr w:type="gramEnd"/>
      <w:r w:rsidR="00FE4685">
        <w:t xml:space="preserve"> </w:t>
      </w:r>
      <w:r w:rsidR="004B7306">
        <w:t>according to</w:t>
      </w:r>
      <w:r w:rsidR="00FE4685">
        <w:t xml:space="preserve"> these assumptions would result in 46,219 hours of patient attendance</w:t>
      </w:r>
      <w:r w:rsidR="00BB107D">
        <w:t>.</w:t>
      </w:r>
      <w:r w:rsidR="00FE4685">
        <w:rPr>
          <w:rStyle w:val="FootnoteReference"/>
        </w:rPr>
        <w:footnoteReference w:id="42"/>
      </w:r>
      <w:r w:rsidR="00BB107D">
        <w:t xml:space="preserve">  T</w:t>
      </w:r>
      <w:r w:rsidR="008C0840">
        <w:t>hese hours represented 22% of FTE employment across the fellowship</w:t>
      </w:r>
      <w:r w:rsidR="00BB107D">
        <w:t>.</w:t>
      </w:r>
      <w:r w:rsidR="008C0840">
        <w:rPr>
          <w:rStyle w:val="FootnoteReference"/>
        </w:rPr>
        <w:footnoteReference w:id="43"/>
      </w:r>
    </w:p>
    <w:p w14:paraId="13E4E581" w14:textId="77777777" w:rsidR="00FE4685" w:rsidRDefault="00FE4685" w:rsidP="00FE4685">
      <w:pPr>
        <w:pStyle w:val="AspexBodyStandard"/>
      </w:pPr>
      <w:r>
        <w:t xml:space="preserve">Where specialists were undertaking </w:t>
      </w:r>
      <w:r w:rsidRPr="008C0840">
        <w:rPr>
          <w:i/>
        </w:rPr>
        <w:t>public sector employment</w:t>
      </w:r>
      <w:r w:rsidR="008C0840">
        <w:t xml:space="preserve"> in a hospital, hospice, residential aged care or other community environment</w:t>
      </w:r>
      <w:r>
        <w:t>, it was assumed that</w:t>
      </w:r>
      <w:r w:rsidR="008C0840">
        <w:t xml:space="preserve"> (on average)</w:t>
      </w:r>
      <w:r>
        <w:t>:</w:t>
      </w:r>
    </w:p>
    <w:p w14:paraId="4F454BE2" w14:textId="77777777" w:rsidR="00A0294C" w:rsidRDefault="00A0294C" w:rsidP="008C0840">
      <w:pPr>
        <w:pStyle w:val="AspexBullet1"/>
      </w:pPr>
      <w:r>
        <w:t>All remaining FTE employment (78%) would be spent in the public sector;</w:t>
      </w:r>
    </w:p>
    <w:p w14:paraId="307D0045" w14:textId="20CBC553" w:rsidR="00A0294C" w:rsidRDefault="00BB107D" w:rsidP="008C0840">
      <w:pPr>
        <w:pStyle w:val="AspexBullet1"/>
      </w:pPr>
      <w:r>
        <w:t>A</w:t>
      </w:r>
      <w:r w:rsidR="00A0294C">
        <w:t>round 70% of all public sector work was ‘patient related’, to account for time spent in administration (1 session), clinical teaching (1 session), and research or continuing professional development (1 session)</w:t>
      </w:r>
      <w:r w:rsidR="008E5728">
        <w:t>;</w:t>
      </w:r>
      <w:r w:rsidR="00A0294C">
        <w:rPr>
          <w:rStyle w:val="FootnoteReference"/>
        </w:rPr>
        <w:footnoteReference w:id="44"/>
      </w:r>
      <w:r w:rsidR="00A0294C">
        <w:t xml:space="preserve"> and</w:t>
      </w:r>
    </w:p>
    <w:p w14:paraId="46802D16" w14:textId="77777777" w:rsidR="00814306" w:rsidRDefault="008C0840" w:rsidP="008C0840">
      <w:pPr>
        <w:pStyle w:val="AspexBullet1"/>
      </w:pPr>
      <w:r>
        <w:t xml:space="preserve">The </w:t>
      </w:r>
      <w:r w:rsidR="00A0294C">
        <w:t>ratio of initial-to-</w:t>
      </w:r>
      <w:r>
        <w:t>subsequent attendances would be equivalent to those spent in the private sector</w:t>
      </w:r>
      <w:r w:rsidR="00A0294C">
        <w:t xml:space="preserve"> (even though the time allocated to each type of attendance may be subject to greater variation)</w:t>
      </w:r>
      <w:r>
        <w:t>;</w:t>
      </w:r>
      <w:r w:rsidR="00A0294C">
        <w:t xml:space="preserve"> accordingly</w:t>
      </w:r>
      <w:r w:rsidR="004B7306">
        <w:t>:</w:t>
      </w:r>
    </w:p>
    <w:p w14:paraId="3E4E6C8D" w14:textId="77777777" w:rsidR="008C0840" w:rsidRPr="004B7306" w:rsidRDefault="00A0294C" w:rsidP="004B7306">
      <w:pPr>
        <w:pStyle w:val="AspexHighlightText"/>
        <w:spacing w:before="240"/>
        <w:rPr>
          <w:rStyle w:val="IntenseEmphasis"/>
        </w:rPr>
      </w:pPr>
      <w:r w:rsidRPr="004B7306">
        <w:rPr>
          <w:rStyle w:val="IntenseEmphasis"/>
        </w:rPr>
        <w:t>The numb</w:t>
      </w:r>
      <w:r w:rsidR="004B7306" w:rsidRPr="004B7306">
        <w:rPr>
          <w:rStyle w:val="IntenseEmphasis"/>
        </w:rPr>
        <w:t>er of palliative care specialist assessments in the public sector was estimated to be around 36,648 per annum</w:t>
      </w:r>
      <w:r w:rsidR="004B7306">
        <w:rPr>
          <w:rStyle w:val="FootnoteReference"/>
          <w:b/>
          <w:bCs/>
          <w:i/>
          <w:iCs/>
          <w:color w:val="4F81BD" w:themeColor="accent1"/>
          <w:sz w:val="22"/>
          <w:szCs w:val="22"/>
        </w:rPr>
        <w:footnoteReference w:id="45"/>
      </w:r>
    </w:p>
    <w:p w14:paraId="61A7229B" w14:textId="77777777" w:rsidR="006206B3" w:rsidRDefault="006206B3" w:rsidP="006206B3">
      <w:pPr>
        <w:pStyle w:val="Heading2"/>
      </w:pPr>
      <w:bookmarkStart w:id="117" w:name="_Toc382313822"/>
      <w:r>
        <w:lastRenderedPageBreak/>
        <w:t>Potential unmet demand for specialist services</w:t>
      </w:r>
      <w:bookmarkEnd w:id="117"/>
    </w:p>
    <w:p w14:paraId="63E775CA" w14:textId="445DB5C1" w:rsidR="006206B3" w:rsidRDefault="006206B3" w:rsidP="006206B3">
      <w:pPr>
        <w:pStyle w:val="AspexBodyStandard"/>
      </w:pPr>
      <w:r>
        <w:t>If it were accepted (based upon prior assumptions</w:t>
      </w:r>
      <w:r w:rsidR="00061C1B">
        <w:t xml:space="preserve"> and available data</w:t>
      </w:r>
      <w:r>
        <w:t>) that</w:t>
      </w:r>
      <w:r w:rsidR="00BB107D">
        <w:t xml:space="preserve"> the</w:t>
      </w:r>
      <w:r>
        <w:t xml:space="preserve"> actual</w:t>
      </w:r>
      <w:r w:rsidR="00BB107D">
        <w:t>s</w:t>
      </w:r>
      <w:r>
        <w:t xml:space="preserve"> or </w:t>
      </w:r>
      <w:r w:rsidR="00061C1B">
        <w:t>estimates are a reasonable</w:t>
      </w:r>
      <w:r>
        <w:t xml:space="preserve"> reflection of the demand and supply of palliative care services across Australia, then at the end of the 2012-13 financial year:</w:t>
      </w:r>
    </w:p>
    <w:p w14:paraId="419EAC49" w14:textId="77777777" w:rsidR="006206B3" w:rsidRDefault="006206B3" w:rsidP="006206B3">
      <w:pPr>
        <w:pStyle w:val="AspexBullet1"/>
        <w:spacing w:before="60" w:after="0"/>
      </w:pPr>
      <w:r>
        <w:t>At least 88,</w:t>
      </w:r>
      <w:r w:rsidR="00061C1B">
        <w:t>749</w:t>
      </w:r>
      <w:r>
        <w:t xml:space="preserve"> Australians may have benefited from palliative care specialist intervention (a probable under</w:t>
      </w:r>
      <w:r w:rsidR="00BB107D">
        <w:t>-</w:t>
      </w:r>
      <w:r>
        <w:t>count of true demand)</w:t>
      </w:r>
      <w:r w:rsidR="00BB107D">
        <w:t xml:space="preserve"> (Page 29)</w:t>
      </w:r>
      <w:r>
        <w:t>;</w:t>
      </w:r>
    </w:p>
    <w:p w14:paraId="7F44478E" w14:textId="5A127438" w:rsidR="006206B3" w:rsidRDefault="006206B3" w:rsidP="006206B3">
      <w:pPr>
        <w:pStyle w:val="AspexBullet1"/>
        <w:spacing w:before="60" w:after="0"/>
      </w:pPr>
      <w:r>
        <w:t xml:space="preserve">Around </w:t>
      </w:r>
      <w:r w:rsidR="00061C1B">
        <w:t>15,932</w:t>
      </w:r>
      <w:r>
        <w:t xml:space="preserve"> Australians received one or more palliative care specialist assessment in private hospitals (a </w:t>
      </w:r>
      <w:r w:rsidR="00061C1B">
        <w:t>probable</w:t>
      </w:r>
      <w:r>
        <w:t xml:space="preserve"> over</w:t>
      </w:r>
      <w:r w:rsidR="00BB107D">
        <w:t>-</w:t>
      </w:r>
      <w:r>
        <w:t>count of actual supply)</w:t>
      </w:r>
      <w:r w:rsidR="00BB107D">
        <w:t xml:space="preserve"> (Page 34)</w:t>
      </w:r>
      <w:r>
        <w:t>; and</w:t>
      </w:r>
    </w:p>
    <w:p w14:paraId="797A0705" w14:textId="110170A6" w:rsidR="00BB107D" w:rsidRDefault="006206B3" w:rsidP="006206B3">
      <w:pPr>
        <w:pStyle w:val="AspexBullet1"/>
        <w:spacing w:before="60" w:after="0"/>
      </w:pPr>
      <w:r>
        <w:t xml:space="preserve">Around </w:t>
      </w:r>
      <w:r w:rsidR="00061C1B">
        <w:t>36,648</w:t>
      </w:r>
      <w:r>
        <w:t xml:space="preserve"> Australians received one or more palliative care specialist assessment</w:t>
      </w:r>
      <w:r w:rsidR="00BB107D">
        <w:t>s</w:t>
      </w:r>
      <w:r>
        <w:t xml:space="preserve"> in public hospitals (a probable over</w:t>
      </w:r>
      <w:r w:rsidR="00BB107D">
        <w:t>-</w:t>
      </w:r>
      <w:r>
        <w:t>count of actual supply)</w:t>
      </w:r>
      <w:r w:rsidR="00BB107D">
        <w:t xml:space="preserve"> (Page 35).</w:t>
      </w:r>
    </w:p>
    <w:p w14:paraId="596C5582" w14:textId="7F4B3DC8" w:rsidR="006206B3" w:rsidRDefault="00BB107D" w:rsidP="004C3A0B">
      <w:pPr>
        <w:pStyle w:val="AspexBodyStandard"/>
      </w:pPr>
      <w:r>
        <w:t>This in turn means that:</w:t>
      </w:r>
    </w:p>
    <w:p w14:paraId="2C193E76" w14:textId="77777777" w:rsidR="006206B3" w:rsidRPr="007D1C53" w:rsidRDefault="006206B3" w:rsidP="00762833">
      <w:pPr>
        <w:pStyle w:val="AspexHighlightText"/>
        <w:spacing w:before="240"/>
        <w:rPr>
          <w:rStyle w:val="IntenseEmphasis"/>
        </w:rPr>
      </w:pPr>
      <w:r w:rsidRPr="007D1C53">
        <w:rPr>
          <w:rStyle w:val="IntenseEmphasis"/>
        </w:rPr>
        <w:t xml:space="preserve">At least </w:t>
      </w:r>
      <w:r w:rsidR="00061C1B">
        <w:rPr>
          <w:rStyle w:val="IntenseEmphasis"/>
        </w:rPr>
        <w:t>34,169</w:t>
      </w:r>
      <w:r w:rsidRPr="007D1C53">
        <w:rPr>
          <w:rStyle w:val="IntenseEmphasis"/>
        </w:rPr>
        <w:t xml:space="preserve"> Australians who may have benefited from specialist palliative care intervention </w:t>
      </w:r>
      <w:r>
        <w:rPr>
          <w:rStyle w:val="IntenseEmphasis"/>
        </w:rPr>
        <w:t xml:space="preserve">in 2012-13 </w:t>
      </w:r>
      <w:r w:rsidRPr="007D1C53">
        <w:rPr>
          <w:rStyle w:val="IntenseEmphasis"/>
        </w:rPr>
        <w:t>did not receive these services.</w:t>
      </w:r>
    </w:p>
    <w:p w14:paraId="5F7DED5D" w14:textId="5D2E55CD" w:rsidR="006206B3" w:rsidRPr="004A1D51" w:rsidRDefault="006206B3" w:rsidP="004A1D51">
      <w:pPr>
        <w:pStyle w:val="AspexBodyStandard"/>
      </w:pPr>
      <w:r>
        <w:t xml:space="preserve">Whilst it is acknowledged that </w:t>
      </w:r>
      <w:r w:rsidR="00CA33B3">
        <w:t>GPs</w:t>
      </w:r>
      <w:r w:rsidRPr="0061428F">
        <w:t xml:space="preserve"> </w:t>
      </w:r>
      <w:r>
        <w:t xml:space="preserve">and other specialists may be managing patient palliation, their clinical </w:t>
      </w:r>
      <w:r w:rsidR="00061C1B">
        <w:t>training and available time</w:t>
      </w:r>
      <w:r>
        <w:t xml:space="preserve"> to address all facets of end</w:t>
      </w:r>
      <w:r w:rsidR="00BB107D">
        <w:t>-</w:t>
      </w:r>
      <w:r>
        <w:t>of</w:t>
      </w:r>
      <w:r w:rsidR="00BB107D">
        <w:t>-</w:t>
      </w:r>
      <w:r>
        <w:t xml:space="preserve">life care </w:t>
      </w:r>
      <w:r w:rsidR="00762833">
        <w:t>is difficult to identify</w:t>
      </w:r>
      <w:r w:rsidR="00061C1B">
        <w:t xml:space="preserve">. </w:t>
      </w:r>
      <w:r>
        <w:t>Accordingly</w:t>
      </w:r>
      <w:r w:rsidR="00762833">
        <w:t>, at a minimum</w:t>
      </w:r>
      <w:r>
        <w:t xml:space="preserve"> it is reasonable to assume that</w:t>
      </w:r>
      <w:r w:rsidR="004A1D51">
        <w:t xml:space="preserve"> m</w:t>
      </w:r>
      <w:r w:rsidR="00762833" w:rsidRPr="004A1D51">
        <w:rPr>
          <w:bCs/>
          <w:iCs/>
        </w:rPr>
        <w:t>ore than</w:t>
      </w:r>
      <w:r w:rsidRPr="004A1D51">
        <w:rPr>
          <w:bCs/>
          <w:iCs/>
        </w:rPr>
        <w:t xml:space="preserve"> one in three Australians (</w:t>
      </w:r>
      <w:r w:rsidR="00762833" w:rsidRPr="004A1D51">
        <w:rPr>
          <w:bCs/>
          <w:iCs/>
        </w:rPr>
        <w:t>39</w:t>
      </w:r>
      <w:r w:rsidRPr="004A1D51">
        <w:rPr>
          <w:bCs/>
          <w:iCs/>
        </w:rPr>
        <w:t xml:space="preserve">%) may die each year without appropriate </w:t>
      </w:r>
      <w:r w:rsidR="00762833" w:rsidRPr="004A1D51">
        <w:rPr>
          <w:bCs/>
          <w:iCs/>
        </w:rPr>
        <w:t xml:space="preserve">specialist </w:t>
      </w:r>
      <w:r w:rsidRPr="004A1D51">
        <w:rPr>
          <w:bCs/>
          <w:iCs/>
        </w:rPr>
        <w:t>support for end of life management.</w:t>
      </w:r>
    </w:p>
    <w:p w14:paraId="7D07E0F9" w14:textId="730BA872" w:rsidR="00762833" w:rsidRPr="00762833" w:rsidRDefault="00762833" w:rsidP="00762833">
      <w:pPr>
        <w:pStyle w:val="AspexBodyStandard"/>
      </w:pPr>
      <w:r>
        <w:t xml:space="preserve">When </w:t>
      </w:r>
      <w:r w:rsidR="00CA33B3">
        <w:t>GP</w:t>
      </w:r>
      <w:r>
        <w:t xml:space="preserve"> management of an estimated </w:t>
      </w:r>
      <w:r w:rsidR="00722901">
        <w:t>17,392</w:t>
      </w:r>
      <w:r>
        <w:t xml:space="preserve"> palliative care type patients is factored into consideration it would appear that at best:</w:t>
      </w:r>
    </w:p>
    <w:p w14:paraId="324EA8A5" w14:textId="77777777" w:rsidR="00762833" w:rsidRPr="0061428F" w:rsidRDefault="00762833" w:rsidP="00762833">
      <w:pPr>
        <w:pStyle w:val="AspexHighlightText"/>
        <w:spacing w:before="240"/>
        <w:rPr>
          <w:rStyle w:val="IntenseEmphasis"/>
        </w:rPr>
      </w:pPr>
      <w:r>
        <w:rPr>
          <w:rStyle w:val="IntenseEmphasis"/>
        </w:rPr>
        <w:t>Around one in five Australians (19%) may die each year without any appropriately qualified medical support for end of life management.</w:t>
      </w:r>
    </w:p>
    <w:p w14:paraId="0EA882E8" w14:textId="77777777" w:rsidR="006206B3" w:rsidRDefault="006206B3" w:rsidP="006206B3">
      <w:pPr>
        <w:pStyle w:val="Heading2"/>
      </w:pPr>
      <w:bookmarkStart w:id="118" w:name="_Toc382313823"/>
      <w:r>
        <w:t>The consequences of unmet demand</w:t>
      </w:r>
      <w:bookmarkEnd w:id="118"/>
    </w:p>
    <w:p w14:paraId="71B2C443" w14:textId="77777777" w:rsidR="00E06FEE" w:rsidRDefault="00E06FEE" w:rsidP="00E06FEE">
      <w:pPr>
        <w:pStyle w:val="Heading3"/>
      </w:pPr>
      <w:bookmarkStart w:id="119" w:name="_Toc382313824"/>
      <w:r>
        <w:t>General considerations</w:t>
      </w:r>
      <w:bookmarkEnd w:id="119"/>
    </w:p>
    <w:p w14:paraId="72203134" w14:textId="77777777" w:rsidR="00F258A2" w:rsidRDefault="00F258A2" w:rsidP="006206B3">
      <w:pPr>
        <w:pStyle w:val="AspexBodyStandard"/>
      </w:pPr>
      <w:r w:rsidRPr="00F258A2">
        <w:t>The consequences</w:t>
      </w:r>
      <w:r>
        <w:t xml:space="preserve"> of unmet demand for palliative care services in general, and palliative care medical specialist services in particular, are extremely difficult to measure.</w:t>
      </w:r>
      <w:r w:rsidR="004A1D51">
        <w:t xml:space="preserve"> </w:t>
      </w:r>
      <w:r>
        <w:t xml:space="preserve">First, it is virtually impossible to place a value on the full range of potential services provided to maximise quality of life for individual patients and carers facing an illness with little or no prospect of cure. Aside from self-reported outcomes described by consumers of palliative care services, some measure of service ‘utility’ would appear to be appropriate (e.g., quality adjusted life years or quality adjusted life days depending upon the duration of a given illness).  Unfortunately, these studies are not </w:t>
      </w:r>
      <w:r w:rsidR="001D06A9">
        <w:t xml:space="preserve">available in the palliative care literature. Even if such studies were undertaken, it should also be noted that a great deal of </w:t>
      </w:r>
      <w:r w:rsidR="006A5B49">
        <w:t xml:space="preserve">clinical and academic </w:t>
      </w:r>
      <w:r w:rsidR="001D06A9">
        <w:t xml:space="preserve">controversy surrounds the use of </w:t>
      </w:r>
      <w:r w:rsidR="004A1D51">
        <w:t>utility-based outcome</w:t>
      </w:r>
      <w:r w:rsidR="001D06A9">
        <w:t xml:space="preserve"> measures</w:t>
      </w:r>
      <w:r w:rsidR="008E5728">
        <w:t>.</w:t>
      </w:r>
      <w:r w:rsidR="001D06A9">
        <w:rPr>
          <w:rStyle w:val="FootnoteReference"/>
        </w:rPr>
        <w:footnoteReference w:id="46"/>
      </w:r>
    </w:p>
    <w:p w14:paraId="580C8343" w14:textId="77777777" w:rsidR="009C2677" w:rsidRDefault="009C2677" w:rsidP="006206B3">
      <w:pPr>
        <w:pStyle w:val="AspexBodyStandard"/>
      </w:pPr>
      <w:r>
        <w:lastRenderedPageBreak/>
        <w:t>A second</w:t>
      </w:r>
      <w:r w:rsidR="00CA33B3">
        <w:t>,</w:t>
      </w:r>
      <w:r>
        <w:t xml:space="preserve"> and equally challenging </w:t>
      </w:r>
      <w:r w:rsidR="00CA33B3">
        <w:t>task,</w:t>
      </w:r>
      <w:r>
        <w:t xml:space="preserve"> is the difficulty distinguishing the ‘relative contribution’ of palliative care medical specialists to the outcomes achieved by a range of different service providers</w:t>
      </w:r>
      <w:r w:rsidR="0032548B">
        <w:t xml:space="preserve"> and clinical interventions</w:t>
      </w:r>
      <w:r>
        <w:t>.  Palliative care by definition is delivered in a multi-disciplinary context.  Whilst the outcomes ass</w:t>
      </w:r>
      <w:r w:rsidR="0032548B">
        <w:t xml:space="preserve">ociated with specific procedural, pharmacological, psychosocial, or spiritual interventions can theoretically be independently assessed; the capacity to attribute any single intervention to an overall patient outcome (e.g. </w:t>
      </w:r>
      <w:r w:rsidR="006A58C9">
        <w:t xml:space="preserve">chronic </w:t>
      </w:r>
      <w:r w:rsidR="0032548B">
        <w:t>pain management) remains difficult.</w:t>
      </w:r>
    </w:p>
    <w:p w14:paraId="7314866A" w14:textId="51F02B8D" w:rsidR="0032548B" w:rsidRPr="00F258A2" w:rsidRDefault="0032548B" w:rsidP="006206B3">
      <w:pPr>
        <w:pStyle w:val="AspexBodyStandard"/>
      </w:pPr>
      <w:r>
        <w:t xml:space="preserve">Thus, what remains is an attempt to identify more general estimations of the potential financial benefits associated with the delivery of palliative care (as a package of services) across a range of different clinical contexts.  Limited research has been presented in this area. Where </w:t>
      </w:r>
      <w:r w:rsidR="006A58C9">
        <w:t xml:space="preserve">the </w:t>
      </w:r>
      <w:r>
        <w:t xml:space="preserve">financial benefits of </w:t>
      </w:r>
      <w:r w:rsidR="006A58C9">
        <w:t>alternative/substitutable</w:t>
      </w:r>
      <w:r>
        <w:t xml:space="preserve"> contexts for </w:t>
      </w:r>
      <w:r w:rsidR="006A58C9">
        <w:t xml:space="preserve">clinical </w:t>
      </w:r>
      <w:r>
        <w:t>service delivery have been undertaken, they indicate that palliative care</w:t>
      </w:r>
      <w:r w:rsidR="00ED60F4">
        <w:t>, particularly when</w:t>
      </w:r>
      <w:r>
        <w:t xml:space="preserve"> delivered in a community setting</w:t>
      </w:r>
      <w:r w:rsidR="00ED60F4">
        <w:t>,</w:t>
      </w:r>
      <w:r>
        <w:t xml:space="preserve"> can prevent the number and </w:t>
      </w:r>
      <w:r w:rsidR="006A58C9">
        <w:t>duration</w:t>
      </w:r>
      <w:r>
        <w:t xml:space="preserve"> of hospital admissions</w:t>
      </w:r>
      <w:r w:rsidR="006A58C9">
        <w:t xml:space="preserve"> for palliative care patients</w:t>
      </w:r>
      <w:r w:rsidR="00ED60F4">
        <w:rPr>
          <w:rStyle w:val="FootnoteReference"/>
        </w:rPr>
        <w:footnoteReference w:id="47"/>
      </w:r>
      <w:r>
        <w:t xml:space="preserve"> – and accord with the </w:t>
      </w:r>
      <w:r w:rsidR="00804F73">
        <w:t>72% or more</w:t>
      </w:r>
      <w:r w:rsidR="00E50F30">
        <w:t xml:space="preserve"> of</w:t>
      </w:r>
      <w:r>
        <w:t xml:space="preserve"> individuals who wish to die in their usual place of community residence</w:t>
      </w:r>
      <w:r w:rsidR="008E5728">
        <w:t>.</w:t>
      </w:r>
      <w:r w:rsidR="00ED60F4">
        <w:rPr>
          <w:rStyle w:val="FootnoteReference"/>
        </w:rPr>
        <w:footnoteReference w:id="48"/>
      </w:r>
      <w:r w:rsidR="00ED60F4">
        <w:rPr>
          <w:vertAlign w:val="superscript"/>
        </w:rPr>
        <w:t>,</w:t>
      </w:r>
      <w:r w:rsidR="00ED60F4">
        <w:rPr>
          <w:rStyle w:val="FootnoteReference"/>
        </w:rPr>
        <w:footnoteReference w:id="49"/>
      </w:r>
      <w:r w:rsidR="00ED60F4">
        <w:rPr>
          <w:vertAlign w:val="superscript"/>
        </w:rPr>
        <w:t>,</w:t>
      </w:r>
      <w:r w:rsidR="00ED60F4">
        <w:rPr>
          <w:rStyle w:val="FootnoteReference"/>
        </w:rPr>
        <w:footnoteReference w:id="50"/>
      </w:r>
      <w:r w:rsidR="006A58C9">
        <w:t xml:space="preserve">  Thus, palliative care would appear to be more cost-effective and acceptable to consumers</w:t>
      </w:r>
      <w:r w:rsidR="00ED60F4">
        <w:t>, especially</w:t>
      </w:r>
      <w:r w:rsidR="006A58C9">
        <w:t xml:space="preserve"> when delivered in a community context. Importantly, no research examining these issues has been identified in the Australian context.</w:t>
      </w:r>
    </w:p>
    <w:p w14:paraId="757591FB" w14:textId="77777777" w:rsidR="006206B3" w:rsidRDefault="00E06FEE" w:rsidP="00E06FEE">
      <w:pPr>
        <w:pStyle w:val="Heading3"/>
      </w:pPr>
      <w:bookmarkStart w:id="120" w:name="_Toc382313825"/>
      <w:r>
        <w:t>Cost modelling in the Australian context</w:t>
      </w:r>
      <w:bookmarkEnd w:id="120"/>
    </w:p>
    <w:p w14:paraId="3A6E4597" w14:textId="77777777" w:rsidR="00E105AE" w:rsidRDefault="002F6BFC" w:rsidP="00E06FEE">
      <w:pPr>
        <w:pStyle w:val="AspexBodyStandard"/>
      </w:pPr>
      <w:r>
        <w:t xml:space="preserve">The most apparent gap in the available literature is any attempt to cost model the potential impact of palliative care service provision in Australia. </w:t>
      </w:r>
      <w:r w:rsidR="00E105AE">
        <w:t>The following assumptions were used to estimate the cost implications of increasing the number of palliative care servi</w:t>
      </w:r>
      <w:r w:rsidR="00272D2C">
        <w:t>ces in the Australian community to prevent ‘potentially avoidable’ admissions for patients who currently die in hospital from an ‘anticipated’ death.</w:t>
      </w:r>
    </w:p>
    <w:p w14:paraId="337091FD" w14:textId="77777777" w:rsidR="003E4ED2" w:rsidRDefault="003E4ED2" w:rsidP="004C3A0B">
      <w:pPr>
        <w:pStyle w:val="Heading4"/>
        <w:spacing w:before="240"/>
      </w:pPr>
      <w:r>
        <w:t>Assumptions for cost modelling</w:t>
      </w:r>
    </w:p>
    <w:p w14:paraId="009D727A" w14:textId="77777777" w:rsidR="00272D2C" w:rsidRPr="006E5E15" w:rsidRDefault="00272D2C" w:rsidP="006E5E15">
      <w:pPr>
        <w:pStyle w:val="AspexNumberedbullet1"/>
      </w:pPr>
      <w:r w:rsidRPr="006E5E15">
        <w:t>That the majority o</w:t>
      </w:r>
      <w:r w:rsidR="00B61D58" w:rsidRPr="006E5E15">
        <w:t>f individuals who have a choice</w:t>
      </w:r>
      <w:r w:rsidRPr="006E5E15">
        <w:t xml:space="preserve"> </w:t>
      </w:r>
      <w:r w:rsidR="004A0B5F">
        <w:t xml:space="preserve">will </w:t>
      </w:r>
      <w:r w:rsidRPr="006E5E15">
        <w:t>choose to die at home</w:t>
      </w:r>
      <w:r w:rsidR="008E5728">
        <w:t>.</w:t>
      </w:r>
      <w:r w:rsidRPr="006E5E15">
        <w:rPr>
          <w:rStyle w:val="FootnoteReference"/>
        </w:rPr>
        <w:footnoteReference w:id="51"/>
      </w:r>
    </w:p>
    <w:p w14:paraId="333D6473" w14:textId="77777777" w:rsidR="00250DC7" w:rsidRDefault="00250DC7" w:rsidP="006E5E15">
      <w:pPr>
        <w:pStyle w:val="AspexNumberedbullet1"/>
      </w:pPr>
      <w:r>
        <w:t>That 42% of palliative care patients</w:t>
      </w:r>
      <w:r w:rsidR="00E105AE">
        <w:t xml:space="preserve"> </w:t>
      </w:r>
      <w:r>
        <w:t>in hospital died during one of their admitted episodes</w:t>
      </w:r>
      <w:r w:rsidR="008E5728">
        <w:t>.</w:t>
      </w:r>
      <w:r w:rsidR="00B61D58">
        <w:rPr>
          <w:rStyle w:val="FootnoteReference"/>
        </w:rPr>
        <w:footnoteReference w:id="52"/>
      </w:r>
    </w:p>
    <w:p w14:paraId="5543571C" w14:textId="77777777" w:rsidR="00250DC7" w:rsidRDefault="00250DC7" w:rsidP="006E5E15">
      <w:pPr>
        <w:pStyle w:val="AspexNumberedbullet1"/>
      </w:pPr>
      <w:r>
        <w:t>That 100% of all admitted palliative care patient deaths occur in the final two phases of direct patient care, more specifically</w:t>
      </w:r>
      <w:r w:rsidR="008E5728">
        <w:t>:</w:t>
      </w:r>
      <w:r w:rsidR="00B61D58">
        <w:rPr>
          <w:rStyle w:val="FootnoteReference"/>
        </w:rPr>
        <w:footnoteReference w:id="53"/>
      </w:r>
    </w:p>
    <w:p w14:paraId="1371AF85" w14:textId="77777777" w:rsidR="00250DC7" w:rsidRDefault="00250DC7" w:rsidP="00A634B0">
      <w:pPr>
        <w:pStyle w:val="AspexNumberedBullet2"/>
      </w:pPr>
      <w:r>
        <w:t>14% of admitted patients die during the ‘deteriorating’ phase of their illness; and</w:t>
      </w:r>
    </w:p>
    <w:p w14:paraId="0B673120" w14:textId="77777777" w:rsidR="00250DC7" w:rsidRDefault="00250DC7" w:rsidP="00A634B0">
      <w:pPr>
        <w:pStyle w:val="AspexNumberedBullet2"/>
      </w:pPr>
      <w:r>
        <w:t>86% of admitted patients die during the ‘terminal’ phase of their illness.</w:t>
      </w:r>
    </w:p>
    <w:p w14:paraId="10D447C2" w14:textId="77777777" w:rsidR="00250DC7" w:rsidRDefault="00250DC7" w:rsidP="006E5E15">
      <w:pPr>
        <w:pStyle w:val="AspexNumberedbullet1"/>
      </w:pPr>
      <w:r>
        <w:t>That the aggregate length of hospital stay is 7.3 days during the final two phases of palliative care patient treatment, more specifically</w:t>
      </w:r>
      <w:r w:rsidR="008E5728">
        <w:t>:</w:t>
      </w:r>
      <w:r w:rsidR="00B61D58">
        <w:rPr>
          <w:rStyle w:val="FootnoteReference"/>
        </w:rPr>
        <w:footnoteReference w:id="54"/>
      </w:r>
    </w:p>
    <w:p w14:paraId="3AD19A9E" w14:textId="77777777" w:rsidR="00E06FEE" w:rsidRDefault="00250DC7" w:rsidP="00A634B0">
      <w:pPr>
        <w:pStyle w:val="AspexNumberedBullet2"/>
      </w:pPr>
      <w:r>
        <w:lastRenderedPageBreak/>
        <w:t xml:space="preserve">5.2 days in hospital are spent on average by </w:t>
      </w:r>
      <w:r w:rsidR="00A634B0">
        <w:t>palliative care patients classified as ‘deteriorating’ during their admission; and</w:t>
      </w:r>
    </w:p>
    <w:p w14:paraId="162581A2" w14:textId="77777777" w:rsidR="00A634B0" w:rsidRDefault="00A634B0" w:rsidP="00A634B0">
      <w:pPr>
        <w:pStyle w:val="AspexNumberedBullet2"/>
      </w:pPr>
      <w:r>
        <w:t>2.1 days in hospital are spent on average by palliative care patients classified as ‘terminal’ during their admission.</w:t>
      </w:r>
    </w:p>
    <w:p w14:paraId="37EADC59" w14:textId="77777777" w:rsidR="00A634B0" w:rsidRDefault="00A634B0" w:rsidP="006E5E15">
      <w:pPr>
        <w:pStyle w:val="AspexNumberedbullet1"/>
      </w:pPr>
      <w:r>
        <w:t>That the total number of estimated deaths in hospital is 59%</w:t>
      </w:r>
      <w:r w:rsidR="006961C9">
        <w:t>,</w:t>
      </w:r>
      <w:r>
        <w:t xml:space="preserve"> in line with previously identified criteria</w:t>
      </w:r>
      <w:r w:rsidR="00B61D58">
        <w:rPr>
          <w:rStyle w:val="FootnoteReference"/>
        </w:rPr>
        <w:footnoteReference w:id="55"/>
      </w:r>
      <w:r>
        <w:t xml:space="preserve"> (sensitivity testing will need to be conducted across the range of potentially ‘anticipated’ deaths reported by different medical, government and academic sources).</w:t>
      </w:r>
    </w:p>
    <w:p w14:paraId="48141A86" w14:textId="77777777" w:rsidR="00A634B0" w:rsidRDefault="00A634B0" w:rsidP="006E5E15">
      <w:pPr>
        <w:pStyle w:val="AspexNumberedbullet1"/>
      </w:pPr>
      <w:r>
        <w:t>That the average cost per day for treatment of palliative care patients is</w:t>
      </w:r>
      <w:r w:rsidR="008E5728">
        <w:t>:</w:t>
      </w:r>
      <w:r w:rsidR="00B61D58">
        <w:rPr>
          <w:rStyle w:val="FootnoteReference"/>
        </w:rPr>
        <w:footnoteReference w:id="56"/>
      </w:r>
    </w:p>
    <w:p w14:paraId="464A5880" w14:textId="3363A454" w:rsidR="00A634B0" w:rsidRPr="00A634B0" w:rsidRDefault="00A634B0" w:rsidP="00A634B0">
      <w:pPr>
        <w:pStyle w:val="AspexNumberedBullet2"/>
      </w:pPr>
      <w:r w:rsidRPr="00A634B0">
        <w:t>Around $950 for admitted patient</w:t>
      </w:r>
      <w:r w:rsidR="00B61D58">
        <w:t>s</w:t>
      </w:r>
      <w:r w:rsidRPr="00A634B0">
        <w:t>;</w:t>
      </w:r>
      <w:r w:rsidR="00B61D58">
        <w:t xml:space="preserve"> and</w:t>
      </w:r>
    </w:p>
    <w:p w14:paraId="2D320DD4" w14:textId="77777777" w:rsidR="00A634B0" w:rsidRDefault="00B61D58" w:rsidP="00A634B0">
      <w:pPr>
        <w:pStyle w:val="AspexNumberedBullet2"/>
      </w:pPr>
      <w:r>
        <w:t>Typically around $2</w:t>
      </w:r>
      <w:r w:rsidR="00155225">
        <w:t>69</w:t>
      </w:r>
      <w:r>
        <w:t xml:space="preserve"> for individuals treated in the community</w:t>
      </w:r>
      <w:r w:rsidR="00A634B0">
        <w:t>.</w:t>
      </w:r>
    </w:p>
    <w:p w14:paraId="744943FF" w14:textId="77777777" w:rsidR="00A634B0" w:rsidRDefault="00A634B0" w:rsidP="006E5E15">
      <w:pPr>
        <w:pStyle w:val="AspexNumberedbullet1"/>
      </w:pPr>
      <w:r>
        <w:t xml:space="preserve">That </w:t>
      </w:r>
      <w:r w:rsidR="003E4ED2">
        <w:t>the odds of dying in the community (rather than in hospital) are increased 7 fold if specialist palliative care services are provided in the community</w:t>
      </w:r>
      <w:r w:rsidR="008E5728">
        <w:t>.</w:t>
      </w:r>
      <w:r w:rsidR="003E4ED2">
        <w:rPr>
          <w:rStyle w:val="FootnoteReference"/>
        </w:rPr>
        <w:footnoteReference w:id="57"/>
      </w:r>
      <w:r w:rsidR="00CA33B3">
        <w:t xml:space="preserve"> This equates to an 87.5%</w:t>
      </w:r>
      <w:r w:rsidR="003E4ED2">
        <w:t xml:space="preserve"> chance of individuals who</w:t>
      </w:r>
      <w:r w:rsidR="006961C9">
        <w:t>,</w:t>
      </w:r>
      <w:r w:rsidR="003E4ED2">
        <w:t xml:space="preserve"> if appropriately treated in the community</w:t>
      </w:r>
      <w:r w:rsidR="006961C9">
        <w:t>,</w:t>
      </w:r>
      <w:r w:rsidR="003E4ED2">
        <w:t xml:space="preserve"> could be diverted away from a hospital admission during these last phases of palliative care treatment.  </w:t>
      </w:r>
    </w:p>
    <w:p w14:paraId="1441C7D6" w14:textId="3A9C1D68" w:rsidR="004C3A0B" w:rsidRDefault="004C3A0B" w:rsidP="006E5E15">
      <w:pPr>
        <w:pStyle w:val="AspexNumberedbullet1"/>
      </w:pPr>
      <w:r>
        <w:t>That conversely, 12.5% of patients treated in the community are likely to die in an admitted patient setting. Thus in order to achieve an increase in community treatment of 10%, 11.5% (10% + 1.25%) of palliative care patients would need to be identified and referred for community management.</w:t>
      </w:r>
    </w:p>
    <w:p w14:paraId="39C28081" w14:textId="2B3403EC" w:rsidR="003E4ED2" w:rsidRDefault="003E4ED2" w:rsidP="006E5E15">
      <w:pPr>
        <w:pStyle w:val="AspexNumberedbullet1"/>
      </w:pPr>
      <w:r>
        <w:t xml:space="preserve">That additional </w:t>
      </w:r>
      <w:r w:rsidR="002A2727">
        <w:t>palliative medicine</w:t>
      </w:r>
      <w:r>
        <w:t xml:space="preserve"> specialist time will be spent with a larger proportion of community patients in the final stages of their illness trajectory, totalling $</w:t>
      </w:r>
      <w:r w:rsidR="00201487">
        <w:t xml:space="preserve">257.71 </w:t>
      </w:r>
      <w:r>
        <w:t>per patient, comprised of:</w:t>
      </w:r>
    </w:p>
    <w:p w14:paraId="75C899DF" w14:textId="0587351A" w:rsidR="003E4ED2" w:rsidRDefault="003E4ED2" w:rsidP="003E4ED2">
      <w:pPr>
        <w:pStyle w:val="AspexNumberedBullet2"/>
      </w:pPr>
      <w:r>
        <w:t xml:space="preserve">Around 1 initial attendance (at an average cost across all current MBS item numbers of </w:t>
      </w:r>
      <w:r w:rsidR="00201487">
        <w:t>$136.72</w:t>
      </w:r>
      <w:r>
        <w:t>) will occur per patient in the community; and</w:t>
      </w:r>
    </w:p>
    <w:p w14:paraId="2BC3E504" w14:textId="58A9912F" w:rsidR="00155225" w:rsidRDefault="003E4ED2" w:rsidP="00155225">
      <w:pPr>
        <w:pStyle w:val="AspexNumberedBullet2"/>
      </w:pPr>
      <w:r>
        <w:t xml:space="preserve">Around </w:t>
      </w:r>
      <w:r w:rsidR="00201487">
        <w:t>2</w:t>
      </w:r>
      <w:r>
        <w:t xml:space="preserve"> subsequent attendances (at an average cost across all current MBS item numbers of $</w:t>
      </w:r>
      <w:r w:rsidR="00201487">
        <w:t>60.50</w:t>
      </w:r>
      <w:r w:rsidR="006961C9">
        <w:t>)</w:t>
      </w:r>
      <w:r>
        <w:t>.</w:t>
      </w:r>
    </w:p>
    <w:p w14:paraId="15359E9A" w14:textId="2AAA9041" w:rsidR="003E4ED2" w:rsidRDefault="003E4ED2" w:rsidP="006E5E15">
      <w:pPr>
        <w:pStyle w:val="AspexNumberedbullet1"/>
      </w:pPr>
      <w:r>
        <w:t xml:space="preserve">That between 10% and 20% of ‘anticipated deaths’ can be identified and </w:t>
      </w:r>
      <w:r w:rsidR="00155225">
        <w:t xml:space="preserve">referred for shared care arrangements between </w:t>
      </w:r>
      <w:r w:rsidR="0081173A">
        <w:t>GPs</w:t>
      </w:r>
      <w:r w:rsidR="00155225">
        <w:t xml:space="preserve"> or other specialists and </w:t>
      </w:r>
      <w:r w:rsidR="002A2727">
        <w:t>palliative medicine</w:t>
      </w:r>
      <w:r w:rsidR="00155225">
        <w:t xml:space="preserve"> specialists (working as part of a multidisciplinary palliative care team)</w:t>
      </w:r>
      <w:r>
        <w:t xml:space="preserve"> in the community</w:t>
      </w:r>
      <w:r w:rsidR="00091248">
        <w:t xml:space="preserve"> – thus avoiding ‘potentially preventable’ hospital admissions towards the final stages of palliative care treatment</w:t>
      </w:r>
      <w:r w:rsidR="008E5728">
        <w:t>.</w:t>
      </w:r>
      <w:r w:rsidR="00155225">
        <w:rPr>
          <w:rStyle w:val="FootnoteReference"/>
        </w:rPr>
        <w:footnoteReference w:id="58"/>
      </w:r>
    </w:p>
    <w:p w14:paraId="0F4C7583" w14:textId="77777777" w:rsidR="00EF0DF5" w:rsidRDefault="00EF0DF5">
      <w:pPr>
        <w:spacing w:before="0" w:after="0" w:line="240" w:lineRule="auto"/>
        <w:rPr>
          <w:b/>
        </w:rPr>
      </w:pPr>
      <w:r>
        <w:br w:type="page"/>
      </w:r>
    </w:p>
    <w:p w14:paraId="45122CBF" w14:textId="409E2DB6" w:rsidR="003E4ED2" w:rsidRDefault="003E4ED2" w:rsidP="004C3A0B">
      <w:pPr>
        <w:pStyle w:val="Heading4"/>
        <w:spacing w:before="240"/>
      </w:pPr>
      <w:r>
        <w:lastRenderedPageBreak/>
        <w:t>Estimates of cost modelling</w:t>
      </w:r>
    </w:p>
    <w:p w14:paraId="1BBD39A8" w14:textId="213DBCA7" w:rsidR="00F17D25" w:rsidRDefault="003E4ED2" w:rsidP="00804F73">
      <w:pPr>
        <w:pStyle w:val="AspexBodyStandard"/>
      </w:pPr>
      <w:r>
        <w:t xml:space="preserve">Estimates of the </w:t>
      </w:r>
      <w:r w:rsidR="004A0B5F">
        <w:t xml:space="preserve">cost impact of increasing the proportion of community referrals to </w:t>
      </w:r>
      <w:r w:rsidR="002A2727">
        <w:t>palliative medicine</w:t>
      </w:r>
      <w:r w:rsidR="004A0B5F">
        <w:t xml:space="preserve"> specialists</w:t>
      </w:r>
      <w:r>
        <w:t xml:space="preserve"> according to the assumptions outlined above are presented in </w:t>
      </w:r>
      <w:r>
        <w:fldChar w:fldCharType="begin"/>
      </w:r>
      <w:r>
        <w:instrText xml:space="preserve"> REF _Ref247613340 \h </w:instrText>
      </w:r>
      <w:r>
        <w:fldChar w:fldCharType="separate"/>
      </w:r>
      <w:r w:rsidR="009C72FC">
        <w:t xml:space="preserve">Table </w:t>
      </w:r>
      <w:r w:rsidR="009C72FC">
        <w:rPr>
          <w:noProof/>
        </w:rPr>
        <w:t>2</w:t>
      </w:r>
      <w:r w:rsidR="009C72FC">
        <w:noBreakHyphen/>
      </w:r>
      <w:r w:rsidR="009C72FC">
        <w:rPr>
          <w:noProof/>
        </w:rPr>
        <w:t>4</w:t>
      </w:r>
      <w:r>
        <w:fldChar w:fldCharType="end"/>
      </w:r>
      <w:r>
        <w:t>.</w:t>
      </w:r>
    </w:p>
    <w:p w14:paraId="4559ACE2" w14:textId="77777777" w:rsidR="0098746C" w:rsidRDefault="0098746C" w:rsidP="0098746C">
      <w:pPr>
        <w:pStyle w:val="Caption"/>
        <w:tabs>
          <w:tab w:val="clear" w:pos="1418"/>
          <w:tab w:val="left" w:pos="1134"/>
        </w:tabs>
        <w:ind w:left="1134" w:hanging="1134"/>
      </w:pPr>
      <w:bookmarkStart w:id="121" w:name="_Ref247613340"/>
      <w:bookmarkStart w:id="122" w:name="_Toc382315616"/>
      <w:r>
        <w:t xml:space="preserve">Table </w:t>
      </w:r>
      <w:fldSimple w:instr=" STYLEREF 1 \s ">
        <w:r w:rsidR="009C72FC">
          <w:rPr>
            <w:noProof/>
          </w:rPr>
          <w:t>2</w:t>
        </w:r>
      </w:fldSimple>
      <w:r w:rsidR="006310FD">
        <w:noBreakHyphen/>
      </w:r>
      <w:fldSimple w:instr=" SEQ Table \* ARABIC \s 1 ">
        <w:r w:rsidR="009C72FC">
          <w:rPr>
            <w:noProof/>
          </w:rPr>
          <w:t>4</w:t>
        </w:r>
      </w:fldSimple>
      <w:bookmarkEnd w:id="121"/>
      <w:r>
        <w:t xml:space="preserve">: </w:t>
      </w:r>
      <w:r>
        <w:tab/>
        <w:t xml:space="preserve">Cost implications of </w:t>
      </w:r>
      <w:r w:rsidR="00AD40B5">
        <w:t>increasing potentially avoidable</w:t>
      </w:r>
      <w:r>
        <w:t xml:space="preserve"> palliative care deaths in hospital (2012-13 financial year estimates)</w:t>
      </w:r>
      <w:bookmarkEnd w:id="122"/>
    </w:p>
    <w:p w14:paraId="2BF66279" w14:textId="0DCEC766" w:rsidR="00C06428" w:rsidRDefault="00EF0DF5" w:rsidP="00601B38">
      <w:pPr>
        <w:pStyle w:val="AspexBodyStandard"/>
        <w:spacing w:before="120"/>
      </w:pPr>
      <w:r>
        <w:rPr>
          <w:noProof/>
          <w:lang w:eastAsia="en-AU"/>
        </w:rPr>
        <w:drawing>
          <wp:inline distT="0" distB="0" distL="0" distR="0" wp14:anchorId="50C43971" wp14:editId="71A4214B">
            <wp:extent cx="5723890" cy="5400392"/>
            <wp:effectExtent l="0" t="0" r="0" b="0"/>
            <wp:docPr id="35" name="Picture 35" descr="Cost implications of increasing potentially avoidable palliative care deaths in hospital (2012-13 financial year estimates) as discussed in Section 2.8.2" title="Tabl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23890" cy="5400392"/>
                    </a:xfrm>
                    <a:prstGeom prst="rect">
                      <a:avLst/>
                    </a:prstGeom>
                  </pic:spPr>
                </pic:pic>
              </a:graphicData>
            </a:graphic>
          </wp:inline>
        </w:drawing>
      </w:r>
    </w:p>
    <w:p w14:paraId="685AF7D4" w14:textId="06D9CD62" w:rsidR="00AD40B5" w:rsidRPr="004A0B5F" w:rsidRDefault="004A0B5F" w:rsidP="001E762A">
      <w:pPr>
        <w:pStyle w:val="AspexHighlightText"/>
        <w:spacing w:before="240"/>
        <w:rPr>
          <w:rStyle w:val="IntenseEmphasis"/>
        </w:rPr>
      </w:pPr>
      <w:r w:rsidRPr="004A0B5F">
        <w:rPr>
          <w:rStyle w:val="IntenseEmphasis"/>
        </w:rPr>
        <w:t>Thus, an increase in referral to specialists (working as part of a multi-disciplinary palliative care team) is likely to result in a notional cost saving to the health system</w:t>
      </w:r>
      <w:r w:rsidR="004C3A0B">
        <w:rPr>
          <w:rStyle w:val="IntenseEmphasis"/>
        </w:rPr>
        <w:t xml:space="preserve"> of</w:t>
      </w:r>
      <w:r w:rsidRPr="004A0B5F">
        <w:rPr>
          <w:rStyle w:val="IntenseEmphasis"/>
        </w:rPr>
        <w:t xml:space="preserve"> </w:t>
      </w:r>
      <w:r w:rsidR="004C3A0B">
        <w:rPr>
          <w:rStyle w:val="IntenseEmphasis"/>
        </w:rPr>
        <w:t>up to</w:t>
      </w:r>
      <w:r w:rsidRPr="004A0B5F">
        <w:rPr>
          <w:rStyle w:val="IntenseEmphasis"/>
        </w:rPr>
        <w:t xml:space="preserve"> $</w:t>
      </w:r>
      <w:r w:rsidR="004C3A0B">
        <w:rPr>
          <w:rStyle w:val="IntenseEmphasis"/>
        </w:rPr>
        <w:t>22,</w:t>
      </w:r>
      <w:r w:rsidR="00C06428">
        <w:rPr>
          <w:rStyle w:val="IntenseEmphasis"/>
        </w:rPr>
        <w:t>864,976</w:t>
      </w:r>
      <w:r>
        <w:rPr>
          <w:rStyle w:val="IntenseEmphasis"/>
        </w:rPr>
        <w:t xml:space="preserve"> -</w:t>
      </w:r>
      <w:r w:rsidRPr="004A0B5F">
        <w:rPr>
          <w:rStyle w:val="IntenseEmphasis"/>
        </w:rPr>
        <w:t xml:space="preserve"> if 20% more patients</w:t>
      </w:r>
      <w:r w:rsidR="004C3A0B">
        <w:rPr>
          <w:rStyle w:val="IntenseEmphasis"/>
        </w:rPr>
        <w:t xml:space="preserve"> receive the final two phases of their palliative care in the community setting</w:t>
      </w:r>
      <w:r w:rsidR="00E50F30">
        <w:rPr>
          <w:rStyle w:val="IntenseEmphasis"/>
        </w:rPr>
        <w:t>.</w:t>
      </w:r>
    </w:p>
    <w:p w14:paraId="04E27668" w14:textId="77777777" w:rsidR="00AD40B5" w:rsidRDefault="004A0B5F" w:rsidP="0098746C">
      <w:pPr>
        <w:pStyle w:val="AspexBodyStandard"/>
      </w:pPr>
      <w:r>
        <w:t xml:space="preserve">These figures are based upon prior assumptions that up to 59% of all deaths occurring in Australia can be ‘anticipated’ and thus referred for specialist assessment and intervention.  It is important to note, that the proportion of ‘anticipated’ deaths occurring and thus eligible for referral to specialists varies according to different palliative care stakeholders. Accordingly, </w:t>
      </w:r>
      <w:r>
        <w:lastRenderedPageBreak/>
        <w:t>sensitivity testing that examines the likely proportion of potential</w:t>
      </w:r>
      <w:r w:rsidR="006609FA">
        <w:t>ly eligible</w:t>
      </w:r>
      <w:r>
        <w:t xml:space="preserve"> referrals to specialists was conducted and is presented in </w:t>
      </w:r>
      <w:r w:rsidR="006609FA">
        <w:fldChar w:fldCharType="begin"/>
      </w:r>
      <w:r w:rsidR="006609FA">
        <w:instrText xml:space="preserve"> REF _Ref247631950 \h </w:instrText>
      </w:r>
      <w:r w:rsidR="006609FA">
        <w:fldChar w:fldCharType="separate"/>
      </w:r>
      <w:r w:rsidR="009C72FC">
        <w:t xml:space="preserve">Table </w:t>
      </w:r>
      <w:r w:rsidR="009C72FC">
        <w:rPr>
          <w:noProof/>
        </w:rPr>
        <w:t>2</w:t>
      </w:r>
      <w:r w:rsidR="009C72FC">
        <w:noBreakHyphen/>
      </w:r>
      <w:r w:rsidR="009C72FC">
        <w:rPr>
          <w:noProof/>
        </w:rPr>
        <w:t>5</w:t>
      </w:r>
      <w:r w:rsidR="006609FA">
        <w:fldChar w:fldCharType="end"/>
      </w:r>
      <w:r w:rsidR="008E5728">
        <w:t>.</w:t>
      </w:r>
      <w:r w:rsidR="005557F6">
        <w:rPr>
          <w:rStyle w:val="FootnoteReference"/>
        </w:rPr>
        <w:footnoteReference w:id="59"/>
      </w:r>
    </w:p>
    <w:p w14:paraId="7EE526F4" w14:textId="5075E2A2" w:rsidR="004A0B5F" w:rsidRDefault="006609FA" w:rsidP="006609FA">
      <w:pPr>
        <w:pStyle w:val="Caption"/>
      </w:pPr>
      <w:bookmarkStart w:id="123" w:name="_Ref247631950"/>
      <w:bookmarkStart w:id="124" w:name="_Toc382315617"/>
      <w:r>
        <w:t xml:space="preserve">Table </w:t>
      </w:r>
      <w:fldSimple w:instr=" STYLEREF 1 \s ">
        <w:r w:rsidR="009C72FC">
          <w:rPr>
            <w:noProof/>
          </w:rPr>
          <w:t>2</w:t>
        </w:r>
      </w:fldSimple>
      <w:r w:rsidR="006310FD">
        <w:noBreakHyphen/>
      </w:r>
      <w:fldSimple w:instr=" SEQ Table \* ARABIC \s 1 ">
        <w:r w:rsidR="009C72FC">
          <w:rPr>
            <w:noProof/>
          </w:rPr>
          <w:t>5</w:t>
        </w:r>
      </w:fldSimple>
      <w:bookmarkEnd w:id="123"/>
      <w:r w:rsidR="002167FD">
        <w:t>:</w:t>
      </w:r>
      <w:r w:rsidR="002167FD">
        <w:tab/>
      </w:r>
      <w:r>
        <w:t>Variation in estimates of 'anticipated' deaths in Australia</w:t>
      </w:r>
      <w:bookmarkEnd w:id="124"/>
    </w:p>
    <w:tbl>
      <w:tblPr>
        <w:tblStyle w:val="AspexTable1"/>
        <w:tblW w:w="9137" w:type="dxa"/>
        <w:tblLayout w:type="fixed"/>
        <w:tblCellMar>
          <w:left w:w="57" w:type="dxa"/>
          <w:right w:w="57" w:type="dxa"/>
        </w:tblCellMar>
        <w:tblLook w:val="04A0" w:firstRow="1" w:lastRow="0" w:firstColumn="1" w:lastColumn="0" w:noHBand="0" w:noVBand="1"/>
        <w:tblCaption w:val="Table 2-5:"/>
        <w:tblDescription w:val="Variation in estimates of 'anticipated' deaths in Australia as discussed in Section 2.8.2"/>
      </w:tblPr>
      <w:tblGrid>
        <w:gridCol w:w="2972"/>
        <w:gridCol w:w="1541"/>
        <w:gridCol w:w="1385"/>
        <w:gridCol w:w="1697"/>
        <w:gridCol w:w="1542"/>
      </w:tblGrid>
      <w:tr w:rsidR="00601B38" w:rsidRPr="006609FA" w14:paraId="6009F806" w14:textId="77777777" w:rsidTr="00EF0DF5">
        <w:trPr>
          <w:cnfStyle w:val="100000000000" w:firstRow="1" w:lastRow="0" w:firstColumn="0" w:lastColumn="0" w:oddVBand="0" w:evenVBand="0" w:oddHBand="0" w:evenHBand="0" w:firstRowFirstColumn="0" w:firstRowLastColumn="0" w:lastRowFirstColumn="0" w:lastRowLastColumn="0"/>
          <w:trHeight w:val="240"/>
          <w:tblHeader/>
        </w:trPr>
        <w:tc>
          <w:tcPr>
            <w:tcW w:w="2972" w:type="dxa"/>
            <w:noWrap/>
          </w:tcPr>
          <w:p w14:paraId="3814612B" w14:textId="77777777" w:rsidR="00601B38" w:rsidRPr="006609FA" w:rsidRDefault="00601B38" w:rsidP="00601B38">
            <w:pPr>
              <w:pStyle w:val="AspexTableText"/>
              <w:spacing w:before="144" w:after="144"/>
              <w:jc w:val="center"/>
              <w:rPr>
                <w:rFonts w:ascii="Arial Narrow" w:hAnsi="Arial Narrow"/>
                <w:color w:val="FFFFFF" w:themeColor="background1"/>
                <w:sz w:val="18"/>
                <w:szCs w:val="18"/>
              </w:rPr>
            </w:pPr>
            <w:r w:rsidRPr="006609FA">
              <w:rPr>
                <w:rFonts w:ascii="Arial Narrow" w:hAnsi="Arial Narrow"/>
                <w:b w:val="0"/>
                <w:bCs/>
                <w:color w:val="FFFFFF" w:themeColor="background1"/>
                <w:sz w:val="18"/>
                <w:szCs w:val="18"/>
              </w:rPr>
              <w:t>National Estimates (potential referral)</w:t>
            </w:r>
          </w:p>
        </w:tc>
        <w:tc>
          <w:tcPr>
            <w:tcW w:w="1541" w:type="dxa"/>
            <w:noWrap/>
          </w:tcPr>
          <w:p w14:paraId="00E07249" w14:textId="77777777" w:rsidR="00601B38" w:rsidRPr="006609FA" w:rsidRDefault="00601B38" w:rsidP="00601B38">
            <w:pPr>
              <w:pStyle w:val="AspexTableText"/>
              <w:spacing w:before="144" w:after="144"/>
              <w:jc w:val="center"/>
              <w:rPr>
                <w:rFonts w:ascii="Arial Narrow" w:hAnsi="Arial Narrow"/>
                <w:color w:val="FFFFFF" w:themeColor="background1"/>
                <w:sz w:val="18"/>
                <w:szCs w:val="18"/>
              </w:rPr>
            </w:pPr>
            <w:r w:rsidRPr="006609FA">
              <w:rPr>
                <w:rFonts w:ascii="Arial Narrow" w:hAnsi="Arial Narrow"/>
                <w:b w:val="0"/>
                <w:bCs/>
                <w:color w:val="FFFFFF" w:themeColor="background1"/>
                <w:sz w:val="18"/>
                <w:szCs w:val="18"/>
              </w:rPr>
              <w:t>% 'Anticipated' Deaths in Australia</w:t>
            </w:r>
          </w:p>
        </w:tc>
        <w:tc>
          <w:tcPr>
            <w:tcW w:w="1385" w:type="dxa"/>
            <w:noWrap/>
          </w:tcPr>
          <w:p w14:paraId="3D8D0ED2" w14:textId="77777777" w:rsidR="00601B38" w:rsidRPr="006609FA" w:rsidRDefault="00601B38" w:rsidP="00601B38">
            <w:pPr>
              <w:pStyle w:val="AspexTableText"/>
              <w:spacing w:before="144" w:after="144"/>
              <w:jc w:val="center"/>
              <w:rPr>
                <w:rFonts w:ascii="Arial Narrow" w:hAnsi="Arial Narrow"/>
                <w:color w:val="FFFFFF" w:themeColor="background1"/>
                <w:sz w:val="18"/>
                <w:szCs w:val="18"/>
              </w:rPr>
            </w:pPr>
            <w:r w:rsidRPr="006609FA">
              <w:rPr>
                <w:rFonts w:ascii="Arial Narrow" w:hAnsi="Arial Narrow"/>
                <w:b w:val="0"/>
                <w:bCs/>
                <w:color w:val="FFFFFF" w:themeColor="background1"/>
                <w:sz w:val="18"/>
                <w:szCs w:val="18"/>
              </w:rPr>
              <w:t>Total Estimated Costs</w:t>
            </w:r>
          </w:p>
        </w:tc>
        <w:tc>
          <w:tcPr>
            <w:tcW w:w="1697" w:type="dxa"/>
            <w:noWrap/>
          </w:tcPr>
          <w:p w14:paraId="677E5FE3" w14:textId="77777777" w:rsidR="00601B38" w:rsidRPr="006609FA" w:rsidRDefault="00601B38" w:rsidP="00601B38">
            <w:pPr>
              <w:pStyle w:val="AspexTableText"/>
              <w:spacing w:before="144" w:after="144"/>
              <w:jc w:val="center"/>
              <w:rPr>
                <w:rFonts w:ascii="Arial Narrow" w:hAnsi="Arial Narrow"/>
                <w:color w:val="FFFFFF" w:themeColor="background1"/>
                <w:sz w:val="18"/>
                <w:szCs w:val="18"/>
              </w:rPr>
            </w:pPr>
            <w:r w:rsidRPr="006609FA">
              <w:rPr>
                <w:rFonts w:ascii="Arial Narrow" w:hAnsi="Arial Narrow"/>
                <w:b w:val="0"/>
                <w:bCs/>
                <w:color w:val="FFFFFF" w:themeColor="background1"/>
                <w:sz w:val="18"/>
                <w:szCs w:val="18"/>
              </w:rPr>
              <w:t>Total Notional Savings (10% reduction in admissions)</w:t>
            </w:r>
          </w:p>
        </w:tc>
        <w:tc>
          <w:tcPr>
            <w:tcW w:w="1542" w:type="dxa"/>
            <w:noWrap/>
          </w:tcPr>
          <w:p w14:paraId="76316559" w14:textId="77777777" w:rsidR="00601B38" w:rsidRPr="006609FA" w:rsidRDefault="00601B38" w:rsidP="00601B38">
            <w:pPr>
              <w:pStyle w:val="AspexTableText"/>
              <w:spacing w:before="144" w:after="144"/>
              <w:jc w:val="center"/>
              <w:rPr>
                <w:rFonts w:ascii="Arial Narrow" w:hAnsi="Arial Narrow"/>
                <w:color w:val="FFFFFF" w:themeColor="background1"/>
                <w:sz w:val="18"/>
                <w:szCs w:val="18"/>
              </w:rPr>
            </w:pPr>
            <w:r w:rsidRPr="006609FA">
              <w:rPr>
                <w:rFonts w:ascii="Arial Narrow" w:hAnsi="Arial Narrow"/>
                <w:b w:val="0"/>
                <w:bCs/>
                <w:color w:val="FFFFFF" w:themeColor="background1"/>
                <w:sz w:val="18"/>
                <w:szCs w:val="18"/>
              </w:rPr>
              <w:t>Total Notional Savings (20% reduction in admissions)</w:t>
            </w:r>
          </w:p>
        </w:tc>
      </w:tr>
      <w:tr w:rsidR="00C06428" w:rsidRPr="006609FA" w14:paraId="49EB550F" w14:textId="77777777" w:rsidTr="00C06428">
        <w:trPr>
          <w:trHeight w:val="240"/>
        </w:trPr>
        <w:tc>
          <w:tcPr>
            <w:tcW w:w="2972" w:type="dxa"/>
            <w:noWrap/>
            <w:hideMark/>
          </w:tcPr>
          <w:p w14:paraId="797CDF35" w14:textId="77777777" w:rsidR="00C06428" w:rsidRPr="006609FA" w:rsidRDefault="00C06428" w:rsidP="00601B38">
            <w:pPr>
              <w:pStyle w:val="AspexTableText"/>
              <w:rPr>
                <w:rFonts w:ascii="Arial Narrow" w:hAnsi="Arial Narrow"/>
              </w:rPr>
            </w:pPr>
            <w:r w:rsidRPr="006609FA">
              <w:rPr>
                <w:rFonts w:ascii="Arial Narrow" w:hAnsi="Arial Narrow"/>
              </w:rPr>
              <w:t xml:space="preserve">DoHA 2012 lower estimates </w:t>
            </w:r>
          </w:p>
        </w:tc>
        <w:tc>
          <w:tcPr>
            <w:tcW w:w="1541" w:type="dxa"/>
            <w:noWrap/>
            <w:hideMark/>
          </w:tcPr>
          <w:p w14:paraId="468BFD13" w14:textId="77777777" w:rsidR="00C06428" w:rsidRPr="006609FA" w:rsidRDefault="00C06428" w:rsidP="00601B38">
            <w:pPr>
              <w:pStyle w:val="AspexTableText"/>
              <w:jc w:val="center"/>
              <w:rPr>
                <w:rFonts w:ascii="Arial Narrow" w:hAnsi="Arial Narrow"/>
              </w:rPr>
            </w:pPr>
            <w:r w:rsidRPr="006609FA">
              <w:rPr>
                <w:rFonts w:ascii="Arial Narrow" w:hAnsi="Arial Narrow"/>
              </w:rPr>
              <w:t>24.90%</w:t>
            </w:r>
          </w:p>
        </w:tc>
        <w:tc>
          <w:tcPr>
            <w:tcW w:w="1385" w:type="dxa"/>
            <w:noWrap/>
            <w:vAlign w:val="bottom"/>
            <w:hideMark/>
          </w:tcPr>
          <w:p w14:paraId="03788F75" w14:textId="186BED27"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$130,583,122 </w:t>
            </w:r>
          </w:p>
        </w:tc>
        <w:tc>
          <w:tcPr>
            <w:tcW w:w="1697" w:type="dxa"/>
            <w:noWrap/>
            <w:vAlign w:val="bottom"/>
            <w:hideMark/>
          </w:tcPr>
          <w:p w14:paraId="43242EE8" w14:textId="7F75A324"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$4,794,828 </w:t>
            </w:r>
          </w:p>
        </w:tc>
        <w:tc>
          <w:tcPr>
            <w:tcW w:w="1542" w:type="dxa"/>
            <w:noWrap/>
            <w:vAlign w:val="bottom"/>
            <w:hideMark/>
          </w:tcPr>
          <w:p w14:paraId="5E2844FC" w14:textId="5F00A233"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$9,589,656 </w:t>
            </w:r>
          </w:p>
        </w:tc>
      </w:tr>
      <w:tr w:rsidR="00C06428" w:rsidRPr="006609FA" w14:paraId="5156327B" w14:textId="77777777" w:rsidTr="00C06428">
        <w:trPr>
          <w:trHeight w:val="240"/>
        </w:trPr>
        <w:tc>
          <w:tcPr>
            <w:tcW w:w="2972" w:type="dxa"/>
            <w:noWrap/>
            <w:hideMark/>
          </w:tcPr>
          <w:p w14:paraId="642AEE4C" w14:textId="77777777" w:rsidR="00C06428" w:rsidRPr="006609FA" w:rsidRDefault="00C06428" w:rsidP="00601B38">
            <w:pPr>
              <w:pStyle w:val="AspexTableText"/>
              <w:rPr>
                <w:rFonts w:ascii="Arial Narrow" w:hAnsi="Arial Narrow"/>
              </w:rPr>
            </w:pPr>
            <w:proofErr w:type="spellStart"/>
            <w:r w:rsidRPr="006609FA">
              <w:rPr>
                <w:rFonts w:ascii="Arial Narrow" w:hAnsi="Arial Narrow"/>
              </w:rPr>
              <w:t>Rosenwax</w:t>
            </w:r>
            <w:proofErr w:type="spellEnd"/>
            <w:r w:rsidRPr="006609FA">
              <w:rPr>
                <w:rFonts w:ascii="Arial Narrow" w:hAnsi="Arial Narrow"/>
              </w:rPr>
              <w:t xml:space="preserve"> et al 2005 lower estimates </w:t>
            </w:r>
          </w:p>
        </w:tc>
        <w:tc>
          <w:tcPr>
            <w:tcW w:w="1541" w:type="dxa"/>
            <w:noWrap/>
            <w:hideMark/>
          </w:tcPr>
          <w:p w14:paraId="5E04CF3F" w14:textId="77777777" w:rsidR="00C06428" w:rsidRPr="006609FA" w:rsidRDefault="00C06428" w:rsidP="00601B38">
            <w:pPr>
              <w:pStyle w:val="AspexTableText"/>
              <w:jc w:val="center"/>
              <w:rPr>
                <w:rFonts w:ascii="Arial Narrow" w:hAnsi="Arial Narrow"/>
              </w:rPr>
            </w:pPr>
            <w:r w:rsidRPr="006609FA">
              <w:rPr>
                <w:rFonts w:ascii="Arial Narrow" w:hAnsi="Arial Narrow"/>
              </w:rPr>
              <w:t>44.00%</w:t>
            </w:r>
          </w:p>
        </w:tc>
        <w:tc>
          <w:tcPr>
            <w:tcW w:w="1385" w:type="dxa"/>
            <w:noWrap/>
            <w:vAlign w:val="bottom"/>
            <w:hideMark/>
          </w:tcPr>
          <w:p w14:paraId="798F8477" w14:textId="365B5DC3"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$230,749,292 </w:t>
            </w:r>
          </w:p>
        </w:tc>
        <w:tc>
          <w:tcPr>
            <w:tcW w:w="1697" w:type="dxa"/>
            <w:noWrap/>
            <w:vAlign w:val="bottom"/>
            <w:hideMark/>
          </w:tcPr>
          <w:p w14:paraId="11D9CE9B" w14:textId="6A28D682"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$8,472,789 </w:t>
            </w:r>
          </w:p>
        </w:tc>
        <w:tc>
          <w:tcPr>
            <w:tcW w:w="1542" w:type="dxa"/>
            <w:noWrap/>
            <w:vAlign w:val="bottom"/>
            <w:hideMark/>
          </w:tcPr>
          <w:p w14:paraId="6BD7D012" w14:textId="3BBA1CCF"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$16,945,577 </w:t>
            </w:r>
          </w:p>
        </w:tc>
      </w:tr>
      <w:tr w:rsidR="00C06428" w:rsidRPr="006609FA" w14:paraId="0AFE3181" w14:textId="77777777" w:rsidTr="00C06428">
        <w:trPr>
          <w:trHeight w:val="240"/>
        </w:trPr>
        <w:tc>
          <w:tcPr>
            <w:tcW w:w="2972" w:type="dxa"/>
            <w:noWrap/>
            <w:hideMark/>
          </w:tcPr>
          <w:p w14:paraId="72DB80E8" w14:textId="77777777" w:rsidR="00C06428" w:rsidRPr="006609FA" w:rsidRDefault="00C06428" w:rsidP="00601B38">
            <w:pPr>
              <w:pStyle w:val="AspexTableText"/>
              <w:rPr>
                <w:rFonts w:ascii="Arial Narrow" w:hAnsi="Arial Narrow"/>
              </w:rPr>
            </w:pPr>
            <w:r w:rsidRPr="006609FA">
              <w:rPr>
                <w:rFonts w:ascii="Arial Narrow" w:hAnsi="Arial Narrow"/>
              </w:rPr>
              <w:t xml:space="preserve">DoHA 2012 upper estimates </w:t>
            </w:r>
          </w:p>
        </w:tc>
        <w:tc>
          <w:tcPr>
            <w:tcW w:w="1541" w:type="dxa"/>
            <w:noWrap/>
            <w:hideMark/>
          </w:tcPr>
          <w:p w14:paraId="69ED3785" w14:textId="77777777" w:rsidR="00C06428" w:rsidRPr="006609FA" w:rsidRDefault="00C06428" w:rsidP="00601B38">
            <w:pPr>
              <w:pStyle w:val="AspexTableText"/>
              <w:jc w:val="center"/>
              <w:rPr>
                <w:rFonts w:ascii="Arial Narrow" w:hAnsi="Arial Narrow"/>
              </w:rPr>
            </w:pPr>
            <w:r w:rsidRPr="006609FA">
              <w:rPr>
                <w:rFonts w:ascii="Arial Narrow" w:hAnsi="Arial Narrow"/>
              </w:rPr>
              <w:t>48.17%</w:t>
            </w:r>
          </w:p>
        </w:tc>
        <w:tc>
          <w:tcPr>
            <w:tcW w:w="1385" w:type="dxa"/>
            <w:noWrap/>
            <w:vAlign w:val="bottom"/>
            <w:hideMark/>
          </w:tcPr>
          <w:p w14:paraId="4C77D13E" w14:textId="6DEFF408"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$252,618,032 </w:t>
            </w:r>
          </w:p>
        </w:tc>
        <w:tc>
          <w:tcPr>
            <w:tcW w:w="1697" w:type="dxa"/>
            <w:noWrap/>
            <w:vAlign w:val="bottom"/>
            <w:hideMark/>
          </w:tcPr>
          <w:p w14:paraId="2BA30EE4" w14:textId="2971D802"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$9,275,778 </w:t>
            </w:r>
          </w:p>
        </w:tc>
        <w:tc>
          <w:tcPr>
            <w:tcW w:w="1542" w:type="dxa"/>
            <w:noWrap/>
            <w:vAlign w:val="bottom"/>
            <w:hideMark/>
          </w:tcPr>
          <w:p w14:paraId="297F12BA" w14:textId="0F789D5F"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$18,551,556 </w:t>
            </w:r>
          </w:p>
        </w:tc>
      </w:tr>
      <w:tr w:rsidR="00C06428" w:rsidRPr="006609FA" w14:paraId="1E9A8896" w14:textId="77777777" w:rsidTr="00C06428">
        <w:trPr>
          <w:trHeight w:val="240"/>
        </w:trPr>
        <w:tc>
          <w:tcPr>
            <w:tcW w:w="2972" w:type="dxa"/>
            <w:noWrap/>
            <w:hideMark/>
          </w:tcPr>
          <w:p w14:paraId="54BDE3B9" w14:textId="77777777" w:rsidR="00C06428" w:rsidRPr="006609FA" w:rsidRDefault="00C06428" w:rsidP="00601B38">
            <w:pPr>
              <w:pStyle w:val="AspexTableText"/>
              <w:spacing w:before="144" w:after="144"/>
              <w:rPr>
                <w:rFonts w:ascii="Arial Narrow" w:hAnsi="Arial Narrow"/>
                <w:b/>
              </w:rPr>
            </w:pPr>
            <w:r w:rsidRPr="006609FA">
              <w:rPr>
                <w:rFonts w:ascii="Arial Narrow" w:hAnsi="Arial Narrow"/>
                <w:b/>
              </w:rPr>
              <w:t xml:space="preserve">Current estimates </w:t>
            </w:r>
          </w:p>
        </w:tc>
        <w:tc>
          <w:tcPr>
            <w:tcW w:w="1541" w:type="dxa"/>
            <w:noWrap/>
            <w:vAlign w:val="center"/>
            <w:hideMark/>
          </w:tcPr>
          <w:p w14:paraId="13D62373" w14:textId="77777777" w:rsidR="00C06428" w:rsidRPr="006609FA" w:rsidRDefault="00C06428" w:rsidP="00C06428">
            <w:pPr>
              <w:pStyle w:val="AspexTableText"/>
              <w:spacing w:before="144" w:after="144"/>
              <w:jc w:val="center"/>
              <w:rPr>
                <w:rFonts w:ascii="Arial Narrow" w:hAnsi="Arial Narrow"/>
                <w:b/>
              </w:rPr>
            </w:pPr>
            <w:r w:rsidRPr="006609FA">
              <w:rPr>
                <w:rFonts w:ascii="Arial Narrow" w:hAnsi="Arial Narrow"/>
                <w:b/>
              </w:rPr>
              <w:t>59.37%</w:t>
            </w:r>
          </w:p>
        </w:tc>
        <w:tc>
          <w:tcPr>
            <w:tcW w:w="1385" w:type="dxa"/>
            <w:noWrap/>
            <w:vAlign w:val="center"/>
            <w:hideMark/>
          </w:tcPr>
          <w:p w14:paraId="191AB431" w14:textId="0EAA8148" w:rsidR="00C06428" w:rsidRPr="00C06428" w:rsidRDefault="00C06428" w:rsidP="00C06428">
            <w:pPr>
              <w:pStyle w:val="AspexTableText"/>
              <w:jc w:val="center"/>
              <w:rPr>
                <w:rFonts w:ascii="Arial Narrow" w:hAnsi="Arial Narrow"/>
                <w:b/>
              </w:rPr>
            </w:pPr>
            <w:r w:rsidRPr="00C06428">
              <w:rPr>
                <w:rFonts w:ascii="Arial Narrow" w:hAnsi="Arial Narrow" w:cs="Arial"/>
                <w:b/>
              </w:rPr>
              <w:t>$311,354,215</w:t>
            </w:r>
          </w:p>
        </w:tc>
        <w:tc>
          <w:tcPr>
            <w:tcW w:w="1697" w:type="dxa"/>
            <w:noWrap/>
            <w:vAlign w:val="center"/>
            <w:hideMark/>
          </w:tcPr>
          <w:p w14:paraId="307F853B" w14:textId="12D0B09B" w:rsidR="00C06428" w:rsidRPr="00C06428" w:rsidRDefault="00C06428" w:rsidP="00C06428">
            <w:pPr>
              <w:pStyle w:val="AspexTableText"/>
              <w:jc w:val="center"/>
              <w:rPr>
                <w:rFonts w:ascii="Arial Narrow" w:hAnsi="Arial Narrow"/>
                <w:b/>
              </w:rPr>
            </w:pPr>
            <w:r w:rsidRPr="00C06428">
              <w:rPr>
                <w:rFonts w:ascii="Arial Narrow" w:hAnsi="Arial Narrow" w:cs="Arial"/>
                <w:b/>
              </w:rPr>
              <w:t>$11,432,488</w:t>
            </w:r>
          </w:p>
        </w:tc>
        <w:tc>
          <w:tcPr>
            <w:tcW w:w="1542" w:type="dxa"/>
            <w:noWrap/>
            <w:vAlign w:val="center"/>
            <w:hideMark/>
          </w:tcPr>
          <w:p w14:paraId="27270293" w14:textId="7466D73B" w:rsidR="00C06428" w:rsidRPr="00C06428" w:rsidRDefault="00C06428" w:rsidP="00C06428">
            <w:pPr>
              <w:pStyle w:val="AspexTableText"/>
              <w:jc w:val="center"/>
              <w:rPr>
                <w:rFonts w:ascii="Arial Narrow" w:hAnsi="Arial Narrow"/>
                <w:b/>
              </w:rPr>
            </w:pPr>
            <w:r w:rsidRPr="00C06428">
              <w:rPr>
                <w:rFonts w:ascii="Arial Narrow" w:hAnsi="Arial Narrow" w:cs="Arial"/>
                <w:b/>
              </w:rPr>
              <w:t>$22,864,976</w:t>
            </w:r>
          </w:p>
        </w:tc>
      </w:tr>
      <w:tr w:rsidR="00C06428" w:rsidRPr="006609FA" w14:paraId="1F15AAD8" w14:textId="77777777" w:rsidTr="00C06428">
        <w:trPr>
          <w:trHeight w:val="240"/>
        </w:trPr>
        <w:tc>
          <w:tcPr>
            <w:tcW w:w="2972" w:type="dxa"/>
            <w:noWrap/>
            <w:hideMark/>
          </w:tcPr>
          <w:p w14:paraId="2976AB66" w14:textId="77777777" w:rsidR="00C06428" w:rsidRPr="006609FA" w:rsidRDefault="00C06428" w:rsidP="00601B38">
            <w:pPr>
              <w:pStyle w:val="AspexTableText"/>
              <w:rPr>
                <w:rFonts w:ascii="Arial Narrow" w:hAnsi="Arial Narrow"/>
              </w:rPr>
            </w:pPr>
            <w:proofErr w:type="spellStart"/>
            <w:r w:rsidRPr="006609FA">
              <w:rPr>
                <w:rFonts w:ascii="Arial Narrow" w:hAnsi="Arial Narrow"/>
              </w:rPr>
              <w:t>AChPM</w:t>
            </w:r>
            <w:proofErr w:type="spellEnd"/>
            <w:r w:rsidRPr="006609FA">
              <w:rPr>
                <w:rFonts w:ascii="Arial Narrow" w:hAnsi="Arial Narrow"/>
              </w:rPr>
              <w:t xml:space="preserve"> 2005 lower estimates </w:t>
            </w:r>
          </w:p>
        </w:tc>
        <w:tc>
          <w:tcPr>
            <w:tcW w:w="1541" w:type="dxa"/>
            <w:noWrap/>
            <w:hideMark/>
          </w:tcPr>
          <w:p w14:paraId="489A37C7" w14:textId="77777777" w:rsidR="00C06428" w:rsidRPr="006609FA" w:rsidRDefault="00C06428" w:rsidP="00601B38">
            <w:pPr>
              <w:pStyle w:val="AspexTableText"/>
              <w:jc w:val="center"/>
              <w:rPr>
                <w:rFonts w:ascii="Arial Narrow" w:hAnsi="Arial Narrow"/>
              </w:rPr>
            </w:pPr>
            <w:r w:rsidRPr="006609FA">
              <w:rPr>
                <w:rFonts w:ascii="Arial Narrow" w:hAnsi="Arial Narrow"/>
              </w:rPr>
              <w:t>70.00%</w:t>
            </w:r>
          </w:p>
        </w:tc>
        <w:tc>
          <w:tcPr>
            <w:tcW w:w="1385" w:type="dxa"/>
            <w:noWrap/>
            <w:vAlign w:val="bottom"/>
            <w:hideMark/>
          </w:tcPr>
          <w:p w14:paraId="5F5AB152" w14:textId="122CA42D"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$367,101,146 </w:t>
            </w:r>
          </w:p>
        </w:tc>
        <w:tc>
          <w:tcPr>
            <w:tcW w:w="1697" w:type="dxa"/>
            <w:noWrap/>
            <w:vAlign w:val="bottom"/>
            <w:hideMark/>
          </w:tcPr>
          <w:p w14:paraId="35518370" w14:textId="55A30EBD"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$13,479,437 </w:t>
            </w:r>
          </w:p>
        </w:tc>
        <w:tc>
          <w:tcPr>
            <w:tcW w:w="1542" w:type="dxa"/>
            <w:noWrap/>
            <w:vAlign w:val="bottom"/>
            <w:hideMark/>
          </w:tcPr>
          <w:p w14:paraId="132C21B4" w14:textId="6B7951EF"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$26,958,873 </w:t>
            </w:r>
          </w:p>
        </w:tc>
      </w:tr>
      <w:tr w:rsidR="00C06428" w:rsidRPr="006609FA" w14:paraId="3758C0EF" w14:textId="77777777" w:rsidTr="00C06428">
        <w:trPr>
          <w:trHeight w:val="240"/>
        </w:trPr>
        <w:tc>
          <w:tcPr>
            <w:tcW w:w="2972" w:type="dxa"/>
            <w:noWrap/>
            <w:hideMark/>
          </w:tcPr>
          <w:p w14:paraId="1D47D9A4" w14:textId="77777777" w:rsidR="00C06428" w:rsidRPr="006609FA" w:rsidRDefault="00C06428" w:rsidP="00601B38">
            <w:pPr>
              <w:pStyle w:val="AspexTableText"/>
              <w:rPr>
                <w:rFonts w:ascii="Arial Narrow" w:hAnsi="Arial Narrow"/>
              </w:rPr>
            </w:pPr>
            <w:proofErr w:type="spellStart"/>
            <w:r w:rsidRPr="006609FA">
              <w:rPr>
                <w:rFonts w:ascii="Arial Narrow" w:hAnsi="Arial Narrow"/>
              </w:rPr>
              <w:t>AChPM</w:t>
            </w:r>
            <w:proofErr w:type="spellEnd"/>
            <w:r w:rsidRPr="006609FA">
              <w:rPr>
                <w:rFonts w:ascii="Arial Narrow" w:hAnsi="Arial Narrow"/>
              </w:rPr>
              <w:t xml:space="preserve"> 2005 upper estimates </w:t>
            </w:r>
          </w:p>
        </w:tc>
        <w:tc>
          <w:tcPr>
            <w:tcW w:w="1541" w:type="dxa"/>
            <w:noWrap/>
            <w:hideMark/>
          </w:tcPr>
          <w:p w14:paraId="687532C1" w14:textId="77777777" w:rsidR="00C06428" w:rsidRPr="006609FA" w:rsidRDefault="00C06428" w:rsidP="00601B38">
            <w:pPr>
              <w:pStyle w:val="AspexTableText"/>
              <w:jc w:val="center"/>
              <w:rPr>
                <w:rFonts w:ascii="Arial Narrow" w:hAnsi="Arial Narrow"/>
              </w:rPr>
            </w:pPr>
            <w:r w:rsidRPr="006609FA">
              <w:rPr>
                <w:rFonts w:ascii="Arial Narrow" w:hAnsi="Arial Narrow"/>
              </w:rPr>
              <w:t>75.96%</w:t>
            </w:r>
          </w:p>
        </w:tc>
        <w:tc>
          <w:tcPr>
            <w:tcW w:w="1385" w:type="dxa"/>
            <w:noWrap/>
            <w:vAlign w:val="bottom"/>
            <w:hideMark/>
          </w:tcPr>
          <w:p w14:paraId="73290F92" w14:textId="28491F88"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$398,357,187 </w:t>
            </w:r>
          </w:p>
        </w:tc>
        <w:tc>
          <w:tcPr>
            <w:tcW w:w="1697" w:type="dxa"/>
            <w:noWrap/>
            <w:vAlign w:val="bottom"/>
            <w:hideMark/>
          </w:tcPr>
          <w:p w14:paraId="09473EBE" w14:textId="184B78DA"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$14,627,114 </w:t>
            </w:r>
          </w:p>
        </w:tc>
        <w:tc>
          <w:tcPr>
            <w:tcW w:w="1542" w:type="dxa"/>
            <w:noWrap/>
            <w:vAlign w:val="bottom"/>
            <w:hideMark/>
          </w:tcPr>
          <w:p w14:paraId="0D3EA551" w14:textId="226811DF"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$29,254,229 </w:t>
            </w:r>
          </w:p>
        </w:tc>
      </w:tr>
      <w:tr w:rsidR="00C06428" w:rsidRPr="006609FA" w14:paraId="5CA9D954" w14:textId="77777777" w:rsidTr="00C06428">
        <w:trPr>
          <w:trHeight w:val="240"/>
        </w:trPr>
        <w:tc>
          <w:tcPr>
            <w:tcW w:w="2972" w:type="dxa"/>
            <w:noWrap/>
            <w:hideMark/>
          </w:tcPr>
          <w:p w14:paraId="62EE669E" w14:textId="77777777" w:rsidR="00C06428" w:rsidRPr="006609FA" w:rsidRDefault="00C06428" w:rsidP="00601B38">
            <w:pPr>
              <w:pStyle w:val="AspexTableText"/>
              <w:rPr>
                <w:rFonts w:ascii="Arial Narrow" w:hAnsi="Arial Narrow"/>
              </w:rPr>
            </w:pPr>
            <w:proofErr w:type="spellStart"/>
            <w:r w:rsidRPr="006609FA">
              <w:rPr>
                <w:rFonts w:ascii="Arial Narrow" w:hAnsi="Arial Narrow"/>
              </w:rPr>
              <w:t>Rosenwax</w:t>
            </w:r>
            <w:proofErr w:type="spellEnd"/>
            <w:r w:rsidRPr="006609FA">
              <w:rPr>
                <w:rFonts w:ascii="Arial Narrow" w:hAnsi="Arial Narrow"/>
              </w:rPr>
              <w:t xml:space="preserve"> et al 2005 upper estimates </w:t>
            </w:r>
          </w:p>
        </w:tc>
        <w:tc>
          <w:tcPr>
            <w:tcW w:w="1541" w:type="dxa"/>
            <w:noWrap/>
            <w:hideMark/>
          </w:tcPr>
          <w:p w14:paraId="6EE39469" w14:textId="77777777" w:rsidR="00C06428" w:rsidRPr="006609FA" w:rsidRDefault="00C06428" w:rsidP="00601B38">
            <w:pPr>
              <w:pStyle w:val="AspexTableText"/>
              <w:jc w:val="center"/>
              <w:rPr>
                <w:rFonts w:ascii="Arial Narrow" w:hAnsi="Arial Narrow"/>
              </w:rPr>
            </w:pPr>
            <w:r w:rsidRPr="006609FA">
              <w:rPr>
                <w:rFonts w:ascii="Arial Narrow" w:hAnsi="Arial Narrow"/>
              </w:rPr>
              <w:t>78.00%</w:t>
            </w:r>
          </w:p>
        </w:tc>
        <w:tc>
          <w:tcPr>
            <w:tcW w:w="1385" w:type="dxa"/>
            <w:noWrap/>
            <w:vAlign w:val="bottom"/>
            <w:hideMark/>
          </w:tcPr>
          <w:p w14:paraId="2BC17842" w14:textId="0D826737"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$409,055,563 </w:t>
            </w:r>
          </w:p>
        </w:tc>
        <w:tc>
          <w:tcPr>
            <w:tcW w:w="1697" w:type="dxa"/>
            <w:noWrap/>
            <w:vAlign w:val="bottom"/>
            <w:hideMark/>
          </w:tcPr>
          <w:p w14:paraId="382F360C" w14:textId="5EBE5C3B"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$15,019,944 </w:t>
            </w:r>
          </w:p>
        </w:tc>
        <w:tc>
          <w:tcPr>
            <w:tcW w:w="1542" w:type="dxa"/>
            <w:noWrap/>
            <w:vAlign w:val="bottom"/>
            <w:hideMark/>
          </w:tcPr>
          <w:p w14:paraId="06393B70" w14:textId="47E52690" w:rsidR="00C06428" w:rsidRPr="00C06428" w:rsidRDefault="00C06428" w:rsidP="00601B38">
            <w:pPr>
              <w:pStyle w:val="AspexTableText"/>
              <w:jc w:val="center"/>
              <w:rPr>
                <w:rFonts w:ascii="Arial Narrow" w:hAnsi="Arial Narrow"/>
              </w:rPr>
            </w:pPr>
            <w:r w:rsidRPr="00C06428">
              <w:rPr>
                <w:rFonts w:ascii="Arial Narrow" w:hAnsi="Arial Narrow" w:cs="Arial"/>
              </w:rPr>
              <w:t xml:space="preserve"> $30,039,887 </w:t>
            </w:r>
          </w:p>
        </w:tc>
      </w:tr>
    </w:tbl>
    <w:p w14:paraId="7B035AB5" w14:textId="4DD3CCF4" w:rsidR="006609FA" w:rsidRDefault="00FD133C" w:rsidP="0098746C">
      <w:pPr>
        <w:pStyle w:val="AspexBodyStandard"/>
      </w:pPr>
      <w:r>
        <w:t>Analysis of stakeholder estimation in relation to the proportion of potentially eligible referrals to palliative care (and by inference palliative care specialists) varies considerably.  The Department of Health and Ageing, in a report to the Senate Inquiry into Palliative Care in Australia, indicated that between 25% and 48% of all deaths in Australia</w:t>
      </w:r>
      <w:r w:rsidR="008E5728">
        <w:t>.</w:t>
      </w:r>
      <w:r>
        <w:rPr>
          <w:rStyle w:val="FootnoteReference"/>
        </w:rPr>
        <w:footnoteReference w:id="60"/>
      </w:r>
      <w:r w:rsidR="008E5728">
        <w:t xml:space="preserve"> </w:t>
      </w:r>
      <w:r>
        <w:t xml:space="preserve"> In applying for recognition as a medical specialty the Australasian Chapter of </w:t>
      </w:r>
      <w:r w:rsidR="00C85633">
        <w:t>Palliative M</w:t>
      </w:r>
      <w:r w:rsidR="002A2727">
        <w:t>edicine</w:t>
      </w:r>
      <w:r>
        <w:t xml:space="preserve"> (</w:t>
      </w:r>
      <w:proofErr w:type="spellStart"/>
      <w:r w:rsidR="002A6C76">
        <w:t>AChPM</w:t>
      </w:r>
      <w:proofErr w:type="spellEnd"/>
      <w:r>
        <w:t>)</w:t>
      </w:r>
      <w:r w:rsidR="001E762A">
        <w:t xml:space="preserve"> estimated a higher proportion of potential referrals, ranging from 70% to 76%</w:t>
      </w:r>
      <w:r>
        <w:t xml:space="preserve"> </w:t>
      </w:r>
      <w:r w:rsidR="001E762A">
        <w:t>of all deaths occurring in Australia.  Population based research confirms that the potential range of eligible individuals for referral to palliative care services is indeed broad, ranging from around 44% up to a potential 78% of all deaths in Australia</w:t>
      </w:r>
      <w:r w:rsidR="008E5728">
        <w:t>.</w:t>
      </w:r>
      <w:r w:rsidR="001E762A">
        <w:rPr>
          <w:rStyle w:val="FootnoteReference"/>
        </w:rPr>
        <w:footnoteReference w:id="61"/>
      </w:r>
      <w:r w:rsidR="008E5728">
        <w:t xml:space="preserve"> </w:t>
      </w:r>
      <w:r w:rsidR="001E762A">
        <w:t>Therefore:</w:t>
      </w:r>
    </w:p>
    <w:p w14:paraId="4ABBC0DF" w14:textId="0E6302AE" w:rsidR="001E762A" w:rsidRPr="001E762A" w:rsidRDefault="001E762A" w:rsidP="001E762A">
      <w:pPr>
        <w:pStyle w:val="AspexHighlightText"/>
        <w:spacing w:before="240"/>
        <w:rPr>
          <w:rStyle w:val="IntenseEmphasis"/>
        </w:rPr>
      </w:pPr>
      <w:r w:rsidRPr="001E762A">
        <w:rPr>
          <w:rStyle w:val="IntenseEmphasis"/>
        </w:rPr>
        <w:t xml:space="preserve">Current estimates of the number of potentially ‘anticipated’ deaths in Australia reflect an appropriate mid-point estimate of the likely number and cost </w:t>
      </w:r>
      <w:r>
        <w:rPr>
          <w:rStyle w:val="IntenseEmphasis"/>
        </w:rPr>
        <w:t xml:space="preserve">savings associated with </w:t>
      </w:r>
      <w:r w:rsidRPr="001E762A">
        <w:rPr>
          <w:rStyle w:val="IntenseEmphasis"/>
        </w:rPr>
        <w:t xml:space="preserve">increasing the proportion of </w:t>
      </w:r>
      <w:r>
        <w:rPr>
          <w:rStyle w:val="IntenseEmphasis"/>
        </w:rPr>
        <w:t xml:space="preserve">community </w:t>
      </w:r>
      <w:r w:rsidRPr="001E762A">
        <w:rPr>
          <w:rStyle w:val="IntenseEmphasis"/>
        </w:rPr>
        <w:t xml:space="preserve">referrals to </w:t>
      </w:r>
      <w:r w:rsidR="002A2727">
        <w:rPr>
          <w:rStyle w:val="IntenseEmphasis"/>
        </w:rPr>
        <w:t>palliative medicine</w:t>
      </w:r>
      <w:r w:rsidRPr="001E762A">
        <w:rPr>
          <w:rStyle w:val="IntenseEmphasis"/>
        </w:rPr>
        <w:t xml:space="preserve"> specialists in Australia. </w:t>
      </w:r>
    </w:p>
    <w:p w14:paraId="1FE3133D" w14:textId="77777777" w:rsidR="001E762A" w:rsidRDefault="001E762A" w:rsidP="0098746C">
      <w:pPr>
        <w:pStyle w:val="AspexBodyStandard"/>
      </w:pPr>
      <w:r>
        <w:t>The following chapter now describes the available evidence relating to the quality, safety and clinical effectiveness of palliative care services, and where possible the contribution of palliative care medical specialist interventions.</w:t>
      </w:r>
    </w:p>
    <w:p w14:paraId="6565D809" w14:textId="77777777" w:rsidR="00AD40B5" w:rsidRDefault="00AD40B5" w:rsidP="0098746C">
      <w:pPr>
        <w:pStyle w:val="AspexBodyStandard"/>
      </w:pPr>
    </w:p>
    <w:p w14:paraId="0F1DB90C" w14:textId="77777777" w:rsidR="00257B86" w:rsidRDefault="00257B86" w:rsidP="00257B86">
      <w:pPr>
        <w:pStyle w:val="Heading1"/>
      </w:pPr>
      <w:bookmarkStart w:id="125" w:name="_Toc373163135"/>
      <w:bookmarkStart w:id="126" w:name="_Toc382313826"/>
      <w:r>
        <w:lastRenderedPageBreak/>
        <w:t>The clinical safety and effectiveness of interventions</w:t>
      </w:r>
      <w:bookmarkEnd w:id="125"/>
      <w:bookmarkEnd w:id="126"/>
    </w:p>
    <w:p w14:paraId="0250CACB" w14:textId="6D59AAB6" w:rsidR="00E345F6" w:rsidRDefault="005A1398" w:rsidP="006C6BCF">
      <w:pPr>
        <w:pStyle w:val="Heading2"/>
      </w:pPr>
      <w:bookmarkStart w:id="127" w:name="_Toc382313827"/>
      <w:bookmarkStart w:id="128" w:name="_Toc373163107"/>
      <w:r>
        <w:t>Palliative c</w:t>
      </w:r>
      <w:r w:rsidR="00E345F6" w:rsidRPr="00F06A20">
        <w:t>are</w:t>
      </w:r>
      <w:bookmarkEnd w:id="127"/>
      <w:r w:rsidR="00E345F6" w:rsidRPr="00F06A20">
        <w:t xml:space="preserve"> </w:t>
      </w:r>
      <w:bookmarkEnd w:id="128"/>
    </w:p>
    <w:p w14:paraId="70808185" w14:textId="77777777" w:rsidR="00E345F6" w:rsidRPr="00160C17" w:rsidRDefault="00E345F6" w:rsidP="00160C17">
      <w:pPr>
        <w:pStyle w:val="AspexBodyStandard"/>
      </w:pPr>
      <w:r w:rsidRPr="00160C17">
        <w:rPr>
          <w:i/>
        </w:rPr>
        <w:t>Palliative Care</w:t>
      </w:r>
      <w:r w:rsidRPr="00160C17">
        <w:t xml:space="preserve"> is the physical, emotional, psychosocial and spiritual care given by a multidisciplinary team to patients with life-threatening illnesses and their families.</w:t>
      </w:r>
      <w:r w:rsidRPr="00366B1B">
        <w:rPr>
          <w:vertAlign w:val="superscript"/>
        </w:rPr>
        <w:footnoteReference w:id="62"/>
      </w:r>
      <w:r w:rsidRPr="00160C17">
        <w:t xml:space="preserve">  The aim of such care is to improve quality of life and prevent/relieve suffering by early and accurate assessment and treatment of pain and other problems.</w:t>
      </w:r>
      <w:r w:rsidRPr="00366B1B">
        <w:rPr>
          <w:rStyle w:val="FootnoteReference"/>
        </w:rPr>
        <w:footnoteReference w:id="63"/>
      </w:r>
    </w:p>
    <w:p w14:paraId="0CF5B8DE" w14:textId="77777777" w:rsidR="00E345F6" w:rsidRPr="00E345F6" w:rsidRDefault="00E345F6" w:rsidP="00E345F6">
      <w:pPr>
        <w:pStyle w:val="AspexBodyStandard"/>
      </w:pPr>
      <w:r w:rsidRPr="00E345F6">
        <w:t>The World Health Organisation (WHO) describes palliative care as:</w:t>
      </w:r>
    </w:p>
    <w:p w14:paraId="49C1D645" w14:textId="77777777" w:rsidR="00E345F6" w:rsidRPr="00E345F6" w:rsidRDefault="00E345F6" w:rsidP="00E345F6">
      <w:pPr>
        <w:pStyle w:val="AspexTableText-Narrow"/>
        <w:ind w:left="720"/>
        <w:jc w:val="both"/>
        <w:rPr>
          <w:rFonts w:ascii="Arial" w:hAnsi="Arial" w:cs="Arial"/>
          <w:i/>
          <w:sz w:val="22"/>
          <w:szCs w:val="22"/>
          <w:lang w:eastAsia="en-AU"/>
        </w:rPr>
      </w:pPr>
      <w:r w:rsidRPr="00E345F6">
        <w:rPr>
          <w:rFonts w:ascii="Arial" w:hAnsi="Arial" w:cs="Arial"/>
          <w:i/>
          <w:sz w:val="22"/>
          <w:szCs w:val="22"/>
          <w:lang w:eastAsia="en-AU"/>
        </w:rPr>
        <w:t>“An approach that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w:t>
      </w:r>
    </w:p>
    <w:p w14:paraId="2C45E2B2" w14:textId="77777777" w:rsidR="00E345F6" w:rsidRPr="00E345F6" w:rsidRDefault="00E345F6" w:rsidP="00E345F6">
      <w:pPr>
        <w:pStyle w:val="AspexTableText-Narrow"/>
        <w:ind w:left="720"/>
        <w:jc w:val="both"/>
        <w:rPr>
          <w:rFonts w:ascii="Arial" w:hAnsi="Arial" w:cs="Arial"/>
          <w:i/>
          <w:sz w:val="22"/>
          <w:szCs w:val="22"/>
          <w:lang w:eastAsia="en-AU"/>
        </w:rPr>
      </w:pPr>
      <w:r w:rsidRPr="00E345F6">
        <w:rPr>
          <w:rFonts w:ascii="Arial" w:hAnsi="Arial" w:cs="Arial"/>
          <w:i/>
          <w:sz w:val="22"/>
          <w:szCs w:val="22"/>
          <w:lang w:eastAsia="en-AU"/>
        </w:rPr>
        <w:t xml:space="preserve">Palliative care: </w:t>
      </w:r>
    </w:p>
    <w:p w14:paraId="10168109"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Provides relief from pain and other distressing symptoms;</w:t>
      </w:r>
    </w:p>
    <w:p w14:paraId="05D11516" w14:textId="3279127E"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Affirms life and regards dying as a normal process;</w:t>
      </w:r>
    </w:p>
    <w:p w14:paraId="412290F5"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Intends neither to hasten or postpone death;</w:t>
      </w:r>
    </w:p>
    <w:p w14:paraId="661FE809"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Integrates the psychological and spiritual aspects of patient care;</w:t>
      </w:r>
    </w:p>
    <w:p w14:paraId="711583B9"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Offers a support system to help patients live as actively as possible until death;</w:t>
      </w:r>
    </w:p>
    <w:p w14:paraId="616B43F8"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Offers a support system to help the family cope during the patient’s illness and in their own bereavement;</w:t>
      </w:r>
    </w:p>
    <w:p w14:paraId="6B1B735B"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Uses a team approach to address the needs of patients and their families, including bereavement counselling, if indicated;</w:t>
      </w:r>
    </w:p>
    <w:p w14:paraId="17256A57"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C87E5F">
        <w:rPr>
          <w:rFonts w:ascii="Arial" w:hAnsi="Arial" w:cs="Arial"/>
          <w:i/>
          <w:sz w:val="22"/>
          <w:szCs w:val="22"/>
          <w:lang w:eastAsia="en-AU"/>
        </w:rPr>
        <w:t>Will enhance quality of life, and may also positively influence the course of illness;</w:t>
      </w:r>
    </w:p>
    <w:p w14:paraId="116D3DE3" w14:textId="77777777" w:rsidR="00E345F6" w:rsidRPr="00C87E5F" w:rsidRDefault="00E345F6" w:rsidP="00CB47CE">
      <w:pPr>
        <w:pStyle w:val="AspexTableText-NarrowBullet2"/>
        <w:tabs>
          <w:tab w:val="clear" w:pos="567"/>
          <w:tab w:val="num" w:pos="1134"/>
        </w:tabs>
        <w:ind w:left="1134" w:hanging="425"/>
        <w:rPr>
          <w:rFonts w:ascii="Arial" w:hAnsi="Arial" w:cs="Arial"/>
          <w:i/>
          <w:sz w:val="22"/>
          <w:szCs w:val="22"/>
          <w:lang w:eastAsia="en-AU"/>
        </w:rPr>
      </w:pPr>
      <w:r w:rsidRPr="00E345F6">
        <w:rPr>
          <w:rFonts w:ascii="Arial" w:hAnsi="Arial" w:cs="Arial"/>
          <w:i/>
          <w:sz w:val="22"/>
          <w:szCs w:val="22"/>
          <w:lang w:eastAsia="en-AU"/>
        </w:rPr>
        <w:t>Is applicable early in the course of illness, in conjunction with other therapies that are intended to prolong life, such as chemotherapy or radiation therapy, and includes those investigations needed to better understand and manage distressing clinical complications.”</w:t>
      </w:r>
      <w:r w:rsidRPr="00C87E5F">
        <w:rPr>
          <w:vertAlign w:val="superscript"/>
        </w:rPr>
        <w:footnoteReference w:id="64"/>
      </w:r>
      <w:r w:rsidRPr="00C87E5F">
        <w:rPr>
          <w:rFonts w:ascii="Arial" w:hAnsi="Arial" w:cs="Arial"/>
          <w:i/>
          <w:sz w:val="22"/>
          <w:szCs w:val="22"/>
          <w:vertAlign w:val="superscript"/>
          <w:lang w:eastAsia="en-AU"/>
        </w:rPr>
        <w:t xml:space="preserve"> </w:t>
      </w:r>
    </w:p>
    <w:p w14:paraId="26EBDC5F" w14:textId="77777777" w:rsidR="00092A3B" w:rsidRDefault="006D254E" w:rsidP="00092A3B">
      <w:pPr>
        <w:pStyle w:val="AspexBodyStandard"/>
      </w:pPr>
      <w:r>
        <w:t>T</w:t>
      </w:r>
      <w:r w:rsidR="00092A3B">
        <w:t xml:space="preserve">he </w:t>
      </w:r>
      <w:r>
        <w:t xml:space="preserve">Australian </w:t>
      </w:r>
      <w:r w:rsidR="00092A3B">
        <w:t>National Health Data Dictionary (NHDD)</w:t>
      </w:r>
      <w:r w:rsidR="00092A3B" w:rsidRPr="008005B3">
        <w:rPr>
          <w:rFonts w:ascii="Arial Narrow" w:hAnsi="Arial Narrow"/>
          <w:sz w:val="20"/>
          <w:vertAlign w:val="superscript"/>
        </w:rPr>
        <w:footnoteReference w:id="65"/>
      </w:r>
      <w:r w:rsidR="00092A3B" w:rsidRPr="008005B3">
        <w:rPr>
          <w:rFonts w:ascii="Arial Narrow" w:hAnsi="Arial Narrow"/>
          <w:sz w:val="20"/>
          <w:vertAlign w:val="superscript"/>
        </w:rPr>
        <w:t xml:space="preserve"> </w:t>
      </w:r>
      <w:r w:rsidR="00092A3B">
        <w:t>defines palliative care as:</w:t>
      </w:r>
    </w:p>
    <w:p w14:paraId="4171F71D" w14:textId="77777777" w:rsidR="00092A3B" w:rsidRPr="00714F28" w:rsidRDefault="00092A3B" w:rsidP="00092A3B">
      <w:pPr>
        <w:pStyle w:val="AspexBodyStandard"/>
        <w:ind w:left="567" w:right="510"/>
        <w:rPr>
          <w:i/>
        </w:rPr>
      </w:pPr>
      <w:proofErr w:type="gramStart"/>
      <w:r w:rsidRPr="00714F28">
        <w:rPr>
          <w:i/>
        </w:rPr>
        <w:t>“Care in which the clinical intent or treatment goal is primarily quality of life for a patient with an active, progressive disease with little or no prospect of cure.</w:t>
      </w:r>
      <w:proofErr w:type="gramEnd"/>
      <w:r w:rsidRPr="00714F28">
        <w:rPr>
          <w:i/>
        </w:rPr>
        <w:t xml:space="preserve"> It is usually evidenced by an interdisciplinary assessment and/or management of the physical, psychological, emotional and spiritual needs of the patient; and a grief and bereavement support service for the patient and their carers/family. It includes care provided:</w:t>
      </w:r>
    </w:p>
    <w:p w14:paraId="4C21DBC4" w14:textId="77777777" w:rsidR="00092A3B" w:rsidRPr="00722901" w:rsidRDefault="00092A3B" w:rsidP="00CB47CE">
      <w:pPr>
        <w:pStyle w:val="AspexBullet2"/>
        <w:ind w:left="993" w:hanging="426"/>
        <w:rPr>
          <w:i/>
        </w:rPr>
      </w:pPr>
      <w:r w:rsidRPr="00722901">
        <w:rPr>
          <w:i/>
        </w:rPr>
        <w:t>In a palliative care unit;</w:t>
      </w:r>
    </w:p>
    <w:p w14:paraId="49F8CBF0" w14:textId="77777777" w:rsidR="00092A3B" w:rsidRPr="00722901" w:rsidRDefault="00092A3B" w:rsidP="00CB47CE">
      <w:pPr>
        <w:pStyle w:val="AspexBullet2"/>
        <w:ind w:left="993" w:hanging="426"/>
        <w:rPr>
          <w:i/>
        </w:rPr>
      </w:pPr>
      <w:r w:rsidRPr="00722901">
        <w:rPr>
          <w:i/>
        </w:rPr>
        <w:t>In a designated palliative care program; or</w:t>
      </w:r>
    </w:p>
    <w:p w14:paraId="68B498F1" w14:textId="77777777" w:rsidR="00092A3B" w:rsidRPr="00722901" w:rsidRDefault="00092A3B" w:rsidP="00CB47CE">
      <w:pPr>
        <w:pStyle w:val="AspexBullet2"/>
        <w:ind w:left="993" w:hanging="426"/>
        <w:rPr>
          <w:i/>
        </w:rPr>
      </w:pPr>
      <w:r w:rsidRPr="00722901">
        <w:rPr>
          <w:i/>
        </w:rPr>
        <w:lastRenderedPageBreak/>
        <w:t>Under the principal clinical management of a palliative care physician or, in the opinion of the treating doctor, when the principal clinical intent of care is palliation”.</w:t>
      </w:r>
    </w:p>
    <w:p w14:paraId="735C3ED2" w14:textId="77777777" w:rsidR="0023371A" w:rsidRDefault="000405E4" w:rsidP="0023371A">
      <w:pPr>
        <w:pStyle w:val="AspexBodyStandard"/>
      </w:pPr>
      <w:r>
        <w:t>A Palliative Care team typically includes physicians, nurses, social workers, chaplains and mental health professionals’.</w:t>
      </w:r>
      <w:r>
        <w:rPr>
          <w:rStyle w:val="FootnoteReference"/>
          <w:rFonts w:cs="Arial"/>
          <w:sz w:val="24"/>
        </w:rPr>
        <w:footnoteReference w:id="66"/>
      </w:r>
      <w:r w:rsidR="0023371A">
        <w:t xml:space="preserve"> Recent analysis by AIHW of over 52,000 Palliative Care separations identified that the majority involved allied health interventions including physiotherapy, social work, dietetics and pastoral care.</w:t>
      </w:r>
      <w:r w:rsidR="0023371A">
        <w:rPr>
          <w:rStyle w:val="FootnoteReference"/>
          <w:rFonts w:cs="Arial"/>
          <w:sz w:val="24"/>
        </w:rPr>
        <w:footnoteReference w:id="67"/>
      </w:r>
    </w:p>
    <w:p w14:paraId="34E3065C" w14:textId="77777777" w:rsidR="00D740F8" w:rsidRDefault="00C3179E" w:rsidP="00C3179E">
      <w:pPr>
        <w:pStyle w:val="AspexBodyStandard"/>
      </w:pPr>
      <w:r>
        <w:t xml:space="preserve">The typical duration of a palliative care episode </w:t>
      </w:r>
      <w:r w:rsidR="006D254E">
        <w:t xml:space="preserve">of care </w:t>
      </w:r>
      <w:r>
        <w:t>varies according to</w:t>
      </w:r>
      <w:r w:rsidR="006D254E">
        <w:t xml:space="preserve"> the natural duration of a particular illness.  Palliative care may be involved for many years (as and when required) for children and young adults diagnosed with particular genetic disorders.  Progressive degenerative disease may also involve palliative care consultation over a number of years, with increasing involvement </w:t>
      </w:r>
      <w:r w:rsidR="00D740F8">
        <w:t>towards the final years, months and weeks of life.  Given that the largest proportion of patients currently treated by palliative care teams have been diagnosed with some form of neoplastic disease, the duration of most palliative care episodes occurs over a shorter period of time.</w:t>
      </w:r>
    </w:p>
    <w:p w14:paraId="0477CBDF" w14:textId="77777777" w:rsidR="00D740F8" w:rsidRDefault="00D740F8" w:rsidP="00C3179E">
      <w:pPr>
        <w:pStyle w:val="AspexBodyStandard"/>
      </w:pPr>
      <w:r>
        <w:t xml:space="preserve">The palliative care profession recognises four phases of palliative care intervention, for individuals and their families who have been diagnosed with a terminal illness. </w:t>
      </w:r>
      <w:r w:rsidR="00CE520B">
        <w:t xml:space="preserve">Data are voluntarily reported to the PCOC by a number of facilities across Australia to monitor the length of time spent in various phases of palliative care management. </w:t>
      </w:r>
      <w:r>
        <w:t xml:space="preserve">The duration of care provided during these phases </w:t>
      </w:r>
      <w:r w:rsidR="00CE520B">
        <w:t>varies</w:t>
      </w:r>
      <w:r>
        <w:t xml:space="preserve"> considerably according to individual patient and carer needs. The key phases of palliative care are described as:</w:t>
      </w:r>
    </w:p>
    <w:p w14:paraId="02D4D254" w14:textId="77777777" w:rsidR="00C3179E" w:rsidRDefault="00D740F8" w:rsidP="00D740F8">
      <w:pPr>
        <w:pStyle w:val="AspexBullet1"/>
      </w:pPr>
      <w:r>
        <w:t>‘Stable’ – where the typical (average) duration of involvement is around 20 days for patients managed in the community setting, and around 8 days for those with a stable palliative care related admission to hospital;</w:t>
      </w:r>
    </w:p>
    <w:p w14:paraId="3995895A" w14:textId="77777777" w:rsidR="00D740F8" w:rsidRDefault="00D740F8" w:rsidP="00D740F8">
      <w:pPr>
        <w:pStyle w:val="AspexBullet1"/>
      </w:pPr>
      <w:r>
        <w:t>‘Unstable’ – where the average duration of involvement is around 7 days in the community, and around 3 days in hospital;</w:t>
      </w:r>
    </w:p>
    <w:p w14:paraId="38C31B50" w14:textId="13B28D35" w:rsidR="00D740F8" w:rsidRDefault="00366B1B" w:rsidP="00D740F8">
      <w:pPr>
        <w:pStyle w:val="AspexBullet1"/>
      </w:pPr>
      <w:r>
        <w:t>‘</w:t>
      </w:r>
      <w:r w:rsidR="00D740F8">
        <w:t>Deteriorating</w:t>
      </w:r>
      <w:r>
        <w:t>’</w:t>
      </w:r>
      <w:r w:rsidR="00D740F8">
        <w:t xml:space="preserve"> – where the average period of involvement is 15 days in the community or 5 days if associated with a hospital admission;</w:t>
      </w:r>
      <w:r>
        <w:t xml:space="preserve"> and</w:t>
      </w:r>
    </w:p>
    <w:p w14:paraId="2FFB9FD5" w14:textId="002221ED" w:rsidR="00D740F8" w:rsidRDefault="00366B1B" w:rsidP="00D740F8">
      <w:pPr>
        <w:pStyle w:val="AspexBullet1"/>
      </w:pPr>
      <w:r>
        <w:t>‘</w:t>
      </w:r>
      <w:r w:rsidR="00D740F8">
        <w:t>Terminal</w:t>
      </w:r>
      <w:r>
        <w:t>’</w:t>
      </w:r>
      <w:r w:rsidR="00D740F8">
        <w:t xml:space="preserve"> – where the average period is 3 days in the community and 2 days in hospital.</w:t>
      </w:r>
    </w:p>
    <w:p w14:paraId="632F8B10" w14:textId="103DE6AA" w:rsidR="00C3179E" w:rsidRPr="00F67239" w:rsidRDefault="00D740F8" w:rsidP="00C3179E">
      <w:pPr>
        <w:pStyle w:val="AspexBodyStandard"/>
      </w:pPr>
      <w:r>
        <w:t xml:space="preserve">Thus, on average, a total palliative care episode may last anywhere from </w:t>
      </w:r>
      <w:r w:rsidR="00CE520B">
        <w:t>around 18 days of admitted hospital care (over multiple admissions) to 45 days in the community.  It must be emphasised that these figures do not necessarily represent consecutive days of palliative care intervention.  In addition, it is also recognised that any given individual may transition back and forth between stages rather than progress through each in a linear fashion. Independent studies</w:t>
      </w:r>
      <w:r w:rsidR="00C3179E">
        <w:t xml:space="preserve"> of</w:t>
      </w:r>
      <w:r w:rsidR="00C3179E" w:rsidRPr="00F67239">
        <w:t xml:space="preserve"> general practice </w:t>
      </w:r>
      <w:r w:rsidR="00C3179E">
        <w:t xml:space="preserve">patients </w:t>
      </w:r>
      <w:r w:rsidR="00C3179E" w:rsidRPr="00F67239">
        <w:t xml:space="preserve">with malignant and cardiorespiratory </w:t>
      </w:r>
      <w:r w:rsidR="00CE520B" w:rsidRPr="00F67239">
        <w:t>disease</w:t>
      </w:r>
      <w:r w:rsidR="00C3179E" w:rsidRPr="00F67239">
        <w:t xml:space="preserve"> </w:t>
      </w:r>
      <w:r w:rsidR="00CE520B">
        <w:t xml:space="preserve">are consistent with national data reported by the PCOC, indicating that </w:t>
      </w:r>
      <w:r w:rsidR="00C3179E" w:rsidRPr="00F67239">
        <w:t xml:space="preserve">the respective median </w:t>
      </w:r>
      <w:r w:rsidR="00CE520B">
        <w:t xml:space="preserve">of the end stage palliative phase </w:t>
      </w:r>
      <w:r w:rsidR="00C3179E" w:rsidRPr="00F67239">
        <w:t xml:space="preserve">was </w:t>
      </w:r>
      <w:r w:rsidR="00CE520B">
        <w:t>anywhere between</w:t>
      </w:r>
      <w:r w:rsidR="00B74A87">
        <w:t xml:space="preserve"> </w:t>
      </w:r>
      <w:r w:rsidR="00C3179E" w:rsidRPr="00F67239">
        <w:t xml:space="preserve">16 days and 23 </w:t>
      </w:r>
      <w:r w:rsidR="00C3179E">
        <w:t>days.</w:t>
      </w:r>
      <w:r w:rsidR="00C3179E">
        <w:rPr>
          <w:rStyle w:val="FootnoteReference"/>
          <w:rFonts w:cs="Arial"/>
          <w:sz w:val="24"/>
        </w:rPr>
        <w:footnoteReference w:id="68"/>
      </w:r>
      <w:r w:rsidR="006015F9">
        <w:t xml:space="preserve"> </w:t>
      </w:r>
    </w:p>
    <w:p w14:paraId="31F6D91A" w14:textId="45E68666" w:rsidR="001A79D2" w:rsidRDefault="001A79D2" w:rsidP="001A79D2">
      <w:pPr>
        <w:pStyle w:val="AspexBodyStandard"/>
      </w:pPr>
      <w:r w:rsidRPr="004C2B36">
        <w:t xml:space="preserve">Clinical practice guidelines together with the national standards for provision of palliative care services, guides the quality and safety for palliative care in Australia.  The National Standards have been developed by </w:t>
      </w:r>
      <w:r w:rsidR="00CA33B3">
        <w:t>PCA</w:t>
      </w:r>
      <w:r w:rsidRPr="004C2B36">
        <w:t xml:space="preserve"> in wide consultation with the palliative care and end-of-life sectors and are n</w:t>
      </w:r>
      <w:r>
        <w:t xml:space="preserve">ow in the fourth edition (2005), summarised in </w:t>
      </w:r>
      <w:r w:rsidR="00D606FC">
        <w:fldChar w:fldCharType="begin"/>
      </w:r>
      <w:r w:rsidR="00D606FC">
        <w:instrText xml:space="preserve"> REF _Ref247917545 \h </w:instrText>
      </w:r>
      <w:r w:rsidR="00D606FC">
        <w:fldChar w:fldCharType="separate"/>
      </w:r>
      <w:r w:rsidR="009C72FC" w:rsidRPr="00C8389B">
        <w:t>Table</w:t>
      </w:r>
      <w:r w:rsidR="009C72FC">
        <w:t xml:space="preserve"> </w:t>
      </w:r>
      <w:r w:rsidR="009C72FC">
        <w:rPr>
          <w:noProof/>
        </w:rPr>
        <w:t>3</w:t>
      </w:r>
      <w:r w:rsidR="009C72FC">
        <w:noBreakHyphen/>
      </w:r>
      <w:r w:rsidR="009C72FC">
        <w:rPr>
          <w:noProof/>
        </w:rPr>
        <w:t>1</w:t>
      </w:r>
      <w:r w:rsidR="00D606FC">
        <w:fldChar w:fldCharType="end"/>
      </w:r>
      <w:r>
        <w:t>.</w:t>
      </w:r>
    </w:p>
    <w:p w14:paraId="65F390B0" w14:textId="1BD933DD" w:rsidR="00D606FC" w:rsidRDefault="00D606FC" w:rsidP="00D9395C">
      <w:pPr>
        <w:pStyle w:val="Caption"/>
        <w:spacing w:before="360" w:after="240"/>
      </w:pPr>
      <w:bookmarkStart w:id="129" w:name="_Ref247917545"/>
      <w:bookmarkStart w:id="130" w:name="_Toc382315618"/>
      <w:r w:rsidRPr="00C8389B">
        <w:lastRenderedPageBreak/>
        <w:t>Table</w:t>
      </w:r>
      <w:r>
        <w:t xml:space="preserve"> </w:t>
      </w:r>
      <w:fldSimple w:instr=" STYLEREF 1 \s ">
        <w:r w:rsidR="009C72FC">
          <w:rPr>
            <w:noProof/>
          </w:rPr>
          <w:t>3</w:t>
        </w:r>
      </w:fldSimple>
      <w:r w:rsidR="006310FD">
        <w:noBreakHyphen/>
      </w:r>
      <w:fldSimple w:instr=" SEQ Table \* ARABIC \s 1 ">
        <w:r w:rsidR="009C72FC">
          <w:rPr>
            <w:noProof/>
          </w:rPr>
          <w:t>1</w:t>
        </w:r>
      </w:fldSimple>
      <w:bookmarkEnd w:id="129"/>
      <w:r>
        <w:rPr>
          <w:noProof/>
        </w:rPr>
        <w:t>:</w:t>
      </w:r>
      <w:r>
        <w:tab/>
      </w:r>
      <w:r w:rsidRPr="004C2B36">
        <w:t xml:space="preserve">National </w:t>
      </w:r>
      <w:r w:rsidR="002A2727">
        <w:t>s</w:t>
      </w:r>
      <w:r w:rsidRPr="004C2B36">
        <w:t>tandards</w:t>
      </w:r>
      <w:r>
        <w:t xml:space="preserve"> for </w:t>
      </w:r>
      <w:r w:rsidR="002A2727">
        <w:t>p</w:t>
      </w:r>
      <w:r>
        <w:t xml:space="preserve">alliative </w:t>
      </w:r>
      <w:r w:rsidR="002A2727">
        <w:t>c</w:t>
      </w:r>
      <w:r>
        <w:t>are</w:t>
      </w:r>
      <w:bookmarkEnd w:id="130"/>
    </w:p>
    <w:tbl>
      <w:tblPr>
        <w:tblStyle w:val="AspexTable1"/>
        <w:tblW w:w="9014" w:type="dxa"/>
        <w:tblLook w:val="04A0" w:firstRow="1" w:lastRow="0" w:firstColumn="1" w:lastColumn="0" w:noHBand="0" w:noVBand="1"/>
        <w:tblCaption w:val="Table 3-1:"/>
        <w:tblDescription w:val="National Standards for Palliative Care as discussed in Section 3.4.1"/>
      </w:tblPr>
      <w:tblGrid>
        <w:gridCol w:w="9014"/>
      </w:tblGrid>
      <w:tr w:rsidR="00D606FC" w:rsidRPr="00800C8D" w14:paraId="18D10471" w14:textId="77777777" w:rsidTr="00D606FC">
        <w:trPr>
          <w:cnfStyle w:val="100000000000" w:firstRow="1" w:lastRow="0" w:firstColumn="0" w:lastColumn="0" w:oddVBand="0" w:evenVBand="0" w:oddHBand="0" w:evenHBand="0" w:firstRowFirstColumn="0" w:firstRowLastColumn="0" w:lastRowFirstColumn="0" w:lastRowLastColumn="0"/>
          <w:tblHeader/>
        </w:trPr>
        <w:tc>
          <w:tcPr>
            <w:tcW w:w="9242" w:type="dxa"/>
          </w:tcPr>
          <w:p w14:paraId="4C028C66" w14:textId="77777777" w:rsidR="00D606FC" w:rsidRPr="00800C8D" w:rsidRDefault="00D606FC" w:rsidP="00D606FC">
            <w:pPr>
              <w:pStyle w:val="AspexTableText-Narrow"/>
              <w:spacing w:before="144" w:after="144"/>
              <w:rPr>
                <w:bCs/>
                <w:color w:val="FFFFFF" w:themeColor="background1"/>
                <w:szCs w:val="20"/>
              </w:rPr>
            </w:pPr>
            <w:r w:rsidRPr="00800C8D">
              <w:rPr>
                <w:color w:val="FFFFFF" w:themeColor="background1"/>
                <w:szCs w:val="20"/>
              </w:rPr>
              <w:t>STANDARDS FOR PROVIDING QUALITY PALLIATIVE CARE FOR ALL AUSTRALIANS</w:t>
            </w:r>
          </w:p>
        </w:tc>
      </w:tr>
      <w:tr w:rsidR="00D606FC" w:rsidRPr="00800C8D" w14:paraId="60334D13" w14:textId="77777777" w:rsidTr="00D606FC">
        <w:tc>
          <w:tcPr>
            <w:tcW w:w="9242" w:type="dxa"/>
          </w:tcPr>
          <w:p w14:paraId="25A41F4C"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1 </w:t>
            </w:r>
          </w:p>
          <w:p w14:paraId="24515B96" w14:textId="77777777" w:rsidR="00D606FC" w:rsidRPr="00800C8D" w:rsidRDefault="00D606FC" w:rsidP="0002559B">
            <w:pPr>
              <w:pStyle w:val="AspexTableText-Narrow"/>
              <w:spacing w:line="220" w:lineRule="exact"/>
              <w:rPr>
                <w:bCs/>
                <w:sz w:val="20"/>
                <w:szCs w:val="20"/>
              </w:rPr>
            </w:pPr>
            <w:r w:rsidRPr="00800C8D">
              <w:rPr>
                <w:sz w:val="20"/>
                <w:szCs w:val="20"/>
              </w:rPr>
              <w:t>Care, decision-making and care planning are each based on a respect for the uniqueness of the patient, their caregiver/s and family. The patient, their caregiver’s and family’s needs and wishes are acknowledged and guide decision-making and care planning.</w:t>
            </w:r>
          </w:p>
        </w:tc>
      </w:tr>
      <w:tr w:rsidR="00D606FC" w:rsidRPr="00800C8D" w14:paraId="644E8809" w14:textId="77777777" w:rsidTr="00D606FC">
        <w:tc>
          <w:tcPr>
            <w:tcW w:w="9242" w:type="dxa"/>
          </w:tcPr>
          <w:p w14:paraId="2B20CBF6"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2 </w:t>
            </w:r>
          </w:p>
          <w:p w14:paraId="243D7216" w14:textId="77777777" w:rsidR="00D606FC" w:rsidRPr="00800C8D" w:rsidRDefault="00D606FC" w:rsidP="0002559B">
            <w:pPr>
              <w:pStyle w:val="AspexTableText-Narrow"/>
              <w:spacing w:line="220" w:lineRule="exact"/>
              <w:rPr>
                <w:bCs/>
                <w:sz w:val="20"/>
                <w:szCs w:val="20"/>
              </w:rPr>
            </w:pPr>
            <w:r w:rsidRPr="00800C8D">
              <w:rPr>
                <w:sz w:val="20"/>
                <w:szCs w:val="20"/>
              </w:rPr>
              <w:t>The holistic needs of the patient, their caregiver/s and family, are acknowledged in the assessment and care planning processes, and strategies are developed to address those needs, in line with their wishes.</w:t>
            </w:r>
          </w:p>
        </w:tc>
      </w:tr>
      <w:tr w:rsidR="00D606FC" w:rsidRPr="00800C8D" w14:paraId="5DA2DDAC" w14:textId="77777777" w:rsidTr="00D606FC">
        <w:tc>
          <w:tcPr>
            <w:tcW w:w="9242" w:type="dxa"/>
          </w:tcPr>
          <w:p w14:paraId="33C5BD80"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3 </w:t>
            </w:r>
          </w:p>
          <w:p w14:paraId="4403B77C" w14:textId="77777777" w:rsidR="00D606FC" w:rsidRPr="00800C8D" w:rsidRDefault="00D606FC" w:rsidP="0002559B">
            <w:pPr>
              <w:pStyle w:val="AspexTableText-Narrow"/>
              <w:spacing w:line="220" w:lineRule="exact"/>
              <w:rPr>
                <w:bCs/>
                <w:sz w:val="20"/>
                <w:szCs w:val="20"/>
              </w:rPr>
            </w:pPr>
            <w:r w:rsidRPr="00800C8D">
              <w:rPr>
                <w:sz w:val="20"/>
                <w:szCs w:val="20"/>
              </w:rPr>
              <w:t>Ongoing and comprehensive assessment and care planning are undertaken to meet the needs and wishes of the patient, their caregiver/s and family.</w:t>
            </w:r>
          </w:p>
        </w:tc>
      </w:tr>
      <w:tr w:rsidR="00D606FC" w:rsidRPr="00800C8D" w14:paraId="419713FC" w14:textId="77777777" w:rsidTr="00D606FC">
        <w:tc>
          <w:tcPr>
            <w:tcW w:w="9242" w:type="dxa"/>
          </w:tcPr>
          <w:p w14:paraId="4C1EF037"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4 </w:t>
            </w:r>
          </w:p>
          <w:p w14:paraId="59F25AED" w14:textId="77777777" w:rsidR="00D606FC" w:rsidRPr="00800C8D" w:rsidRDefault="00D606FC" w:rsidP="0002559B">
            <w:pPr>
              <w:pStyle w:val="AspexTableText-Narrow"/>
              <w:spacing w:line="220" w:lineRule="exact"/>
              <w:rPr>
                <w:bCs/>
                <w:sz w:val="20"/>
                <w:szCs w:val="20"/>
              </w:rPr>
            </w:pPr>
            <w:r w:rsidRPr="00800C8D">
              <w:rPr>
                <w:sz w:val="20"/>
                <w:szCs w:val="20"/>
              </w:rPr>
              <w:t xml:space="preserve">Care is coordinated to minimise the burden on patient, their caregiver/s and family. </w:t>
            </w:r>
          </w:p>
        </w:tc>
      </w:tr>
      <w:tr w:rsidR="00D606FC" w:rsidRPr="00800C8D" w14:paraId="377CF63D" w14:textId="77777777" w:rsidTr="00D606FC">
        <w:tc>
          <w:tcPr>
            <w:tcW w:w="9242" w:type="dxa"/>
          </w:tcPr>
          <w:p w14:paraId="5BE674E0"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5 </w:t>
            </w:r>
          </w:p>
          <w:p w14:paraId="331E9669" w14:textId="77777777" w:rsidR="00D606FC" w:rsidRPr="00800C8D" w:rsidRDefault="00D606FC" w:rsidP="0002559B">
            <w:pPr>
              <w:pStyle w:val="AspexTableText-Narrow"/>
              <w:spacing w:line="220" w:lineRule="exact"/>
              <w:rPr>
                <w:bCs/>
                <w:sz w:val="20"/>
                <w:szCs w:val="20"/>
              </w:rPr>
            </w:pPr>
            <w:r w:rsidRPr="00800C8D">
              <w:rPr>
                <w:sz w:val="20"/>
                <w:szCs w:val="20"/>
              </w:rPr>
              <w:t>The primary caregiver/s is provided with information, support and guidance about their role according to their needs and wishes.</w:t>
            </w:r>
          </w:p>
        </w:tc>
      </w:tr>
      <w:tr w:rsidR="00D606FC" w:rsidRPr="00800C8D" w14:paraId="4E971F06" w14:textId="77777777" w:rsidTr="00D606FC">
        <w:tc>
          <w:tcPr>
            <w:tcW w:w="9242" w:type="dxa"/>
          </w:tcPr>
          <w:p w14:paraId="4FFF4F8F"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6 </w:t>
            </w:r>
          </w:p>
          <w:p w14:paraId="109C1325" w14:textId="77777777" w:rsidR="00D606FC" w:rsidRPr="00800C8D" w:rsidRDefault="00D606FC" w:rsidP="0002559B">
            <w:pPr>
              <w:pStyle w:val="AspexTableText-Narrow"/>
              <w:spacing w:line="220" w:lineRule="exact"/>
              <w:rPr>
                <w:bCs/>
                <w:sz w:val="20"/>
                <w:szCs w:val="20"/>
              </w:rPr>
            </w:pPr>
            <w:r w:rsidRPr="00800C8D">
              <w:rPr>
                <w:sz w:val="20"/>
                <w:szCs w:val="20"/>
              </w:rPr>
              <w:t>The unique needs of dying patients are considered, their comfort maximized and their dignity preserved.</w:t>
            </w:r>
          </w:p>
        </w:tc>
      </w:tr>
      <w:tr w:rsidR="00D606FC" w:rsidRPr="00800C8D" w14:paraId="0A04BE8A" w14:textId="77777777" w:rsidTr="00D606FC">
        <w:tc>
          <w:tcPr>
            <w:tcW w:w="9242" w:type="dxa"/>
          </w:tcPr>
          <w:p w14:paraId="168E05F2"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7 </w:t>
            </w:r>
          </w:p>
          <w:p w14:paraId="6186C371" w14:textId="77777777" w:rsidR="00D606FC" w:rsidRPr="00800C8D" w:rsidRDefault="00D606FC" w:rsidP="0002559B">
            <w:pPr>
              <w:pStyle w:val="AspexTableText-Narrow"/>
              <w:spacing w:line="220" w:lineRule="exact"/>
              <w:rPr>
                <w:bCs/>
                <w:sz w:val="20"/>
                <w:szCs w:val="20"/>
              </w:rPr>
            </w:pPr>
            <w:r w:rsidRPr="00800C8D">
              <w:rPr>
                <w:sz w:val="20"/>
                <w:szCs w:val="20"/>
              </w:rPr>
              <w:t>The service has an appropriate philosophy, values, culture, structure and environment for the provision of competent and compassionate palliative care.</w:t>
            </w:r>
          </w:p>
        </w:tc>
      </w:tr>
      <w:tr w:rsidR="00D606FC" w:rsidRPr="00800C8D" w14:paraId="63069E22" w14:textId="77777777" w:rsidTr="00D606FC">
        <w:tc>
          <w:tcPr>
            <w:tcW w:w="9242" w:type="dxa"/>
          </w:tcPr>
          <w:p w14:paraId="730E6A9A"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8 </w:t>
            </w:r>
          </w:p>
          <w:p w14:paraId="0B1C982D" w14:textId="77777777" w:rsidR="00D606FC" w:rsidRPr="00800C8D" w:rsidRDefault="00D606FC" w:rsidP="0002559B">
            <w:pPr>
              <w:pStyle w:val="AspexTableText-Narrow"/>
              <w:spacing w:line="220" w:lineRule="exact"/>
              <w:rPr>
                <w:bCs/>
                <w:sz w:val="20"/>
                <w:szCs w:val="20"/>
              </w:rPr>
            </w:pPr>
            <w:r w:rsidRPr="00800C8D">
              <w:rPr>
                <w:sz w:val="20"/>
                <w:szCs w:val="20"/>
              </w:rPr>
              <w:t>Formal mechanisms are in place to ensure that the patient, their caregiver/s and family have access to bereavement care, information and support services.</w:t>
            </w:r>
          </w:p>
        </w:tc>
      </w:tr>
      <w:tr w:rsidR="00D606FC" w:rsidRPr="00800C8D" w14:paraId="54638517" w14:textId="77777777" w:rsidTr="00D606FC">
        <w:tc>
          <w:tcPr>
            <w:tcW w:w="9242" w:type="dxa"/>
          </w:tcPr>
          <w:p w14:paraId="0FED6981"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9 </w:t>
            </w:r>
          </w:p>
          <w:p w14:paraId="21F5239A" w14:textId="77777777" w:rsidR="00D606FC" w:rsidRPr="00800C8D" w:rsidRDefault="00D606FC" w:rsidP="0002559B">
            <w:pPr>
              <w:pStyle w:val="AspexTableText-Narrow"/>
              <w:spacing w:line="220" w:lineRule="exact"/>
              <w:rPr>
                <w:bCs/>
                <w:sz w:val="20"/>
                <w:szCs w:val="20"/>
              </w:rPr>
            </w:pPr>
            <w:r w:rsidRPr="00800C8D">
              <w:rPr>
                <w:sz w:val="20"/>
                <w:szCs w:val="20"/>
              </w:rPr>
              <w:t>Community capacity to respond to the needs of people who have a life limiting illness, their caregiver/s and family is built through effective collaboration and partnerships.</w:t>
            </w:r>
          </w:p>
        </w:tc>
      </w:tr>
      <w:tr w:rsidR="00D606FC" w:rsidRPr="00800C8D" w14:paraId="1F6EF5C2" w14:textId="77777777" w:rsidTr="00D606FC">
        <w:tc>
          <w:tcPr>
            <w:tcW w:w="9242" w:type="dxa"/>
          </w:tcPr>
          <w:p w14:paraId="08F59B66"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10 </w:t>
            </w:r>
          </w:p>
          <w:p w14:paraId="51575BF0" w14:textId="77777777" w:rsidR="00D606FC" w:rsidRPr="00800C8D" w:rsidRDefault="00D606FC" w:rsidP="0002559B">
            <w:pPr>
              <w:pStyle w:val="AspexTableText-Narrow"/>
              <w:spacing w:line="220" w:lineRule="exact"/>
              <w:rPr>
                <w:sz w:val="20"/>
                <w:szCs w:val="20"/>
              </w:rPr>
            </w:pPr>
            <w:r w:rsidRPr="00800C8D">
              <w:rPr>
                <w:sz w:val="20"/>
                <w:szCs w:val="20"/>
              </w:rPr>
              <w:t>Access to palliative care is available for all people based on clinical need and is independent of diagnosis, age, cultural background or geography.</w:t>
            </w:r>
          </w:p>
        </w:tc>
      </w:tr>
      <w:tr w:rsidR="00D606FC" w:rsidRPr="00800C8D" w14:paraId="1492DE4C" w14:textId="77777777" w:rsidTr="00D606FC">
        <w:tc>
          <w:tcPr>
            <w:tcW w:w="9242" w:type="dxa"/>
          </w:tcPr>
          <w:p w14:paraId="7ED6D8B5"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11 </w:t>
            </w:r>
          </w:p>
          <w:p w14:paraId="4894EE9D" w14:textId="175713AD" w:rsidR="00D606FC" w:rsidRPr="00800C8D" w:rsidRDefault="00D606FC" w:rsidP="0002559B">
            <w:pPr>
              <w:pStyle w:val="AspexTableText-Narrow"/>
              <w:spacing w:line="220" w:lineRule="exact"/>
              <w:rPr>
                <w:sz w:val="20"/>
                <w:szCs w:val="20"/>
              </w:rPr>
            </w:pPr>
            <w:r w:rsidRPr="00800C8D">
              <w:rPr>
                <w:sz w:val="20"/>
                <w:szCs w:val="20"/>
              </w:rPr>
              <w:t xml:space="preserve">The service is committed to quality improvement and research in clinical and management practices. </w:t>
            </w:r>
          </w:p>
        </w:tc>
      </w:tr>
      <w:tr w:rsidR="00D606FC" w:rsidRPr="00800C8D" w14:paraId="560D720C" w14:textId="77777777" w:rsidTr="00D606FC">
        <w:tc>
          <w:tcPr>
            <w:tcW w:w="9242" w:type="dxa"/>
          </w:tcPr>
          <w:p w14:paraId="6166B43E"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12 </w:t>
            </w:r>
          </w:p>
          <w:p w14:paraId="3C1D95ED" w14:textId="77777777" w:rsidR="00D606FC" w:rsidRPr="00800C8D" w:rsidRDefault="00D606FC" w:rsidP="0002559B">
            <w:pPr>
              <w:pStyle w:val="AspexTableText-Narrow"/>
              <w:spacing w:line="220" w:lineRule="exact"/>
              <w:rPr>
                <w:sz w:val="20"/>
                <w:szCs w:val="20"/>
              </w:rPr>
            </w:pPr>
            <w:r w:rsidRPr="00800C8D">
              <w:rPr>
                <w:sz w:val="20"/>
                <w:szCs w:val="20"/>
              </w:rPr>
              <w:t>Staff and volunteers are appropriately qualified for the level of service offered and demonstrate ongoing participation in continuing professional development.</w:t>
            </w:r>
          </w:p>
        </w:tc>
      </w:tr>
      <w:tr w:rsidR="00D606FC" w:rsidRPr="00800C8D" w14:paraId="3826536A" w14:textId="77777777" w:rsidTr="00D606FC">
        <w:tc>
          <w:tcPr>
            <w:tcW w:w="9242" w:type="dxa"/>
          </w:tcPr>
          <w:p w14:paraId="5CDD251A" w14:textId="77777777" w:rsidR="00D606FC" w:rsidRPr="00800C8D" w:rsidRDefault="00D606FC" w:rsidP="0002559B">
            <w:pPr>
              <w:pStyle w:val="AspexTableText-Narrow"/>
              <w:spacing w:line="220" w:lineRule="exact"/>
              <w:rPr>
                <w:bCs/>
                <w:sz w:val="20"/>
                <w:szCs w:val="20"/>
              </w:rPr>
            </w:pPr>
            <w:r w:rsidRPr="00800C8D">
              <w:rPr>
                <w:sz w:val="20"/>
                <w:szCs w:val="20"/>
              </w:rPr>
              <w:t xml:space="preserve">Standard 13 </w:t>
            </w:r>
          </w:p>
          <w:p w14:paraId="2AE5421E" w14:textId="77777777" w:rsidR="00D606FC" w:rsidRPr="00800C8D" w:rsidRDefault="00D606FC" w:rsidP="0002559B">
            <w:pPr>
              <w:pStyle w:val="AspexTableText-Narrow"/>
              <w:spacing w:line="220" w:lineRule="exact"/>
              <w:rPr>
                <w:bCs/>
                <w:sz w:val="20"/>
                <w:szCs w:val="20"/>
              </w:rPr>
            </w:pPr>
            <w:r w:rsidRPr="00800C8D">
              <w:rPr>
                <w:sz w:val="20"/>
                <w:szCs w:val="20"/>
              </w:rPr>
              <w:t>Staff and volunteers reflect on practice and initiate and maintain effective self-care strategies.</w:t>
            </w:r>
          </w:p>
        </w:tc>
      </w:tr>
    </w:tbl>
    <w:p w14:paraId="315ACD2B" w14:textId="387C3446" w:rsidR="001A79D2" w:rsidRPr="004C2B36" w:rsidRDefault="001A79D2" w:rsidP="001A79D2">
      <w:pPr>
        <w:pStyle w:val="AspexBodyStandard"/>
      </w:pPr>
      <w:r w:rsidRPr="004C2B36">
        <w:t>The national standards have been developed to support and enhance the quality and care for patients, their families and carer</w:t>
      </w:r>
      <w:r w:rsidR="00366B1B">
        <w:t>s</w:t>
      </w:r>
      <w:r w:rsidRPr="004C2B36">
        <w:t xml:space="preserve">.  They are used as part of accreditation processes of palliative care and other services that provide palliative care and are used alongside other standards for health services including The Australian Council of Health Care Standards </w:t>
      </w:r>
      <w:proofErr w:type="spellStart"/>
      <w:r w:rsidRPr="004C2B36">
        <w:lastRenderedPageBreak/>
        <w:t>EQuIP</w:t>
      </w:r>
      <w:proofErr w:type="spellEnd"/>
      <w:r w:rsidRPr="004C2B36">
        <w:t>, Quality Improvement Council, Royal Australasian College of General Practitioners and the Aged Care Accreditation Standards.</w:t>
      </w:r>
    </w:p>
    <w:p w14:paraId="037DC54A" w14:textId="77777777" w:rsidR="001A79D2" w:rsidRPr="004C2B36" w:rsidRDefault="001A79D2" w:rsidP="001A79D2">
      <w:pPr>
        <w:pStyle w:val="AspexBodyStandard"/>
      </w:pPr>
      <w:r w:rsidRPr="004C2B36">
        <w:t>In addition, the</w:t>
      </w:r>
      <w:r w:rsidR="008E17AE">
        <w:t xml:space="preserve"> National Health and Medical Research Council</w:t>
      </w:r>
      <w:r w:rsidRPr="004C2B36">
        <w:t xml:space="preserve"> </w:t>
      </w:r>
      <w:r w:rsidR="008E17AE">
        <w:t>(</w:t>
      </w:r>
      <w:r w:rsidRPr="004C2B36">
        <w:t>NHMRC</w:t>
      </w:r>
      <w:r w:rsidR="008E17AE">
        <w:t>)</w:t>
      </w:r>
      <w:r w:rsidRPr="004C2B36">
        <w:t xml:space="preserve"> </w:t>
      </w:r>
      <w:r w:rsidRPr="004C2B36">
        <w:rPr>
          <w:i/>
        </w:rPr>
        <w:t>Guidelines for a Palliative Approach in Residential Aged Care 2006,</w:t>
      </w:r>
      <w:r w:rsidRPr="004C2B36">
        <w:t xml:space="preserve"> provides a specific framework for palliative care in residential aged care settings in recognition of the increasing numbers of persons dying in these facilities.</w:t>
      </w:r>
    </w:p>
    <w:p w14:paraId="0B06531F" w14:textId="76A75576" w:rsidR="00E345F6" w:rsidRDefault="00E345F6" w:rsidP="00092A3B">
      <w:pPr>
        <w:pStyle w:val="Heading2"/>
      </w:pPr>
      <w:bookmarkStart w:id="131" w:name="_Toc373163108"/>
      <w:bookmarkStart w:id="132" w:name="_Toc382313828"/>
      <w:r>
        <w:t xml:space="preserve">Palliative </w:t>
      </w:r>
      <w:r w:rsidR="002A2727">
        <w:t>m</w:t>
      </w:r>
      <w:r>
        <w:t>edicine</w:t>
      </w:r>
      <w:bookmarkEnd w:id="131"/>
      <w:r w:rsidR="00C5388D">
        <w:t xml:space="preserve"> (</w:t>
      </w:r>
      <w:r w:rsidR="006015F9">
        <w:t xml:space="preserve">definition </w:t>
      </w:r>
      <w:r w:rsidR="00C5388D">
        <w:t>and scope of practice)</w:t>
      </w:r>
      <w:bookmarkEnd w:id="132"/>
    </w:p>
    <w:p w14:paraId="0CAF7853" w14:textId="77777777" w:rsidR="006015F9" w:rsidRDefault="00E345F6" w:rsidP="00092A3B">
      <w:pPr>
        <w:pStyle w:val="AspexBodyStandard"/>
      </w:pPr>
      <w:r w:rsidRPr="000E76A3">
        <w:rPr>
          <w:i/>
          <w:iCs/>
        </w:rPr>
        <w:t xml:space="preserve">Palliative </w:t>
      </w:r>
      <w:r>
        <w:rPr>
          <w:i/>
          <w:iCs/>
        </w:rPr>
        <w:t>Medicine</w:t>
      </w:r>
      <w:r>
        <w:t xml:space="preserve"> is the physician component of interdisciplinary palliative care. </w:t>
      </w:r>
      <w:proofErr w:type="spellStart"/>
      <w:r w:rsidR="00D9395C">
        <w:t>AChPM</w:t>
      </w:r>
      <w:proofErr w:type="spellEnd"/>
      <w:r w:rsidR="006015F9">
        <w:t xml:space="preserve"> defines their role as:</w:t>
      </w:r>
    </w:p>
    <w:p w14:paraId="42A7B423" w14:textId="77777777" w:rsidR="006015F9" w:rsidRPr="006015F9" w:rsidRDefault="00D9395C" w:rsidP="006015F9">
      <w:pPr>
        <w:pStyle w:val="AspexHighlightText"/>
        <w:spacing w:before="240"/>
        <w:rPr>
          <w:rStyle w:val="IntenseEmphasis"/>
        </w:rPr>
      </w:pPr>
      <w:r>
        <w:rPr>
          <w:rStyle w:val="IntenseEmphasis"/>
        </w:rPr>
        <w:t>“</w:t>
      </w:r>
      <w:r w:rsidR="006015F9" w:rsidRPr="006015F9">
        <w:rPr>
          <w:rStyle w:val="IntenseEmphasis"/>
        </w:rPr>
        <w:t>…the study and management of patients with active, progressive, far advanced disease for whom the prognosis is limited and the focus of care is the quality of life.  Palliative Medicine involves comprehensive symptom management and support of individuals with terminal illness and their families, including through the bereavement period, where the control of pain, of other symptoms and of psychological, social and spiritual problems is paramount.”</w:t>
      </w:r>
    </w:p>
    <w:p w14:paraId="36B66E18" w14:textId="206B463B" w:rsidR="00092A3B" w:rsidRDefault="00092A3B" w:rsidP="00092A3B">
      <w:pPr>
        <w:pStyle w:val="AspexBodyStandard"/>
      </w:pPr>
      <w:r>
        <w:t xml:space="preserve">According to the training requirements of the Chapter, </w:t>
      </w:r>
      <w:r w:rsidR="002A2727">
        <w:t>palliative medicine</w:t>
      </w:r>
      <w:r>
        <w:t xml:space="preserve"> specialists must have </w:t>
      </w:r>
      <w:r w:rsidR="000405E4">
        <w:t xml:space="preserve">demonstrated </w:t>
      </w:r>
      <w:r>
        <w:t xml:space="preserve">competencies across a variety of skills/roles (Advanced Training Curriculum, 2010) </w:t>
      </w:r>
      <w:r w:rsidR="000405E4">
        <w:t>including the capacity to work as</w:t>
      </w:r>
      <w:r>
        <w:t>:</w:t>
      </w:r>
    </w:p>
    <w:p w14:paraId="0FAA5E39" w14:textId="77777777" w:rsidR="00092A3B" w:rsidRPr="00CC59DD" w:rsidRDefault="00092A3B" w:rsidP="00CB47CE">
      <w:pPr>
        <w:pStyle w:val="AspexBullet1"/>
        <w:tabs>
          <w:tab w:val="clear" w:pos="1060"/>
          <w:tab w:val="num" w:pos="1134"/>
        </w:tabs>
      </w:pPr>
      <w:r>
        <w:t>“</w:t>
      </w:r>
      <w:r w:rsidR="00995A57">
        <w:t>A</w:t>
      </w:r>
      <w:r>
        <w:t xml:space="preserve"> </w:t>
      </w:r>
      <w:r>
        <w:rPr>
          <w:b/>
        </w:rPr>
        <w:t xml:space="preserve">medical expert </w:t>
      </w:r>
      <w:r>
        <w:t xml:space="preserve">and </w:t>
      </w:r>
      <w:r>
        <w:rPr>
          <w:b/>
        </w:rPr>
        <w:t>clinical decision maker:</w:t>
      </w:r>
      <w:r>
        <w:rPr>
          <w:b/>
        </w:rPr>
        <w:tab/>
      </w:r>
    </w:p>
    <w:p w14:paraId="15ED5979" w14:textId="77777777" w:rsidR="00092A3B" w:rsidRDefault="00995A57" w:rsidP="007051AD">
      <w:pPr>
        <w:pStyle w:val="AspexBullet2"/>
      </w:pPr>
      <w:r>
        <w:t>Demonstrating e</w:t>
      </w:r>
      <w:r w:rsidR="00092A3B">
        <w:t xml:space="preserve">xpert knowledge of pathophysiology, symptom management, </w:t>
      </w:r>
      <w:r>
        <w:t>psychosocial and</w:t>
      </w:r>
      <w:r w:rsidR="00092A3B">
        <w:t xml:space="preserve"> spiritual issues relating to life-limiting illness and imminent death;</w:t>
      </w:r>
    </w:p>
    <w:p w14:paraId="4D8E233D" w14:textId="77777777" w:rsidR="00092A3B" w:rsidRDefault="00995A57" w:rsidP="007051AD">
      <w:pPr>
        <w:pStyle w:val="AspexBullet2"/>
        <w:rPr>
          <w:lang w:eastAsia="en-AU"/>
        </w:rPr>
      </w:pPr>
      <w:r>
        <w:t>Understanding</w:t>
      </w:r>
      <w:r w:rsidR="00092A3B">
        <w:t xml:space="preserve"> the experience of disease from the perspective of the patient and the meaning and consequences </w:t>
      </w:r>
      <w:r w:rsidR="00092A3B">
        <w:rPr>
          <w:lang w:eastAsia="en-AU"/>
        </w:rPr>
        <w:t>of illness to the patient and their family;</w:t>
      </w:r>
    </w:p>
    <w:p w14:paraId="60EAC269" w14:textId="77777777" w:rsidR="00092A3B" w:rsidRDefault="00995A57" w:rsidP="007051AD">
      <w:pPr>
        <w:pStyle w:val="AspexBullet2"/>
        <w:rPr>
          <w:lang w:eastAsia="en-AU"/>
        </w:rPr>
      </w:pPr>
      <w:r>
        <w:rPr>
          <w:lang w:eastAsia="en-AU"/>
        </w:rPr>
        <w:t>Making</w:t>
      </w:r>
      <w:r w:rsidR="00092A3B">
        <w:rPr>
          <w:lang w:eastAsia="en-AU"/>
        </w:rPr>
        <w:t xml:space="preserve"> appropriate clinical decisions to provide medical care that is structured around the patients’ and families’ needs and their understanding and priorities, with the aim of maximising quality of life, relieving suffering, supporting the family, and normalising their experiences; </w:t>
      </w:r>
    </w:p>
    <w:p w14:paraId="29311B86" w14:textId="77777777" w:rsidR="00092A3B" w:rsidRDefault="00995A57" w:rsidP="007051AD">
      <w:pPr>
        <w:pStyle w:val="AspexBullet2"/>
        <w:rPr>
          <w:lang w:eastAsia="en-AU"/>
        </w:rPr>
      </w:pPr>
      <w:r>
        <w:rPr>
          <w:lang w:eastAsia="en-AU"/>
        </w:rPr>
        <w:t>Having</w:t>
      </w:r>
      <w:r w:rsidR="00092A3B">
        <w:rPr>
          <w:lang w:eastAsia="en-AU"/>
        </w:rPr>
        <w:t xml:space="preserve"> particular expertise in the management of patients within the home, as well as the hospital and hospice;</w:t>
      </w:r>
    </w:p>
    <w:p w14:paraId="5BF9B44D" w14:textId="77777777" w:rsidR="00092A3B" w:rsidRDefault="00995A57" w:rsidP="007051AD">
      <w:pPr>
        <w:pStyle w:val="AspexBullet2"/>
        <w:rPr>
          <w:lang w:eastAsia="en-AU"/>
        </w:rPr>
      </w:pPr>
      <w:r>
        <w:rPr>
          <w:lang w:eastAsia="en-AU"/>
        </w:rPr>
        <w:t>Understanding</w:t>
      </w:r>
      <w:r w:rsidR="00092A3B">
        <w:rPr>
          <w:lang w:eastAsia="en-AU"/>
        </w:rPr>
        <w:t xml:space="preserve"> the natural history and role of disease specific treatments in the management of advanced cancer and other progressive life-limiting illnesses; </w:t>
      </w:r>
    </w:p>
    <w:p w14:paraId="1586D8E6" w14:textId="77777777" w:rsidR="00092A3B" w:rsidRDefault="00092A3B" w:rsidP="007051AD">
      <w:pPr>
        <w:pStyle w:val="AspexBullet2"/>
      </w:pPr>
      <w:r>
        <w:rPr>
          <w:lang w:eastAsia="en-AU"/>
        </w:rPr>
        <w:t>Practi</w:t>
      </w:r>
      <w:r w:rsidR="00995A57">
        <w:rPr>
          <w:lang w:eastAsia="en-AU"/>
        </w:rPr>
        <w:t>sing</w:t>
      </w:r>
      <w:r>
        <w:rPr>
          <w:lang w:eastAsia="en-AU"/>
        </w:rPr>
        <w:t xml:space="preserve"> culturally responsible medicine with understanding of the personal, historical, contextual, legal, cultural, and social influences on health workers, patients, and families; and </w:t>
      </w:r>
    </w:p>
    <w:p w14:paraId="713BAABF" w14:textId="77777777" w:rsidR="00092A3B" w:rsidRDefault="00995A57" w:rsidP="007051AD">
      <w:pPr>
        <w:pStyle w:val="AspexBullet2"/>
      </w:pPr>
      <w:r>
        <w:rPr>
          <w:lang w:eastAsia="en-AU"/>
        </w:rPr>
        <w:t>Providing</w:t>
      </w:r>
      <w:r w:rsidR="00092A3B">
        <w:rPr>
          <w:lang w:eastAsia="en-AU"/>
        </w:rPr>
        <w:t xml:space="preserve"> expert advice as a consultant.</w:t>
      </w:r>
    </w:p>
    <w:p w14:paraId="19124E43" w14:textId="77777777" w:rsidR="00092A3B" w:rsidRDefault="00995A57" w:rsidP="00CB47CE">
      <w:pPr>
        <w:pStyle w:val="AspexBullet1"/>
        <w:tabs>
          <w:tab w:val="clear" w:pos="1060"/>
          <w:tab w:val="num" w:pos="1134"/>
        </w:tabs>
      </w:pPr>
      <w:r>
        <w:t>A</w:t>
      </w:r>
      <w:r w:rsidR="00092A3B">
        <w:t xml:space="preserve"> </w:t>
      </w:r>
      <w:r w:rsidR="00092A3B">
        <w:rPr>
          <w:b/>
        </w:rPr>
        <w:t xml:space="preserve">communicator </w:t>
      </w:r>
      <w:r w:rsidR="00092A3B">
        <w:t xml:space="preserve">and </w:t>
      </w:r>
      <w:r w:rsidR="00092A3B">
        <w:rPr>
          <w:b/>
        </w:rPr>
        <w:t>collaborator:</w:t>
      </w:r>
    </w:p>
    <w:p w14:paraId="6E5110F7" w14:textId="77777777" w:rsidR="00092A3B" w:rsidRDefault="00092A3B" w:rsidP="007051AD">
      <w:pPr>
        <w:pStyle w:val="AspexBullet2"/>
        <w:rPr>
          <w:lang w:eastAsia="en-AU"/>
        </w:rPr>
      </w:pPr>
      <w:r>
        <w:rPr>
          <w:lang w:eastAsia="en-AU"/>
        </w:rPr>
        <w:t>E</w:t>
      </w:r>
      <w:r w:rsidR="00995A57">
        <w:rPr>
          <w:lang w:eastAsia="en-AU"/>
        </w:rPr>
        <w:t>stablishing</w:t>
      </w:r>
      <w:r w:rsidRPr="00CC59DD">
        <w:rPr>
          <w:lang w:eastAsia="en-AU"/>
        </w:rPr>
        <w:t xml:space="preserve"> therapeutic and supportive relationships with patients and their families based on understanding,</w:t>
      </w:r>
      <w:r>
        <w:rPr>
          <w:lang w:eastAsia="en-AU"/>
        </w:rPr>
        <w:t xml:space="preserve"> </w:t>
      </w:r>
      <w:r w:rsidRPr="00CC59DD">
        <w:rPr>
          <w:lang w:eastAsia="en-AU"/>
        </w:rPr>
        <w:t>trust, empathy, and confidentiality</w:t>
      </w:r>
      <w:r>
        <w:rPr>
          <w:lang w:eastAsia="en-AU"/>
        </w:rPr>
        <w:t xml:space="preserve">; </w:t>
      </w:r>
    </w:p>
    <w:p w14:paraId="3704CF83" w14:textId="77777777" w:rsidR="00092A3B" w:rsidRDefault="0023371A" w:rsidP="007051AD">
      <w:pPr>
        <w:pStyle w:val="AspexBullet2"/>
        <w:rPr>
          <w:lang w:eastAsia="en-AU"/>
        </w:rPr>
      </w:pPr>
      <w:r>
        <w:rPr>
          <w:lang w:eastAsia="en-AU"/>
        </w:rPr>
        <w:t>Demonstrating</w:t>
      </w:r>
      <w:r w:rsidR="00092A3B" w:rsidRPr="00CC59DD">
        <w:rPr>
          <w:lang w:eastAsia="en-AU"/>
        </w:rPr>
        <w:t xml:space="preserve"> expert</w:t>
      </w:r>
      <w:r>
        <w:rPr>
          <w:lang w:eastAsia="en-AU"/>
        </w:rPr>
        <w:t>ise</w:t>
      </w:r>
      <w:r w:rsidR="00092A3B" w:rsidRPr="00CC59DD">
        <w:rPr>
          <w:lang w:eastAsia="en-AU"/>
        </w:rPr>
        <w:t xml:space="preserve"> in discussing end-of-life issues with patients and their families</w:t>
      </w:r>
      <w:r w:rsidR="00092A3B">
        <w:rPr>
          <w:lang w:eastAsia="en-AU"/>
        </w:rPr>
        <w:t xml:space="preserve">; </w:t>
      </w:r>
    </w:p>
    <w:p w14:paraId="4E99B120" w14:textId="77777777" w:rsidR="00092A3B" w:rsidRDefault="0023371A" w:rsidP="007051AD">
      <w:pPr>
        <w:pStyle w:val="AspexBullet2"/>
        <w:rPr>
          <w:lang w:eastAsia="en-AU"/>
        </w:rPr>
      </w:pPr>
      <w:r>
        <w:rPr>
          <w:lang w:eastAsia="en-AU"/>
        </w:rPr>
        <w:lastRenderedPageBreak/>
        <w:t>Capable of sensitively exploring</w:t>
      </w:r>
      <w:r w:rsidR="00092A3B" w:rsidRPr="00CC59DD">
        <w:rPr>
          <w:lang w:eastAsia="en-AU"/>
        </w:rPr>
        <w:t xml:space="preserve"> the patients’ concerns across physical, psychological, social, cultural, and spiritual</w:t>
      </w:r>
      <w:r w:rsidR="00092A3B">
        <w:rPr>
          <w:lang w:eastAsia="en-AU"/>
        </w:rPr>
        <w:t xml:space="preserve"> </w:t>
      </w:r>
      <w:r w:rsidR="00092A3B" w:rsidRPr="00CC59DD">
        <w:rPr>
          <w:lang w:eastAsia="en-AU"/>
        </w:rPr>
        <w:t>domains</w:t>
      </w:r>
      <w:r w:rsidR="00092A3B">
        <w:rPr>
          <w:lang w:eastAsia="en-AU"/>
        </w:rPr>
        <w:t xml:space="preserve">; </w:t>
      </w:r>
    </w:p>
    <w:p w14:paraId="792CFEF9" w14:textId="77777777" w:rsidR="00092A3B" w:rsidRDefault="00092A3B" w:rsidP="007051AD">
      <w:pPr>
        <w:pStyle w:val="AspexBullet2"/>
        <w:rPr>
          <w:lang w:eastAsia="en-AU"/>
        </w:rPr>
      </w:pPr>
      <w:r>
        <w:rPr>
          <w:lang w:eastAsia="en-AU"/>
        </w:rPr>
        <w:t>C</w:t>
      </w:r>
      <w:r w:rsidR="0023371A">
        <w:rPr>
          <w:lang w:eastAsia="en-AU"/>
        </w:rPr>
        <w:t>ommunicating</w:t>
      </w:r>
      <w:r w:rsidRPr="00CC59DD">
        <w:rPr>
          <w:lang w:eastAsia="en-AU"/>
        </w:rPr>
        <w:t xml:space="preserve"> effectively with patients, their families and other health professionals involved in the patients’</w:t>
      </w:r>
      <w:r>
        <w:rPr>
          <w:lang w:eastAsia="en-AU"/>
        </w:rPr>
        <w:t xml:space="preserve"> </w:t>
      </w:r>
      <w:r w:rsidRPr="00CC59DD">
        <w:rPr>
          <w:lang w:eastAsia="en-AU"/>
        </w:rPr>
        <w:t>care</w:t>
      </w:r>
      <w:r>
        <w:rPr>
          <w:lang w:eastAsia="en-AU"/>
        </w:rPr>
        <w:t xml:space="preserve">; </w:t>
      </w:r>
    </w:p>
    <w:p w14:paraId="4E3E9B4E" w14:textId="77777777" w:rsidR="00092A3B" w:rsidRDefault="00092A3B" w:rsidP="007051AD">
      <w:pPr>
        <w:pStyle w:val="AspexBullet2"/>
        <w:rPr>
          <w:lang w:eastAsia="en-AU"/>
        </w:rPr>
      </w:pPr>
      <w:r>
        <w:rPr>
          <w:lang w:eastAsia="en-AU"/>
        </w:rPr>
        <w:t>C</w:t>
      </w:r>
      <w:r w:rsidR="0023371A">
        <w:rPr>
          <w:lang w:eastAsia="en-AU"/>
        </w:rPr>
        <w:t>onsulting</w:t>
      </w:r>
      <w:r w:rsidRPr="00CC59DD">
        <w:rPr>
          <w:lang w:eastAsia="en-AU"/>
        </w:rPr>
        <w:t xml:space="preserve"> effectively with other physicians and health care professionals</w:t>
      </w:r>
      <w:r>
        <w:rPr>
          <w:lang w:eastAsia="en-AU"/>
        </w:rPr>
        <w:t xml:space="preserve">; </w:t>
      </w:r>
    </w:p>
    <w:p w14:paraId="52D8DB1F" w14:textId="77777777" w:rsidR="00092A3B" w:rsidRDefault="00092A3B" w:rsidP="007051AD">
      <w:pPr>
        <w:pStyle w:val="AspexBullet2"/>
        <w:rPr>
          <w:lang w:eastAsia="en-AU"/>
        </w:rPr>
      </w:pPr>
      <w:r>
        <w:rPr>
          <w:lang w:eastAsia="en-AU"/>
        </w:rPr>
        <w:t>C</w:t>
      </w:r>
      <w:r w:rsidR="0023371A">
        <w:rPr>
          <w:lang w:eastAsia="en-AU"/>
        </w:rPr>
        <w:t>ontributing</w:t>
      </w:r>
      <w:r w:rsidRPr="00CC59DD">
        <w:rPr>
          <w:lang w:eastAsia="en-AU"/>
        </w:rPr>
        <w:t xml:space="preserve"> effectively to other interdisciplinary activities</w:t>
      </w:r>
      <w:r>
        <w:rPr>
          <w:lang w:eastAsia="en-AU"/>
        </w:rPr>
        <w:t xml:space="preserve">; and </w:t>
      </w:r>
    </w:p>
    <w:p w14:paraId="645B21A8" w14:textId="77777777" w:rsidR="00092A3B" w:rsidRDefault="0023371A" w:rsidP="007051AD">
      <w:pPr>
        <w:pStyle w:val="AspexBullet2"/>
        <w:rPr>
          <w:lang w:eastAsia="en-AU"/>
        </w:rPr>
      </w:pPr>
      <w:r>
        <w:rPr>
          <w:lang w:eastAsia="en-AU"/>
        </w:rPr>
        <w:t>Being</w:t>
      </w:r>
      <w:r w:rsidR="00092A3B" w:rsidRPr="00CC59DD">
        <w:rPr>
          <w:lang w:eastAsia="en-AU"/>
        </w:rPr>
        <w:t xml:space="preserve"> willing to educate trainee specialists.</w:t>
      </w:r>
    </w:p>
    <w:p w14:paraId="17270B5E" w14:textId="77777777" w:rsidR="00092A3B" w:rsidRDefault="00995A57" w:rsidP="00CB47CE">
      <w:pPr>
        <w:pStyle w:val="AspexBullet1"/>
        <w:tabs>
          <w:tab w:val="clear" w:pos="1060"/>
          <w:tab w:val="num" w:pos="1134"/>
        </w:tabs>
        <w:rPr>
          <w:lang w:eastAsia="en-AU"/>
        </w:rPr>
      </w:pPr>
      <w:r>
        <w:rPr>
          <w:lang w:eastAsia="en-AU"/>
        </w:rPr>
        <w:t>A</w:t>
      </w:r>
      <w:r w:rsidR="00092A3B">
        <w:rPr>
          <w:lang w:eastAsia="en-AU"/>
        </w:rPr>
        <w:t xml:space="preserve"> </w:t>
      </w:r>
      <w:r w:rsidR="00092A3B">
        <w:rPr>
          <w:b/>
          <w:lang w:eastAsia="en-AU"/>
        </w:rPr>
        <w:t>manager:</w:t>
      </w:r>
    </w:p>
    <w:p w14:paraId="4FEBC6C0" w14:textId="77777777" w:rsidR="00092A3B" w:rsidRDefault="00092A3B" w:rsidP="007051AD">
      <w:pPr>
        <w:pStyle w:val="AspexBullet2"/>
        <w:rPr>
          <w:lang w:eastAsia="en-AU"/>
        </w:rPr>
      </w:pPr>
      <w:r>
        <w:rPr>
          <w:lang w:eastAsia="en-AU"/>
        </w:rPr>
        <w:t>M</w:t>
      </w:r>
      <w:r w:rsidR="0023371A">
        <w:rPr>
          <w:lang w:eastAsia="en-AU"/>
        </w:rPr>
        <w:t>anaging</w:t>
      </w:r>
      <w:r w:rsidRPr="005E5BD0">
        <w:rPr>
          <w:lang w:eastAsia="en-AU"/>
        </w:rPr>
        <w:t xml:space="preserve"> his/her own time and resources effectively in order to balance patient care, professional development,</w:t>
      </w:r>
      <w:r>
        <w:rPr>
          <w:lang w:eastAsia="en-AU"/>
        </w:rPr>
        <w:t xml:space="preserve"> </w:t>
      </w:r>
      <w:r w:rsidRPr="005E5BD0">
        <w:rPr>
          <w:lang w:eastAsia="en-AU"/>
        </w:rPr>
        <w:t>managerial and administrative duties, learning needs, and personal life with particular reference to the demands</w:t>
      </w:r>
      <w:r>
        <w:rPr>
          <w:lang w:eastAsia="en-AU"/>
        </w:rPr>
        <w:t xml:space="preserve"> </w:t>
      </w:r>
      <w:r w:rsidRPr="005E5BD0">
        <w:rPr>
          <w:lang w:eastAsia="en-AU"/>
        </w:rPr>
        <w:t>of dealing with death and dying</w:t>
      </w:r>
      <w:r>
        <w:rPr>
          <w:lang w:eastAsia="en-AU"/>
        </w:rPr>
        <w:t xml:space="preserve">; </w:t>
      </w:r>
    </w:p>
    <w:p w14:paraId="23349708" w14:textId="77777777" w:rsidR="00092A3B" w:rsidRDefault="00092A3B" w:rsidP="007051AD">
      <w:pPr>
        <w:pStyle w:val="AspexBullet2"/>
        <w:rPr>
          <w:lang w:eastAsia="en-AU"/>
        </w:rPr>
      </w:pPr>
      <w:r>
        <w:rPr>
          <w:lang w:eastAsia="en-AU"/>
        </w:rPr>
        <w:t>W</w:t>
      </w:r>
      <w:r w:rsidR="0023371A">
        <w:rPr>
          <w:lang w:eastAsia="en-AU"/>
        </w:rPr>
        <w:t>orking</w:t>
      </w:r>
      <w:r w:rsidRPr="005E5BD0">
        <w:rPr>
          <w:lang w:eastAsia="en-AU"/>
        </w:rPr>
        <w:t xml:space="preserve"> effectively and efficiently in a health care organisation</w:t>
      </w:r>
      <w:r>
        <w:rPr>
          <w:lang w:eastAsia="en-AU"/>
        </w:rPr>
        <w:t xml:space="preserve">; </w:t>
      </w:r>
    </w:p>
    <w:p w14:paraId="3392DB3C" w14:textId="77777777" w:rsidR="00092A3B" w:rsidRDefault="0023371A" w:rsidP="007051AD">
      <w:pPr>
        <w:pStyle w:val="AspexBullet2"/>
        <w:rPr>
          <w:lang w:eastAsia="en-AU"/>
        </w:rPr>
      </w:pPr>
      <w:r>
        <w:rPr>
          <w:lang w:eastAsia="en-AU"/>
        </w:rPr>
        <w:t>Managing</w:t>
      </w:r>
      <w:r w:rsidR="00092A3B" w:rsidRPr="005E5BD0">
        <w:rPr>
          <w:lang w:eastAsia="en-AU"/>
        </w:rPr>
        <w:t xml:space="preserve"> human resource, financial, quality assurance, data management, and administrative aspects</w:t>
      </w:r>
      <w:r w:rsidR="00092A3B">
        <w:rPr>
          <w:lang w:eastAsia="en-AU"/>
        </w:rPr>
        <w:t xml:space="preserve"> </w:t>
      </w:r>
      <w:r w:rsidR="00092A3B" w:rsidRPr="005E5BD0">
        <w:rPr>
          <w:lang w:eastAsia="en-AU"/>
        </w:rPr>
        <w:t>of his/her own practice or palliative care service</w:t>
      </w:r>
      <w:r w:rsidR="00092A3B">
        <w:rPr>
          <w:lang w:eastAsia="en-AU"/>
        </w:rPr>
        <w:t xml:space="preserve">; and </w:t>
      </w:r>
    </w:p>
    <w:p w14:paraId="23F151A8" w14:textId="77777777" w:rsidR="00092A3B" w:rsidRDefault="00092A3B" w:rsidP="007051AD">
      <w:pPr>
        <w:pStyle w:val="AspexBullet2"/>
        <w:rPr>
          <w:lang w:eastAsia="en-AU"/>
        </w:rPr>
      </w:pPr>
      <w:r>
        <w:rPr>
          <w:lang w:eastAsia="en-AU"/>
        </w:rPr>
        <w:t>A</w:t>
      </w:r>
      <w:r w:rsidR="0023371A">
        <w:rPr>
          <w:lang w:eastAsia="en-AU"/>
        </w:rPr>
        <w:t>llocating</w:t>
      </w:r>
      <w:r w:rsidRPr="005E5BD0">
        <w:rPr>
          <w:lang w:eastAsia="en-AU"/>
        </w:rPr>
        <w:t xml:space="preserve"> finite health care and health education resources effectively.</w:t>
      </w:r>
    </w:p>
    <w:p w14:paraId="7BD67118" w14:textId="77777777" w:rsidR="00092A3B" w:rsidRDefault="00995A57" w:rsidP="00CB47CE">
      <w:pPr>
        <w:pStyle w:val="AspexBullet1"/>
        <w:tabs>
          <w:tab w:val="clear" w:pos="1060"/>
          <w:tab w:val="num" w:pos="1134"/>
        </w:tabs>
        <w:rPr>
          <w:lang w:eastAsia="en-AU"/>
        </w:rPr>
      </w:pPr>
      <w:r>
        <w:rPr>
          <w:lang w:eastAsia="en-AU"/>
        </w:rPr>
        <w:t>A</w:t>
      </w:r>
      <w:r w:rsidR="00092A3B">
        <w:rPr>
          <w:lang w:eastAsia="en-AU"/>
        </w:rPr>
        <w:t xml:space="preserve"> </w:t>
      </w:r>
      <w:r w:rsidR="00092A3B">
        <w:rPr>
          <w:b/>
          <w:lang w:eastAsia="en-AU"/>
        </w:rPr>
        <w:t>health advocate</w:t>
      </w:r>
      <w:r w:rsidR="00092A3B">
        <w:rPr>
          <w:lang w:eastAsia="en-AU"/>
        </w:rPr>
        <w:t>:</w:t>
      </w:r>
    </w:p>
    <w:p w14:paraId="6CBDA877" w14:textId="77777777" w:rsidR="00092A3B" w:rsidRDefault="00092A3B" w:rsidP="007051AD">
      <w:pPr>
        <w:pStyle w:val="AspexBullet2"/>
        <w:rPr>
          <w:lang w:eastAsia="en-AU"/>
        </w:rPr>
      </w:pPr>
      <w:r>
        <w:rPr>
          <w:lang w:eastAsia="en-AU"/>
        </w:rPr>
        <w:t>A</w:t>
      </w:r>
      <w:r w:rsidRPr="005E5BD0">
        <w:rPr>
          <w:lang w:eastAsia="en-AU"/>
        </w:rPr>
        <w:t>dvocat</w:t>
      </w:r>
      <w:r w:rsidR="0023371A">
        <w:rPr>
          <w:lang w:eastAsia="en-AU"/>
        </w:rPr>
        <w:t>ing</w:t>
      </w:r>
      <w:r w:rsidRPr="005E5BD0">
        <w:rPr>
          <w:lang w:eastAsia="en-AU"/>
        </w:rPr>
        <w:t xml:space="preserve"> for the needs of individual patients, social groups and cultures within the community who have</w:t>
      </w:r>
      <w:r>
        <w:rPr>
          <w:lang w:eastAsia="en-AU"/>
        </w:rPr>
        <w:t xml:space="preserve"> </w:t>
      </w:r>
      <w:r w:rsidRPr="005E5BD0">
        <w:rPr>
          <w:lang w:eastAsia="en-AU"/>
        </w:rPr>
        <w:t>specific palliative care needs or do not have effective access to palliative care services</w:t>
      </w:r>
      <w:r>
        <w:rPr>
          <w:lang w:eastAsia="en-AU"/>
        </w:rPr>
        <w:t xml:space="preserve">; </w:t>
      </w:r>
    </w:p>
    <w:p w14:paraId="42F4DC16" w14:textId="77777777" w:rsidR="00092A3B" w:rsidRDefault="00092A3B" w:rsidP="007051AD">
      <w:pPr>
        <w:pStyle w:val="AspexBullet2"/>
        <w:rPr>
          <w:lang w:eastAsia="en-AU"/>
        </w:rPr>
      </w:pPr>
      <w:r>
        <w:rPr>
          <w:lang w:eastAsia="en-AU"/>
        </w:rPr>
        <w:t>P</w:t>
      </w:r>
      <w:r w:rsidR="0023371A">
        <w:rPr>
          <w:lang w:eastAsia="en-AU"/>
        </w:rPr>
        <w:t>romoting</w:t>
      </w:r>
      <w:r w:rsidRPr="005E5BD0">
        <w:rPr>
          <w:lang w:eastAsia="en-AU"/>
        </w:rPr>
        <w:t xml:space="preserve"> palliative care in the health systems in which they work</w:t>
      </w:r>
      <w:r>
        <w:rPr>
          <w:lang w:eastAsia="en-AU"/>
        </w:rPr>
        <w:t>; and</w:t>
      </w:r>
    </w:p>
    <w:p w14:paraId="46ABFF66" w14:textId="77777777" w:rsidR="00092A3B" w:rsidRPr="005E5BD0" w:rsidRDefault="00092A3B" w:rsidP="007051AD">
      <w:pPr>
        <w:pStyle w:val="AspexBullet2"/>
        <w:rPr>
          <w:lang w:eastAsia="en-AU"/>
        </w:rPr>
      </w:pPr>
      <w:r>
        <w:rPr>
          <w:lang w:eastAsia="en-AU"/>
        </w:rPr>
        <w:t>C</w:t>
      </w:r>
      <w:r w:rsidR="0023371A">
        <w:rPr>
          <w:lang w:eastAsia="en-AU"/>
        </w:rPr>
        <w:t>ontributing</w:t>
      </w:r>
      <w:r w:rsidRPr="005E5BD0">
        <w:rPr>
          <w:lang w:eastAsia="en-AU"/>
        </w:rPr>
        <w:t xml:space="preserve"> to appropriate acknowledgment of palliative care issues within the community.</w:t>
      </w:r>
    </w:p>
    <w:p w14:paraId="4F71C9DD" w14:textId="77777777" w:rsidR="00092A3B" w:rsidRPr="005E5BD0" w:rsidRDefault="00995A57" w:rsidP="00CB47CE">
      <w:pPr>
        <w:pStyle w:val="AspexBullet1"/>
        <w:tabs>
          <w:tab w:val="clear" w:pos="1060"/>
          <w:tab w:val="num" w:pos="1134"/>
        </w:tabs>
        <w:rPr>
          <w:lang w:eastAsia="en-AU"/>
        </w:rPr>
      </w:pPr>
      <w:r>
        <w:rPr>
          <w:lang w:eastAsia="en-AU"/>
        </w:rPr>
        <w:t>A</w:t>
      </w:r>
      <w:r w:rsidR="00092A3B">
        <w:rPr>
          <w:lang w:eastAsia="en-AU"/>
        </w:rPr>
        <w:t xml:space="preserve"> </w:t>
      </w:r>
      <w:r w:rsidR="00092A3B">
        <w:rPr>
          <w:b/>
          <w:lang w:eastAsia="en-AU"/>
        </w:rPr>
        <w:t>professional:</w:t>
      </w:r>
    </w:p>
    <w:p w14:paraId="5B5A0D02" w14:textId="77777777" w:rsidR="00092A3B" w:rsidRDefault="00092A3B" w:rsidP="007051AD">
      <w:pPr>
        <w:pStyle w:val="AspexBullet2"/>
        <w:rPr>
          <w:lang w:eastAsia="en-AU"/>
        </w:rPr>
      </w:pPr>
      <w:r>
        <w:rPr>
          <w:lang w:eastAsia="en-AU"/>
        </w:rPr>
        <w:t>P</w:t>
      </w:r>
      <w:r w:rsidR="0023371A">
        <w:rPr>
          <w:lang w:eastAsia="en-AU"/>
        </w:rPr>
        <w:t>ractising</w:t>
      </w:r>
      <w:r w:rsidRPr="005E5BD0">
        <w:rPr>
          <w:lang w:eastAsia="en-AU"/>
        </w:rPr>
        <w:t xml:space="preserve"> palliative medicine in an ethically responsible manner that respects the medical, legal, and professional</w:t>
      </w:r>
      <w:r>
        <w:rPr>
          <w:lang w:eastAsia="en-AU"/>
        </w:rPr>
        <w:t xml:space="preserve"> </w:t>
      </w:r>
      <w:r w:rsidRPr="005E5BD0">
        <w:rPr>
          <w:lang w:eastAsia="en-AU"/>
        </w:rPr>
        <w:t>obligations of belonging to a self-regulating group with particular reference to the complex issues that can</w:t>
      </w:r>
      <w:r>
        <w:rPr>
          <w:lang w:eastAsia="en-AU"/>
        </w:rPr>
        <w:t xml:space="preserve"> </w:t>
      </w:r>
      <w:r w:rsidRPr="005E5BD0">
        <w:rPr>
          <w:lang w:eastAsia="en-AU"/>
        </w:rPr>
        <w:t>surround end-of-life care</w:t>
      </w:r>
      <w:r>
        <w:rPr>
          <w:lang w:eastAsia="en-AU"/>
        </w:rPr>
        <w:t xml:space="preserve">; </w:t>
      </w:r>
    </w:p>
    <w:p w14:paraId="28B1EAE2" w14:textId="77777777" w:rsidR="00092A3B" w:rsidRDefault="00092A3B" w:rsidP="007051AD">
      <w:pPr>
        <w:pStyle w:val="AspexBullet2"/>
        <w:rPr>
          <w:lang w:eastAsia="en-AU"/>
        </w:rPr>
      </w:pPr>
      <w:r>
        <w:rPr>
          <w:lang w:eastAsia="en-AU"/>
        </w:rPr>
        <w:t>M</w:t>
      </w:r>
      <w:r w:rsidR="0023371A">
        <w:rPr>
          <w:lang w:eastAsia="en-AU"/>
        </w:rPr>
        <w:t>anaging</w:t>
      </w:r>
      <w:r w:rsidRPr="005E5BD0">
        <w:rPr>
          <w:lang w:eastAsia="en-AU"/>
        </w:rPr>
        <w:t xml:space="preserve"> the personal challenges of dealing on a daily basis with death and grief</w:t>
      </w:r>
      <w:r>
        <w:rPr>
          <w:lang w:eastAsia="en-AU"/>
        </w:rPr>
        <w:t>; and</w:t>
      </w:r>
    </w:p>
    <w:p w14:paraId="4C8C9BD2" w14:textId="77777777" w:rsidR="00092A3B" w:rsidRDefault="00092A3B" w:rsidP="007051AD">
      <w:pPr>
        <w:pStyle w:val="AspexBullet2"/>
        <w:rPr>
          <w:lang w:eastAsia="en-AU"/>
        </w:rPr>
      </w:pPr>
      <w:r>
        <w:rPr>
          <w:lang w:eastAsia="en-AU"/>
        </w:rPr>
        <w:t>R</w:t>
      </w:r>
      <w:r w:rsidR="0023371A">
        <w:rPr>
          <w:lang w:eastAsia="en-AU"/>
        </w:rPr>
        <w:t>eflecting</w:t>
      </w:r>
      <w:r w:rsidRPr="005E5BD0">
        <w:rPr>
          <w:lang w:eastAsia="en-AU"/>
        </w:rPr>
        <w:t xml:space="preserve"> on their personal practice of palliative medicine and use this process to guide both </w:t>
      </w:r>
      <w:r w:rsidR="008E17AE">
        <w:t>C</w:t>
      </w:r>
      <w:r w:rsidR="008E17AE" w:rsidRPr="008E17AE">
        <w:t>ontinuous Professional Development</w:t>
      </w:r>
      <w:r w:rsidR="008E17AE" w:rsidRPr="005E5BD0">
        <w:rPr>
          <w:lang w:eastAsia="en-AU"/>
        </w:rPr>
        <w:t xml:space="preserve"> </w:t>
      </w:r>
      <w:r w:rsidR="008E17AE">
        <w:rPr>
          <w:lang w:eastAsia="en-AU"/>
        </w:rPr>
        <w:t>(</w:t>
      </w:r>
      <w:r w:rsidRPr="005E5BD0">
        <w:rPr>
          <w:lang w:eastAsia="en-AU"/>
        </w:rPr>
        <w:t>CPD</w:t>
      </w:r>
      <w:r w:rsidR="008E17AE">
        <w:rPr>
          <w:lang w:eastAsia="en-AU"/>
        </w:rPr>
        <w:t>)</w:t>
      </w:r>
      <w:r w:rsidRPr="005E5BD0">
        <w:rPr>
          <w:lang w:eastAsia="en-AU"/>
        </w:rPr>
        <w:t xml:space="preserve"> and the</w:t>
      </w:r>
      <w:r>
        <w:rPr>
          <w:lang w:eastAsia="en-AU"/>
        </w:rPr>
        <w:t xml:space="preserve"> </w:t>
      </w:r>
      <w:r w:rsidRPr="005E5BD0">
        <w:rPr>
          <w:lang w:eastAsia="en-AU"/>
        </w:rPr>
        <w:t>ongoing pursuit of wisdom</w:t>
      </w:r>
      <w:r>
        <w:rPr>
          <w:lang w:eastAsia="en-AU"/>
        </w:rPr>
        <w:t>.</w:t>
      </w:r>
      <w:r w:rsidR="00D9395C">
        <w:rPr>
          <w:lang w:eastAsia="en-AU"/>
        </w:rPr>
        <w:t>”</w:t>
      </w:r>
    </w:p>
    <w:p w14:paraId="49429836" w14:textId="77777777" w:rsidR="00257B86" w:rsidRDefault="00257B86" w:rsidP="00257B86">
      <w:pPr>
        <w:pStyle w:val="Heading2"/>
      </w:pPr>
      <w:bookmarkStart w:id="133" w:name="_Toc382313829"/>
      <w:r w:rsidRPr="00F06A20">
        <w:t xml:space="preserve">Types of </w:t>
      </w:r>
      <w:r w:rsidR="000405E4">
        <w:t xml:space="preserve">palliative care specialist </w:t>
      </w:r>
      <w:r w:rsidRPr="00F06A20">
        <w:t>intervention</w:t>
      </w:r>
      <w:bookmarkEnd w:id="133"/>
    </w:p>
    <w:p w14:paraId="1AD6300D" w14:textId="77777777" w:rsidR="001A79D2" w:rsidRDefault="001A79D2" w:rsidP="0023371A">
      <w:pPr>
        <w:pStyle w:val="AspexBodyStandard"/>
      </w:pPr>
      <w:r>
        <w:t xml:space="preserve">The </w:t>
      </w:r>
      <w:r w:rsidR="00D9395C">
        <w:t xml:space="preserve">AMC </w:t>
      </w:r>
      <w:r>
        <w:t>has recognised that:</w:t>
      </w:r>
    </w:p>
    <w:p w14:paraId="25FE33CC" w14:textId="77777777" w:rsidR="001A79D2" w:rsidRPr="001A79D2" w:rsidRDefault="001A79D2" w:rsidP="001A79D2">
      <w:pPr>
        <w:pStyle w:val="AspexHighlightText"/>
        <w:spacing w:before="240"/>
        <w:rPr>
          <w:rStyle w:val="IntenseEmphasis"/>
        </w:rPr>
      </w:pPr>
      <w:r w:rsidRPr="001A79D2">
        <w:rPr>
          <w:rStyle w:val="IntenseEmphasis"/>
        </w:rPr>
        <w:t xml:space="preserve">“Palliative medicine involves a defined body of knowledge and a specific aggregation of clinical skills and expertise in addition to the skills of all medical practitioners, particularly in the understanding of the full range of symptom control measures, and the psycho-social support of patients with incurable and progressive disease and their </w:t>
      </w:r>
      <w:proofErr w:type="spellStart"/>
      <w:r w:rsidRPr="001A79D2">
        <w:rPr>
          <w:rStyle w:val="IntenseEmphasis"/>
        </w:rPr>
        <w:t>carers</w:t>
      </w:r>
      <w:proofErr w:type="spellEnd"/>
      <w:r w:rsidRPr="001A79D2">
        <w:rPr>
          <w:rStyle w:val="IntenseEmphasis"/>
        </w:rPr>
        <w:t xml:space="preserve"> and families” (p.18)</w:t>
      </w:r>
    </w:p>
    <w:p w14:paraId="2415E11E" w14:textId="77777777" w:rsidR="0023371A" w:rsidRDefault="0023371A" w:rsidP="0023371A">
      <w:pPr>
        <w:pStyle w:val="AspexBodyStandard"/>
      </w:pPr>
      <w:r>
        <w:lastRenderedPageBreak/>
        <w:t>In terms of clinical wor</w:t>
      </w:r>
      <w:r w:rsidR="008E17AE">
        <w:t xml:space="preserve">k (care of patients), the </w:t>
      </w:r>
      <w:r w:rsidR="008E17AE" w:rsidRPr="00714F28">
        <w:rPr>
          <w:rFonts w:cs="Arial"/>
          <w:szCs w:val="16"/>
        </w:rPr>
        <w:t>Australian &amp; New Zealand Society of Palliative Medicine</w:t>
      </w:r>
      <w:r w:rsidR="008E17AE">
        <w:t xml:space="preserve"> (ANZSPM)</w:t>
      </w:r>
      <w:r>
        <w:rPr>
          <w:rStyle w:val="FootnoteReference"/>
          <w:rFonts w:cs="Arial"/>
          <w:sz w:val="24"/>
        </w:rPr>
        <w:footnoteReference w:id="69"/>
      </w:r>
      <w:r>
        <w:t xml:space="preserve"> states that </w:t>
      </w:r>
      <w:r w:rsidRPr="005C46B2">
        <w:t>Palliative Medicine</w:t>
      </w:r>
      <w:r>
        <w:t xml:space="preserve"> Specialists are involved in: </w:t>
      </w:r>
    </w:p>
    <w:p w14:paraId="766A04BA" w14:textId="0FEE3D99" w:rsidR="001A79D2" w:rsidRPr="00714F28" w:rsidRDefault="001A79D2" w:rsidP="001A79D2">
      <w:pPr>
        <w:pStyle w:val="AspexBullet1"/>
        <w:tabs>
          <w:tab w:val="clear" w:pos="1060"/>
          <w:tab w:val="left" w:pos="426"/>
        </w:tabs>
        <w:ind w:left="426" w:hanging="426"/>
      </w:pPr>
      <w:r>
        <w:t>Performing</w:t>
      </w:r>
      <w:r w:rsidRPr="00714F28">
        <w:t xml:space="preserve"> comprehensive assessments of patients who are being cared</w:t>
      </w:r>
      <w:r w:rsidR="00366B1B">
        <w:t xml:space="preserve"> for</w:t>
      </w:r>
      <w:r w:rsidRPr="00714F28">
        <w:t xml:space="preserve"> primarily by GPs and/or other specialists;</w:t>
      </w:r>
    </w:p>
    <w:p w14:paraId="5C4442B0" w14:textId="77777777" w:rsidR="0023371A" w:rsidRPr="00714F28" w:rsidRDefault="0023371A" w:rsidP="0023371A">
      <w:pPr>
        <w:pStyle w:val="AspexBullet1"/>
        <w:tabs>
          <w:tab w:val="clear" w:pos="1060"/>
          <w:tab w:val="left" w:pos="426"/>
        </w:tabs>
        <w:ind w:left="426" w:hanging="426"/>
      </w:pPr>
      <w:r w:rsidRPr="00714F28">
        <w:t>Direct</w:t>
      </w:r>
      <w:r>
        <w:t>ing</w:t>
      </w:r>
      <w:r w:rsidRPr="00714F28">
        <w:t xml:space="preserve"> care of patients with complex conditions;  </w:t>
      </w:r>
    </w:p>
    <w:p w14:paraId="41BF422A" w14:textId="77777777" w:rsidR="0023371A" w:rsidRPr="00714F28" w:rsidRDefault="0023371A" w:rsidP="0023371A">
      <w:pPr>
        <w:pStyle w:val="AspexBullet1"/>
        <w:tabs>
          <w:tab w:val="clear" w:pos="1060"/>
          <w:tab w:val="left" w:pos="426"/>
        </w:tabs>
        <w:ind w:left="426" w:hanging="426"/>
      </w:pPr>
      <w:r>
        <w:t>Providing i</w:t>
      </w:r>
      <w:r w:rsidRPr="00714F28">
        <w:t xml:space="preserve">ntermittent care of patients with a need for transient specialist care to manage complex symptoms; </w:t>
      </w:r>
      <w:r w:rsidR="001A79D2" w:rsidRPr="00714F28">
        <w:t>and</w:t>
      </w:r>
    </w:p>
    <w:p w14:paraId="615A1222" w14:textId="77777777" w:rsidR="0023371A" w:rsidRDefault="0023371A" w:rsidP="0023371A">
      <w:pPr>
        <w:pStyle w:val="AspexBullet1"/>
        <w:tabs>
          <w:tab w:val="clear" w:pos="1060"/>
          <w:tab w:val="left" w:pos="426"/>
        </w:tabs>
        <w:ind w:left="426" w:hanging="426"/>
      </w:pPr>
      <w:r>
        <w:t>Providing</w:t>
      </w:r>
      <w:r w:rsidRPr="00714F28">
        <w:t xml:space="preserve"> advice to GPs and other specialists caring for patients at the end of life. </w:t>
      </w:r>
    </w:p>
    <w:p w14:paraId="57768A20" w14:textId="77777777" w:rsidR="00257B86" w:rsidRDefault="00257B86" w:rsidP="00257B86">
      <w:pPr>
        <w:pStyle w:val="AspexBodyStandard"/>
      </w:pPr>
      <w:r>
        <w:t>A</w:t>
      </w:r>
      <w:r w:rsidR="0023371A">
        <w:t>ccordingly, a</w:t>
      </w:r>
      <w:r>
        <w:t>s part of patient care, Palliative Care Specialists perform:</w:t>
      </w:r>
    </w:p>
    <w:p w14:paraId="799DDD6A" w14:textId="77777777" w:rsidR="00257B86" w:rsidRPr="006132D3" w:rsidRDefault="0023371A" w:rsidP="00257B86">
      <w:pPr>
        <w:pStyle w:val="AspexBullet1"/>
        <w:tabs>
          <w:tab w:val="clear" w:pos="1060"/>
          <w:tab w:val="left" w:pos="426"/>
        </w:tabs>
        <w:ind w:left="426" w:hanging="426"/>
      </w:pPr>
      <w:r>
        <w:t>Assessments: including</w:t>
      </w:r>
      <w:r w:rsidR="00257B86" w:rsidRPr="006132D3">
        <w:t xml:space="preserve"> ascertainment of a patient’s current active medical problems and past history, review of medications, assessment of psychological function, </w:t>
      </w:r>
      <w:r w:rsidR="000D2503">
        <w:t xml:space="preserve">areas of functional limitation, and the determination of patient and family coping together with any support that may be required. A </w:t>
      </w:r>
      <w:r w:rsidR="00257B86" w:rsidRPr="006132D3">
        <w:t xml:space="preserve">written report </w:t>
      </w:r>
      <w:r w:rsidR="000D2503">
        <w:t xml:space="preserve">is then prepared and sent </w:t>
      </w:r>
      <w:r w:rsidR="00257B86" w:rsidRPr="006132D3">
        <w:t>to the referring practitioner;</w:t>
      </w:r>
    </w:p>
    <w:p w14:paraId="38442C03" w14:textId="3082DA4B" w:rsidR="00257B86" w:rsidRPr="006132D3" w:rsidRDefault="00257B86" w:rsidP="00257B86">
      <w:pPr>
        <w:pStyle w:val="AspexBullet1"/>
        <w:tabs>
          <w:tab w:val="clear" w:pos="1060"/>
          <w:tab w:val="left" w:pos="426"/>
        </w:tabs>
        <w:ind w:left="426" w:hanging="426"/>
      </w:pPr>
      <w:r w:rsidRPr="006132D3">
        <w:t>Develop management plan</w:t>
      </w:r>
      <w:r w:rsidR="0023371A">
        <w:t>s: including</w:t>
      </w:r>
      <w:r w:rsidRPr="006132D3">
        <w:t xml:space="preserve"> planned follow-up of medical/social/</w:t>
      </w:r>
      <w:r>
        <w:t xml:space="preserve"> </w:t>
      </w:r>
      <w:r w:rsidRPr="006132D3">
        <w:t>psychological/spiritual issues, recommendations for treatment options, medications, allied health and nursing services, carer support plan and bereavement plan. Also explanation to patient and family, and advanced care planning arrangements</w:t>
      </w:r>
      <w:r w:rsidR="00C24541">
        <w:t>. This is supported by statements made by palliative care physicians interviewed for preparation of this assessment.</w:t>
      </w:r>
    </w:p>
    <w:p w14:paraId="2A593659" w14:textId="029A91E4" w:rsidR="00D17FB7" w:rsidRPr="00D17FB7" w:rsidRDefault="00D17FB7" w:rsidP="00D17FB7">
      <w:pPr>
        <w:pStyle w:val="AspexBodyStandard"/>
        <w:spacing w:after="240"/>
        <w:ind w:left="346" w:right="425"/>
        <w:jc w:val="center"/>
        <w:rPr>
          <w:rFonts w:ascii="Arial Narrow" w:hAnsi="Arial Narrow"/>
          <w:i/>
          <w:color w:val="A6A6A6" w:themeColor="background1" w:themeShade="A6"/>
          <w:szCs w:val="22"/>
          <w:lang w:eastAsia="en-AU"/>
        </w:rPr>
      </w:pPr>
      <w:r w:rsidRPr="00D17FB7">
        <w:rPr>
          <w:rFonts w:ascii="Arial Narrow" w:hAnsi="Arial Narrow"/>
          <w:i/>
          <w:color w:val="A6A6A6" w:themeColor="background1" w:themeShade="A6"/>
          <w:szCs w:val="22"/>
          <w:lang w:eastAsia="en-AU"/>
        </w:rPr>
        <w:t>“Assessment and intervention involves - symptom control – nausea, vomiting, pain; counselling and managing psychosocial distress – family care is an expected role of the palliative care consultant</w:t>
      </w:r>
      <w:r w:rsidR="00492B55">
        <w:rPr>
          <w:rFonts w:ascii="Arial Narrow" w:hAnsi="Arial Narrow"/>
          <w:i/>
          <w:color w:val="A6A6A6" w:themeColor="background1" w:themeShade="A6"/>
          <w:szCs w:val="22"/>
          <w:lang w:eastAsia="en-AU"/>
        </w:rPr>
        <w:t>. A</w:t>
      </w:r>
      <w:r w:rsidRPr="00D17FB7">
        <w:rPr>
          <w:rFonts w:ascii="Arial Narrow" w:hAnsi="Arial Narrow"/>
          <w:i/>
          <w:color w:val="A6A6A6" w:themeColor="background1" w:themeShade="A6"/>
          <w:szCs w:val="22"/>
          <w:lang w:eastAsia="en-AU"/>
        </w:rPr>
        <w:t xml:space="preserve"> lot of time is spent with the family, case management and coordination of care for rural/remote patients – criteria for accepting patients from rural/remote areas is more flexible than metropolitan areas because these patients and any primary care provider in remote areas need to be supported.”</w:t>
      </w:r>
    </w:p>
    <w:p w14:paraId="3B86C435" w14:textId="77777777" w:rsidR="00D17FB7" w:rsidRPr="00D17FB7" w:rsidRDefault="00D17FB7" w:rsidP="00D17FB7">
      <w:pPr>
        <w:pStyle w:val="AspexBodyStandard"/>
        <w:spacing w:after="240"/>
        <w:ind w:left="346" w:right="425"/>
        <w:jc w:val="center"/>
        <w:rPr>
          <w:rFonts w:ascii="Arial Narrow" w:hAnsi="Arial Narrow"/>
          <w:i/>
          <w:color w:val="A6A6A6" w:themeColor="background1" w:themeShade="A6"/>
          <w:szCs w:val="22"/>
          <w:lang w:eastAsia="en-AU"/>
        </w:rPr>
      </w:pPr>
      <w:r w:rsidRPr="00D17FB7">
        <w:rPr>
          <w:rFonts w:ascii="Arial Narrow" w:hAnsi="Arial Narrow"/>
          <w:i/>
          <w:color w:val="A6A6A6" w:themeColor="background1" w:themeShade="A6"/>
          <w:szCs w:val="22"/>
          <w:lang w:eastAsia="en-AU"/>
        </w:rPr>
        <w:t>“A typical treatment pathway includes an initial comprehensive assessment of presenting complaint and review of care pathway and assessment of way forward including any changes to drug regimes, social history and review of care planning.  It also involves family discussion about the prognosis and how events might unfold. We also provide an assessment of community needs and initiate the process for community support including equipment, ongoing daily care etc.”</w:t>
      </w:r>
    </w:p>
    <w:p w14:paraId="3C21F0DB" w14:textId="346C69EC" w:rsidR="00D17FB7" w:rsidRPr="00C3179E" w:rsidRDefault="00D17FB7" w:rsidP="00C3179E">
      <w:pPr>
        <w:pStyle w:val="AspexBodyStandard"/>
        <w:spacing w:after="240"/>
        <w:ind w:left="346" w:right="425"/>
        <w:jc w:val="center"/>
        <w:rPr>
          <w:rFonts w:ascii="Arial Narrow" w:hAnsi="Arial Narrow"/>
          <w:i/>
          <w:color w:val="A6A6A6" w:themeColor="background1" w:themeShade="A6"/>
          <w:szCs w:val="22"/>
          <w:lang w:eastAsia="en-AU"/>
        </w:rPr>
      </w:pPr>
      <w:r w:rsidRPr="00D17FB7">
        <w:rPr>
          <w:rFonts w:ascii="Arial Narrow" w:hAnsi="Arial Narrow"/>
          <w:i/>
          <w:color w:val="A6A6A6" w:themeColor="background1" w:themeShade="A6"/>
          <w:szCs w:val="22"/>
          <w:lang w:eastAsia="en-AU"/>
        </w:rPr>
        <w:t>“The care pathway involves improvement in physical symptoms, improvement or maintenance of functionality, allowing patients to live as well as they can, look for concrete outcomes (using a scoring system) and allowing patient</w:t>
      </w:r>
      <w:r w:rsidR="00873929">
        <w:rPr>
          <w:rFonts w:ascii="Arial Narrow" w:hAnsi="Arial Narrow"/>
          <w:i/>
          <w:color w:val="A6A6A6" w:themeColor="background1" w:themeShade="A6"/>
          <w:szCs w:val="22"/>
          <w:lang w:eastAsia="en-AU"/>
        </w:rPr>
        <w:t>s</w:t>
      </w:r>
      <w:r w:rsidRPr="00D17FB7">
        <w:rPr>
          <w:rFonts w:ascii="Arial Narrow" w:hAnsi="Arial Narrow"/>
          <w:i/>
          <w:color w:val="A6A6A6" w:themeColor="background1" w:themeShade="A6"/>
          <w:szCs w:val="22"/>
          <w:lang w:eastAsia="en-AU"/>
        </w:rPr>
        <w:t xml:space="preserve"> to die in the place of their choosing</w:t>
      </w:r>
      <w:r w:rsidR="00873929">
        <w:rPr>
          <w:rFonts w:ascii="Arial Narrow" w:hAnsi="Arial Narrow"/>
          <w:i/>
          <w:color w:val="A6A6A6" w:themeColor="background1" w:themeShade="A6"/>
          <w:szCs w:val="22"/>
          <w:lang w:eastAsia="en-AU"/>
        </w:rPr>
        <w:t>.</w:t>
      </w:r>
      <w:r w:rsidRPr="00D17FB7">
        <w:rPr>
          <w:rFonts w:ascii="Arial Narrow" w:hAnsi="Arial Narrow"/>
          <w:i/>
          <w:color w:val="A6A6A6" w:themeColor="background1" w:themeShade="A6"/>
          <w:szCs w:val="22"/>
          <w:lang w:eastAsia="en-AU"/>
        </w:rPr>
        <w:t>”</w:t>
      </w:r>
    </w:p>
    <w:p w14:paraId="7D21E5F6" w14:textId="77777777" w:rsidR="00257B86" w:rsidRDefault="000D2503" w:rsidP="00257B86">
      <w:pPr>
        <w:pStyle w:val="AspexBodyStandard"/>
      </w:pPr>
      <w:r>
        <w:t>In both private and public hospital settings, over 90% of Palliative Care separations are classified as “Medical”, which do not involve operating room procedures or “significant” non-operating room procedures such as endoscopy.</w:t>
      </w:r>
      <w:r>
        <w:rPr>
          <w:rStyle w:val="FootnoteReference"/>
          <w:rFonts w:cs="Arial"/>
          <w:sz w:val="24"/>
        </w:rPr>
        <w:footnoteReference w:id="70"/>
      </w:r>
      <w:r>
        <w:t xml:space="preserve"> </w:t>
      </w:r>
      <w:r w:rsidR="00257B86">
        <w:t xml:space="preserve">For admitted patients, interventions that may involve Palliative Medicine doctors </w:t>
      </w:r>
      <w:r w:rsidR="001A79D2">
        <w:t>might include</w:t>
      </w:r>
      <w:r w:rsidR="00257B86">
        <w:t>:</w:t>
      </w:r>
    </w:p>
    <w:p w14:paraId="187FF77F" w14:textId="77777777" w:rsidR="00257B86" w:rsidRPr="006132D3" w:rsidRDefault="00257B86" w:rsidP="00257B86">
      <w:pPr>
        <w:pStyle w:val="AspexBullet1"/>
        <w:tabs>
          <w:tab w:val="clear" w:pos="1060"/>
          <w:tab w:val="left" w:pos="426"/>
        </w:tabs>
        <w:ind w:left="426" w:hanging="426"/>
      </w:pPr>
      <w:r w:rsidRPr="006132D3">
        <w:t>Administration of blood and blood products;</w:t>
      </w:r>
    </w:p>
    <w:p w14:paraId="0046709F" w14:textId="77777777" w:rsidR="00257B86" w:rsidRPr="006132D3" w:rsidRDefault="00257B86" w:rsidP="00257B86">
      <w:pPr>
        <w:pStyle w:val="AspexBullet1"/>
        <w:tabs>
          <w:tab w:val="clear" w:pos="1060"/>
          <w:tab w:val="left" w:pos="426"/>
        </w:tabs>
        <w:ind w:left="426" w:hanging="426"/>
      </w:pPr>
      <w:r w:rsidRPr="006132D3">
        <w:t>Administration of pharmacotherapy; and</w:t>
      </w:r>
    </w:p>
    <w:p w14:paraId="295B410E" w14:textId="26FD38E7" w:rsidR="00257B86" w:rsidRPr="006132D3" w:rsidRDefault="00257B86" w:rsidP="00257B86">
      <w:pPr>
        <w:pStyle w:val="AspexBullet1"/>
        <w:tabs>
          <w:tab w:val="clear" w:pos="1060"/>
          <w:tab w:val="left" w:pos="426"/>
        </w:tabs>
        <w:ind w:left="426" w:hanging="426"/>
      </w:pPr>
      <w:r w:rsidRPr="006132D3">
        <w:lastRenderedPageBreak/>
        <w:t>Application, insertion, or removal procedures o</w:t>
      </w:r>
      <w:r w:rsidR="00136FA0">
        <w:t>f</w:t>
      </w:r>
      <w:r w:rsidRPr="006132D3">
        <w:t xml:space="preserve"> abdomen, </w:t>
      </w:r>
      <w:r w:rsidR="0023371A">
        <w:t xml:space="preserve">or </w:t>
      </w:r>
      <w:r w:rsidRPr="006132D3">
        <w:t>peritoneum.</w:t>
      </w:r>
    </w:p>
    <w:p w14:paraId="2CDB7FE5" w14:textId="77777777" w:rsidR="00257B86" w:rsidRDefault="00257B86" w:rsidP="00257B86">
      <w:pPr>
        <w:pStyle w:val="AspexBodyStandard"/>
      </w:pPr>
      <w:r>
        <w:t xml:space="preserve">In addition, </w:t>
      </w:r>
      <w:r w:rsidR="000D2503">
        <w:t>a range of different investigations is</w:t>
      </w:r>
      <w:r>
        <w:t xml:space="preserve"> commonly ordered during a Palliative Care admission, which again may have been initiated by Palliative Medicine doctors. These included Computerised Tomography (CT) scans of brain, abdomen, pelvis or chest; Magnetic Resonance Imaging (MRI), or Spiral Angiography.</w:t>
      </w:r>
      <w:r>
        <w:rPr>
          <w:rStyle w:val="FootnoteReference"/>
          <w:rFonts w:cs="Arial"/>
          <w:sz w:val="24"/>
        </w:rPr>
        <w:footnoteReference w:id="71"/>
      </w:r>
    </w:p>
    <w:p w14:paraId="7BC632D4" w14:textId="77777777" w:rsidR="00257B86" w:rsidRDefault="000405E4" w:rsidP="00257B86">
      <w:pPr>
        <w:pStyle w:val="Heading2"/>
      </w:pPr>
      <w:bookmarkStart w:id="134" w:name="_Toc373163137"/>
      <w:bookmarkStart w:id="135" w:name="_Toc382313830"/>
      <w:r>
        <w:t xml:space="preserve">The quality of </w:t>
      </w:r>
      <w:bookmarkEnd w:id="134"/>
      <w:r w:rsidR="001A29D3">
        <w:t>clinical interventions</w:t>
      </w:r>
      <w:bookmarkEnd w:id="135"/>
    </w:p>
    <w:p w14:paraId="7D98E985" w14:textId="5B7CBE99" w:rsidR="004C2B36" w:rsidRDefault="004C2B36" w:rsidP="000405E4">
      <w:pPr>
        <w:pStyle w:val="AspexBodyStandard"/>
      </w:pPr>
      <w:r>
        <w:t>Consultation with a range of palliative care specialists identif</w:t>
      </w:r>
      <w:r w:rsidR="00136FA0">
        <w:t>ied</w:t>
      </w:r>
      <w:r>
        <w:t xml:space="preserve"> that a quality outcome of treatment would result in </w:t>
      </w:r>
      <w:r w:rsidR="00311FBB">
        <w:t xml:space="preserve">an individual </w:t>
      </w:r>
      <w:r>
        <w:t xml:space="preserve">dying with dignity, as a result of a personally and culturally appropriate management plan, the implementation of a range of supports tailored </w:t>
      </w:r>
      <w:r w:rsidR="00311FBB">
        <w:t>to specific</w:t>
      </w:r>
      <w:r>
        <w:t xml:space="preserve"> patient and family needs</w:t>
      </w:r>
      <w:r w:rsidR="00311FBB">
        <w:t>,</w:t>
      </w:r>
      <w:r>
        <w:t xml:space="preserve"> that are delivered with respect for patient choices. </w:t>
      </w:r>
    </w:p>
    <w:p w14:paraId="6E4392EB" w14:textId="77777777" w:rsidR="004C2B36" w:rsidRDefault="004C2B36" w:rsidP="004C2B36">
      <w:pPr>
        <w:pStyle w:val="AspexBodyStandard"/>
        <w:spacing w:after="240"/>
        <w:ind w:left="346" w:right="425"/>
        <w:jc w:val="center"/>
        <w:rPr>
          <w:rFonts w:ascii="Arial Narrow" w:hAnsi="Arial Narrow"/>
          <w:i/>
          <w:color w:val="A6A6A6" w:themeColor="background1" w:themeShade="A6"/>
          <w:szCs w:val="22"/>
          <w:lang w:eastAsia="en-AU"/>
        </w:rPr>
      </w:pPr>
      <w:r w:rsidRPr="007D38D3">
        <w:rPr>
          <w:rFonts w:ascii="Arial Narrow" w:hAnsi="Arial Narrow"/>
          <w:i/>
          <w:color w:val="A6A6A6" w:themeColor="background1" w:themeShade="A6"/>
          <w:szCs w:val="22"/>
          <w:lang w:eastAsia="en-AU"/>
        </w:rPr>
        <w:t>“[What I would see as a] good outcome of treatment would include – having an appropriate treatment plan in place, helping the patient feel safe, having their pain and symptoms well managed, helping them feel they had options and choices and the ability to talk about dying and having a plan</w:t>
      </w:r>
      <w:r>
        <w:rPr>
          <w:rFonts w:ascii="Arial Narrow" w:hAnsi="Arial Narrow"/>
          <w:i/>
          <w:color w:val="A6A6A6" w:themeColor="background1" w:themeShade="A6"/>
          <w:szCs w:val="22"/>
          <w:lang w:eastAsia="en-AU"/>
        </w:rPr>
        <w:t>.</w:t>
      </w:r>
      <w:r w:rsidRPr="007D38D3">
        <w:rPr>
          <w:rFonts w:ascii="Arial Narrow" w:hAnsi="Arial Narrow"/>
          <w:i/>
          <w:color w:val="A6A6A6" w:themeColor="background1" w:themeShade="A6"/>
          <w:szCs w:val="22"/>
          <w:lang w:eastAsia="en-AU"/>
        </w:rPr>
        <w:t>”</w:t>
      </w:r>
    </w:p>
    <w:p w14:paraId="31682819" w14:textId="11F76077" w:rsidR="004C2B36" w:rsidRPr="007D38D3" w:rsidRDefault="004C2B36" w:rsidP="004C2B36">
      <w:pPr>
        <w:pStyle w:val="AspexBodyStandard"/>
        <w:spacing w:before="0" w:after="0"/>
        <w:ind w:left="346" w:right="425"/>
        <w:jc w:val="center"/>
        <w:rPr>
          <w:rFonts w:ascii="Arial Narrow" w:hAnsi="Arial Narrow"/>
          <w:i/>
          <w:color w:val="A6A6A6" w:themeColor="background1" w:themeShade="A6"/>
          <w:szCs w:val="22"/>
          <w:lang w:eastAsia="en-AU"/>
        </w:rPr>
      </w:pPr>
      <w:r>
        <w:rPr>
          <w:rFonts w:ascii="Arial Narrow" w:hAnsi="Arial Narrow"/>
          <w:i/>
          <w:color w:val="A6A6A6" w:themeColor="background1" w:themeShade="A6"/>
          <w:szCs w:val="22"/>
          <w:lang w:eastAsia="en-AU"/>
        </w:rPr>
        <w:t xml:space="preserve">“Good outcomes include a death that is </w:t>
      </w:r>
      <w:r w:rsidRPr="007D38D3">
        <w:rPr>
          <w:rFonts w:ascii="Arial Narrow" w:hAnsi="Arial Narrow"/>
          <w:i/>
          <w:color w:val="A6A6A6" w:themeColor="background1" w:themeShade="A6"/>
          <w:szCs w:val="22"/>
          <w:lang w:eastAsia="en-AU"/>
        </w:rPr>
        <w:t xml:space="preserve">minimally distressing to patient and family </w:t>
      </w:r>
      <w:r>
        <w:rPr>
          <w:rFonts w:ascii="Arial Narrow" w:hAnsi="Arial Narrow"/>
          <w:i/>
          <w:color w:val="A6A6A6" w:themeColor="background1" w:themeShade="A6"/>
          <w:szCs w:val="22"/>
          <w:lang w:eastAsia="en-AU"/>
        </w:rPr>
        <w:t xml:space="preserve">and occurs in a </w:t>
      </w:r>
      <w:r w:rsidRPr="007D38D3">
        <w:rPr>
          <w:rFonts w:ascii="Arial Narrow" w:hAnsi="Arial Narrow"/>
          <w:i/>
          <w:color w:val="A6A6A6" w:themeColor="background1" w:themeShade="A6"/>
          <w:szCs w:val="22"/>
          <w:lang w:eastAsia="en-AU"/>
        </w:rPr>
        <w:t>dignified and pain</w:t>
      </w:r>
      <w:r>
        <w:rPr>
          <w:rFonts w:ascii="Arial Narrow" w:hAnsi="Arial Narrow"/>
          <w:i/>
          <w:color w:val="A6A6A6" w:themeColor="background1" w:themeShade="A6"/>
          <w:szCs w:val="22"/>
          <w:lang w:eastAsia="en-AU"/>
        </w:rPr>
        <w:t>-</w:t>
      </w:r>
      <w:r w:rsidRPr="007D38D3">
        <w:rPr>
          <w:rFonts w:ascii="Arial Narrow" w:hAnsi="Arial Narrow"/>
          <w:i/>
          <w:color w:val="A6A6A6" w:themeColor="background1" w:themeShade="A6"/>
          <w:szCs w:val="22"/>
          <w:lang w:eastAsia="en-AU"/>
        </w:rPr>
        <w:t>free way</w:t>
      </w:r>
      <w:r w:rsidR="00136FA0">
        <w:rPr>
          <w:rFonts w:ascii="Arial Narrow" w:hAnsi="Arial Narrow"/>
          <w:i/>
          <w:color w:val="A6A6A6" w:themeColor="background1" w:themeShade="A6"/>
          <w:szCs w:val="22"/>
          <w:lang w:eastAsia="en-AU"/>
        </w:rPr>
        <w:t>,</w:t>
      </w:r>
      <w:r>
        <w:rPr>
          <w:rFonts w:ascii="Arial Narrow" w:hAnsi="Arial Narrow"/>
          <w:i/>
          <w:color w:val="A6A6A6" w:themeColor="background1" w:themeShade="A6"/>
          <w:szCs w:val="22"/>
          <w:lang w:eastAsia="en-AU"/>
        </w:rPr>
        <w:t xml:space="preserve"> or discharge home with appropriate contacts and supports, including equipment and an ongoing care plan.”</w:t>
      </w:r>
    </w:p>
    <w:p w14:paraId="03D72220" w14:textId="77777777" w:rsidR="000405E4" w:rsidRDefault="004C2B36" w:rsidP="000405E4">
      <w:pPr>
        <w:pStyle w:val="AspexBodyStandard"/>
      </w:pPr>
      <w:r>
        <w:t>These outcomes are consistent with</w:t>
      </w:r>
      <w:r w:rsidR="000405E4">
        <w:t xml:space="preserve"> previous research,</w:t>
      </w:r>
      <w:r w:rsidR="000405E4">
        <w:rPr>
          <w:rStyle w:val="FootnoteReference"/>
          <w:rFonts w:cs="Arial"/>
          <w:iCs/>
          <w:sz w:val="24"/>
        </w:rPr>
        <w:footnoteReference w:id="72"/>
      </w:r>
      <w:r w:rsidR="000405E4">
        <w:t xml:space="preserve"> </w:t>
      </w:r>
      <w:r>
        <w:t xml:space="preserve">in which </w:t>
      </w:r>
      <w:r w:rsidR="000405E4">
        <w:t xml:space="preserve">patients with serious illness and poor prognosis </w:t>
      </w:r>
      <w:r>
        <w:t xml:space="preserve">have specifically </w:t>
      </w:r>
      <w:r w:rsidR="000405E4">
        <w:t>request</w:t>
      </w:r>
      <w:r>
        <w:t>ed</w:t>
      </w:r>
      <w:r w:rsidR="000405E4">
        <w:t>:</w:t>
      </w:r>
    </w:p>
    <w:p w14:paraId="6F44CD56" w14:textId="77777777" w:rsidR="000405E4" w:rsidRDefault="000405E4" w:rsidP="000405E4">
      <w:pPr>
        <w:pStyle w:val="AspexBullet1"/>
        <w:tabs>
          <w:tab w:val="clear" w:pos="1060"/>
          <w:tab w:val="left" w:pos="426"/>
        </w:tabs>
        <w:ind w:left="426" w:hanging="426"/>
      </w:pPr>
      <w:r>
        <w:t>Control of pain and symptoms;</w:t>
      </w:r>
    </w:p>
    <w:p w14:paraId="3D86406C" w14:textId="77777777" w:rsidR="000405E4" w:rsidRDefault="000405E4" w:rsidP="000405E4">
      <w:pPr>
        <w:pStyle w:val="AspexBullet1"/>
        <w:tabs>
          <w:tab w:val="clear" w:pos="1060"/>
          <w:tab w:val="left" w:pos="426"/>
        </w:tabs>
        <w:ind w:left="426" w:hanging="426"/>
      </w:pPr>
      <w:r>
        <w:t>Avoidance of inappropriate prolongation of the dying process;</w:t>
      </w:r>
    </w:p>
    <w:p w14:paraId="62624387" w14:textId="77777777" w:rsidR="000405E4" w:rsidRDefault="000405E4" w:rsidP="000405E4">
      <w:pPr>
        <w:pStyle w:val="AspexBullet1"/>
        <w:tabs>
          <w:tab w:val="clear" w:pos="1060"/>
          <w:tab w:val="left" w:pos="426"/>
        </w:tabs>
        <w:ind w:left="426" w:hanging="426"/>
      </w:pPr>
      <w:r>
        <w:t>A sense of control;</w:t>
      </w:r>
    </w:p>
    <w:p w14:paraId="6EC57924" w14:textId="77777777" w:rsidR="000405E4" w:rsidRDefault="000405E4" w:rsidP="000405E4">
      <w:pPr>
        <w:pStyle w:val="AspexBullet1"/>
        <w:tabs>
          <w:tab w:val="clear" w:pos="1060"/>
          <w:tab w:val="left" w:pos="426"/>
        </w:tabs>
        <w:ind w:left="426" w:hanging="426"/>
      </w:pPr>
      <w:r>
        <w:t>That families are relieved of the burden caused by the illness; and</w:t>
      </w:r>
    </w:p>
    <w:p w14:paraId="28C557E2" w14:textId="77777777" w:rsidR="000405E4" w:rsidRDefault="000405E4" w:rsidP="000405E4">
      <w:pPr>
        <w:pStyle w:val="AspexBullet1"/>
        <w:tabs>
          <w:tab w:val="clear" w:pos="1060"/>
          <w:tab w:val="left" w:pos="426"/>
        </w:tabs>
        <w:ind w:left="426" w:hanging="426"/>
      </w:pPr>
      <w:r>
        <w:t>Strengthening of relationships with families.</w:t>
      </w:r>
    </w:p>
    <w:p w14:paraId="35C9520B" w14:textId="77777777" w:rsidR="000D2503" w:rsidRDefault="000D2503" w:rsidP="000D2503">
      <w:pPr>
        <w:pStyle w:val="AspexBodyStandard"/>
      </w:pPr>
      <w:r>
        <w:t>Accordingly, the ANZSPM have advised that typical patient and family assessment followed by the development of an appropriate management plan would take approximately 60 minutes.</w:t>
      </w:r>
      <w:r>
        <w:rPr>
          <w:rStyle w:val="FootnoteReference"/>
          <w:rFonts w:cs="Arial"/>
          <w:sz w:val="24"/>
        </w:rPr>
        <w:footnoteReference w:id="73"/>
      </w:r>
      <w:r w:rsidR="001A79D2">
        <w:t xml:space="preserve"> </w:t>
      </w:r>
    </w:p>
    <w:p w14:paraId="075D3AC7" w14:textId="77777777" w:rsidR="001A79D2" w:rsidRPr="001A79D2" w:rsidRDefault="001A79D2" w:rsidP="001A79D2">
      <w:pPr>
        <w:pStyle w:val="AspexHighlightText"/>
        <w:spacing w:before="240"/>
        <w:rPr>
          <w:rStyle w:val="IntenseEmphasis"/>
        </w:rPr>
      </w:pPr>
      <w:r w:rsidRPr="001A79D2">
        <w:rPr>
          <w:rStyle w:val="IntenseEmphasis"/>
        </w:rPr>
        <w:t>Evidence based best practice is at the cornerstone of palliative medicine training, certification, clinical practice and ongoing professional development, as evidenced through their training curricula, competency standards, and ongoing professional education requirements.</w:t>
      </w:r>
      <w:r w:rsidR="003A07F5">
        <w:rPr>
          <w:rStyle w:val="FootnoteReference"/>
          <w:b/>
          <w:bCs/>
          <w:i/>
          <w:iCs/>
          <w:color w:val="4F81BD" w:themeColor="accent1"/>
          <w:sz w:val="22"/>
          <w:szCs w:val="22"/>
        </w:rPr>
        <w:footnoteReference w:id="74"/>
      </w:r>
    </w:p>
    <w:p w14:paraId="1EA4A269" w14:textId="144ED97C" w:rsidR="0003280D" w:rsidRDefault="00A5004F" w:rsidP="0003280D">
      <w:pPr>
        <w:pStyle w:val="Heading3"/>
      </w:pPr>
      <w:bookmarkStart w:id="136" w:name="_Toc382313831"/>
      <w:r>
        <w:t>S</w:t>
      </w:r>
      <w:r w:rsidR="0003280D" w:rsidRPr="00F06A20">
        <w:t>afety</w:t>
      </w:r>
      <w:r w:rsidR="0003280D">
        <w:t xml:space="preserve"> </w:t>
      </w:r>
      <w:r w:rsidR="0003280D" w:rsidRPr="00F06A20">
        <w:t xml:space="preserve">of </w:t>
      </w:r>
      <w:r w:rsidR="0003280D">
        <w:t>clinical interventions</w:t>
      </w:r>
      <w:bookmarkEnd w:id="136"/>
    </w:p>
    <w:p w14:paraId="2CF75FE0" w14:textId="00A96F9A" w:rsidR="00292432" w:rsidRDefault="00292432" w:rsidP="0003280D">
      <w:pPr>
        <w:pStyle w:val="AspexBodyStandard"/>
      </w:pPr>
      <w:r>
        <w:lastRenderedPageBreak/>
        <w:t xml:space="preserve">Evidence for the safety of specialist knowledge and skills was a specific area of focus for the Australian Medical Council in assessing whether or not to recommend recognition of </w:t>
      </w:r>
      <w:r w:rsidR="002A2727">
        <w:t>palliative medicine</w:t>
      </w:r>
      <w:r w:rsidR="002F6DB3">
        <w:t>.  It</w:t>
      </w:r>
      <w:r>
        <w:t xml:space="preserve"> determined that:</w:t>
      </w:r>
    </w:p>
    <w:p w14:paraId="2925E407" w14:textId="49C666A1" w:rsidR="00292432" w:rsidRPr="00292432" w:rsidRDefault="00292432" w:rsidP="00292432">
      <w:pPr>
        <w:pStyle w:val="AspexHighlightText"/>
        <w:spacing w:before="240"/>
        <w:rPr>
          <w:rStyle w:val="IntenseEmphasis"/>
        </w:rPr>
      </w:pPr>
      <w:r w:rsidRPr="00292432">
        <w:rPr>
          <w:rStyle w:val="IntenseEmphasis"/>
        </w:rPr>
        <w:t>“Palliative medicine specialists are uniquely skilled in a medical workforce generally unskilled at safely negotiating the difficult transition from active treatment to palliative care. It is arguable that the core of safe practice is the acknowledgement and coordination of other related services, combined with skilful and safe judgements about the appropriateness of more investigation or aggressive therapy</w:t>
      </w:r>
      <w:r w:rsidR="002F6DB3">
        <w:rPr>
          <w:rStyle w:val="IntenseEmphasis"/>
        </w:rPr>
        <w:t>.”</w:t>
      </w:r>
      <w:r w:rsidRPr="00292432">
        <w:rPr>
          <w:rStyle w:val="IntenseEmphasis"/>
        </w:rPr>
        <w:t xml:space="preserve"> (p.26)</w:t>
      </w:r>
    </w:p>
    <w:p w14:paraId="2DA9973E" w14:textId="6D3656AE" w:rsidR="007713B2" w:rsidRDefault="007713B2" w:rsidP="0003280D">
      <w:pPr>
        <w:pStyle w:val="AspexBodyStandard"/>
      </w:pPr>
      <w:r>
        <w:t xml:space="preserve">Given the unique combination of skills offered by palliative medicine specialists, a specific summary of all possible interventions (as might otherwise be applied by a wide range of other medical specialists) is beyond the scope of the current report.  However, it is acknowledged that systematic analysis of the specific safety associated with delivery of these interventions by palliative specialists (compared with delivery by other specialist groups) is lacking in the research literature.  Notwithstanding, anecdotal examples of where </w:t>
      </w:r>
      <w:r w:rsidR="002A2727">
        <w:t>palliative medicine</w:t>
      </w:r>
      <w:r>
        <w:t xml:space="preserve"> can offer safer outcomes (pending further specialty specific research) include, but are not limited to:</w:t>
      </w:r>
    </w:p>
    <w:p w14:paraId="5E1BEFED" w14:textId="77777777" w:rsidR="007713B2" w:rsidRDefault="007713B2" w:rsidP="007713B2">
      <w:pPr>
        <w:pStyle w:val="AspexBullet1"/>
      </w:pPr>
      <w:r>
        <w:t>Avoidable hospitalisations or investigations;</w:t>
      </w:r>
    </w:p>
    <w:p w14:paraId="70D03F18" w14:textId="77777777" w:rsidR="007713B2" w:rsidRDefault="007713B2" w:rsidP="007713B2">
      <w:pPr>
        <w:pStyle w:val="AspexBullet1"/>
      </w:pPr>
      <w:r>
        <w:t>Prevention of pharmaceutical toxicity;</w:t>
      </w:r>
    </w:p>
    <w:p w14:paraId="0011806C" w14:textId="77777777" w:rsidR="007713B2" w:rsidRDefault="007713B2" w:rsidP="007713B2">
      <w:pPr>
        <w:pStyle w:val="AspexBullet1"/>
      </w:pPr>
      <w:r>
        <w:t>Management of pharmaceutical interactions;</w:t>
      </w:r>
    </w:p>
    <w:p w14:paraId="3A7856B9" w14:textId="77777777" w:rsidR="007713B2" w:rsidRDefault="007713B2" w:rsidP="007713B2">
      <w:pPr>
        <w:pStyle w:val="AspexBullet1"/>
      </w:pPr>
      <w:r>
        <w:t>Early identification and management of spinal cord compression and/or other acute onset events secondary to systemic neoplastic disease;</w:t>
      </w:r>
    </w:p>
    <w:p w14:paraId="35A3C67C" w14:textId="77777777" w:rsidR="007713B2" w:rsidRDefault="007713B2" w:rsidP="007713B2">
      <w:pPr>
        <w:pStyle w:val="AspexBullet1"/>
      </w:pPr>
      <w:r>
        <w:t>Management of severe psychological distress;</w:t>
      </w:r>
    </w:p>
    <w:p w14:paraId="67024AE7" w14:textId="77777777" w:rsidR="007713B2" w:rsidRDefault="007713B2" w:rsidP="007713B2">
      <w:pPr>
        <w:pStyle w:val="AspexBullet1"/>
      </w:pPr>
      <w:r>
        <w:t>Management of pain;</w:t>
      </w:r>
    </w:p>
    <w:p w14:paraId="5E00612C" w14:textId="77777777" w:rsidR="007713B2" w:rsidRDefault="007713B2" w:rsidP="007713B2">
      <w:pPr>
        <w:pStyle w:val="AspexBullet1"/>
      </w:pPr>
      <w:r>
        <w:t>Management of patient agitation; and</w:t>
      </w:r>
    </w:p>
    <w:p w14:paraId="4F9CCC58" w14:textId="77777777" w:rsidR="007713B2" w:rsidRDefault="007713B2" w:rsidP="007713B2">
      <w:pPr>
        <w:pStyle w:val="AspexBullet1"/>
      </w:pPr>
      <w:r>
        <w:t>Management of dyspnoea.</w:t>
      </w:r>
    </w:p>
    <w:p w14:paraId="4D58335F" w14:textId="75410BCA" w:rsidR="0003280D" w:rsidRPr="004C2B36" w:rsidRDefault="0003280D" w:rsidP="00D606FC">
      <w:pPr>
        <w:pStyle w:val="AspexBullet1"/>
        <w:numPr>
          <w:ilvl w:val="0"/>
          <w:numId w:val="0"/>
        </w:numPr>
        <w:spacing w:before="240" w:after="240"/>
        <w:ind w:left="284" w:right="425" w:firstLine="62"/>
        <w:jc w:val="center"/>
        <w:rPr>
          <w:rFonts w:ascii="Arial Narrow" w:hAnsi="Arial Narrow"/>
          <w:i/>
          <w:color w:val="A6A6A6" w:themeColor="background1" w:themeShade="A6"/>
          <w:szCs w:val="22"/>
          <w:lang w:eastAsia="en-AU"/>
        </w:rPr>
      </w:pPr>
      <w:r w:rsidRPr="003A07F5">
        <w:rPr>
          <w:rFonts w:ascii="Arial Narrow" w:hAnsi="Arial Narrow"/>
          <w:i/>
          <w:color w:val="A6A6A6" w:themeColor="background1" w:themeShade="A6"/>
          <w:szCs w:val="22"/>
          <w:lang w:eastAsia="en-AU"/>
        </w:rPr>
        <w:t>“</w:t>
      </w:r>
      <w:r w:rsidRPr="004C2B36">
        <w:rPr>
          <w:rFonts w:ascii="Arial Narrow" w:hAnsi="Arial Narrow"/>
          <w:i/>
          <w:color w:val="A6A6A6" w:themeColor="background1" w:themeShade="A6"/>
          <w:szCs w:val="22"/>
          <w:lang w:eastAsia="en-AU"/>
        </w:rPr>
        <w:t xml:space="preserve">The use of opioids and other drugs are restricted but are available to palliative care specialists – there is however a reluctance to have these drugs more widely available even within </w:t>
      </w:r>
      <w:r w:rsidR="006D3B0C">
        <w:rPr>
          <w:rFonts w:ascii="Arial Narrow" w:hAnsi="Arial Narrow"/>
          <w:i/>
          <w:color w:val="A6A6A6" w:themeColor="background1" w:themeShade="A6"/>
          <w:szCs w:val="22"/>
          <w:lang w:eastAsia="en-AU"/>
        </w:rPr>
        <w:t xml:space="preserve">a </w:t>
      </w:r>
      <w:r w:rsidRPr="004C2B36">
        <w:rPr>
          <w:rFonts w:ascii="Arial Narrow" w:hAnsi="Arial Narrow"/>
          <w:i/>
          <w:color w:val="A6A6A6" w:themeColor="background1" w:themeShade="A6"/>
          <w:szCs w:val="22"/>
          <w:lang w:eastAsia="en-AU"/>
        </w:rPr>
        <w:t>hospital setting.”</w:t>
      </w:r>
    </w:p>
    <w:p w14:paraId="4BB79076" w14:textId="5B6E330D" w:rsidR="0003280D" w:rsidRPr="004C2B36" w:rsidRDefault="0003280D" w:rsidP="0003280D">
      <w:pPr>
        <w:pStyle w:val="AspexBullet1"/>
        <w:numPr>
          <w:ilvl w:val="0"/>
          <w:numId w:val="0"/>
        </w:numPr>
        <w:ind w:left="284" w:right="425" w:firstLine="62"/>
        <w:jc w:val="center"/>
        <w:rPr>
          <w:rFonts w:ascii="Arial Narrow" w:hAnsi="Arial Narrow"/>
          <w:i/>
          <w:color w:val="A6A6A6" w:themeColor="background1" w:themeShade="A6"/>
          <w:szCs w:val="22"/>
          <w:lang w:eastAsia="en-AU"/>
        </w:rPr>
      </w:pPr>
      <w:r w:rsidRPr="004C2B36">
        <w:rPr>
          <w:rFonts w:ascii="Arial Narrow" w:hAnsi="Arial Narrow"/>
          <w:i/>
          <w:color w:val="A6A6A6" w:themeColor="background1" w:themeShade="A6"/>
          <w:szCs w:val="22"/>
          <w:lang w:eastAsia="en-AU"/>
        </w:rPr>
        <w:t xml:space="preserve"> “Palliative care specialists have greater comfort in dealing with the drugs associated with this type of care - including opioids because they are more familiar with them</w:t>
      </w:r>
      <w:r w:rsidR="006D3B0C">
        <w:rPr>
          <w:rFonts w:ascii="Arial Narrow" w:hAnsi="Arial Narrow"/>
          <w:i/>
          <w:color w:val="A6A6A6" w:themeColor="background1" w:themeShade="A6"/>
          <w:szCs w:val="22"/>
          <w:lang w:eastAsia="en-AU"/>
        </w:rPr>
        <w:t>.</w:t>
      </w:r>
      <w:r w:rsidRPr="004C2B36">
        <w:rPr>
          <w:rFonts w:ascii="Arial Narrow" w:hAnsi="Arial Narrow"/>
          <w:i/>
          <w:color w:val="A6A6A6" w:themeColor="background1" w:themeShade="A6"/>
          <w:szCs w:val="22"/>
          <w:lang w:eastAsia="en-AU"/>
        </w:rPr>
        <w:t>”</w:t>
      </w:r>
    </w:p>
    <w:p w14:paraId="5C2DED9C" w14:textId="77777777" w:rsidR="0003280D" w:rsidRPr="001A29D3" w:rsidRDefault="007713B2" w:rsidP="0003280D">
      <w:pPr>
        <w:pStyle w:val="AspexBullet1"/>
        <w:numPr>
          <w:ilvl w:val="0"/>
          <w:numId w:val="0"/>
        </w:numPr>
        <w:ind w:left="284" w:right="425" w:firstLine="62"/>
        <w:jc w:val="center"/>
        <w:rPr>
          <w:rFonts w:ascii="Arial Narrow" w:hAnsi="Arial Narrow"/>
          <w:i/>
          <w:color w:val="A6A6A6" w:themeColor="background1" w:themeShade="A6"/>
          <w:szCs w:val="22"/>
          <w:lang w:eastAsia="en-AU"/>
        </w:rPr>
      </w:pPr>
      <w:r w:rsidRPr="004C2B36">
        <w:rPr>
          <w:rFonts w:ascii="Arial Narrow" w:hAnsi="Arial Narrow"/>
          <w:i/>
          <w:color w:val="A6A6A6" w:themeColor="background1" w:themeShade="A6"/>
          <w:szCs w:val="22"/>
          <w:lang w:eastAsia="en-AU"/>
        </w:rPr>
        <w:t xml:space="preserve"> </w:t>
      </w:r>
      <w:r w:rsidR="0003280D" w:rsidRPr="004C2B36">
        <w:rPr>
          <w:rFonts w:ascii="Arial Narrow" w:hAnsi="Arial Narrow"/>
          <w:i/>
          <w:color w:val="A6A6A6" w:themeColor="background1" w:themeShade="A6"/>
          <w:szCs w:val="22"/>
          <w:lang w:eastAsia="en-AU"/>
        </w:rPr>
        <w:t>“The other point of difference is that palliative care specialists are better at symptom management, particularly pain management.”</w:t>
      </w:r>
      <w:r w:rsidR="0003280D" w:rsidRPr="001A29D3">
        <w:rPr>
          <w:rFonts w:ascii="Arial Narrow" w:hAnsi="Arial Narrow"/>
          <w:i/>
          <w:color w:val="A6A6A6" w:themeColor="background1" w:themeShade="A6"/>
          <w:szCs w:val="22"/>
          <w:lang w:eastAsia="en-AU"/>
        </w:rPr>
        <w:t xml:space="preserve"> </w:t>
      </w:r>
    </w:p>
    <w:p w14:paraId="69016557" w14:textId="0E59E01E" w:rsidR="001A29D3" w:rsidRPr="001A29D3" w:rsidRDefault="001A29D3" w:rsidP="001A29D3">
      <w:pPr>
        <w:pStyle w:val="Heading3"/>
      </w:pPr>
      <w:bookmarkStart w:id="137" w:name="_Toc382313832"/>
      <w:r>
        <w:t xml:space="preserve">Effectiveness of </w:t>
      </w:r>
      <w:r w:rsidR="00012AF6">
        <w:t>c</w:t>
      </w:r>
      <w:r>
        <w:t>linical interventions</w:t>
      </w:r>
      <w:bookmarkEnd w:id="137"/>
    </w:p>
    <w:p w14:paraId="7599BB7B" w14:textId="63B077AA" w:rsidR="0003280D" w:rsidRDefault="003A07F5" w:rsidP="00092A3B">
      <w:pPr>
        <w:pStyle w:val="AspexBodyStandard"/>
      </w:pPr>
      <w:r>
        <w:t xml:space="preserve">Given the multidisciplinary nature of </w:t>
      </w:r>
      <w:r w:rsidR="002A2727">
        <w:t>palliative medicine</w:t>
      </w:r>
      <w:r>
        <w:t xml:space="preserve">, studies on the effectiveness of specialist medical interventions as a specific component of </w:t>
      </w:r>
      <w:r w:rsidR="005D19EE">
        <w:t>service delivery</w:t>
      </w:r>
      <w:r>
        <w:t xml:space="preserve"> have not been </w:t>
      </w:r>
      <w:r w:rsidR="005D19EE">
        <w:t xml:space="preserve">readily </w:t>
      </w:r>
      <w:r>
        <w:t xml:space="preserve">identified in the published literature. This dilemma is experienced by any medical specialty that is trained to function and co-ordinate a multidisciplinary approach to patient care (e.g., geriatric medicine, pain medicine, sports medicine, rehabilitation medicine, respiratory medicine, paediatric medicine etc…).  Thus, studies that attempt to ‘partial out’ the specific treatment components of </w:t>
      </w:r>
      <w:r w:rsidR="005D19EE">
        <w:t xml:space="preserve">specialist </w:t>
      </w:r>
      <w:r>
        <w:t xml:space="preserve">medical involvement are rarely published.  Moreover, in a medical (compared with surgical or other procedural) context, individual specialist skills frequently relate to the capacity to undertake a comprehensive and </w:t>
      </w:r>
      <w:r>
        <w:lastRenderedPageBreak/>
        <w:t xml:space="preserve">appropriate </w:t>
      </w:r>
      <w:r w:rsidR="00742024">
        <w:t xml:space="preserve">clinical assessment, together with a range of appropriate diagnostic investigations, </w:t>
      </w:r>
      <w:proofErr w:type="spellStart"/>
      <w:r w:rsidR="00742024">
        <w:t>pharmaco</w:t>
      </w:r>
      <w:proofErr w:type="spellEnd"/>
      <w:r w:rsidR="00742024">
        <w:t xml:space="preserve">-therapeutic and educational interventions. As previously outlined, it is the combination of these clinical skills that underlies the basis of any specialty in addressing the particular needs of their patient cohort.  The efficacy of individual elements of patient assessment, diagnostic investigation, pharmacotherapy or educational interventions is therefore common across most specialties rather than unique to any given </w:t>
      </w:r>
      <w:r w:rsidR="00722901">
        <w:t xml:space="preserve">craft </w:t>
      </w:r>
      <w:r w:rsidR="00742024">
        <w:t>group. This is in direct contrast to the introduction of any new procedural intervention, which is commonly performed by a given specialty area.  Where multiple specialties may apply the same procedural intervention, again, research rarely focuses upon the efficacy of delivery by one</w:t>
      </w:r>
      <w:r w:rsidR="00722901">
        <w:t xml:space="preserve"> craft</w:t>
      </w:r>
      <w:r w:rsidR="00742024">
        <w:t xml:space="preserve"> group compared with another.</w:t>
      </w:r>
    </w:p>
    <w:p w14:paraId="25BA47B6" w14:textId="77777777" w:rsidR="0003280D" w:rsidRDefault="00742024" w:rsidP="00092A3B">
      <w:pPr>
        <w:pStyle w:val="AspexBodyStandard"/>
      </w:pPr>
      <w:r>
        <w:t>Thus, reviews have focused upon the effectiveness of palliative care, rather than palliative medicine per se.  Where the involvement of medical professionals has occurred – studies rarely specify the level of medical specialty, nor seek to determine the specific impact of medical intervention as a component of multidisciplinary care.  The following overview of literature on the effectiveness must be interpreted in this context.</w:t>
      </w:r>
    </w:p>
    <w:p w14:paraId="765DC57D" w14:textId="5BA8D4C3" w:rsidR="00092A3B" w:rsidRDefault="00092A3B" w:rsidP="00092A3B">
      <w:pPr>
        <w:pStyle w:val="AspexBodyStandard"/>
      </w:pPr>
      <w:r>
        <w:t>A</w:t>
      </w:r>
      <w:r w:rsidRPr="00C87E5F">
        <w:t xml:space="preserve"> systematic review of published research on outcomes of palliative care, when compared to conventional care, </w:t>
      </w:r>
      <w:r w:rsidR="00454F5B">
        <w:t xml:space="preserve">shows that it </w:t>
      </w:r>
      <w:r w:rsidRPr="00C87E5F">
        <w:t xml:space="preserve">provides improved satisfaction to both patients and their </w:t>
      </w:r>
      <w:proofErr w:type="spellStart"/>
      <w:r w:rsidRPr="00C87E5F">
        <w:t>carers</w:t>
      </w:r>
      <w:proofErr w:type="spellEnd"/>
      <w:r w:rsidRPr="00C87E5F">
        <w:t>, is better able to deal with family needs and provides better pain control and symptom management.</w:t>
      </w:r>
      <w:r w:rsidRPr="00C87E5F">
        <w:rPr>
          <w:rStyle w:val="FootnoteReference"/>
        </w:rPr>
        <w:footnoteReference w:id="75"/>
      </w:r>
      <w:r w:rsidRPr="00C87E5F">
        <w:t xml:space="preserve">  The findings also indicate that it reduces the overall cost of care to the system by reducing the quantum of time spent in hospital settings.</w:t>
      </w:r>
    </w:p>
    <w:p w14:paraId="066E4B58" w14:textId="77777777" w:rsidR="00092A3B" w:rsidRDefault="00092A3B" w:rsidP="00092A3B">
      <w:pPr>
        <w:pStyle w:val="AspexBullet1"/>
        <w:numPr>
          <w:ilvl w:val="0"/>
          <w:numId w:val="0"/>
        </w:numPr>
        <w:spacing w:before="240" w:after="240"/>
        <w:ind w:left="284" w:right="425" w:firstLine="62"/>
        <w:jc w:val="center"/>
        <w:rPr>
          <w:rFonts w:ascii="Arial Narrow" w:hAnsi="Arial Narrow"/>
          <w:i/>
          <w:color w:val="A6A6A6" w:themeColor="background1" w:themeShade="A6"/>
          <w:szCs w:val="22"/>
          <w:lang w:eastAsia="en-AU"/>
        </w:rPr>
      </w:pPr>
      <w:r w:rsidRPr="004829D8">
        <w:rPr>
          <w:rFonts w:ascii="Arial Narrow" w:hAnsi="Arial Narrow"/>
          <w:i/>
          <w:color w:val="A6A6A6" w:themeColor="background1" w:themeShade="A6"/>
          <w:szCs w:val="22"/>
          <w:lang w:eastAsia="en-AU"/>
        </w:rPr>
        <w:t>“The role of the palliative care specialist is to examine and determine the likely trajectory and communicate this to the patient and family. It includes symptom management as well as the management of what may be new problems that emerge as part of the development of the case and arrange for appropriate medical care including diagnostics.  In some cases, it involves following up from community palliative care and symptom management.”</w:t>
      </w:r>
    </w:p>
    <w:p w14:paraId="504D170E" w14:textId="77777777" w:rsidR="00092A3B" w:rsidRPr="004829D8" w:rsidRDefault="00092A3B" w:rsidP="00092A3B">
      <w:pPr>
        <w:pStyle w:val="AspexBodyStandard"/>
        <w:ind w:left="346" w:right="425"/>
        <w:jc w:val="center"/>
        <w:rPr>
          <w:rFonts w:ascii="Arial Narrow" w:hAnsi="Arial Narrow"/>
          <w:i/>
          <w:color w:val="A6A6A6" w:themeColor="background1" w:themeShade="A6"/>
          <w:szCs w:val="22"/>
          <w:lang w:eastAsia="en-AU"/>
        </w:rPr>
      </w:pPr>
      <w:r w:rsidRPr="004829D8">
        <w:rPr>
          <w:rFonts w:ascii="Arial Narrow" w:hAnsi="Arial Narrow"/>
          <w:i/>
          <w:color w:val="A6A6A6" w:themeColor="background1" w:themeShade="A6"/>
          <w:szCs w:val="22"/>
          <w:lang w:eastAsia="en-AU"/>
        </w:rPr>
        <w:t>“Care path and interventions involve a holistic approach that includes psychosocial, spiritual care and advanced care planning which includes liaison with families.”</w:t>
      </w:r>
    </w:p>
    <w:p w14:paraId="387A54BF" w14:textId="77777777" w:rsidR="00092A3B" w:rsidRPr="001B17BA" w:rsidRDefault="00092A3B" w:rsidP="00092A3B">
      <w:pPr>
        <w:pStyle w:val="AspexBodyStandard"/>
        <w:ind w:left="346" w:right="425"/>
        <w:jc w:val="center"/>
        <w:rPr>
          <w:rFonts w:ascii="Arial Narrow" w:hAnsi="Arial Narrow"/>
          <w:i/>
          <w:color w:val="A6A6A6" w:themeColor="background1" w:themeShade="A6"/>
          <w:szCs w:val="22"/>
          <w:lang w:eastAsia="en-AU"/>
        </w:rPr>
      </w:pPr>
      <w:r w:rsidRPr="001B17BA">
        <w:rPr>
          <w:rFonts w:ascii="Arial Narrow" w:hAnsi="Arial Narrow"/>
          <w:i/>
          <w:color w:val="A6A6A6" w:themeColor="background1" w:themeShade="A6"/>
          <w:szCs w:val="22"/>
          <w:lang w:eastAsia="en-AU"/>
        </w:rPr>
        <w:t>“We have a much stronger focus of ‘patient centred care’ and are far more conscious of the co</w:t>
      </w:r>
      <w:r>
        <w:rPr>
          <w:rFonts w:ascii="Arial Narrow" w:hAnsi="Arial Narrow"/>
          <w:i/>
          <w:color w:val="A6A6A6" w:themeColor="background1" w:themeShade="A6"/>
          <w:szCs w:val="22"/>
          <w:lang w:eastAsia="en-AU"/>
        </w:rPr>
        <w:t>ntext of family connectedness.</w:t>
      </w:r>
      <w:r w:rsidRPr="001B17BA">
        <w:rPr>
          <w:rFonts w:ascii="Arial Narrow" w:hAnsi="Arial Narrow"/>
          <w:i/>
          <w:color w:val="A6A6A6" w:themeColor="background1" w:themeShade="A6"/>
          <w:szCs w:val="22"/>
          <w:lang w:eastAsia="en-AU"/>
        </w:rPr>
        <w:t>”</w:t>
      </w:r>
    </w:p>
    <w:p w14:paraId="4811E300" w14:textId="238ECC53" w:rsidR="00257B86" w:rsidRDefault="00257B86" w:rsidP="00257B86">
      <w:pPr>
        <w:pStyle w:val="AspexBodyStandard"/>
      </w:pPr>
      <w:r w:rsidRPr="000B1D62">
        <w:t xml:space="preserve">Studies of </w:t>
      </w:r>
      <w:r>
        <w:t>Palliative Care effectiveness often focus on patient outcomes and cost.</w:t>
      </w:r>
      <w:r w:rsidR="00742024">
        <w:t xml:space="preserve"> Accordingly</w:t>
      </w:r>
      <w:r w:rsidR="00454F5B">
        <w:t>,</w:t>
      </w:r>
      <w:r w:rsidR="00742024">
        <w:t xml:space="preserve"> e</w:t>
      </w:r>
      <w:r>
        <w:t xml:space="preserve">xamples of improved patient outcomes </w:t>
      </w:r>
      <w:r w:rsidR="00742024">
        <w:t xml:space="preserve">have </w:t>
      </w:r>
      <w:r>
        <w:t>include</w:t>
      </w:r>
      <w:r w:rsidR="00742024">
        <w:t>d</w:t>
      </w:r>
      <w:r>
        <w:t>:</w:t>
      </w:r>
    </w:p>
    <w:p w14:paraId="713E5901" w14:textId="50759495" w:rsidR="00C3179E" w:rsidRPr="00D40818" w:rsidRDefault="00742024" w:rsidP="00C3179E">
      <w:pPr>
        <w:pStyle w:val="AspexBullet1"/>
        <w:tabs>
          <w:tab w:val="clear" w:pos="1060"/>
          <w:tab w:val="left" w:pos="426"/>
        </w:tabs>
        <w:ind w:left="426" w:hanging="426"/>
      </w:pPr>
      <w:r>
        <w:t>A</w:t>
      </w:r>
      <w:r w:rsidR="00C3179E" w:rsidRPr="00D40818">
        <w:t xml:space="preserve"> meta-analysis of 18 studies</w:t>
      </w:r>
      <w:r w:rsidR="00454F5B">
        <w:t>:</w:t>
      </w:r>
      <w:r w:rsidR="00C3179E" w:rsidRPr="00D40818">
        <w:t xml:space="preserve"> specialist care provided by a multidisciplinary Palliative Care team resulted in improved outcomes such as the amount of time spent at home by patients, satisfaction in both patients and their </w:t>
      </w:r>
      <w:proofErr w:type="spellStart"/>
      <w:r w:rsidR="00C3179E" w:rsidRPr="00D40818">
        <w:t>carers</w:t>
      </w:r>
      <w:proofErr w:type="spellEnd"/>
      <w:r w:rsidR="00C3179E" w:rsidRPr="00D40818">
        <w:t>, symptom control, a reduction in the number of inpatient hospital days, a reduction in overall cost, and the patients' likelihood of dying where they wished to (Level I evidence)</w:t>
      </w:r>
      <w:r w:rsidR="00C3179E">
        <w:t>.</w:t>
      </w:r>
      <w:r w:rsidR="00C3179E" w:rsidRPr="00D40818">
        <w:rPr>
          <w:vertAlign w:val="superscript"/>
        </w:rPr>
        <w:footnoteReference w:id="76"/>
      </w:r>
    </w:p>
    <w:p w14:paraId="7FE96BAD" w14:textId="379F654B" w:rsidR="00C3179E" w:rsidRPr="00D40818" w:rsidRDefault="00742024" w:rsidP="00C3179E">
      <w:pPr>
        <w:pStyle w:val="AspexBullet1"/>
        <w:tabs>
          <w:tab w:val="clear" w:pos="1060"/>
          <w:tab w:val="left" w:pos="426"/>
        </w:tabs>
        <w:ind w:left="426" w:hanging="426"/>
      </w:pPr>
      <w:r>
        <w:t>A</w:t>
      </w:r>
      <w:r w:rsidR="00C3179E" w:rsidRPr="00D40818">
        <w:t xml:space="preserve"> study of multiple sclerosis</w:t>
      </w:r>
      <w:r w:rsidR="00454F5B">
        <w:t>:</w:t>
      </w:r>
      <w:r w:rsidR="00C3179E" w:rsidRPr="00D40818">
        <w:t xml:space="preserve"> Palliative Care services resulted</w:t>
      </w:r>
      <w:r w:rsidR="005D6B90">
        <w:t xml:space="preserve"> in</w:t>
      </w:r>
      <w:r w:rsidR="00C3179E" w:rsidRPr="00D40818">
        <w:t xml:space="preserve"> significant improvement in caregivers’ burden (Level II evidence)</w:t>
      </w:r>
      <w:r w:rsidR="00C3179E">
        <w:t>;</w:t>
      </w:r>
      <w:r w:rsidR="00C3179E" w:rsidRPr="00D40818">
        <w:rPr>
          <w:vertAlign w:val="superscript"/>
        </w:rPr>
        <w:footnoteReference w:id="77"/>
      </w:r>
      <w:r w:rsidR="00C3179E">
        <w:t xml:space="preserve"> </w:t>
      </w:r>
      <w:r w:rsidR="00C3179E" w:rsidRPr="00D40818">
        <w:t>and</w:t>
      </w:r>
    </w:p>
    <w:p w14:paraId="38D4D6D7" w14:textId="4A617326" w:rsidR="00257B86" w:rsidRPr="00D40818" w:rsidRDefault="00742024" w:rsidP="00257B86">
      <w:pPr>
        <w:pStyle w:val="AspexBullet1"/>
        <w:tabs>
          <w:tab w:val="clear" w:pos="1060"/>
          <w:tab w:val="left" w:pos="426"/>
        </w:tabs>
        <w:ind w:left="426" w:hanging="426"/>
      </w:pPr>
      <w:r>
        <w:lastRenderedPageBreak/>
        <w:t>A</w:t>
      </w:r>
      <w:r w:rsidR="00257B86" w:rsidRPr="00D40818">
        <w:t xml:space="preserve"> survey of bereaved families</w:t>
      </w:r>
      <w:r w:rsidR="00454F5B">
        <w:t>:</w:t>
      </w:r>
      <w:r w:rsidR="00257B86" w:rsidRPr="00D40818">
        <w:t xml:space="preserve"> those whose relatives died with home hospice services (in contrast to the other settings of care) reported higher satisfaction, fewer concerns with care, and fewer unmet </w:t>
      </w:r>
      <w:proofErr w:type="gramStart"/>
      <w:r w:rsidR="00257B86" w:rsidRPr="00D40818">
        <w:t>needs</w:t>
      </w:r>
      <w:proofErr w:type="gramEnd"/>
      <w:r w:rsidR="00257B86" w:rsidRPr="00D40818">
        <w:t xml:space="preserve"> (Level IV evidence)</w:t>
      </w:r>
      <w:r w:rsidR="00454F5B">
        <w:t>.</w:t>
      </w:r>
      <w:r w:rsidR="00257B86" w:rsidRPr="00D40818">
        <w:rPr>
          <w:vertAlign w:val="superscript"/>
        </w:rPr>
        <w:footnoteReference w:id="78"/>
      </w:r>
    </w:p>
    <w:p w14:paraId="5842CDD8" w14:textId="77777777" w:rsidR="00257B86" w:rsidRDefault="00257B86" w:rsidP="00257B86">
      <w:pPr>
        <w:pStyle w:val="AspexBodyStandard"/>
      </w:pPr>
      <w:r>
        <w:t>Regarding cost, care at the end of life is known to account for a large proportion of healthcare resources, such as health-care resources</w:t>
      </w:r>
      <w:r>
        <w:rPr>
          <w:rStyle w:val="FootnoteReference"/>
          <w:rFonts w:cs="Arial"/>
          <w:sz w:val="24"/>
        </w:rPr>
        <w:footnoteReference w:id="79"/>
      </w:r>
      <w:r>
        <w:t xml:space="preserve"> or hospital bed days.</w:t>
      </w:r>
      <w:r>
        <w:rPr>
          <w:rStyle w:val="FootnoteReference"/>
          <w:rFonts w:cs="Arial"/>
          <w:sz w:val="24"/>
        </w:rPr>
        <w:footnoteReference w:id="80"/>
      </w:r>
      <w:r>
        <w:t xml:space="preserve">  Systematic reviews of end-of-life literature suggest that Palliative C</w:t>
      </w:r>
      <w:r w:rsidRPr="001B16C7">
        <w:t xml:space="preserve">are is </w:t>
      </w:r>
      <w:r>
        <w:t>usually</w:t>
      </w:r>
      <w:r w:rsidRPr="001B16C7">
        <w:t xml:space="preserve"> significantly less costly relative to comparator groups</w:t>
      </w:r>
      <w:r>
        <w:t xml:space="preserve"> (Level I evidence).</w:t>
      </w:r>
      <w:r>
        <w:rPr>
          <w:rStyle w:val="FootnoteReference"/>
          <w:rFonts w:cs="Arial"/>
          <w:sz w:val="24"/>
        </w:rPr>
        <w:footnoteReference w:id="81"/>
      </w:r>
      <w:r>
        <w:t xml:space="preserve">  More specifically, there is evidence that palliative care administered by a hospice program is less expensive than standard care at the end of life when matched by diagnosis and severity of illness (Level III-2; Level IV evidence).</w:t>
      </w:r>
      <w:r>
        <w:rPr>
          <w:rStyle w:val="FootnoteReference"/>
          <w:rFonts w:cs="Arial"/>
          <w:sz w:val="24"/>
        </w:rPr>
        <w:footnoteReference w:id="82"/>
      </w:r>
      <w:r>
        <w:rPr>
          <w:vertAlign w:val="superscript"/>
        </w:rPr>
        <w:t>,</w:t>
      </w:r>
      <w:r>
        <w:rPr>
          <w:rStyle w:val="FootnoteReference"/>
          <w:rFonts w:cs="Arial"/>
          <w:sz w:val="24"/>
        </w:rPr>
        <w:footnoteReference w:id="83"/>
      </w:r>
      <w:r>
        <w:rPr>
          <w:vertAlign w:val="superscript"/>
        </w:rPr>
        <w:t>,</w:t>
      </w:r>
      <w:r>
        <w:rPr>
          <w:rStyle w:val="FootnoteReference"/>
          <w:rFonts w:cs="Arial"/>
          <w:sz w:val="24"/>
        </w:rPr>
        <w:footnoteReference w:id="84"/>
      </w:r>
      <w:r w:rsidR="005D19EE">
        <w:rPr>
          <w:vertAlign w:val="superscript"/>
        </w:rPr>
        <w:t xml:space="preserve"> </w:t>
      </w:r>
      <w:r w:rsidR="005D19EE">
        <w:t>Combining</w:t>
      </w:r>
      <w:r>
        <w:t xml:space="preserve"> specialist palliative care with standard care in hospital settings also results in cost savings (Level III-3 evidence).</w:t>
      </w:r>
      <w:r>
        <w:rPr>
          <w:rStyle w:val="FootnoteReference"/>
          <w:rFonts w:cs="Arial"/>
          <w:sz w:val="24"/>
        </w:rPr>
        <w:footnoteReference w:id="85"/>
      </w:r>
      <w:r>
        <w:t xml:space="preserve">  Potential reasons for these savings </w:t>
      </w:r>
      <w:r w:rsidR="005D19EE">
        <w:t xml:space="preserve">have been reported to </w:t>
      </w:r>
      <w:r>
        <w:t>include:</w:t>
      </w:r>
    </w:p>
    <w:p w14:paraId="15DFCC36" w14:textId="4A48ABE4" w:rsidR="00257B86" w:rsidRPr="00D40818" w:rsidRDefault="00257B86" w:rsidP="00257B86">
      <w:pPr>
        <w:pStyle w:val="AspexBullet1"/>
        <w:tabs>
          <w:tab w:val="clear" w:pos="1060"/>
          <w:tab w:val="left" w:pos="426"/>
        </w:tabs>
        <w:ind w:left="426" w:hanging="426"/>
        <w:rPr>
          <w:rFonts w:cs="Arial"/>
          <w:szCs w:val="22"/>
        </w:rPr>
      </w:pPr>
      <w:r w:rsidRPr="00D40818">
        <w:rPr>
          <w:rFonts w:cs="Arial"/>
          <w:szCs w:val="22"/>
        </w:rPr>
        <w:t>Provision of Palliative Care out of hospital</w:t>
      </w:r>
      <w:r w:rsidR="00454F5B">
        <w:rPr>
          <w:rFonts w:cs="Arial"/>
          <w:szCs w:val="22"/>
        </w:rPr>
        <w:t>,</w:t>
      </w:r>
      <w:r w:rsidRPr="00D40818">
        <w:rPr>
          <w:rFonts w:cs="Arial"/>
          <w:szCs w:val="22"/>
        </w:rPr>
        <w:t xml:space="preserve"> </w:t>
      </w:r>
      <w:r w:rsidR="005D19EE">
        <w:rPr>
          <w:rFonts w:cs="Arial"/>
          <w:szCs w:val="22"/>
        </w:rPr>
        <w:t>avoiding</w:t>
      </w:r>
      <w:r w:rsidRPr="00D40818">
        <w:rPr>
          <w:rFonts w:cs="Arial"/>
          <w:szCs w:val="22"/>
        </w:rPr>
        <w:t xml:space="preserve"> more expensive hospitalisation</w:t>
      </w:r>
      <w:r>
        <w:rPr>
          <w:rFonts w:cs="Arial"/>
          <w:szCs w:val="22"/>
        </w:rPr>
        <w:t>;</w:t>
      </w:r>
      <w:r w:rsidRPr="00D40818">
        <w:rPr>
          <w:rStyle w:val="FootnoteReference"/>
          <w:rFonts w:cs="Arial"/>
          <w:szCs w:val="22"/>
        </w:rPr>
        <w:footnoteReference w:id="86"/>
      </w:r>
    </w:p>
    <w:p w14:paraId="45A9E6F1" w14:textId="7A41C16E" w:rsidR="00257B86" w:rsidRPr="00D40818" w:rsidRDefault="005D19EE" w:rsidP="00257B86">
      <w:pPr>
        <w:pStyle w:val="AspexBullet1"/>
        <w:tabs>
          <w:tab w:val="clear" w:pos="1060"/>
          <w:tab w:val="left" w:pos="426"/>
        </w:tabs>
        <w:ind w:left="426" w:hanging="426"/>
        <w:rPr>
          <w:rFonts w:cs="Arial"/>
          <w:szCs w:val="22"/>
        </w:rPr>
      </w:pPr>
      <w:r>
        <w:rPr>
          <w:rFonts w:cs="Arial"/>
          <w:szCs w:val="22"/>
        </w:rPr>
        <w:t>The tailoring of care</w:t>
      </w:r>
      <w:r w:rsidR="00257B86" w:rsidRPr="00D40818">
        <w:rPr>
          <w:rFonts w:cs="Arial"/>
          <w:szCs w:val="22"/>
        </w:rPr>
        <w:t xml:space="preserve"> to the patient’s </w:t>
      </w:r>
      <w:r>
        <w:rPr>
          <w:rFonts w:cs="Arial"/>
          <w:szCs w:val="22"/>
        </w:rPr>
        <w:t>personal</w:t>
      </w:r>
      <w:r w:rsidR="00257B86" w:rsidRPr="00D40818">
        <w:rPr>
          <w:rFonts w:cs="Arial"/>
          <w:szCs w:val="22"/>
        </w:rPr>
        <w:t xml:space="preserve"> goals</w:t>
      </w:r>
      <w:r w:rsidR="00454F5B">
        <w:rPr>
          <w:rFonts w:cs="Arial"/>
          <w:szCs w:val="22"/>
        </w:rPr>
        <w:t>,</w:t>
      </w:r>
      <w:r w:rsidR="00257B86" w:rsidRPr="00D40818">
        <w:rPr>
          <w:rFonts w:cs="Arial"/>
          <w:szCs w:val="22"/>
        </w:rPr>
        <w:t xml:space="preserve"> which </w:t>
      </w:r>
      <w:r>
        <w:rPr>
          <w:rFonts w:cs="Arial"/>
          <w:szCs w:val="22"/>
        </w:rPr>
        <w:t xml:space="preserve">are used to </w:t>
      </w:r>
      <w:r w:rsidR="00257B86" w:rsidRPr="00D40818">
        <w:rPr>
          <w:rFonts w:cs="Arial"/>
          <w:szCs w:val="22"/>
        </w:rPr>
        <w:t>guide decision-making, with inappropriate medications and investigations ceased</w:t>
      </w:r>
      <w:r w:rsidR="00257B86">
        <w:rPr>
          <w:rFonts w:cs="Arial"/>
          <w:szCs w:val="22"/>
        </w:rPr>
        <w:t>;</w:t>
      </w:r>
      <w:r w:rsidR="00257B86" w:rsidRPr="00D40818">
        <w:rPr>
          <w:rStyle w:val="FootnoteReference"/>
          <w:rFonts w:cs="Arial"/>
          <w:szCs w:val="22"/>
        </w:rPr>
        <w:footnoteReference w:id="87"/>
      </w:r>
      <w:r w:rsidR="00257B86">
        <w:rPr>
          <w:rFonts w:cs="Arial"/>
          <w:szCs w:val="22"/>
          <w:vertAlign w:val="superscript"/>
        </w:rPr>
        <w:t>,</w:t>
      </w:r>
      <w:r w:rsidR="00257B86" w:rsidRPr="00D40818">
        <w:rPr>
          <w:rStyle w:val="FootnoteReference"/>
          <w:rFonts w:cs="Arial"/>
          <w:szCs w:val="22"/>
        </w:rPr>
        <w:footnoteReference w:id="88"/>
      </w:r>
      <w:r w:rsidR="00257B86">
        <w:rPr>
          <w:rFonts w:cs="Arial"/>
          <w:szCs w:val="22"/>
        </w:rPr>
        <w:t xml:space="preserve"> </w:t>
      </w:r>
      <w:r w:rsidR="00257B86" w:rsidRPr="00D40818">
        <w:rPr>
          <w:rFonts w:cs="Arial"/>
          <w:szCs w:val="22"/>
        </w:rPr>
        <w:t>and</w:t>
      </w:r>
    </w:p>
    <w:p w14:paraId="220D95A7" w14:textId="77777777" w:rsidR="00257B86" w:rsidRDefault="005D19EE" w:rsidP="00257B86">
      <w:pPr>
        <w:pStyle w:val="AspexBullet1"/>
        <w:tabs>
          <w:tab w:val="clear" w:pos="1060"/>
          <w:tab w:val="left" w:pos="426"/>
        </w:tabs>
        <w:ind w:left="426" w:hanging="426"/>
        <w:rPr>
          <w:rFonts w:cs="Arial"/>
          <w:szCs w:val="22"/>
        </w:rPr>
      </w:pPr>
      <w:r>
        <w:rPr>
          <w:rFonts w:cs="Arial"/>
          <w:szCs w:val="22"/>
        </w:rPr>
        <w:t>S</w:t>
      </w:r>
      <w:r w:rsidR="00257B86" w:rsidRPr="00D40818">
        <w:rPr>
          <w:rFonts w:cs="Arial"/>
          <w:szCs w:val="22"/>
        </w:rPr>
        <w:t>ignificantly shorter lengths of stay</w:t>
      </w:r>
      <w:r>
        <w:rPr>
          <w:rFonts w:cs="Arial"/>
          <w:szCs w:val="22"/>
        </w:rPr>
        <w:t xml:space="preserve"> in admitted hospital care</w:t>
      </w:r>
      <w:r w:rsidR="00257B86">
        <w:rPr>
          <w:rFonts w:cs="Arial"/>
          <w:szCs w:val="22"/>
        </w:rPr>
        <w:t>.</w:t>
      </w:r>
      <w:r w:rsidR="00257B86" w:rsidRPr="00D40818">
        <w:rPr>
          <w:rStyle w:val="FootnoteReference"/>
          <w:rFonts w:cs="Arial"/>
          <w:szCs w:val="22"/>
        </w:rPr>
        <w:footnoteReference w:id="89"/>
      </w:r>
    </w:p>
    <w:p w14:paraId="7E32E2EF" w14:textId="77777777" w:rsidR="00C3179E" w:rsidRDefault="005D19EE" w:rsidP="00D9395C">
      <w:pPr>
        <w:pStyle w:val="AspexBullet1"/>
        <w:numPr>
          <w:ilvl w:val="0"/>
          <w:numId w:val="0"/>
        </w:numPr>
        <w:tabs>
          <w:tab w:val="left" w:pos="426"/>
        </w:tabs>
        <w:spacing w:before="240"/>
        <w:rPr>
          <w:rFonts w:cs="Arial"/>
          <w:szCs w:val="22"/>
        </w:rPr>
      </w:pPr>
      <w:r>
        <w:rPr>
          <w:rFonts w:cs="Arial"/>
          <w:szCs w:val="22"/>
        </w:rPr>
        <w:t>In relation to the overall benefit of palliative medicine specialists, the Australian Medical Council consulted with a wide range of stakeholders and observed that:</w:t>
      </w:r>
    </w:p>
    <w:p w14:paraId="0138DEAB" w14:textId="77777777" w:rsidR="005D19EE" w:rsidRPr="00BC2E4B" w:rsidRDefault="005D19EE" w:rsidP="00BC2E4B">
      <w:pPr>
        <w:pStyle w:val="AspexHighlightText"/>
        <w:spacing w:before="240"/>
        <w:rPr>
          <w:rStyle w:val="IntenseEmphasis"/>
        </w:rPr>
      </w:pPr>
      <w:r w:rsidRPr="00BC2E4B">
        <w:rPr>
          <w:rStyle w:val="IntenseEmphasis"/>
        </w:rPr>
        <w:t>“The ageing of the population, the growing prevalence of chronic disease and increased longevity are contributing to increased need for care provided by specialists who are knowledgeable, highly skilled medical experts, good team leaders, and who have good communication/interpersonal skills.” (p.33)</w:t>
      </w:r>
    </w:p>
    <w:p w14:paraId="7DC2F2B3" w14:textId="77777777" w:rsidR="005D19EE" w:rsidRDefault="005D19EE" w:rsidP="00D9395C">
      <w:pPr>
        <w:pStyle w:val="AspexBullet1"/>
        <w:numPr>
          <w:ilvl w:val="0"/>
          <w:numId w:val="0"/>
        </w:numPr>
        <w:tabs>
          <w:tab w:val="left" w:pos="426"/>
        </w:tabs>
        <w:spacing w:before="240"/>
        <w:rPr>
          <w:rFonts w:cs="Arial"/>
          <w:szCs w:val="22"/>
        </w:rPr>
      </w:pPr>
      <w:r>
        <w:rPr>
          <w:rFonts w:cs="Arial"/>
          <w:szCs w:val="22"/>
        </w:rPr>
        <w:t>Moreover, the Council noted specific feedback from a range of patients and their carers who had received palliative medicine interve</w:t>
      </w:r>
      <w:r w:rsidR="00BC2E4B">
        <w:rPr>
          <w:rFonts w:cs="Arial"/>
          <w:szCs w:val="22"/>
        </w:rPr>
        <w:t>ntion and subsequently reported that:</w:t>
      </w:r>
    </w:p>
    <w:p w14:paraId="3AE5C027" w14:textId="77777777" w:rsidR="00BC2E4B" w:rsidRPr="00BC2E4B" w:rsidRDefault="00D9395C" w:rsidP="00BC2E4B">
      <w:pPr>
        <w:pStyle w:val="AspexHighlightText"/>
        <w:spacing w:before="240"/>
        <w:rPr>
          <w:rStyle w:val="IntenseEmphasis"/>
        </w:rPr>
      </w:pPr>
      <w:r>
        <w:rPr>
          <w:rStyle w:val="IntenseEmphasis"/>
        </w:rPr>
        <w:t>“</w:t>
      </w:r>
      <w:r w:rsidR="00BC2E4B" w:rsidRPr="00BC2E4B">
        <w:rPr>
          <w:rStyle w:val="IntenseEmphasis"/>
        </w:rPr>
        <w:t>[The] Palliative medicine specialist viewed them from a different perspective to other medical specialists. Attention was given to their experience so that they were viewed as a person rather than as an illness to be tackled.” (p.35)</w:t>
      </w:r>
    </w:p>
    <w:p w14:paraId="1B09789A" w14:textId="77777777" w:rsidR="00C3179E" w:rsidRDefault="00AC5F1C" w:rsidP="00AC5F1C">
      <w:pPr>
        <w:pStyle w:val="Heading3"/>
      </w:pPr>
      <w:bookmarkStart w:id="138" w:name="_Toc382313833"/>
      <w:r>
        <w:lastRenderedPageBreak/>
        <w:t>Current and future research in palliative care</w:t>
      </w:r>
      <w:bookmarkEnd w:id="138"/>
    </w:p>
    <w:p w14:paraId="55647D04" w14:textId="77777777" w:rsidR="00AC5F1C" w:rsidRDefault="00803173" w:rsidP="00AC5F1C">
      <w:pPr>
        <w:pStyle w:val="AspexBodyStandard"/>
      </w:pPr>
      <w:r>
        <w:t xml:space="preserve">Acknowledging the limited research relating to palliative care, and palliative care outcomes in the Australian context, the Australian Government National Palliative Care Program has specifically devoted funding through the Palliative Care Research Program.  Under this program, managed by the National Health and Medical Research Council, some </w:t>
      </w:r>
      <w:r w:rsidR="0073588A">
        <w:t xml:space="preserve">47 </w:t>
      </w:r>
      <w:r>
        <w:t>research grants have been allocated since 2008 focusing upon a wide range of areas, examples of which have included:</w:t>
      </w:r>
    </w:p>
    <w:p w14:paraId="0B1CF0D3" w14:textId="76F72D3B" w:rsidR="0073588A" w:rsidRPr="004D3E08" w:rsidRDefault="00803173" w:rsidP="0073588A">
      <w:pPr>
        <w:pStyle w:val="AspexBullet1"/>
        <w:rPr>
          <w:lang w:eastAsia="en-AU"/>
        </w:rPr>
      </w:pPr>
      <w:r>
        <w:rPr>
          <w:lang w:eastAsia="en-AU"/>
        </w:rPr>
        <w:t>A r</w:t>
      </w:r>
      <w:r w:rsidR="0073588A" w:rsidRPr="004D3E08">
        <w:rPr>
          <w:lang w:eastAsia="en-AU"/>
        </w:rPr>
        <w:t xml:space="preserve">andomised control trial of </w:t>
      </w:r>
      <w:proofErr w:type="spellStart"/>
      <w:r w:rsidR="0073588A" w:rsidRPr="004D3E08">
        <w:rPr>
          <w:lang w:eastAsia="en-AU"/>
        </w:rPr>
        <w:t>Risperidone</w:t>
      </w:r>
      <w:proofErr w:type="spellEnd"/>
      <w:r w:rsidR="0073588A" w:rsidRPr="004D3E08">
        <w:rPr>
          <w:lang w:eastAsia="en-AU"/>
        </w:rPr>
        <w:t xml:space="preserve"> versus Haloperidol versus placebo with rescue haloperidol in delirium in palliative care</w:t>
      </w:r>
      <w:r w:rsidR="005D6B90">
        <w:rPr>
          <w:lang w:eastAsia="en-AU"/>
        </w:rPr>
        <w:t>;</w:t>
      </w:r>
    </w:p>
    <w:p w14:paraId="704F977B" w14:textId="0042B7FD" w:rsidR="0073588A" w:rsidRPr="004D3E08" w:rsidRDefault="0073588A" w:rsidP="0073588A">
      <w:pPr>
        <w:pStyle w:val="AspexBullet1"/>
        <w:rPr>
          <w:lang w:eastAsia="en-AU"/>
        </w:rPr>
      </w:pPr>
      <w:r w:rsidRPr="004D3E08">
        <w:rPr>
          <w:lang w:eastAsia="en-AU"/>
        </w:rPr>
        <w:t>A multi-centre randomised double-blind controlled trial of oxygen versus air for the relief of breathlessness in terminally-ill patients with intractable dyspnoea and PaO2 &gt;55mmHg</w:t>
      </w:r>
      <w:r w:rsidR="005D6B90">
        <w:rPr>
          <w:lang w:eastAsia="en-AU"/>
        </w:rPr>
        <w:t>;</w:t>
      </w:r>
    </w:p>
    <w:p w14:paraId="387338CE" w14:textId="1A9907D4" w:rsidR="0073588A" w:rsidRPr="004D3E08" w:rsidRDefault="0073588A" w:rsidP="0073588A">
      <w:pPr>
        <w:pStyle w:val="AspexBullet1"/>
        <w:rPr>
          <w:lang w:eastAsia="en-AU"/>
        </w:rPr>
      </w:pPr>
      <w:r w:rsidRPr="004D3E08">
        <w:rPr>
          <w:lang w:eastAsia="en-AU"/>
        </w:rPr>
        <w:t>A randomised controlled trial of the cost effectiveness of models of supportive care coordination for advanced cancer</w:t>
      </w:r>
      <w:r w:rsidR="005D6B90">
        <w:rPr>
          <w:lang w:eastAsia="en-AU"/>
        </w:rPr>
        <w:t>;</w:t>
      </w:r>
    </w:p>
    <w:p w14:paraId="3756F8B3" w14:textId="7BCE1C37" w:rsidR="0073588A" w:rsidRPr="004D3E08" w:rsidRDefault="0073588A" w:rsidP="0073588A">
      <w:pPr>
        <w:pStyle w:val="AspexBullet1"/>
        <w:rPr>
          <w:lang w:eastAsia="en-AU"/>
        </w:rPr>
      </w:pPr>
      <w:r w:rsidRPr="004D3E08">
        <w:rPr>
          <w:lang w:eastAsia="en-AU"/>
        </w:rPr>
        <w:t>A randomised clinical trial to test a pain education program for patients with cancer and their family carers</w:t>
      </w:r>
      <w:r w:rsidR="005D6B90">
        <w:rPr>
          <w:lang w:eastAsia="en-AU"/>
        </w:rPr>
        <w:t>;</w:t>
      </w:r>
    </w:p>
    <w:p w14:paraId="1E8FB7E8" w14:textId="2D1D6E23" w:rsidR="0073588A" w:rsidRPr="004D3E08" w:rsidRDefault="0073588A" w:rsidP="0073588A">
      <w:pPr>
        <w:pStyle w:val="AspexBullet1"/>
        <w:rPr>
          <w:lang w:eastAsia="en-AU"/>
        </w:rPr>
      </w:pPr>
      <w:r w:rsidRPr="004D3E08">
        <w:rPr>
          <w:lang w:eastAsia="en-AU"/>
        </w:rPr>
        <w:t>A randomised controlled trial of an innovative supportive care program designed to reduce perceived needs and psychological distress and enhance quality of life amongst people with incurable lung cancer</w:t>
      </w:r>
      <w:r w:rsidR="005D6B90">
        <w:rPr>
          <w:lang w:eastAsia="en-AU"/>
        </w:rPr>
        <w:t>;</w:t>
      </w:r>
    </w:p>
    <w:p w14:paraId="0A8F00B2" w14:textId="038F1BF6" w:rsidR="0073588A" w:rsidRPr="004D3E08" w:rsidRDefault="0073588A" w:rsidP="0073588A">
      <w:pPr>
        <w:pStyle w:val="AspexBullet1"/>
        <w:rPr>
          <w:lang w:eastAsia="en-AU"/>
        </w:rPr>
      </w:pPr>
      <w:r w:rsidRPr="004D3E08">
        <w:rPr>
          <w:lang w:eastAsia="en-AU"/>
        </w:rPr>
        <w:t>Pilot randomised study of telemedicine consultation versus face-to-face consultation in palliative medicine</w:t>
      </w:r>
      <w:r w:rsidR="005D6B90">
        <w:rPr>
          <w:lang w:eastAsia="en-AU"/>
        </w:rPr>
        <w:t>; and</w:t>
      </w:r>
    </w:p>
    <w:p w14:paraId="2B1A7618" w14:textId="03439195" w:rsidR="0073588A" w:rsidRPr="004D3E08" w:rsidRDefault="0073588A" w:rsidP="0073588A">
      <w:pPr>
        <w:pStyle w:val="AspexBullet1"/>
        <w:rPr>
          <w:lang w:eastAsia="en-AU"/>
        </w:rPr>
      </w:pPr>
      <w:r w:rsidRPr="004D3E08">
        <w:rPr>
          <w:lang w:eastAsia="en-AU"/>
        </w:rPr>
        <w:t>Improving the psychological wellbeing of family caregivers of home based palliative care patients: A randomised controlled trial</w:t>
      </w:r>
      <w:r w:rsidR="005D6B90">
        <w:rPr>
          <w:lang w:eastAsia="en-AU"/>
        </w:rPr>
        <w:t>.</w:t>
      </w:r>
    </w:p>
    <w:p w14:paraId="313150DC" w14:textId="77777777" w:rsidR="0073588A" w:rsidRDefault="008E17AE" w:rsidP="00AC5F1C">
      <w:pPr>
        <w:pStyle w:val="AspexBodyStandard"/>
      </w:pPr>
      <w:r>
        <w:t>A complete listing of all NH</w:t>
      </w:r>
      <w:r w:rsidR="00803173">
        <w:t>MRC research grant projects is presented in Appendix 3 of this report. Noting the ongoing need for palliative care research the recent Senate Committee Inquiry into Palliative Care in Australia has thus recommended that:</w:t>
      </w:r>
    </w:p>
    <w:p w14:paraId="4BF7CF1A" w14:textId="77777777" w:rsidR="00803173" w:rsidRPr="00803173" w:rsidRDefault="00803173" w:rsidP="00803173">
      <w:pPr>
        <w:pStyle w:val="AspexHighlightText"/>
        <w:spacing w:before="240"/>
        <w:rPr>
          <w:rStyle w:val="IntenseEmphasis"/>
        </w:rPr>
      </w:pPr>
      <w:r w:rsidRPr="00803173">
        <w:rPr>
          <w:rStyle w:val="IntenseEmphasis"/>
        </w:rPr>
        <w:t>“…the Australian government develop a nationally funded framework for palliative care research…” (p.137)</w:t>
      </w:r>
    </w:p>
    <w:p w14:paraId="7CD107B6" w14:textId="77777777" w:rsidR="00257B86" w:rsidRDefault="00F22AD1" w:rsidP="00257B86">
      <w:pPr>
        <w:pStyle w:val="Heading1"/>
        <w:ind w:right="-58"/>
      </w:pPr>
      <w:bookmarkStart w:id="139" w:name="_Ref248038783"/>
      <w:bookmarkStart w:id="140" w:name="_Toc382313834"/>
      <w:r>
        <w:lastRenderedPageBreak/>
        <w:t>The medical workforce delivering palliative care</w:t>
      </w:r>
      <w:bookmarkEnd w:id="139"/>
      <w:bookmarkEnd w:id="140"/>
    </w:p>
    <w:p w14:paraId="7A21C733" w14:textId="49DF1D0B" w:rsidR="00257B86" w:rsidRPr="001B17BA" w:rsidRDefault="002A2727" w:rsidP="00257B86">
      <w:pPr>
        <w:pStyle w:val="AspexBodyStandard"/>
      </w:pPr>
      <w:bookmarkStart w:id="141" w:name="_Toc224375141"/>
      <w:r>
        <w:t>Palliative medicine</w:t>
      </w:r>
      <w:r w:rsidR="00257B86" w:rsidRPr="001B17BA">
        <w:t xml:space="preserve"> as a specialty has been available since 1992, with advanced training under the </w:t>
      </w:r>
      <w:proofErr w:type="spellStart"/>
      <w:r w:rsidR="00257B86" w:rsidRPr="001B17BA">
        <w:t>AChPM</w:t>
      </w:r>
      <w:proofErr w:type="spellEnd"/>
      <w:r w:rsidR="00257B86" w:rsidRPr="001B17BA">
        <w:t xml:space="preserve"> commencing in 2001.  As such, there are currently palliative care specialists who have both trained as physicians (FRACP) and then specialised in </w:t>
      </w:r>
      <w:r>
        <w:t>palliative medicine</w:t>
      </w:r>
      <w:r w:rsidR="002A6C76">
        <w:t>,</w:t>
      </w:r>
      <w:r w:rsidR="00257B86" w:rsidRPr="001B17BA">
        <w:t xml:space="preserve"> and those who have trained as </w:t>
      </w:r>
      <w:r w:rsidR="0081173A">
        <w:t>GPs</w:t>
      </w:r>
      <w:r w:rsidR="005D6B90">
        <w:t xml:space="preserve"> (FRACGP; FRNZCGP)</w:t>
      </w:r>
      <w:r w:rsidR="002A6C76">
        <w:t>,</w:t>
      </w:r>
      <w:r w:rsidR="00257B86" w:rsidRPr="001B17BA">
        <w:t xml:space="preserve"> and specialised in </w:t>
      </w:r>
      <w:r>
        <w:t>palliative medicine</w:t>
      </w:r>
      <w:r w:rsidR="00257B86" w:rsidRPr="001B17BA">
        <w:t>.</w:t>
      </w:r>
    </w:p>
    <w:p w14:paraId="7CE3F9EB" w14:textId="77777777" w:rsidR="00257B86" w:rsidRPr="001B17BA" w:rsidRDefault="00257B86" w:rsidP="00257B86">
      <w:pPr>
        <w:pStyle w:val="AspexBodyStandard"/>
      </w:pPr>
      <w:r w:rsidRPr="001B17BA">
        <w:t xml:space="preserve">Given the range of palliative care services required across the community, there are alternative providers of these services dependent upon the setting, the nature of the underlying disease condition requiring palliative care intervention, and the age of the recipient of care. </w:t>
      </w:r>
    </w:p>
    <w:p w14:paraId="50F79917" w14:textId="125826DC" w:rsidR="00F22AD1" w:rsidRDefault="00257B86" w:rsidP="00257B86">
      <w:pPr>
        <w:pStyle w:val="AspexBodyStandard"/>
      </w:pPr>
      <w:r w:rsidRPr="001B17BA">
        <w:t xml:space="preserve">Historically, </w:t>
      </w:r>
      <w:r w:rsidR="0081173A">
        <w:t>GPs</w:t>
      </w:r>
      <w:r w:rsidR="00FF7BF1" w:rsidRPr="001B17BA">
        <w:t xml:space="preserve"> in the course of life-cycle care and treatment have provided a large proportion of palliative care type services</w:t>
      </w:r>
      <w:r w:rsidRPr="001B17BA">
        <w:t xml:space="preserve"> to their patient cohort.  Increasingly, however, the nature of holistic management of a range of malignant and chronic conditions has shifted the model of care to include specialised palliative care management across acute inpatient settings, community settings and residential care settings.  </w:t>
      </w:r>
    </w:p>
    <w:p w14:paraId="45B8F6C6" w14:textId="77777777" w:rsidR="00257B86" w:rsidRPr="00F22AD1" w:rsidRDefault="00257B86" w:rsidP="00F22AD1">
      <w:pPr>
        <w:pStyle w:val="AspexHighlightText"/>
        <w:spacing w:before="240"/>
        <w:rPr>
          <w:rStyle w:val="IntenseEmphasis"/>
        </w:rPr>
      </w:pPr>
      <w:r w:rsidRPr="00F22AD1">
        <w:rPr>
          <w:rStyle w:val="IntenseEmphasis"/>
        </w:rPr>
        <w:t>Referral to palliative care specialists recognises the multi-disciplinary model of care these specialist providers are able to access, including the range of allied health and counselling services that are integral to comprehensive care both in inpatient and community settings.</w:t>
      </w:r>
      <w:bookmarkEnd w:id="141"/>
    </w:p>
    <w:p w14:paraId="63DFE797" w14:textId="56DBE566" w:rsidR="00257B86" w:rsidRDefault="00257B86" w:rsidP="00257B86">
      <w:pPr>
        <w:pStyle w:val="Heading2"/>
      </w:pPr>
      <w:bookmarkStart w:id="142" w:name="_Toc224375142"/>
      <w:bookmarkStart w:id="143" w:name="_Ref369877808"/>
      <w:bookmarkStart w:id="144" w:name="_Toc373163143"/>
      <w:bookmarkStart w:id="145" w:name="_Toc382313835"/>
      <w:r>
        <w:t xml:space="preserve">Palliative </w:t>
      </w:r>
      <w:r w:rsidR="005A1398">
        <w:t>m</w:t>
      </w:r>
      <w:r>
        <w:t>edicine training</w:t>
      </w:r>
      <w:bookmarkEnd w:id="142"/>
      <w:bookmarkEnd w:id="143"/>
      <w:bookmarkEnd w:id="144"/>
      <w:bookmarkEnd w:id="145"/>
    </w:p>
    <w:p w14:paraId="1FC467A5" w14:textId="74ADF4BA" w:rsidR="00257B86" w:rsidRDefault="00257B86" w:rsidP="00257B86">
      <w:pPr>
        <w:pStyle w:val="AspexBodyStandard"/>
        <w:rPr>
          <w:lang w:eastAsia="en-AU"/>
        </w:rPr>
      </w:pPr>
      <w:bookmarkStart w:id="146" w:name="_Toc224375143"/>
      <w:r w:rsidRPr="0027631B">
        <w:rPr>
          <w:lang w:eastAsia="en-AU"/>
        </w:rPr>
        <w:t xml:space="preserve">Recognised specialists in </w:t>
      </w:r>
      <w:r w:rsidR="002A2727">
        <w:rPr>
          <w:lang w:eastAsia="en-AU"/>
        </w:rPr>
        <w:t>palliative medicine</w:t>
      </w:r>
      <w:r w:rsidRPr="0027631B">
        <w:rPr>
          <w:lang w:eastAsia="en-AU"/>
        </w:rPr>
        <w:t xml:space="preserve"> are Fellows of the </w:t>
      </w:r>
      <w:proofErr w:type="spellStart"/>
      <w:r w:rsidR="008E17AE">
        <w:rPr>
          <w:lang w:eastAsia="en-AU"/>
        </w:rPr>
        <w:t>AChPM</w:t>
      </w:r>
      <w:proofErr w:type="spellEnd"/>
      <w:r w:rsidRPr="0027631B">
        <w:rPr>
          <w:lang w:eastAsia="en-AU"/>
        </w:rPr>
        <w:t xml:space="preserve">. </w:t>
      </w:r>
      <w:r w:rsidR="008E17AE">
        <w:rPr>
          <w:lang w:eastAsia="en-AU"/>
        </w:rPr>
        <w:t xml:space="preserve"> </w:t>
      </w:r>
      <w:r w:rsidR="002A6C76">
        <w:rPr>
          <w:lang w:eastAsia="en-AU"/>
        </w:rPr>
        <w:t xml:space="preserve">The </w:t>
      </w:r>
      <w:proofErr w:type="spellStart"/>
      <w:r>
        <w:rPr>
          <w:lang w:eastAsia="en-AU"/>
        </w:rPr>
        <w:t>AChPM</w:t>
      </w:r>
      <w:proofErr w:type="spellEnd"/>
      <w:r>
        <w:rPr>
          <w:lang w:eastAsia="en-AU"/>
        </w:rPr>
        <w:t xml:space="preserve"> training is a </w:t>
      </w:r>
      <w:r w:rsidR="00E00CD1">
        <w:rPr>
          <w:lang w:eastAsia="en-AU"/>
        </w:rPr>
        <w:t>three-year</w:t>
      </w:r>
      <w:r>
        <w:rPr>
          <w:lang w:eastAsia="en-AU"/>
        </w:rPr>
        <w:t xml:space="preserve"> program at the advanced level, where applicants need to have completed the RACP basic training program or hold a fellowship in one of the following specialities:</w:t>
      </w:r>
    </w:p>
    <w:p w14:paraId="4CC8EBF9" w14:textId="77777777" w:rsidR="00257B86" w:rsidRPr="00FA3CFD" w:rsidRDefault="00257B86" w:rsidP="00FA3CFD">
      <w:pPr>
        <w:pStyle w:val="AspexBullet1"/>
        <w:rPr>
          <w:szCs w:val="22"/>
        </w:rPr>
      </w:pPr>
      <w:r w:rsidRPr="00FA3CFD">
        <w:rPr>
          <w:szCs w:val="22"/>
        </w:rPr>
        <w:t>Anaesthetics (FRANZCA)</w:t>
      </w:r>
    </w:p>
    <w:p w14:paraId="531190CA" w14:textId="58837C83" w:rsidR="00257B86" w:rsidRPr="00FA3CFD" w:rsidRDefault="00257B86" w:rsidP="00FA3CFD">
      <w:pPr>
        <w:pStyle w:val="AspexBullet1"/>
        <w:rPr>
          <w:rFonts w:cs="Arial"/>
          <w:color w:val="000000"/>
          <w:szCs w:val="22"/>
          <w:lang w:eastAsia="en-AU"/>
        </w:rPr>
      </w:pPr>
      <w:r w:rsidRPr="00FA3CFD">
        <w:rPr>
          <w:szCs w:val="22"/>
        </w:rPr>
        <w:t>General Practice (</w:t>
      </w:r>
      <w:r w:rsidR="007845BC">
        <w:rPr>
          <w:szCs w:val="22"/>
        </w:rPr>
        <w:t xml:space="preserve">FRACGP; </w:t>
      </w:r>
      <w:r w:rsidRPr="00FA3CFD">
        <w:rPr>
          <w:rFonts w:cs="Arial"/>
          <w:color w:val="000000"/>
          <w:szCs w:val="22"/>
          <w:lang w:eastAsia="en-AU"/>
        </w:rPr>
        <w:t>FRNZCGP)</w:t>
      </w:r>
    </w:p>
    <w:p w14:paraId="63EC6D59" w14:textId="77777777" w:rsidR="00257B86" w:rsidRPr="00FA3CFD" w:rsidRDefault="00257B86" w:rsidP="00FA3CFD">
      <w:pPr>
        <w:pStyle w:val="AspexBullet1"/>
        <w:rPr>
          <w:szCs w:val="22"/>
        </w:rPr>
      </w:pPr>
      <w:r w:rsidRPr="00FA3CFD">
        <w:rPr>
          <w:szCs w:val="22"/>
        </w:rPr>
        <w:t>Intensive care medicine (CICM)</w:t>
      </w:r>
    </w:p>
    <w:p w14:paraId="002BD29E" w14:textId="77777777" w:rsidR="00257B86" w:rsidRPr="00FA3CFD" w:rsidRDefault="00257B86" w:rsidP="00FA3CFD">
      <w:pPr>
        <w:pStyle w:val="AspexBullet1"/>
        <w:rPr>
          <w:rFonts w:cs="Arial"/>
          <w:color w:val="000000"/>
          <w:szCs w:val="22"/>
          <w:lang w:eastAsia="en-AU"/>
        </w:rPr>
      </w:pPr>
      <w:r w:rsidRPr="00FA3CFD">
        <w:rPr>
          <w:szCs w:val="22"/>
        </w:rPr>
        <w:t>Obstetrics and Gynaecology (F</w:t>
      </w:r>
      <w:r w:rsidRPr="00FA3CFD">
        <w:rPr>
          <w:rFonts w:cs="Arial"/>
          <w:color w:val="000000"/>
          <w:szCs w:val="22"/>
          <w:lang w:eastAsia="en-AU"/>
        </w:rPr>
        <w:t>RANZCOG)</w:t>
      </w:r>
    </w:p>
    <w:p w14:paraId="2C3B9E5D" w14:textId="77777777" w:rsidR="00257B86" w:rsidRPr="00FA3CFD" w:rsidRDefault="00257B86" w:rsidP="00FA3CFD">
      <w:pPr>
        <w:pStyle w:val="AspexBullet1"/>
        <w:rPr>
          <w:rFonts w:cs="Arial"/>
          <w:color w:val="000000"/>
          <w:szCs w:val="22"/>
          <w:lang w:eastAsia="en-AU"/>
        </w:rPr>
      </w:pPr>
      <w:r w:rsidRPr="00FA3CFD">
        <w:rPr>
          <w:szCs w:val="22"/>
        </w:rPr>
        <w:t>Pain medicine (</w:t>
      </w:r>
      <w:r w:rsidRPr="00FA3CFD">
        <w:rPr>
          <w:rFonts w:cs="Arial"/>
          <w:color w:val="000000"/>
          <w:szCs w:val="22"/>
          <w:lang w:eastAsia="en-AU"/>
        </w:rPr>
        <w:t>FFPMANZCA)</w:t>
      </w:r>
    </w:p>
    <w:p w14:paraId="06371AA6" w14:textId="77777777" w:rsidR="00257B86" w:rsidRPr="00FA3CFD" w:rsidRDefault="00257B86" w:rsidP="00FA3CFD">
      <w:pPr>
        <w:pStyle w:val="AspexBullet1"/>
        <w:rPr>
          <w:szCs w:val="22"/>
        </w:rPr>
      </w:pPr>
      <w:r w:rsidRPr="00FA3CFD">
        <w:rPr>
          <w:szCs w:val="22"/>
        </w:rPr>
        <w:t>Psychiatry (FRANZCP)</w:t>
      </w:r>
    </w:p>
    <w:p w14:paraId="0B061166" w14:textId="77777777" w:rsidR="00257B86" w:rsidRPr="00FA3CFD" w:rsidRDefault="00257B86" w:rsidP="00FA3CFD">
      <w:pPr>
        <w:pStyle w:val="AspexBullet1"/>
        <w:rPr>
          <w:szCs w:val="22"/>
        </w:rPr>
      </w:pPr>
      <w:r w:rsidRPr="00FA3CFD">
        <w:rPr>
          <w:szCs w:val="22"/>
        </w:rPr>
        <w:t>Radiology (FRANZCR)</w:t>
      </w:r>
    </w:p>
    <w:p w14:paraId="02D62749" w14:textId="77777777" w:rsidR="00257B86" w:rsidRPr="00E63686" w:rsidRDefault="00257B86" w:rsidP="00FA3CFD">
      <w:pPr>
        <w:pStyle w:val="AspexBullet1"/>
        <w:rPr>
          <w:szCs w:val="22"/>
        </w:rPr>
      </w:pPr>
      <w:r w:rsidRPr="00E63686">
        <w:rPr>
          <w:szCs w:val="22"/>
        </w:rPr>
        <w:t>Rehabilitation medicine (FAFRM)</w:t>
      </w:r>
    </w:p>
    <w:p w14:paraId="6CADDBF5" w14:textId="77777777" w:rsidR="00257B86" w:rsidRPr="00726609" w:rsidRDefault="00257B86" w:rsidP="00FA3CFD">
      <w:pPr>
        <w:pStyle w:val="AspexBullet1"/>
        <w:rPr>
          <w:szCs w:val="22"/>
        </w:rPr>
      </w:pPr>
      <w:r w:rsidRPr="00726609">
        <w:rPr>
          <w:szCs w:val="22"/>
        </w:rPr>
        <w:t>Rural and remote medicine (FACRRM)</w:t>
      </w:r>
    </w:p>
    <w:p w14:paraId="64DC27F0" w14:textId="77777777" w:rsidR="00257B86" w:rsidRPr="002167FD" w:rsidRDefault="00257B86" w:rsidP="00FA3CFD">
      <w:pPr>
        <w:pStyle w:val="AspexBullet1"/>
        <w:rPr>
          <w:szCs w:val="22"/>
        </w:rPr>
      </w:pPr>
      <w:r w:rsidRPr="002167FD">
        <w:rPr>
          <w:szCs w:val="22"/>
        </w:rPr>
        <w:t>Surgery (FRACS)</w:t>
      </w:r>
    </w:p>
    <w:p w14:paraId="6CF4FC2D" w14:textId="77777777" w:rsidR="00FD2636" w:rsidRDefault="00FD2636" w:rsidP="00FD2636">
      <w:pPr>
        <w:pStyle w:val="AspexBodyStandard"/>
      </w:pPr>
      <w:r>
        <w:lastRenderedPageBreak/>
        <w:t xml:space="preserve">In Australia, there are two pathways to achieving specialist status in Palliative Medicine. </w:t>
      </w:r>
      <w:r w:rsidR="00E00CD1">
        <w:t>The ANZSPC describes these</w:t>
      </w:r>
      <w:r>
        <w:rPr>
          <w:rStyle w:val="FootnoteReference"/>
          <w:rFonts w:cs="Arial"/>
          <w:sz w:val="24"/>
        </w:rPr>
        <w:footnoteReference w:id="90"/>
      </w:r>
      <w:r>
        <w:t xml:space="preserve"> as follows:</w:t>
      </w:r>
    </w:p>
    <w:p w14:paraId="0D7B29F6" w14:textId="77777777" w:rsidR="00E00CD1" w:rsidRDefault="00FD2636" w:rsidP="00E24A46">
      <w:pPr>
        <w:pStyle w:val="AspexBullet1"/>
        <w:rPr>
          <w:rFonts w:cs="Arial"/>
          <w:sz w:val="24"/>
        </w:rPr>
      </w:pPr>
      <w:bookmarkStart w:id="147" w:name="_Ref372723963"/>
      <w:r w:rsidRPr="00714F28">
        <w:t xml:space="preserve">A </w:t>
      </w:r>
      <w:r w:rsidRPr="00863091">
        <w:rPr>
          <w:b/>
        </w:rPr>
        <w:t>Consultant Physician in Palliative Medicine</w:t>
      </w:r>
      <w:r w:rsidR="00863091">
        <w:t xml:space="preserve"> in Australia </w:t>
      </w:r>
      <w:r w:rsidRPr="00722901">
        <w:rPr>
          <w:rFonts w:cs="Arial"/>
          <w:szCs w:val="22"/>
        </w:rPr>
        <w:t>has</w:t>
      </w:r>
      <w:r w:rsidR="00E24A46" w:rsidRPr="00722901">
        <w:rPr>
          <w:rFonts w:cs="Arial"/>
          <w:szCs w:val="22"/>
        </w:rPr>
        <w:t>, either</w:t>
      </w:r>
      <w:r w:rsidRPr="00B86CDE">
        <w:rPr>
          <w:rFonts w:cs="Arial"/>
          <w:sz w:val="24"/>
        </w:rPr>
        <w:t xml:space="preserve">: </w:t>
      </w:r>
    </w:p>
    <w:bookmarkEnd w:id="147"/>
    <w:p w14:paraId="49056D27" w14:textId="178B5857" w:rsidR="00FD2636" w:rsidRPr="00B86CDE" w:rsidRDefault="00FD2636" w:rsidP="00E24A46">
      <w:pPr>
        <w:pStyle w:val="AspexBullet2"/>
      </w:pPr>
      <w:r w:rsidRPr="00B86CDE">
        <w:t xml:space="preserve">Attained the fellowship of the Royal Australasian College of Physicians (FRACP) and </w:t>
      </w:r>
      <w:r>
        <w:t>c</w:t>
      </w:r>
      <w:r w:rsidRPr="00B86CDE">
        <w:t xml:space="preserve">ompleted </w:t>
      </w:r>
      <w:r w:rsidRPr="00E24A46">
        <w:rPr>
          <w:bCs/>
        </w:rPr>
        <w:t>advanced training</w:t>
      </w:r>
      <w:r w:rsidRPr="00B86CDE">
        <w:t xml:space="preserve"> under the auspices of the Combined Palliati</w:t>
      </w:r>
      <w:r>
        <w:t>ve Medicine Education Committee;</w:t>
      </w:r>
      <w:r w:rsidR="00E24A46">
        <w:t xml:space="preserve"> OR</w:t>
      </w:r>
    </w:p>
    <w:p w14:paraId="70394024" w14:textId="77777777" w:rsidR="003F4E14" w:rsidRDefault="00FD2636" w:rsidP="00E24A46">
      <w:pPr>
        <w:pStyle w:val="AspexBullet2"/>
      </w:pPr>
      <w:r w:rsidRPr="00B86CDE">
        <w:t>Has achieved an equivalent standard to the above as determined by relevant authorities</w:t>
      </w:r>
      <w:r>
        <w:t>.</w:t>
      </w:r>
      <w:r>
        <w:rPr>
          <w:rStyle w:val="FootnoteReference"/>
          <w:rFonts w:cs="Arial"/>
          <w:sz w:val="24"/>
        </w:rPr>
        <w:footnoteReference w:id="91"/>
      </w:r>
    </w:p>
    <w:p w14:paraId="5F5E9026" w14:textId="77777777" w:rsidR="00FD2636" w:rsidRPr="00B86CDE" w:rsidRDefault="00FD2636" w:rsidP="00E24A46">
      <w:pPr>
        <w:pStyle w:val="AspexBullet1"/>
      </w:pPr>
      <w:r w:rsidRPr="002C5FC0">
        <w:t xml:space="preserve">A </w:t>
      </w:r>
      <w:r w:rsidRPr="00863091">
        <w:rPr>
          <w:b/>
        </w:rPr>
        <w:t>Palliative Medicine Specialist</w:t>
      </w:r>
      <w:r w:rsidRPr="00B86CDE">
        <w:t xml:space="preserve"> </w:t>
      </w:r>
      <w:r>
        <w:t>has</w:t>
      </w:r>
      <w:r w:rsidR="00863091">
        <w:t xml:space="preserve"> either</w:t>
      </w:r>
      <w:r>
        <w:t>:</w:t>
      </w:r>
    </w:p>
    <w:p w14:paraId="49CCF15F" w14:textId="77777777" w:rsidR="00FD2636" w:rsidRDefault="00FD2636" w:rsidP="00E24A46">
      <w:pPr>
        <w:pStyle w:val="AspexBullet2"/>
      </w:pPr>
      <w:r w:rsidRPr="00B86CDE">
        <w:t>Attained the fellowship of another College as listed in the Australasian Chapter of Palli</w:t>
      </w:r>
      <w:r>
        <w:t xml:space="preserve">ative Medicine Training Manual or </w:t>
      </w:r>
      <w:r w:rsidRPr="00B86CDE">
        <w:t>has achieved an equivalent standard as det</w:t>
      </w:r>
      <w:r>
        <w:t>ermined by relevant authorities</w:t>
      </w:r>
      <w:r w:rsidR="00E24A46">
        <w:t>; AND</w:t>
      </w:r>
    </w:p>
    <w:p w14:paraId="5654B51C" w14:textId="77777777" w:rsidR="00FD2636" w:rsidRPr="00B86CDE" w:rsidRDefault="00FD2636" w:rsidP="00E24A46">
      <w:pPr>
        <w:pStyle w:val="AspexBullet2"/>
      </w:pPr>
      <w:r>
        <w:t xml:space="preserve">Has </w:t>
      </w:r>
      <w:r w:rsidRPr="00B86CDE">
        <w:t xml:space="preserve">been conferred with </w:t>
      </w:r>
      <w:r w:rsidRPr="009E5DDA">
        <w:rPr>
          <w:bCs/>
        </w:rPr>
        <w:t>Fellowship of the Australasian Chapter of Palliative Medicine (</w:t>
      </w:r>
      <w:proofErr w:type="spellStart"/>
      <w:r w:rsidRPr="009E5DDA">
        <w:rPr>
          <w:bCs/>
        </w:rPr>
        <w:t>FAChPM</w:t>
      </w:r>
      <w:proofErr w:type="spellEnd"/>
      <w:r w:rsidRPr="009E5DDA">
        <w:rPr>
          <w:bCs/>
        </w:rPr>
        <w:t>)</w:t>
      </w:r>
      <w:r w:rsidRPr="009E5DDA">
        <w:t xml:space="preserve"> </w:t>
      </w:r>
      <w:r w:rsidRPr="00B86CDE">
        <w:t>within the Adult Medicine Division of the Royal Australasian College</w:t>
      </w:r>
      <w:r>
        <w:t xml:space="preserve"> of Physicians as a result of successfully completing</w:t>
      </w:r>
      <w:r w:rsidRPr="00B86CDE">
        <w:t xml:space="preserve"> the Australasian Chapter of Palliative Medicine specialist training program </w:t>
      </w:r>
      <w:r>
        <w:t xml:space="preserve">or </w:t>
      </w:r>
      <w:r w:rsidRPr="00B86CDE">
        <w:t>as a result of assessment of prior experience by the Australasian Chapter of Palliative Medicine</w:t>
      </w:r>
      <w:r w:rsidR="00E24A46">
        <w:t>; OR</w:t>
      </w:r>
    </w:p>
    <w:p w14:paraId="0AB4C6B8" w14:textId="77777777" w:rsidR="00FD2636" w:rsidRDefault="00FD2636" w:rsidP="00863091">
      <w:pPr>
        <w:pStyle w:val="AspexBullet2"/>
      </w:pPr>
      <w:r w:rsidRPr="00B86CDE">
        <w:t>Is an international medical graduate</w:t>
      </w:r>
      <w:r w:rsidR="00863091">
        <w:t>,</w:t>
      </w:r>
      <w:r w:rsidRPr="00B86CDE">
        <w:t xml:space="preserve"> as</w:t>
      </w:r>
      <w:r>
        <w:t xml:space="preserve">sessed by relevant authorities </w:t>
      </w:r>
      <w:r w:rsidRPr="00B86CDE">
        <w:t xml:space="preserve">as equivalent to an Australian or New Zealand trained specialist in palliative medicine, and holds an equivalent qualification. </w:t>
      </w:r>
    </w:p>
    <w:p w14:paraId="543848A0" w14:textId="77777777" w:rsidR="00257B86" w:rsidRPr="00F22AD1" w:rsidRDefault="00257B86" w:rsidP="00F22AD1">
      <w:pPr>
        <w:pStyle w:val="AspexHighlightText"/>
        <w:spacing w:before="240"/>
        <w:rPr>
          <w:rStyle w:val="IntenseEmphasis"/>
        </w:rPr>
      </w:pPr>
      <w:r w:rsidRPr="00F22AD1">
        <w:rPr>
          <w:rStyle w:val="IntenseEmphasis"/>
        </w:rPr>
        <w:t xml:space="preserve">Training is comprised of 24 months of core training and 12 months of non-core training and the specialist qualification awarded is either the FRACP or </w:t>
      </w:r>
      <w:proofErr w:type="spellStart"/>
      <w:r w:rsidRPr="00F22AD1">
        <w:rPr>
          <w:rStyle w:val="IntenseEmphasis"/>
        </w:rPr>
        <w:t>FAChPM</w:t>
      </w:r>
      <w:proofErr w:type="spellEnd"/>
      <w:r w:rsidRPr="00F22AD1">
        <w:rPr>
          <w:rStyle w:val="IntenseEmphasis"/>
        </w:rPr>
        <w:t xml:space="preserve">, </w:t>
      </w:r>
      <w:r w:rsidR="00863091" w:rsidRPr="00F22AD1">
        <w:rPr>
          <w:rStyle w:val="IntenseEmphasis"/>
        </w:rPr>
        <w:t>depending</w:t>
      </w:r>
      <w:r w:rsidRPr="00F22AD1">
        <w:rPr>
          <w:rStyle w:val="IntenseEmphasis"/>
        </w:rPr>
        <w:t xml:space="preserve"> upon the pathway of entry.</w:t>
      </w:r>
    </w:p>
    <w:p w14:paraId="0E46FC6B" w14:textId="77777777" w:rsidR="00257B86" w:rsidRDefault="00257B86" w:rsidP="00257B86">
      <w:pPr>
        <w:pStyle w:val="AspexBodyStandard"/>
        <w:rPr>
          <w:lang w:eastAsia="en-AU"/>
        </w:rPr>
      </w:pPr>
      <w:r>
        <w:rPr>
          <w:lang w:eastAsia="en-AU"/>
        </w:rPr>
        <w:t xml:space="preserve">The minimum content of specialist Palliative Medicine training for those trainees entering through the pathway leading to Fellowship of the </w:t>
      </w:r>
      <w:proofErr w:type="spellStart"/>
      <w:r>
        <w:rPr>
          <w:lang w:eastAsia="en-AU"/>
        </w:rPr>
        <w:t>AChPM</w:t>
      </w:r>
      <w:proofErr w:type="spellEnd"/>
      <w:r>
        <w:rPr>
          <w:lang w:eastAsia="en-AU"/>
        </w:rPr>
        <w:t xml:space="preserve"> consists of the four mandatory Palliative Medicine training terms in designated palliative medicine registrar posts. Core training includes:</w:t>
      </w:r>
    </w:p>
    <w:p w14:paraId="544E43A0" w14:textId="77777777" w:rsidR="00257B86" w:rsidRDefault="00257B86" w:rsidP="00257B86">
      <w:pPr>
        <w:pStyle w:val="AspexBullet1"/>
        <w:tabs>
          <w:tab w:val="clear" w:pos="1060"/>
          <w:tab w:val="num" w:pos="567"/>
        </w:tabs>
        <w:ind w:left="567" w:hanging="567"/>
        <w:rPr>
          <w:lang w:eastAsia="en-AU"/>
        </w:rPr>
      </w:pPr>
      <w:r>
        <w:rPr>
          <w:lang w:eastAsia="en-AU"/>
        </w:rPr>
        <w:t>Training Term 1 (core) - Palliative care inpatient unit or hospice;</w:t>
      </w:r>
    </w:p>
    <w:p w14:paraId="59853826" w14:textId="77777777" w:rsidR="00257B86" w:rsidRDefault="00257B86" w:rsidP="00257B86">
      <w:pPr>
        <w:pStyle w:val="AspexBullet1"/>
        <w:tabs>
          <w:tab w:val="clear" w:pos="1060"/>
          <w:tab w:val="num" w:pos="567"/>
        </w:tabs>
        <w:ind w:left="567" w:hanging="567"/>
        <w:rPr>
          <w:lang w:eastAsia="en-AU"/>
        </w:rPr>
      </w:pPr>
      <w:r>
        <w:rPr>
          <w:lang w:eastAsia="en-AU"/>
        </w:rPr>
        <w:t>Training Term 2 (core) - Community setting;</w:t>
      </w:r>
    </w:p>
    <w:p w14:paraId="66C800A4" w14:textId="77777777" w:rsidR="00257B86" w:rsidRDefault="00257B86" w:rsidP="00257B86">
      <w:pPr>
        <w:pStyle w:val="AspexBullet1"/>
        <w:tabs>
          <w:tab w:val="clear" w:pos="1060"/>
          <w:tab w:val="num" w:pos="567"/>
        </w:tabs>
        <w:ind w:left="567" w:hanging="567"/>
        <w:rPr>
          <w:lang w:eastAsia="en-AU"/>
        </w:rPr>
      </w:pPr>
      <w:r>
        <w:rPr>
          <w:lang w:eastAsia="en-AU"/>
        </w:rPr>
        <w:t>Training Term 3 (core) - Tertiary hospital consultation service; and</w:t>
      </w:r>
    </w:p>
    <w:p w14:paraId="21CD7091" w14:textId="77777777" w:rsidR="00257B86" w:rsidRDefault="00257B86" w:rsidP="00257B86">
      <w:pPr>
        <w:pStyle w:val="AspexBullet1"/>
        <w:tabs>
          <w:tab w:val="clear" w:pos="1060"/>
          <w:tab w:val="num" w:pos="567"/>
        </w:tabs>
        <w:ind w:left="567" w:hanging="567"/>
        <w:jc w:val="left"/>
        <w:rPr>
          <w:lang w:eastAsia="en-AU"/>
        </w:rPr>
      </w:pPr>
      <w:r>
        <w:rPr>
          <w:lang w:eastAsia="en-AU"/>
        </w:rPr>
        <w:t>Training Term 4 (core- other) - Hospital consultation/community/inpatient/other palliative care posts.</w:t>
      </w:r>
    </w:p>
    <w:p w14:paraId="61642E1C" w14:textId="77777777" w:rsidR="00257B86" w:rsidRDefault="00257B86" w:rsidP="00257B86">
      <w:pPr>
        <w:pStyle w:val="AspexBullet1"/>
        <w:numPr>
          <w:ilvl w:val="0"/>
          <w:numId w:val="0"/>
        </w:numPr>
        <w:spacing w:before="240"/>
        <w:jc w:val="left"/>
        <w:rPr>
          <w:lang w:eastAsia="en-AU"/>
        </w:rPr>
      </w:pPr>
      <w:r>
        <w:rPr>
          <w:lang w:eastAsia="en-AU"/>
        </w:rPr>
        <w:t xml:space="preserve">Two additional terms relate to: </w:t>
      </w:r>
    </w:p>
    <w:p w14:paraId="5B49D44B" w14:textId="77777777" w:rsidR="00257B86" w:rsidRDefault="00257B86" w:rsidP="00257B86">
      <w:pPr>
        <w:pStyle w:val="AspexBullet1"/>
        <w:tabs>
          <w:tab w:val="clear" w:pos="1060"/>
          <w:tab w:val="num" w:pos="567"/>
        </w:tabs>
        <w:ind w:left="567" w:hanging="567"/>
        <w:rPr>
          <w:lang w:eastAsia="en-AU"/>
        </w:rPr>
      </w:pPr>
      <w:r>
        <w:rPr>
          <w:lang w:eastAsia="en-AU"/>
        </w:rPr>
        <w:t>Training Term 5 (core - other) - Oncology; and</w:t>
      </w:r>
    </w:p>
    <w:p w14:paraId="3A621F35" w14:textId="77777777" w:rsidR="00257B86" w:rsidRDefault="00257B86" w:rsidP="00257B86">
      <w:pPr>
        <w:pStyle w:val="AspexBullet1"/>
        <w:tabs>
          <w:tab w:val="clear" w:pos="1060"/>
          <w:tab w:val="num" w:pos="567"/>
        </w:tabs>
        <w:spacing w:after="240"/>
        <w:ind w:left="567" w:hanging="567"/>
        <w:rPr>
          <w:lang w:eastAsia="en-AU"/>
        </w:rPr>
      </w:pPr>
      <w:r>
        <w:rPr>
          <w:lang w:eastAsia="en-AU"/>
        </w:rPr>
        <w:t>Training Term 6 - Other specialty, research or academic study.</w:t>
      </w:r>
    </w:p>
    <w:p w14:paraId="6154058D" w14:textId="77777777" w:rsidR="00257B86" w:rsidRDefault="00257B86" w:rsidP="00257B86">
      <w:pPr>
        <w:pStyle w:val="AspexBodyStandard"/>
        <w:rPr>
          <w:lang w:eastAsia="en-AU"/>
        </w:rPr>
      </w:pPr>
      <w:r>
        <w:rPr>
          <w:lang w:eastAsia="en-AU"/>
        </w:rPr>
        <w:t xml:space="preserve">The </w:t>
      </w:r>
      <w:r w:rsidR="00863091">
        <w:rPr>
          <w:lang w:eastAsia="en-AU"/>
        </w:rPr>
        <w:t>Confederation of Postgraduate Medical Councils (CPMEC) requires the additional training term in Oncology</w:t>
      </w:r>
      <w:r>
        <w:rPr>
          <w:lang w:eastAsia="en-AU"/>
        </w:rPr>
        <w:t xml:space="preserve"> if the trainee has not obtained satisfactory prior experience in oncology such as a Radiation Oncologist with FRANZCR. Following assessment at entry </w:t>
      </w:r>
      <w:r>
        <w:rPr>
          <w:lang w:eastAsia="en-AU"/>
        </w:rPr>
        <w:lastRenderedPageBreak/>
        <w:t>into the Palliative Medicine training program the trainee may be required to complete Term 6 in a registrar position that complements prior experience to fill gaps in knowledge and experience as assessed by the CPMEC.</w:t>
      </w:r>
    </w:p>
    <w:p w14:paraId="6F65CF22" w14:textId="51B8003E" w:rsidR="00257B86" w:rsidRDefault="00257B86" w:rsidP="00257B86">
      <w:pPr>
        <w:pStyle w:val="AspexBodyStandard"/>
        <w:rPr>
          <w:lang w:eastAsia="en-AU"/>
        </w:rPr>
      </w:pPr>
      <w:r>
        <w:rPr>
          <w:lang w:eastAsia="en-AU"/>
        </w:rPr>
        <w:t xml:space="preserve">There are additional requirements for those trainees wishing to specialise in paediatric and child </w:t>
      </w:r>
      <w:r w:rsidR="002A2727">
        <w:rPr>
          <w:lang w:eastAsia="en-AU"/>
        </w:rPr>
        <w:t>palliative medicine</w:t>
      </w:r>
      <w:r>
        <w:rPr>
          <w:lang w:eastAsia="en-AU"/>
        </w:rPr>
        <w:t>.</w:t>
      </w:r>
    </w:p>
    <w:p w14:paraId="2FC82E2F" w14:textId="285B1F89" w:rsidR="00C73301" w:rsidRDefault="002A2727" w:rsidP="00C73301">
      <w:pPr>
        <w:pStyle w:val="Heading2"/>
      </w:pPr>
      <w:bookmarkStart w:id="148" w:name="_Toc382313836"/>
      <w:bookmarkEnd w:id="146"/>
      <w:r>
        <w:t>Palliative medicine</w:t>
      </w:r>
      <w:r w:rsidR="00C73301">
        <w:t xml:space="preserve"> </w:t>
      </w:r>
      <w:r>
        <w:t>w</w:t>
      </w:r>
      <w:r w:rsidR="00C73301">
        <w:t>orkforce</w:t>
      </w:r>
      <w:bookmarkEnd w:id="148"/>
    </w:p>
    <w:p w14:paraId="2DA08B08" w14:textId="243052A8" w:rsidR="00C73301" w:rsidRDefault="00C73301" w:rsidP="00C73301">
      <w:pPr>
        <w:pStyle w:val="AspexBodyStandard"/>
      </w:pPr>
      <w:r>
        <w:t>In 2007, it was estimated that there were 114 fulltime equivalents (FTE) designated Palliative Medicine Specialists in Australia, with an estimated FTE per 100</w:t>
      </w:r>
      <w:r w:rsidR="00863091">
        <w:t>,000-population</w:t>
      </w:r>
      <w:r>
        <w:t xml:space="preserve"> </w:t>
      </w:r>
      <w:r w:rsidR="00863091">
        <w:t>rate</w:t>
      </w:r>
      <w:r>
        <w:t xml:space="preserve"> of 0.54.</w:t>
      </w:r>
      <w:r>
        <w:rPr>
          <w:rStyle w:val="FootnoteReference"/>
          <w:rFonts w:cs="Arial"/>
          <w:sz w:val="24"/>
        </w:rPr>
        <w:footnoteReference w:id="92"/>
      </w:r>
      <w:r>
        <w:t xml:space="preserve">  Based on Palliative Care Australia guidelines,</w:t>
      </w:r>
      <w:r>
        <w:rPr>
          <w:rStyle w:val="FootnoteReference"/>
          <w:rFonts w:cs="Arial"/>
          <w:sz w:val="24"/>
        </w:rPr>
        <w:footnoteReference w:id="93"/>
      </w:r>
      <w:r>
        <w:t xml:space="preserve"> previous literature</w:t>
      </w:r>
      <w:r>
        <w:rPr>
          <w:rStyle w:val="FootnoteReference"/>
          <w:rFonts w:cs="Arial"/>
          <w:sz w:val="24"/>
        </w:rPr>
        <w:footnoteReference w:id="94"/>
      </w:r>
      <w:r>
        <w:t xml:space="preserve"> and state service plans,</w:t>
      </w:r>
      <w:r>
        <w:rPr>
          <w:rStyle w:val="FootnoteReference"/>
          <w:rFonts w:cs="Arial"/>
          <w:sz w:val="24"/>
        </w:rPr>
        <w:footnoteReference w:id="95"/>
      </w:r>
      <w:r>
        <w:t xml:space="preserve"> it is recommended that the FTE per 100,000 population ratio should be at least 1.0, meaning that </w:t>
      </w:r>
      <w:r w:rsidRPr="00223B85">
        <w:t>Australia has approximately half the Palliative Medicine Specialists it needs to service its population</w:t>
      </w:r>
      <w:r>
        <w:t>.</w:t>
      </w:r>
      <w:r>
        <w:rPr>
          <w:rStyle w:val="FootnoteReference"/>
          <w:rFonts w:cs="Arial"/>
          <w:sz w:val="24"/>
        </w:rPr>
        <w:footnoteReference w:id="96"/>
      </w:r>
      <w:r w:rsidR="00684BBC">
        <w:t xml:space="preserve"> According to the training criteria, the majority of Palliative Medicine Specialists must have a FRACP or other existing fellowship prior to completing </w:t>
      </w:r>
      <w:r w:rsidR="00761E89">
        <w:t>advanced</w:t>
      </w:r>
      <w:r w:rsidR="00684BBC">
        <w:t xml:space="preserve"> training and attaining their </w:t>
      </w:r>
      <w:proofErr w:type="spellStart"/>
      <w:r w:rsidR="00684BBC">
        <w:t>FAChPM</w:t>
      </w:r>
      <w:proofErr w:type="spellEnd"/>
      <w:r w:rsidR="00684BBC">
        <w:t xml:space="preserve">.  The registration status of specialists billing on the MBS between January 2009 and June 2013 is presented in </w:t>
      </w:r>
      <w:r w:rsidR="00684BBC">
        <w:fldChar w:fldCharType="begin"/>
      </w:r>
      <w:r w:rsidR="00684BBC">
        <w:instrText xml:space="preserve"> REF _Ref250990104 \h </w:instrText>
      </w:r>
      <w:r w:rsidR="00684BBC">
        <w:fldChar w:fldCharType="separate"/>
      </w:r>
      <w:r w:rsidR="009C72FC">
        <w:t xml:space="preserve">Figure </w:t>
      </w:r>
      <w:r w:rsidR="009C72FC">
        <w:rPr>
          <w:noProof/>
        </w:rPr>
        <w:t>4</w:t>
      </w:r>
      <w:r w:rsidR="009C72FC">
        <w:noBreakHyphen/>
      </w:r>
      <w:r w:rsidR="009C72FC">
        <w:rPr>
          <w:noProof/>
        </w:rPr>
        <w:t>1</w:t>
      </w:r>
      <w:r w:rsidR="00684BBC">
        <w:fldChar w:fldCharType="end"/>
      </w:r>
      <w:r w:rsidR="00684BBC">
        <w:t>.</w:t>
      </w:r>
    </w:p>
    <w:p w14:paraId="63226F13" w14:textId="3E88524B" w:rsidR="00684BBC" w:rsidRDefault="00684BBC" w:rsidP="00684BBC">
      <w:pPr>
        <w:pStyle w:val="Caption"/>
      </w:pPr>
      <w:bookmarkStart w:id="149" w:name="_Ref250990104"/>
      <w:bookmarkStart w:id="150" w:name="_Toc382313741"/>
      <w:r>
        <w:t xml:space="preserve">Figure </w:t>
      </w:r>
      <w:fldSimple w:instr=" STYLEREF 1 \s ">
        <w:r w:rsidR="009C72FC">
          <w:rPr>
            <w:noProof/>
          </w:rPr>
          <w:t>4</w:t>
        </w:r>
      </w:fldSimple>
      <w:r>
        <w:noBreakHyphen/>
      </w:r>
      <w:fldSimple w:instr=" SEQ Figure \* ARABIC \s 1 ">
        <w:r w:rsidR="009C72FC">
          <w:rPr>
            <w:noProof/>
          </w:rPr>
          <w:t>1</w:t>
        </w:r>
      </w:fldSimple>
      <w:bookmarkEnd w:id="149"/>
      <w:r>
        <w:rPr>
          <w:noProof/>
        </w:rPr>
        <w:t>:</w:t>
      </w:r>
      <w:r>
        <w:tab/>
        <w:t>Registration status of palliative medicine specialists</w:t>
      </w:r>
      <w:r w:rsidR="00EB31A1">
        <w:t xml:space="preserve"> billing on the MBS </w:t>
      </w:r>
      <w:r w:rsidR="009C1C85">
        <w:t xml:space="preserve">over three years </w:t>
      </w:r>
      <w:r>
        <w:t>(n=142)</w:t>
      </w:r>
      <w:bookmarkEnd w:id="150"/>
    </w:p>
    <w:p w14:paraId="0EAD5AD9" w14:textId="32B1D499" w:rsidR="00342064" w:rsidRPr="00342064" w:rsidRDefault="00342064" w:rsidP="00342064">
      <w:pPr>
        <w:pStyle w:val="AspexBodyStandard"/>
      </w:pPr>
      <w:r>
        <w:rPr>
          <w:noProof/>
          <w:lang w:eastAsia="en-AU"/>
        </w:rPr>
        <w:drawing>
          <wp:inline distT="0" distB="0" distL="0" distR="0" wp14:anchorId="6B35AF05" wp14:editId="69517250">
            <wp:extent cx="5723890" cy="3578213"/>
            <wp:effectExtent l="0" t="0" r="0" b="3810"/>
            <wp:docPr id="14" name="Picture 14" descr="Registration status of palliative medicine specialists billing on the MBS, as discussed in Section 4.2"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3890" cy="3578213"/>
                    </a:xfrm>
                    <a:prstGeom prst="rect">
                      <a:avLst/>
                    </a:prstGeom>
                  </pic:spPr>
                </pic:pic>
              </a:graphicData>
            </a:graphic>
          </wp:inline>
        </w:drawing>
      </w:r>
    </w:p>
    <w:p w14:paraId="6FDE46CB" w14:textId="605178B6" w:rsidR="00684BBC" w:rsidRDefault="00684BBC" w:rsidP="00C73301">
      <w:pPr>
        <w:pStyle w:val="AspexBodyStandard"/>
      </w:pPr>
      <w:r>
        <w:lastRenderedPageBreak/>
        <w:t xml:space="preserve">Registration data indicates that around </w:t>
      </w:r>
      <w:r w:rsidR="00E37F02">
        <w:t>40 percent of</w:t>
      </w:r>
      <w:r>
        <w:t xml:space="preserve"> specialists (39%) are also registered as physicians, around one in five (21%) have some type of GP-related registration, and around one in three (35%) have been recognised as some ‘other medical practitioner’ in addition to their palliative care specialist registration on the MBS.  </w:t>
      </w:r>
    </w:p>
    <w:p w14:paraId="6FD90637" w14:textId="72F8ED7C" w:rsidR="00684BBC" w:rsidRDefault="00684BBC" w:rsidP="00C73301">
      <w:pPr>
        <w:pStyle w:val="AspexBodyStandard"/>
      </w:pPr>
      <w:r w:rsidRPr="00AF711F">
        <w:t xml:space="preserve">More recent </w:t>
      </w:r>
      <w:r>
        <w:t>data provided by the Chapter (2013) reveals that there are 248 current fellows, 216 of whom are 65 years of age or younger and thus considered to be in the active workforce in either a full-time or part-time capacity (</w:t>
      </w:r>
      <w:r>
        <w:fldChar w:fldCharType="begin"/>
      </w:r>
      <w:r>
        <w:instrText xml:space="preserve"> REF _Ref247901856 \h </w:instrText>
      </w:r>
      <w:r>
        <w:fldChar w:fldCharType="separate"/>
      </w:r>
      <w:r w:rsidR="009C72FC">
        <w:t xml:space="preserve">Figure </w:t>
      </w:r>
      <w:r w:rsidR="009C72FC">
        <w:rPr>
          <w:noProof/>
        </w:rPr>
        <w:t>4</w:t>
      </w:r>
      <w:r w:rsidR="009C72FC">
        <w:noBreakHyphen/>
      </w:r>
      <w:r w:rsidR="009C72FC">
        <w:rPr>
          <w:noProof/>
        </w:rPr>
        <w:t>2</w:t>
      </w:r>
      <w:r>
        <w:fldChar w:fldCharType="end"/>
      </w:r>
      <w:r>
        <w:t>).  Dual fellowship data is not comprehe</w:t>
      </w:r>
      <w:r w:rsidR="00E37F02">
        <w:t>nsively recorded by the Chapter, which indicates that the majority of co-fellowships relate to the Royal Australasian College of Physicians (RACP), followed by the Royal Australasian College of General Practitioners (10%). Other Australian fellowships held include those relating to radiology, rehabilitation medicine, rural and remote medicine, anaesthetics (pain medicine), and public health medicine (</w:t>
      </w:r>
      <w:r w:rsidR="00E37F02">
        <w:fldChar w:fldCharType="begin"/>
      </w:r>
      <w:r w:rsidR="00E37F02">
        <w:instrText xml:space="preserve"> REF _Ref247901856 \h </w:instrText>
      </w:r>
      <w:r w:rsidR="00E37F02">
        <w:fldChar w:fldCharType="separate"/>
      </w:r>
      <w:r w:rsidR="009C72FC">
        <w:t xml:space="preserve">Figure </w:t>
      </w:r>
      <w:r w:rsidR="009C72FC">
        <w:rPr>
          <w:noProof/>
        </w:rPr>
        <w:t>4</w:t>
      </w:r>
      <w:r w:rsidR="009C72FC">
        <w:noBreakHyphen/>
      </w:r>
      <w:r w:rsidR="009C72FC">
        <w:rPr>
          <w:noProof/>
        </w:rPr>
        <w:t>2</w:t>
      </w:r>
      <w:r w:rsidR="00E37F02">
        <w:fldChar w:fldCharType="end"/>
      </w:r>
      <w:r w:rsidR="00E37F02">
        <w:t xml:space="preserve">). </w:t>
      </w:r>
    </w:p>
    <w:p w14:paraId="0302701A" w14:textId="24F0A4EF" w:rsidR="00C3179E" w:rsidRDefault="00C3179E" w:rsidP="009F7D7B">
      <w:pPr>
        <w:pStyle w:val="Caption"/>
      </w:pPr>
      <w:bookmarkStart w:id="151" w:name="_Ref247901856"/>
      <w:bookmarkStart w:id="152" w:name="_Toc382313742"/>
      <w:r>
        <w:t xml:space="preserve">Figure </w:t>
      </w:r>
      <w:fldSimple w:instr=" STYLEREF 1 \s ">
        <w:r w:rsidR="009C72FC">
          <w:rPr>
            <w:noProof/>
          </w:rPr>
          <w:t>4</w:t>
        </w:r>
      </w:fldSimple>
      <w:r w:rsidR="00A31FC7">
        <w:noBreakHyphen/>
      </w:r>
      <w:fldSimple w:instr=" SEQ Figure \* ARABIC \s 1 ">
        <w:r w:rsidR="009C72FC">
          <w:rPr>
            <w:noProof/>
          </w:rPr>
          <w:t>2</w:t>
        </w:r>
      </w:fldSimple>
      <w:bookmarkEnd w:id="151"/>
      <w:r>
        <w:rPr>
          <w:noProof/>
        </w:rPr>
        <w:t>:</w:t>
      </w:r>
      <w:r w:rsidR="002167FD">
        <w:tab/>
      </w:r>
      <w:r w:rsidR="009170D4">
        <w:t xml:space="preserve">Number and percent of </w:t>
      </w:r>
      <w:r w:rsidR="002A2727">
        <w:t>f</w:t>
      </w:r>
      <w:r>
        <w:t xml:space="preserve">ellowships held by </w:t>
      </w:r>
      <w:r w:rsidR="002A2727">
        <w:t>palliative medicine</w:t>
      </w:r>
      <w:r>
        <w:t xml:space="preserve"> specialists</w:t>
      </w:r>
      <w:r w:rsidR="00160425">
        <w:t xml:space="preserve"> (n=216)</w:t>
      </w:r>
      <w:r w:rsidR="009170D4">
        <w:rPr>
          <w:rStyle w:val="FootnoteReference"/>
        </w:rPr>
        <w:footnoteReference w:id="97"/>
      </w:r>
      <w:bookmarkEnd w:id="152"/>
    </w:p>
    <w:p w14:paraId="0776BD28" w14:textId="23BC4624" w:rsidR="00342064" w:rsidRPr="00342064" w:rsidRDefault="00342064" w:rsidP="00342064">
      <w:pPr>
        <w:pStyle w:val="AspexBodyStandard"/>
      </w:pPr>
      <w:r>
        <w:rPr>
          <w:noProof/>
          <w:lang w:eastAsia="en-AU"/>
        </w:rPr>
        <w:drawing>
          <wp:inline distT="0" distB="0" distL="0" distR="0" wp14:anchorId="08DBA0DB" wp14:editId="1841C38C">
            <wp:extent cx="5626100" cy="3409950"/>
            <wp:effectExtent l="0" t="0" r="0" b="0"/>
            <wp:docPr id="32" name="Picture 32" descr="Number and percent of fellowships held by palliative medicine specialists, as discussed in Section 4.2 "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26100" cy="3409950"/>
                    </a:xfrm>
                    <a:prstGeom prst="rect">
                      <a:avLst/>
                    </a:prstGeom>
                  </pic:spPr>
                </pic:pic>
              </a:graphicData>
            </a:graphic>
          </wp:inline>
        </w:drawing>
      </w:r>
    </w:p>
    <w:p w14:paraId="1F02A730" w14:textId="07ADA0F9" w:rsidR="00953D74" w:rsidRPr="00953D74" w:rsidRDefault="00E37F02" w:rsidP="00953D74">
      <w:pPr>
        <w:pStyle w:val="AspexHighlightText"/>
        <w:spacing w:before="240"/>
        <w:rPr>
          <w:rStyle w:val="IntenseEmphasis"/>
        </w:rPr>
      </w:pPr>
      <w:r>
        <w:rPr>
          <w:rStyle w:val="IntenseEmphasis"/>
        </w:rPr>
        <w:t>According to MBS registration data and information held by the Chapter of Palliative Medicine, around 40% of palliative medicine specialists</w:t>
      </w:r>
      <w:r w:rsidR="00AF4150" w:rsidRPr="00953D74">
        <w:rPr>
          <w:rStyle w:val="IntenseEmphasis"/>
        </w:rPr>
        <w:t xml:space="preserve"> </w:t>
      </w:r>
      <w:r>
        <w:rPr>
          <w:rStyle w:val="IntenseEmphasis"/>
        </w:rPr>
        <w:t>can cla</w:t>
      </w:r>
      <w:r w:rsidR="0017710F">
        <w:rPr>
          <w:rStyle w:val="IntenseEmphasis"/>
        </w:rPr>
        <w:t>im physician related MBS items.</w:t>
      </w:r>
    </w:p>
    <w:p w14:paraId="633424C9" w14:textId="77777777" w:rsidR="0072627C" w:rsidRDefault="00AF4150" w:rsidP="00820A50">
      <w:pPr>
        <w:pStyle w:val="AspexBodyStandard"/>
      </w:pPr>
      <w:r>
        <w:t xml:space="preserve">The number of fellows working across different jurisdictions is presented in </w:t>
      </w:r>
      <w:r>
        <w:fldChar w:fldCharType="begin"/>
      </w:r>
      <w:r>
        <w:instrText xml:space="preserve"> REF _Ref247902184 \h </w:instrText>
      </w:r>
      <w:r>
        <w:fldChar w:fldCharType="separate"/>
      </w:r>
      <w:r w:rsidR="009C72FC">
        <w:t xml:space="preserve">Figure </w:t>
      </w:r>
      <w:r w:rsidR="009C72FC">
        <w:rPr>
          <w:noProof/>
        </w:rPr>
        <w:t>4</w:t>
      </w:r>
      <w:r w:rsidR="009C72FC">
        <w:noBreakHyphen/>
      </w:r>
      <w:r w:rsidR="009C72FC">
        <w:rPr>
          <w:noProof/>
        </w:rPr>
        <w:t>3</w:t>
      </w:r>
      <w:r>
        <w:fldChar w:fldCharType="end"/>
      </w:r>
      <w:r>
        <w:t xml:space="preserve">, which reveals the highest number of specialists in the most populous states (NSW, VIC, </w:t>
      </w:r>
      <w:proofErr w:type="gramStart"/>
      <w:r>
        <w:t>QLD</w:t>
      </w:r>
      <w:proofErr w:type="gramEnd"/>
      <w:r>
        <w:t>).</w:t>
      </w:r>
    </w:p>
    <w:p w14:paraId="62741327" w14:textId="26C1198E" w:rsidR="00820A50" w:rsidRDefault="00AF4150" w:rsidP="00AF4150">
      <w:pPr>
        <w:pStyle w:val="Caption"/>
      </w:pPr>
      <w:bookmarkStart w:id="153" w:name="_Ref247902184"/>
      <w:bookmarkStart w:id="154" w:name="_Toc382313743"/>
      <w:r>
        <w:t xml:space="preserve">Figure </w:t>
      </w:r>
      <w:fldSimple w:instr=" STYLEREF 1 \s ">
        <w:r w:rsidR="009C72FC">
          <w:rPr>
            <w:noProof/>
          </w:rPr>
          <w:t>4</w:t>
        </w:r>
      </w:fldSimple>
      <w:r w:rsidR="00A31FC7">
        <w:noBreakHyphen/>
      </w:r>
      <w:fldSimple w:instr=" SEQ Figure \* ARABIC \s 1 ">
        <w:r w:rsidR="009C72FC">
          <w:rPr>
            <w:noProof/>
          </w:rPr>
          <w:t>3</w:t>
        </w:r>
      </w:fldSimple>
      <w:bookmarkEnd w:id="153"/>
      <w:r w:rsidR="002167FD">
        <w:t>:</w:t>
      </w:r>
      <w:r w:rsidR="002167FD">
        <w:tab/>
      </w:r>
      <w:r>
        <w:t xml:space="preserve">Number of </w:t>
      </w:r>
      <w:r w:rsidR="002A2727">
        <w:t>c</w:t>
      </w:r>
      <w:r>
        <w:t xml:space="preserve">hapter </w:t>
      </w:r>
      <w:r w:rsidR="002A2727">
        <w:t>f</w:t>
      </w:r>
      <w:r>
        <w:t>ellows working across Australian jurisdictions</w:t>
      </w:r>
      <w:bookmarkEnd w:id="154"/>
    </w:p>
    <w:p w14:paraId="19DE3D3F" w14:textId="3CA77B61" w:rsidR="00C448E4" w:rsidRDefault="00C448E4" w:rsidP="00C448E4">
      <w:pPr>
        <w:pStyle w:val="AspexBodyStandard"/>
      </w:pPr>
      <w:r>
        <w:rPr>
          <w:noProof/>
          <w:lang w:eastAsia="en-AU"/>
        </w:rPr>
        <w:lastRenderedPageBreak/>
        <w:drawing>
          <wp:inline distT="0" distB="0" distL="0" distR="0" wp14:anchorId="0035135B" wp14:editId="304B6F99">
            <wp:extent cx="5723890" cy="2630176"/>
            <wp:effectExtent l="0" t="0" r="0" b="0"/>
            <wp:docPr id="44" name="Picture 44" descr="Number of chapter fellows working across Australian jurisdictions, as discussed in Section 4.2"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3890" cy="2630176"/>
                    </a:xfrm>
                    <a:prstGeom prst="rect">
                      <a:avLst/>
                    </a:prstGeom>
                  </pic:spPr>
                </pic:pic>
              </a:graphicData>
            </a:graphic>
          </wp:inline>
        </w:drawing>
      </w:r>
    </w:p>
    <w:p w14:paraId="63AFD06C" w14:textId="77777777" w:rsidR="00953D74" w:rsidRPr="00953D74" w:rsidRDefault="00AF4150" w:rsidP="00953D74">
      <w:pPr>
        <w:pStyle w:val="AspexHighlightText"/>
        <w:spacing w:before="240"/>
        <w:rPr>
          <w:rStyle w:val="IntenseEmphasis"/>
        </w:rPr>
      </w:pPr>
      <w:r w:rsidRPr="00953D74">
        <w:rPr>
          <w:rStyle w:val="IntenseEmphasis"/>
        </w:rPr>
        <w:t>At a population level, there is a national rate of almost 1 per 100,0</w:t>
      </w:r>
      <w:r w:rsidR="00953D74" w:rsidRPr="00953D74">
        <w:rPr>
          <w:rStyle w:val="IntenseEmphasis"/>
        </w:rPr>
        <w:t>00-population across Australia.</w:t>
      </w:r>
    </w:p>
    <w:p w14:paraId="6ADBACED" w14:textId="7C4E9606" w:rsidR="00AF4150" w:rsidRDefault="00AF4150" w:rsidP="00AF4150">
      <w:pPr>
        <w:pStyle w:val="Caption"/>
      </w:pPr>
      <w:bookmarkStart w:id="155" w:name="_Ref247902680"/>
      <w:bookmarkStart w:id="156" w:name="_Toc382313744"/>
      <w:r>
        <w:t xml:space="preserve">Figure </w:t>
      </w:r>
      <w:fldSimple w:instr=" STYLEREF 1 \s ">
        <w:r w:rsidR="009C72FC">
          <w:rPr>
            <w:noProof/>
          </w:rPr>
          <w:t>4</w:t>
        </w:r>
      </w:fldSimple>
      <w:r w:rsidR="00A31FC7">
        <w:noBreakHyphen/>
      </w:r>
      <w:fldSimple w:instr=" SEQ Figure \* ARABIC \s 1 ">
        <w:r w:rsidR="009C72FC">
          <w:rPr>
            <w:noProof/>
          </w:rPr>
          <w:t>4</w:t>
        </w:r>
      </w:fldSimple>
      <w:bookmarkEnd w:id="155"/>
      <w:r w:rsidR="002167FD">
        <w:t>:</w:t>
      </w:r>
      <w:r w:rsidR="002167FD">
        <w:tab/>
      </w:r>
      <w:r>
        <w:t>Ratio of specialists across Australian jurisdictions per 100,000-population</w:t>
      </w:r>
      <w:bookmarkEnd w:id="156"/>
    </w:p>
    <w:p w14:paraId="50B5B5CB" w14:textId="3EB3A0AC" w:rsidR="00C448E4" w:rsidRPr="00C448E4" w:rsidRDefault="00C448E4" w:rsidP="00C448E4">
      <w:pPr>
        <w:pStyle w:val="AspexBodyStandard"/>
      </w:pPr>
      <w:r>
        <w:rPr>
          <w:noProof/>
          <w:lang w:eastAsia="en-AU"/>
        </w:rPr>
        <w:drawing>
          <wp:inline distT="0" distB="0" distL="0" distR="0" wp14:anchorId="0C27CE1D" wp14:editId="5F19A102">
            <wp:extent cx="5723890" cy="2598377"/>
            <wp:effectExtent l="0" t="0" r="0" b="0"/>
            <wp:docPr id="45" name="Picture 45" descr="Ratio of specialists across Australian jurisdictions per 100,000-population, as discussed in Section 4.2"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23890" cy="2598377"/>
                    </a:xfrm>
                    <a:prstGeom prst="rect">
                      <a:avLst/>
                    </a:prstGeom>
                  </pic:spPr>
                </pic:pic>
              </a:graphicData>
            </a:graphic>
          </wp:inline>
        </w:drawing>
      </w:r>
    </w:p>
    <w:p w14:paraId="175360E5" w14:textId="77777777" w:rsidR="00953D74" w:rsidRDefault="00953D74" w:rsidP="00953D74">
      <w:pPr>
        <w:pStyle w:val="AspexBodyStandard"/>
        <w:rPr>
          <w:lang w:eastAsia="en-AU"/>
        </w:rPr>
      </w:pPr>
      <w:r>
        <w:rPr>
          <w:lang w:eastAsia="en-AU"/>
        </w:rPr>
        <w:t>This rate approaches workforce levels previously suggested for this specialty group</w:t>
      </w:r>
      <w:r w:rsidR="0087762A">
        <w:rPr>
          <w:lang w:eastAsia="en-AU"/>
        </w:rPr>
        <w:t>.</w:t>
      </w:r>
      <w:r>
        <w:rPr>
          <w:rStyle w:val="FootnoteReference"/>
          <w:lang w:eastAsia="en-AU"/>
        </w:rPr>
        <w:footnoteReference w:id="98"/>
      </w:r>
      <w:r w:rsidR="0087762A">
        <w:rPr>
          <w:lang w:eastAsia="en-AU"/>
        </w:rPr>
        <w:t xml:space="preserve"> </w:t>
      </w:r>
      <w:r>
        <w:rPr>
          <w:lang w:eastAsia="en-AU"/>
        </w:rPr>
        <w:t>However, the ratio of specialists to population varies considerably from a maximum of 2.12 in Tasmania, to a minimum of 0.67 in Western Australia (</w:t>
      </w:r>
      <w:r>
        <w:rPr>
          <w:lang w:eastAsia="en-AU"/>
        </w:rPr>
        <w:fldChar w:fldCharType="begin"/>
      </w:r>
      <w:r>
        <w:rPr>
          <w:lang w:eastAsia="en-AU"/>
        </w:rPr>
        <w:instrText xml:space="preserve"> REF _Ref247902680 \h </w:instrText>
      </w:r>
      <w:r>
        <w:rPr>
          <w:lang w:eastAsia="en-AU"/>
        </w:rPr>
      </w:r>
      <w:r>
        <w:rPr>
          <w:lang w:eastAsia="en-AU"/>
        </w:rPr>
        <w:fldChar w:fldCharType="separate"/>
      </w:r>
      <w:r w:rsidR="009C72FC">
        <w:t xml:space="preserve">Figure </w:t>
      </w:r>
      <w:r w:rsidR="009C72FC">
        <w:rPr>
          <w:noProof/>
        </w:rPr>
        <w:t>4</w:t>
      </w:r>
      <w:r w:rsidR="009C72FC">
        <w:noBreakHyphen/>
      </w:r>
      <w:r w:rsidR="009C72FC">
        <w:rPr>
          <w:noProof/>
        </w:rPr>
        <w:t>4</w:t>
      </w:r>
      <w:r>
        <w:rPr>
          <w:lang w:eastAsia="en-AU"/>
        </w:rPr>
        <w:fldChar w:fldCharType="end"/>
      </w:r>
      <w:r>
        <w:rPr>
          <w:lang w:eastAsia="en-AU"/>
        </w:rPr>
        <w:t>).</w:t>
      </w:r>
    </w:p>
    <w:p w14:paraId="74B8F692" w14:textId="57C8CBC9" w:rsidR="008C3BE3" w:rsidRDefault="00AF4150" w:rsidP="00953D74">
      <w:pPr>
        <w:pStyle w:val="AspexBodyStandard"/>
        <w:rPr>
          <w:lang w:eastAsia="en-AU"/>
        </w:rPr>
      </w:pPr>
      <w:r>
        <w:rPr>
          <w:lang w:eastAsia="en-AU"/>
        </w:rPr>
        <w:t xml:space="preserve">Analysis of the age of existing Chapter Fellows reveals that of the 216 estimated to be in the current workforce, </w:t>
      </w:r>
      <w:r w:rsidR="0068600A">
        <w:rPr>
          <w:lang w:eastAsia="en-AU"/>
        </w:rPr>
        <w:t>an average of 8 specialists may leave the workforce each year. More specifically</w:t>
      </w:r>
      <w:r>
        <w:rPr>
          <w:lang w:eastAsia="en-AU"/>
        </w:rPr>
        <w:t>:</w:t>
      </w:r>
    </w:p>
    <w:p w14:paraId="76D846E2" w14:textId="77777777" w:rsidR="008C3BE3" w:rsidRDefault="00BE084B" w:rsidP="00BE084B">
      <w:pPr>
        <w:pStyle w:val="AspexBullet1"/>
        <w:rPr>
          <w:lang w:eastAsia="en-AU"/>
        </w:rPr>
      </w:pPr>
      <w:r>
        <w:rPr>
          <w:lang w:eastAsia="en-AU"/>
        </w:rPr>
        <w:t>14%</w:t>
      </w:r>
      <w:r w:rsidR="00AF4150">
        <w:rPr>
          <w:lang w:eastAsia="en-AU"/>
        </w:rPr>
        <w:t xml:space="preserve"> will have reached the age of retirement within 3 years;</w:t>
      </w:r>
    </w:p>
    <w:p w14:paraId="62243214" w14:textId="77777777" w:rsidR="00AF4150" w:rsidRDefault="00BE084B" w:rsidP="00AF4150">
      <w:pPr>
        <w:pStyle w:val="AspexBullet1"/>
        <w:rPr>
          <w:lang w:eastAsia="en-AU"/>
        </w:rPr>
      </w:pPr>
      <w:r>
        <w:rPr>
          <w:lang w:eastAsia="en-AU"/>
        </w:rPr>
        <w:t>24%</w:t>
      </w:r>
      <w:r w:rsidR="00AF4150">
        <w:rPr>
          <w:lang w:eastAsia="en-AU"/>
        </w:rPr>
        <w:t xml:space="preserve"> will be eligible for retirement in 6 years; and</w:t>
      </w:r>
    </w:p>
    <w:p w14:paraId="21A20B59" w14:textId="77777777" w:rsidR="00BE084B" w:rsidRDefault="00BE084B" w:rsidP="00BE084B">
      <w:pPr>
        <w:pStyle w:val="AspexBullet1"/>
        <w:rPr>
          <w:lang w:eastAsia="en-AU"/>
        </w:rPr>
      </w:pPr>
      <w:r>
        <w:rPr>
          <w:lang w:eastAsia="en-AU"/>
        </w:rPr>
        <w:lastRenderedPageBreak/>
        <w:t>35%</w:t>
      </w:r>
      <w:r w:rsidR="00AF4150">
        <w:rPr>
          <w:lang w:eastAsia="en-AU"/>
        </w:rPr>
        <w:t xml:space="preserve"> may retire within 9 years.</w:t>
      </w:r>
    </w:p>
    <w:p w14:paraId="609A2641" w14:textId="77777777" w:rsidR="00BE084B" w:rsidRDefault="00AF4150" w:rsidP="002A6C76">
      <w:pPr>
        <w:pStyle w:val="AspexBodyStandard"/>
        <w:rPr>
          <w:lang w:eastAsia="en-AU"/>
        </w:rPr>
      </w:pPr>
      <w:r>
        <w:rPr>
          <w:lang w:eastAsia="en-AU"/>
        </w:rPr>
        <w:t>By comparison, the rate of new fellows entering the specialist profession has varied over the past 6 years</w:t>
      </w:r>
      <w:r w:rsidR="0068600A">
        <w:rPr>
          <w:lang w:eastAsia="en-AU"/>
        </w:rPr>
        <w:t xml:space="preserve"> (</w:t>
      </w:r>
      <w:r w:rsidR="0068600A">
        <w:rPr>
          <w:lang w:eastAsia="en-AU"/>
        </w:rPr>
        <w:fldChar w:fldCharType="begin"/>
      </w:r>
      <w:r w:rsidR="0068600A">
        <w:rPr>
          <w:lang w:eastAsia="en-AU"/>
        </w:rPr>
        <w:instrText xml:space="preserve"> REF _Ref247902590 \h </w:instrText>
      </w:r>
      <w:r w:rsidR="0068600A">
        <w:rPr>
          <w:lang w:eastAsia="en-AU"/>
        </w:rPr>
      </w:r>
      <w:r w:rsidR="0068600A">
        <w:rPr>
          <w:lang w:eastAsia="en-AU"/>
        </w:rPr>
        <w:fldChar w:fldCharType="separate"/>
      </w:r>
      <w:r w:rsidR="009C72FC">
        <w:t xml:space="preserve">Figure </w:t>
      </w:r>
      <w:r w:rsidR="009C72FC">
        <w:rPr>
          <w:noProof/>
        </w:rPr>
        <w:t>4</w:t>
      </w:r>
      <w:r w:rsidR="009C72FC">
        <w:noBreakHyphen/>
      </w:r>
      <w:r w:rsidR="009C72FC">
        <w:rPr>
          <w:noProof/>
        </w:rPr>
        <w:t>5</w:t>
      </w:r>
      <w:r w:rsidR="0068600A">
        <w:rPr>
          <w:lang w:eastAsia="en-AU"/>
        </w:rPr>
        <w:fldChar w:fldCharType="end"/>
      </w:r>
      <w:r w:rsidR="0068600A">
        <w:rPr>
          <w:lang w:eastAsia="en-AU"/>
        </w:rPr>
        <w:t xml:space="preserve">).  A recent growth in the number of new fellows would appear to match the rate of potentially retiring </w:t>
      </w:r>
      <w:r w:rsidR="002A6C76">
        <w:rPr>
          <w:lang w:eastAsia="en-AU"/>
        </w:rPr>
        <w:t>fellows;</w:t>
      </w:r>
      <w:r w:rsidR="0068600A">
        <w:rPr>
          <w:lang w:eastAsia="en-AU"/>
        </w:rPr>
        <w:t xml:space="preserve"> however</w:t>
      </w:r>
      <w:r w:rsidR="002A6C76">
        <w:rPr>
          <w:lang w:eastAsia="en-AU"/>
        </w:rPr>
        <w:t>,</w:t>
      </w:r>
      <w:r w:rsidR="0068600A">
        <w:rPr>
          <w:lang w:eastAsia="en-AU"/>
        </w:rPr>
        <w:t xml:space="preserve"> there is insufficient information currently available to estimate any trend.</w:t>
      </w:r>
    </w:p>
    <w:p w14:paraId="14BA6C0D" w14:textId="05876DAE" w:rsidR="006540D8" w:rsidRDefault="0068600A" w:rsidP="0068600A">
      <w:pPr>
        <w:pStyle w:val="Caption"/>
      </w:pPr>
      <w:bookmarkStart w:id="157" w:name="_Ref247902590"/>
      <w:bookmarkStart w:id="158" w:name="_Toc382313745"/>
      <w:r>
        <w:t xml:space="preserve">Figure </w:t>
      </w:r>
      <w:fldSimple w:instr=" STYLEREF 1 \s ">
        <w:r w:rsidR="009C72FC">
          <w:rPr>
            <w:noProof/>
          </w:rPr>
          <w:t>4</w:t>
        </w:r>
      </w:fldSimple>
      <w:r w:rsidR="00A31FC7">
        <w:noBreakHyphen/>
      </w:r>
      <w:fldSimple w:instr=" SEQ Figure \* ARABIC \s 1 ">
        <w:r w:rsidR="009C72FC">
          <w:rPr>
            <w:noProof/>
          </w:rPr>
          <w:t>5</w:t>
        </w:r>
      </w:fldSimple>
      <w:bookmarkEnd w:id="157"/>
      <w:r w:rsidR="002167FD">
        <w:t>:</w:t>
      </w:r>
      <w:r w:rsidR="002167FD">
        <w:tab/>
      </w:r>
      <w:r>
        <w:t>Number of new specialists entering the workforce</w:t>
      </w:r>
      <w:bookmarkEnd w:id="158"/>
    </w:p>
    <w:p w14:paraId="0BF1B270" w14:textId="4489E578" w:rsidR="00C448E4" w:rsidRDefault="00C448E4" w:rsidP="00C448E4">
      <w:pPr>
        <w:pStyle w:val="AspexBodyStandard"/>
      </w:pPr>
      <w:r>
        <w:rPr>
          <w:noProof/>
          <w:lang w:eastAsia="en-AU"/>
        </w:rPr>
        <w:drawing>
          <wp:inline distT="0" distB="0" distL="0" distR="0" wp14:anchorId="79350CCC" wp14:editId="749D3DB4">
            <wp:extent cx="5723890" cy="2660753"/>
            <wp:effectExtent l="0" t="0" r="0" b="6350"/>
            <wp:docPr id="46" name="Picture 46" descr="Number of new specialists entering the workforce as discussed in Section 4.2"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23890" cy="2660753"/>
                    </a:xfrm>
                    <a:prstGeom prst="rect">
                      <a:avLst/>
                    </a:prstGeom>
                  </pic:spPr>
                </pic:pic>
              </a:graphicData>
            </a:graphic>
          </wp:inline>
        </w:drawing>
      </w:r>
    </w:p>
    <w:p w14:paraId="16D53F55" w14:textId="25B022E3" w:rsidR="00257B86" w:rsidRDefault="00257B86" w:rsidP="00257B86">
      <w:pPr>
        <w:pStyle w:val="Heading2"/>
      </w:pPr>
      <w:bookmarkStart w:id="159" w:name="_Toc224375146"/>
      <w:bookmarkStart w:id="160" w:name="_Toc373163147"/>
      <w:bookmarkStart w:id="161" w:name="_Toc382313837"/>
      <w:r>
        <w:t xml:space="preserve">Practice settings for </w:t>
      </w:r>
      <w:bookmarkEnd w:id="159"/>
      <w:bookmarkEnd w:id="160"/>
      <w:r w:rsidR="002A2727">
        <w:t>palliative medicine</w:t>
      </w:r>
      <w:bookmarkEnd w:id="161"/>
    </w:p>
    <w:p w14:paraId="0DEB68B6" w14:textId="77777777" w:rsidR="00257B86" w:rsidRDefault="00257B86" w:rsidP="00257B86">
      <w:pPr>
        <w:pStyle w:val="Heading3"/>
      </w:pPr>
      <w:bookmarkStart w:id="162" w:name="_Toc224038118"/>
      <w:bookmarkStart w:id="163" w:name="_Toc373163148"/>
      <w:bookmarkStart w:id="164" w:name="_Toc382313838"/>
      <w:r>
        <w:t>Public versus private practice</w:t>
      </w:r>
      <w:bookmarkEnd w:id="162"/>
      <w:bookmarkEnd w:id="163"/>
      <w:r w:rsidR="007D38D3">
        <w:t xml:space="preserve"> </w:t>
      </w:r>
      <w:r w:rsidR="005B7A94">
        <w:t>and MBS billing arrangements</w:t>
      </w:r>
      <w:bookmarkEnd w:id="164"/>
    </w:p>
    <w:p w14:paraId="1B1CD6E0" w14:textId="791D903B" w:rsidR="0068600A" w:rsidRDefault="00820A50" w:rsidP="00605B16">
      <w:pPr>
        <w:pStyle w:val="AspexBodyStandard"/>
      </w:pPr>
      <w:r w:rsidRPr="00605B16">
        <w:t xml:space="preserve">Analysis of MBS </w:t>
      </w:r>
      <w:r w:rsidR="00605B16">
        <w:t xml:space="preserve">data </w:t>
      </w:r>
      <w:r w:rsidR="005B7A94">
        <w:t>demonstrated</w:t>
      </w:r>
      <w:r w:rsidR="00605B16">
        <w:t xml:space="preserve"> a wide variation in </w:t>
      </w:r>
      <w:r w:rsidR="005B7A94">
        <w:t>MBS billing practices</w:t>
      </w:r>
      <w:r w:rsidR="00605B16">
        <w:t xml:space="preserve"> across </w:t>
      </w:r>
      <w:r w:rsidR="005B7A94">
        <w:t xml:space="preserve">the </w:t>
      </w:r>
      <w:r w:rsidR="00605B16">
        <w:t xml:space="preserve">different Australian jurisdictions.  On average, around 64% of </w:t>
      </w:r>
      <w:r w:rsidR="00FA3CFD">
        <w:t>F</w:t>
      </w:r>
      <w:r w:rsidR="00605B16">
        <w:t>ello</w:t>
      </w:r>
      <w:r w:rsidR="0068600A">
        <w:t>ws bill MBS items in private or</w:t>
      </w:r>
      <w:r w:rsidR="00605B16">
        <w:t xml:space="preserve"> public hospital settings. Fellows in the Northern Territory and Victoria undertook the lowest proportion of MBS billing.  The highest proportion of MBS billing occurs in Western Australia, followed by Queensland and the Australian Capital Territory</w:t>
      </w:r>
      <w:r w:rsidR="0068600A">
        <w:t xml:space="preserve"> (</w:t>
      </w:r>
      <w:r w:rsidR="0068600A">
        <w:fldChar w:fldCharType="begin"/>
      </w:r>
      <w:r w:rsidR="0068600A">
        <w:instrText xml:space="preserve"> REF _Ref247902889 \h </w:instrText>
      </w:r>
      <w:r w:rsidR="0068600A">
        <w:fldChar w:fldCharType="separate"/>
      </w:r>
      <w:r w:rsidR="009C72FC">
        <w:t xml:space="preserve">Figure </w:t>
      </w:r>
      <w:r w:rsidR="009C72FC">
        <w:rPr>
          <w:noProof/>
        </w:rPr>
        <w:t>4</w:t>
      </w:r>
      <w:r w:rsidR="009C72FC">
        <w:noBreakHyphen/>
      </w:r>
      <w:r w:rsidR="009C72FC">
        <w:rPr>
          <w:noProof/>
        </w:rPr>
        <w:t>6</w:t>
      </w:r>
      <w:r w:rsidR="0068600A">
        <w:fldChar w:fldCharType="end"/>
      </w:r>
      <w:r w:rsidR="0068600A">
        <w:t>)</w:t>
      </w:r>
      <w:r w:rsidR="00605B16">
        <w:t>.</w:t>
      </w:r>
    </w:p>
    <w:p w14:paraId="3C6C112A" w14:textId="13F6DA89" w:rsidR="00953D74" w:rsidRDefault="007F54BB" w:rsidP="0068600A">
      <w:pPr>
        <w:pStyle w:val="AspexBodyStandard"/>
      </w:pPr>
      <w:r>
        <w:t xml:space="preserve">A survey of Chapter Members was undertaken by </w:t>
      </w:r>
      <w:proofErr w:type="spellStart"/>
      <w:r>
        <w:t>AChPM</w:t>
      </w:r>
      <w:proofErr w:type="spellEnd"/>
      <w:r w:rsidR="00203080">
        <w:t xml:space="preserve"> to further inform this application. A total of 106 respondents undertook the surv</w:t>
      </w:r>
      <w:r w:rsidR="00F874A0">
        <w:t>e</w:t>
      </w:r>
      <w:r w:rsidR="00203080">
        <w:t>y.</w:t>
      </w:r>
      <w:r>
        <w:t xml:space="preserve"> </w:t>
      </w:r>
      <w:r w:rsidR="0068600A">
        <w:t xml:space="preserve">Survey data provided from Chapter Fellows indicated that the majority worked in both private and public practice.  </w:t>
      </w:r>
    </w:p>
    <w:p w14:paraId="18DB3E2B" w14:textId="77777777" w:rsidR="00953D74" w:rsidRPr="00953D74" w:rsidRDefault="0068600A" w:rsidP="00953D74">
      <w:pPr>
        <w:pStyle w:val="AspexHighlightText"/>
        <w:spacing w:before="240"/>
        <w:rPr>
          <w:rStyle w:val="IntenseEmphasis"/>
        </w:rPr>
      </w:pPr>
      <w:r w:rsidRPr="00953D74">
        <w:rPr>
          <w:rStyle w:val="IntenseEmphasis"/>
        </w:rPr>
        <w:t xml:space="preserve">MBS billing was reported </w:t>
      </w:r>
      <w:r w:rsidR="00953D74" w:rsidRPr="00953D74">
        <w:rPr>
          <w:rStyle w:val="IntenseEmphasis"/>
        </w:rPr>
        <w:t xml:space="preserve">by specialists </w:t>
      </w:r>
      <w:r w:rsidRPr="00953D74">
        <w:rPr>
          <w:rStyle w:val="IntenseEmphasis"/>
        </w:rPr>
        <w:t xml:space="preserve">to occur in </w:t>
      </w:r>
      <w:r w:rsidR="00953D74">
        <w:rPr>
          <w:rStyle w:val="IntenseEmphasis"/>
        </w:rPr>
        <w:t>similar</w:t>
      </w:r>
      <w:r w:rsidRPr="00953D74">
        <w:rPr>
          <w:rStyle w:val="IntenseEmphasis"/>
        </w:rPr>
        <w:t xml:space="preserve"> proportion</w:t>
      </w:r>
      <w:r w:rsidR="00953D74">
        <w:rPr>
          <w:rStyle w:val="IntenseEmphasis"/>
        </w:rPr>
        <w:t>s</w:t>
      </w:r>
      <w:r w:rsidRPr="00953D74">
        <w:rPr>
          <w:rStyle w:val="IntenseEmphasis"/>
        </w:rPr>
        <w:t xml:space="preserve"> across public and private health services.  </w:t>
      </w:r>
    </w:p>
    <w:p w14:paraId="2DECBD28" w14:textId="77777777" w:rsidR="0068600A" w:rsidRDefault="0068600A" w:rsidP="0068600A">
      <w:pPr>
        <w:pStyle w:val="AspexBodyStandard"/>
      </w:pPr>
      <w:r>
        <w:t xml:space="preserve">The highest proportion of fellows undertaking MBS billing in private health services occurred in Queensland (27%), New South Wales (23%) and Victoria (23%).  The highest proportion of fellows MBS billing in public health services occurred in New South Wales (36%), and Queensland (26%), followed by Victoria (21%). Survey data are presented in </w:t>
      </w:r>
      <w:r>
        <w:fldChar w:fldCharType="begin"/>
      </w:r>
      <w:r>
        <w:instrText xml:space="preserve"> REF _Ref247902983 \h </w:instrText>
      </w:r>
      <w:r>
        <w:fldChar w:fldCharType="separate"/>
      </w:r>
      <w:r w:rsidR="009C72FC">
        <w:t xml:space="preserve">Figure </w:t>
      </w:r>
      <w:r w:rsidR="009C72FC">
        <w:rPr>
          <w:noProof/>
        </w:rPr>
        <w:t>4</w:t>
      </w:r>
      <w:r w:rsidR="009C72FC">
        <w:noBreakHyphen/>
      </w:r>
      <w:r w:rsidR="009C72FC">
        <w:rPr>
          <w:noProof/>
        </w:rPr>
        <w:t>7</w:t>
      </w:r>
      <w:r>
        <w:fldChar w:fldCharType="end"/>
      </w:r>
      <w:r>
        <w:t>.</w:t>
      </w:r>
    </w:p>
    <w:p w14:paraId="4A791261" w14:textId="77777777" w:rsidR="00E37F02" w:rsidRDefault="00E37F02" w:rsidP="0068600A">
      <w:pPr>
        <w:pStyle w:val="AspexBodyStandard"/>
      </w:pPr>
    </w:p>
    <w:p w14:paraId="21C2FB17" w14:textId="77777777" w:rsidR="00E37F02" w:rsidRDefault="00E37F02" w:rsidP="0068600A">
      <w:pPr>
        <w:pStyle w:val="AspexBodyStandard"/>
      </w:pPr>
    </w:p>
    <w:p w14:paraId="6E217095" w14:textId="2098CC7F" w:rsidR="00257B86" w:rsidRDefault="00257B86" w:rsidP="009F7D7B">
      <w:pPr>
        <w:pStyle w:val="Caption"/>
      </w:pPr>
      <w:bookmarkStart w:id="165" w:name="_Ref247902889"/>
      <w:bookmarkStart w:id="166" w:name="_Toc382313746"/>
      <w:r>
        <w:lastRenderedPageBreak/>
        <w:t xml:space="preserve">Figure </w:t>
      </w:r>
      <w:fldSimple w:instr=" STYLEREF 1 \s ">
        <w:r w:rsidR="009C72FC">
          <w:rPr>
            <w:noProof/>
          </w:rPr>
          <w:t>4</w:t>
        </w:r>
      </w:fldSimple>
      <w:r w:rsidR="00A31FC7">
        <w:noBreakHyphen/>
      </w:r>
      <w:fldSimple w:instr=" SEQ Figure \* ARABIC \s 1 ">
        <w:r w:rsidR="009C72FC">
          <w:rPr>
            <w:noProof/>
          </w:rPr>
          <w:t>6</w:t>
        </w:r>
      </w:fldSimple>
      <w:bookmarkEnd w:id="165"/>
      <w:r>
        <w:rPr>
          <w:noProof/>
        </w:rPr>
        <w:t>:</w:t>
      </w:r>
      <w:r w:rsidR="002167FD">
        <w:tab/>
      </w:r>
      <w:r w:rsidR="00605B16">
        <w:t xml:space="preserve">Proportion of </w:t>
      </w:r>
      <w:r w:rsidR="002A2727">
        <w:t>c</w:t>
      </w:r>
      <w:r w:rsidR="00605B16">
        <w:t xml:space="preserve">hapter </w:t>
      </w:r>
      <w:r w:rsidR="002A2727">
        <w:t>f</w:t>
      </w:r>
      <w:r w:rsidR="00605B16">
        <w:t>ellows MBS billing by jurisdiction (2012</w:t>
      </w:r>
      <w:r w:rsidR="00C448E4">
        <w:t xml:space="preserve"> </w:t>
      </w:r>
      <w:r w:rsidR="00605B16">
        <w:t>-</w:t>
      </w:r>
      <w:r w:rsidR="00C448E4">
        <w:t xml:space="preserve"> </w:t>
      </w:r>
      <w:r w:rsidR="00605B16">
        <w:t>13)</w:t>
      </w:r>
      <w:bookmarkEnd w:id="166"/>
    </w:p>
    <w:p w14:paraId="18D4E7E3" w14:textId="3A17BCC6" w:rsidR="00C448E4" w:rsidRPr="00C448E4" w:rsidRDefault="00C448E4" w:rsidP="00C448E4">
      <w:pPr>
        <w:pStyle w:val="AspexBodyStandard"/>
      </w:pPr>
      <w:r>
        <w:rPr>
          <w:noProof/>
          <w:lang w:eastAsia="en-AU"/>
        </w:rPr>
        <w:drawing>
          <wp:inline distT="0" distB="0" distL="0" distR="0" wp14:anchorId="3BB1DD75" wp14:editId="7498DDCE">
            <wp:extent cx="5723890" cy="2779389"/>
            <wp:effectExtent l="0" t="0" r="0" b="2540"/>
            <wp:docPr id="47" name="Picture 47" descr="Proportion of chapter fellows MBS billing by jurisdiction (2012 - 13), as discussed in Section 4.3" title="Figure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23890" cy="2779389"/>
                    </a:xfrm>
                    <a:prstGeom prst="rect">
                      <a:avLst/>
                    </a:prstGeom>
                  </pic:spPr>
                </pic:pic>
              </a:graphicData>
            </a:graphic>
          </wp:inline>
        </w:drawing>
      </w:r>
    </w:p>
    <w:p w14:paraId="5C738CC7" w14:textId="34B91703" w:rsidR="0063267A" w:rsidRDefault="0068600A" w:rsidP="0068600A">
      <w:pPr>
        <w:pStyle w:val="Caption"/>
      </w:pPr>
      <w:bookmarkStart w:id="167" w:name="_Ref247902983"/>
      <w:bookmarkStart w:id="168" w:name="_Toc382313747"/>
      <w:r>
        <w:t xml:space="preserve">Figure </w:t>
      </w:r>
      <w:fldSimple w:instr=" STYLEREF 1 \s ">
        <w:r w:rsidR="009C72FC">
          <w:rPr>
            <w:noProof/>
          </w:rPr>
          <w:t>4</w:t>
        </w:r>
      </w:fldSimple>
      <w:r w:rsidR="00A31FC7">
        <w:noBreakHyphen/>
      </w:r>
      <w:fldSimple w:instr=" SEQ Figure \* ARABIC \s 1 ">
        <w:r w:rsidR="009C72FC">
          <w:rPr>
            <w:noProof/>
          </w:rPr>
          <w:t>7</w:t>
        </w:r>
      </w:fldSimple>
      <w:bookmarkEnd w:id="167"/>
      <w:r w:rsidR="002167FD">
        <w:t>:</w:t>
      </w:r>
      <w:r w:rsidR="002167FD">
        <w:tab/>
      </w:r>
      <w:r>
        <w:t>Self-reported public and private activity undertaken by specialists</w:t>
      </w:r>
      <w:bookmarkEnd w:id="168"/>
    </w:p>
    <w:p w14:paraId="57EC8788" w14:textId="77777777" w:rsidR="0063267A" w:rsidRPr="0063267A" w:rsidRDefault="0063267A" w:rsidP="0063267A">
      <w:pPr>
        <w:pStyle w:val="AspexBodyStandard"/>
        <w:rPr>
          <w:lang w:val="en-US"/>
        </w:rPr>
      </w:pPr>
      <w:r w:rsidRPr="0063267A">
        <w:rPr>
          <w:noProof/>
          <w:lang w:eastAsia="en-AU"/>
        </w:rPr>
        <w:drawing>
          <wp:inline distT="0" distB="0" distL="0" distR="0" wp14:anchorId="6FB71461" wp14:editId="5D95BD68">
            <wp:extent cx="5760000" cy="2702832"/>
            <wp:effectExtent l="0" t="0" r="0" b="2540"/>
            <wp:docPr id="97" name="Picture 35" descr="Self-reported public and private activity undertaken by specialists as discussed in Section 4.3.1" title="Figure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2702832"/>
                    </a:xfrm>
                    <a:prstGeom prst="rect">
                      <a:avLst/>
                    </a:prstGeom>
                    <a:noFill/>
                    <a:ln>
                      <a:noFill/>
                    </a:ln>
                  </pic:spPr>
                </pic:pic>
              </a:graphicData>
            </a:graphic>
          </wp:inline>
        </w:drawing>
      </w:r>
    </w:p>
    <w:p w14:paraId="2818530F" w14:textId="298EB573" w:rsidR="002B186E" w:rsidRDefault="0068600A" w:rsidP="0063267A">
      <w:pPr>
        <w:pStyle w:val="AspexBodyStandard"/>
        <w:rPr>
          <w:lang w:val="en-US"/>
        </w:rPr>
      </w:pPr>
      <w:r>
        <w:rPr>
          <w:lang w:val="en-US"/>
        </w:rPr>
        <w:t xml:space="preserve">Specialists responding to the practice profile survey were also asked which of the current palliative care related items listed on the MBS (Schedule 24) were most frequently </w:t>
      </w:r>
      <w:proofErr w:type="spellStart"/>
      <w:r>
        <w:rPr>
          <w:lang w:val="en-US"/>
        </w:rPr>
        <w:t>utili</w:t>
      </w:r>
      <w:r w:rsidR="002510A5">
        <w:rPr>
          <w:lang w:val="en-US"/>
        </w:rPr>
        <w:t>s</w:t>
      </w:r>
      <w:r>
        <w:rPr>
          <w:lang w:val="en-US"/>
        </w:rPr>
        <w:t>ed</w:t>
      </w:r>
      <w:proofErr w:type="spellEnd"/>
      <w:r>
        <w:rPr>
          <w:lang w:val="en-US"/>
        </w:rPr>
        <w:t xml:space="preserve"> in daily practice. </w:t>
      </w:r>
      <w:r w:rsidR="0072627C">
        <w:rPr>
          <w:lang w:val="en-US"/>
        </w:rPr>
        <w:t>The most frequently billed MBS items reported by fellows, were initial and subsequent attendances in Hospital/Surgery followed by Home assessments and reviews</w:t>
      </w:r>
      <w:r>
        <w:rPr>
          <w:lang w:val="en-US"/>
        </w:rPr>
        <w:t xml:space="preserve">.  These findings are presented in </w:t>
      </w:r>
      <w:r>
        <w:rPr>
          <w:lang w:val="en-US"/>
        </w:rPr>
        <w:fldChar w:fldCharType="begin"/>
      </w:r>
      <w:r>
        <w:rPr>
          <w:lang w:val="en-US"/>
        </w:rPr>
        <w:instrText xml:space="preserve"> REF _Ref247903137 \h </w:instrText>
      </w:r>
      <w:r>
        <w:rPr>
          <w:lang w:val="en-US"/>
        </w:rPr>
      </w:r>
      <w:r>
        <w:rPr>
          <w:lang w:val="en-US"/>
        </w:rPr>
        <w:fldChar w:fldCharType="separate"/>
      </w:r>
      <w:r w:rsidR="009C72FC">
        <w:t xml:space="preserve">Figure </w:t>
      </w:r>
      <w:r w:rsidR="009C72FC">
        <w:rPr>
          <w:noProof/>
        </w:rPr>
        <w:t>4</w:t>
      </w:r>
      <w:r w:rsidR="009C72FC">
        <w:noBreakHyphen/>
      </w:r>
      <w:r w:rsidR="009C72FC">
        <w:rPr>
          <w:noProof/>
        </w:rPr>
        <w:t>8</w:t>
      </w:r>
      <w:r>
        <w:rPr>
          <w:lang w:val="en-US"/>
        </w:rPr>
        <w:fldChar w:fldCharType="end"/>
      </w:r>
      <w:r>
        <w:rPr>
          <w:lang w:val="en-US"/>
        </w:rPr>
        <w:t>.</w:t>
      </w:r>
    </w:p>
    <w:p w14:paraId="62D3BD70" w14:textId="77777777" w:rsidR="002B186E" w:rsidRDefault="002B186E" w:rsidP="002B186E">
      <w:pPr>
        <w:pStyle w:val="AspexBodyStandard"/>
        <w:rPr>
          <w:lang w:val="en-US"/>
        </w:rPr>
      </w:pPr>
      <w:r>
        <w:rPr>
          <w:lang w:val="en-US"/>
        </w:rPr>
        <w:br w:type="page"/>
      </w:r>
    </w:p>
    <w:p w14:paraId="48373A72" w14:textId="3755F42B" w:rsidR="0068600A" w:rsidRPr="0063267A" w:rsidRDefault="0068600A" w:rsidP="0068600A">
      <w:pPr>
        <w:pStyle w:val="Caption"/>
        <w:rPr>
          <w:lang w:val="en-US"/>
        </w:rPr>
      </w:pPr>
      <w:bookmarkStart w:id="169" w:name="_Ref247903137"/>
      <w:bookmarkStart w:id="170" w:name="_Toc382313748"/>
      <w:r>
        <w:lastRenderedPageBreak/>
        <w:t xml:space="preserve">Figure </w:t>
      </w:r>
      <w:fldSimple w:instr=" STYLEREF 1 \s ">
        <w:r w:rsidR="009C72FC">
          <w:rPr>
            <w:noProof/>
          </w:rPr>
          <w:t>4</w:t>
        </w:r>
      </w:fldSimple>
      <w:r w:rsidR="00A31FC7">
        <w:noBreakHyphen/>
      </w:r>
      <w:fldSimple w:instr=" SEQ Figure \* ARABIC \s 1 ">
        <w:r w:rsidR="009C72FC">
          <w:rPr>
            <w:noProof/>
          </w:rPr>
          <w:t>8</w:t>
        </w:r>
      </w:fldSimple>
      <w:bookmarkEnd w:id="169"/>
      <w:r w:rsidR="002167FD">
        <w:t>:</w:t>
      </w:r>
      <w:r w:rsidR="002167FD">
        <w:tab/>
      </w:r>
      <w:r>
        <w:t xml:space="preserve">Self-reported frequency of palliative </w:t>
      </w:r>
      <w:r w:rsidR="00016C6F">
        <w:t xml:space="preserve">medicine </w:t>
      </w:r>
      <w:r>
        <w:t>MBS item billing</w:t>
      </w:r>
      <w:bookmarkEnd w:id="170"/>
    </w:p>
    <w:p w14:paraId="09C9F2A5" w14:textId="77777777" w:rsidR="0072627C" w:rsidRPr="0072627C" w:rsidRDefault="0072627C" w:rsidP="0072627C">
      <w:pPr>
        <w:pStyle w:val="AspexBodyStandard"/>
        <w:rPr>
          <w:lang w:val="en-US"/>
        </w:rPr>
      </w:pPr>
      <w:r w:rsidRPr="0072627C">
        <w:rPr>
          <w:noProof/>
          <w:lang w:eastAsia="en-AU"/>
        </w:rPr>
        <w:drawing>
          <wp:inline distT="0" distB="0" distL="0" distR="0" wp14:anchorId="54901579" wp14:editId="3694A2DE">
            <wp:extent cx="5607855" cy="2931160"/>
            <wp:effectExtent l="0" t="0" r="0" b="2540"/>
            <wp:docPr id="98" name="Picture 37" descr="Self-reported frequency of palliative care MBS item billing as discussed in Section 4.3.1" title="Figure 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855" cy="2931160"/>
                    </a:xfrm>
                    <a:prstGeom prst="rect">
                      <a:avLst/>
                    </a:prstGeom>
                    <a:noFill/>
                    <a:ln>
                      <a:noFill/>
                    </a:ln>
                  </pic:spPr>
                </pic:pic>
              </a:graphicData>
            </a:graphic>
          </wp:inline>
        </w:drawing>
      </w:r>
    </w:p>
    <w:p w14:paraId="236E6581" w14:textId="77777777" w:rsidR="00257B86" w:rsidRDefault="00257B86" w:rsidP="00257B86">
      <w:pPr>
        <w:pStyle w:val="Heading3"/>
      </w:pPr>
      <w:bookmarkStart w:id="171" w:name="_Toc224038119"/>
      <w:bookmarkStart w:id="172" w:name="_Toc373163149"/>
      <w:bookmarkStart w:id="173" w:name="_Toc382313839"/>
      <w:r>
        <w:t>Public practice arrangements</w:t>
      </w:r>
      <w:bookmarkEnd w:id="171"/>
      <w:bookmarkEnd w:id="172"/>
      <w:bookmarkEnd w:id="173"/>
    </w:p>
    <w:p w14:paraId="5D38DD3A" w14:textId="77777777" w:rsidR="00F22AD1" w:rsidRPr="00F22AD1" w:rsidRDefault="00953D74" w:rsidP="00F22AD1">
      <w:pPr>
        <w:pStyle w:val="AspexHighlightText"/>
        <w:spacing w:before="240"/>
        <w:rPr>
          <w:rStyle w:val="IntenseEmphasis"/>
        </w:rPr>
      </w:pPr>
      <w:r w:rsidRPr="00F22AD1">
        <w:rPr>
          <w:rStyle w:val="IntenseEmphasis"/>
        </w:rPr>
        <w:t xml:space="preserve">Almost all specialists work in public sector positions across Australia. </w:t>
      </w:r>
    </w:p>
    <w:p w14:paraId="698BF254" w14:textId="77777777" w:rsidR="00257B86" w:rsidRDefault="00953D74" w:rsidP="00257B86">
      <w:pPr>
        <w:pStyle w:val="AspexBodyStandard"/>
      </w:pPr>
      <w:r>
        <w:t xml:space="preserve">The estimated number of specialist referrals within public sector facilities (hospitals, hospices, community health and residential aged care) </w:t>
      </w:r>
      <w:r w:rsidR="00F22AD1">
        <w:t xml:space="preserve">has been previously presented in Chapter 2. </w:t>
      </w:r>
      <w:r w:rsidR="00257B86">
        <w:t>Referral of patients is either from within the acute setting or may be by virtue of referral from another specialist (e.g. oncologist, physician, surgeons) or by a treating GP through community palliative care service.</w:t>
      </w:r>
    </w:p>
    <w:p w14:paraId="38DC6ED0" w14:textId="77777777" w:rsidR="00F22AD1" w:rsidRPr="00F22AD1" w:rsidRDefault="00953D74" w:rsidP="00F22AD1">
      <w:pPr>
        <w:pStyle w:val="AspexHighlightText"/>
        <w:spacing w:before="240"/>
        <w:rPr>
          <w:rStyle w:val="IntenseEmphasis"/>
        </w:rPr>
      </w:pPr>
      <w:r w:rsidRPr="00F22AD1">
        <w:rPr>
          <w:rStyle w:val="IntenseEmphasis"/>
        </w:rPr>
        <w:t>A major</w:t>
      </w:r>
      <w:r w:rsidR="00257B86" w:rsidRPr="00F22AD1">
        <w:rPr>
          <w:rStyle w:val="IntenseEmphasis"/>
        </w:rPr>
        <w:t xml:space="preserve"> reason for </w:t>
      </w:r>
      <w:r w:rsidRPr="00F22AD1">
        <w:rPr>
          <w:rStyle w:val="IntenseEmphasis"/>
        </w:rPr>
        <w:t>the high proportion of public sector</w:t>
      </w:r>
      <w:r w:rsidR="00257B86" w:rsidRPr="00F22AD1">
        <w:rPr>
          <w:rStyle w:val="IntenseEmphasis"/>
        </w:rPr>
        <w:t xml:space="preserve"> </w:t>
      </w:r>
      <w:r w:rsidRPr="00F22AD1">
        <w:rPr>
          <w:rStyle w:val="IntenseEmphasis"/>
        </w:rPr>
        <w:t>service delivery</w:t>
      </w:r>
      <w:r w:rsidR="00257B86" w:rsidRPr="00F22AD1">
        <w:rPr>
          <w:rStyle w:val="IntenseEmphasis"/>
        </w:rPr>
        <w:t xml:space="preserve"> relates to the multidisciplinary and integrated model of care that is </w:t>
      </w:r>
      <w:r w:rsidR="00F22AD1" w:rsidRPr="00F22AD1">
        <w:rPr>
          <w:rStyle w:val="IntenseEmphasis"/>
        </w:rPr>
        <w:t>required to deliver</w:t>
      </w:r>
      <w:r w:rsidRPr="00F22AD1">
        <w:rPr>
          <w:rStyle w:val="IntenseEmphasis"/>
        </w:rPr>
        <w:t xml:space="preserve"> </w:t>
      </w:r>
      <w:r w:rsidR="00257B86" w:rsidRPr="00F22AD1">
        <w:rPr>
          <w:rStyle w:val="IntenseEmphasis"/>
        </w:rPr>
        <w:t xml:space="preserve">best practice palliative care </w:t>
      </w:r>
      <w:r w:rsidR="00F22AD1" w:rsidRPr="00F22AD1">
        <w:rPr>
          <w:rStyle w:val="IntenseEmphasis"/>
        </w:rPr>
        <w:t>intervention</w:t>
      </w:r>
      <w:r w:rsidRPr="00F22AD1">
        <w:rPr>
          <w:rStyle w:val="IntenseEmphasis"/>
        </w:rPr>
        <w:t>.</w:t>
      </w:r>
    </w:p>
    <w:p w14:paraId="7B93E36C" w14:textId="77777777" w:rsidR="00257B86" w:rsidRDefault="00953D74" w:rsidP="00257B86">
      <w:pPr>
        <w:pStyle w:val="AspexBodyStandard"/>
      </w:pPr>
      <w:r>
        <w:t>In</w:t>
      </w:r>
      <w:r w:rsidR="00257B86">
        <w:t xml:space="preserve"> general, </w:t>
      </w:r>
      <w:r w:rsidR="00F22AD1">
        <w:t>multidisciplinary services are</w:t>
      </w:r>
      <w:r w:rsidR="00257B86">
        <w:t xml:space="preserve"> more readily available</w:t>
      </w:r>
      <w:r>
        <w:t xml:space="preserve"> (and affordable)</w:t>
      </w:r>
      <w:r w:rsidR="00257B86">
        <w:t xml:space="preserve"> in the public sector.  Coordination of allied health, counselling, social worker and aids and equipment and home assistance services are more readily facilitated within the public system, primarily due to the </w:t>
      </w:r>
      <w:r>
        <w:t>existing</w:t>
      </w:r>
      <w:r w:rsidR="00257B86">
        <w:t xml:space="preserve"> funding models </w:t>
      </w:r>
      <w:r>
        <w:t>within the public</w:t>
      </w:r>
      <w:r w:rsidR="00257B86">
        <w:t xml:space="preserve"> </w:t>
      </w:r>
      <w:r>
        <w:t>setting</w:t>
      </w:r>
      <w:r w:rsidR="00257B86">
        <w:t>.</w:t>
      </w:r>
      <w:r>
        <w:t xml:space="preserve"> </w:t>
      </w:r>
    </w:p>
    <w:p w14:paraId="73889979" w14:textId="77777777" w:rsidR="00F22AD1" w:rsidRDefault="00F22AD1" w:rsidP="00F22AD1">
      <w:pPr>
        <w:pStyle w:val="AspexBodyStandard"/>
        <w:ind w:left="346" w:right="425"/>
        <w:jc w:val="center"/>
        <w:rPr>
          <w:rFonts w:ascii="Arial Narrow" w:hAnsi="Arial Narrow"/>
          <w:i/>
          <w:color w:val="A6A6A6" w:themeColor="background1" w:themeShade="A6"/>
          <w:szCs w:val="22"/>
          <w:lang w:eastAsia="en-AU"/>
        </w:rPr>
      </w:pPr>
      <w:r w:rsidRPr="007D38D3">
        <w:rPr>
          <w:rFonts w:ascii="Arial Narrow" w:hAnsi="Arial Narrow"/>
          <w:i/>
          <w:color w:val="A6A6A6" w:themeColor="background1" w:themeShade="A6"/>
          <w:szCs w:val="22"/>
          <w:lang w:eastAsia="en-AU"/>
        </w:rPr>
        <w:t>“There is not a well-developed model of care in private practice mainly because there is no financially viable system (MBS doesn’t support the model of care that is considered best practice in pall care).”</w:t>
      </w:r>
    </w:p>
    <w:p w14:paraId="5A749EE2" w14:textId="77777777" w:rsidR="00F22AD1" w:rsidRDefault="00F22AD1" w:rsidP="00F22AD1">
      <w:pPr>
        <w:pStyle w:val="AspexBodyStandard"/>
        <w:ind w:left="346" w:right="425"/>
        <w:jc w:val="center"/>
        <w:rPr>
          <w:rFonts w:ascii="Arial Narrow" w:hAnsi="Arial Narrow"/>
          <w:i/>
          <w:color w:val="A6A6A6" w:themeColor="background1" w:themeShade="A6"/>
          <w:szCs w:val="22"/>
          <w:lang w:eastAsia="en-AU"/>
        </w:rPr>
      </w:pPr>
      <w:r w:rsidRPr="007D38D3">
        <w:rPr>
          <w:rFonts w:ascii="Arial Narrow" w:hAnsi="Arial Narrow"/>
          <w:i/>
          <w:color w:val="A6A6A6" w:themeColor="background1" w:themeShade="A6"/>
          <w:szCs w:val="22"/>
          <w:lang w:eastAsia="en-AU"/>
        </w:rPr>
        <w:t>“It is hard for us (private hospital provider) to fund a multidisciplinary approach as required by best practice in palliative care within the private health system. It is difficult to cover the cost of the service via a case payment. We currently cross subsidise because we believe we should offer this service but it is not sustainable in the longer term.”</w:t>
      </w:r>
    </w:p>
    <w:p w14:paraId="47001B8B" w14:textId="77777777" w:rsidR="00257B86" w:rsidRDefault="00257B86" w:rsidP="00257B86">
      <w:pPr>
        <w:pStyle w:val="Heading3"/>
      </w:pPr>
      <w:bookmarkStart w:id="174" w:name="_Toc224038120"/>
      <w:bookmarkStart w:id="175" w:name="_Toc373163150"/>
      <w:bookmarkStart w:id="176" w:name="_Toc382313840"/>
      <w:r>
        <w:t>Private practice arrangements</w:t>
      </w:r>
      <w:bookmarkEnd w:id="174"/>
      <w:bookmarkEnd w:id="175"/>
      <w:bookmarkEnd w:id="176"/>
    </w:p>
    <w:p w14:paraId="6A2D7C5C" w14:textId="3E0D254F" w:rsidR="007479AD" w:rsidRDefault="00257B86" w:rsidP="007479AD">
      <w:pPr>
        <w:pStyle w:val="AspexBodyStandard"/>
      </w:pPr>
      <w:r w:rsidRPr="00593F7C">
        <w:t xml:space="preserve">Analysis of de-identified MBS billing data from Chapter Fellows indicates that around </w:t>
      </w:r>
      <w:r w:rsidR="00F22AD1" w:rsidRPr="00593F7C">
        <w:t>64</w:t>
      </w:r>
      <w:r w:rsidRPr="00593F7C">
        <w:t xml:space="preserve">% of all </w:t>
      </w:r>
      <w:r w:rsidR="0081173A">
        <w:t xml:space="preserve">palliative </w:t>
      </w:r>
      <w:r w:rsidR="00184320">
        <w:t>medicine</w:t>
      </w:r>
      <w:r w:rsidRPr="00593F7C">
        <w:t xml:space="preserve"> specialists are likely to provide private services across Australia.  </w:t>
      </w:r>
      <w:r w:rsidR="007479AD">
        <w:lastRenderedPageBreak/>
        <w:t xml:space="preserve">Analysis of the specific billing patterns of each palliative care specialist, the total number of annual </w:t>
      </w:r>
      <w:r w:rsidR="00593F7C">
        <w:t>referrals (captured via analysis of the number of initial presentations)</w:t>
      </w:r>
      <w:r w:rsidR="007479AD">
        <w:t xml:space="preserve"> in 2012-13 </w:t>
      </w:r>
      <w:r w:rsidR="00593F7C" w:rsidRPr="00722901">
        <w:rPr>
          <w:i/>
        </w:rPr>
        <w:t>averages</w:t>
      </w:r>
      <w:r w:rsidR="00593F7C">
        <w:t xml:space="preserve"> </w:t>
      </w:r>
      <w:r w:rsidR="00722901">
        <w:t xml:space="preserve">(per MBS billing specialist) </w:t>
      </w:r>
      <w:r w:rsidR="00593F7C">
        <w:t>around</w:t>
      </w:r>
      <w:r w:rsidR="007479AD">
        <w:t xml:space="preserve">: </w:t>
      </w:r>
    </w:p>
    <w:p w14:paraId="6E08BF98" w14:textId="77777777" w:rsidR="00593F7C" w:rsidRDefault="00593F7C" w:rsidP="007479AD">
      <w:pPr>
        <w:pStyle w:val="AspexBullet1"/>
      </w:pPr>
      <w:r>
        <w:t xml:space="preserve">115 </w:t>
      </w:r>
      <w:r w:rsidR="00B447C8">
        <w:t>referrals</w:t>
      </w:r>
      <w:r>
        <w:t xml:space="preserve"> per specialist each year (</w:t>
      </w:r>
      <w:r>
        <w:fldChar w:fldCharType="begin"/>
      </w:r>
      <w:r>
        <w:instrText xml:space="preserve"> REF _Ref247904803 \h </w:instrText>
      </w:r>
      <w:r>
        <w:fldChar w:fldCharType="separate"/>
      </w:r>
      <w:r w:rsidR="009C72FC">
        <w:t xml:space="preserve">Figure </w:t>
      </w:r>
      <w:r w:rsidR="009C72FC">
        <w:rPr>
          <w:noProof/>
        </w:rPr>
        <w:t>4</w:t>
      </w:r>
      <w:r w:rsidR="009C72FC">
        <w:noBreakHyphen/>
      </w:r>
      <w:r w:rsidR="009C72FC">
        <w:rPr>
          <w:noProof/>
        </w:rPr>
        <w:t>9</w:t>
      </w:r>
      <w:r>
        <w:fldChar w:fldCharType="end"/>
      </w:r>
      <w:r>
        <w:t>);</w:t>
      </w:r>
    </w:p>
    <w:p w14:paraId="60AB12D1" w14:textId="77777777" w:rsidR="007479AD" w:rsidRDefault="007479AD" w:rsidP="007479AD">
      <w:pPr>
        <w:pStyle w:val="AspexBullet1"/>
      </w:pPr>
      <w:r>
        <w:t xml:space="preserve">11 </w:t>
      </w:r>
      <w:r w:rsidR="00B447C8">
        <w:t xml:space="preserve">referrals </w:t>
      </w:r>
      <w:r>
        <w:t>per specialist each month</w:t>
      </w:r>
      <w:r w:rsidR="00593F7C">
        <w:t xml:space="preserve"> </w:t>
      </w:r>
      <w:r w:rsidR="002A6C76">
        <w:t>(</w:t>
      </w:r>
      <w:r w:rsidR="002A6C76">
        <w:fldChar w:fldCharType="begin"/>
      </w:r>
      <w:r w:rsidR="002A6C76">
        <w:instrText xml:space="preserve"> REF _Ref374103162 \h </w:instrText>
      </w:r>
      <w:r w:rsidR="002A6C76">
        <w:fldChar w:fldCharType="separate"/>
      </w:r>
      <w:r w:rsidR="009C72FC">
        <w:t xml:space="preserve">Figure </w:t>
      </w:r>
      <w:r w:rsidR="009C72FC">
        <w:rPr>
          <w:noProof/>
        </w:rPr>
        <w:t>4</w:t>
      </w:r>
      <w:r w:rsidR="009C72FC">
        <w:noBreakHyphen/>
      </w:r>
      <w:r w:rsidR="009C72FC">
        <w:rPr>
          <w:noProof/>
        </w:rPr>
        <w:t>10</w:t>
      </w:r>
      <w:r w:rsidR="002A6C76">
        <w:fldChar w:fldCharType="end"/>
      </w:r>
      <w:r w:rsidR="00593F7C">
        <w:t>)</w:t>
      </w:r>
      <w:r>
        <w:t>;</w:t>
      </w:r>
    </w:p>
    <w:p w14:paraId="1DFDCBA5" w14:textId="77777777" w:rsidR="007479AD" w:rsidRDefault="007479AD" w:rsidP="007479AD">
      <w:pPr>
        <w:pStyle w:val="AspexBullet1"/>
      </w:pPr>
      <w:r>
        <w:t xml:space="preserve">3 </w:t>
      </w:r>
      <w:r w:rsidR="00B447C8">
        <w:t xml:space="preserve">referrals </w:t>
      </w:r>
      <w:r>
        <w:t>per specialist each week</w:t>
      </w:r>
      <w:r w:rsidR="00593F7C">
        <w:t xml:space="preserve"> (</w:t>
      </w:r>
      <w:r w:rsidR="00593F7C">
        <w:fldChar w:fldCharType="begin"/>
      </w:r>
      <w:r w:rsidR="00593F7C">
        <w:instrText xml:space="preserve"> REF _Ref247904824 \h </w:instrText>
      </w:r>
      <w:r w:rsidR="00593F7C">
        <w:fldChar w:fldCharType="separate"/>
      </w:r>
      <w:r w:rsidR="009C72FC">
        <w:t xml:space="preserve">Figure </w:t>
      </w:r>
      <w:r w:rsidR="009C72FC">
        <w:rPr>
          <w:noProof/>
        </w:rPr>
        <w:t>4</w:t>
      </w:r>
      <w:r w:rsidR="009C72FC">
        <w:noBreakHyphen/>
      </w:r>
      <w:r w:rsidR="009C72FC">
        <w:rPr>
          <w:noProof/>
        </w:rPr>
        <w:t>11</w:t>
      </w:r>
      <w:r w:rsidR="00593F7C">
        <w:fldChar w:fldCharType="end"/>
      </w:r>
      <w:r w:rsidR="00593F7C">
        <w:t>)</w:t>
      </w:r>
      <w:r>
        <w:t>; or</w:t>
      </w:r>
    </w:p>
    <w:p w14:paraId="2C7A4C1D" w14:textId="77777777" w:rsidR="007479AD" w:rsidRDefault="007479AD" w:rsidP="007479AD">
      <w:pPr>
        <w:pStyle w:val="AspexBullet1"/>
      </w:pPr>
      <w:r>
        <w:t xml:space="preserve">1 </w:t>
      </w:r>
      <w:r w:rsidR="002A6C76">
        <w:t>referral</w:t>
      </w:r>
      <w:r w:rsidR="00B447C8">
        <w:t xml:space="preserve"> </w:t>
      </w:r>
      <w:r>
        <w:t>per specialist each day</w:t>
      </w:r>
      <w:r w:rsidR="00593F7C">
        <w:t xml:space="preserve"> (</w:t>
      </w:r>
      <w:r w:rsidR="002A6C76">
        <w:fldChar w:fldCharType="begin"/>
      </w:r>
      <w:r w:rsidR="002A6C76">
        <w:instrText xml:space="preserve"> REF _Ref374103218 \h </w:instrText>
      </w:r>
      <w:r w:rsidR="002A6C76">
        <w:fldChar w:fldCharType="separate"/>
      </w:r>
      <w:r w:rsidR="009C72FC">
        <w:t xml:space="preserve">Figure </w:t>
      </w:r>
      <w:r w:rsidR="009C72FC">
        <w:rPr>
          <w:noProof/>
        </w:rPr>
        <w:t>4</w:t>
      </w:r>
      <w:r w:rsidR="009C72FC">
        <w:noBreakHyphen/>
      </w:r>
      <w:r w:rsidR="009C72FC">
        <w:rPr>
          <w:noProof/>
        </w:rPr>
        <w:t>12</w:t>
      </w:r>
      <w:r w:rsidR="002A6C76">
        <w:fldChar w:fldCharType="end"/>
      </w:r>
      <w:r w:rsidR="00593F7C">
        <w:t>)</w:t>
      </w:r>
      <w:r>
        <w:t>.</w:t>
      </w:r>
    </w:p>
    <w:p w14:paraId="6AC6BFD6" w14:textId="23EB5DAB" w:rsidR="00AB6E33" w:rsidRPr="007479AD" w:rsidRDefault="00593F7C" w:rsidP="00593F7C">
      <w:pPr>
        <w:pStyle w:val="Caption"/>
        <w:rPr>
          <w:rFonts w:ascii="Arial Narrow" w:hAnsi="Arial Narrow"/>
          <w:color w:val="A6A6A6" w:themeColor="background1" w:themeShade="A6"/>
          <w:szCs w:val="22"/>
          <w:lang w:eastAsia="en-AU"/>
        </w:rPr>
      </w:pPr>
      <w:bookmarkStart w:id="177" w:name="_Ref247904803"/>
      <w:bookmarkStart w:id="178" w:name="_Toc382313749"/>
      <w:r>
        <w:t xml:space="preserve">Figure </w:t>
      </w:r>
      <w:fldSimple w:instr=" STYLEREF 1 \s ">
        <w:r w:rsidR="009C72FC">
          <w:rPr>
            <w:noProof/>
          </w:rPr>
          <w:t>4</w:t>
        </w:r>
      </w:fldSimple>
      <w:r w:rsidR="00A31FC7">
        <w:noBreakHyphen/>
      </w:r>
      <w:fldSimple w:instr=" SEQ Figure \* ARABIC \s 1 ">
        <w:r w:rsidR="009C72FC">
          <w:rPr>
            <w:noProof/>
          </w:rPr>
          <w:t>9</w:t>
        </w:r>
      </w:fldSimple>
      <w:bookmarkEnd w:id="177"/>
      <w:r w:rsidR="002167FD">
        <w:t>:</w:t>
      </w:r>
      <w:r w:rsidR="002167FD">
        <w:tab/>
      </w:r>
      <w:r>
        <w:t>Number of specialist referrals per annum</w:t>
      </w:r>
      <w:bookmarkEnd w:id="178"/>
    </w:p>
    <w:p w14:paraId="65BA63A2" w14:textId="4A484B94" w:rsidR="002B186E" w:rsidRDefault="00B447C8" w:rsidP="007479AD">
      <w:pPr>
        <w:spacing w:before="0" w:after="0" w:line="240" w:lineRule="auto"/>
        <w:rPr>
          <w:rFonts w:ascii="Times New Roman" w:hAnsi="Times New Roman"/>
          <w:sz w:val="24"/>
        </w:rPr>
      </w:pPr>
      <w:r>
        <w:rPr>
          <w:noProof/>
          <w:lang w:eastAsia="en-AU"/>
        </w:rPr>
        <w:drawing>
          <wp:inline distT="0" distB="0" distL="0" distR="0" wp14:anchorId="7F38E54D" wp14:editId="44C1C631">
            <wp:extent cx="5723890" cy="3600000"/>
            <wp:effectExtent l="0" t="0" r="0" b="635"/>
            <wp:docPr id="125" name="Picture 125" descr="Number of specialist referrals per annum as discussed in Section 4.3.3" title="Figure 4-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5288469B" w14:textId="77777777" w:rsidR="002B186E" w:rsidRDefault="002B186E" w:rsidP="002B186E">
      <w:pPr>
        <w:pStyle w:val="AspexBodyStandard"/>
      </w:pPr>
      <w:r>
        <w:br w:type="page"/>
      </w:r>
    </w:p>
    <w:p w14:paraId="3A8D3776" w14:textId="70176885" w:rsidR="007479AD" w:rsidRPr="007479AD" w:rsidRDefault="00593F7C" w:rsidP="00593F7C">
      <w:pPr>
        <w:pStyle w:val="Caption"/>
        <w:rPr>
          <w:rFonts w:ascii="Times New Roman" w:hAnsi="Times New Roman"/>
          <w:sz w:val="24"/>
        </w:rPr>
      </w:pPr>
      <w:bookmarkStart w:id="179" w:name="_Ref247904814"/>
      <w:bookmarkStart w:id="180" w:name="_Ref374103162"/>
      <w:bookmarkStart w:id="181" w:name="_Toc382313750"/>
      <w:r>
        <w:lastRenderedPageBreak/>
        <w:t xml:space="preserve">Figure </w:t>
      </w:r>
      <w:fldSimple w:instr=" STYLEREF 1 \s ">
        <w:r w:rsidR="009C72FC">
          <w:rPr>
            <w:noProof/>
          </w:rPr>
          <w:t>4</w:t>
        </w:r>
      </w:fldSimple>
      <w:r w:rsidR="00A31FC7">
        <w:noBreakHyphen/>
      </w:r>
      <w:fldSimple w:instr=" SEQ Figure \* ARABIC \s 1 ">
        <w:r w:rsidR="009C72FC">
          <w:rPr>
            <w:noProof/>
          </w:rPr>
          <w:t>10</w:t>
        </w:r>
      </w:fldSimple>
      <w:bookmarkEnd w:id="179"/>
      <w:bookmarkEnd w:id="180"/>
      <w:r w:rsidR="002167FD">
        <w:t>:</w:t>
      </w:r>
      <w:r w:rsidR="002167FD">
        <w:tab/>
      </w:r>
      <w:r>
        <w:t>Number of specialist referrals per month</w:t>
      </w:r>
      <w:bookmarkEnd w:id="181"/>
    </w:p>
    <w:p w14:paraId="56957C23" w14:textId="77777777" w:rsidR="007479AD" w:rsidRPr="007479AD" w:rsidRDefault="00B447C8" w:rsidP="007479AD">
      <w:pPr>
        <w:spacing w:before="0" w:after="0" w:line="240" w:lineRule="auto"/>
        <w:rPr>
          <w:rFonts w:ascii="Times New Roman" w:hAnsi="Times New Roman"/>
          <w:sz w:val="24"/>
        </w:rPr>
      </w:pPr>
      <w:r>
        <w:rPr>
          <w:noProof/>
          <w:lang w:eastAsia="en-AU"/>
        </w:rPr>
        <w:drawing>
          <wp:inline distT="0" distB="0" distL="0" distR="0" wp14:anchorId="58DD0C28" wp14:editId="332849E0">
            <wp:extent cx="5723890" cy="3600000"/>
            <wp:effectExtent l="0" t="0" r="0" b="635"/>
            <wp:docPr id="124" name="Picture 124" descr="Number of specialist referrals per month as discussed in Section 4.3.3" title="Fig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3FC8357D" w14:textId="600BCE62" w:rsidR="007479AD" w:rsidRPr="007479AD" w:rsidRDefault="00593F7C" w:rsidP="00593F7C">
      <w:pPr>
        <w:pStyle w:val="Caption"/>
        <w:rPr>
          <w:rFonts w:ascii="Times New Roman" w:hAnsi="Times New Roman"/>
          <w:sz w:val="24"/>
        </w:rPr>
      </w:pPr>
      <w:bookmarkStart w:id="182" w:name="_Ref247904824"/>
      <w:bookmarkStart w:id="183" w:name="_Toc382313751"/>
      <w:r>
        <w:t xml:space="preserve">Figure </w:t>
      </w:r>
      <w:fldSimple w:instr=" STYLEREF 1 \s ">
        <w:r w:rsidR="009C72FC">
          <w:rPr>
            <w:noProof/>
          </w:rPr>
          <w:t>4</w:t>
        </w:r>
      </w:fldSimple>
      <w:r w:rsidR="00A31FC7">
        <w:noBreakHyphen/>
      </w:r>
      <w:fldSimple w:instr=" SEQ Figure \* ARABIC \s 1 ">
        <w:r w:rsidR="009C72FC">
          <w:rPr>
            <w:noProof/>
          </w:rPr>
          <w:t>11</w:t>
        </w:r>
      </w:fldSimple>
      <w:bookmarkEnd w:id="182"/>
      <w:r w:rsidR="002167FD">
        <w:t>:</w:t>
      </w:r>
      <w:r w:rsidR="002167FD">
        <w:tab/>
      </w:r>
      <w:r>
        <w:t>Number of specialist referrals per week</w:t>
      </w:r>
      <w:bookmarkEnd w:id="183"/>
    </w:p>
    <w:p w14:paraId="7EB8D007" w14:textId="77777777" w:rsidR="007479AD" w:rsidRPr="007479AD" w:rsidRDefault="00B447C8" w:rsidP="007479AD">
      <w:pPr>
        <w:spacing w:before="0" w:after="0" w:line="240" w:lineRule="auto"/>
        <w:rPr>
          <w:rFonts w:ascii="Times New Roman" w:hAnsi="Times New Roman"/>
          <w:sz w:val="24"/>
        </w:rPr>
      </w:pPr>
      <w:r>
        <w:rPr>
          <w:noProof/>
          <w:lang w:eastAsia="en-AU"/>
        </w:rPr>
        <w:drawing>
          <wp:inline distT="0" distB="0" distL="0" distR="0" wp14:anchorId="2BA6ED12" wp14:editId="3DE18516">
            <wp:extent cx="5723890" cy="3600000"/>
            <wp:effectExtent l="0" t="0" r="0" b="635"/>
            <wp:docPr id="126" name="Picture 126" descr="Number of specialist referrals per weekas discussed as in Section 4.3.3" title="Figur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131191A9" w14:textId="674B8726" w:rsidR="007479AD" w:rsidRPr="007479AD" w:rsidRDefault="0023648D" w:rsidP="00593F7C">
      <w:pPr>
        <w:pStyle w:val="Caption"/>
        <w:rPr>
          <w:rFonts w:ascii="Times New Roman" w:hAnsi="Times New Roman"/>
          <w:sz w:val="24"/>
        </w:rPr>
      </w:pPr>
      <w:bookmarkStart w:id="184" w:name="_Ref247904836"/>
      <w:r>
        <w:br w:type="column"/>
      </w:r>
      <w:bookmarkStart w:id="185" w:name="_Ref374103218"/>
      <w:bookmarkStart w:id="186" w:name="_Toc382313752"/>
      <w:r w:rsidR="00593F7C">
        <w:lastRenderedPageBreak/>
        <w:t xml:space="preserve">Figure </w:t>
      </w:r>
      <w:fldSimple w:instr=" STYLEREF 1 \s ">
        <w:r w:rsidR="009C72FC">
          <w:rPr>
            <w:noProof/>
          </w:rPr>
          <w:t>4</w:t>
        </w:r>
      </w:fldSimple>
      <w:r w:rsidR="00A31FC7">
        <w:noBreakHyphen/>
      </w:r>
      <w:fldSimple w:instr=" SEQ Figure \* ARABIC \s 1 ">
        <w:r w:rsidR="009C72FC">
          <w:rPr>
            <w:noProof/>
          </w:rPr>
          <w:t>12</w:t>
        </w:r>
      </w:fldSimple>
      <w:bookmarkEnd w:id="184"/>
      <w:bookmarkEnd w:id="185"/>
      <w:r w:rsidR="002167FD">
        <w:t>:</w:t>
      </w:r>
      <w:r w:rsidR="002167FD">
        <w:tab/>
      </w:r>
      <w:r w:rsidR="00593F7C">
        <w:t>Number of specialist referrals per day</w:t>
      </w:r>
      <w:bookmarkEnd w:id="186"/>
    </w:p>
    <w:p w14:paraId="240DB047" w14:textId="77777777" w:rsidR="007479AD" w:rsidRPr="007479AD" w:rsidRDefault="00B42A87" w:rsidP="007479AD">
      <w:pPr>
        <w:spacing w:before="0" w:after="0" w:line="240" w:lineRule="auto"/>
        <w:rPr>
          <w:rFonts w:ascii="Times New Roman" w:hAnsi="Times New Roman"/>
          <w:sz w:val="24"/>
        </w:rPr>
      </w:pPr>
      <w:r>
        <w:rPr>
          <w:noProof/>
          <w:lang w:eastAsia="en-AU"/>
        </w:rPr>
        <w:drawing>
          <wp:inline distT="0" distB="0" distL="0" distR="0" wp14:anchorId="0FBB63A7" wp14:editId="22EABC29">
            <wp:extent cx="5723890" cy="3600000"/>
            <wp:effectExtent l="0" t="0" r="0" b="635"/>
            <wp:docPr id="7" name="Picture 7" descr="Number of specialist referrals per day as discussed in Section 4.3.3" title="Figure 4-1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3C3049E4" w14:textId="77777777" w:rsidR="0023648D" w:rsidRDefault="00593F7C" w:rsidP="0023648D">
      <w:pPr>
        <w:pStyle w:val="AspexBodyStandard"/>
      </w:pPr>
      <w:r>
        <w:t>Analysis of total MBS billing patterns by speciali</w:t>
      </w:r>
      <w:r w:rsidR="004161E1">
        <w:t>sts indicates that the average number of MBS items claimed per year is around 550, but with significant variation between specialists (Median = 210). A small number of specialists are billing 3000 or more episodes per annum (</w:t>
      </w:r>
      <w:r w:rsidR="002A6C76">
        <w:fldChar w:fldCharType="begin"/>
      </w:r>
      <w:r w:rsidR="002A6C76">
        <w:instrText xml:space="preserve"> REF _Ref374103253 \h </w:instrText>
      </w:r>
      <w:r w:rsidR="002A6C76">
        <w:fldChar w:fldCharType="separate"/>
      </w:r>
      <w:r w:rsidR="009C72FC">
        <w:t xml:space="preserve">Figure </w:t>
      </w:r>
      <w:r w:rsidR="009C72FC">
        <w:rPr>
          <w:noProof/>
        </w:rPr>
        <w:t>4</w:t>
      </w:r>
      <w:r w:rsidR="009C72FC">
        <w:noBreakHyphen/>
      </w:r>
      <w:r w:rsidR="009C72FC">
        <w:rPr>
          <w:noProof/>
        </w:rPr>
        <w:t>13</w:t>
      </w:r>
      <w:r w:rsidR="002A6C76">
        <w:fldChar w:fldCharType="end"/>
      </w:r>
      <w:r w:rsidR="00C11DB3">
        <w:t>).</w:t>
      </w:r>
      <w:r w:rsidR="00B447C8">
        <w:t xml:space="preserve">  </w:t>
      </w:r>
      <w:r w:rsidR="0023648D">
        <w:t xml:space="preserve">Results are presented in </w:t>
      </w:r>
      <w:r w:rsidR="002A6C76">
        <w:fldChar w:fldCharType="begin"/>
      </w:r>
      <w:r w:rsidR="002A6C76">
        <w:instrText xml:space="preserve"> REF _Ref374103253 \h </w:instrText>
      </w:r>
      <w:r w:rsidR="002A6C76">
        <w:fldChar w:fldCharType="separate"/>
      </w:r>
      <w:r w:rsidR="009C72FC">
        <w:t xml:space="preserve">Figure </w:t>
      </w:r>
      <w:r w:rsidR="009C72FC">
        <w:rPr>
          <w:noProof/>
        </w:rPr>
        <w:t>4</w:t>
      </w:r>
      <w:r w:rsidR="009C72FC">
        <w:noBreakHyphen/>
      </w:r>
      <w:r w:rsidR="009C72FC">
        <w:rPr>
          <w:noProof/>
        </w:rPr>
        <w:t>13</w:t>
      </w:r>
      <w:r w:rsidR="002A6C76">
        <w:fldChar w:fldCharType="end"/>
      </w:r>
      <w:r w:rsidR="0023648D">
        <w:t xml:space="preserve"> to </w:t>
      </w:r>
      <w:r w:rsidR="0023648D">
        <w:fldChar w:fldCharType="begin"/>
      </w:r>
      <w:r w:rsidR="0023648D">
        <w:instrText xml:space="preserve"> REF _Ref247907651 \h </w:instrText>
      </w:r>
      <w:r w:rsidR="0023648D">
        <w:fldChar w:fldCharType="separate"/>
      </w:r>
      <w:r w:rsidR="009C72FC">
        <w:t xml:space="preserve">Figure </w:t>
      </w:r>
      <w:r w:rsidR="009C72FC">
        <w:rPr>
          <w:noProof/>
        </w:rPr>
        <w:t>4</w:t>
      </w:r>
      <w:r w:rsidR="009C72FC">
        <w:noBreakHyphen/>
      </w:r>
      <w:r w:rsidR="009C72FC">
        <w:rPr>
          <w:noProof/>
        </w:rPr>
        <w:t>16</w:t>
      </w:r>
      <w:r w:rsidR="0023648D">
        <w:fldChar w:fldCharType="end"/>
      </w:r>
      <w:r w:rsidR="0023648D">
        <w:t xml:space="preserve"> below.</w:t>
      </w:r>
    </w:p>
    <w:p w14:paraId="238F8F37" w14:textId="77777777" w:rsidR="00B447C8" w:rsidRPr="00B447C8" w:rsidRDefault="00B447C8" w:rsidP="00B447C8">
      <w:pPr>
        <w:pStyle w:val="AspexHighlightText"/>
        <w:spacing w:before="240"/>
        <w:rPr>
          <w:rStyle w:val="IntenseEmphasis"/>
        </w:rPr>
      </w:pPr>
      <w:r w:rsidRPr="00B447C8">
        <w:rPr>
          <w:rStyle w:val="IntenseEmphasis"/>
        </w:rPr>
        <w:t>Most specialists undertake around 4 to 5 MBS billed consultations per day, 2 to 3 times per week, for 33 to 36 weeks each year.</w:t>
      </w:r>
    </w:p>
    <w:p w14:paraId="5575ED39" w14:textId="6B79EA1B" w:rsidR="004161E1" w:rsidRDefault="0023648D" w:rsidP="004161E1">
      <w:pPr>
        <w:pStyle w:val="Caption"/>
      </w:pPr>
      <w:bookmarkStart w:id="187" w:name="_Ref247906208"/>
      <w:r>
        <w:br w:type="column"/>
      </w:r>
      <w:bookmarkStart w:id="188" w:name="_Ref374103253"/>
      <w:bookmarkStart w:id="189" w:name="_Toc382313753"/>
      <w:r w:rsidR="004161E1">
        <w:lastRenderedPageBreak/>
        <w:t xml:space="preserve">Figure </w:t>
      </w:r>
      <w:fldSimple w:instr=" STYLEREF 1 \s ">
        <w:r w:rsidR="009C72FC">
          <w:rPr>
            <w:noProof/>
          </w:rPr>
          <w:t>4</w:t>
        </w:r>
      </w:fldSimple>
      <w:r w:rsidR="00A31FC7">
        <w:noBreakHyphen/>
      </w:r>
      <w:fldSimple w:instr=" SEQ Figure \* ARABIC \s 1 ">
        <w:r w:rsidR="009C72FC">
          <w:rPr>
            <w:noProof/>
          </w:rPr>
          <w:t>13</w:t>
        </w:r>
      </w:fldSimple>
      <w:bookmarkEnd w:id="187"/>
      <w:bookmarkEnd w:id="188"/>
      <w:r w:rsidR="002167FD">
        <w:t>:</w:t>
      </w:r>
      <w:r w:rsidR="002167FD">
        <w:tab/>
      </w:r>
      <w:r w:rsidR="004161E1">
        <w:t>Total MBS billing episodes per annum</w:t>
      </w:r>
      <w:bookmarkEnd w:id="189"/>
    </w:p>
    <w:p w14:paraId="281A7F0C" w14:textId="77777777" w:rsidR="004161E1" w:rsidRDefault="00C23BF5" w:rsidP="00593F7C">
      <w:pPr>
        <w:pStyle w:val="AspexBodyStandard"/>
      </w:pPr>
      <w:r>
        <w:rPr>
          <w:noProof/>
          <w:lang w:eastAsia="en-AU"/>
        </w:rPr>
        <w:drawing>
          <wp:inline distT="0" distB="0" distL="0" distR="0" wp14:anchorId="2241371B" wp14:editId="3AEBC1DA">
            <wp:extent cx="5723890" cy="3600000"/>
            <wp:effectExtent l="0" t="0" r="0" b="635"/>
            <wp:docPr id="119" name="Picture 119" descr="Total MBS billing episodes per annum as discussed in Section 4.3.3" title="Figure 4-1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1B88B2F2" w14:textId="5D93A54C" w:rsidR="004161E1" w:rsidRDefault="004161E1" w:rsidP="004161E1">
      <w:pPr>
        <w:pStyle w:val="Caption"/>
      </w:pPr>
      <w:bookmarkStart w:id="190" w:name="_Toc382313754"/>
      <w:r>
        <w:t xml:space="preserve">Figure </w:t>
      </w:r>
      <w:fldSimple w:instr=" STYLEREF 1 \s ">
        <w:r w:rsidR="009C72FC">
          <w:rPr>
            <w:noProof/>
          </w:rPr>
          <w:t>4</w:t>
        </w:r>
      </w:fldSimple>
      <w:r w:rsidR="00A31FC7">
        <w:noBreakHyphen/>
      </w:r>
      <w:fldSimple w:instr=" SEQ Figure \* ARABIC \s 1 ">
        <w:r w:rsidR="009C72FC">
          <w:rPr>
            <w:noProof/>
          </w:rPr>
          <w:t>14</w:t>
        </w:r>
      </w:fldSimple>
      <w:r w:rsidR="002167FD">
        <w:t>:</w:t>
      </w:r>
      <w:r w:rsidR="002167FD">
        <w:tab/>
      </w:r>
      <w:r>
        <w:t>Average MBS billing episodes per day</w:t>
      </w:r>
      <w:bookmarkEnd w:id="190"/>
    </w:p>
    <w:p w14:paraId="6645C19B" w14:textId="77777777" w:rsidR="004161E1" w:rsidRDefault="00C23BF5" w:rsidP="00593F7C">
      <w:pPr>
        <w:pStyle w:val="AspexBodyStandard"/>
      </w:pPr>
      <w:r>
        <w:rPr>
          <w:noProof/>
          <w:lang w:eastAsia="en-AU"/>
        </w:rPr>
        <w:drawing>
          <wp:inline distT="0" distB="0" distL="0" distR="0" wp14:anchorId="0178A722" wp14:editId="0CB07C27">
            <wp:extent cx="5723890" cy="3600000"/>
            <wp:effectExtent l="0" t="0" r="0" b="635"/>
            <wp:docPr id="123" name="Picture 123" descr="Average MBS billing episodes per day as discussed in Section 4.3.3" title="Figure 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1D215364" w14:textId="77777777" w:rsidR="004161E1" w:rsidRDefault="004161E1" w:rsidP="00593F7C">
      <w:pPr>
        <w:pStyle w:val="AspexBodyStandard"/>
      </w:pPr>
    </w:p>
    <w:p w14:paraId="2288F560" w14:textId="5B1A4B59" w:rsidR="004161E1" w:rsidRDefault="007845BC" w:rsidP="004161E1">
      <w:pPr>
        <w:pStyle w:val="Caption"/>
      </w:pPr>
      <w:bookmarkStart w:id="191" w:name="_Ref247907643"/>
      <w:r>
        <w:br w:type="column"/>
      </w:r>
      <w:bookmarkStart w:id="192" w:name="_Toc382313755"/>
      <w:r w:rsidR="004161E1">
        <w:lastRenderedPageBreak/>
        <w:t xml:space="preserve">Figure </w:t>
      </w:r>
      <w:fldSimple w:instr=" STYLEREF 1 \s ">
        <w:r w:rsidR="009C72FC">
          <w:rPr>
            <w:noProof/>
          </w:rPr>
          <w:t>4</w:t>
        </w:r>
      </w:fldSimple>
      <w:r w:rsidR="00A31FC7">
        <w:noBreakHyphen/>
      </w:r>
      <w:fldSimple w:instr=" SEQ Figure \* ARABIC \s 1 ">
        <w:r w:rsidR="009C72FC">
          <w:rPr>
            <w:noProof/>
          </w:rPr>
          <w:t>15</w:t>
        </w:r>
      </w:fldSimple>
      <w:bookmarkEnd w:id="191"/>
      <w:r w:rsidR="002167FD">
        <w:t>:</w:t>
      </w:r>
      <w:r w:rsidR="002167FD">
        <w:tab/>
      </w:r>
      <w:r w:rsidR="004161E1">
        <w:t>Average days per week of MBS billing</w:t>
      </w:r>
      <w:bookmarkEnd w:id="192"/>
      <w:r w:rsidR="004161E1">
        <w:t xml:space="preserve"> </w:t>
      </w:r>
    </w:p>
    <w:p w14:paraId="7B3A39BD" w14:textId="77777777" w:rsidR="004161E1" w:rsidRDefault="00C23BF5" w:rsidP="00593F7C">
      <w:pPr>
        <w:pStyle w:val="AspexBodyStandard"/>
      </w:pPr>
      <w:r>
        <w:rPr>
          <w:noProof/>
          <w:lang w:eastAsia="en-AU"/>
        </w:rPr>
        <w:drawing>
          <wp:inline distT="0" distB="0" distL="0" distR="0" wp14:anchorId="69978B81" wp14:editId="75CFC710">
            <wp:extent cx="5723890" cy="3600000"/>
            <wp:effectExtent l="0" t="0" r="0" b="635"/>
            <wp:docPr id="128" name="Picture 128" descr="Average days per week of MBS billing  as discussed in Section 4.3.3" title="Figure 4 1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03C60E03" w14:textId="41B97C06" w:rsidR="004161E1" w:rsidRDefault="004161E1" w:rsidP="004161E1">
      <w:pPr>
        <w:pStyle w:val="Caption"/>
      </w:pPr>
      <w:bookmarkStart w:id="193" w:name="_Ref247907651"/>
      <w:bookmarkStart w:id="194" w:name="_Toc382313756"/>
      <w:r>
        <w:t xml:space="preserve">Figure </w:t>
      </w:r>
      <w:fldSimple w:instr=" STYLEREF 1 \s ">
        <w:r w:rsidR="009C72FC">
          <w:rPr>
            <w:noProof/>
          </w:rPr>
          <w:t>4</w:t>
        </w:r>
      </w:fldSimple>
      <w:r w:rsidR="00A31FC7">
        <w:noBreakHyphen/>
      </w:r>
      <w:fldSimple w:instr=" SEQ Figure \* ARABIC \s 1 ">
        <w:r w:rsidR="009C72FC">
          <w:rPr>
            <w:noProof/>
          </w:rPr>
          <w:t>16</w:t>
        </w:r>
      </w:fldSimple>
      <w:bookmarkEnd w:id="193"/>
      <w:r w:rsidR="002167FD">
        <w:t>:</w:t>
      </w:r>
      <w:r w:rsidR="002167FD">
        <w:tab/>
      </w:r>
      <w:r>
        <w:t>Average weeks per year of MBS billing</w:t>
      </w:r>
      <w:bookmarkEnd w:id="194"/>
      <w:r>
        <w:t xml:space="preserve"> </w:t>
      </w:r>
    </w:p>
    <w:p w14:paraId="6014306D" w14:textId="77777777" w:rsidR="004161E1" w:rsidRDefault="00C23BF5" w:rsidP="00593F7C">
      <w:pPr>
        <w:pStyle w:val="AspexBodyStandard"/>
      </w:pPr>
      <w:r>
        <w:rPr>
          <w:noProof/>
          <w:lang w:eastAsia="en-AU"/>
        </w:rPr>
        <w:drawing>
          <wp:inline distT="0" distB="0" distL="0" distR="0" wp14:anchorId="3F14A840" wp14:editId="16876769">
            <wp:extent cx="5723890" cy="3600000"/>
            <wp:effectExtent l="0" t="0" r="0" b="635"/>
            <wp:docPr id="120" name="Picture 120" descr="Average weeks per year of MBS billing  as discussed in Section 4.3.3" title="Figure 4-1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723890" cy="3600000"/>
                    </a:xfrm>
                    <a:prstGeom prst="rect">
                      <a:avLst/>
                    </a:prstGeom>
                    <a:noFill/>
                    <a:ln w="9525">
                      <a:noFill/>
                      <a:miter lim="800000"/>
                      <a:headEnd/>
                      <a:tailEnd/>
                    </a:ln>
                  </pic:spPr>
                </pic:pic>
              </a:graphicData>
            </a:graphic>
          </wp:inline>
        </w:drawing>
      </w:r>
    </w:p>
    <w:p w14:paraId="0192AD4D" w14:textId="77777777" w:rsidR="004161E1" w:rsidRDefault="004161E1" w:rsidP="00593F7C">
      <w:pPr>
        <w:pStyle w:val="AspexBodyStandard"/>
      </w:pPr>
    </w:p>
    <w:p w14:paraId="730F256E" w14:textId="77777777" w:rsidR="00FD2636" w:rsidRDefault="00FD2636" w:rsidP="00FD2636">
      <w:pPr>
        <w:pStyle w:val="Heading2"/>
      </w:pPr>
      <w:bookmarkStart w:id="195" w:name="_Toc373163140"/>
      <w:bookmarkStart w:id="196" w:name="_Toc382313841"/>
      <w:r>
        <w:lastRenderedPageBreak/>
        <w:t>Comparator specialty groups</w:t>
      </w:r>
      <w:bookmarkEnd w:id="195"/>
      <w:bookmarkEnd w:id="196"/>
    </w:p>
    <w:p w14:paraId="271BF196" w14:textId="77777777" w:rsidR="00B447C8" w:rsidRDefault="0034677F" w:rsidP="00B447C8">
      <w:pPr>
        <w:pStyle w:val="AspexBodyStandard"/>
      </w:pPr>
      <w:r>
        <w:t>A wide range of different medical specialties are likely to be involved in palliative management of patients in the final stages of illness; including (but by no means limited to):</w:t>
      </w:r>
    </w:p>
    <w:p w14:paraId="760FD9D6" w14:textId="195D1E78" w:rsidR="0034677F" w:rsidRDefault="0081173A" w:rsidP="0034677F">
      <w:pPr>
        <w:pStyle w:val="AspexBullet1"/>
      </w:pPr>
      <w:r>
        <w:t>GPs</w:t>
      </w:r>
      <w:r w:rsidR="0034677F">
        <w:t>;</w:t>
      </w:r>
    </w:p>
    <w:p w14:paraId="5924D87B" w14:textId="77777777" w:rsidR="0034677F" w:rsidRDefault="0034677F" w:rsidP="0034677F">
      <w:pPr>
        <w:pStyle w:val="AspexBullet1"/>
      </w:pPr>
      <w:r>
        <w:t>Oncologists;</w:t>
      </w:r>
    </w:p>
    <w:p w14:paraId="7591DCB1" w14:textId="77777777" w:rsidR="0034677F" w:rsidRDefault="0034677F" w:rsidP="0034677F">
      <w:pPr>
        <w:pStyle w:val="AspexBullet1"/>
      </w:pPr>
      <w:r>
        <w:t>Geriatricians;</w:t>
      </w:r>
    </w:p>
    <w:p w14:paraId="77CC75B9" w14:textId="77777777" w:rsidR="0034677F" w:rsidRDefault="0034677F" w:rsidP="0034677F">
      <w:pPr>
        <w:pStyle w:val="AspexBullet1"/>
      </w:pPr>
      <w:r>
        <w:t>General physicians;</w:t>
      </w:r>
    </w:p>
    <w:p w14:paraId="79CD2B1F" w14:textId="77777777" w:rsidR="0034677F" w:rsidRDefault="0034677F" w:rsidP="0034677F">
      <w:pPr>
        <w:pStyle w:val="AspexBullet1"/>
      </w:pPr>
      <w:r>
        <w:t>Cardiologists;</w:t>
      </w:r>
    </w:p>
    <w:p w14:paraId="4EFC3A46" w14:textId="77777777" w:rsidR="0034677F" w:rsidRDefault="0034677F" w:rsidP="0034677F">
      <w:pPr>
        <w:pStyle w:val="AspexBullet1"/>
      </w:pPr>
      <w:r>
        <w:t>Renal physicians;</w:t>
      </w:r>
    </w:p>
    <w:p w14:paraId="3D546C91" w14:textId="77777777" w:rsidR="0034677F" w:rsidRDefault="0034677F" w:rsidP="0034677F">
      <w:pPr>
        <w:pStyle w:val="AspexBullet1"/>
      </w:pPr>
      <w:r>
        <w:t>Respiratory physicians; and</w:t>
      </w:r>
    </w:p>
    <w:p w14:paraId="6AD5C80C" w14:textId="77777777" w:rsidR="0034677F" w:rsidRDefault="0034677F" w:rsidP="0034677F">
      <w:pPr>
        <w:pStyle w:val="AspexBullet1"/>
      </w:pPr>
      <w:r>
        <w:t>A number of different surgical specialists.</w:t>
      </w:r>
    </w:p>
    <w:p w14:paraId="2668583E" w14:textId="61A9333A" w:rsidR="00341104" w:rsidRDefault="0034677F" w:rsidP="00B447C8">
      <w:pPr>
        <w:pStyle w:val="AspexBodyStandard"/>
      </w:pPr>
      <w:r>
        <w:t xml:space="preserve">As has been demonstrated in Chapter 2, it is not possible to distinguish palliative care management undertaken by different medical specialists from the management of patients by </w:t>
      </w:r>
      <w:r w:rsidR="002A2727">
        <w:t>palliative medicine</w:t>
      </w:r>
      <w:r>
        <w:t xml:space="preserve"> specialists.  The exception to the majority of these </w:t>
      </w:r>
      <w:r w:rsidR="00722901">
        <w:t xml:space="preserve">craft </w:t>
      </w:r>
      <w:r>
        <w:t xml:space="preserve">groups </w:t>
      </w:r>
      <w:r w:rsidR="0081173A">
        <w:t>are GPs</w:t>
      </w:r>
      <w:r>
        <w:t xml:space="preserve">.  Data has previously been presented demonstrating that an estimated 23,500 patients may receive palliative care management by </w:t>
      </w:r>
      <w:r w:rsidR="0081173A">
        <w:t>GPs</w:t>
      </w:r>
      <w:r>
        <w:t xml:space="preserve"> each year.  As such, GPs remain the major comparison group to specialists in </w:t>
      </w:r>
      <w:r w:rsidR="002A2727">
        <w:t>palliative medicine</w:t>
      </w:r>
      <w:r>
        <w:t xml:space="preserve">. </w:t>
      </w:r>
    </w:p>
    <w:p w14:paraId="0C0DFAF3" w14:textId="77777777" w:rsidR="0034677F" w:rsidRDefault="00341104" w:rsidP="00341104">
      <w:pPr>
        <w:pStyle w:val="AspexHighlightText"/>
        <w:spacing w:before="240"/>
        <w:rPr>
          <w:rStyle w:val="IntenseEmphasis"/>
        </w:rPr>
      </w:pPr>
      <w:r w:rsidRPr="00341104">
        <w:rPr>
          <w:rStyle w:val="IntenseEmphasis"/>
        </w:rPr>
        <w:t>What remains unknown</w:t>
      </w:r>
      <w:r w:rsidR="00721588">
        <w:rPr>
          <w:rStyle w:val="IntenseEmphasis"/>
        </w:rPr>
        <w:t>,</w:t>
      </w:r>
      <w:r w:rsidRPr="00341104">
        <w:rPr>
          <w:rStyle w:val="IntenseEmphasis"/>
        </w:rPr>
        <w:t xml:space="preserve"> </w:t>
      </w:r>
      <w:r w:rsidR="00721588" w:rsidRPr="00341104">
        <w:rPr>
          <w:rStyle w:val="IntenseEmphasis"/>
        </w:rPr>
        <w:t>however</w:t>
      </w:r>
      <w:r w:rsidR="00721588">
        <w:rPr>
          <w:rStyle w:val="IntenseEmphasis"/>
        </w:rPr>
        <w:t>,</w:t>
      </w:r>
      <w:r w:rsidRPr="00341104">
        <w:rPr>
          <w:rStyle w:val="IntenseEmphasis"/>
        </w:rPr>
        <w:t xml:space="preserve"> is the extent to which best practice (comprehensive) palliative care is effectively or safely delivered by </w:t>
      </w:r>
      <w:r>
        <w:rPr>
          <w:rStyle w:val="IntenseEmphasis"/>
        </w:rPr>
        <w:t xml:space="preserve">other </w:t>
      </w:r>
      <w:r w:rsidR="005A591A">
        <w:rPr>
          <w:rStyle w:val="IntenseEmphasis"/>
        </w:rPr>
        <w:t xml:space="preserve">specialists - </w:t>
      </w:r>
      <w:r w:rsidRPr="00341104">
        <w:rPr>
          <w:rStyle w:val="IntenseEmphasis"/>
        </w:rPr>
        <w:t>compared with the competencies of palliative care specialists and the multidisciplinary approach they are trained to deliver.</w:t>
      </w:r>
    </w:p>
    <w:p w14:paraId="0F60E724" w14:textId="77777777" w:rsidR="00341104" w:rsidRPr="001B17BA" w:rsidRDefault="00341104" w:rsidP="00341104">
      <w:pPr>
        <w:pStyle w:val="AspexBodyStandard"/>
        <w:ind w:left="346" w:right="425"/>
        <w:jc w:val="center"/>
        <w:rPr>
          <w:rFonts w:ascii="Arial Narrow" w:hAnsi="Arial Narrow"/>
          <w:i/>
          <w:color w:val="A6A6A6" w:themeColor="background1" w:themeShade="A6"/>
          <w:szCs w:val="22"/>
          <w:lang w:eastAsia="en-AU"/>
        </w:rPr>
      </w:pPr>
      <w:r w:rsidRPr="001B17BA">
        <w:rPr>
          <w:rFonts w:ascii="Arial Narrow" w:hAnsi="Arial Narrow"/>
          <w:i/>
          <w:color w:val="A6A6A6" w:themeColor="background1" w:themeShade="A6"/>
          <w:szCs w:val="22"/>
          <w:lang w:eastAsia="en-AU"/>
        </w:rPr>
        <w:t>“The main difference between palliative care specialist and other physicians/GPs is the holistic approach we adopt in our model of care – the importance of social structures including family and carer aspects are very important in what we do.  They also have a greater knowledge of specialist medications for pain and ability to deal with complex pain management issues including use of opioids”</w:t>
      </w:r>
    </w:p>
    <w:p w14:paraId="138FFFA9" w14:textId="77777777" w:rsidR="00341104" w:rsidRPr="001B17BA" w:rsidRDefault="00341104" w:rsidP="00341104">
      <w:pPr>
        <w:pStyle w:val="AspexBodyStandard"/>
        <w:ind w:left="346" w:right="425"/>
        <w:jc w:val="center"/>
        <w:rPr>
          <w:rFonts w:ascii="Arial Narrow" w:hAnsi="Arial Narrow"/>
          <w:i/>
          <w:color w:val="A6A6A6" w:themeColor="background1" w:themeShade="A6"/>
          <w:szCs w:val="22"/>
          <w:lang w:eastAsia="en-AU"/>
        </w:rPr>
      </w:pPr>
      <w:r w:rsidRPr="001B17BA">
        <w:rPr>
          <w:rFonts w:ascii="Arial Narrow" w:hAnsi="Arial Narrow"/>
          <w:i/>
          <w:color w:val="A6A6A6" w:themeColor="background1" w:themeShade="A6"/>
          <w:szCs w:val="22"/>
          <w:lang w:eastAsia="en-AU"/>
        </w:rPr>
        <w:t xml:space="preserve"> “Palliative care consultants have an acute view of what their patients may need, are able to access other linked services and are better at symptom management.”</w:t>
      </w:r>
    </w:p>
    <w:p w14:paraId="164FB6FC" w14:textId="77777777" w:rsidR="00341104" w:rsidRPr="001B17BA" w:rsidRDefault="00341104" w:rsidP="00341104">
      <w:pPr>
        <w:pStyle w:val="AspexBodyStandard"/>
        <w:ind w:left="346" w:right="425"/>
        <w:jc w:val="center"/>
        <w:rPr>
          <w:rFonts w:ascii="Arial Narrow" w:hAnsi="Arial Narrow"/>
          <w:i/>
          <w:color w:val="A6A6A6" w:themeColor="background1" w:themeShade="A6"/>
          <w:szCs w:val="22"/>
          <w:lang w:eastAsia="en-AU"/>
        </w:rPr>
      </w:pPr>
      <w:r w:rsidRPr="001A29D3">
        <w:rPr>
          <w:rFonts w:ascii="Arial Narrow" w:hAnsi="Arial Narrow"/>
          <w:i/>
          <w:color w:val="A6A6A6" w:themeColor="background1" w:themeShade="A6"/>
          <w:szCs w:val="22"/>
          <w:lang w:eastAsia="en-AU"/>
        </w:rPr>
        <w:t>“The big point of difference between palliative care and other specialities is having very clear goals of care and limitation of goals that are clear to the patient and family.  Another point of difference is that palliative care specialists are better at symptom management, particularly pain management.”</w:t>
      </w:r>
    </w:p>
    <w:p w14:paraId="0B2BAB0E" w14:textId="510979FB" w:rsidR="00FD2636" w:rsidRDefault="00184320" w:rsidP="0081173A">
      <w:pPr>
        <w:pStyle w:val="Heading3"/>
      </w:pPr>
      <w:bookmarkStart w:id="197" w:name="_Toc224038111"/>
      <w:bookmarkStart w:id="198" w:name="_Toc373163141"/>
      <w:bookmarkStart w:id="199" w:name="_Toc382313842"/>
      <w:r>
        <w:t>Pal</w:t>
      </w:r>
      <w:r w:rsidR="0081173A">
        <w:t>l</w:t>
      </w:r>
      <w:r>
        <w:t>iative medicine</w:t>
      </w:r>
      <w:r w:rsidR="00FD2636">
        <w:t xml:space="preserve"> and </w:t>
      </w:r>
      <w:r w:rsidR="0081173A">
        <w:t>g</w:t>
      </w:r>
      <w:r w:rsidR="00FD2636">
        <w:t xml:space="preserve">eneral </w:t>
      </w:r>
      <w:r w:rsidR="0081173A">
        <w:t>p</w:t>
      </w:r>
      <w:r w:rsidR="00FD2636">
        <w:t>ractitioners</w:t>
      </w:r>
      <w:bookmarkEnd w:id="197"/>
      <w:bookmarkEnd w:id="198"/>
      <w:bookmarkEnd w:id="199"/>
    </w:p>
    <w:p w14:paraId="254DF2D5" w14:textId="77777777" w:rsidR="00FD2636" w:rsidRDefault="00FD2636" w:rsidP="00FD2636">
      <w:pPr>
        <w:pStyle w:val="AspexBodyStandard"/>
      </w:pPr>
      <w:r w:rsidRPr="005A200B">
        <w:t xml:space="preserve">It has </w:t>
      </w:r>
      <w:r>
        <w:t>been suggested that GPs are in an ideal position to be involved in the provision of Palliative Care.  In particular:</w:t>
      </w:r>
    </w:p>
    <w:p w14:paraId="3A699871" w14:textId="77777777" w:rsidR="00FD2636" w:rsidRPr="009319E0" w:rsidRDefault="00FD2636" w:rsidP="00FD2636">
      <w:pPr>
        <w:pStyle w:val="AspexBullet1"/>
        <w:tabs>
          <w:tab w:val="clear" w:pos="1060"/>
          <w:tab w:val="left" w:pos="426"/>
        </w:tabs>
        <w:ind w:left="426" w:hanging="426"/>
      </w:pPr>
      <w:r w:rsidRPr="009319E0">
        <w:t>The central principles of general practice (continuity of care, treatment in the context of the patient and psychosocial factors) are closely aligned to those of Palliative Care</w:t>
      </w:r>
      <w:r>
        <w:t>;</w:t>
      </w:r>
      <w:r w:rsidRPr="009E5DDA">
        <w:rPr>
          <w:vertAlign w:val="superscript"/>
        </w:rPr>
        <w:footnoteReference w:id="99"/>
      </w:r>
    </w:p>
    <w:p w14:paraId="0009F056" w14:textId="77777777" w:rsidR="00FD2636" w:rsidRPr="009319E0" w:rsidRDefault="00FD2636" w:rsidP="00FD2636">
      <w:pPr>
        <w:pStyle w:val="AspexBullet1"/>
        <w:tabs>
          <w:tab w:val="clear" w:pos="1060"/>
          <w:tab w:val="left" w:pos="426"/>
        </w:tabs>
        <w:ind w:left="426" w:hanging="426"/>
      </w:pPr>
      <w:r w:rsidRPr="009319E0">
        <w:lastRenderedPageBreak/>
        <w:t>In studies of terminal illness, patients have stated a preference for management by a GP and a wish to die at home</w:t>
      </w:r>
      <w:r>
        <w:t>;</w:t>
      </w:r>
      <w:r w:rsidRPr="009E5DDA">
        <w:rPr>
          <w:vertAlign w:val="superscript"/>
        </w:rPr>
        <w:footnoteReference w:id="100"/>
      </w:r>
    </w:p>
    <w:p w14:paraId="1855B915" w14:textId="77777777" w:rsidR="00FD2636" w:rsidRPr="009319E0" w:rsidRDefault="00A9382F" w:rsidP="00FD2636">
      <w:pPr>
        <w:pStyle w:val="AspexBullet1"/>
        <w:tabs>
          <w:tab w:val="clear" w:pos="1060"/>
          <w:tab w:val="left" w:pos="426"/>
        </w:tabs>
        <w:ind w:left="426" w:hanging="426"/>
      </w:pPr>
      <w:r>
        <w:t>GPs</w:t>
      </w:r>
      <w:r w:rsidR="00FD2636" w:rsidRPr="009319E0">
        <w:t xml:space="preserve"> provide much of the medical care required by patients who die in the community</w:t>
      </w:r>
      <w:r w:rsidR="00FD2636">
        <w:t>.</w:t>
      </w:r>
      <w:r w:rsidR="00FD2636" w:rsidRPr="009E5DDA">
        <w:rPr>
          <w:vertAlign w:val="superscript"/>
        </w:rPr>
        <w:footnoteReference w:id="101"/>
      </w:r>
      <w:r w:rsidR="00FD2636" w:rsidRPr="009319E0">
        <w:t xml:space="preserve"> Australian GPs see a median of five to six terminally ill patients per annum</w:t>
      </w:r>
      <w:r w:rsidR="00FD2636" w:rsidRPr="009E5DDA">
        <w:rPr>
          <w:vertAlign w:val="superscript"/>
        </w:rPr>
        <w:footnoteReference w:id="102"/>
      </w:r>
      <w:r w:rsidR="00FD2636" w:rsidRPr="009319E0">
        <w:t xml:space="preserve"> and, in the UK, </w:t>
      </w:r>
      <w:r>
        <w:t>GPs</w:t>
      </w:r>
      <w:r w:rsidR="00FD2636" w:rsidRPr="009319E0">
        <w:t xml:space="preserve"> see patients 20 times on average in the last 12 months of their lives</w:t>
      </w:r>
      <w:r w:rsidR="00FD2636">
        <w:t>;</w:t>
      </w:r>
      <w:r w:rsidR="00FD2636" w:rsidRPr="009E5DDA">
        <w:rPr>
          <w:vertAlign w:val="superscript"/>
        </w:rPr>
        <w:footnoteReference w:id="103"/>
      </w:r>
    </w:p>
    <w:p w14:paraId="2BAA2A0E" w14:textId="10915533" w:rsidR="00FD2636" w:rsidRPr="009319E0" w:rsidRDefault="00A9382F" w:rsidP="00FD2636">
      <w:pPr>
        <w:pStyle w:val="AspexBullet1"/>
        <w:tabs>
          <w:tab w:val="clear" w:pos="1060"/>
          <w:tab w:val="left" w:pos="426"/>
        </w:tabs>
        <w:ind w:left="426" w:hanging="426"/>
      </w:pPr>
      <w:r>
        <w:t>GPs</w:t>
      </w:r>
      <w:r w:rsidR="00FD2636" w:rsidRPr="009319E0">
        <w:t xml:space="preserve"> are in a position to identify patients requiring palliative</w:t>
      </w:r>
      <w:r w:rsidR="00711653">
        <w:t xml:space="preserve"> care</w:t>
      </w:r>
      <w:r w:rsidR="00FD2636" w:rsidRPr="009319E0">
        <w:t xml:space="preserve"> and assist in care planning. However, the need to introduc</w:t>
      </w:r>
      <w:r>
        <w:t>e systematic case-finding into g</w:t>
      </w:r>
      <w:r w:rsidR="00FD2636" w:rsidRPr="009319E0">
        <w:t xml:space="preserve">eneral </w:t>
      </w:r>
      <w:r>
        <w:t>p</w:t>
      </w:r>
      <w:r w:rsidR="00FD2636" w:rsidRPr="009319E0">
        <w:t>ractice has been raised</w:t>
      </w:r>
      <w:r w:rsidR="00FD2636">
        <w:t>,</w:t>
      </w:r>
      <w:r w:rsidR="00FD2636" w:rsidRPr="009E5DDA">
        <w:rPr>
          <w:vertAlign w:val="superscript"/>
        </w:rPr>
        <w:footnoteReference w:id="104"/>
      </w:r>
      <w:r w:rsidR="00FD2636" w:rsidRPr="009319E0">
        <w:t xml:space="preserve"> similar to needs-based assessments being developed for cancer patients</w:t>
      </w:r>
      <w:r w:rsidR="00FD2636">
        <w:t>;</w:t>
      </w:r>
      <w:r w:rsidR="00FD2636" w:rsidRPr="009E5DDA">
        <w:rPr>
          <w:vertAlign w:val="superscript"/>
        </w:rPr>
        <w:footnoteReference w:id="105"/>
      </w:r>
    </w:p>
    <w:p w14:paraId="3A1C30E6" w14:textId="77777777" w:rsidR="00FD2636" w:rsidRPr="009319E0" w:rsidRDefault="00FD2636" w:rsidP="00FD2636">
      <w:pPr>
        <w:pStyle w:val="AspexBullet1"/>
        <w:tabs>
          <w:tab w:val="clear" w:pos="1060"/>
          <w:tab w:val="left" w:pos="426"/>
        </w:tabs>
        <w:ind w:left="426" w:hanging="426"/>
      </w:pPr>
      <w:r w:rsidRPr="009319E0">
        <w:t>GPs often have intimate knowledge of a patient and the family environment, and feel they can provide emotional support to palliative patients and their families by being the physician they can talk to about the disease, their fears, and death itself</w:t>
      </w:r>
      <w:r>
        <w:t>.</w:t>
      </w:r>
      <w:r w:rsidRPr="009E5DDA">
        <w:rPr>
          <w:vertAlign w:val="superscript"/>
        </w:rPr>
        <w:footnoteReference w:id="106"/>
      </w:r>
      <w:r w:rsidRPr="009E5DDA">
        <w:rPr>
          <w:vertAlign w:val="superscript"/>
        </w:rPr>
        <w:t xml:space="preserve"> </w:t>
      </w:r>
      <w:r>
        <w:rPr>
          <w:vertAlign w:val="superscript"/>
        </w:rPr>
        <w:t xml:space="preserve"> </w:t>
      </w:r>
      <w:r w:rsidRPr="009319E0">
        <w:t>This can add value to a Palliative Care service. Australian evidence suggests that case conferencing between GPs and Palliative Care services can improve patients’ quality of life</w:t>
      </w:r>
      <w:r>
        <w:t>;</w:t>
      </w:r>
      <w:r w:rsidRPr="009E5DDA">
        <w:rPr>
          <w:vertAlign w:val="superscript"/>
        </w:rPr>
        <w:footnoteReference w:id="107"/>
      </w:r>
    </w:p>
    <w:p w14:paraId="668CB8B3" w14:textId="77777777" w:rsidR="00FD2636" w:rsidRPr="009319E0" w:rsidRDefault="00FD2636" w:rsidP="00FD2636">
      <w:pPr>
        <w:pStyle w:val="AspexBullet1"/>
        <w:tabs>
          <w:tab w:val="clear" w:pos="1060"/>
          <w:tab w:val="left" w:pos="426"/>
        </w:tabs>
        <w:ind w:left="426" w:hanging="426"/>
      </w:pPr>
      <w:r w:rsidRPr="009319E0">
        <w:t>Because of the perceived shortfall in palliative specialist numbers, involvement of GPs is necessary to meet the growing demand for Palliative Care for the Australian population</w:t>
      </w:r>
      <w:r>
        <w:t>.</w:t>
      </w:r>
      <w:r w:rsidRPr="009E5DDA">
        <w:rPr>
          <w:vertAlign w:val="superscript"/>
        </w:rPr>
        <w:footnoteReference w:id="108"/>
      </w:r>
    </w:p>
    <w:p w14:paraId="3F96A05E" w14:textId="327E4990" w:rsidR="00FD2636" w:rsidRDefault="00FD2636" w:rsidP="00FD2636">
      <w:pPr>
        <w:pStyle w:val="AspexBodyStandard"/>
      </w:pPr>
      <w:r>
        <w:t xml:space="preserve">Despite this, 25% of the Australian General Practice workforce chooses not to administer </w:t>
      </w:r>
      <w:r w:rsidR="00A9382F">
        <w:t>p</w:t>
      </w:r>
      <w:r>
        <w:t xml:space="preserve">alliative </w:t>
      </w:r>
      <w:r w:rsidR="00A9382F">
        <w:t>c</w:t>
      </w:r>
      <w:r>
        <w:t>are.</w:t>
      </w:r>
      <w:r>
        <w:rPr>
          <w:rStyle w:val="FootnoteReference"/>
          <w:rFonts w:cs="Arial"/>
          <w:bCs/>
          <w:sz w:val="24"/>
        </w:rPr>
        <w:footnoteReference w:id="109"/>
      </w:r>
      <w:r>
        <w:t xml:space="preserve">  GPs not providing such care were more likely to be younger, work less hours, have less </w:t>
      </w:r>
      <w:r w:rsidR="00A9382F">
        <w:t>g</w:t>
      </w:r>
      <w:r>
        <w:t xml:space="preserve">eneral </w:t>
      </w:r>
      <w:r w:rsidR="00A9382F">
        <w:t>p</w:t>
      </w:r>
      <w:r>
        <w:t>ractice experience, and be educated overseas. In a survey of 1</w:t>
      </w:r>
      <w:r w:rsidR="00711653">
        <w:t>,</w:t>
      </w:r>
      <w:r>
        <w:t>969 GPs,</w:t>
      </w:r>
      <w:r>
        <w:rPr>
          <w:rStyle w:val="FootnoteReference"/>
          <w:rFonts w:cs="Arial"/>
          <w:bCs/>
          <w:sz w:val="24"/>
        </w:rPr>
        <w:footnoteReference w:id="110"/>
      </w:r>
      <w:r>
        <w:t xml:space="preserve"> m</w:t>
      </w:r>
      <w:r w:rsidRPr="00A3022A">
        <w:t>ost participants preferred to be involved in cancer prevention (86</w:t>
      </w:r>
      <w:r>
        <w:t>%) and initial diagnosis (85%), rather than</w:t>
      </w:r>
      <w:r w:rsidRPr="00A3022A">
        <w:t xml:space="preserve"> follow up after treatment (68%), and palliative care (68%). Only 52% of GPs </w:t>
      </w:r>
      <w:r>
        <w:t>(particularly if older or</w:t>
      </w:r>
      <w:r w:rsidRPr="00A3022A">
        <w:t xml:space="preserve"> </w:t>
      </w:r>
      <w:r>
        <w:t>in rural or group practice)</w:t>
      </w:r>
      <w:r w:rsidRPr="00A3022A">
        <w:t xml:space="preserve"> had a preference for providing supportive care to manage th</w:t>
      </w:r>
      <w:r>
        <w:t>e symptoms of cancer treatment.</w:t>
      </w:r>
    </w:p>
    <w:p w14:paraId="1092FADC" w14:textId="77777777" w:rsidR="00FD2636" w:rsidRDefault="00FD2636" w:rsidP="00A9382F">
      <w:pPr>
        <w:pStyle w:val="AspexBodyStandard"/>
      </w:pPr>
      <w:r>
        <w:t xml:space="preserve">Barriers perceived by GPs in providing Palliative Care </w:t>
      </w:r>
      <w:r w:rsidR="00341104">
        <w:t xml:space="preserve">have been reported to </w:t>
      </w:r>
      <w:r>
        <w:t xml:space="preserve">include: </w:t>
      </w:r>
    </w:p>
    <w:p w14:paraId="71AE930D" w14:textId="77777777" w:rsidR="00FD2636" w:rsidRPr="009319E0" w:rsidRDefault="00FD2636" w:rsidP="00A9382F">
      <w:pPr>
        <w:pStyle w:val="AspexBullet1"/>
        <w:tabs>
          <w:tab w:val="clear" w:pos="1060"/>
          <w:tab w:val="left" w:pos="426"/>
        </w:tabs>
        <w:ind w:left="425" w:hanging="425"/>
      </w:pPr>
      <w:r w:rsidRPr="009319E0">
        <w:t>Lack of training in Palliative Care, including pain and symptom control and bereavement care</w:t>
      </w:r>
      <w:r>
        <w:t>.</w:t>
      </w:r>
      <w:r w:rsidRPr="009E5DDA">
        <w:rPr>
          <w:vertAlign w:val="superscript"/>
        </w:rPr>
        <w:footnoteReference w:id="111"/>
      </w:r>
      <w:r>
        <w:t xml:space="preserve"> </w:t>
      </w:r>
      <w:r w:rsidRPr="009319E0">
        <w:t xml:space="preserve"> This in turn results in inadequate knowledge and skills, especially regarding specific treatments to be provided in the home setting</w:t>
      </w:r>
      <w:r>
        <w:t>;</w:t>
      </w:r>
      <w:r w:rsidRPr="009E5DDA">
        <w:rPr>
          <w:vertAlign w:val="superscript"/>
        </w:rPr>
        <w:footnoteReference w:id="112"/>
      </w:r>
    </w:p>
    <w:p w14:paraId="514C3E5A" w14:textId="77777777" w:rsidR="00FD2636" w:rsidRPr="009319E0" w:rsidRDefault="00FD2636" w:rsidP="00FD2636">
      <w:pPr>
        <w:pStyle w:val="AspexBullet1"/>
        <w:tabs>
          <w:tab w:val="clear" w:pos="1060"/>
          <w:tab w:val="left" w:pos="426"/>
        </w:tabs>
        <w:ind w:left="426" w:hanging="426"/>
      </w:pPr>
      <w:r w:rsidRPr="009319E0">
        <w:lastRenderedPageBreak/>
        <w:t>Difficulties in maintaining and delivering up-to-date and adequate knowledge and expertise</w:t>
      </w:r>
      <w:r>
        <w:t>;</w:t>
      </w:r>
      <w:r w:rsidRPr="009E5DDA">
        <w:rPr>
          <w:vertAlign w:val="superscript"/>
        </w:rPr>
        <w:footnoteReference w:id="113"/>
      </w:r>
    </w:p>
    <w:p w14:paraId="7500DA6F" w14:textId="77777777" w:rsidR="00FD2636" w:rsidRPr="009319E0" w:rsidRDefault="00FD2636" w:rsidP="00FD2636">
      <w:pPr>
        <w:pStyle w:val="AspexBullet1"/>
        <w:tabs>
          <w:tab w:val="clear" w:pos="1060"/>
          <w:tab w:val="left" w:pos="426"/>
        </w:tabs>
        <w:ind w:left="426" w:hanging="426"/>
      </w:pPr>
      <w:r w:rsidRPr="009319E0">
        <w:t>Limited time, especially for time-consuming tasks such as fulfilling the role of care co-ordinator</w:t>
      </w:r>
      <w:r>
        <w:t>;</w:t>
      </w:r>
      <w:r w:rsidRPr="009E5DDA">
        <w:rPr>
          <w:vertAlign w:val="superscript"/>
        </w:rPr>
        <w:footnoteReference w:id="114"/>
      </w:r>
      <w:r w:rsidRPr="009E5DDA">
        <w:rPr>
          <w:vertAlign w:val="superscript"/>
        </w:rPr>
        <w:t>,</w:t>
      </w:r>
      <w:r w:rsidRPr="009E5DDA">
        <w:rPr>
          <w:vertAlign w:val="superscript"/>
        </w:rPr>
        <w:footnoteReference w:id="115"/>
      </w:r>
    </w:p>
    <w:p w14:paraId="3CC8C910" w14:textId="77777777" w:rsidR="00FD2636" w:rsidRPr="009319E0" w:rsidRDefault="00FD2636" w:rsidP="00FD2636">
      <w:pPr>
        <w:pStyle w:val="AspexBullet1"/>
        <w:tabs>
          <w:tab w:val="clear" w:pos="1060"/>
          <w:tab w:val="left" w:pos="426"/>
        </w:tabs>
        <w:ind w:left="426" w:hanging="426"/>
      </w:pPr>
      <w:r w:rsidRPr="009319E0">
        <w:t>A lack of awareness of the activities of other professionals involved, because of non-optimal communication, coordination, or collaboration</w:t>
      </w:r>
      <w:r>
        <w:t>;</w:t>
      </w:r>
      <w:r w:rsidRPr="009E5DDA">
        <w:rPr>
          <w:vertAlign w:val="superscript"/>
        </w:rPr>
        <w:footnoteReference w:id="116"/>
      </w:r>
    </w:p>
    <w:p w14:paraId="7DD644A6" w14:textId="77777777" w:rsidR="00FD2636" w:rsidRPr="009319E0" w:rsidRDefault="00FD2636" w:rsidP="00FD2636">
      <w:pPr>
        <w:pStyle w:val="AspexBullet1"/>
        <w:tabs>
          <w:tab w:val="clear" w:pos="1060"/>
          <w:tab w:val="left" w:pos="426"/>
        </w:tabs>
        <w:ind w:left="426" w:hanging="426"/>
      </w:pPr>
      <w:r w:rsidRPr="009319E0">
        <w:t>Lack of access to specialists or palliative care nursing services</w:t>
      </w:r>
      <w:r>
        <w:t>;</w:t>
      </w:r>
      <w:r w:rsidRPr="009E5DDA">
        <w:rPr>
          <w:vertAlign w:val="superscript"/>
        </w:rPr>
        <w:footnoteReference w:id="117"/>
      </w:r>
    </w:p>
    <w:p w14:paraId="20148C58" w14:textId="77777777" w:rsidR="00FD2636" w:rsidRDefault="00FD2636" w:rsidP="00FD2636">
      <w:pPr>
        <w:pStyle w:val="AspexBullet1"/>
        <w:tabs>
          <w:tab w:val="clear" w:pos="1060"/>
          <w:tab w:val="left" w:pos="426"/>
        </w:tabs>
        <w:ind w:left="426" w:hanging="426"/>
      </w:pPr>
      <w:r w:rsidRPr="009319E0">
        <w:t>Delay in organizing necessary extra care for palliative patients, caused by bureaucracy and the lack of specialized personnel</w:t>
      </w:r>
      <w:r>
        <w:t>.</w:t>
      </w:r>
      <w:r w:rsidRPr="009E5DDA">
        <w:rPr>
          <w:vertAlign w:val="superscript"/>
        </w:rPr>
        <w:footnoteReference w:id="118"/>
      </w:r>
    </w:p>
    <w:p w14:paraId="4F58BF25" w14:textId="77777777" w:rsidR="005A591A" w:rsidRDefault="00341104" w:rsidP="00341104">
      <w:pPr>
        <w:spacing w:before="0" w:after="0" w:line="240" w:lineRule="auto"/>
        <w:jc w:val="both"/>
      </w:pPr>
      <w:r>
        <w:t xml:space="preserve">A number of these concerns were initially raised by the RACGP when the </w:t>
      </w:r>
      <w:proofErr w:type="spellStart"/>
      <w:r w:rsidR="00721588">
        <w:t>AChPM</w:t>
      </w:r>
      <w:proofErr w:type="spellEnd"/>
      <w:r w:rsidR="00721588">
        <w:t xml:space="preserve"> </w:t>
      </w:r>
      <w:r>
        <w:t xml:space="preserve">initially sought specialist recognition from the </w:t>
      </w:r>
      <w:r w:rsidR="00721588">
        <w:t>AMC</w:t>
      </w:r>
      <w:r>
        <w:t xml:space="preserve">. General practice representatives were particularly concerned about the potential for ‘de-skilling’ of their profession </w:t>
      </w:r>
      <w:r w:rsidR="005A591A">
        <w:t xml:space="preserve">following the introduction of a palliative care medical specialty area. Following subsequent clarification by the </w:t>
      </w:r>
      <w:r w:rsidR="00A9382F">
        <w:t xml:space="preserve">AMC </w:t>
      </w:r>
      <w:r w:rsidR="00EB6679">
        <w:t xml:space="preserve">with </w:t>
      </w:r>
      <w:r w:rsidR="005A591A">
        <w:t xml:space="preserve">the RACGP </w:t>
      </w:r>
      <w:r w:rsidR="00EB6679">
        <w:t xml:space="preserve">the </w:t>
      </w:r>
      <w:r w:rsidR="00A9382F">
        <w:t>Council</w:t>
      </w:r>
      <w:r w:rsidR="00EB6679">
        <w:t xml:space="preserve"> reported</w:t>
      </w:r>
      <w:r w:rsidR="005A591A">
        <w:t xml:space="preserve"> that:</w:t>
      </w:r>
    </w:p>
    <w:p w14:paraId="1AA9CA9B" w14:textId="49792A0F" w:rsidR="00EB6679" w:rsidRDefault="00EB6679" w:rsidP="00EB6679">
      <w:pPr>
        <w:pStyle w:val="AspexHighlightText"/>
        <w:spacing w:before="240"/>
        <w:rPr>
          <w:rStyle w:val="IntenseEmphasis"/>
        </w:rPr>
      </w:pPr>
      <w:r>
        <w:rPr>
          <w:rStyle w:val="IntenseEmphasis"/>
        </w:rPr>
        <w:t xml:space="preserve"> “As the knowledge base of palliative medicine rapidly expands it is unlikely that </w:t>
      </w:r>
      <w:r w:rsidR="0081173A">
        <w:rPr>
          <w:rStyle w:val="IntenseEmphasis"/>
        </w:rPr>
        <w:t>GPs</w:t>
      </w:r>
      <w:r>
        <w:rPr>
          <w:rStyle w:val="IntenseEmphasis"/>
        </w:rPr>
        <w:t xml:space="preserve"> will maintain the same relative skill compared to palliative medicine specialist even if the </w:t>
      </w:r>
      <w:r w:rsidR="0081173A">
        <w:rPr>
          <w:rStyle w:val="IntenseEmphasis"/>
        </w:rPr>
        <w:t>GPs</w:t>
      </w:r>
      <w:r>
        <w:rPr>
          <w:rStyle w:val="IntenseEmphasis"/>
        </w:rPr>
        <w:t xml:space="preserve"> maintain their current skill level.  This was acknowledged by </w:t>
      </w:r>
      <w:r w:rsidR="0081173A">
        <w:rPr>
          <w:rStyle w:val="IntenseEmphasis"/>
        </w:rPr>
        <w:t>GPs</w:t>
      </w:r>
      <w:r>
        <w:rPr>
          <w:rStyle w:val="IntenseEmphasis"/>
        </w:rPr>
        <w:t xml:space="preserve"> who met the Review Group.”</w:t>
      </w:r>
      <w:r>
        <w:rPr>
          <w:rStyle w:val="FootnoteReference"/>
          <w:b/>
          <w:bCs/>
          <w:i/>
          <w:iCs/>
          <w:color w:val="4F81BD" w:themeColor="accent1"/>
          <w:sz w:val="22"/>
          <w:szCs w:val="22"/>
        </w:rPr>
        <w:footnoteReference w:id="119"/>
      </w:r>
      <w:r w:rsidRPr="00EB6679">
        <w:rPr>
          <w:rStyle w:val="IntenseEmphasis"/>
        </w:rPr>
        <w:t xml:space="preserve"> </w:t>
      </w:r>
    </w:p>
    <w:p w14:paraId="7ECE5FD1" w14:textId="77777777" w:rsidR="00EB6679" w:rsidRDefault="00EB6679" w:rsidP="00EB6679">
      <w:pPr>
        <w:pStyle w:val="AspexHighlightText"/>
        <w:spacing w:before="240"/>
        <w:rPr>
          <w:rStyle w:val="IntenseEmphasis"/>
        </w:rPr>
      </w:pPr>
      <w:proofErr w:type="gramStart"/>
      <w:r>
        <w:rPr>
          <w:rStyle w:val="IntenseEmphasis"/>
        </w:rPr>
        <w:t>and</w:t>
      </w:r>
      <w:proofErr w:type="gramEnd"/>
    </w:p>
    <w:p w14:paraId="4E3EC804" w14:textId="77777777" w:rsidR="00EB6679" w:rsidRDefault="00EB6679" w:rsidP="00EB6679">
      <w:pPr>
        <w:pStyle w:val="AspexHighlightText"/>
        <w:spacing w:before="240"/>
        <w:rPr>
          <w:rStyle w:val="IntenseEmphasis"/>
        </w:rPr>
      </w:pPr>
      <w:r w:rsidRPr="005A591A">
        <w:rPr>
          <w:rStyle w:val="IntenseEmphasis"/>
        </w:rPr>
        <w:t xml:space="preserve"> </w:t>
      </w:r>
      <w:r>
        <w:rPr>
          <w:rStyle w:val="IntenseEmphasis"/>
        </w:rPr>
        <w:t>“…the RACGP accepts that recognition of p</w:t>
      </w:r>
      <w:r w:rsidRPr="005A591A">
        <w:rPr>
          <w:rStyle w:val="IntenseEmphasis"/>
        </w:rPr>
        <w:t xml:space="preserve">alliative medicine </w:t>
      </w:r>
      <w:r>
        <w:rPr>
          <w:rStyle w:val="IntenseEmphasis"/>
        </w:rPr>
        <w:t>as a specialty and the enhanced education and training that will follow will benefit its members</w:t>
      </w:r>
      <w:r w:rsidRPr="005A591A">
        <w:rPr>
          <w:rStyle w:val="IntenseEmphasis"/>
        </w:rPr>
        <w:t>”</w:t>
      </w:r>
      <w:r>
        <w:rPr>
          <w:rStyle w:val="FootnoteReference"/>
          <w:b/>
          <w:bCs/>
          <w:i/>
          <w:iCs/>
          <w:color w:val="4F81BD" w:themeColor="accent1"/>
          <w:sz w:val="22"/>
          <w:szCs w:val="22"/>
        </w:rPr>
        <w:footnoteReference w:id="120"/>
      </w:r>
      <w:r w:rsidRPr="005A591A">
        <w:rPr>
          <w:rStyle w:val="IntenseEmphasis"/>
        </w:rPr>
        <w:t xml:space="preserve"> </w:t>
      </w:r>
    </w:p>
    <w:p w14:paraId="598C1B4A" w14:textId="113F0EEB" w:rsidR="00FD2636" w:rsidRDefault="005A591A" w:rsidP="00341104">
      <w:pPr>
        <w:spacing w:before="0" w:after="0" w:line="240" w:lineRule="auto"/>
        <w:jc w:val="both"/>
      </w:pPr>
      <w:r>
        <w:t xml:space="preserve">Examples of mutual benefit to both </w:t>
      </w:r>
      <w:r w:rsidR="00722901">
        <w:t>craft</w:t>
      </w:r>
      <w:r>
        <w:t xml:space="preserve"> groups have included: negotiations to develop a diploma in palliative medicine for </w:t>
      </w:r>
      <w:r w:rsidR="0081173A">
        <w:t>GPs</w:t>
      </w:r>
      <w:r>
        <w:t xml:space="preserve"> with a specific interest in the area; ongoing collaborations in joint training; and, improvements in shared care arrangements between </w:t>
      </w:r>
      <w:r w:rsidR="0081173A">
        <w:t>GPs</w:t>
      </w:r>
      <w:r>
        <w:t xml:space="preserve"> and </w:t>
      </w:r>
      <w:r w:rsidR="002A2727">
        <w:t>palliative medicine</w:t>
      </w:r>
      <w:r w:rsidR="00EB6679">
        <w:t xml:space="preserve"> specialists.  Thus, there is an acknowledged scope of practice overlap between both professional groups, but a mutual recognition of the value of each other’s contribution to whole-of-life patient care.</w:t>
      </w:r>
      <w:r w:rsidR="00FD2636">
        <w:br w:type="page"/>
      </w:r>
    </w:p>
    <w:p w14:paraId="6EFFDDEA" w14:textId="03055815" w:rsidR="00257B86" w:rsidRDefault="005A1398" w:rsidP="00257B86">
      <w:pPr>
        <w:pStyle w:val="Heading1"/>
      </w:pPr>
      <w:bookmarkStart w:id="200" w:name="_Toc224375147"/>
      <w:bookmarkStart w:id="201" w:name="_Toc373163151"/>
      <w:bookmarkStart w:id="202" w:name="_Toc382313843"/>
      <w:r>
        <w:lastRenderedPageBreak/>
        <w:t>Current private sector remuneration a</w:t>
      </w:r>
      <w:r w:rsidR="00257B86">
        <w:t>rrangements</w:t>
      </w:r>
      <w:bookmarkEnd w:id="200"/>
      <w:bookmarkEnd w:id="201"/>
      <w:bookmarkEnd w:id="202"/>
    </w:p>
    <w:p w14:paraId="68F159C2" w14:textId="77777777" w:rsidR="00AF03E3" w:rsidRPr="00257B86" w:rsidRDefault="002E265E" w:rsidP="002E265E">
      <w:pPr>
        <w:pStyle w:val="Heading2"/>
      </w:pPr>
      <w:bookmarkStart w:id="203" w:name="_Toc382313844"/>
      <w:bookmarkStart w:id="204" w:name="_Toc224792892"/>
      <w:r>
        <w:t>MBS items currently available to palliative care specialists</w:t>
      </w:r>
      <w:bookmarkEnd w:id="203"/>
    </w:p>
    <w:p w14:paraId="0E0D5C25" w14:textId="22327651" w:rsidR="00AF03E3" w:rsidRDefault="006B2E47" w:rsidP="00AF03E3">
      <w:pPr>
        <w:pStyle w:val="AspexBodyStandard"/>
      </w:pPr>
      <w:r>
        <w:t xml:space="preserve">A total of </w:t>
      </w:r>
      <w:r w:rsidR="00711653">
        <w:t xml:space="preserve">18 </w:t>
      </w:r>
      <w:r>
        <w:t xml:space="preserve">professional attendance items are currently available to medical practitioners registered to claim as palliative care specialists on the MBS (under Schedule 24).  These items can be grouped into four categories as presented in </w:t>
      </w:r>
      <w:r w:rsidR="005E4E78">
        <w:fldChar w:fldCharType="begin"/>
      </w:r>
      <w:r w:rsidR="005E4E78">
        <w:instrText xml:space="preserve"> REF _Ref247726003 \h </w:instrText>
      </w:r>
      <w:r w:rsidR="005E4E78">
        <w:fldChar w:fldCharType="separate"/>
      </w:r>
      <w:r w:rsidR="009C72FC">
        <w:t xml:space="preserve">Table </w:t>
      </w:r>
      <w:r w:rsidR="009C72FC">
        <w:rPr>
          <w:noProof/>
        </w:rPr>
        <w:t>5</w:t>
      </w:r>
      <w:r w:rsidR="009C72FC">
        <w:noBreakHyphen/>
      </w:r>
      <w:r w:rsidR="009C72FC">
        <w:rPr>
          <w:noProof/>
        </w:rPr>
        <w:t>1</w:t>
      </w:r>
      <w:r w:rsidR="005E4E78">
        <w:fldChar w:fldCharType="end"/>
      </w:r>
      <w:r>
        <w:t>.</w:t>
      </w:r>
    </w:p>
    <w:p w14:paraId="3194A3CD" w14:textId="31B555F2" w:rsidR="00D21F54" w:rsidRDefault="00D21F54" w:rsidP="00D21F54">
      <w:pPr>
        <w:pStyle w:val="Caption"/>
      </w:pPr>
      <w:bookmarkStart w:id="205" w:name="_Ref247726003"/>
      <w:bookmarkStart w:id="206" w:name="_Toc382315619"/>
      <w:r>
        <w:t xml:space="preserve">Table </w:t>
      </w:r>
      <w:fldSimple w:instr=" STYLEREF 1 \s ">
        <w:r w:rsidR="009C72FC">
          <w:rPr>
            <w:noProof/>
          </w:rPr>
          <w:t>5</w:t>
        </w:r>
      </w:fldSimple>
      <w:r w:rsidR="006310FD">
        <w:noBreakHyphen/>
      </w:r>
      <w:fldSimple w:instr=" SEQ Table \* ARABIC \s 1 ">
        <w:r w:rsidR="009C72FC">
          <w:rPr>
            <w:noProof/>
          </w:rPr>
          <w:t>1</w:t>
        </w:r>
      </w:fldSimple>
      <w:bookmarkEnd w:id="205"/>
      <w:r w:rsidR="002167FD">
        <w:t>:</w:t>
      </w:r>
      <w:r w:rsidR="002167FD">
        <w:tab/>
      </w:r>
      <w:r>
        <w:t>Current MBS item numbers available to all palliative care specialists</w:t>
      </w:r>
      <w:bookmarkEnd w:id="206"/>
    </w:p>
    <w:tbl>
      <w:tblPr>
        <w:tblStyle w:val="AspexTable1"/>
        <w:tblW w:w="0" w:type="auto"/>
        <w:tblLayout w:type="fixed"/>
        <w:tblLook w:val="04A0" w:firstRow="1" w:lastRow="0" w:firstColumn="1" w:lastColumn="0" w:noHBand="0" w:noVBand="1"/>
        <w:tblCaption w:val="Table 5-1: "/>
        <w:tblDescription w:val="Current MBS item numbers available to all palliative care specialists as discussed Section 5.1"/>
      </w:tblPr>
      <w:tblGrid>
        <w:gridCol w:w="3397"/>
        <w:gridCol w:w="1430"/>
        <w:gridCol w:w="1430"/>
        <w:gridCol w:w="1430"/>
        <w:gridCol w:w="1430"/>
      </w:tblGrid>
      <w:tr w:rsidR="006B2E47" w:rsidRPr="006B2E47" w14:paraId="319A5A86" w14:textId="77777777" w:rsidTr="001C0F55">
        <w:trPr>
          <w:cnfStyle w:val="100000000000" w:firstRow="1" w:lastRow="0" w:firstColumn="0" w:lastColumn="0" w:oddVBand="0" w:evenVBand="0" w:oddHBand="0" w:evenHBand="0" w:firstRowFirstColumn="0" w:firstRowLastColumn="0" w:lastRowFirstColumn="0" w:lastRowLastColumn="0"/>
          <w:tblHeader/>
        </w:trPr>
        <w:tc>
          <w:tcPr>
            <w:tcW w:w="3397" w:type="dxa"/>
          </w:tcPr>
          <w:p w14:paraId="2E5CB755" w14:textId="77777777" w:rsidR="006B2E47" w:rsidRPr="00D21F54" w:rsidRDefault="006B2E47" w:rsidP="006B2E47">
            <w:pPr>
              <w:pStyle w:val="AspexBodyStandard"/>
              <w:spacing w:before="144" w:after="144"/>
              <w:rPr>
                <w:rFonts w:ascii="Arial Narrow" w:hAnsi="Arial Narrow"/>
                <w:color w:val="FFFFFF" w:themeColor="background1"/>
                <w:sz w:val="20"/>
              </w:rPr>
            </w:pPr>
            <w:r w:rsidRPr="00D21F54">
              <w:rPr>
                <w:rFonts w:ascii="Arial Narrow" w:hAnsi="Arial Narrow"/>
                <w:color w:val="FFFFFF" w:themeColor="background1"/>
                <w:sz w:val="20"/>
              </w:rPr>
              <w:t>Short Description</w:t>
            </w:r>
          </w:p>
        </w:tc>
        <w:tc>
          <w:tcPr>
            <w:tcW w:w="1430" w:type="dxa"/>
          </w:tcPr>
          <w:p w14:paraId="35F1F2C6" w14:textId="77777777" w:rsidR="006B2E47" w:rsidRPr="00D21F54" w:rsidRDefault="006B2E47" w:rsidP="006B2E47">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Surgery or Hospital</w:t>
            </w:r>
          </w:p>
        </w:tc>
        <w:tc>
          <w:tcPr>
            <w:tcW w:w="1430" w:type="dxa"/>
          </w:tcPr>
          <w:p w14:paraId="1DFB66EE" w14:textId="77777777" w:rsidR="006B2E47" w:rsidRPr="00D21F54" w:rsidRDefault="006B2E47" w:rsidP="006B2E47">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Home visit</w:t>
            </w:r>
          </w:p>
        </w:tc>
        <w:tc>
          <w:tcPr>
            <w:tcW w:w="1430" w:type="dxa"/>
          </w:tcPr>
          <w:p w14:paraId="50A8797F" w14:textId="77777777" w:rsidR="006B2E47" w:rsidRPr="00D21F54" w:rsidRDefault="006B2E47" w:rsidP="006B2E47">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Discharge Case Conference</w:t>
            </w:r>
          </w:p>
        </w:tc>
        <w:tc>
          <w:tcPr>
            <w:tcW w:w="1430" w:type="dxa"/>
          </w:tcPr>
          <w:p w14:paraId="6A49F073" w14:textId="77777777" w:rsidR="006B2E47" w:rsidRPr="00D21F54" w:rsidRDefault="006B2E47" w:rsidP="006B2E47">
            <w:pPr>
              <w:pStyle w:val="AspexBodyStandard"/>
              <w:spacing w:before="144" w:after="144"/>
              <w:jc w:val="center"/>
              <w:rPr>
                <w:rFonts w:ascii="Arial Narrow" w:hAnsi="Arial Narrow"/>
                <w:color w:val="FFFFFF" w:themeColor="background1"/>
                <w:sz w:val="20"/>
              </w:rPr>
            </w:pPr>
            <w:r w:rsidRPr="00D21F54">
              <w:rPr>
                <w:rFonts w:ascii="Arial Narrow" w:hAnsi="Arial Narrow"/>
                <w:color w:val="FFFFFF" w:themeColor="background1"/>
                <w:sz w:val="20"/>
              </w:rPr>
              <w:t>Community case conference</w:t>
            </w:r>
          </w:p>
        </w:tc>
      </w:tr>
      <w:tr w:rsidR="006B2E47" w:rsidRPr="006B2E47" w14:paraId="13279FC6" w14:textId="77777777" w:rsidTr="00D21F54">
        <w:trPr>
          <w:trHeight w:hRule="exact" w:val="340"/>
        </w:trPr>
        <w:tc>
          <w:tcPr>
            <w:tcW w:w="3397" w:type="dxa"/>
            <w:vAlign w:val="center"/>
          </w:tcPr>
          <w:p w14:paraId="098F8BFE" w14:textId="77777777" w:rsidR="006B2E47" w:rsidRP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Professional attendance</w:t>
            </w:r>
          </w:p>
        </w:tc>
        <w:tc>
          <w:tcPr>
            <w:tcW w:w="1430" w:type="dxa"/>
            <w:vAlign w:val="center"/>
          </w:tcPr>
          <w:p w14:paraId="62FA436C"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3005</w:t>
            </w:r>
          </w:p>
        </w:tc>
        <w:tc>
          <w:tcPr>
            <w:tcW w:w="1430" w:type="dxa"/>
            <w:vAlign w:val="center"/>
          </w:tcPr>
          <w:p w14:paraId="35F97042"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3018</w:t>
            </w:r>
          </w:p>
        </w:tc>
        <w:tc>
          <w:tcPr>
            <w:tcW w:w="1430" w:type="dxa"/>
            <w:vAlign w:val="center"/>
          </w:tcPr>
          <w:p w14:paraId="3D546EA4"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6B255B2C"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6B2E47" w:rsidRPr="006B2E47" w14:paraId="53875779" w14:textId="77777777" w:rsidTr="00D21F54">
        <w:trPr>
          <w:trHeight w:hRule="exact" w:val="340"/>
        </w:trPr>
        <w:tc>
          <w:tcPr>
            <w:tcW w:w="3397" w:type="dxa"/>
            <w:vAlign w:val="center"/>
          </w:tcPr>
          <w:p w14:paraId="72291AE9" w14:textId="77777777" w:rsid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Subsequent attendance</w:t>
            </w:r>
          </w:p>
          <w:p w14:paraId="2DFA4E63" w14:textId="77777777" w:rsidR="006B2E47" w:rsidRP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Min</w:t>
            </w:r>
          </w:p>
        </w:tc>
        <w:tc>
          <w:tcPr>
            <w:tcW w:w="1430" w:type="dxa"/>
            <w:vAlign w:val="center"/>
          </w:tcPr>
          <w:p w14:paraId="769DFB9C"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3010</w:t>
            </w:r>
          </w:p>
        </w:tc>
        <w:tc>
          <w:tcPr>
            <w:tcW w:w="1430" w:type="dxa"/>
            <w:vAlign w:val="center"/>
          </w:tcPr>
          <w:p w14:paraId="25CA9319"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3023</w:t>
            </w:r>
          </w:p>
        </w:tc>
        <w:tc>
          <w:tcPr>
            <w:tcW w:w="1430" w:type="dxa"/>
            <w:vAlign w:val="center"/>
          </w:tcPr>
          <w:p w14:paraId="6779F0A2"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4C116CCA"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6B2E47" w:rsidRPr="006B2E47" w14:paraId="71486CBD" w14:textId="77777777" w:rsidTr="00D21F54">
        <w:trPr>
          <w:trHeight w:hRule="exact" w:val="340"/>
        </w:trPr>
        <w:tc>
          <w:tcPr>
            <w:tcW w:w="3397" w:type="dxa"/>
            <w:vAlign w:val="center"/>
          </w:tcPr>
          <w:p w14:paraId="0A33B1D9" w14:textId="77777777" w:rsidR="006B2E47" w:rsidRP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Minor subsequent attendance</w:t>
            </w:r>
          </w:p>
        </w:tc>
        <w:tc>
          <w:tcPr>
            <w:tcW w:w="1430" w:type="dxa"/>
            <w:vAlign w:val="center"/>
          </w:tcPr>
          <w:p w14:paraId="7C3A9317"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3014</w:t>
            </w:r>
          </w:p>
        </w:tc>
        <w:tc>
          <w:tcPr>
            <w:tcW w:w="1430" w:type="dxa"/>
            <w:vAlign w:val="center"/>
          </w:tcPr>
          <w:p w14:paraId="6E29E193"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3028</w:t>
            </w:r>
          </w:p>
        </w:tc>
        <w:tc>
          <w:tcPr>
            <w:tcW w:w="1430" w:type="dxa"/>
            <w:vAlign w:val="center"/>
          </w:tcPr>
          <w:p w14:paraId="57BFA6EF"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6E73F344"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r>
      <w:tr w:rsidR="006B2E47" w:rsidRPr="006B2E47" w14:paraId="7BA5C080" w14:textId="77777777" w:rsidTr="00D21F54">
        <w:trPr>
          <w:trHeight w:hRule="exact" w:val="340"/>
        </w:trPr>
        <w:tc>
          <w:tcPr>
            <w:tcW w:w="3397" w:type="dxa"/>
            <w:vAlign w:val="center"/>
          </w:tcPr>
          <w:p w14:paraId="02808460" w14:textId="77777777" w:rsidR="006B2E47" w:rsidRP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Organise/coordinate – duration 15-30 mins</w:t>
            </w:r>
          </w:p>
        </w:tc>
        <w:tc>
          <w:tcPr>
            <w:tcW w:w="1430" w:type="dxa"/>
            <w:vAlign w:val="center"/>
          </w:tcPr>
          <w:p w14:paraId="17631824"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4FA1D893"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0EFE526D"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3032</w:t>
            </w:r>
          </w:p>
        </w:tc>
        <w:tc>
          <w:tcPr>
            <w:tcW w:w="1430" w:type="dxa"/>
            <w:vAlign w:val="center"/>
          </w:tcPr>
          <w:p w14:paraId="4DACDCF7"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3069</w:t>
            </w:r>
          </w:p>
        </w:tc>
      </w:tr>
      <w:tr w:rsidR="006B2E47" w:rsidRPr="006B2E47" w14:paraId="5D765C2E" w14:textId="77777777" w:rsidTr="00D21F54">
        <w:trPr>
          <w:trHeight w:hRule="exact" w:val="340"/>
        </w:trPr>
        <w:tc>
          <w:tcPr>
            <w:tcW w:w="3397" w:type="dxa"/>
            <w:vAlign w:val="center"/>
          </w:tcPr>
          <w:p w14:paraId="20D6E75D" w14:textId="77777777" w:rsidR="006B2E47" w:rsidRPr="006B2E47" w:rsidRDefault="006B2E47" w:rsidP="006B2E47">
            <w:pPr>
              <w:pStyle w:val="AspexBodyStandard"/>
              <w:spacing w:before="100" w:beforeAutospacing="1" w:after="100" w:afterAutospacing="1"/>
              <w:jc w:val="left"/>
              <w:rPr>
                <w:rFonts w:ascii="Arial Narrow" w:hAnsi="Arial Narrow"/>
                <w:sz w:val="20"/>
              </w:rPr>
            </w:pPr>
            <w:r>
              <w:rPr>
                <w:rFonts w:ascii="Arial Narrow" w:hAnsi="Arial Narrow"/>
                <w:sz w:val="20"/>
              </w:rPr>
              <w:t>Organise</w:t>
            </w:r>
            <w:r w:rsidR="00D21F54">
              <w:rPr>
                <w:rFonts w:ascii="Arial Narrow" w:hAnsi="Arial Narrow"/>
                <w:sz w:val="20"/>
              </w:rPr>
              <w:t>/coordinate – duration 30-45 mins</w:t>
            </w:r>
          </w:p>
        </w:tc>
        <w:tc>
          <w:tcPr>
            <w:tcW w:w="1430" w:type="dxa"/>
            <w:vAlign w:val="center"/>
          </w:tcPr>
          <w:p w14:paraId="6F768DCF"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322B32CA"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3E483B23"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3040</w:t>
            </w:r>
          </w:p>
        </w:tc>
        <w:tc>
          <w:tcPr>
            <w:tcW w:w="1430" w:type="dxa"/>
            <w:vAlign w:val="center"/>
          </w:tcPr>
          <w:p w14:paraId="741179B0" w14:textId="77777777" w:rsidR="006B2E47"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3074</w:t>
            </w:r>
          </w:p>
        </w:tc>
      </w:tr>
      <w:tr w:rsidR="00D21F54" w:rsidRPr="006B2E47" w14:paraId="57476A2F" w14:textId="77777777" w:rsidTr="00D21F54">
        <w:trPr>
          <w:trHeight w:hRule="exact" w:val="340"/>
        </w:trPr>
        <w:tc>
          <w:tcPr>
            <w:tcW w:w="3397" w:type="dxa"/>
            <w:vAlign w:val="center"/>
          </w:tcPr>
          <w:p w14:paraId="20BB4BAC" w14:textId="77777777" w:rsidR="00D21F54" w:rsidRPr="006B2E47" w:rsidRDefault="00D21F54" w:rsidP="00D21F54">
            <w:pPr>
              <w:pStyle w:val="AspexBodyStandard"/>
              <w:spacing w:before="100" w:beforeAutospacing="1" w:after="100" w:afterAutospacing="1"/>
              <w:jc w:val="left"/>
              <w:rPr>
                <w:rFonts w:ascii="Arial Narrow" w:hAnsi="Arial Narrow"/>
                <w:sz w:val="20"/>
              </w:rPr>
            </w:pPr>
            <w:r>
              <w:rPr>
                <w:rFonts w:ascii="Arial Narrow" w:hAnsi="Arial Narrow"/>
                <w:sz w:val="20"/>
              </w:rPr>
              <w:t>Organise/coordinate – duration 45+ mins</w:t>
            </w:r>
          </w:p>
        </w:tc>
        <w:tc>
          <w:tcPr>
            <w:tcW w:w="1430" w:type="dxa"/>
            <w:vAlign w:val="center"/>
          </w:tcPr>
          <w:p w14:paraId="4C52BBBB"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1CF8E242"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130CB1FB"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3044</w:t>
            </w:r>
          </w:p>
        </w:tc>
        <w:tc>
          <w:tcPr>
            <w:tcW w:w="1430" w:type="dxa"/>
            <w:vAlign w:val="center"/>
          </w:tcPr>
          <w:p w14:paraId="69149FE8"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3078</w:t>
            </w:r>
          </w:p>
        </w:tc>
      </w:tr>
      <w:tr w:rsidR="00D21F54" w:rsidRPr="006B2E47" w14:paraId="069E86F7" w14:textId="77777777" w:rsidTr="00D21F54">
        <w:trPr>
          <w:trHeight w:hRule="exact" w:val="340"/>
        </w:trPr>
        <w:tc>
          <w:tcPr>
            <w:tcW w:w="3397" w:type="dxa"/>
            <w:vAlign w:val="center"/>
          </w:tcPr>
          <w:p w14:paraId="69C18448" w14:textId="77777777" w:rsidR="00D21F54" w:rsidRPr="006B2E47" w:rsidRDefault="00D21F54" w:rsidP="006B2E47">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15-30 mins</w:t>
            </w:r>
          </w:p>
        </w:tc>
        <w:tc>
          <w:tcPr>
            <w:tcW w:w="1430" w:type="dxa"/>
            <w:vAlign w:val="center"/>
          </w:tcPr>
          <w:p w14:paraId="3FFCBDFC"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5E1141BD"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5713DDA7"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3051</w:t>
            </w:r>
          </w:p>
        </w:tc>
        <w:tc>
          <w:tcPr>
            <w:tcW w:w="1430" w:type="dxa"/>
            <w:vAlign w:val="center"/>
          </w:tcPr>
          <w:p w14:paraId="302B4262"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3083</w:t>
            </w:r>
          </w:p>
        </w:tc>
      </w:tr>
      <w:tr w:rsidR="00D21F54" w:rsidRPr="006B2E47" w14:paraId="0A9DF58B" w14:textId="77777777" w:rsidTr="00D21F54">
        <w:trPr>
          <w:trHeight w:hRule="exact" w:val="340"/>
        </w:trPr>
        <w:tc>
          <w:tcPr>
            <w:tcW w:w="3397" w:type="dxa"/>
            <w:vAlign w:val="center"/>
          </w:tcPr>
          <w:p w14:paraId="0AAC71A6" w14:textId="77777777" w:rsidR="00D21F54" w:rsidRPr="006B2E47" w:rsidRDefault="00D21F54" w:rsidP="006B2E47">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30-45 mins</w:t>
            </w:r>
          </w:p>
        </w:tc>
        <w:tc>
          <w:tcPr>
            <w:tcW w:w="1430" w:type="dxa"/>
            <w:vAlign w:val="center"/>
          </w:tcPr>
          <w:p w14:paraId="14909E76"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0B1BCE57"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44C79F4B"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3055</w:t>
            </w:r>
          </w:p>
        </w:tc>
        <w:tc>
          <w:tcPr>
            <w:tcW w:w="1430" w:type="dxa"/>
            <w:vAlign w:val="center"/>
          </w:tcPr>
          <w:p w14:paraId="3936E939"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3088</w:t>
            </w:r>
          </w:p>
        </w:tc>
      </w:tr>
      <w:tr w:rsidR="00D21F54" w:rsidRPr="006B2E47" w14:paraId="441B592E" w14:textId="77777777" w:rsidTr="00D21F54">
        <w:trPr>
          <w:trHeight w:hRule="exact" w:val="340"/>
        </w:trPr>
        <w:tc>
          <w:tcPr>
            <w:tcW w:w="3397" w:type="dxa"/>
            <w:vAlign w:val="center"/>
          </w:tcPr>
          <w:p w14:paraId="68E1940F" w14:textId="77777777" w:rsidR="00D21F54" w:rsidRPr="006B2E47" w:rsidRDefault="00D21F54" w:rsidP="006B2E47">
            <w:pPr>
              <w:pStyle w:val="AspexBodyStandard"/>
              <w:spacing w:before="100" w:beforeAutospacing="1" w:after="100" w:afterAutospacing="1"/>
              <w:jc w:val="left"/>
              <w:rPr>
                <w:rFonts w:ascii="Arial Narrow" w:hAnsi="Arial Narrow"/>
                <w:sz w:val="20"/>
              </w:rPr>
            </w:pPr>
            <w:r>
              <w:rPr>
                <w:rFonts w:ascii="Arial Narrow" w:hAnsi="Arial Narrow"/>
                <w:sz w:val="20"/>
              </w:rPr>
              <w:t>Participate – duration 45+ mins</w:t>
            </w:r>
          </w:p>
        </w:tc>
        <w:tc>
          <w:tcPr>
            <w:tcW w:w="1430" w:type="dxa"/>
            <w:vAlign w:val="center"/>
          </w:tcPr>
          <w:p w14:paraId="30F9F6FD"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00852533"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w:t>
            </w:r>
          </w:p>
        </w:tc>
        <w:tc>
          <w:tcPr>
            <w:tcW w:w="1430" w:type="dxa"/>
            <w:vAlign w:val="center"/>
          </w:tcPr>
          <w:p w14:paraId="0EF0CE7A"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3062</w:t>
            </w:r>
          </w:p>
        </w:tc>
        <w:tc>
          <w:tcPr>
            <w:tcW w:w="1430" w:type="dxa"/>
            <w:vAlign w:val="center"/>
          </w:tcPr>
          <w:p w14:paraId="472DD398" w14:textId="77777777" w:rsidR="00D21F54" w:rsidRPr="006B2E47" w:rsidRDefault="00D21F54" w:rsidP="006B2E47">
            <w:pPr>
              <w:pStyle w:val="AspexBodyStandard"/>
              <w:spacing w:before="100" w:beforeAutospacing="1" w:after="100" w:afterAutospacing="1"/>
              <w:jc w:val="center"/>
              <w:rPr>
                <w:rFonts w:ascii="Arial Narrow" w:hAnsi="Arial Narrow"/>
                <w:sz w:val="20"/>
              </w:rPr>
            </w:pPr>
            <w:r>
              <w:rPr>
                <w:rFonts w:ascii="Arial Narrow" w:hAnsi="Arial Narrow"/>
                <w:sz w:val="20"/>
              </w:rPr>
              <w:t>3093</w:t>
            </w:r>
          </w:p>
        </w:tc>
      </w:tr>
    </w:tbl>
    <w:p w14:paraId="68390B88" w14:textId="77777777" w:rsidR="006B2E47" w:rsidRDefault="00D21F54" w:rsidP="00AF03E3">
      <w:pPr>
        <w:pStyle w:val="AspexBodyStandard"/>
      </w:pPr>
      <w:r>
        <w:t xml:space="preserve">For those </w:t>
      </w:r>
      <w:r w:rsidR="00BF0AC3">
        <w:t xml:space="preserve">palliative care </w:t>
      </w:r>
      <w:r>
        <w:t>specialists, who may also be registered as physicians with th</w:t>
      </w:r>
      <w:r w:rsidR="00BF0AC3">
        <w:t>e MBS (Schedule A4), five attendance items are available including:</w:t>
      </w:r>
    </w:p>
    <w:p w14:paraId="6F7C47BB" w14:textId="77777777" w:rsidR="00BF0AC3" w:rsidRDefault="00BF0AC3" w:rsidP="00BF0AC3">
      <w:pPr>
        <w:pStyle w:val="AspexBullet1"/>
      </w:pPr>
      <w:r>
        <w:t>Initial attendance (item 110);</w:t>
      </w:r>
    </w:p>
    <w:p w14:paraId="0DD8BD49" w14:textId="77777777" w:rsidR="00BF0AC3" w:rsidRDefault="00BF0AC3" w:rsidP="00BF0AC3">
      <w:pPr>
        <w:pStyle w:val="AspexBullet1"/>
      </w:pPr>
      <w:r>
        <w:t>Subsequent attendance (item 116);</w:t>
      </w:r>
    </w:p>
    <w:p w14:paraId="4EE23FCF" w14:textId="77777777" w:rsidR="00BF0AC3" w:rsidRDefault="00BF0AC3" w:rsidP="00BF0AC3">
      <w:pPr>
        <w:pStyle w:val="AspexBullet1"/>
      </w:pPr>
      <w:r>
        <w:t xml:space="preserve">Minor subsequent attendance (item </w:t>
      </w:r>
      <w:r w:rsidR="00E00CD1">
        <w:t>119</w:t>
      </w:r>
      <w:r>
        <w:t>);</w:t>
      </w:r>
    </w:p>
    <w:p w14:paraId="58B6BB12" w14:textId="77777777" w:rsidR="00BF0AC3" w:rsidRDefault="00BF0AC3" w:rsidP="00BF0AC3">
      <w:pPr>
        <w:pStyle w:val="AspexBullet1"/>
      </w:pPr>
      <w:r>
        <w:t>Referred patient treatment and management plan – duration 45+ mins (item 132); and</w:t>
      </w:r>
    </w:p>
    <w:p w14:paraId="75337754" w14:textId="77777777" w:rsidR="00BF0AC3" w:rsidRDefault="00BF0AC3" w:rsidP="00BF0AC3">
      <w:pPr>
        <w:pStyle w:val="AspexBullet1"/>
      </w:pPr>
      <w:r>
        <w:t>Review of referred treatment and management plan – duration 20+ mins (item 133).</w:t>
      </w:r>
    </w:p>
    <w:p w14:paraId="5275D0E5" w14:textId="77777777" w:rsidR="00BF0AC3" w:rsidRDefault="00BF0AC3" w:rsidP="00AF03E3">
      <w:pPr>
        <w:pStyle w:val="AspexBodyStandard"/>
      </w:pPr>
      <w:r>
        <w:t>Thus co-registered palliative care specialists who are also physicians are given allowance to claim for longer and more complex patient assessments that require detailed treatment and management planning.</w:t>
      </w:r>
    </w:p>
    <w:p w14:paraId="611D5C60" w14:textId="77777777" w:rsidR="00D96F80" w:rsidRDefault="009E39FD" w:rsidP="00D96F80">
      <w:pPr>
        <w:pStyle w:val="Heading2"/>
        <w:tabs>
          <w:tab w:val="clear" w:pos="964"/>
        </w:tabs>
        <w:ind w:left="851" w:hanging="851"/>
      </w:pPr>
      <w:bookmarkStart w:id="207" w:name="_Toc382313845"/>
      <w:bookmarkEnd w:id="204"/>
      <w:r>
        <w:t xml:space="preserve">Variations in </w:t>
      </w:r>
      <w:r w:rsidR="006B2E47">
        <w:t>access to MBS items for</w:t>
      </w:r>
      <w:r>
        <w:t xml:space="preserve"> assessment</w:t>
      </w:r>
      <w:bookmarkEnd w:id="207"/>
    </w:p>
    <w:p w14:paraId="3E6DC184" w14:textId="77777777" w:rsidR="009E39FD" w:rsidRPr="009E39FD" w:rsidRDefault="009E39FD" w:rsidP="009E39FD">
      <w:pPr>
        <w:pStyle w:val="Heading3"/>
      </w:pPr>
      <w:bookmarkStart w:id="208" w:name="_Toc382313846"/>
      <w:r>
        <w:t>The availability of current assessment items</w:t>
      </w:r>
      <w:bookmarkEnd w:id="208"/>
    </w:p>
    <w:p w14:paraId="13A5BB59" w14:textId="7069A802" w:rsidR="00D96F80" w:rsidRDefault="00D96F80" w:rsidP="00D96F80">
      <w:pPr>
        <w:pStyle w:val="AspexBodyStandard"/>
      </w:pPr>
      <w:r w:rsidRPr="00AC6827">
        <w:t xml:space="preserve">Current MBS billing arrangements available to </w:t>
      </w:r>
      <w:r w:rsidR="002A2727" w:rsidRPr="00AC6827">
        <w:t>palliative medicine</w:t>
      </w:r>
      <w:r w:rsidRPr="00AC6827">
        <w:t xml:space="preserve"> specialists depend upon whether or not they have registered on the MBS as fellows in </w:t>
      </w:r>
      <w:r w:rsidR="002A2727" w:rsidRPr="00AC6827">
        <w:t>palliative medicine</w:t>
      </w:r>
      <w:r w:rsidRPr="00AC6827">
        <w:t xml:space="preserve">, or rely upon other fellowships they have obtained prior to becoming a recognised fellow of the </w:t>
      </w:r>
      <w:r w:rsidRPr="00AC6827">
        <w:lastRenderedPageBreak/>
        <w:t xml:space="preserve">Chapter of </w:t>
      </w:r>
      <w:r w:rsidR="002A2727" w:rsidRPr="00AC6827">
        <w:t xml:space="preserve">Palliative </w:t>
      </w:r>
      <w:r w:rsidR="00C85633" w:rsidRPr="00AC6827">
        <w:t>M</w:t>
      </w:r>
      <w:r w:rsidR="002A2727" w:rsidRPr="00AC6827">
        <w:t>edicine</w:t>
      </w:r>
      <w:r w:rsidRPr="00AC6827">
        <w:t xml:space="preserve">.  </w:t>
      </w:r>
      <w:r w:rsidR="00AC6827" w:rsidRPr="00525464">
        <w:t>According to Chapter fellowship data a</w:t>
      </w:r>
      <w:r w:rsidRPr="00AC6827">
        <w:t xml:space="preserve">round </w:t>
      </w:r>
      <w:r w:rsidR="00C231DB" w:rsidRPr="00AC6827">
        <w:t>51</w:t>
      </w:r>
      <w:r w:rsidRPr="00AC6827">
        <w:t>%</w:t>
      </w:r>
      <w:r w:rsidRPr="00AC6827">
        <w:rPr>
          <w:rStyle w:val="FootnoteReference"/>
        </w:rPr>
        <w:footnoteReference w:id="121"/>
      </w:r>
      <w:r w:rsidRPr="00AC6827">
        <w:t xml:space="preserve"> of all </w:t>
      </w:r>
      <w:r w:rsidR="002A2727" w:rsidRPr="00AC6827">
        <w:t>palliative medicine</w:t>
      </w:r>
      <w:r w:rsidRPr="00AC6827">
        <w:t xml:space="preserve"> specialists have another independent fellowship. </w:t>
      </w:r>
      <w:r w:rsidR="00B02C83">
        <w:t>When independent data relating to actual MBS claims are examined</w:t>
      </w:r>
      <w:r w:rsidR="00DB698D">
        <w:t>, it shows that</w:t>
      </w:r>
      <w:r w:rsidR="00B02C83">
        <w:t xml:space="preserve"> around 6</w:t>
      </w:r>
      <w:r w:rsidR="007F47AB">
        <w:t>6</w:t>
      </w:r>
      <w:r w:rsidR="00B02C83">
        <w:t>% of specialists have another fellowship qualification in addition to palliative care</w:t>
      </w:r>
      <w:r w:rsidR="007F47AB">
        <w:t>. Additional fellowships held by these palliative care specialists billing on the MBS are presented in</w:t>
      </w:r>
      <w:r w:rsidR="00AD0281" w:rsidRPr="00AC6827">
        <w:t xml:space="preserve"> </w:t>
      </w:r>
      <w:r w:rsidRPr="00AC6827">
        <w:t>(</w:t>
      </w:r>
      <w:r w:rsidRPr="0090218C">
        <w:fldChar w:fldCharType="begin"/>
      </w:r>
      <w:r w:rsidRPr="00AC6827">
        <w:instrText xml:space="preserve"> REF _Ref223864267 \h </w:instrText>
      </w:r>
      <w:r w:rsidR="00F874A0" w:rsidRPr="00525464">
        <w:instrText xml:space="preserve"> \* MERGEFORMAT </w:instrText>
      </w:r>
      <w:r w:rsidRPr="0090218C">
        <w:fldChar w:fldCharType="separate"/>
      </w:r>
      <w:r w:rsidR="009C72FC" w:rsidRPr="00C32C3D">
        <w:t xml:space="preserve">Table </w:t>
      </w:r>
      <w:r w:rsidR="009C72FC">
        <w:rPr>
          <w:noProof/>
        </w:rPr>
        <w:t>5</w:t>
      </w:r>
      <w:r w:rsidR="009C72FC">
        <w:rPr>
          <w:noProof/>
        </w:rPr>
        <w:noBreakHyphen/>
        <w:t>2</w:t>
      </w:r>
      <w:r w:rsidRPr="0090218C">
        <w:fldChar w:fldCharType="end"/>
      </w:r>
      <w:r w:rsidRPr="00AC6827">
        <w:t>).</w:t>
      </w:r>
    </w:p>
    <w:p w14:paraId="5811095E" w14:textId="0466BEEB" w:rsidR="00D96F80" w:rsidRPr="00C32C3D" w:rsidRDefault="00D96F80" w:rsidP="00D96F80">
      <w:pPr>
        <w:pStyle w:val="Caption"/>
      </w:pPr>
      <w:bookmarkStart w:id="209" w:name="_Ref223864267"/>
      <w:bookmarkStart w:id="210" w:name="_Toc350872826"/>
      <w:bookmarkStart w:id="211" w:name="_Toc382315620"/>
      <w:r w:rsidRPr="00C32C3D">
        <w:t xml:space="preserve">Table </w:t>
      </w:r>
      <w:fldSimple w:instr=" STYLEREF 1 \s ">
        <w:r w:rsidR="009C72FC">
          <w:rPr>
            <w:noProof/>
          </w:rPr>
          <w:t>5</w:t>
        </w:r>
      </w:fldSimple>
      <w:r w:rsidR="006310FD">
        <w:noBreakHyphen/>
      </w:r>
      <w:fldSimple w:instr=" SEQ Table \* ARABIC \s 1 ">
        <w:r w:rsidR="009C72FC">
          <w:rPr>
            <w:noProof/>
          </w:rPr>
          <w:t>2</w:t>
        </w:r>
      </w:fldSimple>
      <w:bookmarkEnd w:id="209"/>
      <w:r>
        <w:rPr>
          <w:noProof/>
        </w:rPr>
        <w:t>:</w:t>
      </w:r>
      <w:r w:rsidRPr="00C32C3D">
        <w:tab/>
      </w:r>
      <w:r w:rsidR="007F47AB">
        <w:t>Additional f</w:t>
      </w:r>
      <w:r>
        <w:t xml:space="preserve">ellowships held by specialists </w:t>
      </w:r>
      <w:r w:rsidR="007F47AB">
        <w:t>billing on the MBS</w:t>
      </w:r>
      <w:r>
        <w:rPr>
          <w:rStyle w:val="FootnoteReference"/>
        </w:rPr>
        <w:footnoteReference w:id="122"/>
      </w:r>
      <w:bookmarkEnd w:id="210"/>
      <w:bookmarkEnd w:id="211"/>
    </w:p>
    <w:tbl>
      <w:tblPr>
        <w:tblStyle w:val="AspexTable1"/>
        <w:tblW w:w="0" w:type="auto"/>
        <w:tblLook w:val="04A0" w:firstRow="1" w:lastRow="0" w:firstColumn="1" w:lastColumn="0" w:noHBand="0" w:noVBand="1"/>
        <w:tblCaption w:val="Table 5-2: "/>
        <w:tblDescription w:val="Fellowships held by specialists and rates of MBS reimbursement as discussed Section 5.2.1"/>
      </w:tblPr>
      <w:tblGrid>
        <w:gridCol w:w="3072"/>
        <w:gridCol w:w="1459"/>
        <w:gridCol w:w="931"/>
        <w:gridCol w:w="1834"/>
        <w:gridCol w:w="1821"/>
      </w:tblGrid>
      <w:tr w:rsidR="00D96F80" w:rsidRPr="00D21F54" w14:paraId="2B279F44" w14:textId="77777777" w:rsidTr="001C0F55">
        <w:trPr>
          <w:cnfStyle w:val="100000000000" w:firstRow="1" w:lastRow="0" w:firstColumn="0" w:lastColumn="0" w:oddVBand="0" w:evenVBand="0" w:oddHBand="0" w:evenHBand="0" w:firstRowFirstColumn="0" w:firstRowLastColumn="0" w:lastRowFirstColumn="0" w:lastRowLastColumn="0"/>
          <w:tblHeader/>
        </w:trPr>
        <w:tc>
          <w:tcPr>
            <w:tcW w:w="3072" w:type="dxa"/>
          </w:tcPr>
          <w:p w14:paraId="20A1324B" w14:textId="77777777" w:rsidR="00D96F80" w:rsidRPr="00D21F54" w:rsidRDefault="00D96F80" w:rsidP="00D96F80">
            <w:pPr>
              <w:pStyle w:val="AspexBodyStandard"/>
              <w:spacing w:beforeLines="0" w:before="144" w:afterLines="0" w:after="144"/>
              <w:jc w:val="left"/>
              <w:rPr>
                <w:rFonts w:ascii="Arial Narrow" w:hAnsi="Arial Narrow"/>
                <w:color w:val="FFFFFF" w:themeColor="background1"/>
                <w:sz w:val="20"/>
              </w:rPr>
            </w:pPr>
            <w:r w:rsidRPr="00D21F54">
              <w:rPr>
                <w:rFonts w:ascii="Arial Narrow" w:hAnsi="Arial Narrow"/>
                <w:color w:val="FFFFFF" w:themeColor="background1"/>
                <w:sz w:val="20"/>
              </w:rPr>
              <w:t>Fellowship group and current elibility to claim on the MBS</w:t>
            </w:r>
          </w:p>
        </w:tc>
        <w:tc>
          <w:tcPr>
            <w:tcW w:w="1459" w:type="dxa"/>
          </w:tcPr>
          <w:p w14:paraId="70620C74" w14:textId="01D83A08" w:rsidR="00D96F80" w:rsidRPr="00D21F54" w:rsidRDefault="00E37F02" w:rsidP="00E37F02">
            <w:pPr>
              <w:pStyle w:val="AspexBodyStandard"/>
              <w:spacing w:beforeLines="0" w:before="144" w:afterLines="0" w:after="144" w:line="240" w:lineRule="auto"/>
              <w:jc w:val="center"/>
              <w:rPr>
                <w:rFonts w:ascii="Arial Narrow" w:hAnsi="Arial Narrow"/>
                <w:color w:val="FFFFFF" w:themeColor="background1"/>
                <w:sz w:val="20"/>
              </w:rPr>
            </w:pPr>
            <w:r>
              <w:rPr>
                <w:rFonts w:ascii="Arial Narrow" w:hAnsi="Arial Narrow"/>
                <w:color w:val="FFFFFF" w:themeColor="background1"/>
                <w:sz w:val="20"/>
              </w:rPr>
              <w:t>Estimated percent of specialists</w:t>
            </w:r>
          </w:p>
        </w:tc>
        <w:tc>
          <w:tcPr>
            <w:tcW w:w="931" w:type="dxa"/>
          </w:tcPr>
          <w:p w14:paraId="7C84A53D" w14:textId="77777777" w:rsidR="00D96F80" w:rsidRPr="00D21F54" w:rsidRDefault="00D96F80" w:rsidP="00D96F80">
            <w:pPr>
              <w:pStyle w:val="AspexBodyStandard"/>
              <w:spacing w:beforeLines="0" w:before="144" w:afterLines="0" w:after="144"/>
              <w:jc w:val="center"/>
              <w:rPr>
                <w:rFonts w:ascii="Arial Narrow" w:hAnsi="Arial Narrow"/>
                <w:color w:val="FFFFFF" w:themeColor="background1"/>
                <w:sz w:val="20"/>
              </w:rPr>
            </w:pPr>
            <w:r w:rsidRPr="00D21F54">
              <w:rPr>
                <w:rFonts w:ascii="Arial Narrow" w:hAnsi="Arial Narrow"/>
                <w:color w:val="FFFFFF" w:themeColor="background1"/>
                <w:sz w:val="20"/>
              </w:rPr>
              <w:t>MBS Item Group</w:t>
            </w:r>
          </w:p>
        </w:tc>
        <w:tc>
          <w:tcPr>
            <w:tcW w:w="1834" w:type="dxa"/>
          </w:tcPr>
          <w:p w14:paraId="07C412F8" w14:textId="77777777" w:rsidR="00D96F80" w:rsidRPr="00D21F54" w:rsidRDefault="00D96F80" w:rsidP="00527344">
            <w:pPr>
              <w:pStyle w:val="AspexBodyStandard"/>
              <w:spacing w:beforeLines="0" w:before="144" w:afterLines="0" w:after="144"/>
              <w:jc w:val="center"/>
              <w:rPr>
                <w:rFonts w:ascii="Arial Narrow" w:hAnsi="Arial Narrow"/>
                <w:color w:val="FFFFFF" w:themeColor="background1"/>
                <w:sz w:val="20"/>
              </w:rPr>
            </w:pPr>
            <w:r w:rsidRPr="00D21F54">
              <w:rPr>
                <w:rFonts w:ascii="Arial Narrow" w:hAnsi="Arial Narrow"/>
                <w:color w:val="FFFFFF" w:themeColor="background1"/>
                <w:sz w:val="20"/>
              </w:rPr>
              <w:t xml:space="preserve">MBS item for </w:t>
            </w:r>
            <w:r w:rsidR="00527344" w:rsidRPr="00D21F54">
              <w:rPr>
                <w:rFonts w:ascii="Arial Narrow" w:hAnsi="Arial Narrow"/>
                <w:color w:val="FFFFFF" w:themeColor="background1"/>
                <w:sz w:val="20"/>
              </w:rPr>
              <w:t>initial attendance</w:t>
            </w:r>
            <w:r w:rsidRPr="00D21F54">
              <w:rPr>
                <w:rFonts w:ascii="Arial Narrow" w:hAnsi="Arial Narrow"/>
                <w:color w:val="FFFFFF" w:themeColor="background1"/>
                <w:sz w:val="20"/>
              </w:rPr>
              <w:t xml:space="preserve"> (Benefit at 85%)</w:t>
            </w:r>
          </w:p>
        </w:tc>
        <w:tc>
          <w:tcPr>
            <w:tcW w:w="1821" w:type="dxa"/>
          </w:tcPr>
          <w:p w14:paraId="081866AD" w14:textId="77777777" w:rsidR="00D96F80" w:rsidRPr="00D21F54" w:rsidRDefault="00D96F80" w:rsidP="00527344">
            <w:pPr>
              <w:pStyle w:val="AspexBodyStandard"/>
              <w:spacing w:beforeLines="0" w:before="144" w:afterLines="0" w:after="144"/>
              <w:jc w:val="center"/>
              <w:rPr>
                <w:rFonts w:ascii="Arial Narrow" w:hAnsi="Arial Narrow"/>
                <w:color w:val="FFFFFF" w:themeColor="background1"/>
                <w:sz w:val="20"/>
              </w:rPr>
            </w:pPr>
            <w:r w:rsidRPr="00D21F54">
              <w:rPr>
                <w:rFonts w:ascii="Arial Narrow" w:hAnsi="Arial Narrow"/>
                <w:color w:val="FFFFFF" w:themeColor="background1"/>
                <w:sz w:val="20"/>
              </w:rPr>
              <w:t xml:space="preserve">MBS item </w:t>
            </w:r>
            <w:r w:rsidR="00527344" w:rsidRPr="00D21F54">
              <w:rPr>
                <w:rFonts w:ascii="Arial Narrow" w:hAnsi="Arial Narrow"/>
                <w:color w:val="FFFFFF" w:themeColor="background1"/>
                <w:sz w:val="20"/>
              </w:rPr>
              <w:t>for subsequent attendance</w:t>
            </w:r>
            <w:r w:rsidRPr="00D21F54">
              <w:rPr>
                <w:rFonts w:ascii="Arial Narrow" w:hAnsi="Arial Narrow"/>
                <w:color w:val="FFFFFF" w:themeColor="background1"/>
                <w:sz w:val="20"/>
              </w:rPr>
              <w:t xml:space="preserve"> (Benefit at 85%)</w:t>
            </w:r>
          </w:p>
        </w:tc>
      </w:tr>
      <w:tr w:rsidR="00E37F02" w:rsidRPr="00D21F54" w14:paraId="7758C984" w14:textId="77777777" w:rsidTr="00D96F80">
        <w:tc>
          <w:tcPr>
            <w:tcW w:w="3072" w:type="dxa"/>
            <w:vAlign w:val="center"/>
          </w:tcPr>
          <w:p w14:paraId="4E9C4FE9" w14:textId="77777777" w:rsidR="00E37F02" w:rsidRPr="00D21F54" w:rsidRDefault="00E37F02" w:rsidP="00D96F80">
            <w:pPr>
              <w:pStyle w:val="AspexBodyStandard"/>
              <w:spacing w:before="0" w:after="0"/>
              <w:jc w:val="left"/>
              <w:rPr>
                <w:rFonts w:ascii="Arial Narrow" w:hAnsi="Arial Narrow"/>
                <w:i/>
                <w:color w:val="808080" w:themeColor="background1" w:themeShade="80"/>
                <w:sz w:val="20"/>
              </w:rPr>
            </w:pPr>
            <w:r w:rsidRPr="00D21F54">
              <w:rPr>
                <w:rFonts w:ascii="Arial Narrow" w:hAnsi="Arial Narrow"/>
                <w:i/>
                <w:color w:val="808080" w:themeColor="background1" w:themeShade="80"/>
                <w:sz w:val="20"/>
              </w:rPr>
              <w:t>Royal Australasian College of General Practitioners</w:t>
            </w:r>
          </w:p>
        </w:tc>
        <w:tc>
          <w:tcPr>
            <w:tcW w:w="1459" w:type="dxa"/>
            <w:vAlign w:val="center"/>
          </w:tcPr>
          <w:p w14:paraId="5DB28232" w14:textId="77777777" w:rsidR="00E37F02" w:rsidRPr="00D21F54" w:rsidRDefault="00E37F02" w:rsidP="00D96F80">
            <w:pPr>
              <w:pStyle w:val="AspexBodyStandard"/>
              <w:spacing w:before="0" w:after="0"/>
              <w:jc w:val="center"/>
              <w:rPr>
                <w:rFonts w:ascii="Arial Narrow" w:hAnsi="Arial Narrow"/>
                <w:i/>
                <w:color w:val="808080" w:themeColor="background1" w:themeShade="80"/>
                <w:sz w:val="20"/>
              </w:rPr>
            </w:pPr>
            <w:r>
              <w:rPr>
                <w:rFonts w:ascii="Arial Narrow" w:hAnsi="Arial Narrow"/>
                <w:i/>
                <w:color w:val="808080" w:themeColor="background1" w:themeShade="80"/>
                <w:sz w:val="20"/>
              </w:rPr>
              <w:t>21%</w:t>
            </w:r>
          </w:p>
        </w:tc>
        <w:tc>
          <w:tcPr>
            <w:tcW w:w="931" w:type="dxa"/>
            <w:vAlign w:val="center"/>
          </w:tcPr>
          <w:p w14:paraId="2439AF3A" w14:textId="77777777" w:rsidR="00E37F02" w:rsidRPr="00D21F54" w:rsidRDefault="00E37F02" w:rsidP="00D96F80">
            <w:pPr>
              <w:pStyle w:val="AspexBodyStandard"/>
              <w:spacing w:before="0" w:after="0"/>
              <w:jc w:val="center"/>
              <w:rPr>
                <w:rFonts w:ascii="Arial Narrow" w:hAnsi="Arial Narrow"/>
                <w:i/>
                <w:color w:val="808080" w:themeColor="background1" w:themeShade="80"/>
                <w:sz w:val="20"/>
              </w:rPr>
            </w:pPr>
            <w:r w:rsidRPr="00D21F54">
              <w:rPr>
                <w:rFonts w:ascii="Arial Narrow" w:hAnsi="Arial Narrow"/>
                <w:i/>
                <w:color w:val="808080" w:themeColor="background1" w:themeShade="80"/>
                <w:sz w:val="20"/>
              </w:rPr>
              <w:t>A1</w:t>
            </w:r>
          </w:p>
        </w:tc>
        <w:tc>
          <w:tcPr>
            <w:tcW w:w="1834" w:type="dxa"/>
            <w:vAlign w:val="center"/>
          </w:tcPr>
          <w:p w14:paraId="54040F99" w14:textId="77777777" w:rsidR="00E37F02" w:rsidRPr="00D21F54" w:rsidRDefault="00E37F02" w:rsidP="00527344">
            <w:pPr>
              <w:pStyle w:val="AspexBodyStandard"/>
              <w:spacing w:before="0" w:after="0"/>
              <w:jc w:val="center"/>
              <w:rPr>
                <w:rFonts w:ascii="Arial Narrow" w:hAnsi="Arial Narrow"/>
                <w:i/>
                <w:color w:val="808080" w:themeColor="background1" w:themeShade="80"/>
                <w:sz w:val="20"/>
              </w:rPr>
            </w:pPr>
            <w:r w:rsidRPr="00D21F54">
              <w:rPr>
                <w:rFonts w:ascii="Arial Narrow" w:hAnsi="Arial Narrow"/>
                <w:i/>
                <w:color w:val="808080" w:themeColor="background1" w:themeShade="80"/>
                <w:sz w:val="20"/>
              </w:rPr>
              <w:t>44</w:t>
            </w:r>
          </w:p>
          <w:p w14:paraId="3AD73E05" w14:textId="77777777" w:rsidR="00E37F02" w:rsidRPr="00D21F54" w:rsidRDefault="00E37F02" w:rsidP="00D96F80">
            <w:pPr>
              <w:pStyle w:val="AspexBodyStandard"/>
              <w:spacing w:before="0" w:after="0"/>
              <w:jc w:val="center"/>
              <w:rPr>
                <w:rFonts w:ascii="Arial Narrow" w:hAnsi="Arial Narrow"/>
                <w:i/>
                <w:color w:val="808080" w:themeColor="background1" w:themeShade="80"/>
                <w:sz w:val="20"/>
              </w:rPr>
            </w:pPr>
            <w:r w:rsidRPr="00D21F54">
              <w:rPr>
                <w:rFonts w:ascii="Arial Narrow" w:hAnsi="Arial Narrow"/>
                <w:b/>
                <w:i/>
                <w:color w:val="808080" w:themeColor="background1" w:themeShade="80"/>
                <w:sz w:val="20"/>
              </w:rPr>
              <w:t>($103.50)</w:t>
            </w:r>
          </w:p>
        </w:tc>
        <w:tc>
          <w:tcPr>
            <w:tcW w:w="1821" w:type="dxa"/>
            <w:vAlign w:val="center"/>
          </w:tcPr>
          <w:p w14:paraId="6E730CB2" w14:textId="77777777" w:rsidR="00E37F02" w:rsidRPr="00D21F54" w:rsidRDefault="00E37F02" w:rsidP="00527344">
            <w:pPr>
              <w:pStyle w:val="AspexBodyStandard"/>
              <w:spacing w:before="0" w:after="0"/>
              <w:jc w:val="center"/>
              <w:rPr>
                <w:rFonts w:ascii="Arial Narrow" w:hAnsi="Arial Narrow"/>
                <w:i/>
                <w:color w:val="808080" w:themeColor="background1" w:themeShade="80"/>
                <w:sz w:val="20"/>
              </w:rPr>
            </w:pPr>
            <w:r w:rsidRPr="00D21F54">
              <w:rPr>
                <w:rFonts w:ascii="Arial Narrow" w:hAnsi="Arial Narrow"/>
                <w:i/>
                <w:color w:val="808080" w:themeColor="background1" w:themeShade="80"/>
                <w:sz w:val="20"/>
              </w:rPr>
              <w:t>36</w:t>
            </w:r>
          </w:p>
          <w:p w14:paraId="4EBB026C" w14:textId="77777777" w:rsidR="00E37F02" w:rsidRPr="00D21F54" w:rsidRDefault="00E37F02" w:rsidP="00D96F80">
            <w:pPr>
              <w:pStyle w:val="AspexBodyStandard"/>
              <w:spacing w:before="0" w:after="0"/>
              <w:jc w:val="center"/>
              <w:rPr>
                <w:rFonts w:ascii="Arial Narrow" w:hAnsi="Arial Narrow"/>
                <w:i/>
                <w:color w:val="808080" w:themeColor="background1" w:themeShade="80"/>
                <w:sz w:val="20"/>
              </w:rPr>
            </w:pPr>
            <w:r w:rsidRPr="00D21F54">
              <w:rPr>
                <w:rFonts w:ascii="Arial Narrow" w:hAnsi="Arial Narrow"/>
                <w:b/>
                <w:i/>
                <w:color w:val="808080" w:themeColor="background1" w:themeShade="80"/>
                <w:sz w:val="20"/>
              </w:rPr>
              <w:t>($70.30)</w:t>
            </w:r>
          </w:p>
        </w:tc>
      </w:tr>
      <w:tr w:rsidR="00E37F02" w:rsidRPr="00D21F54" w14:paraId="542F225A" w14:textId="77777777" w:rsidTr="00D96F80">
        <w:tc>
          <w:tcPr>
            <w:tcW w:w="3072" w:type="dxa"/>
            <w:vAlign w:val="center"/>
          </w:tcPr>
          <w:p w14:paraId="2437B674" w14:textId="77777777" w:rsidR="00E37F02" w:rsidRPr="00E37F02" w:rsidRDefault="00E37F02" w:rsidP="00D96F80">
            <w:pPr>
              <w:pStyle w:val="AspexBodyStandard"/>
              <w:spacing w:before="0" w:after="0"/>
              <w:jc w:val="left"/>
              <w:rPr>
                <w:rFonts w:ascii="Arial Narrow" w:hAnsi="Arial Narrow"/>
                <w:i/>
                <w:color w:val="808080" w:themeColor="background1" w:themeShade="80"/>
                <w:sz w:val="20"/>
              </w:rPr>
            </w:pPr>
            <w:r w:rsidRPr="00E37F02">
              <w:rPr>
                <w:rFonts w:ascii="Arial Narrow" w:hAnsi="Arial Narrow"/>
                <w:i/>
                <w:color w:val="808080" w:themeColor="background1" w:themeShade="80"/>
                <w:sz w:val="20"/>
              </w:rPr>
              <w:t>Other fellowships</w:t>
            </w:r>
            <w:r w:rsidRPr="00E37F02">
              <w:rPr>
                <w:rStyle w:val="FootnoteReference"/>
                <w:i/>
                <w:color w:val="808080" w:themeColor="background1" w:themeShade="80"/>
                <w:sz w:val="20"/>
              </w:rPr>
              <w:footnoteReference w:id="123"/>
            </w:r>
          </w:p>
        </w:tc>
        <w:tc>
          <w:tcPr>
            <w:tcW w:w="1459" w:type="dxa"/>
            <w:vAlign w:val="center"/>
          </w:tcPr>
          <w:p w14:paraId="085F5064" w14:textId="77777777" w:rsidR="00E37F02" w:rsidRPr="00E37F02" w:rsidRDefault="00E37F02"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40%</w:t>
            </w:r>
          </w:p>
        </w:tc>
        <w:tc>
          <w:tcPr>
            <w:tcW w:w="931" w:type="dxa"/>
            <w:vAlign w:val="center"/>
          </w:tcPr>
          <w:p w14:paraId="4B9BD469" w14:textId="77777777" w:rsidR="00E37F02" w:rsidRPr="00E37F02" w:rsidRDefault="00E37F02"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A3</w:t>
            </w:r>
          </w:p>
        </w:tc>
        <w:tc>
          <w:tcPr>
            <w:tcW w:w="1834" w:type="dxa"/>
            <w:vAlign w:val="center"/>
          </w:tcPr>
          <w:p w14:paraId="09685D93" w14:textId="77777777" w:rsidR="00E37F02" w:rsidRDefault="00E37F02"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104</w:t>
            </w:r>
          </w:p>
          <w:p w14:paraId="34308FF2" w14:textId="10F4281F" w:rsidR="00E17606" w:rsidRPr="00E37F02" w:rsidRDefault="00E17606" w:rsidP="00E17606">
            <w:pPr>
              <w:pStyle w:val="AspexBodyStandard"/>
              <w:spacing w:before="0" w:after="0"/>
              <w:jc w:val="center"/>
              <w:rPr>
                <w:rFonts w:ascii="Arial Narrow" w:hAnsi="Arial Narrow"/>
                <w:i/>
                <w:color w:val="808080" w:themeColor="background1" w:themeShade="80"/>
                <w:sz w:val="20"/>
              </w:rPr>
            </w:pPr>
            <w:r w:rsidRPr="00D21F54">
              <w:rPr>
                <w:rFonts w:ascii="Arial Narrow" w:hAnsi="Arial Narrow"/>
                <w:b/>
                <w:i/>
                <w:color w:val="808080" w:themeColor="background1" w:themeShade="80"/>
                <w:sz w:val="20"/>
              </w:rPr>
              <w:t>($</w:t>
            </w:r>
            <w:r>
              <w:rPr>
                <w:rFonts w:ascii="Arial Narrow" w:hAnsi="Arial Narrow"/>
                <w:b/>
                <w:i/>
                <w:color w:val="808080" w:themeColor="background1" w:themeShade="80"/>
                <w:sz w:val="20"/>
              </w:rPr>
              <w:t>75.27</w:t>
            </w:r>
            <w:r w:rsidRPr="00D21F54">
              <w:rPr>
                <w:rFonts w:ascii="Arial Narrow" w:hAnsi="Arial Narrow"/>
                <w:b/>
                <w:i/>
                <w:color w:val="808080" w:themeColor="background1" w:themeShade="80"/>
                <w:sz w:val="20"/>
              </w:rPr>
              <w:t>)</w:t>
            </w:r>
          </w:p>
        </w:tc>
        <w:tc>
          <w:tcPr>
            <w:tcW w:w="1821" w:type="dxa"/>
            <w:vAlign w:val="center"/>
          </w:tcPr>
          <w:p w14:paraId="460EFB8C" w14:textId="77777777" w:rsidR="00E37F02" w:rsidRPr="00E37F02" w:rsidRDefault="00E37F02"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105</w:t>
            </w:r>
          </w:p>
          <w:p w14:paraId="47D51262" w14:textId="6DA1BA3E" w:rsidR="00E37F02" w:rsidRPr="00E37F02" w:rsidRDefault="00E17606" w:rsidP="00E17606">
            <w:pPr>
              <w:pStyle w:val="AspexBodyStandard"/>
              <w:spacing w:before="0" w:after="0"/>
              <w:jc w:val="center"/>
              <w:rPr>
                <w:rFonts w:ascii="Arial Narrow" w:hAnsi="Arial Narrow"/>
                <w:i/>
                <w:color w:val="808080" w:themeColor="background1" w:themeShade="80"/>
                <w:sz w:val="20"/>
              </w:rPr>
            </w:pPr>
            <w:r w:rsidRPr="00D21F54">
              <w:rPr>
                <w:rFonts w:ascii="Arial Narrow" w:hAnsi="Arial Narrow"/>
                <w:b/>
                <w:i/>
                <w:color w:val="808080" w:themeColor="background1" w:themeShade="80"/>
                <w:sz w:val="20"/>
              </w:rPr>
              <w:t>($</w:t>
            </w:r>
            <w:r>
              <w:rPr>
                <w:rFonts w:ascii="Arial Narrow" w:hAnsi="Arial Narrow"/>
                <w:b/>
                <w:i/>
                <w:color w:val="808080" w:themeColor="background1" w:themeShade="80"/>
                <w:sz w:val="20"/>
              </w:rPr>
              <w:t>36.55</w:t>
            </w:r>
            <w:r w:rsidRPr="00D21F54">
              <w:rPr>
                <w:rFonts w:ascii="Arial Narrow" w:hAnsi="Arial Narrow"/>
                <w:b/>
                <w:i/>
                <w:color w:val="808080" w:themeColor="background1" w:themeShade="80"/>
                <w:sz w:val="20"/>
              </w:rPr>
              <w:t>)</w:t>
            </w:r>
          </w:p>
        </w:tc>
      </w:tr>
      <w:tr w:rsidR="005C7123" w:rsidRPr="00D21F54" w14:paraId="37FC2F21" w14:textId="77777777" w:rsidTr="00D96F80">
        <w:tc>
          <w:tcPr>
            <w:tcW w:w="3072" w:type="dxa"/>
            <w:vAlign w:val="center"/>
          </w:tcPr>
          <w:p w14:paraId="6C7DB383" w14:textId="3DB1E286" w:rsidR="005C7123" w:rsidRPr="00E37F02" w:rsidRDefault="005C7123" w:rsidP="00D96F80">
            <w:pPr>
              <w:pStyle w:val="AspexBodyStandard"/>
              <w:spacing w:before="0" w:after="0"/>
              <w:jc w:val="left"/>
              <w:rPr>
                <w:rFonts w:ascii="Arial Narrow" w:hAnsi="Arial Narrow"/>
                <w:i/>
                <w:color w:val="808080" w:themeColor="background1" w:themeShade="80"/>
                <w:sz w:val="20"/>
              </w:rPr>
            </w:pPr>
            <w:r w:rsidRPr="00E37F02">
              <w:rPr>
                <w:rFonts w:ascii="Arial Narrow" w:hAnsi="Arial Narrow"/>
                <w:i/>
                <w:color w:val="808080" w:themeColor="background1" w:themeShade="80"/>
                <w:sz w:val="20"/>
              </w:rPr>
              <w:t>Royal Australasian College of Physicians</w:t>
            </w:r>
          </w:p>
        </w:tc>
        <w:tc>
          <w:tcPr>
            <w:tcW w:w="1459" w:type="dxa"/>
            <w:vAlign w:val="center"/>
          </w:tcPr>
          <w:p w14:paraId="2D5CAAF7" w14:textId="6C4C127B" w:rsidR="005C7123" w:rsidRPr="00E37F02" w:rsidRDefault="005C7123"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39%</w:t>
            </w:r>
          </w:p>
        </w:tc>
        <w:tc>
          <w:tcPr>
            <w:tcW w:w="931" w:type="dxa"/>
            <w:vAlign w:val="center"/>
          </w:tcPr>
          <w:p w14:paraId="5717A1AB" w14:textId="3D6DF6CA" w:rsidR="005C7123" w:rsidRPr="00E37F02" w:rsidRDefault="005C7123" w:rsidP="00D96F80">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A4</w:t>
            </w:r>
          </w:p>
        </w:tc>
        <w:tc>
          <w:tcPr>
            <w:tcW w:w="1834" w:type="dxa"/>
            <w:vAlign w:val="center"/>
          </w:tcPr>
          <w:p w14:paraId="3EA171D5" w14:textId="77777777" w:rsidR="005C7123" w:rsidRPr="00E37F02" w:rsidRDefault="005C7123" w:rsidP="005C7123">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110</w:t>
            </w:r>
          </w:p>
          <w:p w14:paraId="40A1F217" w14:textId="5298D909" w:rsidR="005C7123" w:rsidRPr="00E37F02" w:rsidRDefault="005C7123" w:rsidP="00527344">
            <w:pPr>
              <w:pStyle w:val="AspexBodyStandard"/>
              <w:spacing w:before="0" w:after="0"/>
              <w:jc w:val="center"/>
              <w:rPr>
                <w:rFonts w:ascii="Arial Narrow" w:hAnsi="Arial Narrow"/>
                <w:i/>
                <w:color w:val="808080" w:themeColor="background1" w:themeShade="80"/>
                <w:sz w:val="20"/>
              </w:rPr>
            </w:pPr>
            <w:r w:rsidRPr="00E37F02">
              <w:rPr>
                <w:rFonts w:ascii="Arial Narrow" w:hAnsi="Arial Narrow"/>
                <w:b/>
                <w:i/>
                <w:color w:val="808080" w:themeColor="background1" w:themeShade="80"/>
                <w:sz w:val="20"/>
              </w:rPr>
              <w:t>($128.30)</w:t>
            </w:r>
          </w:p>
        </w:tc>
        <w:tc>
          <w:tcPr>
            <w:tcW w:w="1821" w:type="dxa"/>
            <w:vAlign w:val="center"/>
          </w:tcPr>
          <w:p w14:paraId="4CCB143F" w14:textId="77777777" w:rsidR="005C7123" w:rsidRPr="00E37F02" w:rsidRDefault="005C7123" w:rsidP="005C7123">
            <w:pPr>
              <w:pStyle w:val="AspexBodyStandard"/>
              <w:spacing w:before="0" w:after="0"/>
              <w:jc w:val="center"/>
              <w:rPr>
                <w:rFonts w:ascii="Arial Narrow" w:hAnsi="Arial Narrow"/>
                <w:i/>
                <w:color w:val="808080" w:themeColor="background1" w:themeShade="80"/>
                <w:sz w:val="20"/>
              </w:rPr>
            </w:pPr>
            <w:r w:rsidRPr="00E37F02">
              <w:rPr>
                <w:rFonts w:ascii="Arial Narrow" w:hAnsi="Arial Narrow"/>
                <w:i/>
                <w:color w:val="808080" w:themeColor="background1" w:themeShade="80"/>
                <w:sz w:val="20"/>
              </w:rPr>
              <w:t>116</w:t>
            </w:r>
          </w:p>
          <w:p w14:paraId="1FD13573" w14:textId="25D496E5" w:rsidR="005C7123" w:rsidRPr="00E37F02" w:rsidRDefault="005C7123" w:rsidP="00527344">
            <w:pPr>
              <w:pStyle w:val="AspexBodyStandard"/>
              <w:spacing w:before="0" w:after="0"/>
              <w:jc w:val="center"/>
              <w:rPr>
                <w:rFonts w:ascii="Arial Narrow" w:hAnsi="Arial Narrow"/>
                <w:i/>
                <w:color w:val="808080" w:themeColor="background1" w:themeShade="80"/>
                <w:sz w:val="20"/>
              </w:rPr>
            </w:pPr>
            <w:r w:rsidRPr="00E37F02">
              <w:rPr>
                <w:rFonts w:ascii="Arial Narrow" w:hAnsi="Arial Narrow"/>
                <w:b/>
                <w:i/>
                <w:color w:val="808080" w:themeColor="background1" w:themeShade="80"/>
                <w:sz w:val="20"/>
              </w:rPr>
              <w:t>($64.20)</w:t>
            </w:r>
          </w:p>
        </w:tc>
      </w:tr>
      <w:tr w:rsidR="005C7123" w:rsidRPr="00D21F54" w14:paraId="798CF855" w14:textId="77777777" w:rsidTr="00D96F80">
        <w:tc>
          <w:tcPr>
            <w:tcW w:w="3072" w:type="dxa"/>
            <w:vAlign w:val="center"/>
          </w:tcPr>
          <w:p w14:paraId="2F45ADFD" w14:textId="2D047502" w:rsidR="005C7123" w:rsidRPr="00E37F02" w:rsidRDefault="005C7123" w:rsidP="00D96F80">
            <w:pPr>
              <w:pStyle w:val="AspexBodyStandard"/>
              <w:spacing w:before="0" w:after="0"/>
              <w:jc w:val="left"/>
              <w:rPr>
                <w:rFonts w:ascii="Arial Narrow" w:hAnsi="Arial Narrow"/>
                <w:i/>
                <w:color w:val="808080" w:themeColor="background1" w:themeShade="80"/>
                <w:sz w:val="20"/>
              </w:rPr>
            </w:pPr>
            <w:r w:rsidRPr="00D21F54">
              <w:rPr>
                <w:rFonts w:ascii="Arial Narrow" w:hAnsi="Arial Narrow"/>
                <w:sz w:val="20"/>
              </w:rPr>
              <w:t xml:space="preserve">Australasian Chapter of </w:t>
            </w:r>
            <w:r>
              <w:rPr>
                <w:rFonts w:ascii="Arial Narrow" w:hAnsi="Arial Narrow"/>
                <w:sz w:val="20"/>
              </w:rPr>
              <w:t>Palliative Medicine</w:t>
            </w:r>
            <w:r w:rsidRPr="00D21F54">
              <w:rPr>
                <w:rFonts w:ascii="Arial Narrow" w:hAnsi="Arial Narrow"/>
                <w:sz w:val="20"/>
              </w:rPr>
              <w:t xml:space="preserve"> </w:t>
            </w:r>
          </w:p>
        </w:tc>
        <w:tc>
          <w:tcPr>
            <w:tcW w:w="1459" w:type="dxa"/>
            <w:vAlign w:val="center"/>
          </w:tcPr>
          <w:p w14:paraId="674CB075" w14:textId="77777777" w:rsidR="007F47AB" w:rsidRDefault="005C7123" w:rsidP="00D96F80">
            <w:pPr>
              <w:pStyle w:val="AspexBodyStandard"/>
              <w:spacing w:before="0" w:after="0"/>
              <w:jc w:val="center"/>
              <w:rPr>
                <w:rFonts w:ascii="Arial Narrow" w:hAnsi="Arial Narrow"/>
                <w:sz w:val="20"/>
              </w:rPr>
            </w:pPr>
            <w:r>
              <w:rPr>
                <w:rFonts w:ascii="Arial Narrow" w:hAnsi="Arial Narrow"/>
                <w:sz w:val="20"/>
              </w:rPr>
              <w:t>100%</w:t>
            </w:r>
            <w:r w:rsidR="007F47AB">
              <w:rPr>
                <w:rFonts w:ascii="Arial Narrow" w:hAnsi="Arial Narrow"/>
                <w:sz w:val="20"/>
              </w:rPr>
              <w:t xml:space="preserve"> </w:t>
            </w:r>
          </w:p>
          <w:p w14:paraId="1F308DD7" w14:textId="0595B4F1" w:rsidR="005C7123" w:rsidRPr="00E37F02" w:rsidRDefault="007F47AB" w:rsidP="00D96F80">
            <w:pPr>
              <w:pStyle w:val="AspexBodyStandard"/>
              <w:spacing w:before="0" w:after="0"/>
              <w:jc w:val="center"/>
              <w:rPr>
                <w:rFonts w:ascii="Arial Narrow" w:hAnsi="Arial Narrow"/>
                <w:i/>
                <w:color w:val="808080" w:themeColor="background1" w:themeShade="80"/>
                <w:sz w:val="20"/>
              </w:rPr>
            </w:pPr>
            <w:r>
              <w:rPr>
                <w:rFonts w:ascii="Arial Narrow" w:hAnsi="Arial Narrow"/>
                <w:sz w:val="20"/>
              </w:rPr>
              <w:t>(of 66% total)</w:t>
            </w:r>
          </w:p>
        </w:tc>
        <w:tc>
          <w:tcPr>
            <w:tcW w:w="931" w:type="dxa"/>
            <w:vAlign w:val="center"/>
          </w:tcPr>
          <w:p w14:paraId="24BE3D29" w14:textId="4E65EEC1" w:rsidR="005C7123" w:rsidRPr="00E37F02" w:rsidRDefault="005C7123" w:rsidP="00D96F80">
            <w:pPr>
              <w:pStyle w:val="AspexBodyStandard"/>
              <w:spacing w:before="0" w:after="0"/>
              <w:jc w:val="center"/>
              <w:rPr>
                <w:rFonts w:ascii="Arial Narrow" w:hAnsi="Arial Narrow"/>
                <w:i/>
                <w:color w:val="808080" w:themeColor="background1" w:themeShade="80"/>
                <w:sz w:val="20"/>
              </w:rPr>
            </w:pPr>
            <w:r w:rsidRPr="00D21F54">
              <w:rPr>
                <w:rFonts w:ascii="Arial Narrow" w:hAnsi="Arial Narrow"/>
                <w:sz w:val="20"/>
              </w:rPr>
              <w:t>A24</w:t>
            </w:r>
          </w:p>
        </w:tc>
        <w:tc>
          <w:tcPr>
            <w:tcW w:w="1834" w:type="dxa"/>
            <w:vAlign w:val="center"/>
          </w:tcPr>
          <w:p w14:paraId="37854C83" w14:textId="77777777" w:rsidR="005C7123" w:rsidRPr="00D21F54" w:rsidRDefault="005C7123" w:rsidP="005C7123">
            <w:pPr>
              <w:pStyle w:val="AspexBodyStandard"/>
              <w:spacing w:before="0" w:after="0"/>
              <w:jc w:val="center"/>
              <w:rPr>
                <w:rFonts w:ascii="Arial Narrow" w:hAnsi="Arial Narrow"/>
                <w:sz w:val="20"/>
              </w:rPr>
            </w:pPr>
            <w:r w:rsidRPr="00D21F54">
              <w:rPr>
                <w:rFonts w:ascii="Arial Narrow" w:hAnsi="Arial Narrow"/>
                <w:sz w:val="20"/>
              </w:rPr>
              <w:t>3005</w:t>
            </w:r>
          </w:p>
          <w:p w14:paraId="0E83F301" w14:textId="0FD514BC" w:rsidR="005C7123" w:rsidRPr="00E37F02" w:rsidRDefault="005C7123" w:rsidP="00D96F80">
            <w:pPr>
              <w:pStyle w:val="AspexBodyStandard"/>
              <w:spacing w:before="0" w:after="0"/>
              <w:jc w:val="center"/>
              <w:rPr>
                <w:rFonts w:ascii="Arial Narrow" w:hAnsi="Arial Narrow"/>
                <w:b/>
                <w:i/>
                <w:color w:val="808080" w:themeColor="background1" w:themeShade="80"/>
                <w:sz w:val="20"/>
              </w:rPr>
            </w:pPr>
            <w:r w:rsidRPr="00D21F54">
              <w:rPr>
                <w:rFonts w:ascii="Arial Narrow" w:hAnsi="Arial Narrow"/>
                <w:b/>
                <w:sz w:val="20"/>
              </w:rPr>
              <w:t>($128.30)</w:t>
            </w:r>
          </w:p>
        </w:tc>
        <w:tc>
          <w:tcPr>
            <w:tcW w:w="1821" w:type="dxa"/>
            <w:vAlign w:val="center"/>
          </w:tcPr>
          <w:p w14:paraId="7C892D49" w14:textId="77777777" w:rsidR="005C7123" w:rsidRPr="00D21F54" w:rsidRDefault="005C7123" w:rsidP="005C7123">
            <w:pPr>
              <w:pStyle w:val="AspexBodyStandard"/>
              <w:spacing w:before="0" w:after="0"/>
              <w:jc w:val="center"/>
              <w:rPr>
                <w:rFonts w:ascii="Arial Narrow" w:hAnsi="Arial Narrow"/>
                <w:sz w:val="20"/>
              </w:rPr>
            </w:pPr>
            <w:r w:rsidRPr="00D21F54">
              <w:rPr>
                <w:rFonts w:ascii="Arial Narrow" w:hAnsi="Arial Narrow"/>
                <w:sz w:val="20"/>
              </w:rPr>
              <w:t>3010</w:t>
            </w:r>
          </w:p>
          <w:p w14:paraId="737C105F" w14:textId="359B442E" w:rsidR="005C7123" w:rsidRPr="00E37F02" w:rsidRDefault="005C7123" w:rsidP="00D96F80">
            <w:pPr>
              <w:pStyle w:val="AspexBodyStandard"/>
              <w:spacing w:before="0" w:after="0"/>
              <w:jc w:val="center"/>
              <w:rPr>
                <w:rFonts w:ascii="Arial Narrow" w:hAnsi="Arial Narrow"/>
                <w:b/>
                <w:i/>
                <w:color w:val="808080" w:themeColor="background1" w:themeShade="80"/>
                <w:sz w:val="20"/>
              </w:rPr>
            </w:pPr>
            <w:r w:rsidRPr="00D21F54">
              <w:rPr>
                <w:rFonts w:ascii="Arial Narrow" w:hAnsi="Arial Narrow"/>
                <w:b/>
                <w:sz w:val="20"/>
              </w:rPr>
              <w:t>($64.20)</w:t>
            </w:r>
          </w:p>
        </w:tc>
      </w:tr>
    </w:tbl>
    <w:p w14:paraId="6CD519E9" w14:textId="6485A469" w:rsidR="00BB7E1A" w:rsidRDefault="00D96F80" w:rsidP="00D96F80">
      <w:pPr>
        <w:pStyle w:val="AspexBodyStandard"/>
      </w:pPr>
      <w:r>
        <w:t xml:space="preserve">Under current arrangements, </w:t>
      </w:r>
      <w:r w:rsidR="00BB7E1A">
        <w:t xml:space="preserve">the rates of basic remuneration for palliative care specialists (under items 3005 and 3010) are equivalent to comparable items available to palliative care specialists who are also registered on the MBS as physicians (using items 110 and 116). So long as any other professional group is also registered as a </w:t>
      </w:r>
      <w:r w:rsidR="002A2727">
        <w:t>palliative medicine</w:t>
      </w:r>
      <w:r w:rsidR="00BB7E1A">
        <w:t xml:space="preserve"> specialist</w:t>
      </w:r>
      <w:r w:rsidR="00722901">
        <w:t xml:space="preserve"> (e.g., </w:t>
      </w:r>
      <w:r w:rsidR="0081173A">
        <w:t>GPs</w:t>
      </w:r>
      <w:r w:rsidR="00722901">
        <w:t>)</w:t>
      </w:r>
      <w:r w:rsidR="00BB7E1A">
        <w:t xml:space="preserve">, it would remain more profitable and equitable to other colleagues to bill MBS items under the existing palliative care item numbers. </w:t>
      </w:r>
      <w:r>
        <w:t>Thus in summary</w:t>
      </w:r>
      <w:r w:rsidR="00BB7E1A">
        <w:t>:</w:t>
      </w:r>
    </w:p>
    <w:p w14:paraId="464FFC53" w14:textId="77777777" w:rsidR="00D96F80" w:rsidRDefault="00824AB7" w:rsidP="00BB7E1A">
      <w:pPr>
        <w:pStyle w:val="AspexHighlightText"/>
        <w:spacing w:before="240"/>
        <w:rPr>
          <w:rStyle w:val="IntenseEmphasis"/>
        </w:rPr>
      </w:pPr>
      <w:r>
        <w:rPr>
          <w:rStyle w:val="IntenseEmphasis"/>
        </w:rPr>
        <w:t>For time-</w:t>
      </w:r>
      <w:r w:rsidR="00BB7E1A" w:rsidRPr="00BB7E1A">
        <w:rPr>
          <w:rStyle w:val="IntenseEmphasis"/>
        </w:rPr>
        <w:t xml:space="preserve">equivalent initial and subsequent attendances, </w:t>
      </w:r>
      <w:r w:rsidR="00BB7E1A">
        <w:rPr>
          <w:rStyle w:val="IntenseEmphasis"/>
        </w:rPr>
        <w:t xml:space="preserve">there are no differences in </w:t>
      </w:r>
      <w:r w:rsidR="00BB7E1A" w:rsidRPr="00BB7E1A">
        <w:rPr>
          <w:rStyle w:val="IntenseEmphasis"/>
        </w:rPr>
        <w:t xml:space="preserve">the rates of specialist remuneration under current MBS arrangements </w:t>
      </w:r>
      <w:r w:rsidR="00BB7E1A">
        <w:rPr>
          <w:rStyle w:val="IntenseEmphasis"/>
        </w:rPr>
        <w:t>for medical practitioners registered as palliative care specialists on the MBS</w:t>
      </w:r>
      <w:r w:rsidR="00BB7E1A" w:rsidRPr="00BB7E1A">
        <w:rPr>
          <w:rStyle w:val="IntenseEmphasis"/>
        </w:rPr>
        <w:t>.</w:t>
      </w:r>
    </w:p>
    <w:p w14:paraId="058FDF96" w14:textId="77777777" w:rsidR="00BB7E1A" w:rsidRDefault="00BB7E1A" w:rsidP="00BB7E1A">
      <w:pPr>
        <w:pStyle w:val="AspexBodyStandard"/>
      </w:pPr>
      <w:r>
        <w:t>MBS data indicates that 138 palliative care specialists registered and billing the MBS in 20</w:t>
      </w:r>
      <w:r w:rsidR="00887248">
        <w:t>12-13 will have conducted 15,939</w:t>
      </w:r>
      <w:r>
        <w:t xml:space="preserve"> referred hospital/consulting room or home/residential aged care assessments</w:t>
      </w:r>
      <w:r w:rsidR="005A6E2F">
        <w:t>.</w:t>
      </w:r>
      <w:r>
        <w:rPr>
          <w:rStyle w:val="FootnoteReference"/>
        </w:rPr>
        <w:footnoteReference w:id="124"/>
      </w:r>
    </w:p>
    <w:p w14:paraId="7B813263" w14:textId="15303255" w:rsidR="00BB7E1A" w:rsidRDefault="00BB7E1A" w:rsidP="00BB7E1A">
      <w:pPr>
        <w:pStyle w:val="AspexBodyStandard"/>
        <w:rPr>
          <w:bCs/>
          <w:iCs/>
        </w:rPr>
      </w:pPr>
      <w:r>
        <w:rPr>
          <w:bCs/>
          <w:iCs/>
        </w:rPr>
        <w:t xml:space="preserve">As forecast for the end of the 2012-13 financial </w:t>
      </w:r>
      <w:proofErr w:type="gramStart"/>
      <w:r>
        <w:rPr>
          <w:bCs/>
          <w:iCs/>
        </w:rPr>
        <w:t>year</w:t>
      </w:r>
      <w:proofErr w:type="gramEnd"/>
      <w:r>
        <w:rPr>
          <w:bCs/>
          <w:iCs/>
        </w:rPr>
        <w:t>, this equates to:</w:t>
      </w:r>
    </w:p>
    <w:p w14:paraId="2677094F" w14:textId="77777777" w:rsidR="00BB7E1A" w:rsidRDefault="00BB7E1A" w:rsidP="00BB7E1A">
      <w:pPr>
        <w:pStyle w:val="AspexBullet1"/>
      </w:pPr>
      <w:r>
        <w:t>55% (8770) initial palliative care attendances in hospital/surgery (MBS item 3005);</w:t>
      </w:r>
    </w:p>
    <w:p w14:paraId="3FACF397" w14:textId="7507ADAF" w:rsidR="00BB7E1A" w:rsidRPr="00995447" w:rsidRDefault="00BB7E1A" w:rsidP="00BB7E1A">
      <w:pPr>
        <w:pStyle w:val="AspexBullet1"/>
        <w:rPr>
          <w:i/>
        </w:rPr>
      </w:pPr>
      <w:r w:rsidRPr="00995447">
        <w:rPr>
          <w:i/>
        </w:rPr>
        <w:t xml:space="preserve">18% (2903) </w:t>
      </w:r>
      <w:r w:rsidR="00913824">
        <w:rPr>
          <w:i/>
        </w:rPr>
        <w:t>i</w:t>
      </w:r>
      <w:r w:rsidRPr="00995447">
        <w:rPr>
          <w:i/>
        </w:rPr>
        <w:t>nitial physician attendances in hospital/surgery (MBS item 110);</w:t>
      </w:r>
    </w:p>
    <w:p w14:paraId="6909C42A" w14:textId="429F055D" w:rsidR="00BB7E1A" w:rsidRPr="00995447" w:rsidRDefault="00BB7E1A" w:rsidP="00BB7E1A">
      <w:pPr>
        <w:pStyle w:val="AspexBullet1"/>
        <w:rPr>
          <w:i/>
        </w:rPr>
      </w:pPr>
      <w:r w:rsidRPr="00995447">
        <w:rPr>
          <w:i/>
        </w:rPr>
        <w:t xml:space="preserve">17% (2649) </w:t>
      </w:r>
      <w:r w:rsidR="00913824">
        <w:rPr>
          <w:i/>
        </w:rPr>
        <w:t>i</w:t>
      </w:r>
      <w:r w:rsidRPr="00995447">
        <w:rPr>
          <w:i/>
        </w:rPr>
        <w:t>nitial physician attendances as complex assessments (MBS item 132); and</w:t>
      </w:r>
    </w:p>
    <w:p w14:paraId="36B77712" w14:textId="77777777" w:rsidR="00BB7E1A" w:rsidRDefault="00BB7E1A" w:rsidP="00BB7E1A">
      <w:pPr>
        <w:pStyle w:val="AspexBullet1"/>
      </w:pPr>
      <w:r>
        <w:lastRenderedPageBreak/>
        <w:t>10% (1617) initial palliative care attendances in a (usual) home environment (item 3018).</w:t>
      </w:r>
    </w:p>
    <w:p w14:paraId="375FB206" w14:textId="13A920F9" w:rsidR="00AF03E3" w:rsidRDefault="00BB7E1A" w:rsidP="00BB7E1A">
      <w:pPr>
        <w:pStyle w:val="AspexBodyStandard"/>
      </w:pPr>
      <w:r>
        <w:t xml:space="preserve">Of important note is that, around two thirds of all assessments were billed </w:t>
      </w:r>
      <w:r w:rsidR="006D23AB">
        <w:t>by</w:t>
      </w:r>
      <w:r>
        <w:t xml:space="preserve"> palliative care specialists, and one third </w:t>
      </w:r>
      <w:r w:rsidR="00203080">
        <w:t xml:space="preserve">was </w:t>
      </w:r>
      <w:r>
        <w:t>billed under alternative fellowship and/or MBS registration arrangements</w:t>
      </w:r>
      <w:r w:rsidR="006D23AB">
        <w:t xml:space="preserve"> (representing the proportion of palliative care specialists able to bill the MBS under a broader range of item numbers)</w:t>
      </w:r>
      <w:r>
        <w:t xml:space="preserve">.  </w:t>
      </w:r>
      <w:r w:rsidR="00AF03E3">
        <w:t>Consultations with specialists emphasised these existing discrepancies in MBS billing arrangements.</w:t>
      </w:r>
    </w:p>
    <w:p w14:paraId="6D3D6AC4" w14:textId="77777777" w:rsidR="00AF03E3" w:rsidRPr="007D38D3" w:rsidRDefault="00824AB7" w:rsidP="00AF03E3">
      <w:pPr>
        <w:pStyle w:val="AspexBodyStandard"/>
        <w:ind w:left="346" w:right="425"/>
        <w:jc w:val="center"/>
        <w:rPr>
          <w:rFonts w:ascii="Arial Narrow" w:hAnsi="Arial Narrow"/>
          <w:i/>
          <w:color w:val="A6A6A6" w:themeColor="background1" w:themeShade="A6"/>
          <w:szCs w:val="22"/>
          <w:lang w:eastAsia="en-AU"/>
        </w:rPr>
      </w:pPr>
      <w:r w:rsidRPr="007D38D3">
        <w:rPr>
          <w:rFonts w:ascii="Arial Narrow" w:hAnsi="Arial Narrow"/>
          <w:i/>
          <w:color w:val="A6A6A6" w:themeColor="background1" w:themeShade="A6"/>
          <w:szCs w:val="22"/>
          <w:lang w:eastAsia="en-AU"/>
        </w:rPr>
        <w:t xml:space="preserve"> </w:t>
      </w:r>
      <w:r w:rsidR="00AF03E3" w:rsidRPr="007D38D3">
        <w:rPr>
          <w:rFonts w:ascii="Arial Narrow" w:hAnsi="Arial Narrow"/>
          <w:i/>
          <w:color w:val="A6A6A6" w:themeColor="background1" w:themeShade="A6"/>
          <w:szCs w:val="22"/>
          <w:lang w:eastAsia="en-AU"/>
        </w:rPr>
        <w:t>“Currently we bill 3010 or 3005 and also use discharge planning item or family meeting 3074.  Consultants use general physician rate 110 and 132/133 when there is a referring letter from a specialist.”</w:t>
      </w:r>
    </w:p>
    <w:p w14:paraId="6835D231" w14:textId="5A8637D0" w:rsidR="009E39FD" w:rsidRDefault="00824AB7" w:rsidP="009E39FD">
      <w:pPr>
        <w:pStyle w:val="AspexBodyStandard"/>
        <w:ind w:left="346" w:right="425"/>
        <w:jc w:val="center"/>
        <w:rPr>
          <w:rFonts w:ascii="Arial Narrow" w:hAnsi="Arial Narrow"/>
          <w:i/>
          <w:color w:val="A6A6A6" w:themeColor="background1" w:themeShade="A6"/>
          <w:szCs w:val="22"/>
          <w:lang w:eastAsia="en-AU"/>
        </w:rPr>
      </w:pPr>
      <w:r w:rsidRPr="007D38D3">
        <w:rPr>
          <w:rFonts w:ascii="Arial Narrow" w:hAnsi="Arial Narrow"/>
          <w:i/>
          <w:color w:val="A6A6A6" w:themeColor="background1" w:themeShade="A6"/>
          <w:szCs w:val="22"/>
          <w:lang w:eastAsia="en-AU"/>
        </w:rPr>
        <w:t xml:space="preserve"> </w:t>
      </w:r>
      <w:r w:rsidR="009E39FD" w:rsidRPr="007D38D3">
        <w:rPr>
          <w:rFonts w:ascii="Arial Narrow" w:hAnsi="Arial Narrow"/>
          <w:i/>
          <w:color w:val="A6A6A6" w:themeColor="background1" w:themeShade="A6"/>
          <w:szCs w:val="22"/>
          <w:lang w:eastAsia="en-AU"/>
        </w:rPr>
        <w:t xml:space="preserve">“Palliative care will not charge, or </w:t>
      </w:r>
      <w:r w:rsidR="00913824">
        <w:rPr>
          <w:rFonts w:ascii="Arial Narrow" w:hAnsi="Arial Narrow"/>
          <w:i/>
          <w:color w:val="A6A6A6" w:themeColor="background1" w:themeShade="A6"/>
          <w:szCs w:val="22"/>
          <w:lang w:eastAsia="en-AU"/>
        </w:rPr>
        <w:t xml:space="preserve">is </w:t>
      </w:r>
      <w:r w:rsidR="009E39FD" w:rsidRPr="007D38D3">
        <w:rPr>
          <w:rFonts w:ascii="Arial Narrow" w:hAnsi="Arial Narrow"/>
          <w:i/>
          <w:color w:val="A6A6A6" w:themeColor="background1" w:themeShade="A6"/>
          <w:szCs w:val="22"/>
          <w:lang w:eastAsia="en-AU"/>
        </w:rPr>
        <w:t>unlikely to charge more than the scheduled fee so we are always short changed.  By the time they come to palliative care, they’ve spent every ‘</w:t>
      </w:r>
      <w:proofErr w:type="spellStart"/>
      <w:r w:rsidR="009E39FD" w:rsidRPr="007D38D3">
        <w:rPr>
          <w:rFonts w:ascii="Arial Narrow" w:hAnsi="Arial Narrow"/>
          <w:i/>
          <w:color w:val="A6A6A6" w:themeColor="background1" w:themeShade="A6"/>
          <w:szCs w:val="22"/>
          <w:lang w:eastAsia="en-AU"/>
        </w:rPr>
        <w:t>zak</w:t>
      </w:r>
      <w:proofErr w:type="spellEnd"/>
      <w:r w:rsidR="009E39FD" w:rsidRPr="007D38D3">
        <w:rPr>
          <w:rFonts w:ascii="Arial Narrow" w:hAnsi="Arial Narrow"/>
          <w:i/>
          <w:color w:val="A6A6A6" w:themeColor="background1" w:themeShade="A6"/>
          <w:szCs w:val="22"/>
          <w:lang w:eastAsia="en-AU"/>
        </w:rPr>
        <w:t>’ on the curative part of their course of care, so we only charge the rebate”</w:t>
      </w:r>
    </w:p>
    <w:p w14:paraId="73CD9EB4" w14:textId="77777777" w:rsidR="00F56DB6" w:rsidRDefault="00AF03E3" w:rsidP="00BB7E1A">
      <w:pPr>
        <w:pStyle w:val="AspexBodyStandard"/>
      </w:pPr>
      <w:r>
        <w:t xml:space="preserve">Accordingly, patterns of billing assessment items between specialists who had access to physician equivalent items and those who did not were examined in the current MBS data. </w:t>
      </w:r>
      <w:r w:rsidR="00F56DB6">
        <w:t xml:space="preserve">These findings are presented in </w:t>
      </w:r>
      <w:r w:rsidR="005E4E78">
        <w:fldChar w:fldCharType="begin"/>
      </w:r>
      <w:r w:rsidR="005E4E78">
        <w:instrText xml:space="preserve"> REF _Ref247726032 \h </w:instrText>
      </w:r>
      <w:r w:rsidR="005E4E78">
        <w:fldChar w:fldCharType="separate"/>
      </w:r>
      <w:r w:rsidR="009C72FC">
        <w:t xml:space="preserve">Figure </w:t>
      </w:r>
      <w:r w:rsidR="009C72FC">
        <w:rPr>
          <w:noProof/>
        </w:rPr>
        <w:t>5</w:t>
      </w:r>
      <w:r w:rsidR="009C72FC">
        <w:noBreakHyphen/>
      </w:r>
      <w:r w:rsidR="009C72FC">
        <w:rPr>
          <w:noProof/>
        </w:rPr>
        <w:t>1</w:t>
      </w:r>
      <w:r w:rsidR="005E4E78">
        <w:fldChar w:fldCharType="end"/>
      </w:r>
      <w:r w:rsidR="00F56DB6">
        <w:t>.</w:t>
      </w:r>
    </w:p>
    <w:p w14:paraId="324E57BA" w14:textId="40F4E4E1" w:rsidR="00F56DB6" w:rsidRDefault="00F56DB6" w:rsidP="00F56DB6">
      <w:pPr>
        <w:pStyle w:val="Caption"/>
      </w:pPr>
      <w:bookmarkStart w:id="212" w:name="_Ref247726032"/>
      <w:bookmarkStart w:id="213" w:name="_Toc382313757"/>
      <w:r>
        <w:t xml:space="preserve">Figure </w:t>
      </w:r>
      <w:fldSimple w:instr=" STYLEREF 1 \s ">
        <w:r w:rsidR="009C72FC">
          <w:rPr>
            <w:noProof/>
          </w:rPr>
          <w:t>5</w:t>
        </w:r>
      </w:fldSimple>
      <w:r w:rsidR="00A31FC7">
        <w:noBreakHyphen/>
      </w:r>
      <w:fldSimple w:instr=" SEQ Figure \* ARABIC \s 1 ">
        <w:r w:rsidR="009C72FC">
          <w:rPr>
            <w:noProof/>
          </w:rPr>
          <w:t>1</w:t>
        </w:r>
      </w:fldSimple>
      <w:bookmarkEnd w:id="212"/>
      <w:r w:rsidR="002167FD">
        <w:t>:</w:t>
      </w:r>
      <w:r w:rsidR="002167FD">
        <w:tab/>
      </w:r>
      <w:r>
        <w:t>Proportion of standard and complex assessments</w:t>
      </w:r>
      <w:r w:rsidR="00734B70">
        <w:rPr>
          <w:rStyle w:val="FootnoteReference"/>
        </w:rPr>
        <w:footnoteReference w:id="125"/>
      </w:r>
      <w:bookmarkEnd w:id="213"/>
    </w:p>
    <w:p w14:paraId="4C4F8DA5" w14:textId="14AA46BD" w:rsidR="00C448E4" w:rsidRDefault="00C448E4" w:rsidP="00C448E4">
      <w:pPr>
        <w:pStyle w:val="AspexBodyStandard"/>
      </w:pPr>
      <w:r>
        <w:rPr>
          <w:noProof/>
          <w:lang w:eastAsia="en-AU"/>
        </w:rPr>
        <w:drawing>
          <wp:inline distT="0" distB="0" distL="0" distR="0" wp14:anchorId="63688CDC" wp14:editId="698B0F6A">
            <wp:extent cx="5723890" cy="2737194"/>
            <wp:effectExtent l="0" t="0" r="0" b="6350"/>
            <wp:docPr id="48" name="Picture 48" descr="Proportion of standard and complex assessments as discussed in Section 5.2.1"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23890" cy="2737194"/>
                    </a:xfrm>
                    <a:prstGeom prst="rect">
                      <a:avLst/>
                    </a:prstGeom>
                  </pic:spPr>
                </pic:pic>
              </a:graphicData>
            </a:graphic>
          </wp:inline>
        </w:drawing>
      </w:r>
    </w:p>
    <w:p w14:paraId="417D2471" w14:textId="29B95E16" w:rsidR="00BB7E1A" w:rsidRDefault="0010563A" w:rsidP="00BB7E1A">
      <w:pPr>
        <w:pStyle w:val="AspexBodyStandard"/>
      </w:pPr>
      <w:r>
        <w:t>As reported above, one third of all assessments (</w:t>
      </w:r>
      <w:r w:rsidR="00C718E1">
        <w:t>5552) were claimed</w:t>
      </w:r>
      <w:r w:rsidR="00BB7E1A">
        <w:t xml:space="preserve"> under </w:t>
      </w:r>
      <w:r w:rsidR="006D23AB">
        <w:t>physician equivalent</w:t>
      </w:r>
      <w:r w:rsidR="00BB7E1A">
        <w:t xml:space="preserve"> item numbers:</w:t>
      </w:r>
    </w:p>
    <w:p w14:paraId="78EBC80F" w14:textId="294DE968" w:rsidR="00BB7E1A" w:rsidRDefault="003F6467" w:rsidP="00BB7E1A">
      <w:pPr>
        <w:pStyle w:val="AspexBullet1"/>
      </w:pPr>
      <w:r>
        <w:t>Half (52</w:t>
      </w:r>
      <w:r w:rsidR="00BB7E1A">
        <w:t>%</w:t>
      </w:r>
      <w:r w:rsidR="0010563A">
        <w:t>;</w:t>
      </w:r>
      <w:r w:rsidR="00C718E1">
        <w:t xml:space="preserve"> 2903</w:t>
      </w:r>
      <w:r w:rsidR="00BB7E1A">
        <w:t>) of all assessments were billed as a routine initial attendance; and</w:t>
      </w:r>
    </w:p>
    <w:p w14:paraId="0866E376" w14:textId="2CFFF959" w:rsidR="00BB7E1A" w:rsidRDefault="003F6467" w:rsidP="00BB7E1A">
      <w:pPr>
        <w:pStyle w:val="AspexBullet1"/>
      </w:pPr>
      <w:r>
        <w:t>Half (48</w:t>
      </w:r>
      <w:r w:rsidR="00BB7E1A">
        <w:t>%</w:t>
      </w:r>
      <w:r w:rsidR="0010563A">
        <w:t>;</w:t>
      </w:r>
      <w:r w:rsidR="00C718E1">
        <w:t xml:space="preserve"> 2649</w:t>
      </w:r>
      <w:r w:rsidR="00BB7E1A">
        <w:t>) of all assessments were billed as a complex initial attendance.</w:t>
      </w:r>
    </w:p>
    <w:p w14:paraId="6E30CAA8" w14:textId="3494CD6D" w:rsidR="00BB7E1A" w:rsidRPr="00995447" w:rsidRDefault="006D23AB" w:rsidP="00BB7E1A">
      <w:pPr>
        <w:pStyle w:val="AspexHighlightText"/>
        <w:spacing w:before="240"/>
        <w:rPr>
          <w:rStyle w:val="IntenseEmphasis"/>
        </w:rPr>
      </w:pPr>
      <w:proofErr w:type="gramStart"/>
      <w:r>
        <w:rPr>
          <w:rStyle w:val="IntenseEmphasis"/>
        </w:rPr>
        <w:t>Thus, p</w:t>
      </w:r>
      <w:r w:rsidR="00BB7E1A" w:rsidRPr="00995447">
        <w:rPr>
          <w:rStyle w:val="IntenseEmphasis"/>
        </w:rPr>
        <w:t xml:space="preserve">alliative care </w:t>
      </w:r>
      <w:r w:rsidR="00A9382F">
        <w:rPr>
          <w:rStyle w:val="IntenseEmphasis"/>
        </w:rPr>
        <w:t>specialists</w:t>
      </w:r>
      <w:r w:rsidR="00490286">
        <w:rPr>
          <w:rStyle w:val="IntenseEmphasis"/>
        </w:rPr>
        <w:t xml:space="preserve"> who are </w:t>
      </w:r>
      <w:r w:rsidR="00CA72C1">
        <w:rPr>
          <w:rStyle w:val="IntenseEmphasis"/>
        </w:rPr>
        <w:t xml:space="preserve">also physicians and </w:t>
      </w:r>
      <w:r w:rsidR="00490286">
        <w:rPr>
          <w:rStyle w:val="IntenseEmphasis"/>
        </w:rPr>
        <w:t>able to claim for time spent</w:t>
      </w:r>
      <w:r>
        <w:rPr>
          <w:rStyle w:val="IntenseEmphasis"/>
        </w:rPr>
        <w:t xml:space="preserve"> in complex assessments</w:t>
      </w:r>
      <w:r w:rsidR="00BB7E1A" w:rsidRPr="00995447">
        <w:rPr>
          <w:rStyle w:val="IntenseEmphasis"/>
        </w:rPr>
        <w:t xml:space="preserve"> spend around half </w:t>
      </w:r>
      <w:r w:rsidR="005C7123">
        <w:rPr>
          <w:rStyle w:val="IntenseEmphasis"/>
        </w:rPr>
        <w:t>(48</w:t>
      </w:r>
      <w:r w:rsidR="00BB7E1A">
        <w:rPr>
          <w:rStyle w:val="IntenseEmphasis"/>
        </w:rPr>
        <w:t xml:space="preserve">%) </w:t>
      </w:r>
      <w:r w:rsidR="00BB7E1A" w:rsidRPr="00995447">
        <w:rPr>
          <w:rStyle w:val="IntenseEmphasis"/>
        </w:rPr>
        <w:t xml:space="preserve">of their time undertaking </w:t>
      </w:r>
      <w:r>
        <w:rPr>
          <w:rStyle w:val="IntenseEmphasis"/>
        </w:rPr>
        <w:t xml:space="preserve">these activities in comparison to standard </w:t>
      </w:r>
      <w:r w:rsidR="00490286">
        <w:rPr>
          <w:rStyle w:val="IntenseEmphasis"/>
        </w:rPr>
        <w:t>assessment activities.</w:t>
      </w:r>
      <w:proofErr w:type="gramEnd"/>
      <w:r w:rsidR="00CA72C1">
        <w:rPr>
          <w:rStyle w:val="IntenseEmphasis"/>
        </w:rPr>
        <w:t xml:space="preserve"> Palliative care specialists who are not physicians are unable to </w:t>
      </w:r>
      <w:r w:rsidR="00CA72C1">
        <w:rPr>
          <w:rStyle w:val="IntenseEmphasis"/>
        </w:rPr>
        <w:lastRenderedPageBreak/>
        <w:t>claim for any additional time spent in complex assessment and treatment planning.</w:t>
      </w:r>
    </w:p>
    <w:p w14:paraId="60DB6FFD" w14:textId="77777777" w:rsidR="006D23AB" w:rsidRDefault="00490286" w:rsidP="00BB7E1A">
      <w:pPr>
        <w:pStyle w:val="AspexBodyStandard"/>
      </w:pPr>
      <w:r>
        <w:t>P</w:t>
      </w:r>
      <w:r w:rsidR="00BB7E1A">
        <w:t xml:space="preserve">alliative care specialists who are not registered on the MBS as physicians do not have access to item numbers for more complex patients involving comprehensive assessment and treatment planning. Thus the true number of assessments requiring </w:t>
      </w:r>
      <w:r w:rsidR="006D23AB">
        <w:t xml:space="preserve">a longer period of </w:t>
      </w:r>
      <w:r w:rsidR="00BB7E1A">
        <w:t xml:space="preserve">complex assessment and treatment planning </w:t>
      </w:r>
      <w:r w:rsidR="006D23AB">
        <w:t xml:space="preserve">for the remaining two thirds of specialists billing on the MBS </w:t>
      </w:r>
      <w:r w:rsidR="00BB7E1A">
        <w:t xml:space="preserve">remain unknown. </w:t>
      </w:r>
      <w:r w:rsidR="005B29A5">
        <w:t xml:space="preserve">Notwithstanding, specialists have noted the extended time required to undertake assessments, particularly in </w:t>
      </w:r>
      <w:r w:rsidR="00887248">
        <w:t xml:space="preserve">the </w:t>
      </w:r>
      <w:r w:rsidR="00887248" w:rsidRPr="00887248">
        <w:t xml:space="preserve">home and </w:t>
      </w:r>
      <w:r w:rsidR="005B29A5" w:rsidRPr="00887248">
        <w:t>residential</w:t>
      </w:r>
      <w:r w:rsidR="005B29A5">
        <w:t xml:space="preserve"> care environment, in order to gather clinical information that would otherwise be readily available in a hospital context.</w:t>
      </w:r>
    </w:p>
    <w:p w14:paraId="5D64188C" w14:textId="5A62B1A5" w:rsidR="005B29A5" w:rsidRPr="005B29A5" w:rsidRDefault="005B29A5" w:rsidP="005B29A5">
      <w:pPr>
        <w:pStyle w:val="AspexBodyStandard"/>
        <w:ind w:left="346" w:right="425"/>
        <w:jc w:val="center"/>
        <w:rPr>
          <w:rFonts w:ascii="Arial Narrow" w:hAnsi="Arial Narrow"/>
          <w:i/>
          <w:color w:val="A6A6A6" w:themeColor="background1" w:themeShade="A6"/>
          <w:szCs w:val="22"/>
          <w:lang w:eastAsia="en-AU"/>
        </w:rPr>
      </w:pPr>
      <w:r w:rsidRPr="005B29A5">
        <w:rPr>
          <w:rFonts w:ascii="Arial Narrow" w:hAnsi="Arial Narrow"/>
          <w:i/>
          <w:color w:val="A6A6A6" w:themeColor="background1" w:themeShade="A6"/>
          <w:szCs w:val="22"/>
          <w:lang w:eastAsia="en-AU"/>
        </w:rPr>
        <w:t>“Typically initial assessments are complex and include case management plans which take approximately 90 minutes.  This is particularly true if outpatient/ambulatory/home visit patient (non-inpatient) also has complex family dynamics.”</w:t>
      </w:r>
    </w:p>
    <w:p w14:paraId="640E9251" w14:textId="74EFCEBD" w:rsidR="005B29A5" w:rsidRPr="005B29A5" w:rsidRDefault="005B29A5" w:rsidP="005B29A5">
      <w:pPr>
        <w:pStyle w:val="AspexBodyStandard"/>
        <w:ind w:left="346" w:right="425"/>
        <w:jc w:val="center"/>
        <w:rPr>
          <w:rFonts w:ascii="Arial Narrow" w:hAnsi="Arial Narrow"/>
          <w:i/>
          <w:color w:val="A6A6A6" w:themeColor="background1" w:themeShade="A6"/>
          <w:szCs w:val="22"/>
          <w:lang w:eastAsia="en-AU"/>
        </w:rPr>
      </w:pPr>
      <w:r w:rsidRPr="005B29A5">
        <w:rPr>
          <w:rFonts w:ascii="Arial Narrow" w:hAnsi="Arial Narrow"/>
          <w:i/>
          <w:color w:val="A6A6A6" w:themeColor="background1" w:themeShade="A6"/>
          <w:szCs w:val="22"/>
          <w:lang w:eastAsia="en-AU"/>
        </w:rPr>
        <w:t xml:space="preserve"> “Time taken for initial consultations (paediatric patients) is 60-90 minutes</w:t>
      </w:r>
      <w:r w:rsidR="00DB698D">
        <w:rPr>
          <w:rFonts w:ascii="Arial Narrow" w:hAnsi="Arial Narrow"/>
          <w:i/>
          <w:color w:val="A6A6A6" w:themeColor="background1" w:themeShade="A6"/>
          <w:szCs w:val="22"/>
          <w:lang w:eastAsia="en-AU"/>
        </w:rPr>
        <w:t>.</w:t>
      </w:r>
      <w:r w:rsidRPr="005B29A5">
        <w:rPr>
          <w:rFonts w:ascii="Arial Narrow" w:hAnsi="Arial Narrow"/>
          <w:i/>
          <w:color w:val="A6A6A6" w:themeColor="background1" w:themeShade="A6"/>
          <w:szCs w:val="22"/>
          <w:lang w:eastAsia="en-AU"/>
        </w:rPr>
        <w:t>”</w:t>
      </w:r>
    </w:p>
    <w:p w14:paraId="1E101701" w14:textId="77777777" w:rsidR="005B29A5" w:rsidRPr="003A76B8" w:rsidRDefault="005B29A5" w:rsidP="005B29A5">
      <w:pPr>
        <w:pStyle w:val="AspexBodyStandard"/>
        <w:ind w:left="346" w:right="425"/>
        <w:jc w:val="center"/>
        <w:rPr>
          <w:rFonts w:ascii="Arial Narrow" w:hAnsi="Arial Narrow"/>
          <w:i/>
          <w:color w:val="A6A6A6" w:themeColor="background1" w:themeShade="A6"/>
          <w:szCs w:val="22"/>
          <w:lang w:eastAsia="en-AU"/>
        </w:rPr>
      </w:pPr>
      <w:r w:rsidRPr="005B29A5">
        <w:rPr>
          <w:rFonts w:ascii="Arial Narrow" w:hAnsi="Arial Narrow"/>
          <w:i/>
          <w:color w:val="A6A6A6" w:themeColor="background1" w:themeShade="A6"/>
          <w:szCs w:val="22"/>
          <w:lang w:eastAsia="en-AU"/>
        </w:rPr>
        <w:t xml:space="preserve"> “Home visits and hostel visits take longer – the information isn’t as handy as in inpatient and clinic/consulting room settings and usually there are family members to deal with.  These visits are usually done as a team so that they can be done as efficiently and comprehensively as possible.”</w:t>
      </w:r>
    </w:p>
    <w:p w14:paraId="6A4F3237" w14:textId="5D3F90E1" w:rsidR="003F6467" w:rsidRDefault="003F6467" w:rsidP="003F6467">
      <w:pPr>
        <w:pStyle w:val="Caption"/>
      </w:pPr>
      <w:bookmarkStart w:id="214" w:name="_Ref247726047"/>
      <w:bookmarkStart w:id="215" w:name="_Toc382313758"/>
      <w:r>
        <w:t xml:space="preserve">Figure </w:t>
      </w:r>
      <w:fldSimple w:instr=" STYLEREF 1 \s ">
        <w:r w:rsidR="009C72FC">
          <w:rPr>
            <w:noProof/>
          </w:rPr>
          <w:t>5</w:t>
        </w:r>
      </w:fldSimple>
      <w:r w:rsidR="00A31FC7">
        <w:noBreakHyphen/>
      </w:r>
      <w:fldSimple w:instr=" SEQ Figure \* ARABIC \s 1 ">
        <w:r w:rsidR="009C72FC">
          <w:rPr>
            <w:noProof/>
          </w:rPr>
          <w:t>2</w:t>
        </w:r>
      </w:fldSimple>
      <w:bookmarkEnd w:id="214"/>
      <w:r w:rsidR="002167FD">
        <w:t>:</w:t>
      </w:r>
      <w:r w:rsidR="002167FD">
        <w:tab/>
      </w:r>
      <w:r>
        <w:t>Trends in the use of complex assessment items</w:t>
      </w:r>
      <w:r w:rsidR="0077427B">
        <w:rPr>
          <w:rStyle w:val="FootnoteReference"/>
        </w:rPr>
        <w:footnoteReference w:id="126"/>
      </w:r>
      <w:bookmarkEnd w:id="215"/>
    </w:p>
    <w:p w14:paraId="565CB7B4" w14:textId="1E64999C" w:rsidR="00C448E4" w:rsidRDefault="00C448E4" w:rsidP="00C448E4">
      <w:pPr>
        <w:pStyle w:val="AspexBodyStandard"/>
      </w:pPr>
      <w:r>
        <w:rPr>
          <w:noProof/>
          <w:lang w:eastAsia="en-AU"/>
        </w:rPr>
        <w:drawing>
          <wp:inline distT="0" distB="0" distL="0" distR="0" wp14:anchorId="1465C21A" wp14:editId="32411569">
            <wp:extent cx="5723890" cy="2757985"/>
            <wp:effectExtent l="0" t="0" r="0" b="4445"/>
            <wp:docPr id="52" name="Picture 52" descr="Trends in the use of complex assessment items as discussed in Section 5.2.1"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23890" cy="2757985"/>
                    </a:xfrm>
                    <a:prstGeom prst="rect">
                      <a:avLst/>
                    </a:prstGeom>
                  </pic:spPr>
                </pic:pic>
              </a:graphicData>
            </a:graphic>
          </wp:inline>
        </w:drawing>
      </w:r>
    </w:p>
    <w:p w14:paraId="53D04A82" w14:textId="2EDB1B87" w:rsidR="00824AB7" w:rsidRDefault="00824AB7" w:rsidP="00824AB7">
      <w:pPr>
        <w:pStyle w:val="AspexBodyStandard"/>
        <w:rPr>
          <w:rStyle w:val="IntenseEmphasis"/>
          <w:b w:val="0"/>
          <w:i w:val="0"/>
          <w:color w:val="auto"/>
        </w:rPr>
      </w:pPr>
      <w:r>
        <w:t xml:space="preserve">Given the rising demand for palliative care reflected in the forecast data, </w:t>
      </w:r>
      <w:r>
        <w:rPr>
          <w:rStyle w:val="IntenseEmphasis"/>
          <w:b w:val="0"/>
          <w:i w:val="0"/>
          <w:color w:val="auto"/>
        </w:rPr>
        <w:t>current discrepancies i</w:t>
      </w:r>
      <w:r w:rsidRPr="00995447">
        <w:rPr>
          <w:rStyle w:val="IntenseEmphasis"/>
          <w:b w:val="0"/>
          <w:i w:val="0"/>
          <w:color w:val="auto"/>
        </w:rPr>
        <w:t xml:space="preserve">n the capacity to undertake complex assessments between palliative care physicians and other </w:t>
      </w:r>
      <w:r>
        <w:rPr>
          <w:rStyle w:val="IntenseEmphasis"/>
          <w:b w:val="0"/>
          <w:i w:val="0"/>
          <w:color w:val="auto"/>
        </w:rPr>
        <w:t xml:space="preserve">palliative care </w:t>
      </w:r>
      <w:r w:rsidRPr="00995447">
        <w:rPr>
          <w:rStyle w:val="IntenseEmphasis"/>
          <w:b w:val="0"/>
          <w:i w:val="0"/>
          <w:color w:val="auto"/>
        </w:rPr>
        <w:t xml:space="preserve">specialists </w:t>
      </w:r>
      <w:r>
        <w:rPr>
          <w:rStyle w:val="IntenseEmphasis"/>
          <w:b w:val="0"/>
          <w:i w:val="0"/>
          <w:color w:val="auto"/>
        </w:rPr>
        <w:t>are likely</w:t>
      </w:r>
      <w:r w:rsidRPr="00995447">
        <w:rPr>
          <w:rStyle w:val="IntenseEmphasis"/>
          <w:b w:val="0"/>
          <w:i w:val="0"/>
          <w:color w:val="auto"/>
        </w:rPr>
        <w:t xml:space="preserve"> </w:t>
      </w:r>
      <w:r w:rsidR="00DB698D">
        <w:rPr>
          <w:rStyle w:val="IntenseEmphasis"/>
          <w:b w:val="0"/>
          <w:i w:val="0"/>
          <w:color w:val="auto"/>
        </w:rPr>
        <w:t xml:space="preserve">to </w:t>
      </w:r>
      <w:r w:rsidRPr="00995447">
        <w:rPr>
          <w:rStyle w:val="IntenseEmphasis"/>
          <w:b w:val="0"/>
          <w:i w:val="0"/>
          <w:color w:val="auto"/>
        </w:rPr>
        <w:t>increase over the next three years (and beyond).</w:t>
      </w:r>
      <w:r>
        <w:rPr>
          <w:rStyle w:val="IntenseEmphasis"/>
          <w:b w:val="0"/>
          <w:i w:val="0"/>
          <w:color w:val="auto"/>
        </w:rPr>
        <w:t xml:space="preserve"> An indication of this trend is presented in </w:t>
      </w:r>
      <w:r w:rsidR="005E4E78">
        <w:rPr>
          <w:rStyle w:val="IntenseEmphasis"/>
          <w:b w:val="0"/>
          <w:i w:val="0"/>
          <w:color w:val="auto"/>
        </w:rPr>
        <w:fldChar w:fldCharType="begin"/>
      </w:r>
      <w:r w:rsidR="005E4E78">
        <w:rPr>
          <w:rStyle w:val="IntenseEmphasis"/>
          <w:b w:val="0"/>
          <w:i w:val="0"/>
          <w:color w:val="auto"/>
        </w:rPr>
        <w:instrText xml:space="preserve"> REF _Ref247726047 \h </w:instrText>
      </w:r>
      <w:r w:rsidR="005E4E78">
        <w:rPr>
          <w:rStyle w:val="IntenseEmphasis"/>
          <w:b w:val="0"/>
          <w:i w:val="0"/>
          <w:color w:val="auto"/>
        </w:rPr>
      </w:r>
      <w:r w:rsidR="005E4E78">
        <w:rPr>
          <w:rStyle w:val="IntenseEmphasis"/>
          <w:b w:val="0"/>
          <w:i w:val="0"/>
          <w:color w:val="auto"/>
        </w:rPr>
        <w:fldChar w:fldCharType="separate"/>
      </w:r>
      <w:r w:rsidR="009C72FC">
        <w:t xml:space="preserve">Figure </w:t>
      </w:r>
      <w:r w:rsidR="009C72FC">
        <w:rPr>
          <w:noProof/>
        </w:rPr>
        <w:t>5</w:t>
      </w:r>
      <w:r w:rsidR="009C72FC">
        <w:noBreakHyphen/>
      </w:r>
      <w:r w:rsidR="009C72FC">
        <w:rPr>
          <w:noProof/>
        </w:rPr>
        <w:t>2</w:t>
      </w:r>
      <w:r w:rsidR="005E4E78">
        <w:rPr>
          <w:rStyle w:val="IntenseEmphasis"/>
          <w:b w:val="0"/>
          <w:i w:val="0"/>
          <w:color w:val="auto"/>
        </w:rPr>
        <w:fldChar w:fldCharType="end"/>
      </w:r>
      <w:r>
        <w:rPr>
          <w:rStyle w:val="IntenseEmphasis"/>
          <w:b w:val="0"/>
          <w:i w:val="0"/>
          <w:color w:val="auto"/>
        </w:rPr>
        <w:t>.</w:t>
      </w:r>
    </w:p>
    <w:p w14:paraId="78C744D9" w14:textId="77777777" w:rsidR="00490286" w:rsidRPr="00824AB7" w:rsidRDefault="00824AB7" w:rsidP="00824AB7">
      <w:pPr>
        <w:pStyle w:val="Heading2"/>
        <w:tabs>
          <w:tab w:val="clear" w:pos="964"/>
        </w:tabs>
        <w:ind w:left="851" w:hanging="851"/>
        <w:rPr>
          <w:bCs/>
          <w:iCs/>
        </w:rPr>
      </w:pPr>
      <w:bookmarkStart w:id="216" w:name="_Toc382313847"/>
      <w:r>
        <w:rPr>
          <w:bCs/>
          <w:iCs/>
        </w:rPr>
        <w:lastRenderedPageBreak/>
        <w:t>T</w:t>
      </w:r>
      <w:r w:rsidRPr="00824AB7">
        <w:rPr>
          <w:bCs/>
          <w:iCs/>
        </w:rPr>
        <w:t>ime spent by specialists and general practitioners</w:t>
      </w:r>
      <w:bookmarkEnd w:id="216"/>
    </w:p>
    <w:p w14:paraId="0FA9410E" w14:textId="27CD8423" w:rsidR="000D6F71" w:rsidRDefault="00663771" w:rsidP="005B29A5">
      <w:pPr>
        <w:pStyle w:val="AspexBodyStandard"/>
        <w:rPr>
          <w:rStyle w:val="IntenseEmphasis"/>
          <w:b w:val="0"/>
          <w:i w:val="0"/>
          <w:color w:val="auto"/>
        </w:rPr>
      </w:pPr>
      <w:r>
        <w:rPr>
          <w:rStyle w:val="IntenseEmphasis"/>
          <w:b w:val="0"/>
          <w:i w:val="0"/>
          <w:color w:val="auto"/>
        </w:rPr>
        <w:t xml:space="preserve">The relative proportion of MBS items billed by </w:t>
      </w:r>
      <w:r w:rsidR="0081173A">
        <w:rPr>
          <w:rStyle w:val="IntenseEmphasis"/>
          <w:b w:val="0"/>
          <w:i w:val="0"/>
          <w:color w:val="auto"/>
        </w:rPr>
        <w:t>GPs</w:t>
      </w:r>
      <w:r>
        <w:rPr>
          <w:rStyle w:val="IntenseEmphasis"/>
          <w:b w:val="0"/>
          <w:i w:val="0"/>
          <w:color w:val="auto"/>
        </w:rPr>
        <w:t xml:space="preserve">, palliative </w:t>
      </w:r>
      <w:r w:rsidR="0081173A">
        <w:rPr>
          <w:rStyle w:val="IntenseEmphasis"/>
          <w:b w:val="0"/>
          <w:i w:val="0"/>
          <w:color w:val="auto"/>
        </w:rPr>
        <w:t xml:space="preserve">medicine </w:t>
      </w:r>
      <w:r>
        <w:rPr>
          <w:rStyle w:val="IntenseEmphasis"/>
          <w:b w:val="0"/>
          <w:i w:val="0"/>
          <w:color w:val="auto"/>
        </w:rPr>
        <w:t>specialists</w:t>
      </w:r>
      <w:r w:rsidR="00F56DB6">
        <w:rPr>
          <w:rStyle w:val="IntenseEmphasis"/>
          <w:b w:val="0"/>
          <w:i w:val="0"/>
          <w:color w:val="auto"/>
        </w:rPr>
        <w:t xml:space="preserve"> without an associated physician fellowship, and palliative care specialists who have access to physician equivalent items are presented in </w:t>
      </w:r>
      <w:r w:rsidR="005E4E78">
        <w:rPr>
          <w:rStyle w:val="IntenseEmphasis"/>
          <w:b w:val="0"/>
          <w:i w:val="0"/>
          <w:color w:val="auto"/>
        </w:rPr>
        <w:fldChar w:fldCharType="begin"/>
      </w:r>
      <w:r w:rsidR="005E4E78">
        <w:rPr>
          <w:rStyle w:val="IntenseEmphasis"/>
          <w:b w:val="0"/>
          <w:i w:val="0"/>
          <w:color w:val="auto"/>
        </w:rPr>
        <w:instrText xml:space="preserve"> REF _Ref247726061 \h </w:instrText>
      </w:r>
      <w:r w:rsidR="005E4E78">
        <w:rPr>
          <w:rStyle w:val="IntenseEmphasis"/>
          <w:b w:val="0"/>
          <w:i w:val="0"/>
          <w:color w:val="auto"/>
        </w:rPr>
      </w:r>
      <w:r w:rsidR="005E4E78">
        <w:rPr>
          <w:rStyle w:val="IntenseEmphasis"/>
          <w:b w:val="0"/>
          <w:i w:val="0"/>
          <w:color w:val="auto"/>
        </w:rPr>
        <w:fldChar w:fldCharType="separate"/>
      </w:r>
      <w:r w:rsidR="009C72FC">
        <w:t xml:space="preserve">Figure </w:t>
      </w:r>
      <w:r w:rsidR="009C72FC">
        <w:rPr>
          <w:noProof/>
        </w:rPr>
        <w:t>5</w:t>
      </w:r>
      <w:r w:rsidR="009C72FC">
        <w:noBreakHyphen/>
      </w:r>
      <w:r w:rsidR="009C72FC">
        <w:rPr>
          <w:noProof/>
        </w:rPr>
        <w:t>3</w:t>
      </w:r>
      <w:r w:rsidR="005E4E78">
        <w:rPr>
          <w:rStyle w:val="IntenseEmphasis"/>
          <w:b w:val="0"/>
          <w:i w:val="0"/>
          <w:color w:val="auto"/>
        </w:rPr>
        <w:fldChar w:fldCharType="end"/>
      </w:r>
      <w:r w:rsidR="00F56DB6">
        <w:rPr>
          <w:rStyle w:val="IntenseEmphasis"/>
          <w:b w:val="0"/>
          <w:i w:val="0"/>
          <w:color w:val="auto"/>
        </w:rPr>
        <w:t>.</w:t>
      </w:r>
      <w:r w:rsidR="000D6F71">
        <w:rPr>
          <w:rStyle w:val="IntenseEmphasis"/>
          <w:b w:val="0"/>
          <w:i w:val="0"/>
          <w:color w:val="auto"/>
        </w:rPr>
        <w:t xml:space="preserve">  Analysis of</w:t>
      </w:r>
      <w:r w:rsidR="005B29A5">
        <w:rPr>
          <w:rStyle w:val="IntenseEmphasis"/>
          <w:b w:val="0"/>
          <w:i w:val="0"/>
          <w:color w:val="auto"/>
        </w:rPr>
        <w:t xml:space="preserve"> these comparisons reveals that, f</w:t>
      </w:r>
      <w:r w:rsidR="000D6F71">
        <w:rPr>
          <w:rStyle w:val="IntenseEmphasis"/>
          <w:b w:val="0"/>
          <w:i w:val="0"/>
          <w:color w:val="auto"/>
        </w:rPr>
        <w:t xml:space="preserve">or </w:t>
      </w:r>
      <w:r w:rsidR="00887248">
        <w:rPr>
          <w:rStyle w:val="IntenseEmphasis"/>
          <w:b w:val="0"/>
          <w:i w:val="0"/>
          <w:color w:val="auto"/>
        </w:rPr>
        <w:t>GPs</w:t>
      </w:r>
      <w:r w:rsidR="000D6F71">
        <w:rPr>
          <w:rStyle w:val="IntenseEmphasis"/>
          <w:b w:val="0"/>
          <w:i w:val="0"/>
          <w:color w:val="auto"/>
        </w:rPr>
        <w:t>:</w:t>
      </w:r>
    </w:p>
    <w:p w14:paraId="6B317240" w14:textId="77777777" w:rsidR="000D6F71" w:rsidRDefault="000D6F71" w:rsidP="00B337EB">
      <w:pPr>
        <w:pStyle w:val="AspexBullet1"/>
        <w:rPr>
          <w:rStyle w:val="IntenseEmphasis"/>
          <w:b w:val="0"/>
          <w:i w:val="0"/>
          <w:color w:val="auto"/>
        </w:rPr>
      </w:pPr>
      <w:r>
        <w:rPr>
          <w:rStyle w:val="IntenseEmphasis"/>
          <w:b w:val="0"/>
          <w:i w:val="0"/>
          <w:color w:val="auto"/>
        </w:rPr>
        <w:t>Around half (47%) of all clinical time is spent in standard consultations lasting up to 20 minutes duration;</w:t>
      </w:r>
    </w:p>
    <w:p w14:paraId="62F8FBFB" w14:textId="77777777" w:rsidR="000D6F71" w:rsidRDefault="000D6F71" w:rsidP="00B337EB">
      <w:pPr>
        <w:pStyle w:val="AspexBullet1"/>
        <w:rPr>
          <w:rStyle w:val="IntenseEmphasis"/>
          <w:b w:val="0"/>
          <w:i w:val="0"/>
          <w:color w:val="auto"/>
        </w:rPr>
      </w:pPr>
      <w:r>
        <w:rPr>
          <w:rStyle w:val="IntenseEmphasis"/>
          <w:b w:val="0"/>
          <w:i w:val="0"/>
          <w:color w:val="auto"/>
        </w:rPr>
        <w:t>Around one quarter (22%) of time is spent in longer consultations (between 20 and 40 minutes duration;</w:t>
      </w:r>
    </w:p>
    <w:p w14:paraId="04E7BA68" w14:textId="49ADA732" w:rsidR="000D6F71" w:rsidRDefault="000D6F71" w:rsidP="00B337EB">
      <w:pPr>
        <w:pStyle w:val="AspexBullet1"/>
        <w:rPr>
          <w:rStyle w:val="IntenseEmphasis"/>
          <w:b w:val="0"/>
          <w:i w:val="0"/>
          <w:color w:val="auto"/>
        </w:rPr>
      </w:pPr>
      <w:r>
        <w:rPr>
          <w:rStyle w:val="IntenseEmphasis"/>
          <w:b w:val="0"/>
          <w:i w:val="0"/>
          <w:color w:val="auto"/>
        </w:rPr>
        <w:t xml:space="preserve">A quarter (26%) of </w:t>
      </w:r>
      <w:r w:rsidR="00887248">
        <w:rPr>
          <w:rStyle w:val="IntenseEmphasis"/>
          <w:b w:val="0"/>
          <w:i w:val="0"/>
          <w:color w:val="auto"/>
        </w:rPr>
        <w:t>GP</w:t>
      </w:r>
      <w:r>
        <w:rPr>
          <w:rStyle w:val="IntenseEmphasis"/>
          <w:b w:val="0"/>
          <w:i w:val="0"/>
          <w:color w:val="auto"/>
        </w:rPr>
        <w:t xml:space="preserve"> time is spent in home or residential aged care consultations</w:t>
      </w:r>
      <w:r w:rsidR="001736BE">
        <w:rPr>
          <w:rStyle w:val="IntenseEmphasis"/>
          <w:b w:val="0"/>
          <w:i w:val="0"/>
          <w:color w:val="auto"/>
        </w:rPr>
        <w:t>; and</w:t>
      </w:r>
    </w:p>
    <w:p w14:paraId="48E6E2AD" w14:textId="77777777" w:rsidR="000D6F71" w:rsidRDefault="000D6F71" w:rsidP="00B337EB">
      <w:pPr>
        <w:pStyle w:val="AspexBullet1"/>
        <w:rPr>
          <w:rStyle w:val="IntenseEmphasis"/>
          <w:b w:val="0"/>
          <w:i w:val="0"/>
          <w:color w:val="auto"/>
        </w:rPr>
      </w:pPr>
      <w:r>
        <w:rPr>
          <w:rStyle w:val="IntenseEmphasis"/>
          <w:b w:val="0"/>
          <w:i w:val="0"/>
          <w:color w:val="auto"/>
        </w:rPr>
        <w:t>Less than 5% of clinical time is devoted to prolonged consultation (including health assessments and chron</w:t>
      </w:r>
      <w:r w:rsidR="00887248">
        <w:rPr>
          <w:rStyle w:val="IntenseEmphasis"/>
          <w:b w:val="0"/>
          <w:i w:val="0"/>
          <w:color w:val="auto"/>
        </w:rPr>
        <w:t>ic disease management planning).</w:t>
      </w:r>
    </w:p>
    <w:p w14:paraId="5C92D7D8" w14:textId="5B4B23B7" w:rsidR="00490286" w:rsidRDefault="00F56DB6" w:rsidP="00F56DB6">
      <w:pPr>
        <w:pStyle w:val="Caption"/>
      </w:pPr>
      <w:bookmarkStart w:id="217" w:name="_Ref247726061"/>
      <w:bookmarkStart w:id="218" w:name="_Toc382313759"/>
      <w:r>
        <w:t xml:space="preserve">Figure </w:t>
      </w:r>
      <w:fldSimple w:instr=" STYLEREF 1 \s ">
        <w:r w:rsidR="009C72FC">
          <w:rPr>
            <w:noProof/>
          </w:rPr>
          <w:t>5</w:t>
        </w:r>
      </w:fldSimple>
      <w:r w:rsidR="00A31FC7">
        <w:noBreakHyphen/>
      </w:r>
      <w:fldSimple w:instr=" SEQ Figure \* ARABIC \s 1 ">
        <w:r w:rsidR="009C72FC">
          <w:rPr>
            <w:noProof/>
          </w:rPr>
          <w:t>3</w:t>
        </w:r>
      </w:fldSimple>
      <w:bookmarkEnd w:id="217"/>
      <w:r w:rsidR="002167FD">
        <w:t>:</w:t>
      </w:r>
      <w:r w:rsidR="002167FD">
        <w:tab/>
      </w:r>
      <w:r>
        <w:t xml:space="preserve">MBS billing by </w:t>
      </w:r>
      <w:r w:rsidR="0081173A">
        <w:t>GPs</w:t>
      </w:r>
      <w:r>
        <w:t xml:space="preserve"> and palliative </w:t>
      </w:r>
      <w:r w:rsidR="0081173A">
        <w:t xml:space="preserve">medicine </w:t>
      </w:r>
      <w:r>
        <w:t>specialists</w:t>
      </w:r>
      <w:r w:rsidR="007F47AB">
        <w:rPr>
          <w:rStyle w:val="FootnoteReference"/>
        </w:rPr>
        <w:footnoteReference w:id="127"/>
      </w:r>
      <w:bookmarkEnd w:id="218"/>
    </w:p>
    <w:p w14:paraId="31DDB6EB" w14:textId="59C29772" w:rsidR="00C448E4" w:rsidRDefault="00C448E4" w:rsidP="00C448E4">
      <w:pPr>
        <w:pStyle w:val="AspexBodyStandard"/>
      </w:pPr>
      <w:r>
        <w:rPr>
          <w:noProof/>
          <w:lang w:eastAsia="en-AU"/>
        </w:rPr>
        <w:drawing>
          <wp:inline distT="0" distB="0" distL="0" distR="0" wp14:anchorId="1938CC6E" wp14:editId="198FFE0C">
            <wp:extent cx="5723890" cy="3181162"/>
            <wp:effectExtent l="0" t="0" r="0" b="635"/>
            <wp:docPr id="53" name="Picture 53" descr="MBS billing by GPs and palliative medicine specialists as discussed in Section 5.3" title="Fig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23890" cy="3181162"/>
                    </a:xfrm>
                    <a:prstGeom prst="rect">
                      <a:avLst/>
                    </a:prstGeom>
                  </pic:spPr>
                </pic:pic>
              </a:graphicData>
            </a:graphic>
          </wp:inline>
        </w:drawing>
      </w:r>
    </w:p>
    <w:p w14:paraId="33E417F7" w14:textId="77777777" w:rsidR="005B29A5" w:rsidRDefault="005B29A5" w:rsidP="005B29A5">
      <w:pPr>
        <w:pStyle w:val="AspexBodyStandard"/>
        <w:rPr>
          <w:rStyle w:val="IntenseEmphasis"/>
          <w:b w:val="0"/>
          <w:i w:val="0"/>
          <w:color w:val="auto"/>
        </w:rPr>
      </w:pPr>
      <w:r>
        <w:rPr>
          <w:rStyle w:val="IntenseEmphasis"/>
          <w:b w:val="0"/>
          <w:i w:val="0"/>
          <w:color w:val="auto"/>
        </w:rPr>
        <w:t>By contrast, palliative care specialists are able to:</w:t>
      </w:r>
    </w:p>
    <w:p w14:paraId="5078271C" w14:textId="77777777" w:rsidR="005B29A5" w:rsidRDefault="005B29A5" w:rsidP="00B337EB">
      <w:pPr>
        <w:pStyle w:val="AspexBullet1"/>
        <w:rPr>
          <w:rStyle w:val="IntenseEmphasis"/>
          <w:b w:val="0"/>
          <w:i w:val="0"/>
          <w:color w:val="auto"/>
        </w:rPr>
      </w:pPr>
      <w:r>
        <w:rPr>
          <w:rStyle w:val="IntenseEmphasis"/>
          <w:b w:val="0"/>
          <w:i w:val="0"/>
          <w:color w:val="auto"/>
        </w:rPr>
        <w:t>Spend more than three quarters of their clinical time (77%-78%) in long consultation with patients</w:t>
      </w:r>
      <w:r w:rsidR="00887248">
        <w:rPr>
          <w:rStyle w:val="IntenseEmphasis"/>
          <w:b w:val="0"/>
          <w:i w:val="0"/>
          <w:color w:val="auto"/>
        </w:rPr>
        <w:t>;</w:t>
      </w:r>
      <w:r>
        <w:rPr>
          <w:rStyle w:val="IntenseEmphasis"/>
          <w:b w:val="0"/>
          <w:i w:val="0"/>
          <w:color w:val="auto"/>
        </w:rPr>
        <w:t xml:space="preserve"> </w:t>
      </w:r>
    </w:p>
    <w:p w14:paraId="2C8148D8" w14:textId="77777777" w:rsidR="005B29A5" w:rsidRDefault="005B29A5" w:rsidP="00B337EB">
      <w:pPr>
        <w:pStyle w:val="AspexBullet1"/>
        <w:rPr>
          <w:rStyle w:val="IntenseEmphasis"/>
          <w:b w:val="0"/>
          <w:i w:val="0"/>
          <w:color w:val="auto"/>
        </w:rPr>
      </w:pPr>
      <w:r>
        <w:rPr>
          <w:rStyle w:val="IntenseEmphasis"/>
          <w:b w:val="0"/>
          <w:i w:val="0"/>
          <w:color w:val="auto"/>
        </w:rPr>
        <w:t>Undertake a higher proportion (17%-21%) of prolonged consultations, which most</w:t>
      </w:r>
      <w:r w:rsidR="00887248">
        <w:rPr>
          <w:rStyle w:val="IntenseEmphasis"/>
          <w:b w:val="0"/>
          <w:i w:val="0"/>
          <w:color w:val="auto"/>
        </w:rPr>
        <w:t>ly comprise initial assessments,</w:t>
      </w:r>
      <w:r>
        <w:rPr>
          <w:rStyle w:val="IntenseEmphasis"/>
          <w:b w:val="0"/>
          <w:i w:val="0"/>
          <w:color w:val="auto"/>
        </w:rPr>
        <w:t xml:space="preserve"> however</w:t>
      </w:r>
      <w:r w:rsidR="00887248">
        <w:rPr>
          <w:rStyle w:val="IntenseEmphasis"/>
          <w:b w:val="0"/>
          <w:i w:val="0"/>
          <w:color w:val="auto"/>
        </w:rPr>
        <w:t>;</w:t>
      </w:r>
    </w:p>
    <w:p w14:paraId="76D460FB" w14:textId="041865F6" w:rsidR="005B29A5" w:rsidRDefault="005B29A5" w:rsidP="00B337EB">
      <w:pPr>
        <w:pStyle w:val="AspexBullet1"/>
        <w:rPr>
          <w:rStyle w:val="IntenseEmphasis"/>
          <w:b w:val="0"/>
          <w:i w:val="0"/>
          <w:color w:val="auto"/>
        </w:rPr>
      </w:pPr>
      <w:r>
        <w:rPr>
          <w:rStyle w:val="IntenseEmphasis"/>
          <w:b w:val="0"/>
          <w:i w:val="0"/>
          <w:color w:val="auto"/>
        </w:rPr>
        <w:t xml:space="preserve">Spend very little time undertaking home or residential aged care consultations (1%-5%) compared with </w:t>
      </w:r>
      <w:r w:rsidR="0081173A">
        <w:rPr>
          <w:rStyle w:val="IntenseEmphasis"/>
          <w:b w:val="0"/>
          <w:i w:val="0"/>
          <w:color w:val="auto"/>
        </w:rPr>
        <w:t>GPs</w:t>
      </w:r>
      <w:r>
        <w:rPr>
          <w:rStyle w:val="IntenseEmphasis"/>
          <w:b w:val="0"/>
          <w:i w:val="0"/>
          <w:color w:val="auto"/>
        </w:rPr>
        <w:t>.</w:t>
      </w:r>
    </w:p>
    <w:p w14:paraId="4C996735" w14:textId="77777777" w:rsidR="00AF03E3" w:rsidRDefault="00B337EB" w:rsidP="00B337EB">
      <w:pPr>
        <w:pStyle w:val="AspexBodyStandard"/>
      </w:pPr>
      <w:r>
        <w:lastRenderedPageBreak/>
        <w:t xml:space="preserve">It is understood that the lack of MBS billing in residential environments by palliative care specialists may be in part due to confusion about the current ability to apply MBS item 3018 (initial attendance) and 3023 (subsequent attendance) to residential aged care consultations.  </w:t>
      </w:r>
    </w:p>
    <w:p w14:paraId="341936FE" w14:textId="77777777" w:rsidR="00AF03E3" w:rsidRPr="00887248" w:rsidRDefault="00AF03E3" w:rsidP="00AF03E3">
      <w:pPr>
        <w:pStyle w:val="AspexHighlightText"/>
        <w:spacing w:after="120"/>
        <w:ind w:left="346" w:right="425"/>
        <w:rPr>
          <w:rFonts w:ascii="Arial Narrow" w:hAnsi="Arial Narrow"/>
          <w:i/>
          <w:color w:val="A6A6A6" w:themeColor="background1" w:themeShade="A6"/>
          <w:sz w:val="22"/>
          <w:szCs w:val="22"/>
        </w:rPr>
      </w:pPr>
      <w:r w:rsidRPr="00887248">
        <w:rPr>
          <w:rFonts w:ascii="Arial Narrow" w:hAnsi="Arial Narrow"/>
          <w:i/>
          <w:color w:val="A6A6A6" w:themeColor="background1" w:themeShade="A6"/>
          <w:sz w:val="22"/>
          <w:szCs w:val="22"/>
        </w:rPr>
        <w:t xml:space="preserve">“Changes to billing to recognise the residential aged care and more equitable billing would help people working in the community and would probably increase the number of people who can be treated in the a community setting.”  </w:t>
      </w:r>
    </w:p>
    <w:p w14:paraId="465F86D7" w14:textId="2787D771" w:rsidR="00B337EB" w:rsidRDefault="00B337EB" w:rsidP="00C448E4">
      <w:pPr>
        <w:spacing w:before="0" w:after="0" w:line="240" w:lineRule="auto"/>
        <w:rPr>
          <w:rStyle w:val="IntenseEmphasis"/>
          <w:b w:val="0"/>
          <w:i w:val="0"/>
          <w:color w:val="auto"/>
        </w:rPr>
      </w:pPr>
      <w:r>
        <w:t xml:space="preserve">Nevertheless, </w:t>
      </w:r>
      <w:r>
        <w:rPr>
          <w:rStyle w:val="IntenseEmphasis"/>
          <w:b w:val="0"/>
          <w:i w:val="0"/>
          <w:color w:val="auto"/>
        </w:rPr>
        <w:t xml:space="preserve">based </w:t>
      </w:r>
      <w:r w:rsidR="001736BE">
        <w:rPr>
          <w:rStyle w:val="IntenseEmphasis"/>
          <w:b w:val="0"/>
          <w:i w:val="0"/>
          <w:color w:val="auto"/>
        </w:rPr>
        <w:t xml:space="preserve">on </w:t>
      </w:r>
      <w:r>
        <w:rPr>
          <w:rStyle w:val="IntenseEmphasis"/>
          <w:b w:val="0"/>
          <w:i w:val="0"/>
          <w:color w:val="auto"/>
        </w:rPr>
        <w:t>observed patterns of current MBS billing it can be seen that:</w:t>
      </w:r>
    </w:p>
    <w:p w14:paraId="59C4B467" w14:textId="6C226D47" w:rsidR="005B29A5" w:rsidRPr="005B29A5" w:rsidRDefault="005B29A5" w:rsidP="005B29A5">
      <w:pPr>
        <w:pStyle w:val="AspexHighlightText"/>
        <w:spacing w:before="240"/>
        <w:rPr>
          <w:rStyle w:val="IntenseEmphasis"/>
        </w:rPr>
      </w:pPr>
      <w:r w:rsidRPr="005B29A5">
        <w:rPr>
          <w:rStyle w:val="IntenseEmphasis"/>
        </w:rPr>
        <w:t xml:space="preserve">Palliative care specialists are able to spend a greater proportion of their time with patients compared with </w:t>
      </w:r>
      <w:r w:rsidR="0081173A">
        <w:rPr>
          <w:rStyle w:val="IntenseEmphasis"/>
        </w:rPr>
        <w:t>GP</w:t>
      </w:r>
      <w:r w:rsidR="00C85633">
        <w:rPr>
          <w:rStyle w:val="IntenseEmphasis"/>
        </w:rPr>
        <w:t>s</w:t>
      </w:r>
      <w:r w:rsidR="001736BE">
        <w:rPr>
          <w:rStyle w:val="IntenseEmphasis"/>
        </w:rPr>
        <w:t>,</w:t>
      </w:r>
      <w:r w:rsidRPr="005B29A5">
        <w:rPr>
          <w:rStyle w:val="IntenseEmphasis"/>
        </w:rPr>
        <w:t xml:space="preserve"> </w:t>
      </w:r>
      <w:r>
        <w:rPr>
          <w:rStyle w:val="IntenseEmphasis"/>
        </w:rPr>
        <w:t>who must manage</w:t>
      </w:r>
      <w:r w:rsidRPr="005B29A5">
        <w:rPr>
          <w:rStyle w:val="IntenseEmphasis"/>
        </w:rPr>
        <w:t xml:space="preserve"> a larger number and wider range of patients.</w:t>
      </w:r>
    </w:p>
    <w:p w14:paraId="6A49CC80" w14:textId="77777777" w:rsidR="00D96F80" w:rsidRDefault="00D96F80" w:rsidP="00D96F80">
      <w:pPr>
        <w:pStyle w:val="AspexBodyStandard"/>
      </w:pPr>
      <w:r>
        <w:t xml:space="preserve">These findings are consistent with previous findings that </w:t>
      </w:r>
      <w:r w:rsidR="00887248">
        <w:t>GPs</w:t>
      </w:r>
      <w:r>
        <w:t xml:space="preserve"> have more limited time to spend with patients experiencing </w:t>
      </w:r>
      <w:r w:rsidR="009709E8">
        <w:t>palliative care</w:t>
      </w:r>
      <w:r>
        <w:t xml:space="preserve">-related problems.  They also identify that specialists spend more time in complex assessment and care-coordination. </w:t>
      </w:r>
    </w:p>
    <w:p w14:paraId="2C3738B9" w14:textId="77777777" w:rsidR="00AB64A4" w:rsidRDefault="005E4E78" w:rsidP="00AB64A4">
      <w:pPr>
        <w:pStyle w:val="Heading2"/>
      </w:pPr>
      <w:bookmarkStart w:id="219" w:name="_Toc370899175"/>
      <w:bookmarkStart w:id="220" w:name="_Toc382313848"/>
      <w:r>
        <w:t>The modelled costs of current e</w:t>
      </w:r>
      <w:r w:rsidR="00AB64A4">
        <w:t>xpenditure</w:t>
      </w:r>
      <w:bookmarkEnd w:id="219"/>
      <w:bookmarkEnd w:id="220"/>
    </w:p>
    <w:p w14:paraId="5D87CC19" w14:textId="4065C524" w:rsidR="00AB64A4" w:rsidRDefault="00AB64A4" w:rsidP="00AB64A4">
      <w:pPr>
        <w:spacing w:before="240" w:after="120" w:line="240" w:lineRule="auto"/>
        <w:jc w:val="both"/>
      </w:pPr>
      <w:r w:rsidRPr="003B343E">
        <w:t xml:space="preserve">The cost of current expenditure on </w:t>
      </w:r>
      <w:r w:rsidR="002A2727">
        <w:t>palliative medicine</w:t>
      </w:r>
      <w:r w:rsidRPr="003B343E">
        <w:t xml:space="preserve"> was modelled from available MBS data.  The approach to modelling is outlined in </w:t>
      </w:r>
      <w:r>
        <w:t>Chapter 7</w:t>
      </w:r>
      <w:r w:rsidRPr="003B343E">
        <w:t xml:space="preserve">. A summary of the </w:t>
      </w:r>
      <w:r>
        <w:t xml:space="preserve">total </w:t>
      </w:r>
      <w:r w:rsidRPr="003B343E">
        <w:t xml:space="preserve">data </w:t>
      </w:r>
      <w:r>
        <w:t xml:space="preserve">extract, which forms the basis for the </w:t>
      </w:r>
      <w:r w:rsidR="005E4E78">
        <w:t>modelling,</w:t>
      </w:r>
      <w:r>
        <w:t xml:space="preserve"> </w:t>
      </w:r>
      <w:r w:rsidRPr="003B343E">
        <w:t>is shown below in</w:t>
      </w:r>
      <w:r>
        <w:t xml:space="preserve"> </w:t>
      </w:r>
      <w:r>
        <w:fldChar w:fldCharType="begin"/>
      </w:r>
      <w:r>
        <w:instrText xml:space="preserve"> REF _Ref370885823 \h </w:instrText>
      </w:r>
      <w:r>
        <w:fldChar w:fldCharType="separate"/>
      </w:r>
      <w:r w:rsidR="009C72FC" w:rsidRPr="00C8389B">
        <w:t>Table</w:t>
      </w:r>
      <w:r w:rsidR="009C72FC">
        <w:t xml:space="preserve"> </w:t>
      </w:r>
      <w:r w:rsidR="009C72FC">
        <w:rPr>
          <w:noProof/>
        </w:rPr>
        <w:t>5</w:t>
      </w:r>
      <w:r w:rsidR="009C72FC">
        <w:noBreakHyphen/>
      </w:r>
      <w:r w:rsidR="009C72FC">
        <w:rPr>
          <w:noProof/>
        </w:rPr>
        <w:t>3</w:t>
      </w:r>
      <w:r>
        <w:fldChar w:fldCharType="end"/>
      </w:r>
      <w:r>
        <w:t>. Note the 2012/13 data is for six months only.</w:t>
      </w:r>
    </w:p>
    <w:p w14:paraId="3DADD271" w14:textId="5D3CFD9C" w:rsidR="00AB64A4" w:rsidRDefault="00AB64A4" w:rsidP="00887248">
      <w:pPr>
        <w:pStyle w:val="Caption"/>
        <w:rPr>
          <w:noProof/>
        </w:rPr>
      </w:pPr>
      <w:bookmarkStart w:id="221" w:name="_Ref370885823"/>
      <w:bookmarkStart w:id="222" w:name="_Toc370885759"/>
      <w:bookmarkStart w:id="223" w:name="_Toc382315621"/>
      <w:r w:rsidRPr="00C8389B">
        <w:t>Table</w:t>
      </w:r>
      <w:r>
        <w:t xml:space="preserve"> </w:t>
      </w:r>
      <w:fldSimple w:instr=" STYLEREF 1 \s ">
        <w:r w:rsidR="009C72FC">
          <w:rPr>
            <w:noProof/>
          </w:rPr>
          <w:t>5</w:t>
        </w:r>
      </w:fldSimple>
      <w:r w:rsidR="006310FD">
        <w:noBreakHyphen/>
      </w:r>
      <w:fldSimple w:instr=" SEQ Table \* ARABIC \s 1 ">
        <w:r w:rsidR="009C72FC">
          <w:rPr>
            <w:noProof/>
          </w:rPr>
          <w:t>3</w:t>
        </w:r>
      </w:fldSimple>
      <w:bookmarkEnd w:id="221"/>
      <w:r>
        <w:rPr>
          <w:noProof/>
        </w:rPr>
        <w:t>:</w:t>
      </w:r>
      <w:r>
        <w:rPr>
          <w:noProof/>
        </w:rPr>
        <w:tab/>
        <w:t xml:space="preserve">Summary of MBS billing data – </w:t>
      </w:r>
      <w:bookmarkEnd w:id="222"/>
      <w:r w:rsidR="002A2727">
        <w:rPr>
          <w:noProof/>
        </w:rPr>
        <w:t>palliative medicine</w:t>
      </w:r>
      <w:bookmarkEnd w:id="223"/>
    </w:p>
    <w:p w14:paraId="523CCF17" w14:textId="25BF55B7" w:rsidR="00AB64A4" w:rsidRDefault="00C55BD2" w:rsidP="00AB64A4">
      <w:pPr>
        <w:pStyle w:val="AspexBodyStandard"/>
      </w:pPr>
      <w:r w:rsidRPr="00C55BD2">
        <w:rPr>
          <w:noProof/>
          <w:lang w:eastAsia="en-AU"/>
        </w:rPr>
        <w:drawing>
          <wp:inline distT="0" distB="0" distL="0" distR="0" wp14:anchorId="73FD968D" wp14:editId="7E73A82D">
            <wp:extent cx="5723890" cy="2549452"/>
            <wp:effectExtent l="0" t="0" r="0" b="0"/>
            <wp:docPr id="42" name="Picture 42" descr="Summary of MBS billing data – palliative medicine, as discussed in Section 5.4" title="Tabl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3890" cy="2549452"/>
                    </a:xfrm>
                    <a:prstGeom prst="rect">
                      <a:avLst/>
                    </a:prstGeom>
                    <a:noFill/>
                    <a:ln>
                      <a:noFill/>
                    </a:ln>
                  </pic:spPr>
                </pic:pic>
              </a:graphicData>
            </a:graphic>
          </wp:inline>
        </w:drawing>
      </w:r>
      <w:r w:rsidR="00AB64A4">
        <w:t>B</w:t>
      </w:r>
      <w:r>
        <w:t>e</w:t>
      </w:r>
      <w:r w:rsidR="00AB64A4">
        <w:t>tween 2009/10 and 2012/13, the number of providers has increased from 130 to 150</w:t>
      </w:r>
      <w:r w:rsidR="00DB698D">
        <w:t>,</w:t>
      </w:r>
      <w:r w:rsidR="00AB64A4">
        <w:t xml:space="preserve"> or 15.4%. Extending the 2012/13 data for a full 12 months indicates that services have grown by 34% and benefits paid have increased by 51% since 2009/10. The average benefit paid per service has grown from $59.91 in 2009/10 to $67.39 in 2012/13, an increase of 12.5%.</w:t>
      </w:r>
    </w:p>
    <w:p w14:paraId="01E1941B" w14:textId="53DEDAC0" w:rsidR="003F34EC" w:rsidRDefault="00AB64A4" w:rsidP="003F34EC">
      <w:pPr>
        <w:pStyle w:val="AspexBodyStandard"/>
      </w:pPr>
      <w:r>
        <w:t>For the purposes of the modelling, the data extract described above was filtered to include only the major item numbers in Groups A4 (110, 116, 132, 133) an</w:t>
      </w:r>
      <w:r w:rsidR="003F34EC">
        <w:t xml:space="preserve">d A24 (3005, 3010, 3018, 3023). </w:t>
      </w:r>
      <w:r>
        <w:t xml:space="preserve">A summary of the filtered data is shown in </w:t>
      </w:r>
      <w:r w:rsidR="003F34EC">
        <w:fldChar w:fldCharType="begin"/>
      </w:r>
      <w:r w:rsidR="003F34EC">
        <w:instrText xml:space="preserve"> REF _Ref370888990 \h </w:instrText>
      </w:r>
      <w:r w:rsidR="003F34EC">
        <w:fldChar w:fldCharType="separate"/>
      </w:r>
      <w:r w:rsidR="009C72FC" w:rsidRPr="00C8389B">
        <w:t>Table</w:t>
      </w:r>
      <w:r w:rsidR="009C72FC">
        <w:t xml:space="preserve"> </w:t>
      </w:r>
      <w:r w:rsidR="009C72FC">
        <w:rPr>
          <w:noProof/>
        </w:rPr>
        <w:t>5</w:t>
      </w:r>
      <w:r w:rsidR="009C72FC">
        <w:noBreakHyphen/>
      </w:r>
      <w:r w:rsidR="009C72FC">
        <w:rPr>
          <w:noProof/>
        </w:rPr>
        <w:t>4</w:t>
      </w:r>
      <w:r w:rsidR="003F34EC">
        <w:fldChar w:fldCharType="end"/>
      </w:r>
      <w:r w:rsidR="003F34EC">
        <w:t>.</w:t>
      </w:r>
    </w:p>
    <w:p w14:paraId="45FB6EC1" w14:textId="77777777" w:rsidR="003F34EC" w:rsidRDefault="003F34EC" w:rsidP="003F34EC">
      <w:pPr>
        <w:pStyle w:val="AspexBodyStandard"/>
      </w:pPr>
      <w:r>
        <w:br w:type="page"/>
      </w:r>
    </w:p>
    <w:p w14:paraId="59D4BCA1" w14:textId="234051DF" w:rsidR="00AB64A4" w:rsidRDefault="00AB64A4" w:rsidP="00AB64A4">
      <w:pPr>
        <w:pStyle w:val="Caption"/>
        <w:rPr>
          <w:noProof/>
        </w:rPr>
      </w:pPr>
      <w:bookmarkStart w:id="224" w:name="_Ref370888990"/>
      <w:bookmarkStart w:id="225" w:name="_Toc382315622"/>
      <w:r w:rsidRPr="00C8389B">
        <w:lastRenderedPageBreak/>
        <w:t>Table</w:t>
      </w:r>
      <w:r>
        <w:t xml:space="preserve"> </w:t>
      </w:r>
      <w:fldSimple w:instr=" STYLEREF 1 \s ">
        <w:r w:rsidR="009C72FC">
          <w:rPr>
            <w:noProof/>
          </w:rPr>
          <w:t>5</w:t>
        </w:r>
      </w:fldSimple>
      <w:r w:rsidR="006310FD">
        <w:noBreakHyphen/>
      </w:r>
      <w:fldSimple w:instr=" SEQ Table \* ARABIC \s 1 ">
        <w:r w:rsidR="009C72FC">
          <w:rPr>
            <w:noProof/>
          </w:rPr>
          <w:t>4</w:t>
        </w:r>
      </w:fldSimple>
      <w:bookmarkEnd w:id="224"/>
      <w:r>
        <w:rPr>
          <w:noProof/>
        </w:rPr>
        <w:t>:</w:t>
      </w:r>
      <w:r>
        <w:rPr>
          <w:noProof/>
        </w:rPr>
        <w:tab/>
        <w:t xml:space="preserve">Summary of filtered MBS billing data – </w:t>
      </w:r>
      <w:r w:rsidR="002A2727">
        <w:rPr>
          <w:noProof/>
        </w:rPr>
        <w:t>palliative medicine</w:t>
      </w:r>
      <w:bookmarkEnd w:id="225"/>
    </w:p>
    <w:p w14:paraId="4F9774C4" w14:textId="62DE9DFD" w:rsidR="003F34EC" w:rsidRDefault="00C55BD2" w:rsidP="00C55BD2">
      <w:pPr>
        <w:pStyle w:val="AspexBodyStandard"/>
      </w:pPr>
      <w:r w:rsidRPr="00C55BD2">
        <w:rPr>
          <w:noProof/>
          <w:lang w:eastAsia="en-AU"/>
        </w:rPr>
        <w:drawing>
          <wp:inline distT="0" distB="0" distL="0" distR="0" wp14:anchorId="28DC618E" wp14:editId="701E3124">
            <wp:extent cx="5723890" cy="2413316"/>
            <wp:effectExtent l="0" t="0" r="0" b="0"/>
            <wp:docPr id="62" name="Picture 62" descr="Summary of filtered MBS billing data – palliative medicine as discussed in Section 5.4" title="Tabl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890" cy="2413316"/>
                    </a:xfrm>
                    <a:prstGeom prst="rect">
                      <a:avLst/>
                    </a:prstGeom>
                    <a:noFill/>
                    <a:ln>
                      <a:noFill/>
                    </a:ln>
                  </pic:spPr>
                </pic:pic>
              </a:graphicData>
            </a:graphic>
          </wp:inline>
        </w:drawing>
      </w:r>
      <w:r w:rsidR="003F34EC">
        <w:t xml:space="preserve">The filtered data in </w:t>
      </w:r>
      <w:r w:rsidR="003F34EC">
        <w:fldChar w:fldCharType="begin"/>
      </w:r>
      <w:r w:rsidR="003F34EC">
        <w:instrText xml:space="preserve"> REF _Ref370888990 \h </w:instrText>
      </w:r>
      <w:r w:rsidR="003F34EC">
        <w:fldChar w:fldCharType="separate"/>
      </w:r>
      <w:r w:rsidR="009C72FC" w:rsidRPr="00C8389B">
        <w:t>Table</w:t>
      </w:r>
      <w:r w:rsidR="009C72FC">
        <w:t xml:space="preserve"> </w:t>
      </w:r>
      <w:r w:rsidR="009C72FC">
        <w:rPr>
          <w:noProof/>
        </w:rPr>
        <w:t>5</w:t>
      </w:r>
      <w:r w:rsidR="009C72FC">
        <w:noBreakHyphen/>
      </w:r>
      <w:r w:rsidR="009C72FC">
        <w:rPr>
          <w:noProof/>
        </w:rPr>
        <w:t>4</w:t>
      </w:r>
      <w:r w:rsidR="003F34EC">
        <w:fldChar w:fldCharType="end"/>
      </w:r>
      <w:r w:rsidR="003F34EC">
        <w:t xml:space="preserve"> exhibits similar growth patterns to the total data extract. Providers have grown by 17% across the period, services have increased by 42% and benefits paid are up by 55%. The average benefit paid per service has increased from $69.86 in 2009/10 to $76.37 in 2012/13, an increase of 9.3%.</w:t>
      </w:r>
    </w:p>
    <w:p w14:paraId="006755A1" w14:textId="5E4677ED" w:rsidR="00AB64A4" w:rsidRDefault="005A1398" w:rsidP="00AB64A4">
      <w:pPr>
        <w:pStyle w:val="Heading3"/>
      </w:pPr>
      <w:bookmarkStart w:id="226" w:name="_Toc370899176"/>
      <w:bookmarkStart w:id="227" w:name="_Toc382313849"/>
      <w:r>
        <w:t>Demand and financial p</w:t>
      </w:r>
      <w:r w:rsidR="00AB64A4">
        <w:t>rojections</w:t>
      </w:r>
      <w:bookmarkEnd w:id="226"/>
      <w:bookmarkEnd w:id="227"/>
    </w:p>
    <w:p w14:paraId="174CAD79" w14:textId="4A0371FB" w:rsidR="003F34EC" w:rsidRDefault="003F34EC" w:rsidP="00AB64A4">
      <w:pPr>
        <w:spacing w:before="240" w:after="120" w:line="240" w:lineRule="auto"/>
        <w:jc w:val="both"/>
      </w:pPr>
      <w:r>
        <w:t xml:space="preserve">Using the filtered data from </w:t>
      </w:r>
      <w:r>
        <w:fldChar w:fldCharType="begin"/>
      </w:r>
      <w:r>
        <w:instrText xml:space="preserve"> REF _Ref370888990 \h </w:instrText>
      </w:r>
      <w:r>
        <w:fldChar w:fldCharType="separate"/>
      </w:r>
      <w:r w:rsidR="009C72FC" w:rsidRPr="00C8389B">
        <w:t>Table</w:t>
      </w:r>
      <w:r w:rsidR="009C72FC">
        <w:t xml:space="preserve"> </w:t>
      </w:r>
      <w:r w:rsidR="009C72FC">
        <w:rPr>
          <w:noProof/>
        </w:rPr>
        <w:t>5</w:t>
      </w:r>
      <w:r w:rsidR="009C72FC">
        <w:noBreakHyphen/>
      </w:r>
      <w:r w:rsidR="009C72FC">
        <w:rPr>
          <w:noProof/>
        </w:rPr>
        <w:t>4</w:t>
      </w:r>
      <w:r>
        <w:fldChar w:fldCharType="end"/>
      </w:r>
      <w:r>
        <w:t>, s</w:t>
      </w:r>
      <w:r w:rsidRPr="00DB5128">
        <w:t xml:space="preserve">eparate growth estimates identified for “assessment” and “treatment” type </w:t>
      </w:r>
      <w:r>
        <w:t xml:space="preserve">service </w:t>
      </w:r>
      <w:r w:rsidRPr="00DB5128">
        <w:t>items</w:t>
      </w:r>
      <w:r>
        <w:t xml:space="preserve"> and projections to 2014/15 are summarised in </w:t>
      </w:r>
      <w:r>
        <w:fldChar w:fldCharType="begin"/>
      </w:r>
      <w:r>
        <w:instrText xml:space="preserve"> REF _Ref370889136 \h </w:instrText>
      </w:r>
      <w:r>
        <w:fldChar w:fldCharType="separate"/>
      </w:r>
      <w:r w:rsidR="009C72FC" w:rsidRPr="00C8389B">
        <w:t>Table</w:t>
      </w:r>
      <w:r w:rsidR="009C72FC">
        <w:t xml:space="preserve"> </w:t>
      </w:r>
      <w:r w:rsidR="009C72FC">
        <w:rPr>
          <w:noProof/>
        </w:rPr>
        <w:t>5</w:t>
      </w:r>
      <w:r w:rsidR="009C72FC">
        <w:noBreakHyphen/>
      </w:r>
      <w:r w:rsidR="009C72FC">
        <w:rPr>
          <w:noProof/>
        </w:rPr>
        <w:t>5</w:t>
      </w:r>
      <w:r>
        <w:fldChar w:fldCharType="end"/>
      </w:r>
      <w:r w:rsidRPr="00DB5128">
        <w:t xml:space="preserve">. </w:t>
      </w:r>
    </w:p>
    <w:p w14:paraId="73A7C655" w14:textId="5FACA741" w:rsidR="00AB64A4" w:rsidRDefault="00AB64A4" w:rsidP="00AB64A4">
      <w:pPr>
        <w:spacing w:before="240" w:after="120" w:line="240" w:lineRule="auto"/>
        <w:jc w:val="both"/>
        <w:rPr>
          <w:b/>
          <w:i/>
        </w:rPr>
      </w:pPr>
      <w:r w:rsidRPr="00DB5128">
        <w:rPr>
          <w:b/>
          <w:i/>
        </w:rPr>
        <w:t>Please note that the amounts shown for 201</w:t>
      </w:r>
      <w:r>
        <w:rPr>
          <w:b/>
          <w:i/>
        </w:rPr>
        <w:t>4</w:t>
      </w:r>
      <w:r w:rsidRPr="00DB5128">
        <w:rPr>
          <w:b/>
          <w:i/>
        </w:rPr>
        <w:t xml:space="preserve"> to 2015 have not been indexed for inflation and are expressed in terms of 201</w:t>
      </w:r>
      <w:r>
        <w:rPr>
          <w:b/>
          <w:i/>
        </w:rPr>
        <w:t>3</w:t>
      </w:r>
      <w:r w:rsidRPr="00DB5128">
        <w:rPr>
          <w:b/>
          <w:i/>
        </w:rPr>
        <w:t xml:space="preserve"> dollars. The impact of inflation is included in</w:t>
      </w:r>
      <w:r w:rsidR="00EA5C0B">
        <w:rPr>
          <w:b/>
          <w:i/>
        </w:rPr>
        <w:t xml:space="preserve"> Section</w:t>
      </w:r>
      <w:r w:rsidRPr="00DB5128">
        <w:rPr>
          <w:b/>
          <w:i/>
        </w:rPr>
        <w:t xml:space="preserve"> </w:t>
      </w:r>
      <w:r w:rsidR="004E58AF">
        <w:rPr>
          <w:b/>
          <w:i/>
        </w:rPr>
        <w:fldChar w:fldCharType="begin"/>
      </w:r>
      <w:r w:rsidR="004E58AF">
        <w:rPr>
          <w:b/>
          <w:i/>
        </w:rPr>
        <w:instrText xml:space="preserve"> REF _Ref374104616 \r \h </w:instrText>
      </w:r>
      <w:r w:rsidR="004E58AF">
        <w:rPr>
          <w:b/>
          <w:i/>
        </w:rPr>
      </w:r>
      <w:r w:rsidR="004E58AF">
        <w:rPr>
          <w:b/>
          <w:i/>
        </w:rPr>
        <w:fldChar w:fldCharType="separate"/>
      </w:r>
      <w:r w:rsidR="009C72FC">
        <w:rPr>
          <w:b/>
          <w:i/>
        </w:rPr>
        <w:t>7.2.4</w:t>
      </w:r>
      <w:r w:rsidR="004E58AF">
        <w:rPr>
          <w:b/>
          <w:i/>
        </w:rPr>
        <w:fldChar w:fldCharType="end"/>
      </w:r>
      <w:r w:rsidRPr="00A307D4">
        <w:rPr>
          <w:b/>
          <w:i/>
        </w:rPr>
        <w:t>.</w:t>
      </w:r>
    </w:p>
    <w:p w14:paraId="0670AF1D" w14:textId="232569DE" w:rsidR="00AB64A4" w:rsidRDefault="00AB64A4" w:rsidP="00AB64A4">
      <w:pPr>
        <w:pStyle w:val="Caption"/>
        <w:rPr>
          <w:noProof/>
        </w:rPr>
      </w:pPr>
      <w:bookmarkStart w:id="228" w:name="_Ref370889136"/>
      <w:bookmarkStart w:id="229" w:name="_Toc382315623"/>
      <w:r w:rsidRPr="00C8389B">
        <w:t>Table</w:t>
      </w:r>
      <w:r>
        <w:t xml:space="preserve"> </w:t>
      </w:r>
      <w:fldSimple w:instr=" STYLEREF 1 \s ">
        <w:r w:rsidR="009C72FC">
          <w:rPr>
            <w:noProof/>
          </w:rPr>
          <w:t>5</w:t>
        </w:r>
      </w:fldSimple>
      <w:r w:rsidR="006310FD">
        <w:noBreakHyphen/>
      </w:r>
      <w:fldSimple w:instr=" SEQ Table \* ARABIC \s 1 ">
        <w:r w:rsidR="009C72FC">
          <w:rPr>
            <w:noProof/>
          </w:rPr>
          <w:t>5</w:t>
        </w:r>
      </w:fldSimple>
      <w:bookmarkEnd w:id="228"/>
      <w:r>
        <w:rPr>
          <w:noProof/>
        </w:rPr>
        <w:t>:</w:t>
      </w:r>
      <w:r>
        <w:rPr>
          <w:noProof/>
        </w:rPr>
        <w:tab/>
        <w:t xml:space="preserve">Estimated MBS billing data for total demand – </w:t>
      </w:r>
      <w:r w:rsidR="002A2727">
        <w:rPr>
          <w:noProof/>
        </w:rPr>
        <w:t>palliative medicine</w:t>
      </w:r>
      <w:bookmarkEnd w:id="229"/>
    </w:p>
    <w:tbl>
      <w:tblPr>
        <w:tblStyle w:val="AspexTable12"/>
        <w:tblW w:w="9117" w:type="dxa"/>
        <w:tblLook w:val="04A0" w:firstRow="1" w:lastRow="0" w:firstColumn="1" w:lastColumn="0" w:noHBand="0" w:noVBand="1"/>
        <w:tblCaption w:val="Table 5 5: "/>
        <w:tblDescription w:val="Estimated MBS billing data for total demand – Palliative care medicines as discussed Section 5.4.1"/>
      </w:tblPr>
      <w:tblGrid>
        <w:gridCol w:w="1678"/>
        <w:gridCol w:w="1239"/>
        <w:gridCol w:w="1240"/>
        <w:gridCol w:w="1240"/>
        <w:gridCol w:w="1240"/>
        <w:gridCol w:w="1240"/>
        <w:gridCol w:w="1240"/>
      </w:tblGrid>
      <w:tr w:rsidR="00AB64A4" w:rsidRPr="00C964CC" w14:paraId="60D23F7E" w14:textId="77777777" w:rsidTr="001C0F55">
        <w:trPr>
          <w:cnfStyle w:val="100000000000" w:firstRow="1" w:lastRow="0" w:firstColumn="0" w:lastColumn="0" w:oddVBand="0" w:evenVBand="0" w:oddHBand="0" w:evenHBand="0" w:firstRowFirstColumn="0" w:firstRowLastColumn="0" w:lastRowFirstColumn="0" w:lastRowLastColumn="0"/>
          <w:trHeight w:val="375"/>
          <w:tblHeader/>
        </w:trPr>
        <w:tc>
          <w:tcPr>
            <w:tcW w:w="1678" w:type="dxa"/>
            <w:tcBorders>
              <w:top w:val="single" w:sz="8" w:space="0" w:color="000000"/>
              <w:left w:val="single" w:sz="8" w:space="0" w:color="000000"/>
              <w:right w:val="single" w:sz="8" w:space="0" w:color="000000"/>
            </w:tcBorders>
            <w:noWrap/>
            <w:hideMark/>
          </w:tcPr>
          <w:p w14:paraId="2BFA975F"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sidRPr="00C964CC">
              <w:rPr>
                <w:rFonts w:ascii="Arial Narrow" w:hAnsi="Arial Narrow" w:cs="Calibri"/>
                <w:bCs/>
                <w:color w:val="FFFFFF"/>
                <w:sz w:val="20"/>
                <w:lang w:eastAsia="en-AU"/>
              </w:rPr>
              <w:t> </w:t>
            </w:r>
          </w:p>
        </w:tc>
        <w:tc>
          <w:tcPr>
            <w:tcW w:w="1239" w:type="dxa"/>
            <w:tcBorders>
              <w:top w:val="single" w:sz="8" w:space="0" w:color="000000"/>
              <w:left w:val="single" w:sz="8" w:space="0" w:color="000000"/>
            </w:tcBorders>
            <w:noWrap/>
            <w:hideMark/>
          </w:tcPr>
          <w:p w14:paraId="478DD4F4"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sidRPr="00C964CC">
              <w:rPr>
                <w:rFonts w:ascii="Arial Narrow" w:hAnsi="Arial Narrow" w:cs="Calibri"/>
                <w:bCs/>
                <w:color w:val="FFFFFF"/>
                <w:sz w:val="20"/>
                <w:lang w:eastAsia="en-AU"/>
              </w:rPr>
              <w:t>20</w:t>
            </w:r>
            <w:r>
              <w:rPr>
                <w:rFonts w:ascii="Arial Narrow" w:hAnsi="Arial Narrow" w:cs="Calibri"/>
                <w:bCs/>
                <w:color w:val="FFFFFF"/>
                <w:sz w:val="20"/>
                <w:lang w:eastAsia="en-AU"/>
              </w:rPr>
              <w:t>09/10</w:t>
            </w:r>
          </w:p>
        </w:tc>
        <w:tc>
          <w:tcPr>
            <w:tcW w:w="1240" w:type="dxa"/>
            <w:tcBorders>
              <w:top w:val="single" w:sz="8" w:space="0" w:color="000000"/>
            </w:tcBorders>
            <w:noWrap/>
            <w:hideMark/>
          </w:tcPr>
          <w:p w14:paraId="272F6C62"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sidRPr="00C964CC">
              <w:rPr>
                <w:rFonts w:ascii="Arial Narrow" w:hAnsi="Arial Narrow" w:cs="Calibri"/>
                <w:bCs/>
                <w:color w:val="FFFFFF"/>
                <w:sz w:val="20"/>
                <w:lang w:eastAsia="en-AU"/>
              </w:rPr>
              <w:t>20</w:t>
            </w:r>
            <w:r>
              <w:rPr>
                <w:rFonts w:ascii="Arial Narrow" w:hAnsi="Arial Narrow" w:cs="Calibri"/>
                <w:bCs/>
                <w:color w:val="FFFFFF"/>
                <w:sz w:val="20"/>
                <w:lang w:eastAsia="en-AU"/>
              </w:rPr>
              <w:t>10/11</w:t>
            </w:r>
          </w:p>
        </w:tc>
        <w:tc>
          <w:tcPr>
            <w:tcW w:w="1240" w:type="dxa"/>
            <w:tcBorders>
              <w:top w:val="single" w:sz="8" w:space="0" w:color="000000"/>
            </w:tcBorders>
            <w:noWrap/>
            <w:hideMark/>
          </w:tcPr>
          <w:p w14:paraId="615DB9FA"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Pr>
                <w:rFonts w:ascii="Arial Narrow" w:hAnsi="Arial Narrow" w:cs="Calibri"/>
                <w:bCs/>
                <w:color w:val="FFFFFF"/>
                <w:sz w:val="20"/>
                <w:lang w:eastAsia="en-AU"/>
              </w:rPr>
              <w:t>2011/12</w:t>
            </w:r>
          </w:p>
        </w:tc>
        <w:tc>
          <w:tcPr>
            <w:tcW w:w="1240" w:type="dxa"/>
            <w:tcBorders>
              <w:top w:val="single" w:sz="8" w:space="0" w:color="000000"/>
            </w:tcBorders>
            <w:noWrap/>
            <w:hideMark/>
          </w:tcPr>
          <w:p w14:paraId="63B48582"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Pr>
                <w:rFonts w:ascii="Arial Narrow" w:hAnsi="Arial Narrow" w:cs="Calibri"/>
                <w:bCs/>
                <w:color w:val="FFFFFF"/>
                <w:sz w:val="20"/>
                <w:lang w:eastAsia="en-AU"/>
              </w:rPr>
              <w:t>2012/13</w:t>
            </w:r>
          </w:p>
        </w:tc>
        <w:tc>
          <w:tcPr>
            <w:tcW w:w="1240" w:type="dxa"/>
            <w:tcBorders>
              <w:top w:val="single" w:sz="8" w:space="0" w:color="000000"/>
            </w:tcBorders>
            <w:noWrap/>
            <w:hideMark/>
          </w:tcPr>
          <w:p w14:paraId="1F72B654"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Pr>
                <w:rFonts w:ascii="Arial Narrow" w:hAnsi="Arial Narrow" w:cs="Calibri"/>
                <w:bCs/>
                <w:color w:val="FFFFFF"/>
                <w:sz w:val="20"/>
                <w:lang w:eastAsia="en-AU"/>
              </w:rPr>
              <w:t>2013/14</w:t>
            </w:r>
          </w:p>
        </w:tc>
        <w:tc>
          <w:tcPr>
            <w:tcW w:w="1240" w:type="dxa"/>
            <w:tcBorders>
              <w:top w:val="single" w:sz="8" w:space="0" w:color="000000"/>
              <w:right w:val="single" w:sz="8" w:space="0" w:color="000000"/>
            </w:tcBorders>
            <w:noWrap/>
            <w:hideMark/>
          </w:tcPr>
          <w:p w14:paraId="0EC96FCA" w14:textId="77777777" w:rsidR="00AB64A4" w:rsidRPr="00C964CC" w:rsidRDefault="00AB64A4" w:rsidP="00AB64A4">
            <w:pPr>
              <w:spacing w:before="144" w:after="144" w:line="240" w:lineRule="auto"/>
              <w:jc w:val="center"/>
              <w:rPr>
                <w:rFonts w:ascii="Arial Narrow" w:hAnsi="Arial Narrow" w:cs="Calibri"/>
                <w:bCs/>
                <w:color w:val="FFFFFF"/>
                <w:sz w:val="20"/>
                <w:lang w:eastAsia="en-AU"/>
              </w:rPr>
            </w:pPr>
            <w:r>
              <w:rPr>
                <w:rFonts w:ascii="Arial Narrow" w:hAnsi="Arial Narrow" w:cs="Calibri"/>
                <w:bCs/>
                <w:color w:val="FFFFFF"/>
                <w:sz w:val="20"/>
                <w:lang w:eastAsia="en-AU"/>
              </w:rPr>
              <w:t>2014/15</w:t>
            </w:r>
          </w:p>
        </w:tc>
      </w:tr>
      <w:tr w:rsidR="00AB64A4" w:rsidRPr="00C964CC" w14:paraId="188AD483" w14:textId="77777777" w:rsidTr="00AB64A4">
        <w:trPr>
          <w:trHeight w:val="315"/>
        </w:trPr>
        <w:tc>
          <w:tcPr>
            <w:tcW w:w="1678" w:type="dxa"/>
            <w:tcBorders>
              <w:top w:val="single" w:sz="2" w:space="0" w:color="000000"/>
              <w:left w:val="single" w:sz="8" w:space="0" w:color="000000"/>
              <w:bottom w:val="single" w:sz="2" w:space="0" w:color="000000"/>
              <w:right w:val="single" w:sz="8" w:space="0" w:color="000000"/>
            </w:tcBorders>
            <w:noWrap/>
            <w:hideMark/>
          </w:tcPr>
          <w:p w14:paraId="7CDABDEE" w14:textId="77777777" w:rsidR="00AB64A4" w:rsidRPr="00C964CC" w:rsidRDefault="00AB64A4" w:rsidP="00AB64A4">
            <w:pPr>
              <w:spacing w:before="0" w:after="0" w:line="240" w:lineRule="auto"/>
              <w:rPr>
                <w:rFonts w:ascii="Arial Narrow" w:hAnsi="Arial Narrow" w:cs="Calibri"/>
                <w:b/>
                <w:color w:val="000000"/>
                <w:sz w:val="20"/>
                <w:lang w:eastAsia="en-AU"/>
              </w:rPr>
            </w:pPr>
            <w:r w:rsidRPr="00C964CC">
              <w:rPr>
                <w:rFonts w:ascii="Arial Narrow" w:hAnsi="Arial Narrow" w:cs="Calibri"/>
                <w:b/>
                <w:color w:val="000000"/>
                <w:sz w:val="20"/>
                <w:lang w:eastAsia="en-AU"/>
              </w:rPr>
              <w:t>Services</w:t>
            </w:r>
          </w:p>
        </w:tc>
        <w:tc>
          <w:tcPr>
            <w:tcW w:w="1239" w:type="dxa"/>
            <w:tcBorders>
              <w:left w:val="single" w:sz="8" w:space="0" w:color="000000"/>
            </w:tcBorders>
            <w:noWrap/>
          </w:tcPr>
          <w:p w14:paraId="6EB548A5"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53,508</w:t>
            </w:r>
          </w:p>
        </w:tc>
        <w:tc>
          <w:tcPr>
            <w:tcW w:w="1240" w:type="dxa"/>
            <w:noWrap/>
          </w:tcPr>
          <w:p w14:paraId="3BB0E571"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59,832</w:t>
            </w:r>
          </w:p>
        </w:tc>
        <w:tc>
          <w:tcPr>
            <w:tcW w:w="1240" w:type="dxa"/>
            <w:noWrap/>
          </w:tcPr>
          <w:p w14:paraId="0C5EF180"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67,503</w:t>
            </w:r>
          </w:p>
        </w:tc>
        <w:tc>
          <w:tcPr>
            <w:tcW w:w="1240" w:type="dxa"/>
            <w:noWrap/>
          </w:tcPr>
          <w:p w14:paraId="31637FFC"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76,124</w:t>
            </w:r>
          </w:p>
        </w:tc>
        <w:tc>
          <w:tcPr>
            <w:tcW w:w="1240" w:type="dxa"/>
            <w:noWrap/>
          </w:tcPr>
          <w:p w14:paraId="5131C122"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82,920</w:t>
            </w:r>
          </w:p>
        </w:tc>
        <w:tc>
          <w:tcPr>
            <w:tcW w:w="1240" w:type="dxa"/>
            <w:tcBorders>
              <w:right w:val="single" w:sz="8" w:space="0" w:color="000000"/>
            </w:tcBorders>
            <w:noWrap/>
          </w:tcPr>
          <w:p w14:paraId="7CCB2657"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89,715</w:t>
            </w:r>
          </w:p>
        </w:tc>
      </w:tr>
      <w:tr w:rsidR="00AB64A4" w:rsidRPr="00C964CC" w14:paraId="3682536D" w14:textId="77777777" w:rsidTr="00AB64A4">
        <w:trPr>
          <w:trHeight w:val="300"/>
        </w:trPr>
        <w:tc>
          <w:tcPr>
            <w:tcW w:w="1678" w:type="dxa"/>
            <w:tcBorders>
              <w:top w:val="single" w:sz="2" w:space="0" w:color="000000"/>
              <w:left w:val="single" w:sz="8" w:space="0" w:color="000000"/>
              <w:bottom w:val="single" w:sz="2" w:space="0" w:color="000000"/>
              <w:right w:val="single" w:sz="8" w:space="0" w:color="000000"/>
            </w:tcBorders>
            <w:noWrap/>
            <w:hideMark/>
          </w:tcPr>
          <w:p w14:paraId="210777A3" w14:textId="77777777" w:rsidR="00AB64A4" w:rsidRPr="00C964CC" w:rsidRDefault="00AB64A4" w:rsidP="00AB64A4">
            <w:pPr>
              <w:spacing w:before="0" w:after="0" w:line="240" w:lineRule="auto"/>
              <w:rPr>
                <w:rFonts w:ascii="Arial Narrow" w:hAnsi="Arial Narrow" w:cs="Calibri"/>
                <w:b/>
                <w:color w:val="000000"/>
                <w:sz w:val="20"/>
                <w:lang w:eastAsia="en-AU"/>
              </w:rPr>
            </w:pPr>
            <w:r w:rsidRPr="00C964CC">
              <w:rPr>
                <w:rFonts w:ascii="Arial Narrow" w:hAnsi="Arial Narrow" w:cs="Calibri"/>
                <w:b/>
                <w:color w:val="000000"/>
                <w:sz w:val="20"/>
                <w:lang w:eastAsia="en-AU"/>
              </w:rPr>
              <w:t> </w:t>
            </w:r>
          </w:p>
        </w:tc>
        <w:tc>
          <w:tcPr>
            <w:tcW w:w="1239" w:type="dxa"/>
            <w:tcBorders>
              <w:left w:val="single" w:sz="8" w:space="0" w:color="000000"/>
            </w:tcBorders>
            <w:noWrap/>
            <w:hideMark/>
          </w:tcPr>
          <w:p w14:paraId="36857E15" w14:textId="6D5B1DCC" w:rsidR="00AB64A4" w:rsidRPr="00C964CC" w:rsidRDefault="00AB64A4" w:rsidP="000D5025">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c>
          <w:tcPr>
            <w:tcW w:w="1240" w:type="dxa"/>
            <w:noWrap/>
            <w:hideMark/>
          </w:tcPr>
          <w:p w14:paraId="3A42CB9D" w14:textId="5B930522" w:rsidR="00AB64A4" w:rsidRPr="00C964CC" w:rsidRDefault="00AB64A4" w:rsidP="00AB64A4">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c>
          <w:tcPr>
            <w:tcW w:w="1240" w:type="dxa"/>
            <w:noWrap/>
            <w:hideMark/>
          </w:tcPr>
          <w:p w14:paraId="2F8A13AA" w14:textId="3238C417" w:rsidR="00AB64A4" w:rsidRPr="00C964CC" w:rsidRDefault="00AB64A4" w:rsidP="000D5025">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c>
          <w:tcPr>
            <w:tcW w:w="1240" w:type="dxa"/>
            <w:noWrap/>
            <w:hideMark/>
          </w:tcPr>
          <w:p w14:paraId="5F211B20" w14:textId="46C77EEC" w:rsidR="00AB64A4" w:rsidRPr="00C964CC" w:rsidRDefault="00AB64A4" w:rsidP="00AB64A4">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c>
          <w:tcPr>
            <w:tcW w:w="1240" w:type="dxa"/>
            <w:noWrap/>
            <w:hideMark/>
          </w:tcPr>
          <w:p w14:paraId="141A8793" w14:textId="6E5CF208" w:rsidR="00AB64A4" w:rsidRPr="00C964CC" w:rsidRDefault="00AB64A4" w:rsidP="000D5025">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c>
          <w:tcPr>
            <w:tcW w:w="1240" w:type="dxa"/>
            <w:tcBorders>
              <w:right w:val="single" w:sz="8" w:space="0" w:color="000000"/>
            </w:tcBorders>
            <w:noWrap/>
            <w:hideMark/>
          </w:tcPr>
          <w:p w14:paraId="58CFC9EC" w14:textId="7EBE15FD" w:rsidR="00AB64A4" w:rsidRPr="00C964CC" w:rsidRDefault="00AB64A4" w:rsidP="000D5025">
            <w:pPr>
              <w:spacing w:before="0" w:after="0" w:line="240" w:lineRule="auto"/>
              <w:jc w:val="center"/>
              <w:rPr>
                <w:rFonts w:ascii="Arial Narrow" w:hAnsi="Arial Narrow" w:cs="Calibri"/>
                <w:color w:val="000000"/>
                <w:sz w:val="20"/>
                <w:lang w:eastAsia="en-AU"/>
              </w:rPr>
            </w:pPr>
            <w:r w:rsidRPr="00C964CC">
              <w:rPr>
                <w:rFonts w:ascii="Arial Narrow" w:hAnsi="Arial Narrow" w:cs="Calibri"/>
                <w:color w:val="000000"/>
                <w:sz w:val="20"/>
                <w:lang w:eastAsia="en-AU"/>
              </w:rPr>
              <w:t>$</w:t>
            </w:r>
            <w:r w:rsidR="000D5025">
              <w:rPr>
                <w:rFonts w:ascii="Arial Narrow" w:hAnsi="Arial Narrow" w:cs="Calibri"/>
                <w:color w:val="000000"/>
                <w:sz w:val="20"/>
                <w:lang w:eastAsia="en-AU"/>
              </w:rPr>
              <w:t>M</w:t>
            </w:r>
          </w:p>
        </w:tc>
      </w:tr>
      <w:tr w:rsidR="00AB64A4" w:rsidRPr="00C964CC" w14:paraId="7BD7AD35" w14:textId="77777777" w:rsidTr="00AB64A4">
        <w:trPr>
          <w:trHeight w:val="300"/>
        </w:trPr>
        <w:tc>
          <w:tcPr>
            <w:tcW w:w="1678" w:type="dxa"/>
            <w:tcBorders>
              <w:top w:val="single" w:sz="2" w:space="0" w:color="000000"/>
              <w:left w:val="single" w:sz="8" w:space="0" w:color="000000"/>
              <w:bottom w:val="single" w:sz="2" w:space="0" w:color="000000"/>
              <w:right w:val="single" w:sz="8" w:space="0" w:color="000000"/>
            </w:tcBorders>
            <w:noWrap/>
            <w:hideMark/>
          </w:tcPr>
          <w:p w14:paraId="40C75DA1" w14:textId="77777777" w:rsidR="00AB64A4" w:rsidRPr="00C964CC" w:rsidRDefault="00AB64A4" w:rsidP="00AB64A4">
            <w:pPr>
              <w:spacing w:before="0" w:after="0" w:line="240" w:lineRule="auto"/>
              <w:rPr>
                <w:rFonts w:ascii="Arial Narrow" w:hAnsi="Arial Narrow" w:cs="Calibri"/>
                <w:b/>
                <w:color w:val="000000"/>
                <w:sz w:val="20"/>
                <w:lang w:eastAsia="en-AU"/>
              </w:rPr>
            </w:pPr>
            <w:r w:rsidRPr="00C964CC">
              <w:rPr>
                <w:rFonts w:ascii="Arial Narrow" w:hAnsi="Arial Narrow" w:cs="Calibri"/>
                <w:b/>
                <w:color w:val="000000"/>
                <w:sz w:val="20"/>
                <w:lang w:eastAsia="en-AU"/>
              </w:rPr>
              <w:t>Charge</w:t>
            </w:r>
          </w:p>
        </w:tc>
        <w:tc>
          <w:tcPr>
            <w:tcW w:w="1239" w:type="dxa"/>
            <w:tcBorders>
              <w:left w:val="single" w:sz="8" w:space="0" w:color="000000"/>
            </w:tcBorders>
            <w:noWrap/>
          </w:tcPr>
          <w:p w14:paraId="3B5FCBF2"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5.186</w:t>
            </w:r>
          </w:p>
        </w:tc>
        <w:tc>
          <w:tcPr>
            <w:tcW w:w="1240" w:type="dxa"/>
            <w:noWrap/>
          </w:tcPr>
          <w:p w14:paraId="651FD050"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6.048</w:t>
            </w:r>
          </w:p>
        </w:tc>
        <w:tc>
          <w:tcPr>
            <w:tcW w:w="1240" w:type="dxa"/>
            <w:noWrap/>
          </w:tcPr>
          <w:p w14:paraId="10877F42"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7.042</w:t>
            </w:r>
          </w:p>
        </w:tc>
        <w:tc>
          <w:tcPr>
            <w:tcW w:w="1240" w:type="dxa"/>
            <w:noWrap/>
          </w:tcPr>
          <w:p w14:paraId="3929B38F"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8.115</w:t>
            </w:r>
          </w:p>
        </w:tc>
        <w:tc>
          <w:tcPr>
            <w:tcW w:w="1240" w:type="dxa"/>
            <w:noWrap/>
          </w:tcPr>
          <w:p w14:paraId="0FDA51B7"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8.868</w:t>
            </w:r>
          </w:p>
        </w:tc>
        <w:tc>
          <w:tcPr>
            <w:tcW w:w="1240" w:type="dxa"/>
            <w:tcBorders>
              <w:right w:val="single" w:sz="8" w:space="0" w:color="000000"/>
            </w:tcBorders>
            <w:noWrap/>
          </w:tcPr>
          <w:p w14:paraId="457D8803"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9.621</w:t>
            </w:r>
          </w:p>
        </w:tc>
      </w:tr>
      <w:tr w:rsidR="00AB64A4" w:rsidRPr="00C964CC" w14:paraId="37CEA915" w14:textId="77777777" w:rsidTr="00AB64A4">
        <w:trPr>
          <w:trHeight w:val="300"/>
        </w:trPr>
        <w:tc>
          <w:tcPr>
            <w:tcW w:w="1678" w:type="dxa"/>
            <w:tcBorders>
              <w:top w:val="single" w:sz="2" w:space="0" w:color="000000"/>
              <w:left w:val="single" w:sz="8" w:space="0" w:color="000000"/>
              <w:bottom w:val="single" w:sz="2" w:space="0" w:color="000000"/>
              <w:right w:val="single" w:sz="8" w:space="0" w:color="000000"/>
            </w:tcBorders>
            <w:noWrap/>
            <w:hideMark/>
          </w:tcPr>
          <w:p w14:paraId="1C1CCD75" w14:textId="77777777" w:rsidR="00AB64A4" w:rsidRPr="00C964CC" w:rsidRDefault="00AB64A4" w:rsidP="00AB64A4">
            <w:pPr>
              <w:spacing w:before="0" w:after="0" w:line="240" w:lineRule="auto"/>
              <w:rPr>
                <w:rFonts w:ascii="Arial Narrow" w:hAnsi="Arial Narrow" w:cs="Calibri"/>
                <w:b/>
                <w:color w:val="000000"/>
                <w:sz w:val="20"/>
                <w:lang w:eastAsia="en-AU"/>
              </w:rPr>
            </w:pPr>
            <w:r w:rsidRPr="00C964CC">
              <w:rPr>
                <w:rFonts w:ascii="Arial Narrow" w:hAnsi="Arial Narrow" w:cs="Calibri"/>
                <w:b/>
                <w:color w:val="000000"/>
                <w:sz w:val="20"/>
                <w:lang w:eastAsia="en-AU"/>
              </w:rPr>
              <w:t>Benefit</w:t>
            </w:r>
          </w:p>
        </w:tc>
        <w:tc>
          <w:tcPr>
            <w:tcW w:w="1239" w:type="dxa"/>
            <w:tcBorders>
              <w:left w:val="single" w:sz="8" w:space="0" w:color="000000"/>
            </w:tcBorders>
            <w:noWrap/>
          </w:tcPr>
          <w:p w14:paraId="1802B715"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3.738</w:t>
            </w:r>
          </w:p>
        </w:tc>
        <w:tc>
          <w:tcPr>
            <w:tcW w:w="1240" w:type="dxa"/>
            <w:noWrap/>
          </w:tcPr>
          <w:p w14:paraId="3B364F3C"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4.310</w:t>
            </w:r>
          </w:p>
        </w:tc>
        <w:tc>
          <w:tcPr>
            <w:tcW w:w="1240" w:type="dxa"/>
            <w:noWrap/>
          </w:tcPr>
          <w:p w14:paraId="2D8A89E3"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5.000</w:t>
            </w:r>
          </w:p>
        </w:tc>
        <w:tc>
          <w:tcPr>
            <w:tcW w:w="1240" w:type="dxa"/>
            <w:noWrap/>
          </w:tcPr>
          <w:p w14:paraId="36D8A22E"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5.820</w:t>
            </w:r>
          </w:p>
        </w:tc>
        <w:tc>
          <w:tcPr>
            <w:tcW w:w="1240" w:type="dxa"/>
            <w:noWrap/>
          </w:tcPr>
          <w:p w14:paraId="2FD29AF3"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6.364</w:t>
            </w:r>
          </w:p>
        </w:tc>
        <w:tc>
          <w:tcPr>
            <w:tcW w:w="1240" w:type="dxa"/>
            <w:tcBorders>
              <w:right w:val="single" w:sz="8" w:space="0" w:color="000000"/>
            </w:tcBorders>
            <w:noWrap/>
          </w:tcPr>
          <w:p w14:paraId="3D8F26C2"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6.908</w:t>
            </w:r>
          </w:p>
        </w:tc>
      </w:tr>
      <w:tr w:rsidR="00AB64A4" w:rsidRPr="00C964CC" w14:paraId="25F4DF55" w14:textId="77777777" w:rsidTr="00AB64A4">
        <w:trPr>
          <w:trHeight w:val="315"/>
        </w:trPr>
        <w:tc>
          <w:tcPr>
            <w:tcW w:w="1678" w:type="dxa"/>
            <w:tcBorders>
              <w:top w:val="single" w:sz="2" w:space="0" w:color="000000"/>
              <w:left w:val="single" w:sz="8" w:space="0" w:color="000000"/>
              <w:bottom w:val="single" w:sz="2" w:space="0" w:color="000000"/>
              <w:right w:val="single" w:sz="8" w:space="0" w:color="000000"/>
            </w:tcBorders>
            <w:noWrap/>
            <w:hideMark/>
          </w:tcPr>
          <w:p w14:paraId="0E3964D9" w14:textId="2D9EE0BE" w:rsidR="00AB64A4" w:rsidRPr="00C964CC" w:rsidRDefault="00AB64A4" w:rsidP="00AB64A4">
            <w:pPr>
              <w:spacing w:before="0" w:after="0" w:line="240" w:lineRule="auto"/>
              <w:rPr>
                <w:rFonts w:ascii="Arial Narrow" w:hAnsi="Arial Narrow" w:cs="Calibri"/>
                <w:b/>
                <w:color w:val="000000"/>
                <w:sz w:val="20"/>
                <w:lang w:eastAsia="en-AU"/>
              </w:rPr>
            </w:pPr>
            <w:r w:rsidRPr="00C964CC">
              <w:rPr>
                <w:rFonts w:ascii="Arial Narrow" w:hAnsi="Arial Narrow" w:cs="Calibri"/>
                <w:b/>
                <w:color w:val="000000"/>
                <w:sz w:val="20"/>
                <w:lang w:eastAsia="en-AU"/>
              </w:rPr>
              <w:t>Out</w:t>
            </w:r>
            <w:r w:rsidR="002C4DBD">
              <w:rPr>
                <w:rFonts w:ascii="Arial Narrow" w:hAnsi="Arial Narrow" w:cs="Calibri"/>
                <w:b/>
                <w:color w:val="000000"/>
                <w:sz w:val="20"/>
                <w:lang w:eastAsia="en-AU"/>
              </w:rPr>
              <w:t>-</w:t>
            </w:r>
            <w:r w:rsidRPr="00C964CC">
              <w:rPr>
                <w:rFonts w:ascii="Arial Narrow" w:hAnsi="Arial Narrow" w:cs="Calibri"/>
                <w:b/>
                <w:color w:val="000000"/>
                <w:sz w:val="20"/>
                <w:lang w:eastAsia="en-AU"/>
              </w:rPr>
              <w:t>of</w:t>
            </w:r>
            <w:r w:rsidR="002C4DBD">
              <w:rPr>
                <w:rFonts w:ascii="Arial Narrow" w:hAnsi="Arial Narrow" w:cs="Calibri"/>
                <w:b/>
                <w:color w:val="000000"/>
                <w:sz w:val="20"/>
                <w:lang w:eastAsia="en-AU"/>
              </w:rPr>
              <w:t>-</w:t>
            </w:r>
            <w:r w:rsidR="003F2673">
              <w:rPr>
                <w:rFonts w:ascii="Arial Narrow" w:hAnsi="Arial Narrow" w:cs="Calibri"/>
                <w:b/>
                <w:color w:val="000000"/>
                <w:sz w:val="20"/>
                <w:lang w:eastAsia="en-AU"/>
              </w:rPr>
              <w:t>p</w:t>
            </w:r>
            <w:r w:rsidRPr="00C964CC">
              <w:rPr>
                <w:rFonts w:ascii="Arial Narrow" w:hAnsi="Arial Narrow" w:cs="Calibri"/>
                <w:b/>
                <w:color w:val="000000"/>
                <w:sz w:val="20"/>
                <w:lang w:eastAsia="en-AU"/>
              </w:rPr>
              <w:t>ocket</w:t>
            </w:r>
          </w:p>
        </w:tc>
        <w:tc>
          <w:tcPr>
            <w:tcW w:w="1239" w:type="dxa"/>
            <w:tcBorders>
              <w:left w:val="single" w:sz="8" w:space="0" w:color="000000"/>
            </w:tcBorders>
            <w:noWrap/>
          </w:tcPr>
          <w:p w14:paraId="4ADE809E"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1.448</w:t>
            </w:r>
          </w:p>
        </w:tc>
        <w:tc>
          <w:tcPr>
            <w:tcW w:w="1240" w:type="dxa"/>
            <w:noWrap/>
          </w:tcPr>
          <w:p w14:paraId="54F9188C"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1.738</w:t>
            </w:r>
          </w:p>
        </w:tc>
        <w:tc>
          <w:tcPr>
            <w:tcW w:w="1240" w:type="dxa"/>
            <w:noWrap/>
          </w:tcPr>
          <w:p w14:paraId="732F82F4"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2.042</w:t>
            </w:r>
          </w:p>
        </w:tc>
        <w:tc>
          <w:tcPr>
            <w:tcW w:w="1240" w:type="dxa"/>
            <w:noWrap/>
          </w:tcPr>
          <w:p w14:paraId="00BFD184"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2.295</w:t>
            </w:r>
          </w:p>
        </w:tc>
        <w:tc>
          <w:tcPr>
            <w:tcW w:w="1240" w:type="dxa"/>
            <w:noWrap/>
          </w:tcPr>
          <w:p w14:paraId="59D566A1"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2.504</w:t>
            </w:r>
          </w:p>
        </w:tc>
        <w:tc>
          <w:tcPr>
            <w:tcW w:w="1240" w:type="dxa"/>
            <w:tcBorders>
              <w:right w:val="single" w:sz="8" w:space="0" w:color="000000"/>
            </w:tcBorders>
            <w:noWrap/>
          </w:tcPr>
          <w:p w14:paraId="6ACF18BC" w14:textId="77777777" w:rsidR="00AB64A4" w:rsidRPr="00C964CC" w:rsidRDefault="00AB64A4" w:rsidP="00AB64A4">
            <w:pPr>
              <w:spacing w:before="0" w:after="0" w:line="240" w:lineRule="auto"/>
              <w:jc w:val="center"/>
              <w:rPr>
                <w:rFonts w:ascii="Arial Narrow" w:hAnsi="Arial Narrow" w:cs="Calibri"/>
                <w:color w:val="000000"/>
                <w:sz w:val="20"/>
                <w:lang w:eastAsia="en-AU"/>
              </w:rPr>
            </w:pPr>
            <w:r>
              <w:rPr>
                <w:rFonts w:ascii="Arial Narrow" w:hAnsi="Arial Narrow" w:cs="Calibri"/>
                <w:color w:val="000000"/>
                <w:sz w:val="20"/>
                <w:lang w:eastAsia="en-AU"/>
              </w:rPr>
              <w:t>2.713</w:t>
            </w:r>
          </w:p>
        </w:tc>
      </w:tr>
    </w:tbl>
    <w:p w14:paraId="3E287D3F" w14:textId="38A1B49A" w:rsidR="003F34EC" w:rsidRPr="00A7501C" w:rsidRDefault="003F34EC" w:rsidP="00722901">
      <w:pPr>
        <w:spacing w:after="120" w:line="240" w:lineRule="auto"/>
        <w:jc w:val="both"/>
        <w:rPr>
          <w:i/>
          <w:sz w:val="18"/>
          <w:szCs w:val="18"/>
        </w:rPr>
      </w:pPr>
      <w:r w:rsidRPr="00A307D4">
        <w:rPr>
          <w:i/>
          <w:sz w:val="18"/>
          <w:szCs w:val="18"/>
        </w:rPr>
        <w:t xml:space="preserve">Data for 2009/10 to 2011/12 differs slightly to </w:t>
      </w:r>
      <w:r w:rsidRPr="00A307D4">
        <w:rPr>
          <w:i/>
          <w:sz w:val="18"/>
          <w:szCs w:val="18"/>
        </w:rPr>
        <w:fldChar w:fldCharType="begin"/>
      </w:r>
      <w:r w:rsidRPr="00A307D4">
        <w:rPr>
          <w:i/>
          <w:sz w:val="18"/>
          <w:szCs w:val="18"/>
        </w:rPr>
        <w:instrText xml:space="preserve"> REF _Ref370888990 \h  \* MERGEFORMAT </w:instrText>
      </w:r>
      <w:r w:rsidRPr="00A307D4">
        <w:rPr>
          <w:i/>
          <w:sz w:val="18"/>
          <w:szCs w:val="18"/>
        </w:rPr>
      </w:r>
      <w:r w:rsidRPr="00A307D4">
        <w:rPr>
          <w:i/>
          <w:sz w:val="18"/>
          <w:szCs w:val="18"/>
        </w:rPr>
        <w:fldChar w:fldCharType="separate"/>
      </w:r>
      <w:r w:rsidR="009C72FC" w:rsidRPr="009C72FC">
        <w:rPr>
          <w:i/>
          <w:sz w:val="18"/>
          <w:szCs w:val="18"/>
        </w:rPr>
        <w:t xml:space="preserve">Table </w:t>
      </w:r>
      <w:r w:rsidR="009C72FC" w:rsidRPr="009C72FC">
        <w:rPr>
          <w:i/>
          <w:noProof/>
          <w:sz w:val="18"/>
          <w:szCs w:val="18"/>
        </w:rPr>
        <w:t>5</w:t>
      </w:r>
      <w:r w:rsidR="009C72FC" w:rsidRPr="009C72FC">
        <w:rPr>
          <w:i/>
          <w:noProof/>
          <w:sz w:val="18"/>
          <w:szCs w:val="18"/>
        </w:rPr>
        <w:noBreakHyphen/>
        <w:t>4</w:t>
      </w:r>
      <w:r w:rsidRPr="00A307D4">
        <w:rPr>
          <w:i/>
          <w:sz w:val="18"/>
          <w:szCs w:val="18"/>
        </w:rPr>
        <w:fldChar w:fldCharType="end"/>
      </w:r>
      <w:r w:rsidRPr="00A307D4">
        <w:rPr>
          <w:i/>
          <w:sz w:val="18"/>
          <w:szCs w:val="18"/>
        </w:rPr>
        <w:t xml:space="preserve"> due to the statistical forecasting method adopted.</w:t>
      </w:r>
      <w:r w:rsidRPr="00A7501C">
        <w:rPr>
          <w:i/>
          <w:sz w:val="18"/>
          <w:szCs w:val="18"/>
        </w:rPr>
        <w:t xml:space="preserve"> </w:t>
      </w:r>
    </w:p>
    <w:p w14:paraId="3259AAA9" w14:textId="6F93F071" w:rsidR="00AB64A4" w:rsidRDefault="002A2727" w:rsidP="00AB64A4">
      <w:pPr>
        <w:spacing w:before="240" w:after="120" w:line="240" w:lineRule="auto"/>
        <w:jc w:val="both"/>
      </w:pPr>
      <w:r>
        <w:t>Palliative medicine</w:t>
      </w:r>
      <w:r w:rsidR="00AB64A4" w:rsidRPr="00644886">
        <w:t xml:space="preserve"> demand is estimated at </w:t>
      </w:r>
      <w:r w:rsidR="00AB64A4">
        <w:t xml:space="preserve">76,124 </w:t>
      </w:r>
      <w:r w:rsidR="00AB64A4" w:rsidRPr="00644886">
        <w:t>services in 2012</w:t>
      </w:r>
      <w:r w:rsidR="00AB64A4">
        <w:t>/13</w:t>
      </w:r>
      <w:r w:rsidR="00AB64A4" w:rsidRPr="00644886">
        <w:t xml:space="preserve"> and this is expected to </w:t>
      </w:r>
      <w:r w:rsidR="00AB64A4">
        <w:t xml:space="preserve">increase by ~18% </w:t>
      </w:r>
      <w:r w:rsidR="00AB64A4" w:rsidRPr="00644886">
        <w:t xml:space="preserve">to </w:t>
      </w:r>
      <w:r w:rsidR="00AB64A4">
        <w:t>89,715</w:t>
      </w:r>
      <w:r w:rsidR="00AB64A4" w:rsidRPr="00644886">
        <w:t xml:space="preserve"> services by 201</w:t>
      </w:r>
      <w:r w:rsidR="00AB64A4">
        <w:t>4/1</w:t>
      </w:r>
      <w:r w:rsidR="00AB64A4" w:rsidRPr="00644886">
        <w:t xml:space="preserve">5. Benefits paid over the same period </w:t>
      </w:r>
      <w:r w:rsidR="00AB64A4">
        <w:t xml:space="preserve">(excluding inflation) increase by ~19% </w:t>
      </w:r>
      <w:r w:rsidR="00AB64A4" w:rsidRPr="00644886">
        <w:t>from $</w:t>
      </w:r>
      <w:r w:rsidR="00AB64A4">
        <w:t>5.820</w:t>
      </w:r>
      <w:r w:rsidR="000D5025">
        <w:t>M</w:t>
      </w:r>
      <w:r w:rsidR="00AB64A4" w:rsidRPr="00644886">
        <w:t xml:space="preserve"> in 2012</w:t>
      </w:r>
      <w:r w:rsidR="00AB64A4">
        <w:t>/12</w:t>
      </w:r>
      <w:r w:rsidR="00AB64A4" w:rsidRPr="00644886">
        <w:t xml:space="preserve"> to $</w:t>
      </w:r>
      <w:r w:rsidR="00AB64A4">
        <w:t>6.908</w:t>
      </w:r>
      <w:r w:rsidR="000D5025">
        <w:t>M</w:t>
      </w:r>
      <w:r w:rsidR="00AB64A4" w:rsidRPr="00644886">
        <w:t xml:space="preserve"> in 2015.</w:t>
      </w:r>
    </w:p>
    <w:p w14:paraId="34F4E7E4" w14:textId="675482E2" w:rsidR="003F34EC" w:rsidRDefault="00AB64A4" w:rsidP="00AB64A4">
      <w:pPr>
        <w:pStyle w:val="AspexBodyStandard"/>
      </w:pPr>
      <w:r>
        <w:fldChar w:fldCharType="begin"/>
      </w:r>
      <w:r>
        <w:instrText xml:space="preserve"> REF _Ref373826898 \h </w:instrText>
      </w:r>
      <w:r>
        <w:fldChar w:fldCharType="separate"/>
      </w:r>
      <w:r w:rsidR="009C72FC" w:rsidRPr="00E64279">
        <w:t xml:space="preserve">Table </w:t>
      </w:r>
      <w:r w:rsidR="009C72FC">
        <w:rPr>
          <w:noProof/>
        </w:rPr>
        <w:t>5</w:t>
      </w:r>
      <w:r w:rsidR="009C72FC" w:rsidRPr="00E64279">
        <w:noBreakHyphen/>
      </w:r>
      <w:r w:rsidR="009C72FC">
        <w:rPr>
          <w:noProof/>
        </w:rPr>
        <w:t>6</w:t>
      </w:r>
      <w:r>
        <w:fldChar w:fldCharType="end"/>
      </w:r>
      <w:r>
        <w:t xml:space="preserve"> shows a summary of assessment and treatment benefits paid by MBS item number under current billing patterns with projections to 2014/15.</w:t>
      </w:r>
    </w:p>
    <w:p w14:paraId="3270EF25" w14:textId="77777777" w:rsidR="003F34EC" w:rsidRDefault="003F34EC" w:rsidP="003F34EC">
      <w:pPr>
        <w:pStyle w:val="AspexBodyStandard"/>
      </w:pPr>
      <w:r>
        <w:br w:type="page"/>
      </w:r>
    </w:p>
    <w:p w14:paraId="319325B3" w14:textId="6D226C50" w:rsidR="00AB64A4" w:rsidRDefault="00AB64A4" w:rsidP="00AB64A4">
      <w:pPr>
        <w:pStyle w:val="Caption"/>
      </w:pPr>
      <w:bookmarkStart w:id="230" w:name="_Ref373826898"/>
      <w:bookmarkStart w:id="231" w:name="_Toc382315624"/>
      <w:r w:rsidRPr="00E64279">
        <w:lastRenderedPageBreak/>
        <w:t xml:space="preserve">Table </w:t>
      </w:r>
      <w:r w:rsidR="00E63093" w:rsidRPr="00DB698D">
        <w:fldChar w:fldCharType="begin"/>
      </w:r>
      <w:r w:rsidR="00E63093" w:rsidRPr="00E64279">
        <w:instrText xml:space="preserve"> STYLEREF 1 \s </w:instrText>
      </w:r>
      <w:r w:rsidR="00E63093" w:rsidRPr="00DB698D">
        <w:fldChar w:fldCharType="separate"/>
      </w:r>
      <w:r w:rsidR="009C72FC">
        <w:rPr>
          <w:noProof/>
        </w:rPr>
        <w:t>5</w:t>
      </w:r>
      <w:r w:rsidR="00E63093" w:rsidRPr="00DB698D">
        <w:rPr>
          <w:noProof/>
        </w:rPr>
        <w:fldChar w:fldCharType="end"/>
      </w:r>
      <w:r w:rsidR="006310FD" w:rsidRPr="00E64279">
        <w:noBreakHyphen/>
      </w:r>
      <w:r w:rsidR="00E63093" w:rsidRPr="00DB698D">
        <w:fldChar w:fldCharType="begin"/>
      </w:r>
      <w:r w:rsidR="00E63093" w:rsidRPr="00E64279">
        <w:instrText xml:space="preserve"> SEQ Table \* ARABIC \s 1 </w:instrText>
      </w:r>
      <w:r w:rsidR="00E63093" w:rsidRPr="00DB698D">
        <w:fldChar w:fldCharType="separate"/>
      </w:r>
      <w:r w:rsidR="009C72FC">
        <w:rPr>
          <w:noProof/>
        </w:rPr>
        <w:t>6</w:t>
      </w:r>
      <w:r w:rsidR="00E63093" w:rsidRPr="00DB698D">
        <w:rPr>
          <w:noProof/>
        </w:rPr>
        <w:fldChar w:fldCharType="end"/>
      </w:r>
      <w:bookmarkEnd w:id="230"/>
      <w:r w:rsidRPr="00E64279">
        <w:rPr>
          <w:noProof/>
        </w:rPr>
        <w:t>:</w:t>
      </w:r>
      <w:r w:rsidRPr="00E64279">
        <w:tab/>
        <w:t xml:space="preserve">Benefits paid by MBS item – 2009/10 </w:t>
      </w:r>
      <w:r w:rsidR="00016C6F" w:rsidRPr="00E64279">
        <w:t>to</w:t>
      </w:r>
      <w:r w:rsidRPr="00E64279">
        <w:t xml:space="preserve"> 2014/15</w:t>
      </w:r>
      <w:r w:rsidR="00AC6827" w:rsidRPr="00DB698D">
        <w:rPr>
          <w:rStyle w:val="FootnoteReference"/>
        </w:rPr>
        <w:footnoteReference w:id="128"/>
      </w:r>
      <w:bookmarkEnd w:id="231"/>
    </w:p>
    <w:p w14:paraId="751A13E6" w14:textId="77777777" w:rsidR="00AB64A4" w:rsidRPr="00A7501C" w:rsidRDefault="00AB64A4" w:rsidP="00AB64A4">
      <w:pPr>
        <w:pStyle w:val="AspexBodyStandard"/>
      </w:pPr>
      <w:r w:rsidRPr="004874CE">
        <w:rPr>
          <w:noProof/>
          <w:lang w:eastAsia="en-AU"/>
        </w:rPr>
        <w:drawing>
          <wp:inline distT="0" distB="0" distL="0" distR="0" wp14:anchorId="124B61F5" wp14:editId="75660930">
            <wp:extent cx="5723890" cy="2271176"/>
            <wp:effectExtent l="0" t="0" r="0" b="0"/>
            <wp:docPr id="58" name="Picture 58" descr="Benefits paid by MBS item – 2009/10 – 2014/15 as discussed Section 5.4.1" title="Table 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890" cy="2271176"/>
                    </a:xfrm>
                    <a:prstGeom prst="rect">
                      <a:avLst/>
                    </a:prstGeom>
                    <a:noFill/>
                    <a:ln>
                      <a:noFill/>
                    </a:ln>
                  </pic:spPr>
                </pic:pic>
              </a:graphicData>
            </a:graphic>
          </wp:inline>
        </w:drawing>
      </w:r>
    </w:p>
    <w:p w14:paraId="047A5086" w14:textId="3606D67C" w:rsidR="00AB64A4" w:rsidRDefault="00AB64A4" w:rsidP="00AB64A4">
      <w:pPr>
        <w:pStyle w:val="AspexBodyStandard"/>
      </w:pPr>
      <w:r>
        <w:t xml:space="preserve">The data presented in </w:t>
      </w:r>
      <w:r>
        <w:fldChar w:fldCharType="begin"/>
      </w:r>
      <w:r>
        <w:instrText xml:space="preserve"> REF _Ref373826898 \h </w:instrText>
      </w:r>
      <w:r>
        <w:fldChar w:fldCharType="separate"/>
      </w:r>
      <w:r w:rsidR="009C72FC" w:rsidRPr="00E64279">
        <w:t xml:space="preserve">Table </w:t>
      </w:r>
      <w:r w:rsidR="009C72FC">
        <w:rPr>
          <w:noProof/>
        </w:rPr>
        <w:t>5</w:t>
      </w:r>
      <w:r w:rsidR="009C72FC" w:rsidRPr="00E64279">
        <w:noBreakHyphen/>
      </w:r>
      <w:r w:rsidR="009C72FC">
        <w:rPr>
          <w:noProof/>
        </w:rPr>
        <w:t>6</w:t>
      </w:r>
      <w:r>
        <w:fldChar w:fldCharType="end"/>
      </w:r>
      <w:r>
        <w:t xml:space="preserve"> </w:t>
      </w:r>
      <w:r w:rsidRPr="003B343E">
        <w:t xml:space="preserve">will be used as </w:t>
      </w:r>
      <w:r>
        <w:t xml:space="preserve">the </w:t>
      </w:r>
      <w:r w:rsidRPr="003B343E">
        <w:t xml:space="preserve">basis for comparison modelling of alternative billing scenarios </w:t>
      </w:r>
      <w:r w:rsidRPr="00A307D4">
        <w:t>described in Chapter 6 and presented in Chapter 7.</w:t>
      </w:r>
    </w:p>
    <w:p w14:paraId="636FE2CB" w14:textId="27CDA6C6" w:rsidR="003F34EC" w:rsidRDefault="003F34EC" w:rsidP="003F34EC">
      <w:pPr>
        <w:spacing w:before="240" w:after="120" w:line="240" w:lineRule="auto"/>
        <w:jc w:val="both"/>
      </w:pPr>
      <w:r>
        <w:fldChar w:fldCharType="begin"/>
      </w:r>
      <w:r>
        <w:instrText xml:space="preserve"> REF _Ref370908622 \h </w:instrText>
      </w:r>
      <w:r>
        <w:fldChar w:fldCharType="separate"/>
      </w:r>
      <w:r w:rsidR="009C72FC">
        <w:t xml:space="preserve">Figure </w:t>
      </w:r>
      <w:r w:rsidR="009C72FC">
        <w:rPr>
          <w:noProof/>
        </w:rPr>
        <w:t>5</w:t>
      </w:r>
      <w:r w:rsidR="009C72FC">
        <w:noBreakHyphen/>
      </w:r>
      <w:r w:rsidR="009C72FC">
        <w:rPr>
          <w:noProof/>
        </w:rPr>
        <w:t>4</w:t>
      </w:r>
      <w:r>
        <w:fldChar w:fldCharType="end"/>
      </w:r>
      <w:r>
        <w:t xml:space="preserve"> and </w:t>
      </w:r>
      <w:r w:rsidR="00A31FC7">
        <w:fldChar w:fldCharType="begin"/>
      </w:r>
      <w:r w:rsidR="00A31FC7">
        <w:instrText xml:space="preserve"> REF _Ref248969507 \h </w:instrText>
      </w:r>
      <w:r w:rsidR="00A31FC7">
        <w:fldChar w:fldCharType="separate"/>
      </w:r>
      <w:r w:rsidR="009C72FC">
        <w:t xml:space="preserve">Figure </w:t>
      </w:r>
      <w:r w:rsidR="009C72FC">
        <w:rPr>
          <w:noProof/>
        </w:rPr>
        <w:t>5</w:t>
      </w:r>
      <w:r w:rsidR="009C72FC">
        <w:noBreakHyphen/>
      </w:r>
      <w:r w:rsidR="009C72FC">
        <w:rPr>
          <w:noProof/>
        </w:rPr>
        <w:t>5</w:t>
      </w:r>
      <w:r w:rsidR="00A31FC7">
        <w:fldChar w:fldCharType="end"/>
      </w:r>
      <w:r w:rsidR="00A31FC7">
        <w:t xml:space="preserve"> </w:t>
      </w:r>
      <w:r>
        <w:t xml:space="preserve">show the average charge, benefit and out-of pocket amounts for assessment and treatment services respectively, under current operating conditions.  </w:t>
      </w:r>
    </w:p>
    <w:p w14:paraId="565C75D6" w14:textId="258AD4B6" w:rsidR="00AB64A4" w:rsidRDefault="00AB64A4" w:rsidP="00AB64A4">
      <w:pPr>
        <w:pStyle w:val="Caption"/>
        <w:rPr>
          <w:noProof/>
        </w:rPr>
      </w:pPr>
      <w:bookmarkStart w:id="232" w:name="_Ref370908622"/>
      <w:bookmarkStart w:id="233" w:name="_Toc382313760"/>
      <w:r>
        <w:t xml:space="preserve">Figure </w:t>
      </w:r>
      <w:fldSimple w:instr=" STYLEREF 1 \s ">
        <w:r w:rsidR="009C72FC">
          <w:rPr>
            <w:noProof/>
          </w:rPr>
          <w:t>5</w:t>
        </w:r>
      </w:fldSimple>
      <w:r w:rsidR="00A31FC7">
        <w:noBreakHyphen/>
      </w:r>
      <w:fldSimple w:instr=" SEQ Figure \* ARABIC \s 1 ">
        <w:r w:rsidR="009C72FC">
          <w:rPr>
            <w:noProof/>
          </w:rPr>
          <w:t>4</w:t>
        </w:r>
      </w:fldSimple>
      <w:bookmarkEnd w:id="232"/>
      <w:r>
        <w:rPr>
          <w:noProof/>
        </w:rPr>
        <w:t>:</w:t>
      </w:r>
      <w:r>
        <w:tab/>
        <w:t>Assessment services</w:t>
      </w:r>
      <w:r>
        <w:rPr>
          <w:noProof/>
        </w:rPr>
        <w:t xml:space="preserve"> – </w:t>
      </w:r>
      <w:r w:rsidR="00016C6F">
        <w:rPr>
          <w:noProof/>
        </w:rPr>
        <w:t>a</w:t>
      </w:r>
      <w:r>
        <w:rPr>
          <w:noProof/>
        </w:rPr>
        <w:t>verage $</w:t>
      </w:r>
      <w:r w:rsidR="00016C6F">
        <w:rPr>
          <w:noProof/>
        </w:rPr>
        <w:t xml:space="preserve"> per </w:t>
      </w:r>
      <w:r>
        <w:rPr>
          <w:noProof/>
        </w:rPr>
        <w:t>service</w:t>
      </w:r>
      <w:r w:rsidR="00016C6F">
        <w:rPr>
          <w:noProof/>
        </w:rPr>
        <w:t xml:space="preserve"> by financial year</w:t>
      </w:r>
      <w:bookmarkEnd w:id="233"/>
    </w:p>
    <w:p w14:paraId="342188C1" w14:textId="4F4CDD82" w:rsidR="00AB64A4" w:rsidRDefault="00997D88" w:rsidP="00AB64A4">
      <w:pPr>
        <w:spacing w:before="240" w:after="120" w:line="240" w:lineRule="auto"/>
        <w:jc w:val="both"/>
      </w:pPr>
      <w:bookmarkStart w:id="234" w:name="_Ref370908641"/>
      <w:r>
        <w:rPr>
          <w:noProof/>
          <w:lang w:eastAsia="en-AU"/>
        </w:rPr>
        <w:drawing>
          <wp:inline distT="0" distB="0" distL="0" distR="0" wp14:anchorId="66BF7504" wp14:editId="55B063E1">
            <wp:extent cx="5723890" cy="2681264"/>
            <wp:effectExtent l="0" t="0" r="0" b="5080"/>
            <wp:docPr id="21" name="Picture 2" descr="Assessment services – average $ per service by financial year as discussed in Section 5.4.1" title="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69B510EF" w14:textId="47C622B7" w:rsidR="0017710F" w:rsidRDefault="00AB64A4" w:rsidP="00C85633">
      <w:pPr>
        <w:pStyle w:val="AspexBodyStandard"/>
      </w:pPr>
      <w:r w:rsidRPr="00222E82">
        <w:t>The averages for assessment type services in 201</w:t>
      </w:r>
      <w:r>
        <w:t>3</w:t>
      </w:r>
      <w:r w:rsidRPr="00222E82">
        <w:t xml:space="preserve"> were a charge of $1</w:t>
      </w:r>
      <w:r>
        <w:t>77.90</w:t>
      </w:r>
      <w:r w:rsidRPr="00222E82">
        <w:t>, benefit $1</w:t>
      </w:r>
      <w:r>
        <w:t>36.72</w:t>
      </w:r>
      <w:r w:rsidRPr="00222E82">
        <w:t xml:space="preserve"> and out-of-pocket $</w:t>
      </w:r>
      <w:r>
        <w:t>41.19</w:t>
      </w:r>
      <w:bookmarkStart w:id="235" w:name="_Ref247725802"/>
      <w:r w:rsidR="00080964">
        <w:t xml:space="preserve"> </w:t>
      </w:r>
    </w:p>
    <w:p w14:paraId="172EA39F" w14:textId="77777777" w:rsidR="0017710F" w:rsidRDefault="0017710F" w:rsidP="0017710F">
      <w:pPr>
        <w:pStyle w:val="AspexBodyStandard"/>
      </w:pPr>
      <w:r>
        <w:br w:type="page"/>
      </w:r>
    </w:p>
    <w:p w14:paraId="52798CE0" w14:textId="08C02DDB" w:rsidR="00A31FC7" w:rsidRDefault="00A31FC7" w:rsidP="00A31FC7">
      <w:pPr>
        <w:pStyle w:val="Caption"/>
      </w:pPr>
      <w:bookmarkStart w:id="236" w:name="_Ref248969507"/>
      <w:bookmarkStart w:id="237" w:name="_Toc382313761"/>
      <w:r>
        <w:lastRenderedPageBreak/>
        <w:t xml:space="preserve">Figure </w:t>
      </w:r>
      <w:fldSimple w:instr=" STYLEREF 1 \s ">
        <w:r w:rsidR="009C72FC">
          <w:rPr>
            <w:noProof/>
          </w:rPr>
          <w:t>5</w:t>
        </w:r>
      </w:fldSimple>
      <w:r>
        <w:noBreakHyphen/>
      </w:r>
      <w:fldSimple w:instr=" SEQ Figure \* ARABIC \s 1 ">
        <w:r w:rsidR="009C72FC">
          <w:rPr>
            <w:noProof/>
          </w:rPr>
          <w:t>5</w:t>
        </w:r>
      </w:fldSimple>
      <w:bookmarkEnd w:id="236"/>
      <w:r>
        <w:t>: Treatment services - average $ per service by financial year</w:t>
      </w:r>
      <w:bookmarkEnd w:id="237"/>
    </w:p>
    <w:bookmarkEnd w:id="234"/>
    <w:bookmarkEnd w:id="235"/>
    <w:p w14:paraId="33AA3A16" w14:textId="03105B04" w:rsidR="00AB64A4" w:rsidRDefault="00997D88" w:rsidP="00AB64A4">
      <w:pPr>
        <w:pStyle w:val="AspexBodyStandard"/>
      </w:pPr>
      <w:r>
        <w:rPr>
          <w:noProof/>
          <w:lang w:eastAsia="en-AU"/>
        </w:rPr>
        <w:drawing>
          <wp:inline distT="0" distB="0" distL="0" distR="0" wp14:anchorId="2BEC2DE0" wp14:editId="3ECB46C5">
            <wp:extent cx="5723890" cy="2681264"/>
            <wp:effectExtent l="0" t="0" r="0" b="5080"/>
            <wp:docPr id="17" name="Picture 1" descr=" Treatment services - average $ per service by financial year as discussed in Section 5.4.1"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24832BC5" w14:textId="77777777" w:rsidR="00AB64A4" w:rsidRDefault="00AB64A4" w:rsidP="00AB64A4">
      <w:pPr>
        <w:spacing w:before="240" w:after="120" w:line="240" w:lineRule="auto"/>
        <w:jc w:val="both"/>
      </w:pPr>
      <w:r w:rsidRPr="002B599B">
        <w:t>In 201</w:t>
      </w:r>
      <w:r>
        <w:t>3</w:t>
      </w:r>
      <w:r w:rsidRPr="002B599B">
        <w:t>, the average charge for treatment type services was $</w:t>
      </w:r>
      <w:r w:rsidR="004E58AF">
        <w:t>87.72</w:t>
      </w:r>
      <w:r w:rsidRPr="002B599B">
        <w:t>, the benefit was $</w:t>
      </w:r>
      <w:r>
        <w:t>60.50</w:t>
      </w:r>
      <w:r w:rsidRPr="002B599B">
        <w:t xml:space="preserve"> and the out-of-pocket amount was $</w:t>
      </w:r>
      <w:r>
        <w:t>27.22.</w:t>
      </w:r>
    </w:p>
    <w:p w14:paraId="57B60BB7" w14:textId="1A39157A" w:rsidR="00290567" w:rsidRDefault="005A1398" w:rsidP="00290567">
      <w:pPr>
        <w:pStyle w:val="Heading1"/>
      </w:pPr>
      <w:bookmarkStart w:id="238" w:name="_Toc224375151"/>
      <w:bookmarkStart w:id="239" w:name="_Toc373163162"/>
      <w:bookmarkStart w:id="240" w:name="_Toc382313850"/>
      <w:bookmarkStart w:id="241" w:name="_Toc370899177"/>
      <w:bookmarkStart w:id="242" w:name="_Toc373163155"/>
      <w:r>
        <w:lastRenderedPageBreak/>
        <w:t>Options for future private sector r</w:t>
      </w:r>
      <w:r w:rsidR="00290567">
        <w:t>emuneration</w:t>
      </w:r>
      <w:bookmarkEnd w:id="238"/>
      <w:bookmarkEnd w:id="239"/>
      <w:bookmarkEnd w:id="240"/>
      <w:r w:rsidR="00290567">
        <w:t xml:space="preserve"> </w:t>
      </w:r>
    </w:p>
    <w:p w14:paraId="7DEC4A1D" w14:textId="3F5F2E63" w:rsidR="0008030F" w:rsidRDefault="0008030F" w:rsidP="0008030F">
      <w:pPr>
        <w:pStyle w:val="AspexBodyStandard"/>
      </w:pPr>
      <w:r w:rsidRPr="007051AD">
        <w:t xml:space="preserve">Two dedicated MBS item numbers have been proposed in the Decision Analytic Protocol by MSAC, following earlier consultations with </w:t>
      </w:r>
      <w:r w:rsidR="002A2727">
        <w:t>palliative medicine</w:t>
      </w:r>
      <w:r w:rsidRPr="007051AD">
        <w:t xml:space="preserve"> specialists.  Two additional MBS items have been more recently suggested to align scope of practice of </w:t>
      </w:r>
      <w:r w:rsidR="002A2727">
        <w:t>palliative medicine</w:t>
      </w:r>
      <w:r w:rsidRPr="007051AD">
        <w:t xml:space="preserve"> specialists in both public and private sectors.</w:t>
      </w:r>
      <w:r w:rsidR="007051AD" w:rsidRPr="007051AD">
        <w:t xml:space="preserve"> </w:t>
      </w:r>
      <w:r w:rsidR="00FE6CB4" w:rsidRPr="007051AD">
        <w:t>These</w:t>
      </w:r>
      <w:r w:rsidR="007051AD" w:rsidRPr="007051AD">
        <w:t xml:space="preserve"> and other potential items are presented in the following sections of th</w:t>
      </w:r>
      <w:r w:rsidR="00025CA5">
        <w:t>is</w:t>
      </w:r>
      <w:r w:rsidR="007051AD" w:rsidRPr="007051AD">
        <w:t xml:space="preserve"> </w:t>
      </w:r>
      <w:r w:rsidR="00025CA5">
        <w:t>C</w:t>
      </w:r>
      <w:r w:rsidR="007051AD" w:rsidRPr="007051AD">
        <w:t>hapter for</w:t>
      </w:r>
      <w:r w:rsidR="007051AD">
        <w:t xml:space="preserve"> consideration by MSAC.</w:t>
      </w:r>
    </w:p>
    <w:p w14:paraId="6CE4242F" w14:textId="77777777" w:rsidR="004252B9" w:rsidRDefault="004252B9" w:rsidP="004252B9">
      <w:pPr>
        <w:pStyle w:val="Heading2"/>
      </w:pPr>
      <w:bookmarkStart w:id="243" w:name="_Toc382313851"/>
      <w:r>
        <w:t>Principles underlying item design</w:t>
      </w:r>
      <w:bookmarkEnd w:id="243"/>
    </w:p>
    <w:p w14:paraId="074CFD6A" w14:textId="77777777" w:rsidR="0008030F" w:rsidRDefault="004252B9" w:rsidP="0008030F">
      <w:pPr>
        <w:pStyle w:val="AspexBodyStandard"/>
      </w:pPr>
      <w:r>
        <w:t>I</w:t>
      </w:r>
      <w:r w:rsidR="0008030F">
        <w:t xml:space="preserve">tem numbers </w:t>
      </w:r>
      <w:r>
        <w:t xml:space="preserve">proposed for consideration by MSAC </w:t>
      </w:r>
      <w:r w:rsidR="0008030F">
        <w:t xml:space="preserve">have been </w:t>
      </w:r>
      <w:r>
        <w:t>framed</w:t>
      </w:r>
      <w:r w:rsidR="0008030F">
        <w:t xml:space="preserve"> in accordance with several key principles, including (but not necessarily limited to):</w:t>
      </w:r>
    </w:p>
    <w:p w14:paraId="2FA272FF" w14:textId="77777777" w:rsidR="004252B9" w:rsidRDefault="004252B9" w:rsidP="0008030F">
      <w:pPr>
        <w:pStyle w:val="AspexBullet1"/>
      </w:pPr>
      <w:r>
        <w:t>Consistency: Of any new items with other items currently listed (or proposed for listing) on the MBS.</w:t>
      </w:r>
    </w:p>
    <w:p w14:paraId="06226FEA" w14:textId="3E6253D8" w:rsidR="0008030F" w:rsidRDefault="0008030F" w:rsidP="0008030F">
      <w:pPr>
        <w:pStyle w:val="AspexBullet1"/>
      </w:pPr>
      <w:r>
        <w:t xml:space="preserve">Professional recognition: Of the specialty of </w:t>
      </w:r>
      <w:r w:rsidR="002A2727">
        <w:t>palliative medicine</w:t>
      </w:r>
      <w:r w:rsidRPr="000E2752">
        <w:t xml:space="preserve"> </w:t>
      </w:r>
      <w:r>
        <w:t xml:space="preserve">alongside other specialties acknowledged by the </w:t>
      </w:r>
      <w:r w:rsidR="00721588">
        <w:t>AMC</w:t>
      </w:r>
      <w:r>
        <w:t>.</w:t>
      </w:r>
    </w:p>
    <w:p w14:paraId="722C1E39" w14:textId="2AF4286C" w:rsidR="0008030F" w:rsidRDefault="0008030F" w:rsidP="0008030F">
      <w:pPr>
        <w:pStyle w:val="AspexBullet1"/>
      </w:pPr>
      <w:r>
        <w:t xml:space="preserve">Equity of reimbursement: Of </w:t>
      </w:r>
      <w:r w:rsidR="002A2727">
        <w:t>palliative medicine</w:t>
      </w:r>
      <w:r w:rsidRPr="000E2752">
        <w:t xml:space="preserve"> </w:t>
      </w:r>
      <w:r>
        <w:t xml:space="preserve">specialists </w:t>
      </w:r>
      <w:r w:rsidR="00025CA5">
        <w:t>in</w:t>
      </w:r>
      <w:r>
        <w:t xml:space="preserve"> an equivalent manner to other accredited specialists claiming on the MBS.</w:t>
      </w:r>
    </w:p>
    <w:p w14:paraId="21907615" w14:textId="77777777" w:rsidR="0008030F" w:rsidRDefault="0008030F" w:rsidP="0008030F">
      <w:pPr>
        <w:pStyle w:val="AspexBullet1"/>
      </w:pPr>
      <w:r>
        <w:t>Safe and effective care: To enable patients to receive safe and effective interventions.</w:t>
      </w:r>
    </w:p>
    <w:p w14:paraId="3E0EC365" w14:textId="77777777" w:rsidR="0008030F" w:rsidRDefault="0008030F" w:rsidP="0008030F">
      <w:pPr>
        <w:pStyle w:val="AspexBullet1"/>
      </w:pPr>
      <w:r>
        <w:t>Responsiveness: To enable the best interests of patients to be addressed in a timely and comprehensive manner by the most appropriate specialist, rather than distributing service provision across multiple alternative service providers in order to meet patient need.</w:t>
      </w:r>
    </w:p>
    <w:p w14:paraId="576AC345" w14:textId="77777777" w:rsidR="0008030F" w:rsidRDefault="0008030F" w:rsidP="0008030F">
      <w:pPr>
        <w:pStyle w:val="AspexBullet1"/>
      </w:pPr>
      <w:r>
        <w:t>Efficiency: To provide the most appropriate suite of services in order to achieve maximum outcomes within a minimum number of occasions of service for each patient.</w:t>
      </w:r>
    </w:p>
    <w:p w14:paraId="35D21625" w14:textId="77777777" w:rsidR="0008030F" w:rsidRDefault="0008030F" w:rsidP="0008030F">
      <w:pPr>
        <w:pStyle w:val="AspexBullet1"/>
      </w:pPr>
      <w:r>
        <w:t>Access to services: By promoting workforce development of the specialty area to increase specialist supply in both the public and private sectors.</w:t>
      </w:r>
    </w:p>
    <w:p w14:paraId="57A84861" w14:textId="77777777" w:rsidR="0008030F" w:rsidRDefault="0008030F" w:rsidP="0008030F">
      <w:pPr>
        <w:pStyle w:val="AspexBullet1"/>
      </w:pPr>
      <w:r>
        <w:t>Care co-ordination: To streamline access to the most appropriate range of medical, psychological, social, and spiritual and other services required to address the needs of patients with palliative care related concerns.</w:t>
      </w:r>
    </w:p>
    <w:p w14:paraId="6DEDA141" w14:textId="77777777" w:rsidR="0008030F" w:rsidRDefault="0008030F" w:rsidP="0008030F">
      <w:pPr>
        <w:pStyle w:val="AspexBullet1"/>
      </w:pPr>
      <w:r>
        <w:t>Minimal cost to consumers: To minimise out-of-pocket costs to consumers associated with multiple specialty referrals.</w:t>
      </w:r>
    </w:p>
    <w:p w14:paraId="505029A8" w14:textId="23EC09B1" w:rsidR="0008030F" w:rsidRDefault="0008030F" w:rsidP="0008030F">
      <w:pPr>
        <w:pStyle w:val="AspexBullet1"/>
      </w:pPr>
      <w:r>
        <w:t>Ethical behaviour: To minimise over</w:t>
      </w:r>
      <w:r w:rsidR="009027B4">
        <w:t>-</w:t>
      </w:r>
      <w:r>
        <w:t>servicing to patients whilst maximising potential benefits of clinical interventions (however applied in accordance with best available evidence).</w:t>
      </w:r>
    </w:p>
    <w:p w14:paraId="2E5AF35D" w14:textId="77777777" w:rsidR="004252B9" w:rsidRDefault="004252B9" w:rsidP="004252B9">
      <w:pPr>
        <w:pStyle w:val="Heading2"/>
      </w:pPr>
      <w:bookmarkStart w:id="244" w:name="_Toc382313852"/>
      <w:r>
        <w:t>Rationale for new or modified item numbers</w:t>
      </w:r>
      <w:bookmarkEnd w:id="244"/>
    </w:p>
    <w:p w14:paraId="72370EC0" w14:textId="7B3AB4F6" w:rsidR="00D03BCA" w:rsidRDefault="00D03BCA" w:rsidP="0008030F">
      <w:pPr>
        <w:pStyle w:val="AspexBodyStandard"/>
      </w:pPr>
      <w:r>
        <w:t>Based upon the evidence gathere</w:t>
      </w:r>
      <w:r w:rsidR="00FE6CB4">
        <w:t>d throughout the current review, s</w:t>
      </w:r>
      <w:r>
        <w:t xml:space="preserve">everal key factors underlie the development of new item numbers for </w:t>
      </w:r>
      <w:r w:rsidR="002A2727">
        <w:t>palliative medicine</w:t>
      </w:r>
      <w:r>
        <w:t xml:space="preserve"> specialists:</w:t>
      </w:r>
    </w:p>
    <w:p w14:paraId="453DBF08" w14:textId="163D37C2" w:rsidR="00D03BCA" w:rsidRDefault="00D03BCA" w:rsidP="00D03BCA">
      <w:pPr>
        <w:pStyle w:val="AspexBullet1"/>
      </w:pPr>
      <w:r>
        <w:t xml:space="preserve">The combination of skills demonstrated by palliative care physicians are uniquely recognised as a specialist skill by the </w:t>
      </w:r>
      <w:r w:rsidR="00721588">
        <w:t>AMC</w:t>
      </w:r>
      <w:r w:rsidR="00366C11">
        <w:t xml:space="preserve"> and are supported by </w:t>
      </w:r>
      <w:r w:rsidR="0081173A">
        <w:t>GPs</w:t>
      </w:r>
      <w:r w:rsidR="00366C11">
        <w:t xml:space="preserve"> </w:t>
      </w:r>
      <w:r w:rsidR="00B85F19">
        <w:t>together with</w:t>
      </w:r>
      <w:r w:rsidR="00366C11">
        <w:t xml:space="preserve"> a range of other medical specialists</w:t>
      </w:r>
      <w:r>
        <w:t>;</w:t>
      </w:r>
    </w:p>
    <w:p w14:paraId="6CD6634E" w14:textId="658FA7EA" w:rsidR="00B85F19" w:rsidRDefault="00D03BCA" w:rsidP="00B85F19">
      <w:pPr>
        <w:pStyle w:val="AspexBullet1"/>
      </w:pPr>
      <w:r>
        <w:lastRenderedPageBreak/>
        <w:t xml:space="preserve">Patients requiring palliative care services currently experience a median of </w:t>
      </w:r>
      <w:r w:rsidR="003F568E">
        <w:t>four</w:t>
      </w:r>
      <w:r>
        <w:t xml:space="preserve"> hospital admissions during the final year of their lives</w:t>
      </w:r>
      <w:r w:rsidR="00B85F19">
        <w:t xml:space="preserve"> (but may be significantly more for some patients: average </w:t>
      </w:r>
      <w:r w:rsidR="003F568E">
        <w:t>seven</w:t>
      </w:r>
      <w:r w:rsidR="00B85F19">
        <w:t xml:space="preserve"> admissions). Hospital a</w:t>
      </w:r>
      <w:r w:rsidR="00310041">
        <w:t>dmissions for the majority of these patients are potentially preventable</w:t>
      </w:r>
      <w:r>
        <w:t>;</w:t>
      </w:r>
    </w:p>
    <w:p w14:paraId="77AC9986" w14:textId="77777777" w:rsidR="00D03BCA" w:rsidRDefault="00D03BCA" w:rsidP="00D03BCA">
      <w:pPr>
        <w:pStyle w:val="AspexBullet1"/>
      </w:pPr>
      <w:r>
        <w:t>Palliative care patients transition through four major stages of need and this translates into four stages of service delivery, whereby:</w:t>
      </w:r>
    </w:p>
    <w:p w14:paraId="338AA2FD" w14:textId="0E0BD991" w:rsidR="00D03BCA" w:rsidRDefault="00D03BCA" w:rsidP="007051AD">
      <w:pPr>
        <w:pStyle w:val="AspexBullet2"/>
      </w:pPr>
      <w:r>
        <w:t>A patient may be diagnosed as palliative but be relatively ‘stable’</w:t>
      </w:r>
      <w:r w:rsidR="009027B4">
        <w:t>,</w:t>
      </w:r>
      <w:r>
        <w:t xml:space="preserve"> necessitating an initial assessment that may or may not be ‘routine’ (depending upon patient illness</w:t>
      </w:r>
      <w:r w:rsidR="00366C11">
        <w:t>, adjustment and family issues)</w:t>
      </w:r>
      <w:r>
        <w:t>;</w:t>
      </w:r>
    </w:p>
    <w:p w14:paraId="689BA0BF" w14:textId="77777777" w:rsidR="00D03BCA" w:rsidRDefault="00D03BCA" w:rsidP="007051AD">
      <w:pPr>
        <w:pStyle w:val="AspexBullet2"/>
      </w:pPr>
      <w:r>
        <w:t>A patient may become clinically ‘unstable’ requiring at minimum a review, but at a maximum a re-assessment of their clinical condition and treatment plan to adjust for any new illnesses</w:t>
      </w:r>
      <w:r w:rsidR="00366C11">
        <w:t xml:space="preserve"> (e.g. spinal cord compression secondary to other neoplastic disease)</w:t>
      </w:r>
      <w:r>
        <w:t>, patient/family responses and any changes to previously established care arrangements;</w:t>
      </w:r>
    </w:p>
    <w:p w14:paraId="35729B40" w14:textId="77A640FA" w:rsidR="00D03BCA" w:rsidRDefault="00D03BCA" w:rsidP="007051AD">
      <w:pPr>
        <w:pStyle w:val="AspexBullet2"/>
      </w:pPr>
      <w:r>
        <w:t>A patient may then transition to the point of ‘deterioration’, which again may require a complete re-assessment of their needs</w:t>
      </w:r>
      <w:r w:rsidR="00B85F19">
        <w:t xml:space="preserve"> depending upon any variations from the predicted trajectory </w:t>
      </w:r>
      <w:r w:rsidR="00310041">
        <w:t>of their disease progression</w:t>
      </w:r>
      <w:r>
        <w:t xml:space="preserve">; </w:t>
      </w:r>
      <w:r w:rsidR="009027B4">
        <w:t xml:space="preserve">and </w:t>
      </w:r>
      <w:r>
        <w:t>finally</w:t>
      </w:r>
    </w:p>
    <w:p w14:paraId="08BAB441" w14:textId="77777777" w:rsidR="00D03BCA" w:rsidRDefault="00D03BCA" w:rsidP="007051AD">
      <w:pPr>
        <w:pStyle w:val="AspexBullet2"/>
      </w:pPr>
      <w:r>
        <w:t>A patient will enter the ‘terminal’ phase of their illness, typically requiring a review by a palliative medicine specialist.</w:t>
      </w:r>
    </w:p>
    <w:p w14:paraId="7DA1D875" w14:textId="77777777" w:rsidR="00366C11" w:rsidRDefault="00366C11" w:rsidP="00366C11">
      <w:pPr>
        <w:pStyle w:val="AspexBullet1"/>
      </w:pPr>
      <w:r>
        <w:t>Thus, following initial assessment (which may or may not be complex)</w:t>
      </w:r>
      <w:proofErr w:type="gramStart"/>
      <w:r>
        <w:t>,</w:t>
      </w:r>
      <w:proofErr w:type="gramEnd"/>
      <w:r>
        <w:t xml:space="preserve"> at least one re-assessment is required through the palliative care journey.  Specialists are currently not reimbursed to undertake more than one assessment.</w:t>
      </w:r>
    </w:p>
    <w:p w14:paraId="44F9FF35" w14:textId="5FE6C818" w:rsidR="00366C11" w:rsidRDefault="00366C11" w:rsidP="00366C11">
      <w:pPr>
        <w:pStyle w:val="AspexBullet1"/>
      </w:pPr>
      <w:r>
        <w:t xml:space="preserve">The majority of patient assessments, particularly in the community context, take upwards of one hour to complete. This is attributed to the time taken to gather an appropriate patient history and discuss treatment options with individuals and their </w:t>
      </w:r>
      <w:proofErr w:type="spellStart"/>
      <w:r>
        <w:t>carers</w:t>
      </w:r>
      <w:proofErr w:type="spellEnd"/>
      <w:r>
        <w:t xml:space="preserve">. By contrast, whilst longer duration assessments can also take place in a hospital/surgery environment (due to complex </w:t>
      </w:r>
      <w:r w:rsidR="00310041">
        <w:t xml:space="preserve">diagnostic, individual or family </w:t>
      </w:r>
      <w:r>
        <w:t xml:space="preserve">issues requiring complex management planning), there is typically better access to pre-collected patient information.  It is also noteworthy that </w:t>
      </w:r>
      <w:r w:rsidR="00310041">
        <w:t>specialists</w:t>
      </w:r>
      <w:r w:rsidR="009027B4">
        <w:t>’</w:t>
      </w:r>
      <w:r w:rsidR="00310041">
        <w:t xml:space="preserve"> estimates of the time to</w:t>
      </w:r>
      <w:r>
        <w:t xml:space="preserve"> conduct longer community assessments </w:t>
      </w:r>
      <w:r w:rsidR="00310041">
        <w:t>ha</w:t>
      </w:r>
      <w:r w:rsidR="009027B4">
        <w:t>ve</w:t>
      </w:r>
      <w:r>
        <w:t xml:space="preserve"> not </w:t>
      </w:r>
      <w:r w:rsidR="00310041">
        <w:t xml:space="preserve">appeared to </w:t>
      </w:r>
      <w:r>
        <w:t>factor travel time into consideration.</w:t>
      </w:r>
    </w:p>
    <w:p w14:paraId="45C07416" w14:textId="77777777" w:rsidR="00366C11" w:rsidRDefault="00366C11" w:rsidP="00366C11">
      <w:pPr>
        <w:pStyle w:val="AspexBullet1"/>
      </w:pPr>
      <w:r>
        <w:t xml:space="preserve">The effectiveness of palliative care interventions </w:t>
      </w:r>
      <w:r w:rsidR="00FE6CB4">
        <w:t>is</w:t>
      </w:r>
      <w:r>
        <w:t xml:space="preserve"> well recognised.  Moreover, the benefits of community palliative care are particularly noted in the clinical literature and by a range of medical, nursing and other health professionals.  Time taken to properly assess and manage patients in the community has a demonstrated ability to reduce their need for admissions to hospital (by around 87.5%).</w:t>
      </w:r>
    </w:p>
    <w:p w14:paraId="0332560C" w14:textId="77777777" w:rsidR="00B85F19" w:rsidRDefault="00B85F19" w:rsidP="00366C11">
      <w:pPr>
        <w:pStyle w:val="AspexBullet1"/>
      </w:pPr>
      <w:r>
        <w:t>The costs of community palliative care have been reported in the overseas literature and estimated here in Australia to be around half of the costs associated with inpatient palliative care, and between 80% (standard daily inpatient) to 95% (intensive unit) cheaper than other types of admitted hospital care.</w:t>
      </w:r>
    </w:p>
    <w:p w14:paraId="3D1BCCF9" w14:textId="77777777" w:rsidR="00366C11" w:rsidRDefault="00366C11" w:rsidP="00366C11">
      <w:pPr>
        <w:pStyle w:val="AspexBullet1"/>
      </w:pPr>
      <w:r>
        <w:t>Current funding arrangements do not align with the model of palliative care service development from a medical specialist perspective</w:t>
      </w:r>
      <w:r w:rsidR="00310041">
        <w:t>,</w:t>
      </w:r>
      <w:r>
        <w:t xml:space="preserve"> by not allowing reimbursement for actual time spent with patients and their families. </w:t>
      </w:r>
    </w:p>
    <w:p w14:paraId="6E93324A" w14:textId="77777777" w:rsidR="00366C11" w:rsidRDefault="00366C11" w:rsidP="0008030F">
      <w:pPr>
        <w:pStyle w:val="AspexBullet1"/>
      </w:pPr>
      <w:r>
        <w:t>Current funding arrangements through the MBS are more appropriate for palliative care specialists who have historically qualified (or have subsequently sought) a fellowship of the RACP.  This subgroup of physician/palliative care specialists have made increasing use of MBS item numbers for complex assessment and treatment planning in accordance with the actual time spent with patients.</w:t>
      </w:r>
    </w:p>
    <w:p w14:paraId="1FFD3CD1" w14:textId="5329B817" w:rsidR="0008030F" w:rsidRDefault="00366C11" w:rsidP="0008030F">
      <w:pPr>
        <w:pStyle w:val="AspexBodyStandard"/>
      </w:pPr>
      <w:r>
        <w:lastRenderedPageBreak/>
        <w:t>Thus, p</w:t>
      </w:r>
      <w:r w:rsidR="0008030F">
        <w:t xml:space="preserve">roposed </w:t>
      </w:r>
      <w:r w:rsidR="00AC6827">
        <w:t xml:space="preserve">alternatives </w:t>
      </w:r>
      <w:r w:rsidR="0008030F">
        <w:t xml:space="preserve">for future MBS billing arrangements are </w:t>
      </w:r>
      <w:r>
        <w:t xml:space="preserve">now </w:t>
      </w:r>
      <w:r w:rsidR="0008030F">
        <w:t>presented in the following sections.</w:t>
      </w:r>
      <w:r w:rsidR="00D03BCA">
        <w:t xml:space="preserve"> </w:t>
      </w:r>
    </w:p>
    <w:p w14:paraId="5112E22F" w14:textId="77777777" w:rsidR="0008030F" w:rsidRDefault="004252B9" w:rsidP="0008030F">
      <w:pPr>
        <w:pStyle w:val="Heading2"/>
        <w:tabs>
          <w:tab w:val="clear" w:pos="964"/>
        </w:tabs>
        <w:ind w:left="851" w:hanging="851"/>
      </w:pPr>
      <w:bookmarkStart w:id="245" w:name="_Toc224792896"/>
      <w:bookmarkStart w:id="246" w:name="_Toc382313853"/>
      <w:r>
        <w:t>MBS items for p</w:t>
      </w:r>
      <w:r w:rsidR="0008030F">
        <w:t>rofessional attendances</w:t>
      </w:r>
      <w:bookmarkEnd w:id="245"/>
      <w:bookmarkEnd w:id="246"/>
    </w:p>
    <w:p w14:paraId="5C7C111F" w14:textId="0720A46E" w:rsidR="0008030F" w:rsidRDefault="0008030F" w:rsidP="0008030F">
      <w:pPr>
        <w:pStyle w:val="AspexBodyStandard"/>
      </w:pPr>
      <w:r>
        <w:t xml:space="preserve">Two options for MBS items have been proposed to reimburse professional consultations undertaken by </w:t>
      </w:r>
      <w:r w:rsidR="002A2727">
        <w:t>palliative medicine</w:t>
      </w:r>
      <w:r w:rsidRPr="000E2752">
        <w:t xml:space="preserve"> </w:t>
      </w:r>
      <w:r w:rsidR="003115AE">
        <w:t>specialists, relating to:</w:t>
      </w:r>
    </w:p>
    <w:p w14:paraId="1EA9A941" w14:textId="77777777" w:rsidR="003115AE" w:rsidRDefault="003115AE" w:rsidP="003115AE">
      <w:pPr>
        <w:pStyle w:val="AspexBullet1"/>
      </w:pPr>
      <w:r>
        <w:t xml:space="preserve">Provision of access to two additional initial attendance items to allow for complex treatment and management planning. These items would be used in addition to the current initial attendance item 3005 or 3018 to allow for longer and more complex consultations occurring in: </w:t>
      </w:r>
    </w:p>
    <w:p w14:paraId="6DCEF807" w14:textId="77777777" w:rsidR="003115AE" w:rsidRDefault="003115AE" w:rsidP="007051AD">
      <w:pPr>
        <w:pStyle w:val="AspexBullet2"/>
      </w:pPr>
      <w:r>
        <w:t>Hospital or surgery consultations; and</w:t>
      </w:r>
    </w:p>
    <w:p w14:paraId="380E2772" w14:textId="77777777" w:rsidR="003115AE" w:rsidRDefault="003115AE" w:rsidP="007051AD">
      <w:pPr>
        <w:pStyle w:val="AspexBullet2"/>
      </w:pPr>
      <w:r>
        <w:t>Home, residential or other community care environments</w:t>
      </w:r>
      <w:r w:rsidR="00FE6CB4">
        <w:t>;</w:t>
      </w:r>
    </w:p>
    <w:p w14:paraId="120C007B" w14:textId="77777777" w:rsidR="003115AE" w:rsidRDefault="003115AE" w:rsidP="003115AE">
      <w:pPr>
        <w:pStyle w:val="AspexBullet1"/>
      </w:pPr>
      <w:r>
        <w:t>Re-structuring of all current items based upon a time-tiered approach (regardless of initial attendance, complex treatment and management planning, or subsequent attendance), taking place in:</w:t>
      </w:r>
    </w:p>
    <w:p w14:paraId="717B2DC5" w14:textId="77777777" w:rsidR="003115AE" w:rsidRDefault="003115AE" w:rsidP="007051AD">
      <w:pPr>
        <w:pStyle w:val="AspexBullet2"/>
      </w:pPr>
      <w:r>
        <w:t>All hospital or surgery consultations; and</w:t>
      </w:r>
    </w:p>
    <w:p w14:paraId="1D97DC86" w14:textId="77777777" w:rsidR="003115AE" w:rsidRDefault="003115AE" w:rsidP="007051AD">
      <w:pPr>
        <w:pStyle w:val="AspexBullet2"/>
      </w:pPr>
      <w:r>
        <w:t>All home, residential or other community care environments</w:t>
      </w:r>
      <w:r w:rsidR="00FE6CB4">
        <w:t>.</w:t>
      </w:r>
    </w:p>
    <w:p w14:paraId="65F3C131" w14:textId="77777777" w:rsidR="0008030F" w:rsidRPr="0017710F" w:rsidRDefault="0008030F" w:rsidP="0017710F">
      <w:pPr>
        <w:pStyle w:val="AspexBodyStandard"/>
        <w:spacing w:before="360"/>
        <w:rPr>
          <w:b/>
        </w:rPr>
      </w:pPr>
      <w:r w:rsidRPr="0017710F">
        <w:rPr>
          <w:b/>
        </w:rPr>
        <w:t>Physician equivalent items</w:t>
      </w:r>
    </w:p>
    <w:p w14:paraId="53475DB3" w14:textId="21CA99CA" w:rsidR="0008030F" w:rsidRPr="00736AFB" w:rsidRDefault="00310041" w:rsidP="0008030F">
      <w:pPr>
        <w:pStyle w:val="AspexBodyStandard"/>
      </w:pPr>
      <w:r>
        <w:t xml:space="preserve">It is proposed that an </w:t>
      </w:r>
      <w:r w:rsidR="00B85F19">
        <w:t xml:space="preserve">additional </w:t>
      </w:r>
      <w:r>
        <w:t>MBS item</w:t>
      </w:r>
      <w:r w:rsidR="00B85F19">
        <w:t>,</w:t>
      </w:r>
      <w:r w:rsidR="0008030F" w:rsidRPr="0011383D">
        <w:t xml:space="preserve"> </w:t>
      </w:r>
      <w:r w:rsidR="001B1401">
        <w:t>either another claim against the existing initial assessment item (MBS item 3005)</w:t>
      </w:r>
      <w:r w:rsidR="00413F31">
        <w:t>,</w:t>
      </w:r>
      <w:r w:rsidR="001B1401">
        <w:t xml:space="preserve"> or </w:t>
      </w:r>
      <w:r w:rsidR="00413F31">
        <w:t xml:space="preserve">a claim against an </w:t>
      </w:r>
      <w:r w:rsidR="00B85F19">
        <w:t xml:space="preserve">equivalent </w:t>
      </w:r>
      <w:r w:rsidR="00413F31">
        <w:t xml:space="preserve">item </w:t>
      </w:r>
      <w:r>
        <w:t xml:space="preserve">to </w:t>
      </w:r>
      <w:r w:rsidR="00B85F19">
        <w:t>that</w:t>
      </w:r>
      <w:r>
        <w:t xml:space="preserve"> available for</w:t>
      </w:r>
      <w:r w:rsidR="0008030F">
        <w:t xml:space="preserve"> consultant physicians </w:t>
      </w:r>
      <w:r>
        <w:t xml:space="preserve">to undertake </w:t>
      </w:r>
      <w:r w:rsidR="0008030F">
        <w:t>complex treatment and management planning</w:t>
      </w:r>
      <w:r w:rsidR="002F0B82">
        <w:t xml:space="preserve"> (MBS item 132)</w:t>
      </w:r>
      <w:r w:rsidR="00B85F19">
        <w:t>,</w:t>
      </w:r>
      <w:r>
        <w:t xml:space="preserve"> be </w:t>
      </w:r>
      <w:r w:rsidR="00413F31">
        <w:t>allowed for</w:t>
      </w:r>
      <w:r w:rsidR="002F0B82">
        <w:t xml:space="preserve"> palliative care specialists to undertake two formal assessments for a given patient in any given year</w:t>
      </w:r>
      <w:r w:rsidR="0008030F">
        <w:t xml:space="preserve"> (</w:t>
      </w:r>
      <w:r w:rsidR="00FE6CB4">
        <w:fldChar w:fldCharType="begin"/>
      </w:r>
      <w:r w:rsidR="00FE6CB4">
        <w:instrText xml:space="preserve"> REF _Ref374106781 \h </w:instrText>
      </w:r>
      <w:r w:rsidR="00FE6CB4">
        <w:fldChar w:fldCharType="separate"/>
      </w:r>
      <w:r w:rsidR="009C72FC" w:rsidRPr="001905EE">
        <w:t xml:space="preserve">Figure </w:t>
      </w:r>
      <w:r w:rsidR="009C72FC">
        <w:rPr>
          <w:noProof/>
        </w:rPr>
        <w:t>6</w:t>
      </w:r>
      <w:r w:rsidR="009C72FC">
        <w:noBreakHyphen/>
      </w:r>
      <w:r w:rsidR="009C72FC">
        <w:rPr>
          <w:noProof/>
        </w:rPr>
        <w:t>1</w:t>
      </w:r>
      <w:r w:rsidR="00FE6CB4">
        <w:fldChar w:fldCharType="end"/>
      </w:r>
      <w:r w:rsidR="0008030F">
        <w:t>).</w:t>
      </w:r>
    </w:p>
    <w:p w14:paraId="73E28141" w14:textId="12262238" w:rsidR="0008030F" w:rsidRDefault="0008030F" w:rsidP="0008030F">
      <w:pPr>
        <w:pStyle w:val="Caption"/>
      </w:pPr>
      <w:bookmarkStart w:id="247" w:name="_Ref224012512"/>
      <w:bookmarkStart w:id="248" w:name="_Ref374106781"/>
      <w:bookmarkStart w:id="249" w:name="_Toc350873423"/>
      <w:bookmarkStart w:id="250" w:name="_Toc382313762"/>
      <w:r w:rsidRPr="001905EE">
        <w:t xml:space="preserve">Figure </w:t>
      </w:r>
      <w:fldSimple w:instr=" STYLEREF 1 \s ">
        <w:r w:rsidR="009C72FC">
          <w:rPr>
            <w:noProof/>
          </w:rPr>
          <w:t>6</w:t>
        </w:r>
      </w:fldSimple>
      <w:r w:rsidR="00A31FC7">
        <w:noBreakHyphen/>
      </w:r>
      <w:fldSimple w:instr=" SEQ Figure \* ARABIC \s 1 ">
        <w:r w:rsidR="009C72FC">
          <w:rPr>
            <w:noProof/>
          </w:rPr>
          <w:t>1</w:t>
        </w:r>
      </w:fldSimple>
      <w:bookmarkEnd w:id="247"/>
      <w:bookmarkEnd w:id="248"/>
      <w:r>
        <w:rPr>
          <w:noProof/>
        </w:rPr>
        <w:t>:</w:t>
      </w:r>
      <w:r w:rsidRPr="001905EE">
        <w:tab/>
        <w:t xml:space="preserve">Proposed items for </w:t>
      </w:r>
      <w:r w:rsidR="00D03BCA">
        <w:t xml:space="preserve">initial attendance including </w:t>
      </w:r>
      <w:r>
        <w:t>complex treatment and management planning</w:t>
      </w:r>
      <w:bookmarkEnd w:id="249"/>
      <w:r w:rsidR="00366B52">
        <w:rPr>
          <w:rStyle w:val="FootnoteReference"/>
        </w:rPr>
        <w:footnoteReference w:id="129"/>
      </w:r>
      <w:bookmarkEnd w:id="250"/>
      <w:r w:rsidR="009E3BF2">
        <w:t xml:space="preserve"> </w:t>
      </w:r>
    </w:p>
    <w:p w14:paraId="538583A9" w14:textId="77777777" w:rsidR="00C2203B" w:rsidRDefault="00C2203B" w:rsidP="00C2203B">
      <w:pPr>
        <w:pStyle w:val="AspexBodyStandard"/>
      </w:pPr>
      <w:r w:rsidRPr="0011383D">
        <w:rPr>
          <w:noProof/>
          <w:lang w:eastAsia="en-AU"/>
        </w:rPr>
        <w:drawing>
          <wp:inline distT="0" distB="0" distL="0" distR="0" wp14:anchorId="761D3A21" wp14:editId="669EBA12">
            <wp:extent cx="5723890" cy="2398969"/>
            <wp:effectExtent l="57150" t="0" r="29210" b="1905"/>
            <wp:docPr id="63" name="Diagram 63" descr="Proposed items for initial attendance including complex treatment and management planning as discussed Section 6.3" title="Figure 6-1: "/>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AE08E15" w14:textId="7269F6BF" w:rsidR="00E63686" w:rsidRDefault="003F34EC" w:rsidP="00E63686">
      <w:pPr>
        <w:pStyle w:val="AspexBodyStandard"/>
      </w:pPr>
      <w:r>
        <w:lastRenderedPageBreak/>
        <w:t>It is suggested that the new item descriptor follow the same structure as the 132 MBS item currently available to Physicians (</w:t>
      </w:r>
      <w:r w:rsidR="00E63686">
        <w:fldChar w:fldCharType="begin"/>
      </w:r>
      <w:r w:rsidR="00E63686">
        <w:instrText xml:space="preserve"> REF _Ref248032675 \h </w:instrText>
      </w:r>
      <w:r w:rsidR="00E63686">
        <w:fldChar w:fldCharType="separate"/>
      </w:r>
      <w:r w:rsidR="009C72FC" w:rsidRPr="00721588">
        <w:t xml:space="preserve">Figure </w:t>
      </w:r>
      <w:r w:rsidR="009C72FC">
        <w:rPr>
          <w:noProof/>
        </w:rPr>
        <w:t>6</w:t>
      </w:r>
      <w:r w:rsidR="009C72FC">
        <w:noBreakHyphen/>
      </w:r>
      <w:r w:rsidR="009C72FC">
        <w:rPr>
          <w:noProof/>
        </w:rPr>
        <w:t>2</w:t>
      </w:r>
      <w:r w:rsidR="00E63686">
        <w:fldChar w:fldCharType="end"/>
      </w:r>
      <w:r w:rsidR="00E63686">
        <w:t>).</w:t>
      </w:r>
    </w:p>
    <w:p w14:paraId="206F8ED0" w14:textId="4E452B98" w:rsidR="00721588" w:rsidRPr="00721588" w:rsidRDefault="00721588" w:rsidP="002A504E">
      <w:pPr>
        <w:pStyle w:val="Caption"/>
      </w:pPr>
      <w:bookmarkStart w:id="251" w:name="_Ref248032675"/>
      <w:bookmarkStart w:id="252" w:name="_Toc382313763"/>
      <w:r w:rsidRPr="00721588">
        <w:t xml:space="preserve">Figure </w:t>
      </w:r>
      <w:fldSimple w:instr=" STYLEREF 1 \s ">
        <w:r w:rsidR="009C72FC">
          <w:rPr>
            <w:noProof/>
          </w:rPr>
          <w:t>6</w:t>
        </w:r>
      </w:fldSimple>
      <w:r w:rsidR="00A31FC7">
        <w:noBreakHyphen/>
      </w:r>
      <w:fldSimple w:instr=" SEQ Figure \* ARABIC \s 1 ">
        <w:r w:rsidR="009C72FC">
          <w:rPr>
            <w:noProof/>
          </w:rPr>
          <w:t>2</w:t>
        </w:r>
      </w:fldSimple>
      <w:bookmarkEnd w:id="251"/>
      <w:r w:rsidRPr="00721588">
        <w:t>:</w:t>
      </w:r>
      <w:r w:rsidRPr="00721588">
        <w:tab/>
        <w:t>Proposed items descriptors for complex patients</w:t>
      </w:r>
      <w:bookmarkEnd w:id="252"/>
    </w:p>
    <w:p w14:paraId="72C675B6" w14:textId="77777777" w:rsidR="0008030F" w:rsidRDefault="00721588" w:rsidP="0008030F">
      <w:pPr>
        <w:pStyle w:val="Caption"/>
      </w:pPr>
      <w:bookmarkStart w:id="253" w:name="_Ref224012593"/>
      <w:bookmarkStart w:id="254" w:name="_Toc350873424"/>
      <w:r>
        <w:rPr>
          <w:noProof/>
          <w:lang w:eastAsia="en-AU"/>
        </w:rPr>
        <w:drawing>
          <wp:inline distT="0" distB="0" distL="0" distR="0" wp14:anchorId="61C9AE2B" wp14:editId="0FAD349C">
            <wp:extent cx="6228000" cy="7772216"/>
            <wp:effectExtent l="0" t="0" r="0" b="0"/>
            <wp:docPr id="76" name="Picture 76" descr="Proposed items descriptors for complex patients as discussed Section 6.3"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8000" cy="777221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253"/>
      <w:bookmarkEnd w:id="254"/>
    </w:p>
    <w:p w14:paraId="4DFA6F87" w14:textId="2AF73A60" w:rsidR="002F6A84" w:rsidRDefault="002F6A84">
      <w:pPr>
        <w:spacing w:before="0" w:after="0" w:line="240" w:lineRule="auto"/>
      </w:pPr>
    </w:p>
    <w:p w14:paraId="429EB124" w14:textId="191822C4" w:rsidR="0008030F" w:rsidRPr="00377163" w:rsidRDefault="008B6CB2" w:rsidP="0008030F">
      <w:pPr>
        <w:pStyle w:val="AspexBodyStandard"/>
      </w:pPr>
      <w:r>
        <w:t>Consideration was given to recommending access to the physician equivalent 133 (follow-up of referred treatment and management planning). However, the addition of these items was considered to under-reimburse any requirements for a second comprehensive patient assessment.  Accordingly, s</w:t>
      </w:r>
      <w:r w:rsidR="0008030F">
        <w:t xml:space="preserve">cenario modelling for </w:t>
      </w:r>
      <w:r>
        <w:t xml:space="preserve">the single </w:t>
      </w:r>
      <w:r w:rsidR="0008030F">
        <w:t>c</w:t>
      </w:r>
      <w:r w:rsidR="0008030F" w:rsidRPr="00377163">
        <w:t>omplex treatment and management planning</w:t>
      </w:r>
      <w:r w:rsidR="00310041">
        <w:t xml:space="preserve"> item has</w:t>
      </w:r>
      <w:r w:rsidR="0008030F">
        <w:t xml:space="preserve"> assumed that:</w:t>
      </w:r>
    </w:p>
    <w:p w14:paraId="5CFE8CD1" w14:textId="77777777" w:rsidR="0008030F" w:rsidRPr="0011383D" w:rsidRDefault="0008030F" w:rsidP="0008030F">
      <w:pPr>
        <w:pStyle w:val="AspexBullet1"/>
      </w:pPr>
      <w:r w:rsidRPr="0011383D">
        <w:t xml:space="preserve">Costs for </w:t>
      </w:r>
      <w:r w:rsidR="002F0B82">
        <w:t>60</w:t>
      </w:r>
      <w:r w:rsidRPr="0011383D">
        <w:t xml:space="preserve">% of all </w:t>
      </w:r>
      <w:r w:rsidR="002F0B82">
        <w:t>hospital or surgery</w:t>
      </w:r>
      <w:r w:rsidRPr="0011383D">
        <w:t xml:space="preserve"> </w:t>
      </w:r>
      <w:r w:rsidR="002F0B82">
        <w:t>assessments (currently billed as MBS item 3005 by non-physician palliative care specialists)</w:t>
      </w:r>
      <w:r w:rsidRPr="0011383D">
        <w:t xml:space="preserve"> would be transferred to rate</w:t>
      </w:r>
      <w:r w:rsidR="002F0B82">
        <w:t>s for</w:t>
      </w:r>
      <w:r w:rsidRPr="0011383D">
        <w:t xml:space="preserve"> complex assessment and treatment planning</w:t>
      </w:r>
      <w:r w:rsidR="002F0B82">
        <w:t>.</w:t>
      </w:r>
      <w:r w:rsidR="008B6CB2">
        <w:t xml:space="preserve">  Any additional assessment (conducted either before or after the 132 equivalent </w:t>
      </w:r>
      <w:proofErr w:type="gramStart"/>
      <w:r w:rsidR="008B6CB2">
        <w:t>item</w:t>
      </w:r>
      <w:proofErr w:type="gramEnd"/>
      <w:r w:rsidR="008B6CB2">
        <w:t>) would involve the current initial attendance available to specialists (MBS item 3005).</w:t>
      </w:r>
    </w:p>
    <w:p w14:paraId="2C6D067E" w14:textId="77777777" w:rsidR="002F0B82" w:rsidRPr="0011383D" w:rsidRDefault="002F0B82" w:rsidP="002F0B82">
      <w:pPr>
        <w:pStyle w:val="AspexBullet1"/>
      </w:pPr>
      <w:r w:rsidRPr="0011383D">
        <w:t xml:space="preserve">Costs for </w:t>
      </w:r>
      <w:r>
        <w:t>85</w:t>
      </w:r>
      <w:r w:rsidRPr="0011383D">
        <w:t xml:space="preserve">% of all </w:t>
      </w:r>
      <w:r>
        <w:t>non-hospital (or surgery)</w:t>
      </w:r>
      <w:r w:rsidRPr="0011383D">
        <w:t xml:space="preserve"> </w:t>
      </w:r>
      <w:r>
        <w:t>assessments (currently billed as MBS item 3018 by non-physician palliative care specialists)</w:t>
      </w:r>
      <w:r w:rsidRPr="0011383D">
        <w:t xml:space="preserve"> would be transferred to rate</w:t>
      </w:r>
      <w:r>
        <w:t>s for</w:t>
      </w:r>
      <w:r w:rsidRPr="0011383D">
        <w:t xml:space="preserve"> complex assessment and treatment planning</w:t>
      </w:r>
      <w:r>
        <w:t>.</w:t>
      </w:r>
      <w:r w:rsidR="008B6CB2">
        <w:t xml:space="preserve"> Again, any additional assessment (conducted either before or after the 132 equivalent </w:t>
      </w:r>
      <w:proofErr w:type="gramStart"/>
      <w:r w:rsidR="008B6CB2">
        <w:t>item</w:t>
      </w:r>
      <w:proofErr w:type="gramEnd"/>
      <w:r w:rsidR="008B6CB2">
        <w:t>) would involve the current initial attendance available to specialists (MBS item 3005).</w:t>
      </w:r>
    </w:p>
    <w:p w14:paraId="6D9EDE12" w14:textId="77777777" w:rsidR="0008030F" w:rsidRDefault="0008030F" w:rsidP="0008030F">
      <w:pPr>
        <w:pStyle w:val="AspexBullet1"/>
      </w:pPr>
      <w:r>
        <w:t xml:space="preserve">These converted rates were </w:t>
      </w:r>
      <w:r w:rsidR="002F0B82">
        <w:t xml:space="preserve">allocated across current and projected assessment items for non-physician palliative care specialists and </w:t>
      </w:r>
      <w:r>
        <w:t xml:space="preserve">added to the </w:t>
      </w:r>
      <w:r w:rsidR="002F0B82">
        <w:t>current and projected proportion of standard (110) and complex (132) assessments undertaken by</w:t>
      </w:r>
      <w:r>
        <w:t xml:space="preserve"> physician </w:t>
      </w:r>
      <w:r w:rsidR="002F0B82">
        <w:t>qualified palliative care specialists</w:t>
      </w:r>
      <w:r>
        <w:t>.</w:t>
      </w:r>
    </w:p>
    <w:p w14:paraId="02BA51A1" w14:textId="77777777" w:rsidR="0008030F" w:rsidRDefault="0008030F" w:rsidP="0008030F">
      <w:pPr>
        <w:pStyle w:val="AspexBodyStandard"/>
      </w:pPr>
      <w:r>
        <w:t>Results of the scenario modelling are presented in Chapter 7.</w:t>
      </w:r>
    </w:p>
    <w:p w14:paraId="40DA2EFB" w14:textId="77777777" w:rsidR="0008030F" w:rsidRPr="0017710F" w:rsidRDefault="0008030F" w:rsidP="0017710F">
      <w:pPr>
        <w:pStyle w:val="AspexBodyStandard"/>
        <w:spacing w:before="360"/>
        <w:rPr>
          <w:b/>
        </w:rPr>
      </w:pPr>
      <w:r w:rsidRPr="0017710F">
        <w:rPr>
          <w:b/>
        </w:rPr>
        <w:t>Time-tiered items</w:t>
      </w:r>
    </w:p>
    <w:p w14:paraId="0D493472" w14:textId="68FA82F4" w:rsidR="00D437AB" w:rsidRDefault="0008030F" w:rsidP="0008030F">
      <w:pPr>
        <w:pStyle w:val="AspexBodyStandard"/>
      </w:pPr>
      <w:r>
        <w:t xml:space="preserve">An alternative approach to claiming physician equivalent items for </w:t>
      </w:r>
      <w:r w:rsidR="002A2727">
        <w:t>palliative medicine</w:t>
      </w:r>
      <w:r w:rsidRPr="000E2752">
        <w:t xml:space="preserve"> </w:t>
      </w:r>
      <w:r>
        <w:t>would be to allow a time-tiered structure by which specialists could bill for actual time spent with any individual patient.  This approach parallels existing MBS items available for General Practice (</w:t>
      </w:r>
      <w:r w:rsidR="002A504E">
        <w:t>I</w:t>
      </w:r>
      <w:r>
        <w:t>tems: 3, 2</w:t>
      </w:r>
      <w:r w:rsidR="00FE6CB4">
        <w:t xml:space="preserve">3, 36 and </w:t>
      </w:r>
      <w:r>
        <w:t>44).  It has been previously proposed that time-tiered items would enable greater flexibility to respond to the fluctuati</w:t>
      </w:r>
      <w:r w:rsidR="00E50933">
        <w:t>ng needs of individual patients, although others note that it is more administratively burdensome to apply.</w:t>
      </w:r>
      <w:r w:rsidR="00D437AB">
        <w:t xml:space="preserve"> </w:t>
      </w:r>
    </w:p>
    <w:p w14:paraId="4C6DBB0D" w14:textId="77777777" w:rsidR="00D437AB" w:rsidRDefault="00D437AB" w:rsidP="0008030F">
      <w:pPr>
        <w:pStyle w:val="AspexBodyStandard"/>
      </w:pPr>
      <w:r>
        <w:t>Two sets of time-tiered items are proposed for consideration:</w:t>
      </w:r>
    </w:p>
    <w:p w14:paraId="28ADC00F" w14:textId="77777777" w:rsidR="00D437AB" w:rsidRDefault="00D437AB" w:rsidP="00D437AB">
      <w:pPr>
        <w:pStyle w:val="AspexBullet1"/>
      </w:pPr>
      <w:r>
        <w:t>One group for assessments, maintaining the provision for two assessments per patient per year for specialists (as previously described); and</w:t>
      </w:r>
    </w:p>
    <w:p w14:paraId="2CADCD3A" w14:textId="77777777" w:rsidR="0008030F" w:rsidRDefault="00D437AB" w:rsidP="00D437AB">
      <w:pPr>
        <w:pStyle w:val="AspexBullet1"/>
      </w:pPr>
      <w:r>
        <w:t>The other for all subsequent attendances.</w:t>
      </w:r>
    </w:p>
    <w:p w14:paraId="79AD3193" w14:textId="456DD1FA" w:rsidR="00D437AB" w:rsidRDefault="00D437AB" w:rsidP="00726609">
      <w:pPr>
        <w:pStyle w:val="AspexBodyStandard"/>
      </w:pPr>
      <w:r>
        <w:t>Under the proposed structure for time-tiered assessment items</w:t>
      </w:r>
      <w:r w:rsidR="002A504E">
        <w:t xml:space="preserve">, </w:t>
      </w:r>
      <w:r>
        <w:t xml:space="preserve">the first tier has been anchored so as not to exceed the rates available under the A3 schedule (item 104), the second tier has been structured so as not to exceed the rates available under the current assessment item for specialists </w:t>
      </w:r>
      <w:r w:rsidR="00534C3F">
        <w:t xml:space="preserve">under the A24 schedule </w:t>
      </w:r>
      <w:r>
        <w:t>(</w:t>
      </w:r>
      <w:r w:rsidR="00764991">
        <w:t xml:space="preserve">item </w:t>
      </w:r>
      <w:r>
        <w:t xml:space="preserve">3005), an intermediate tier has been introduced to fill an existing gap in the current MBS item structure, and a final tier has been anchored so as not to exceed </w:t>
      </w:r>
      <w:r w:rsidR="00764991">
        <w:t>the rate available to physicians for complex assessment and treatment planning</w:t>
      </w:r>
      <w:r w:rsidR="00534C3F">
        <w:t xml:space="preserve"> under the A4 schedule</w:t>
      </w:r>
      <w:r w:rsidR="00764991">
        <w:t xml:space="preserve"> (item 132)</w:t>
      </w:r>
      <w:r>
        <w:t xml:space="preserve">.  </w:t>
      </w:r>
      <w:r w:rsidR="00764991">
        <w:t>The time-tiered breakdown has been structured to allow for</w:t>
      </w:r>
      <w:r w:rsidR="002A504E">
        <w:t>:</w:t>
      </w:r>
    </w:p>
    <w:p w14:paraId="0453D967" w14:textId="77777777" w:rsidR="00D437AB" w:rsidRDefault="00D437AB" w:rsidP="00D437AB">
      <w:pPr>
        <w:pStyle w:val="AspexBullet1"/>
      </w:pPr>
      <w:r>
        <w:t xml:space="preserve">Consultations that lasts not more than </w:t>
      </w:r>
      <w:r w:rsidR="00764991">
        <w:t>20</w:t>
      </w:r>
      <w:r>
        <w:t xml:space="preserve"> minutes duration;</w:t>
      </w:r>
    </w:p>
    <w:p w14:paraId="1FC807C8" w14:textId="77777777" w:rsidR="00D437AB" w:rsidRDefault="00D437AB" w:rsidP="00D437AB">
      <w:pPr>
        <w:pStyle w:val="AspexBullet1"/>
      </w:pPr>
      <w:r>
        <w:t xml:space="preserve">Consultations that last more than </w:t>
      </w:r>
      <w:r w:rsidR="00764991">
        <w:t>20</w:t>
      </w:r>
      <w:r>
        <w:t xml:space="preserve"> but not more than </w:t>
      </w:r>
      <w:r w:rsidR="00764991">
        <w:t>40</w:t>
      </w:r>
      <w:r>
        <w:t xml:space="preserve"> minutes duration;</w:t>
      </w:r>
    </w:p>
    <w:p w14:paraId="57DF4272" w14:textId="77777777" w:rsidR="00D437AB" w:rsidRDefault="00D437AB" w:rsidP="00D437AB">
      <w:pPr>
        <w:pStyle w:val="AspexBullet1"/>
      </w:pPr>
      <w:r>
        <w:lastRenderedPageBreak/>
        <w:t xml:space="preserve">Consultations that last more than </w:t>
      </w:r>
      <w:r w:rsidR="00764991">
        <w:t>40</w:t>
      </w:r>
      <w:r>
        <w:t xml:space="preserve"> but not more than </w:t>
      </w:r>
      <w:r w:rsidR="00764991">
        <w:t>60</w:t>
      </w:r>
      <w:r>
        <w:t xml:space="preserve"> minutes duration; and</w:t>
      </w:r>
    </w:p>
    <w:p w14:paraId="2B04F17F" w14:textId="77777777" w:rsidR="00D437AB" w:rsidRDefault="00D437AB" w:rsidP="00D437AB">
      <w:pPr>
        <w:pStyle w:val="AspexBullet1"/>
      </w:pPr>
      <w:r>
        <w:t xml:space="preserve">Consultations that last for more than </w:t>
      </w:r>
      <w:r w:rsidR="00764991">
        <w:t>60</w:t>
      </w:r>
      <w:r>
        <w:t xml:space="preserve"> minutes duration.</w:t>
      </w:r>
    </w:p>
    <w:p w14:paraId="77B1660E" w14:textId="7A4262B5" w:rsidR="003F34EC" w:rsidRDefault="003F34EC" w:rsidP="00722901">
      <w:pPr>
        <w:pStyle w:val="AspexBodyStandard"/>
      </w:pPr>
      <w:bookmarkStart w:id="255" w:name="_Ref222241303"/>
      <w:bookmarkStart w:id="256" w:name="_Ref247739588"/>
      <w:bookmarkStart w:id="257" w:name="_Toc350873421"/>
      <w:r>
        <w:t xml:space="preserve">The proposed MBS item descriptors for each set of time-tiered assessment items are presented in </w:t>
      </w:r>
      <w:r w:rsidR="00814915">
        <w:fldChar w:fldCharType="begin"/>
      </w:r>
      <w:r w:rsidR="00814915">
        <w:instrText xml:space="preserve"> REF _Ref374307885 \h </w:instrText>
      </w:r>
      <w:r w:rsidR="00814915">
        <w:fldChar w:fldCharType="separate"/>
      </w:r>
      <w:r w:rsidR="009C72FC" w:rsidRPr="001905EE">
        <w:t xml:space="preserve">Figure </w:t>
      </w:r>
      <w:r w:rsidR="009C72FC">
        <w:rPr>
          <w:noProof/>
        </w:rPr>
        <w:t>6</w:t>
      </w:r>
      <w:r w:rsidR="009C72FC">
        <w:noBreakHyphen/>
      </w:r>
      <w:r w:rsidR="009C72FC">
        <w:rPr>
          <w:noProof/>
        </w:rPr>
        <w:t>4</w:t>
      </w:r>
      <w:r w:rsidR="00814915">
        <w:fldChar w:fldCharType="end"/>
      </w:r>
      <w:r>
        <w:t xml:space="preserve">. </w:t>
      </w:r>
    </w:p>
    <w:p w14:paraId="6BA52DE1" w14:textId="46493AF1" w:rsidR="0008030F" w:rsidRDefault="0008030F" w:rsidP="0008030F">
      <w:pPr>
        <w:pStyle w:val="Caption"/>
      </w:pPr>
      <w:bookmarkStart w:id="258" w:name="_Toc382313764"/>
      <w:r w:rsidRPr="001905EE">
        <w:t xml:space="preserve">Figure </w:t>
      </w:r>
      <w:fldSimple w:instr=" STYLEREF 1 \s ">
        <w:r w:rsidR="009C72FC">
          <w:rPr>
            <w:noProof/>
          </w:rPr>
          <w:t>6</w:t>
        </w:r>
      </w:fldSimple>
      <w:r w:rsidR="00A31FC7">
        <w:noBreakHyphen/>
      </w:r>
      <w:fldSimple w:instr=" SEQ Figure \* ARABIC \s 1 ">
        <w:r w:rsidR="009C72FC">
          <w:rPr>
            <w:noProof/>
          </w:rPr>
          <w:t>3</w:t>
        </w:r>
      </w:fldSimple>
      <w:bookmarkEnd w:id="255"/>
      <w:bookmarkEnd w:id="256"/>
      <w:r>
        <w:rPr>
          <w:noProof/>
        </w:rPr>
        <w:t>:</w:t>
      </w:r>
      <w:r w:rsidRPr="001905EE">
        <w:tab/>
        <w:t>Proposed</w:t>
      </w:r>
      <w:r>
        <w:t xml:space="preserve"> structure for time-tiered</w:t>
      </w:r>
      <w:r w:rsidRPr="001905EE">
        <w:t xml:space="preserve"> </w:t>
      </w:r>
      <w:r w:rsidR="00D437AB">
        <w:t xml:space="preserve">assessment </w:t>
      </w:r>
      <w:r w:rsidRPr="001905EE">
        <w:t>items</w:t>
      </w:r>
      <w:bookmarkEnd w:id="257"/>
      <w:r w:rsidR="00366B52">
        <w:rPr>
          <w:rStyle w:val="FootnoteReference"/>
        </w:rPr>
        <w:footnoteReference w:id="130"/>
      </w:r>
      <w:bookmarkEnd w:id="258"/>
      <w:r w:rsidRPr="001905EE">
        <w:t xml:space="preserve"> </w:t>
      </w:r>
    </w:p>
    <w:p w14:paraId="6A0C03A5" w14:textId="0ECB61BE" w:rsidR="00E63686" w:rsidRDefault="0008030F" w:rsidP="009F42F9">
      <w:pPr>
        <w:pStyle w:val="AspexBodyStandard"/>
      </w:pPr>
      <w:r>
        <w:rPr>
          <w:noProof/>
          <w:lang w:eastAsia="en-AU"/>
        </w:rPr>
        <w:drawing>
          <wp:inline distT="0" distB="0" distL="0" distR="0" wp14:anchorId="51CC8718" wp14:editId="0299D7BC">
            <wp:extent cx="5724000" cy="2965109"/>
            <wp:effectExtent l="0" t="19050" r="0" b="26035"/>
            <wp:docPr id="34" name="Diagram 34" descr="Proposed structure for time-tiered assessment items as discussed Section 6.3" title="Figure 6-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70C225A" w14:textId="77777777" w:rsidR="00814915" w:rsidRDefault="00814915">
      <w:pPr>
        <w:spacing w:before="0" w:after="0" w:line="240" w:lineRule="auto"/>
        <w:rPr>
          <w:b/>
          <w:bCs/>
        </w:rPr>
      </w:pPr>
      <w:bookmarkStart w:id="259" w:name="_Ref224011082"/>
      <w:bookmarkStart w:id="260" w:name="_Ref374106888"/>
      <w:bookmarkStart w:id="261" w:name="_Toc350873422"/>
      <w:r>
        <w:br w:type="page"/>
      </w:r>
    </w:p>
    <w:p w14:paraId="72EF4E4C" w14:textId="0CBDC5B8" w:rsidR="0008030F" w:rsidRDefault="0008030F" w:rsidP="002A504E">
      <w:pPr>
        <w:pStyle w:val="Caption"/>
        <w:tabs>
          <w:tab w:val="clear" w:pos="1418"/>
          <w:tab w:val="left" w:pos="0"/>
        </w:tabs>
        <w:ind w:left="0" w:firstLine="0"/>
      </w:pPr>
      <w:bookmarkStart w:id="262" w:name="_Ref374307885"/>
      <w:bookmarkStart w:id="263" w:name="_Toc382313765"/>
      <w:r w:rsidRPr="001905EE">
        <w:lastRenderedPageBreak/>
        <w:t xml:space="preserve">Figure </w:t>
      </w:r>
      <w:fldSimple w:instr=" STYLEREF 1 \s ">
        <w:r w:rsidR="009C72FC">
          <w:rPr>
            <w:noProof/>
          </w:rPr>
          <w:t>6</w:t>
        </w:r>
      </w:fldSimple>
      <w:r w:rsidR="00A31FC7">
        <w:noBreakHyphen/>
      </w:r>
      <w:fldSimple w:instr=" SEQ Figure \* ARABIC \s 1 ">
        <w:r w:rsidR="009C72FC">
          <w:rPr>
            <w:noProof/>
          </w:rPr>
          <w:t>4</w:t>
        </w:r>
      </w:fldSimple>
      <w:bookmarkEnd w:id="259"/>
      <w:bookmarkEnd w:id="260"/>
      <w:bookmarkEnd w:id="262"/>
      <w:r>
        <w:t>:</w:t>
      </w:r>
      <w:r w:rsidRPr="001905EE">
        <w:tab/>
      </w:r>
      <w:r w:rsidR="000E1751">
        <w:t>Proposed i</w:t>
      </w:r>
      <w:r w:rsidRPr="001905EE">
        <w:t xml:space="preserve">tem </w:t>
      </w:r>
      <w:r>
        <w:t xml:space="preserve">descriptors for time-tiered </w:t>
      </w:r>
      <w:bookmarkEnd w:id="261"/>
      <w:r w:rsidR="001B1401">
        <w:t>assessments</w:t>
      </w:r>
      <w:bookmarkEnd w:id="263"/>
    </w:p>
    <w:p w14:paraId="725A3CE0" w14:textId="2D79CDAB" w:rsidR="00814915" w:rsidRDefault="004A3978" w:rsidP="00691386">
      <w:pPr>
        <w:pStyle w:val="Caption"/>
        <w:ind w:hanging="1276"/>
      </w:pPr>
      <w:r>
        <w:rPr>
          <w:noProof/>
          <w:lang w:eastAsia="en-AU"/>
        </w:rPr>
        <w:drawing>
          <wp:inline distT="0" distB="0" distL="0" distR="0" wp14:anchorId="58891DD3" wp14:editId="46454988">
            <wp:extent cx="6228000" cy="6111821"/>
            <wp:effectExtent l="0" t="0" r="0" b="0"/>
            <wp:docPr id="25" name="Picture 2" descr="Proposed item descriptors for time-tiered assessments as discussed in Section 6.3" title="Fig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8000" cy="6111821"/>
                    </a:xfrm>
                    <a:prstGeom prst="rect">
                      <a:avLst/>
                    </a:prstGeom>
                    <a:noFill/>
                    <a:ln>
                      <a:noFill/>
                    </a:ln>
                  </pic:spPr>
                </pic:pic>
              </a:graphicData>
            </a:graphic>
          </wp:inline>
        </w:drawing>
      </w:r>
    </w:p>
    <w:p w14:paraId="69A3E994" w14:textId="77777777" w:rsidR="00814915" w:rsidRDefault="00814915" w:rsidP="00814915">
      <w:pPr>
        <w:pStyle w:val="AspexBodyStandard"/>
      </w:pPr>
      <w:r>
        <w:br w:type="page"/>
      </w:r>
    </w:p>
    <w:p w14:paraId="39819398" w14:textId="2D623DA9" w:rsidR="009F42F9" w:rsidRDefault="009F42F9" w:rsidP="00E00CFB">
      <w:pPr>
        <w:pStyle w:val="Caption"/>
        <w:tabs>
          <w:tab w:val="clear" w:pos="1418"/>
          <w:tab w:val="left" w:pos="0"/>
        </w:tabs>
        <w:ind w:left="0" w:firstLine="0"/>
      </w:pPr>
      <w:bookmarkStart w:id="264" w:name="_Ref247739602"/>
      <w:bookmarkStart w:id="265" w:name="_Ref247744827"/>
      <w:bookmarkStart w:id="266" w:name="_Ref374106921"/>
      <w:bookmarkStart w:id="267" w:name="_Ref248033895"/>
      <w:bookmarkStart w:id="268" w:name="_Toc382313766"/>
      <w:bookmarkStart w:id="269" w:name="_Ref247740500"/>
      <w:r w:rsidRPr="001905EE">
        <w:lastRenderedPageBreak/>
        <w:t xml:space="preserve">Figure </w:t>
      </w:r>
      <w:fldSimple w:instr=" STYLEREF 1 \s ">
        <w:r w:rsidR="009C72FC">
          <w:rPr>
            <w:noProof/>
          </w:rPr>
          <w:t>6</w:t>
        </w:r>
      </w:fldSimple>
      <w:r w:rsidR="00A31FC7">
        <w:noBreakHyphen/>
      </w:r>
      <w:fldSimple w:instr=" SEQ Figure \* ARABIC \s 1 ">
        <w:r w:rsidR="009C72FC">
          <w:rPr>
            <w:noProof/>
          </w:rPr>
          <w:t>5</w:t>
        </w:r>
      </w:fldSimple>
      <w:bookmarkEnd w:id="264"/>
      <w:bookmarkEnd w:id="265"/>
      <w:bookmarkEnd w:id="266"/>
      <w:bookmarkEnd w:id="267"/>
      <w:r>
        <w:t>:</w:t>
      </w:r>
      <w:r w:rsidRPr="001905EE">
        <w:tab/>
        <w:t>Proposed</w:t>
      </w:r>
      <w:r>
        <w:t xml:space="preserve"> structure for time-tiered</w:t>
      </w:r>
      <w:r w:rsidRPr="001905EE">
        <w:t xml:space="preserve"> </w:t>
      </w:r>
      <w:r>
        <w:t xml:space="preserve">subsequent </w:t>
      </w:r>
      <w:r w:rsidRPr="001905EE">
        <w:t>items</w:t>
      </w:r>
      <w:bookmarkEnd w:id="268"/>
      <w:r w:rsidRPr="001905EE">
        <w:t xml:space="preserve"> </w:t>
      </w:r>
    </w:p>
    <w:p w14:paraId="3B07FA1F" w14:textId="77777777" w:rsidR="00C2203B" w:rsidRDefault="00C2203B" w:rsidP="009F42F9">
      <w:pPr>
        <w:pStyle w:val="Caption"/>
      </w:pPr>
      <w:bookmarkStart w:id="270" w:name="_Ref247744760"/>
      <w:r>
        <w:rPr>
          <w:noProof/>
          <w:lang w:eastAsia="en-AU"/>
        </w:rPr>
        <w:drawing>
          <wp:inline distT="0" distB="0" distL="0" distR="0" wp14:anchorId="3A157EDC" wp14:editId="2C1E0D4F">
            <wp:extent cx="5688000" cy="2802462"/>
            <wp:effectExtent l="0" t="19050" r="0" b="17145"/>
            <wp:docPr id="90" name="Diagram 90" descr="Proposed structure for time-tiered subsequent items as discussed Section 6.3" title="Figure 6-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C13512D" w14:textId="77777777" w:rsidR="00FE6CB4" w:rsidRDefault="00FE6CB4" w:rsidP="009F42F9">
      <w:pPr>
        <w:pStyle w:val="Caption"/>
      </w:pPr>
      <w:bookmarkStart w:id="271" w:name="_Ref374106894"/>
    </w:p>
    <w:p w14:paraId="4C1E03FD" w14:textId="2CF37D9E" w:rsidR="001B1401" w:rsidRPr="001905EE" w:rsidRDefault="001B1401" w:rsidP="008F5144">
      <w:pPr>
        <w:pStyle w:val="Caption"/>
        <w:spacing w:before="0"/>
      </w:pPr>
      <w:bookmarkStart w:id="272" w:name="_Toc382313767"/>
      <w:r w:rsidRPr="001905EE">
        <w:t xml:space="preserve">Figure </w:t>
      </w:r>
      <w:fldSimple w:instr=" STYLEREF 1 \s ">
        <w:r w:rsidR="009C72FC">
          <w:rPr>
            <w:noProof/>
          </w:rPr>
          <w:t>6</w:t>
        </w:r>
      </w:fldSimple>
      <w:r w:rsidR="00A31FC7">
        <w:noBreakHyphen/>
      </w:r>
      <w:fldSimple w:instr=" SEQ Figure \* ARABIC \s 1 ">
        <w:r w:rsidR="009C72FC">
          <w:rPr>
            <w:noProof/>
          </w:rPr>
          <w:t>6</w:t>
        </w:r>
      </w:fldSimple>
      <w:bookmarkEnd w:id="269"/>
      <w:bookmarkEnd w:id="270"/>
      <w:bookmarkEnd w:id="271"/>
      <w:r>
        <w:rPr>
          <w:noProof/>
        </w:rPr>
        <w:t>:</w:t>
      </w:r>
      <w:r w:rsidRPr="001905EE">
        <w:tab/>
      </w:r>
      <w:r>
        <w:t>Proposed i</w:t>
      </w:r>
      <w:r w:rsidRPr="001905EE">
        <w:t xml:space="preserve">tem </w:t>
      </w:r>
      <w:r>
        <w:t>descriptors for time-tiered subsequent consultations</w:t>
      </w:r>
      <w:bookmarkEnd w:id="272"/>
    </w:p>
    <w:p w14:paraId="368BD62E" w14:textId="34D3DC08" w:rsidR="00C2203B" w:rsidRDefault="004A3978" w:rsidP="00691386">
      <w:pPr>
        <w:pStyle w:val="AspexBodyStandard"/>
        <w:jc w:val="center"/>
      </w:pPr>
      <w:r>
        <w:rPr>
          <w:noProof/>
          <w:lang w:eastAsia="en-AU"/>
        </w:rPr>
        <w:drawing>
          <wp:inline distT="0" distB="0" distL="0" distR="0" wp14:anchorId="121971CD" wp14:editId="14954117">
            <wp:extent cx="6228000" cy="4753766"/>
            <wp:effectExtent l="0" t="0" r="0" b="0"/>
            <wp:docPr id="49" name="Picture 3" descr="Proposed item descriptors for time-tiered subsequent consultations as discussed in Section 6.3" title="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8000" cy="4753766"/>
                    </a:xfrm>
                    <a:prstGeom prst="rect">
                      <a:avLst/>
                    </a:prstGeom>
                    <a:noFill/>
                    <a:ln>
                      <a:noFill/>
                    </a:ln>
                  </pic:spPr>
                </pic:pic>
              </a:graphicData>
            </a:graphic>
          </wp:inline>
        </w:drawing>
      </w:r>
    </w:p>
    <w:p w14:paraId="2CDF64FC" w14:textId="5EE6E108" w:rsidR="009F42F9" w:rsidRDefault="009F42F9" w:rsidP="00726609">
      <w:pPr>
        <w:pStyle w:val="AspexBodyStandard"/>
      </w:pPr>
      <w:r>
        <w:lastRenderedPageBreak/>
        <w:t xml:space="preserve">Under the proposed structure for time-tiered </w:t>
      </w:r>
      <w:r w:rsidR="005C4BA9">
        <w:t>subsequent</w:t>
      </w:r>
      <w:r>
        <w:t xml:space="preserve"> items</w:t>
      </w:r>
      <w:r w:rsidR="00E00CFB">
        <w:t xml:space="preserve"> (</w:t>
      </w:r>
      <w:r w:rsidR="00E00CFB">
        <w:fldChar w:fldCharType="begin"/>
      </w:r>
      <w:r w:rsidR="00E00CFB">
        <w:instrText xml:space="preserve"> REF _Ref248033895 \h </w:instrText>
      </w:r>
      <w:r w:rsidR="00E00CFB">
        <w:fldChar w:fldCharType="separate"/>
      </w:r>
      <w:r w:rsidR="009C72FC" w:rsidRPr="001905EE">
        <w:t xml:space="preserve">Figure </w:t>
      </w:r>
      <w:r w:rsidR="009C72FC">
        <w:rPr>
          <w:noProof/>
        </w:rPr>
        <w:t>6</w:t>
      </w:r>
      <w:r w:rsidR="009C72FC">
        <w:noBreakHyphen/>
      </w:r>
      <w:r w:rsidR="009C72FC">
        <w:rPr>
          <w:noProof/>
        </w:rPr>
        <w:t>5</w:t>
      </w:r>
      <w:r w:rsidR="00E00CFB">
        <w:fldChar w:fldCharType="end"/>
      </w:r>
      <w:r>
        <w:t xml:space="preserve">) the first tier has been anchored so as not to exceed the rates available under the A3 schedule (item 105), the second tier has been structured so as not to exceed the rates available under the current assessment item for specialists under the A24 schedule (item 3010), an intermediate tier has been introduced to fill an existing gap in the current MBS item structure, and a final tier has been anchored so as not to exceed the rate available to physicians for complex assessment and treatment planning under the A4 schedule(item 133).  </w:t>
      </w:r>
    </w:p>
    <w:p w14:paraId="1131D3F1" w14:textId="13D9D880" w:rsidR="009F42F9" w:rsidRDefault="005C4BA9" w:rsidP="009F42F9">
      <w:pPr>
        <w:pStyle w:val="AspexBodyStandard"/>
      </w:pPr>
      <w:r>
        <w:t>To maintain consistency with assessment items t</w:t>
      </w:r>
      <w:r w:rsidR="009F42F9">
        <w:t xml:space="preserve">he time-tiered breakdown </w:t>
      </w:r>
      <w:r>
        <w:t xml:space="preserve">for subsequent consultations </w:t>
      </w:r>
      <w:r w:rsidR="009F42F9">
        <w:t>has been structured to allow for</w:t>
      </w:r>
      <w:r w:rsidR="00E00CFB">
        <w:t>:</w:t>
      </w:r>
    </w:p>
    <w:p w14:paraId="3F9C8776" w14:textId="77777777" w:rsidR="009F42F9" w:rsidRDefault="009F42F9" w:rsidP="009F42F9">
      <w:pPr>
        <w:pStyle w:val="AspexBullet1"/>
      </w:pPr>
      <w:r>
        <w:t>Consultations that lasts not more than 20 minutes duration;</w:t>
      </w:r>
    </w:p>
    <w:p w14:paraId="73059B92" w14:textId="77777777" w:rsidR="009F42F9" w:rsidRDefault="009F42F9" w:rsidP="009F42F9">
      <w:pPr>
        <w:pStyle w:val="AspexBullet1"/>
      </w:pPr>
      <w:r>
        <w:t>Consultations that last more than 20 but not more than 40 minutes duration;</w:t>
      </w:r>
    </w:p>
    <w:p w14:paraId="392E2AD9" w14:textId="77777777" w:rsidR="009F42F9" w:rsidRDefault="009F42F9" w:rsidP="009F42F9">
      <w:pPr>
        <w:pStyle w:val="AspexBullet1"/>
      </w:pPr>
      <w:r>
        <w:t>Consultations that last more than 40 but not more than 60 minutes duration; and</w:t>
      </w:r>
    </w:p>
    <w:p w14:paraId="3B2E9595" w14:textId="77777777" w:rsidR="009F42F9" w:rsidRDefault="009F42F9" w:rsidP="009F42F9">
      <w:pPr>
        <w:pStyle w:val="AspexBullet1"/>
      </w:pPr>
      <w:r>
        <w:t>Consultations that last for more than 60 minutes duration.</w:t>
      </w:r>
    </w:p>
    <w:p w14:paraId="052D4B4D" w14:textId="77777777" w:rsidR="0008030F" w:rsidRPr="007051AD" w:rsidRDefault="0008030F" w:rsidP="005C4BA9">
      <w:pPr>
        <w:pStyle w:val="AspexBodyStandard"/>
      </w:pPr>
      <w:r w:rsidRPr="007051AD">
        <w:t>The scenario</w:t>
      </w:r>
      <w:r w:rsidR="00B2435E" w:rsidRPr="007051AD">
        <w:t>s</w:t>
      </w:r>
      <w:r w:rsidRPr="007051AD">
        <w:t xml:space="preserve"> developed to model the potential impact of these items upon the MBS in</w:t>
      </w:r>
      <w:r w:rsidR="005C4BA9" w:rsidRPr="007051AD">
        <w:t>volved e</w:t>
      </w:r>
      <w:r w:rsidRPr="007051AD">
        <w:t>stimating the proportion of claims within each of the four tiers</w:t>
      </w:r>
      <w:r w:rsidR="005C4BA9" w:rsidRPr="007051AD">
        <w:t>, as follows</w:t>
      </w:r>
      <w:r w:rsidRPr="007051AD">
        <w:t>:</w:t>
      </w:r>
    </w:p>
    <w:p w14:paraId="35AE781A" w14:textId="77777777" w:rsidR="005C4BA9" w:rsidRPr="007051AD" w:rsidRDefault="00B2435E" w:rsidP="00B2435E">
      <w:pPr>
        <w:pStyle w:val="AspexBullet1"/>
      </w:pPr>
      <w:r w:rsidRPr="007051AD">
        <w:t>For time-tiered items relating to assessment (allowing for two occasions to conduct such assessments) it was assumed that:</w:t>
      </w:r>
    </w:p>
    <w:p w14:paraId="014260F4" w14:textId="3DAEA489" w:rsidR="00B2435E" w:rsidRPr="007051AD" w:rsidRDefault="00B2435E" w:rsidP="007051AD">
      <w:pPr>
        <w:pStyle w:val="AspexBullet2"/>
      </w:pPr>
      <w:r w:rsidRPr="007051AD">
        <w:t xml:space="preserve">For hospital </w:t>
      </w:r>
      <w:r w:rsidR="007051AD" w:rsidRPr="007051AD">
        <w:t xml:space="preserve">or surgery related </w:t>
      </w:r>
      <w:r w:rsidRPr="007051AD">
        <w:t>assessments</w:t>
      </w:r>
      <w:r w:rsidR="00E00CFB">
        <w:t>:</w:t>
      </w:r>
    </w:p>
    <w:p w14:paraId="6A8E2C82" w14:textId="77777777" w:rsidR="0008030F" w:rsidRPr="007051AD" w:rsidRDefault="00B2435E" w:rsidP="007051AD">
      <w:pPr>
        <w:pStyle w:val="AspexBullet3"/>
      </w:pPr>
      <w:r w:rsidRPr="007051AD">
        <w:t>50% of assessments would last between 40-60 minutes; and</w:t>
      </w:r>
    </w:p>
    <w:p w14:paraId="6B4E5616" w14:textId="77777777" w:rsidR="00B2435E" w:rsidRPr="007051AD" w:rsidRDefault="00B2435E" w:rsidP="007051AD">
      <w:pPr>
        <w:pStyle w:val="AspexBullet3"/>
      </w:pPr>
      <w:r w:rsidRPr="007051AD">
        <w:t xml:space="preserve">50% </w:t>
      </w:r>
      <w:r w:rsidR="007051AD" w:rsidRPr="007051AD">
        <w:t>assessments</w:t>
      </w:r>
      <w:r w:rsidRPr="007051AD">
        <w:t xml:space="preserve"> would last </w:t>
      </w:r>
      <w:r w:rsidR="007051AD" w:rsidRPr="007051AD">
        <w:t xml:space="preserve">more than </w:t>
      </w:r>
      <w:r w:rsidRPr="007051AD">
        <w:t>60 minutes.</w:t>
      </w:r>
    </w:p>
    <w:p w14:paraId="37496DA6" w14:textId="6FEAF589" w:rsidR="007051AD" w:rsidRPr="007051AD" w:rsidRDefault="007051AD" w:rsidP="007051AD">
      <w:pPr>
        <w:pStyle w:val="AspexBullet2"/>
      </w:pPr>
      <w:r w:rsidRPr="007051AD">
        <w:t>For non-hospital or surgery related assessments</w:t>
      </w:r>
      <w:r w:rsidR="00E00CFB">
        <w:t>:</w:t>
      </w:r>
    </w:p>
    <w:p w14:paraId="17004343" w14:textId="77777777" w:rsidR="007051AD" w:rsidRPr="007051AD" w:rsidRDefault="007051AD" w:rsidP="007051AD">
      <w:pPr>
        <w:pStyle w:val="AspexBullet3"/>
      </w:pPr>
      <w:r w:rsidRPr="007051AD">
        <w:t>15% of assessments would last between 40-60 minutes; and</w:t>
      </w:r>
    </w:p>
    <w:p w14:paraId="00211F89" w14:textId="77777777" w:rsidR="007051AD" w:rsidRPr="007051AD" w:rsidRDefault="007051AD" w:rsidP="007051AD">
      <w:pPr>
        <w:pStyle w:val="AspexBullet3"/>
      </w:pPr>
      <w:r w:rsidRPr="007051AD">
        <w:t>85% assessments would last more than 60 minutes.</w:t>
      </w:r>
    </w:p>
    <w:p w14:paraId="11C3751B" w14:textId="77777777" w:rsidR="00B2435E" w:rsidRPr="007051AD" w:rsidRDefault="00B2435E" w:rsidP="007051AD">
      <w:pPr>
        <w:pStyle w:val="AspexBullet1"/>
      </w:pPr>
      <w:r w:rsidRPr="007051AD">
        <w:t>For time-tiered items relating to subsequent consultations (following a</w:t>
      </w:r>
      <w:r w:rsidR="007051AD" w:rsidRPr="007051AD">
        <w:t>ssessments) it was assumed that for both hospital/surgery and non-hospital/surgery consultations:</w:t>
      </w:r>
    </w:p>
    <w:p w14:paraId="12705857" w14:textId="77777777" w:rsidR="00B2435E" w:rsidRPr="007051AD" w:rsidRDefault="00B2435E" w:rsidP="007051AD">
      <w:pPr>
        <w:pStyle w:val="AspexBullet2"/>
      </w:pPr>
      <w:r w:rsidRPr="007051AD">
        <w:t>67% of all subsequent consultations would last between 20-40 minutes; and</w:t>
      </w:r>
    </w:p>
    <w:p w14:paraId="7AF9C70B" w14:textId="77777777" w:rsidR="00B2435E" w:rsidRPr="007051AD" w:rsidRDefault="00B2435E" w:rsidP="007051AD">
      <w:pPr>
        <w:pStyle w:val="AspexBullet2"/>
      </w:pPr>
      <w:r w:rsidRPr="007051AD">
        <w:t>33% of all subsequent consultations would last between 40-60 minutes.</w:t>
      </w:r>
    </w:p>
    <w:p w14:paraId="5B55E14B" w14:textId="77777777" w:rsidR="0008030F" w:rsidRDefault="0008030F" w:rsidP="0008030F">
      <w:pPr>
        <w:pStyle w:val="AspexBodyStandard"/>
      </w:pPr>
      <w:r w:rsidRPr="007051AD">
        <w:t>Estimations derived from these scenarios are separately presented in Chapter 7.</w:t>
      </w:r>
    </w:p>
    <w:p w14:paraId="08B0E6AC" w14:textId="77777777" w:rsidR="004252B9" w:rsidRDefault="004252B9" w:rsidP="00721588">
      <w:pPr>
        <w:pStyle w:val="Heading2"/>
      </w:pPr>
      <w:bookmarkStart w:id="273" w:name="_Toc382313854"/>
      <w:bookmarkStart w:id="274" w:name="_Toc224792899"/>
      <w:r>
        <w:t>Proposed modifications to existing item numbers</w:t>
      </w:r>
      <w:bookmarkEnd w:id="273"/>
    </w:p>
    <w:p w14:paraId="058E0198" w14:textId="251D443F" w:rsidR="00266AA0" w:rsidRDefault="00266AA0" w:rsidP="00266AA0">
      <w:pPr>
        <w:pStyle w:val="AspexBodyStandard"/>
      </w:pPr>
      <w:r>
        <w:t xml:space="preserve">As previously reported, there are currently three items listed for </w:t>
      </w:r>
      <w:r w:rsidR="002A2727">
        <w:t>palliative medicine</w:t>
      </w:r>
      <w:r>
        <w:t xml:space="preserve"> specialists relating to home visits, including:</w:t>
      </w:r>
    </w:p>
    <w:p w14:paraId="33DFE508" w14:textId="77777777" w:rsidR="00266AA0" w:rsidRDefault="00266AA0" w:rsidP="00266AA0">
      <w:pPr>
        <w:pStyle w:val="AspexBullet1"/>
      </w:pPr>
      <w:r>
        <w:t>Item 3018 - Medical Practitioner (Palliative Medicine Specialist) Attendance – Home Visit;</w:t>
      </w:r>
    </w:p>
    <w:p w14:paraId="2F624251" w14:textId="77777777" w:rsidR="00266AA0" w:rsidRDefault="00266AA0" w:rsidP="00266AA0">
      <w:pPr>
        <w:pStyle w:val="AspexBullet1"/>
      </w:pPr>
      <w:r>
        <w:t>Item 3023 – Attendance Subsequent to the first in a single course of treatment, unless the following item has been claimed:</w:t>
      </w:r>
    </w:p>
    <w:p w14:paraId="6796F22B" w14:textId="77777777" w:rsidR="00266AA0" w:rsidRDefault="00266AA0" w:rsidP="00266AA0">
      <w:pPr>
        <w:pStyle w:val="AspexBullet1"/>
      </w:pPr>
      <w:r>
        <w:t>Item 3028 – Minor Attendance Subsequent to the first in a single course of treatment.</w:t>
      </w:r>
    </w:p>
    <w:p w14:paraId="24D5462C" w14:textId="7A53A801" w:rsidR="00266AA0" w:rsidRDefault="00266AA0" w:rsidP="00266AA0">
      <w:pPr>
        <w:pStyle w:val="AspexBodyStandard"/>
      </w:pPr>
      <w:r>
        <w:t>There is currently a small volume of current MBS activity in these items</w:t>
      </w:r>
      <w:r w:rsidR="00814349">
        <w:t xml:space="preserve">. This in part has been attributed to confusion on the part of specialists </w:t>
      </w:r>
      <w:r w:rsidR="00D27387">
        <w:t>about</w:t>
      </w:r>
      <w:r w:rsidR="00814349">
        <w:t xml:space="preserve"> the applicability of these item numbers for other community consultations th</w:t>
      </w:r>
      <w:r w:rsidR="00D27387">
        <w:t xml:space="preserve">at are not specific home visits. </w:t>
      </w:r>
      <w:r w:rsidR="004635AC">
        <w:t xml:space="preserve">It is important </w:t>
      </w:r>
      <w:r w:rsidR="004635AC">
        <w:lastRenderedPageBreak/>
        <w:t>to note that the item descriptors themselves would appear to make quite clear that these items can be used “at a place other than consulting rooms or hospital”, and thus, a change in the title of the item numbers is the only changed proposed for consideration</w:t>
      </w:r>
      <w:r w:rsidR="00D27387">
        <w:t xml:space="preserve"> (</w:t>
      </w:r>
      <w:r>
        <w:fldChar w:fldCharType="begin"/>
      </w:r>
      <w:r>
        <w:instrText xml:space="preserve"> REF _Ref224286756 \h </w:instrText>
      </w:r>
      <w:r>
        <w:fldChar w:fldCharType="separate"/>
      </w:r>
      <w:r w:rsidR="009C72FC" w:rsidRPr="001905EE">
        <w:t xml:space="preserve">Figure </w:t>
      </w:r>
      <w:r w:rsidR="009C72FC">
        <w:rPr>
          <w:noProof/>
        </w:rPr>
        <w:t>6</w:t>
      </w:r>
      <w:r w:rsidR="009C72FC">
        <w:noBreakHyphen/>
      </w:r>
      <w:r w:rsidR="009C72FC">
        <w:rPr>
          <w:noProof/>
        </w:rPr>
        <w:t>7</w:t>
      </w:r>
      <w:r>
        <w:fldChar w:fldCharType="end"/>
      </w:r>
      <w:r w:rsidR="00D27387">
        <w:t>)</w:t>
      </w:r>
      <w:r w:rsidR="00814349">
        <w:t xml:space="preserve">. </w:t>
      </w:r>
    </w:p>
    <w:p w14:paraId="24F1C4B4" w14:textId="4EEFAFDF" w:rsidR="00D110F9" w:rsidRDefault="00266AA0" w:rsidP="008B6CB2">
      <w:pPr>
        <w:pStyle w:val="Caption"/>
      </w:pPr>
      <w:bookmarkStart w:id="275" w:name="_Ref224286756"/>
      <w:bookmarkStart w:id="276" w:name="_Toc350873427"/>
      <w:bookmarkStart w:id="277" w:name="_Toc382313768"/>
      <w:r w:rsidRPr="001905EE">
        <w:t xml:space="preserve">Figure </w:t>
      </w:r>
      <w:fldSimple w:instr=" STYLEREF 1 \s ">
        <w:r w:rsidR="009C72FC">
          <w:rPr>
            <w:noProof/>
          </w:rPr>
          <w:t>6</w:t>
        </w:r>
      </w:fldSimple>
      <w:r w:rsidR="00A31FC7">
        <w:noBreakHyphen/>
      </w:r>
      <w:fldSimple w:instr=" SEQ Figure \* ARABIC \s 1 ">
        <w:r w:rsidR="009C72FC">
          <w:rPr>
            <w:noProof/>
          </w:rPr>
          <w:t>7</w:t>
        </w:r>
      </w:fldSimple>
      <w:bookmarkEnd w:id="275"/>
      <w:r>
        <w:rPr>
          <w:noProof/>
        </w:rPr>
        <w:t>:</w:t>
      </w:r>
      <w:r w:rsidRPr="001905EE">
        <w:tab/>
        <w:t xml:space="preserve">Proposed </w:t>
      </w:r>
      <w:r>
        <w:t>descriptors</w:t>
      </w:r>
      <w:r w:rsidRPr="001905EE">
        <w:t xml:space="preserve"> for </w:t>
      </w:r>
      <w:r>
        <w:t>residential care/home visits items</w:t>
      </w:r>
      <w:bookmarkEnd w:id="276"/>
      <w:bookmarkEnd w:id="277"/>
    </w:p>
    <w:p w14:paraId="466C9100" w14:textId="3DD93AD1" w:rsidR="00691386" w:rsidRPr="00691386" w:rsidRDefault="00691386" w:rsidP="00691386">
      <w:pPr>
        <w:pStyle w:val="AspexBodyStandard"/>
      </w:pPr>
      <w:r>
        <w:rPr>
          <w:noProof/>
          <w:lang w:eastAsia="en-AU"/>
        </w:rPr>
        <w:drawing>
          <wp:inline distT="0" distB="0" distL="0" distR="0" wp14:anchorId="51B2355F" wp14:editId="387ED75F">
            <wp:extent cx="6048000" cy="4171419"/>
            <wp:effectExtent l="0" t="0" r="0" b="635"/>
            <wp:docPr id="9" name="Picture 9" descr="Proposed descriptors for residential care/home visits items as discussed in Section 6.4" title="Figure 6 7: Proposed descriptors for residential care/home visit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48000" cy="4171419"/>
                    </a:xfrm>
                    <a:prstGeom prst="rect">
                      <a:avLst/>
                    </a:prstGeom>
                  </pic:spPr>
                </pic:pic>
              </a:graphicData>
            </a:graphic>
          </wp:inline>
        </w:drawing>
      </w:r>
    </w:p>
    <w:p w14:paraId="6A13E223" w14:textId="75FCDF05" w:rsidR="004252B9" w:rsidRPr="004252B9" w:rsidRDefault="00814349" w:rsidP="00691386">
      <w:pPr>
        <w:pStyle w:val="AspexBodyStandard"/>
      </w:pPr>
      <w:r>
        <w:t>Assuming that broader changes to professional attendance items may be considered by MSAC, any anticipated increase in the use of these items has already been factored into modelled scenarios presented in the following chapter of this report.  Given the low volume of activity currently occurring across these items, data modelling of any isolated changes in utilisation without broader changes to professional attendance items for palliative care specialists was considered to be unreliable and was thus not performed.</w:t>
      </w:r>
    </w:p>
    <w:bookmarkEnd w:id="274"/>
    <w:p w14:paraId="2E949BF0" w14:textId="41F75B75" w:rsidR="0008030F" w:rsidRDefault="0008030F" w:rsidP="0008030F">
      <w:pPr>
        <w:pStyle w:val="AspexBodyStandard"/>
      </w:pPr>
      <w:r>
        <w:t>.</w:t>
      </w:r>
    </w:p>
    <w:p w14:paraId="179FC29B" w14:textId="44E0D1B5" w:rsidR="00257B86" w:rsidRDefault="005A1398" w:rsidP="00257B86">
      <w:pPr>
        <w:pStyle w:val="Heading1"/>
      </w:pPr>
      <w:bookmarkStart w:id="278" w:name="_Toc224375156"/>
      <w:bookmarkStart w:id="279" w:name="_Toc373163167"/>
      <w:bookmarkStart w:id="280" w:name="_Toc382313855"/>
      <w:bookmarkEnd w:id="241"/>
      <w:bookmarkEnd w:id="242"/>
      <w:r>
        <w:lastRenderedPageBreak/>
        <w:t>Impact of changes to r</w:t>
      </w:r>
      <w:r w:rsidR="00257B86">
        <w:t>emuner</w:t>
      </w:r>
      <w:r>
        <w:t>ation a</w:t>
      </w:r>
      <w:r w:rsidR="00257B86">
        <w:t>rrangements</w:t>
      </w:r>
      <w:bookmarkEnd w:id="278"/>
      <w:bookmarkEnd w:id="279"/>
      <w:bookmarkEnd w:id="280"/>
    </w:p>
    <w:p w14:paraId="66F98527" w14:textId="02AFD343" w:rsidR="0008030F" w:rsidRDefault="0008030F" w:rsidP="0008030F">
      <w:pPr>
        <w:pStyle w:val="Heading2"/>
      </w:pPr>
      <w:bookmarkStart w:id="281" w:name="_Toc370899178"/>
      <w:bookmarkStart w:id="282" w:name="_Toc382313856"/>
      <w:r>
        <w:t xml:space="preserve">Modelling </w:t>
      </w:r>
      <w:r w:rsidR="00012AF6">
        <w:t>o</w:t>
      </w:r>
      <w:r>
        <w:t>bjectives</w:t>
      </w:r>
      <w:bookmarkEnd w:id="281"/>
      <w:bookmarkEnd w:id="282"/>
    </w:p>
    <w:p w14:paraId="0D762900" w14:textId="24076236" w:rsidR="0008030F" w:rsidRDefault="0008030F" w:rsidP="0008030F">
      <w:pPr>
        <w:spacing w:before="240" w:after="120" w:line="240" w:lineRule="auto"/>
        <w:jc w:val="both"/>
      </w:pPr>
      <w:r w:rsidRPr="00353E87">
        <w:t xml:space="preserve">The purpose of the financial modelling undertaken is to quantify the implications for the private sector of the proposed new MBS item structures for </w:t>
      </w:r>
      <w:r w:rsidR="002A2727">
        <w:t>palliative medicine</w:t>
      </w:r>
      <w:r w:rsidRPr="00353E87">
        <w:t>.</w:t>
      </w:r>
    </w:p>
    <w:p w14:paraId="090F93D5" w14:textId="4A4F80E4" w:rsidR="0008030F" w:rsidRDefault="0008030F" w:rsidP="0008030F">
      <w:pPr>
        <w:pStyle w:val="Heading2"/>
      </w:pPr>
      <w:bookmarkStart w:id="283" w:name="_Toc370899179"/>
      <w:bookmarkStart w:id="284" w:name="_Toc382313857"/>
      <w:r>
        <w:t xml:space="preserve">Private </w:t>
      </w:r>
      <w:r w:rsidR="00012AF6">
        <w:t>s</w:t>
      </w:r>
      <w:r>
        <w:t>ector</w:t>
      </w:r>
      <w:bookmarkEnd w:id="283"/>
      <w:bookmarkEnd w:id="284"/>
    </w:p>
    <w:p w14:paraId="35A71A03" w14:textId="67108B69" w:rsidR="0008030F" w:rsidRDefault="0008030F" w:rsidP="0008030F">
      <w:pPr>
        <w:pStyle w:val="Heading3"/>
      </w:pPr>
      <w:bookmarkStart w:id="285" w:name="_Toc370899180"/>
      <w:bookmarkStart w:id="286" w:name="_Toc382313858"/>
      <w:r>
        <w:t xml:space="preserve">Scenario </w:t>
      </w:r>
      <w:r w:rsidR="00012AF6">
        <w:t>m</w:t>
      </w:r>
      <w:r>
        <w:t>odelling</w:t>
      </w:r>
      <w:bookmarkEnd w:id="285"/>
      <w:bookmarkEnd w:id="286"/>
    </w:p>
    <w:p w14:paraId="669DB171" w14:textId="071C1907" w:rsidR="0008030F" w:rsidRPr="0008030F" w:rsidRDefault="0008030F" w:rsidP="0008030F">
      <w:pPr>
        <w:spacing w:before="240" w:after="120" w:line="240" w:lineRule="auto"/>
        <w:jc w:val="both"/>
      </w:pPr>
      <w:r>
        <w:t xml:space="preserve">Two </w:t>
      </w:r>
      <w:r w:rsidR="00091200">
        <w:t>alternatives</w:t>
      </w:r>
      <w:r w:rsidR="00091200" w:rsidRPr="00020469">
        <w:t xml:space="preserve"> </w:t>
      </w:r>
      <w:r w:rsidRPr="00020469">
        <w:t>have been modelled</w:t>
      </w:r>
      <w:r w:rsidRPr="00353E87">
        <w:t xml:space="preserve"> to assess the impact of revised MBS item structures. A detailed explanation of each </w:t>
      </w:r>
      <w:r w:rsidR="00091200">
        <w:t>alternative</w:t>
      </w:r>
      <w:r w:rsidR="00091200" w:rsidRPr="00353E87">
        <w:t xml:space="preserve"> </w:t>
      </w:r>
      <w:r w:rsidRPr="00353E87">
        <w:t xml:space="preserve">is provided at </w:t>
      </w:r>
      <w:r w:rsidRPr="0008030F">
        <w:t xml:space="preserve">Chapter 6. The following sections provide a summary of the main outcomes for each </w:t>
      </w:r>
      <w:r w:rsidR="00091200">
        <w:t>alternative</w:t>
      </w:r>
      <w:r w:rsidRPr="0008030F">
        <w:t>.</w:t>
      </w:r>
    </w:p>
    <w:p w14:paraId="4AAD1969" w14:textId="67B4CCC4" w:rsidR="0008030F" w:rsidRPr="0008030F" w:rsidRDefault="0008030F" w:rsidP="00012AF6">
      <w:pPr>
        <w:pStyle w:val="Heading3"/>
      </w:pPr>
      <w:bookmarkStart w:id="287" w:name="_Toc370899181"/>
      <w:bookmarkStart w:id="288" w:name="_Toc382313859"/>
      <w:r w:rsidRPr="0008030F">
        <w:t>Scenario 1</w:t>
      </w:r>
      <w:bookmarkEnd w:id="287"/>
      <w:r w:rsidR="005A1398">
        <w:t xml:space="preserve"> – p</w:t>
      </w:r>
      <w:r w:rsidRPr="0008030F">
        <w:t xml:space="preserve">hysician </w:t>
      </w:r>
      <w:r w:rsidR="00012AF6">
        <w:t>e</w:t>
      </w:r>
      <w:r w:rsidRPr="0008030F">
        <w:t>quivalent</w:t>
      </w:r>
      <w:bookmarkEnd w:id="288"/>
    </w:p>
    <w:p w14:paraId="6DB4B76B" w14:textId="5BF8CEB9" w:rsidR="0008030F" w:rsidRDefault="0008030F" w:rsidP="0008030F">
      <w:pPr>
        <w:pStyle w:val="AspexBodyStandard"/>
      </w:pPr>
      <w:r w:rsidRPr="00ED761A">
        <w:t xml:space="preserve">This </w:t>
      </w:r>
      <w:r w:rsidR="00091200">
        <w:t>alternative</w:t>
      </w:r>
      <w:r w:rsidR="00091200" w:rsidRPr="00ED761A">
        <w:t xml:space="preserve"> </w:t>
      </w:r>
      <w:r w:rsidRPr="00ED761A">
        <w:t xml:space="preserve">assumes that there will be </w:t>
      </w:r>
      <w:r>
        <w:t>an 80:20 split between hospital/surgery and home/community visits. The current total number of services is held constant in the modelling however there is a significant change in the mix between assessments and treatments and the rates at which services are billed. In both service environments, it is assumed that the number of assessment type services will double from the current volumes and the treatment type services will be reduced commensurately. Under this proposal, assessment type services increase from 15,939 services in 2012/13 to a new total of 31,877 services.</w:t>
      </w:r>
    </w:p>
    <w:p w14:paraId="48ED81C0" w14:textId="094F2D71" w:rsidR="0008030F" w:rsidRDefault="0008030F" w:rsidP="0008030F">
      <w:pPr>
        <w:pStyle w:val="AspexBodyStandard"/>
      </w:pPr>
      <w:r>
        <w:t>For hospital/surgery assessment visits, three po</w:t>
      </w:r>
      <w:r w:rsidR="001032C8">
        <w:t>tential</w:t>
      </w:r>
      <w:r>
        <w:t xml:space="preserve"> combinations have been modelled</w:t>
      </w:r>
      <w:r w:rsidR="001032C8">
        <w:t>:</w:t>
      </w:r>
    </w:p>
    <w:p w14:paraId="5A978295" w14:textId="77777777" w:rsidR="0008030F" w:rsidRDefault="0008030F" w:rsidP="0008030F">
      <w:pPr>
        <w:pStyle w:val="AspexBullet1"/>
      </w:pPr>
      <w:r>
        <w:t>First assessment at item 132 rates and second assessment at item 3005 rates;</w:t>
      </w:r>
    </w:p>
    <w:p w14:paraId="0179742F" w14:textId="77777777" w:rsidR="0008030F" w:rsidRDefault="0008030F" w:rsidP="0008030F">
      <w:pPr>
        <w:pStyle w:val="AspexBullet1"/>
      </w:pPr>
      <w:r>
        <w:t xml:space="preserve">Both assessments at item 3005 rates; and </w:t>
      </w:r>
    </w:p>
    <w:p w14:paraId="2B6AF1B0" w14:textId="77777777" w:rsidR="0008030F" w:rsidRDefault="0008030F" w:rsidP="0008030F">
      <w:pPr>
        <w:pStyle w:val="AspexBullet1"/>
      </w:pPr>
      <w:r>
        <w:t>First assessment at item 3005 rates and second assessment at item 132 rates.</w:t>
      </w:r>
    </w:p>
    <w:p w14:paraId="40C6B2C6" w14:textId="77777777" w:rsidR="0008030F" w:rsidRDefault="0008030F" w:rsidP="0008030F">
      <w:pPr>
        <w:pStyle w:val="AspexBodyStandard"/>
      </w:pPr>
      <w:r>
        <w:t>It has also been assumed that there will be an overall 50:50 split in the use of items 132 and 3005 for hospital/surgery assessments under the three combinations described above. All subsequent treatments are at item 3010 rates.</w:t>
      </w:r>
    </w:p>
    <w:p w14:paraId="21C52000" w14:textId="77777777" w:rsidR="0008030F" w:rsidRDefault="0008030F" w:rsidP="0008030F">
      <w:pPr>
        <w:pStyle w:val="AspexBodyStandard"/>
      </w:pPr>
      <w:r>
        <w:t xml:space="preserve">Home/community assessments are estimated at 20% of total assessment volumes and for these assessments it is expected that there will be a much higher incidence of complex assessments. For these assessments, 85% are assumed to attract item 132 rates and 15% attract item 3018 rates.  All subsequent treatments are at item 3023 rates. </w:t>
      </w:r>
    </w:p>
    <w:p w14:paraId="22695580" w14:textId="4414E14B" w:rsidR="00814915" w:rsidRDefault="0008030F" w:rsidP="0008030F">
      <w:pPr>
        <w:pStyle w:val="AspexBodyStandard"/>
      </w:pPr>
      <w:r>
        <w:t xml:space="preserve">A comparison for 2012/13 between the current and proposed billing patterns and MBS items is shown in </w:t>
      </w:r>
      <w:r w:rsidR="00CA377D">
        <w:fldChar w:fldCharType="begin"/>
      </w:r>
      <w:r w:rsidR="00CA377D">
        <w:instrText xml:space="preserve"> REF _Ref373422971 \h </w:instrText>
      </w:r>
      <w:r w:rsidR="00CA377D">
        <w:fldChar w:fldCharType="separate"/>
      </w:r>
      <w:r w:rsidR="009C72FC" w:rsidRPr="00C8389B">
        <w:t>Table</w:t>
      </w:r>
      <w:r w:rsidR="009C72FC">
        <w:t xml:space="preserve"> </w:t>
      </w:r>
      <w:r w:rsidR="009C72FC">
        <w:rPr>
          <w:noProof/>
        </w:rPr>
        <w:t>7</w:t>
      </w:r>
      <w:r w:rsidR="009C72FC">
        <w:noBreakHyphen/>
      </w:r>
      <w:r w:rsidR="009C72FC">
        <w:rPr>
          <w:noProof/>
        </w:rPr>
        <w:t>1</w:t>
      </w:r>
      <w:r w:rsidR="00CA377D">
        <w:fldChar w:fldCharType="end"/>
      </w:r>
      <w:r>
        <w:t>.</w:t>
      </w:r>
    </w:p>
    <w:p w14:paraId="4BF8ED19" w14:textId="77777777" w:rsidR="00814915" w:rsidRDefault="00814915" w:rsidP="00814915">
      <w:pPr>
        <w:pStyle w:val="AspexBodyStandard"/>
      </w:pPr>
      <w:r>
        <w:br w:type="page"/>
      </w:r>
    </w:p>
    <w:p w14:paraId="2A0DA276" w14:textId="77777777" w:rsidR="0008030F" w:rsidRDefault="0008030F" w:rsidP="00C62E99">
      <w:pPr>
        <w:pStyle w:val="Caption"/>
      </w:pPr>
      <w:bookmarkStart w:id="289" w:name="_Ref373422971"/>
      <w:bookmarkStart w:id="290" w:name="_Toc382315625"/>
      <w:r w:rsidRPr="00C8389B">
        <w:lastRenderedPageBreak/>
        <w:t>Table</w:t>
      </w:r>
      <w:r>
        <w:t xml:space="preserve"> </w:t>
      </w:r>
      <w:fldSimple w:instr=" STYLEREF 1 \s ">
        <w:r w:rsidR="009C72FC">
          <w:rPr>
            <w:noProof/>
          </w:rPr>
          <w:t>7</w:t>
        </w:r>
      </w:fldSimple>
      <w:r w:rsidR="006310FD">
        <w:noBreakHyphen/>
      </w:r>
      <w:fldSimple w:instr=" SEQ Table \* ARABIC \s 1 ">
        <w:r w:rsidR="009C72FC">
          <w:rPr>
            <w:noProof/>
          </w:rPr>
          <w:t>1</w:t>
        </w:r>
      </w:fldSimple>
      <w:bookmarkEnd w:id="289"/>
      <w:r>
        <w:rPr>
          <w:noProof/>
        </w:rPr>
        <w:t>:</w:t>
      </w:r>
      <w:r>
        <w:tab/>
      </w:r>
      <w:r w:rsidRPr="0021425F">
        <w:t>Physician equivalent compared to current volumes – 2012/13</w:t>
      </w:r>
      <w:bookmarkEnd w:id="290"/>
    </w:p>
    <w:p w14:paraId="681E4243" w14:textId="77777777" w:rsidR="00C62E99" w:rsidRDefault="00C62E99" w:rsidP="00C62E99">
      <w:pPr>
        <w:pStyle w:val="AspexBodyStandard"/>
        <w:spacing w:before="120"/>
      </w:pPr>
      <w:r>
        <w:rPr>
          <w:noProof/>
          <w:lang w:eastAsia="en-AU"/>
        </w:rPr>
        <w:drawing>
          <wp:inline distT="0" distB="0" distL="0" distR="0" wp14:anchorId="4D9CF6A1" wp14:editId="19AE5AF4">
            <wp:extent cx="5723890" cy="3200731"/>
            <wp:effectExtent l="0" t="0" r="0" b="0"/>
            <wp:docPr id="28" name="Picture 28" descr="Physician equivalent compared to current volumes – 2012/13 as discussed in Section 7.2.2" title="Tabl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23890" cy="3200731"/>
                    </a:xfrm>
                    <a:prstGeom prst="rect">
                      <a:avLst/>
                    </a:prstGeom>
                  </pic:spPr>
                </pic:pic>
              </a:graphicData>
            </a:graphic>
          </wp:inline>
        </w:drawing>
      </w:r>
    </w:p>
    <w:p w14:paraId="6BE0E36C" w14:textId="7013E338" w:rsidR="0008030F" w:rsidRPr="001251BC" w:rsidRDefault="00CA377D" w:rsidP="0008030F">
      <w:pPr>
        <w:spacing w:before="240" w:after="120" w:line="240" w:lineRule="auto"/>
        <w:jc w:val="both"/>
      </w:pPr>
      <w:r>
        <w:fldChar w:fldCharType="begin"/>
      </w:r>
      <w:r>
        <w:instrText xml:space="preserve"> REF _Ref370899241 \h </w:instrText>
      </w:r>
      <w:r>
        <w:fldChar w:fldCharType="separate"/>
      </w:r>
      <w:r w:rsidR="009C72FC">
        <w:t xml:space="preserve">Figure </w:t>
      </w:r>
      <w:r w:rsidR="009C72FC">
        <w:rPr>
          <w:noProof/>
        </w:rPr>
        <w:t>7</w:t>
      </w:r>
      <w:r w:rsidR="009C72FC">
        <w:noBreakHyphen/>
      </w:r>
      <w:r w:rsidR="009C72FC">
        <w:rPr>
          <w:noProof/>
        </w:rPr>
        <w:t>1</w:t>
      </w:r>
      <w:r>
        <w:fldChar w:fldCharType="end"/>
      </w:r>
      <w:r w:rsidR="0008030F">
        <w:t xml:space="preserve">and </w:t>
      </w:r>
      <w:r>
        <w:fldChar w:fldCharType="begin"/>
      </w:r>
      <w:r>
        <w:instrText xml:space="preserve"> REF _Ref374105917 \h </w:instrText>
      </w:r>
      <w:r>
        <w:fldChar w:fldCharType="separate"/>
      </w:r>
      <w:r w:rsidR="009C72FC">
        <w:t xml:space="preserve">Figure </w:t>
      </w:r>
      <w:r w:rsidR="009C72FC">
        <w:rPr>
          <w:noProof/>
        </w:rPr>
        <w:t>7</w:t>
      </w:r>
      <w:r w:rsidR="009C72FC">
        <w:noBreakHyphen/>
      </w:r>
      <w:r w:rsidR="009C72FC">
        <w:rPr>
          <w:noProof/>
        </w:rPr>
        <w:t>2</w:t>
      </w:r>
      <w:r>
        <w:fldChar w:fldCharType="end"/>
      </w:r>
      <w:r>
        <w:t xml:space="preserve"> </w:t>
      </w:r>
      <w:r w:rsidR="0008030F" w:rsidRPr="001251BC">
        <w:t xml:space="preserve">show a comparison of this </w:t>
      </w:r>
      <w:r w:rsidR="00091200">
        <w:t>alternative</w:t>
      </w:r>
      <w:r w:rsidR="00091200" w:rsidRPr="001251BC">
        <w:t xml:space="preserve"> </w:t>
      </w:r>
      <w:r w:rsidR="0008030F" w:rsidRPr="001251BC">
        <w:t>with the current rates for charges, be</w:t>
      </w:r>
      <w:r w:rsidR="0008030F">
        <w:t xml:space="preserve">nefits and </w:t>
      </w:r>
      <w:r w:rsidR="002C4DBD">
        <w:t>out-of-pocket</w:t>
      </w:r>
      <w:r w:rsidR="0008030F">
        <w:t xml:space="preserve"> amounts for assessment and treatment services respectively</w:t>
      </w:r>
      <w:r w:rsidR="0008030F" w:rsidRPr="001251BC">
        <w:t xml:space="preserve">. There is no change in the overall volume of services delivered. </w:t>
      </w:r>
    </w:p>
    <w:p w14:paraId="2D819355" w14:textId="66B75C9D" w:rsidR="0008030F" w:rsidRPr="00080964" w:rsidRDefault="0008030F" w:rsidP="004D5603">
      <w:pPr>
        <w:pStyle w:val="Caption"/>
        <w:spacing w:before="360"/>
      </w:pPr>
      <w:bookmarkStart w:id="291" w:name="_Ref370899241"/>
      <w:bookmarkStart w:id="292" w:name="_Toc370899185"/>
      <w:bookmarkStart w:id="293" w:name="_Toc382313769"/>
      <w:r>
        <w:t xml:space="preserve">Figure </w:t>
      </w:r>
      <w:fldSimple w:instr=" STYLEREF 1 \s ">
        <w:r w:rsidR="009C72FC">
          <w:rPr>
            <w:noProof/>
          </w:rPr>
          <w:t>7</w:t>
        </w:r>
      </w:fldSimple>
      <w:r w:rsidR="00A31FC7">
        <w:noBreakHyphen/>
      </w:r>
      <w:fldSimple w:instr=" SEQ Figure \* ARABIC \s 1 ">
        <w:r w:rsidR="009C72FC">
          <w:rPr>
            <w:noProof/>
          </w:rPr>
          <w:t>1</w:t>
        </w:r>
      </w:fldSimple>
      <w:bookmarkEnd w:id="291"/>
      <w:r>
        <w:rPr>
          <w:noProof/>
        </w:rPr>
        <w:t>:</w:t>
      </w:r>
      <w:r>
        <w:tab/>
      </w:r>
      <w:r>
        <w:rPr>
          <w:noProof/>
        </w:rPr>
        <w:t>Assessment services –</w:t>
      </w:r>
      <w:bookmarkEnd w:id="292"/>
      <w:r w:rsidR="00016C6F">
        <w:t>a</w:t>
      </w:r>
      <w:r w:rsidR="00016C6F" w:rsidRPr="00080964">
        <w:t>verage $ per service by financial year</w:t>
      </w:r>
      <w:bookmarkEnd w:id="293"/>
    </w:p>
    <w:p w14:paraId="5EFDE956" w14:textId="1399C68A" w:rsidR="0008030F" w:rsidRDefault="00833638" w:rsidP="0008030F">
      <w:pPr>
        <w:pStyle w:val="AspexBodyStandard"/>
      </w:pPr>
      <w:r>
        <w:rPr>
          <w:noProof/>
          <w:lang w:eastAsia="en-AU"/>
        </w:rPr>
        <w:drawing>
          <wp:inline distT="0" distB="0" distL="0" distR="0" wp14:anchorId="64CEACB7" wp14:editId="361452F7">
            <wp:extent cx="5723890" cy="2681264"/>
            <wp:effectExtent l="0" t="0" r="0" b="5080"/>
            <wp:docPr id="54" name="Picture 3" descr="Assessment services –average $ per service by financial year as discussed in Section 7.2.2"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4DED70B1" w14:textId="4600C78A" w:rsidR="0008030F" w:rsidRDefault="0008030F" w:rsidP="0008030F">
      <w:pPr>
        <w:pStyle w:val="AspexBodyStandard"/>
      </w:pPr>
      <w:r>
        <w:t xml:space="preserve">In 2013, the average benefit paid for assessment services was $136.72 and this rises to $173.07 under this </w:t>
      </w:r>
      <w:r w:rsidR="00091200">
        <w:t>alternative</w:t>
      </w:r>
      <w:r w:rsidR="00442325">
        <w:t>,</w:t>
      </w:r>
      <w:r>
        <w:t xml:space="preserve"> which represents an increase of 26.6%. The out-of-pocket average amount increases by 21.5% from $41.19 to $50.05.</w:t>
      </w:r>
    </w:p>
    <w:p w14:paraId="5CEDB90A" w14:textId="2052A363" w:rsidR="0008030F" w:rsidRDefault="0023648D" w:rsidP="0008030F">
      <w:pPr>
        <w:pStyle w:val="Caption"/>
        <w:rPr>
          <w:b w:val="0"/>
        </w:rPr>
      </w:pPr>
      <w:bookmarkStart w:id="294" w:name="_Ref370899250"/>
      <w:r>
        <w:br w:type="column"/>
      </w:r>
      <w:bookmarkStart w:id="295" w:name="_Ref374105917"/>
      <w:bookmarkStart w:id="296" w:name="_Toc382313770"/>
      <w:r w:rsidR="0008030F">
        <w:lastRenderedPageBreak/>
        <w:t xml:space="preserve">Figure </w:t>
      </w:r>
      <w:fldSimple w:instr=" STYLEREF 1 \s ">
        <w:r w:rsidR="009C72FC">
          <w:rPr>
            <w:noProof/>
          </w:rPr>
          <w:t>7</w:t>
        </w:r>
      </w:fldSimple>
      <w:r w:rsidR="00A31FC7">
        <w:noBreakHyphen/>
      </w:r>
      <w:fldSimple w:instr=" SEQ Figure \* ARABIC \s 1 ">
        <w:r w:rsidR="009C72FC">
          <w:rPr>
            <w:noProof/>
          </w:rPr>
          <w:t>2</w:t>
        </w:r>
      </w:fldSimple>
      <w:bookmarkEnd w:id="294"/>
      <w:bookmarkEnd w:id="295"/>
      <w:r w:rsidR="0008030F">
        <w:rPr>
          <w:noProof/>
        </w:rPr>
        <w:t>:</w:t>
      </w:r>
      <w:r w:rsidR="0008030F">
        <w:tab/>
        <w:t>Treatment</w:t>
      </w:r>
      <w:r w:rsidR="0008030F">
        <w:rPr>
          <w:noProof/>
        </w:rPr>
        <w:t xml:space="preserve"> services – </w:t>
      </w:r>
      <w:r w:rsidR="00016C6F">
        <w:rPr>
          <w:noProof/>
        </w:rPr>
        <w:t>a</w:t>
      </w:r>
      <w:r w:rsidR="0008030F">
        <w:rPr>
          <w:noProof/>
        </w:rPr>
        <w:t>verage $</w:t>
      </w:r>
      <w:r w:rsidR="00016C6F">
        <w:rPr>
          <w:noProof/>
        </w:rPr>
        <w:t xml:space="preserve"> per </w:t>
      </w:r>
      <w:r w:rsidR="0008030F">
        <w:rPr>
          <w:noProof/>
        </w:rPr>
        <w:t>service</w:t>
      </w:r>
      <w:r w:rsidR="0008030F" w:rsidRPr="00D72A26">
        <w:rPr>
          <w:b w:val="0"/>
        </w:rPr>
        <w:t xml:space="preserve"> </w:t>
      </w:r>
      <w:r w:rsidR="00016C6F" w:rsidRPr="003F2673">
        <w:t>by financial year</w:t>
      </w:r>
      <w:bookmarkEnd w:id="296"/>
    </w:p>
    <w:p w14:paraId="26E0A58D" w14:textId="731253C6" w:rsidR="0008030F" w:rsidRDefault="00833638" w:rsidP="0008030F">
      <w:pPr>
        <w:pStyle w:val="AspexBodyStandard"/>
      </w:pPr>
      <w:r>
        <w:rPr>
          <w:noProof/>
          <w:lang w:eastAsia="en-AU"/>
        </w:rPr>
        <w:drawing>
          <wp:inline distT="0" distB="0" distL="0" distR="0" wp14:anchorId="00708930" wp14:editId="3972B801">
            <wp:extent cx="5723890" cy="2681264"/>
            <wp:effectExtent l="0" t="0" r="0" b="5080"/>
            <wp:docPr id="55" name="Picture 4" descr="Treatment services – average $ per service by financial year as discussed in Section 7.2.2" title="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133BE1CD" w14:textId="26F3DE10" w:rsidR="0008030F" w:rsidRDefault="0008030F" w:rsidP="0008030F">
      <w:pPr>
        <w:pStyle w:val="AspexBodyStandard"/>
      </w:pPr>
      <w:r>
        <w:t xml:space="preserve">For treatment services, the average benefit paid under this </w:t>
      </w:r>
      <w:r w:rsidR="00091200">
        <w:t xml:space="preserve">alternative </w:t>
      </w:r>
      <w:r>
        <w:t xml:space="preserve">rises by 6.9% from $60.50 in 2013 to </w:t>
      </w:r>
      <w:r w:rsidR="00442325">
        <w:t>$</w:t>
      </w:r>
      <w:r>
        <w:t xml:space="preserve">64.66. The out-of-pocket amount actually decreases by 11.3% from </w:t>
      </w:r>
      <w:r w:rsidR="00442325">
        <w:t>$</w:t>
      </w:r>
      <w:r>
        <w:t>27.22 to $21.43 due to a much higher volume of item 3023</w:t>
      </w:r>
      <w:r w:rsidR="00442325">
        <w:t>,</w:t>
      </w:r>
      <w:r>
        <w:t xml:space="preserve"> which currently attracts only a minor out-of-pocket of $0.76/service and lower volumes of item 3010</w:t>
      </w:r>
      <w:r w:rsidR="00442325">
        <w:t>,</w:t>
      </w:r>
      <w:r>
        <w:t xml:space="preserve"> which has an out-of-pocket of $26.60.</w:t>
      </w:r>
    </w:p>
    <w:p w14:paraId="7B522533" w14:textId="749AD8FC" w:rsidR="0008030F" w:rsidRDefault="0008030F" w:rsidP="0008030F">
      <w:pPr>
        <w:pStyle w:val="AspexBodyStandard"/>
      </w:pPr>
      <w:r w:rsidRPr="001251BC">
        <w:t>Total benefits paid in 201</w:t>
      </w:r>
      <w:r>
        <w:t>3</w:t>
      </w:r>
      <w:r w:rsidRPr="001251BC">
        <w:t xml:space="preserve"> under this </w:t>
      </w:r>
      <w:r w:rsidR="00091200">
        <w:t xml:space="preserve">alternative </w:t>
      </w:r>
      <w:r w:rsidRPr="001251BC">
        <w:t>are estimated at $</w:t>
      </w:r>
      <w:r>
        <w:t>8.378</w:t>
      </w:r>
      <w:r w:rsidR="000D5025">
        <w:t>M</w:t>
      </w:r>
      <w:r w:rsidR="00442325">
        <w:t>,</w:t>
      </w:r>
      <w:r w:rsidRPr="001251BC">
        <w:t xml:space="preserve"> which compares with the estimate for the current scenario of $</w:t>
      </w:r>
      <w:r>
        <w:t>5.820</w:t>
      </w:r>
      <w:r w:rsidRPr="001251BC">
        <w:t>, an increase of $</w:t>
      </w:r>
      <w:r>
        <w:t>2.558</w:t>
      </w:r>
      <w:r w:rsidR="00080964">
        <w:t>M</w:t>
      </w:r>
      <w:r>
        <w:t xml:space="preserve"> or 43.9% (before i</w:t>
      </w:r>
      <w:r w:rsidRPr="007845BC">
        <w:t xml:space="preserve">ndexation). </w:t>
      </w:r>
    </w:p>
    <w:p w14:paraId="196A0A6B" w14:textId="50A0BD24" w:rsidR="0008030F" w:rsidRDefault="00CA377D" w:rsidP="0008030F">
      <w:pPr>
        <w:pStyle w:val="AspexBodyStandard"/>
      </w:pPr>
      <w:r>
        <w:fldChar w:fldCharType="begin"/>
      </w:r>
      <w:r>
        <w:instrText xml:space="preserve"> REF _Ref373829171 \h </w:instrText>
      </w:r>
      <w:r>
        <w:fldChar w:fldCharType="separate"/>
      </w:r>
      <w:r w:rsidR="009C72FC" w:rsidRPr="00C8389B">
        <w:t>Table</w:t>
      </w:r>
      <w:r w:rsidR="009C72FC">
        <w:t xml:space="preserve"> </w:t>
      </w:r>
      <w:r w:rsidR="009C72FC">
        <w:rPr>
          <w:noProof/>
        </w:rPr>
        <w:t>7</w:t>
      </w:r>
      <w:r w:rsidR="009C72FC">
        <w:noBreakHyphen/>
      </w:r>
      <w:r w:rsidR="009C72FC">
        <w:rPr>
          <w:noProof/>
        </w:rPr>
        <w:t>2</w:t>
      </w:r>
      <w:r>
        <w:fldChar w:fldCharType="end"/>
      </w:r>
      <w:r>
        <w:t xml:space="preserve"> </w:t>
      </w:r>
      <w:r w:rsidR="0008030F">
        <w:t xml:space="preserve">shows a summary by item number of how billing patterns would look under the physician equivalent </w:t>
      </w:r>
      <w:r w:rsidR="00091200">
        <w:t>alternative</w:t>
      </w:r>
      <w:r w:rsidR="0008030F">
        <w:t>.</w:t>
      </w:r>
    </w:p>
    <w:p w14:paraId="141E6C23" w14:textId="36DF4B00" w:rsidR="0008030F" w:rsidRPr="00E52D46" w:rsidRDefault="0008030F" w:rsidP="0008030F">
      <w:pPr>
        <w:pStyle w:val="Caption"/>
      </w:pPr>
      <w:bookmarkStart w:id="297" w:name="_Ref373829171"/>
      <w:bookmarkStart w:id="298" w:name="_Toc382315626"/>
      <w:r w:rsidRPr="00C8389B">
        <w:t>Table</w:t>
      </w:r>
      <w:r>
        <w:t xml:space="preserve"> </w:t>
      </w:r>
      <w:fldSimple w:instr=" STYLEREF 1 \s ">
        <w:r w:rsidR="009C72FC">
          <w:rPr>
            <w:noProof/>
          </w:rPr>
          <w:t>7</w:t>
        </w:r>
      </w:fldSimple>
      <w:r w:rsidR="006310FD">
        <w:noBreakHyphen/>
      </w:r>
      <w:fldSimple w:instr=" SEQ Table \* ARABIC \s 1 ">
        <w:r w:rsidR="009C72FC">
          <w:rPr>
            <w:noProof/>
          </w:rPr>
          <w:t>2</w:t>
        </w:r>
      </w:fldSimple>
      <w:bookmarkEnd w:id="297"/>
      <w:r>
        <w:rPr>
          <w:noProof/>
        </w:rPr>
        <w:t>:</w:t>
      </w:r>
      <w:r>
        <w:tab/>
        <w:t xml:space="preserve">Physician equivalent rates – </w:t>
      </w:r>
      <w:r w:rsidR="00692E52">
        <w:t>2009/10 to 2014/15</w:t>
      </w:r>
      <w:bookmarkEnd w:id="298"/>
    </w:p>
    <w:p w14:paraId="6E273635" w14:textId="77777777" w:rsidR="0008030F" w:rsidRDefault="0008030F" w:rsidP="0008030F">
      <w:pPr>
        <w:pStyle w:val="AspexBodyStandard"/>
      </w:pPr>
      <w:r w:rsidRPr="00581ECD">
        <w:rPr>
          <w:noProof/>
          <w:lang w:eastAsia="en-AU"/>
        </w:rPr>
        <w:drawing>
          <wp:inline distT="0" distB="0" distL="0" distR="0" wp14:anchorId="6FB4907E" wp14:editId="7D182DDA">
            <wp:extent cx="5723890" cy="1918212"/>
            <wp:effectExtent l="0" t="0" r="0" b="6350"/>
            <wp:docPr id="68" name="Picture 68" descr="Physician equivalent rates – FY10 to FY15 as discussed in Section 7.2.2" title="Tabl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3890" cy="1918212"/>
                    </a:xfrm>
                    <a:prstGeom prst="rect">
                      <a:avLst/>
                    </a:prstGeom>
                    <a:noFill/>
                    <a:ln>
                      <a:noFill/>
                    </a:ln>
                  </pic:spPr>
                </pic:pic>
              </a:graphicData>
            </a:graphic>
          </wp:inline>
        </w:drawing>
      </w:r>
    </w:p>
    <w:p w14:paraId="715771A2" w14:textId="5B14C587" w:rsidR="0008030F" w:rsidRDefault="0023648D" w:rsidP="0008030F">
      <w:pPr>
        <w:pStyle w:val="Heading3"/>
      </w:pPr>
      <w:r>
        <w:br w:type="column"/>
      </w:r>
      <w:bookmarkStart w:id="299" w:name="_Toc382313860"/>
      <w:r w:rsidR="0008030F">
        <w:lastRenderedPageBreak/>
        <w:t xml:space="preserve">Scenario 2 – </w:t>
      </w:r>
      <w:r w:rsidR="005A1398">
        <w:t>t</w:t>
      </w:r>
      <w:r w:rsidR="0008030F">
        <w:t>ime</w:t>
      </w:r>
      <w:r w:rsidR="002C4DBD">
        <w:t>-</w:t>
      </w:r>
      <w:r w:rsidR="00012AF6">
        <w:t>t</w:t>
      </w:r>
      <w:r w:rsidR="0008030F">
        <w:t>ier</w:t>
      </w:r>
      <w:r w:rsidR="00012AF6">
        <w:t>ed</w:t>
      </w:r>
      <w:bookmarkEnd w:id="299"/>
    </w:p>
    <w:p w14:paraId="42AF40B9" w14:textId="553E9FEC" w:rsidR="0008030F" w:rsidRDefault="0008030F" w:rsidP="0008030F">
      <w:pPr>
        <w:pStyle w:val="AspexBodyStandard"/>
      </w:pPr>
      <w:r>
        <w:t>This scenario is based on time</w:t>
      </w:r>
      <w:r w:rsidR="002C4DBD">
        <w:t>-</w:t>
      </w:r>
      <w:r>
        <w:t>tier</w:t>
      </w:r>
      <w:r w:rsidR="00442325">
        <w:t>ed</w:t>
      </w:r>
      <w:r>
        <w:t xml:space="preserve"> service bands and assumes the same total volume of services as per the current position and scenario 1 – physician equivalent. This scenario also assumes the same volume of assessment and treatments services as for the physician equivalent scenario</w:t>
      </w:r>
      <w:r w:rsidR="00442325">
        <w:t>. H</w:t>
      </w:r>
      <w:r>
        <w:t>owever there is a different mix of item numbers being applied. The following table shows how assessment and treatments items are distributed across the proposed time</w:t>
      </w:r>
      <w:r w:rsidR="002C4DBD">
        <w:t>-</w:t>
      </w:r>
      <w:r>
        <w:t>tiers.</w:t>
      </w:r>
    </w:p>
    <w:p w14:paraId="5852D033" w14:textId="70195728" w:rsidR="0008030F" w:rsidRPr="00722901" w:rsidRDefault="0008030F" w:rsidP="00722901">
      <w:pPr>
        <w:pStyle w:val="Caption"/>
        <w:rPr>
          <w:b w:val="0"/>
        </w:rPr>
      </w:pPr>
      <w:r w:rsidRPr="002167FD">
        <w:t xml:space="preserve"> </w:t>
      </w:r>
      <w:bookmarkStart w:id="300" w:name="_Toc382315627"/>
      <w:r w:rsidRPr="002167FD">
        <w:t xml:space="preserve">Table </w:t>
      </w:r>
      <w:fldSimple w:instr=" STYLEREF 1 \s ">
        <w:r w:rsidR="009C72FC">
          <w:rPr>
            <w:noProof/>
          </w:rPr>
          <w:t>7</w:t>
        </w:r>
      </w:fldSimple>
      <w:r w:rsidR="006310FD" w:rsidRPr="00722901">
        <w:noBreakHyphen/>
      </w:r>
      <w:fldSimple w:instr=" SEQ Table \* ARABIC \s 1 ">
        <w:r w:rsidR="009C72FC">
          <w:rPr>
            <w:noProof/>
          </w:rPr>
          <w:t>3</w:t>
        </w:r>
      </w:fldSimple>
      <w:r w:rsidRPr="00722901">
        <w:t>:</w:t>
      </w:r>
      <w:r w:rsidRPr="00722901">
        <w:tab/>
        <w:t>Time</w:t>
      </w:r>
      <w:r w:rsidR="002C4DBD">
        <w:t>-</w:t>
      </w:r>
      <w:r w:rsidRPr="00722901">
        <w:t>tier</w:t>
      </w:r>
      <w:r w:rsidR="00012AF6">
        <w:t>ed</w:t>
      </w:r>
      <w:r w:rsidRPr="00722901">
        <w:t xml:space="preserve"> distribution by time</w:t>
      </w:r>
      <w:r w:rsidR="002C4DBD">
        <w:t>-</w:t>
      </w:r>
      <w:r w:rsidRPr="00722901">
        <w:t>tier</w:t>
      </w:r>
      <w:bookmarkEnd w:id="300"/>
    </w:p>
    <w:p w14:paraId="7C0A09F1" w14:textId="77777777" w:rsidR="00C2203B" w:rsidRDefault="0008030F" w:rsidP="0008030F">
      <w:pPr>
        <w:pStyle w:val="AspexBodyStandard"/>
      </w:pPr>
      <w:r w:rsidRPr="00062545">
        <w:rPr>
          <w:noProof/>
          <w:lang w:eastAsia="en-AU"/>
        </w:rPr>
        <w:drawing>
          <wp:inline distT="0" distB="0" distL="0" distR="0" wp14:anchorId="23A3FC9B" wp14:editId="651E9C40">
            <wp:extent cx="5724000" cy="1368704"/>
            <wp:effectExtent l="0" t="0" r="0" b="3175"/>
            <wp:docPr id="69" name="Picture 69" descr="Time tier distribution by time tier as discussed in Section 7.2.3" title="Table 7-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4000" cy="1368704"/>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2C6574" w14:textId="5FDD116E" w:rsidR="0008030F" w:rsidRPr="0008030F" w:rsidRDefault="0008030F" w:rsidP="0008030F">
      <w:pPr>
        <w:pStyle w:val="AspexBodyStandard"/>
        <w:rPr>
          <w:b/>
        </w:rPr>
      </w:pPr>
      <w:r>
        <w:t xml:space="preserve">A comparison of the volumes in 2012/13 under the current and two scenarios is shown in </w:t>
      </w:r>
      <w:r w:rsidR="00CA377D">
        <w:fldChar w:fldCharType="begin"/>
      </w:r>
      <w:r w:rsidR="00CA377D">
        <w:instrText xml:space="preserve"> REF _Ref373426971 \h </w:instrText>
      </w:r>
      <w:r w:rsidR="00CA377D">
        <w:fldChar w:fldCharType="separate"/>
      </w:r>
      <w:r w:rsidR="009C72FC" w:rsidRPr="00C8389B">
        <w:t>Table</w:t>
      </w:r>
      <w:r w:rsidR="009C72FC">
        <w:t xml:space="preserve"> </w:t>
      </w:r>
      <w:r w:rsidR="009C72FC">
        <w:rPr>
          <w:noProof/>
        </w:rPr>
        <w:t>7</w:t>
      </w:r>
      <w:r w:rsidR="009C72FC">
        <w:noBreakHyphen/>
      </w:r>
      <w:r w:rsidR="009C72FC">
        <w:rPr>
          <w:noProof/>
        </w:rPr>
        <w:t>4</w:t>
      </w:r>
      <w:r w:rsidR="00CA377D">
        <w:fldChar w:fldCharType="end"/>
      </w:r>
      <w:r w:rsidR="00CA377D">
        <w:t>.</w:t>
      </w:r>
    </w:p>
    <w:p w14:paraId="4A3CD334" w14:textId="77777777" w:rsidR="0008030F" w:rsidRDefault="0008030F" w:rsidP="00F67F50">
      <w:pPr>
        <w:pStyle w:val="Caption"/>
      </w:pPr>
      <w:bookmarkStart w:id="301" w:name="_Ref373426971"/>
      <w:bookmarkStart w:id="302" w:name="_Toc382315628"/>
      <w:r w:rsidRPr="00C8389B">
        <w:t>Table</w:t>
      </w:r>
      <w:r>
        <w:t xml:space="preserve"> </w:t>
      </w:r>
      <w:fldSimple w:instr=" STYLEREF 1 \s ">
        <w:r w:rsidR="009C72FC">
          <w:rPr>
            <w:noProof/>
          </w:rPr>
          <w:t>7</w:t>
        </w:r>
      </w:fldSimple>
      <w:r w:rsidR="006310FD">
        <w:noBreakHyphen/>
      </w:r>
      <w:fldSimple w:instr=" SEQ Table \* ARABIC \s 1 ">
        <w:r w:rsidR="009C72FC">
          <w:rPr>
            <w:noProof/>
          </w:rPr>
          <w:t>4</w:t>
        </w:r>
      </w:fldSimple>
      <w:bookmarkEnd w:id="301"/>
      <w:r>
        <w:rPr>
          <w:noProof/>
        </w:rPr>
        <w:t>:</w:t>
      </w:r>
      <w:r>
        <w:tab/>
        <w:t>Comparison by item</w:t>
      </w:r>
      <w:bookmarkEnd w:id="302"/>
    </w:p>
    <w:p w14:paraId="38F048F4" w14:textId="5E415836" w:rsidR="0017710F" w:rsidRPr="0017710F" w:rsidRDefault="0017710F" w:rsidP="0017710F">
      <w:pPr>
        <w:pStyle w:val="AspexBodyStandard"/>
      </w:pPr>
      <w:r w:rsidRPr="0017710F">
        <w:rPr>
          <w:noProof/>
          <w:lang w:eastAsia="en-AU"/>
        </w:rPr>
        <w:drawing>
          <wp:inline distT="0" distB="0" distL="0" distR="0" wp14:anchorId="360E4519" wp14:editId="16BBEE2E">
            <wp:extent cx="5723890" cy="4232585"/>
            <wp:effectExtent l="0" t="0" r="0" b="0"/>
            <wp:docPr id="71" name="Picture 71" descr="Comparison by MBS item as doscissed in Section 7.2.3" title="Tabl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3890" cy="4232585"/>
                    </a:xfrm>
                    <a:prstGeom prst="rect">
                      <a:avLst/>
                    </a:prstGeom>
                    <a:noFill/>
                    <a:ln>
                      <a:noFill/>
                    </a:ln>
                  </pic:spPr>
                </pic:pic>
              </a:graphicData>
            </a:graphic>
          </wp:inline>
        </w:drawing>
      </w:r>
    </w:p>
    <w:p w14:paraId="2246A290" w14:textId="1798D3A7" w:rsidR="0008030F" w:rsidRDefault="00CA377D" w:rsidP="0008030F">
      <w:pPr>
        <w:spacing w:before="240" w:after="120" w:line="240" w:lineRule="auto"/>
        <w:jc w:val="both"/>
      </w:pPr>
      <w:r w:rsidRPr="00CA377D">
        <w:lastRenderedPageBreak/>
        <w:fldChar w:fldCharType="begin"/>
      </w:r>
      <w:r w:rsidRPr="00CA377D">
        <w:instrText xml:space="preserve"> REF _Ref373428186 \h  \* MERGEFORMAT </w:instrText>
      </w:r>
      <w:r w:rsidRPr="00CA377D">
        <w:fldChar w:fldCharType="separate"/>
      </w:r>
      <w:r w:rsidR="009C72FC" w:rsidRPr="002167FD">
        <w:t xml:space="preserve">Figure </w:t>
      </w:r>
      <w:r w:rsidR="009C72FC">
        <w:rPr>
          <w:noProof/>
        </w:rPr>
        <w:t>7</w:t>
      </w:r>
      <w:r w:rsidR="009C72FC">
        <w:rPr>
          <w:noProof/>
        </w:rPr>
        <w:noBreakHyphen/>
        <w:t>3</w:t>
      </w:r>
      <w:r w:rsidRPr="00CA377D">
        <w:fldChar w:fldCharType="end"/>
      </w:r>
      <w:r>
        <w:t xml:space="preserve"> </w:t>
      </w:r>
      <w:r w:rsidR="0008030F">
        <w:t xml:space="preserve">and </w:t>
      </w:r>
      <w:r>
        <w:fldChar w:fldCharType="begin"/>
      </w:r>
      <w:r>
        <w:instrText xml:space="preserve"> REF _Ref373428174 \h </w:instrText>
      </w:r>
      <w:r>
        <w:fldChar w:fldCharType="separate"/>
      </w:r>
      <w:r w:rsidR="009C72FC">
        <w:t xml:space="preserve">Figure </w:t>
      </w:r>
      <w:r w:rsidR="009C72FC">
        <w:rPr>
          <w:noProof/>
        </w:rPr>
        <w:t>7</w:t>
      </w:r>
      <w:r w:rsidR="009C72FC">
        <w:noBreakHyphen/>
      </w:r>
      <w:r w:rsidR="009C72FC">
        <w:rPr>
          <w:noProof/>
        </w:rPr>
        <w:t>4</w:t>
      </w:r>
      <w:r>
        <w:fldChar w:fldCharType="end"/>
      </w:r>
      <w:r w:rsidR="0008030F">
        <w:t xml:space="preserve"> </w:t>
      </w:r>
      <w:r w:rsidR="0008030F" w:rsidRPr="001251BC">
        <w:t xml:space="preserve">show a comparison of this scenario with the current rates for </w:t>
      </w:r>
      <w:r w:rsidR="0023648D" w:rsidRPr="001251BC">
        <w:t>charges</w:t>
      </w:r>
      <w:r w:rsidR="0023648D">
        <w:t>,</w:t>
      </w:r>
      <w:r w:rsidR="0008030F" w:rsidRPr="001251BC">
        <w:t xml:space="preserve"> be</w:t>
      </w:r>
      <w:r w:rsidR="0008030F">
        <w:t xml:space="preserve">nefits and </w:t>
      </w:r>
      <w:r w:rsidR="002C4DBD">
        <w:t>out-of-pocket</w:t>
      </w:r>
      <w:r w:rsidR="0008030F">
        <w:t xml:space="preserve"> amounts for assessment and treatment services respectively</w:t>
      </w:r>
      <w:r w:rsidR="0008030F" w:rsidRPr="001251BC">
        <w:t xml:space="preserve">. There is no change in the overall volume of services delivered. </w:t>
      </w:r>
    </w:p>
    <w:p w14:paraId="0AD72EC1" w14:textId="0CAF75B6" w:rsidR="0008030F" w:rsidRPr="002167FD" w:rsidRDefault="0008030F" w:rsidP="002167FD">
      <w:pPr>
        <w:pStyle w:val="Caption"/>
      </w:pPr>
      <w:bookmarkStart w:id="303" w:name="_Ref373428186"/>
      <w:bookmarkStart w:id="304" w:name="_Ref373428160"/>
      <w:bookmarkStart w:id="305" w:name="_Toc382313771"/>
      <w:r w:rsidRPr="002167FD">
        <w:t xml:space="preserve">Figure </w:t>
      </w:r>
      <w:fldSimple w:instr=" STYLEREF 1 \s ">
        <w:r w:rsidR="009C72FC">
          <w:rPr>
            <w:noProof/>
          </w:rPr>
          <w:t>7</w:t>
        </w:r>
      </w:fldSimple>
      <w:r w:rsidR="00A31FC7">
        <w:noBreakHyphen/>
      </w:r>
      <w:fldSimple w:instr=" SEQ Figure \* ARABIC \s 1 ">
        <w:r w:rsidR="009C72FC">
          <w:rPr>
            <w:noProof/>
          </w:rPr>
          <w:t>3</w:t>
        </w:r>
      </w:fldSimple>
      <w:bookmarkEnd w:id="303"/>
      <w:r w:rsidRPr="002167FD">
        <w:t>:</w:t>
      </w:r>
      <w:r w:rsidRPr="002167FD">
        <w:tab/>
      </w:r>
      <w:bookmarkEnd w:id="304"/>
      <w:r w:rsidR="00692E52">
        <w:t>Assessment services – a</w:t>
      </w:r>
      <w:r w:rsidRPr="002167FD">
        <w:t xml:space="preserve">verage </w:t>
      </w:r>
      <w:r w:rsidR="00016C6F">
        <w:t>$</w:t>
      </w:r>
      <w:r w:rsidR="00012AF6">
        <w:t xml:space="preserve"> </w:t>
      </w:r>
      <w:r w:rsidRPr="002167FD">
        <w:t>per service</w:t>
      </w:r>
      <w:r w:rsidR="00012AF6">
        <w:t xml:space="preserve"> by financial year</w:t>
      </w:r>
      <w:bookmarkEnd w:id="305"/>
    </w:p>
    <w:p w14:paraId="7C295DAE" w14:textId="165F1A62" w:rsidR="0008030F" w:rsidRDefault="00833638" w:rsidP="0008030F">
      <w:pPr>
        <w:pStyle w:val="AspexBodyStandard"/>
      </w:pPr>
      <w:r>
        <w:rPr>
          <w:noProof/>
          <w:lang w:eastAsia="en-AU"/>
        </w:rPr>
        <w:drawing>
          <wp:inline distT="0" distB="0" distL="0" distR="0" wp14:anchorId="7B9515FD" wp14:editId="58B18D08">
            <wp:extent cx="5723890" cy="2681264"/>
            <wp:effectExtent l="0" t="0" r="0" b="5080"/>
            <wp:docPr id="56" name="Picture 5" descr="Assessment services – average $ per service by financial year as discussed in Section 7.2.3" title="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59FBC58F" w14:textId="0C791860" w:rsidR="0008030F" w:rsidRDefault="0008030F" w:rsidP="0008030F">
      <w:pPr>
        <w:pStyle w:val="AspexBodyStandard"/>
      </w:pPr>
      <w:r>
        <w:t>In 2013, the average benefit paid for assessment services was $136.72 and this rises to $161.00 under this scenario</w:t>
      </w:r>
      <w:r w:rsidR="00442325">
        <w:t>,</w:t>
      </w:r>
      <w:r>
        <w:t xml:space="preserve"> which represents an increase of 17.8%. The out-of-pocket average amount increases by 20.0% from $41.19 to $49.43.</w:t>
      </w:r>
    </w:p>
    <w:p w14:paraId="2AD6E7C7" w14:textId="2FAF22D1" w:rsidR="0008030F" w:rsidRDefault="0008030F" w:rsidP="0008030F">
      <w:pPr>
        <w:pStyle w:val="Caption"/>
      </w:pPr>
      <w:bookmarkStart w:id="306" w:name="_Ref373428174"/>
      <w:bookmarkStart w:id="307" w:name="_Toc382313772"/>
      <w:r>
        <w:t xml:space="preserve">Figure </w:t>
      </w:r>
      <w:fldSimple w:instr=" STYLEREF 1 \s ">
        <w:r w:rsidR="009C72FC">
          <w:rPr>
            <w:noProof/>
          </w:rPr>
          <w:t>7</w:t>
        </w:r>
      </w:fldSimple>
      <w:r w:rsidR="00A31FC7">
        <w:noBreakHyphen/>
      </w:r>
      <w:fldSimple w:instr=" SEQ Figure \* ARABIC \s 1 ">
        <w:r w:rsidR="009C72FC">
          <w:rPr>
            <w:noProof/>
          </w:rPr>
          <w:t>4</w:t>
        </w:r>
      </w:fldSimple>
      <w:bookmarkEnd w:id="306"/>
      <w:r>
        <w:rPr>
          <w:noProof/>
        </w:rPr>
        <w:t>:</w:t>
      </w:r>
      <w:r>
        <w:tab/>
        <w:t>Treatment</w:t>
      </w:r>
      <w:r w:rsidRPr="007B3160">
        <w:t xml:space="preserve"> </w:t>
      </w:r>
      <w:r>
        <w:t>services</w:t>
      </w:r>
      <w:r w:rsidRPr="007B3160">
        <w:t xml:space="preserve"> – </w:t>
      </w:r>
      <w:r w:rsidR="00692E52">
        <w:t>a</w:t>
      </w:r>
      <w:r>
        <w:t xml:space="preserve">verage </w:t>
      </w:r>
      <w:r w:rsidR="00016C6F">
        <w:t xml:space="preserve">$ </w:t>
      </w:r>
      <w:r>
        <w:t>per service</w:t>
      </w:r>
      <w:r w:rsidR="00016C6F">
        <w:t xml:space="preserve"> by financial year</w:t>
      </w:r>
      <w:bookmarkEnd w:id="307"/>
    </w:p>
    <w:p w14:paraId="11867531" w14:textId="74CF8990" w:rsidR="0008030F" w:rsidRPr="00E52D46" w:rsidRDefault="00833638" w:rsidP="0008030F">
      <w:pPr>
        <w:pStyle w:val="AspexBodyStandard"/>
      </w:pPr>
      <w:r>
        <w:rPr>
          <w:noProof/>
          <w:lang w:eastAsia="en-AU"/>
        </w:rPr>
        <w:drawing>
          <wp:inline distT="0" distB="0" distL="0" distR="0" wp14:anchorId="5A9ED298" wp14:editId="442C37D8">
            <wp:extent cx="5723890" cy="2681264"/>
            <wp:effectExtent l="0" t="0" r="0" b="5080"/>
            <wp:docPr id="57" name="Picture 6" descr="Treatment services – average $ per service by financial year as discussed in Section 7.2.3" title="Figure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6E4A9F9B" w14:textId="77777777" w:rsidR="0008030F" w:rsidRDefault="0008030F" w:rsidP="0008030F">
      <w:pPr>
        <w:pStyle w:val="AspexBodyStandard"/>
      </w:pPr>
      <w:r>
        <w:t>For treatment services, the average benefit paid under this scenario rises by 8.1% from $60.50 in 2013 to 65.42. The out-of-pocket amount increases only marginally by 3.3% from 27.22 to $28.11.</w:t>
      </w:r>
    </w:p>
    <w:p w14:paraId="3FD9F019" w14:textId="5079BCA0" w:rsidR="0008030F" w:rsidRDefault="0008030F" w:rsidP="0008030F">
      <w:pPr>
        <w:pStyle w:val="AspexBodyStandard"/>
      </w:pPr>
      <w:r w:rsidRPr="001251BC">
        <w:lastRenderedPageBreak/>
        <w:t>Total benefits paid in 201</w:t>
      </w:r>
      <w:r>
        <w:t>3</w:t>
      </w:r>
      <w:r w:rsidRPr="001251BC">
        <w:t xml:space="preserve"> under this scenario are estimated at $</w:t>
      </w:r>
      <w:r>
        <w:t>8.027</w:t>
      </w:r>
      <w:r w:rsidR="000D5025">
        <w:t>M</w:t>
      </w:r>
      <w:r w:rsidR="007845BC">
        <w:t>,</w:t>
      </w:r>
      <w:r w:rsidRPr="001251BC">
        <w:t xml:space="preserve"> which compares with the estimate for the current scenario of $</w:t>
      </w:r>
      <w:r>
        <w:t>5.820</w:t>
      </w:r>
      <w:r w:rsidR="000D5025">
        <w:t>M</w:t>
      </w:r>
      <w:r w:rsidRPr="001251BC">
        <w:t>, an increase of $</w:t>
      </w:r>
      <w:r>
        <w:t>2.207</w:t>
      </w:r>
      <w:r w:rsidR="000D5025">
        <w:t>M</w:t>
      </w:r>
      <w:r>
        <w:t xml:space="preserve"> or 37.9% </w:t>
      </w:r>
      <w:r w:rsidRPr="007845BC">
        <w:t>(before indexation).</w:t>
      </w:r>
    </w:p>
    <w:p w14:paraId="26DCD36A" w14:textId="2F414B53" w:rsidR="0008030F" w:rsidRPr="00AE0D7A" w:rsidRDefault="00CA377D" w:rsidP="0008030F">
      <w:pPr>
        <w:pStyle w:val="AspexBodyStandard"/>
      </w:pPr>
      <w:r>
        <w:fldChar w:fldCharType="begin"/>
      </w:r>
      <w:r>
        <w:instrText xml:space="preserve"> REF _Ref373830789 \h </w:instrText>
      </w:r>
      <w:r>
        <w:fldChar w:fldCharType="separate"/>
      </w:r>
      <w:r w:rsidR="009C72FC" w:rsidRPr="00C8389B">
        <w:t>Table</w:t>
      </w:r>
      <w:r w:rsidR="009C72FC">
        <w:t xml:space="preserve"> </w:t>
      </w:r>
      <w:r w:rsidR="009C72FC">
        <w:rPr>
          <w:noProof/>
        </w:rPr>
        <w:t>7</w:t>
      </w:r>
      <w:r w:rsidR="009C72FC">
        <w:noBreakHyphen/>
      </w:r>
      <w:r w:rsidR="009C72FC">
        <w:rPr>
          <w:noProof/>
        </w:rPr>
        <w:t>5</w:t>
      </w:r>
      <w:r>
        <w:fldChar w:fldCharType="end"/>
      </w:r>
      <w:r>
        <w:t xml:space="preserve"> </w:t>
      </w:r>
      <w:r w:rsidR="0008030F">
        <w:t>shows a summary by item number of how billing patterns would look under the time</w:t>
      </w:r>
      <w:r w:rsidR="002C4DBD">
        <w:t>-</w:t>
      </w:r>
      <w:r w:rsidR="0008030F">
        <w:t>tier scenario.</w:t>
      </w:r>
    </w:p>
    <w:p w14:paraId="00A7454E" w14:textId="393ADEBF" w:rsidR="0008030F" w:rsidRDefault="0008030F" w:rsidP="0008030F">
      <w:pPr>
        <w:pStyle w:val="Caption"/>
      </w:pPr>
      <w:bookmarkStart w:id="308" w:name="_Ref373830789"/>
      <w:bookmarkStart w:id="309" w:name="_Toc382315629"/>
      <w:r w:rsidRPr="00C8389B">
        <w:t>Table</w:t>
      </w:r>
      <w:r>
        <w:t xml:space="preserve"> </w:t>
      </w:r>
      <w:fldSimple w:instr=" STYLEREF 1 \s ">
        <w:r w:rsidR="009C72FC">
          <w:rPr>
            <w:noProof/>
          </w:rPr>
          <w:t>7</w:t>
        </w:r>
      </w:fldSimple>
      <w:r w:rsidR="006310FD">
        <w:noBreakHyphen/>
      </w:r>
      <w:fldSimple w:instr=" SEQ Table \* ARABIC \s 1 ">
        <w:r w:rsidR="009C72FC">
          <w:rPr>
            <w:noProof/>
          </w:rPr>
          <w:t>5</w:t>
        </w:r>
      </w:fldSimple>
      <w:bookmarkEnd w:id="308"/>
      <w:r>
        <w:rPr>
          <w:noProof/>
        </w:rPr>
        <w:t>:</w:t>
      </w:r>
      <w:r>
        <w:tab/>
      </w:r>
      <w:r w:rsidR="00C85633">
        <w:t>Time-tiered</w:t>
      </w:r>
      <w:r>
        <w:t xml:space="preserve"> </w:t>
      </w:r>
      <w:r w:rsidR="00016C6F">
        <w:t>r</w:t>
      </w:r>
      <w:r w:rsidR="00692E52">
        <w:t>ates – 2009/10 to 2014/15</w:t>
      </w:r>
      <w:bookmarkEnd w:id="309"/>
    </w:p>
    <w:p w14:paraId="2C1A72DD" w14:textId="77777777" w:rsidR="001962DB" w:rsidRDefault="001962DB" w:rsidP="001962DB">
      <w:pPr>
        <w:pStyle w:val="AspexBodyStandard"/>
      </w:pPr>
      <w:r w:rsidRPr="001962DB">
        <w:rPr>
          <w:noProof/>
          <w:lang w:eastAsia="en-AU"/>
        </w:rPr>
        <w:drawing>
          <wp:inline distT="0" distB="0" distL="0" distR="0" wp14:anchorId="02AFEA87" wp14:editId="31C4DED6">
            <wp:extent cx="5723890" cy="4153697"/>
            <wp:effectExtent l="0" t="0" r="0" b="0"/>
            <wp:docPr id="41" name="Picture 41" descr="Time tier rates – FY10 to FY15 as discussed in Section 7.2.3" title="Tabl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3890" cy="4153697"/>
                    </a:xfrm>
                    <a:prstGeom prst="rect">
                      <a:avLst/>
                    </a:prstGeom>
                    <a:noFill/>
                    <a:ln>
                      <a:noFill/>
                    </a:ln>
                  </pic:spPr>
                </pic:pic>
              </a:graphicData>
            </a:graphic>
          </wp:inline>
        </w:drawing>
      </w:r>
    </w:p>
    <w:p w14:paraId="0DB5649A" w14:textId="336EDAD3" w:rsidR="0008030F" w:rsidRDefault="0008030F" w:rsidP="0008030F">
      <w:pPr>
        <w:pStyle w:val="Heading3"/>
      </w:pPr>
      <w:bookmarkStart w:id="310" w:name="_Ref374104616"/>
      <w:bookmarkStart w:id="311" w:name="_Toc382313861"/>
      <w:r>
        <w:t xml:space="preserve">Financial </w:t>
      </w:r>
      <w:r w:rsidR="005A1398">
        <w:t>p</w:t>
      </w:r>
      <w:r>
        <w:t>rojections</w:t>
      </w:r>
      <w:bookmarkEnd w:id="310"/>
      <w:bookmarkEnd w:id="311"/>
    </w:p>
    <w:p w14:paraId="02E11E89" w14:textId="1143986A" w:rsidR="0008030F" w:rsidRDefault="0008030F" w:rsidP="0008030F">
      <w:pPr>
        <w:pStyle w:val="AspexBodyStandard"/>
      </w:pPr>
      <w:r>
        <w:t>The financial projections shown below have been updated to include indexation</w:t>
      </w:r>
      <w:r w:rsidR="00442325">
        <w:t>,</w:t>
      </w:r>
      <w:r>
        <w:t xml:space="preserve"> which has been based on the linear trend increases for a group of relevant MBS items:</w:t>
      </w:r>
    </w:p>
    <w:p w14:paraId="115D1A8B" w14:textId="38E25C9B" w:rsidR="0008030F" w:rsidRDefault="0008030F" w:rsidP="0008030F">
      <w:pPr>
        <w:pStyle w:val="AspexBullet1"/>
      </w:pPr>
      <w:r>
        <w:t>2014 – by 2.00%. (It is acknowledged that indexation has been deferred from November 2013 to 1 July 2014</w:t>
      </w:r>
      <w:r w:rsidR="00442325">
        <w:t>. H</w:t>
      </w:r>
      <w:r>
        <w:t>owever an appropriate increase has been included</w:t>
      </w:r>
      <w:r w:rsidR="00442325">
        <w:t>)</w:t>
      </w:r>
      <w:r>
        <w:t>.</w:t>
      </w:r>
    </w:p>
    <w:p w14:paraId="3BCFFB23" w14:textId="77777777" w:rsidR="0008030F" w:rsidRDefault="0008030F" w:rsidP="0008030F">
      <w:pPr>
        <w:pStyle w:val="AspexBullet1"/>
      </w:pPr>
      <w:r>
        <w:t>2015 – by a further 1.89%</w:t>
      </w:r>
    </w:p>
    <w:p w14:paraId="34E23C21" w14:textId="4AE336A0" w:rsidR="00777585" w:rsidRDefault="0008030F" w:rsidP="0008030F">
      <w:pPr>
        <w:pStyle w:val="AspexBodyStandard"/>
      </w:pPr>
      <w:r>
        <w:t>In 2012/13, charges by specialists under existing conditions are estimated at $8.115</w:t>
      </w:r>
      <w:r w:rsidR="000D5025">
        <w:t>M</w:t>
      </w:r>
      <w:r>
        <w:t xml:space="preserve"> ($106.60/service) rising to $9.998</w:t>
      </w:r>
      <w:r w:rsidR="000D5025">
        <w:t>M</w:t>
      </w:r>
      <w:r>
        <w:t xml:space="preserve"> ($111.44/service) by 2014/15. Under scenario 1, physician equivalent rates, charges in 2012/13 are estimated at $10.922</w:t>
      </w:r>
      <w:r w:rsidR="000D5025">
        <w:t>M</w:t>
      </w:r>
      <w:r>
        <w:t xml:space="preserve"> ($143.47/service) an increase of 34.6% or $2.807</w:t>
      </w:r>
      <w:r w:rsidR="000D5025">
        <w:t>M</w:t>
      </w:r>
      <w:r>
        <w:t xml:space="preserve"> and rise to $14.089</w:t>
      </w:r>
      <w:r w:rsidR="000D5025">
        <w:t>M</w:t>
      </w:r>
      <w:r>
        <w:t xml:space="preserve"> by 2014/15. Time</w:t>
      </w:r>
      <w:r w:rsidR="002C4DBD">
        <w:t>-</w:t>
      </w:r>
      <w:r>
        <w:t>tier charges are similar to physician equivalent charges and are estimated at $10.846</w:t>
      </w:r>
      <w:r w:rsidR="000D5025">
        <w:t>M</w:t>
      </w:r>
      <w:r>
        <w:t xml:space="preserve"> in 2012/13 ($142.48) rising to $13.438</w:t>
      </w:r>
      <w:r w:rsidR="000D5025">
        <w:t>M</w:t>
      </w:r>
      <w:r>
        <w:t xml:space="preserve"> by 2014/15 ($149.79). Details are shown in </w:t>
      </w:r>
      <w:r w:rsidR="00777585">
        <w:fldChar w:fldCharType="begin"/>
      </w:r>
      <w:r w:rsidR="00777585">
        <w:instrText xml:space="preserve"> REF _Ref371603977 \h </w:instrText>
      </w:r>
      <w:r w:rsidR="00777585">
        <w:fldChar w:fldCharType="separate"/>
      </w:r>
      <w:r w:rsidR="009C72FC">
        <w:t xml:space="preserve">Figure </w:t>
      </w:r>
      <w:r w:rsidR="009C72FC">
        <w:rPr>
          <w:noProof/>
        </w:rPr>
        <w:t>7</w:t>
      </w:r>
      <w:r w:rsidR="009C72FC">
        <w:noBreakHyphen/>
      </w:r>
      <w:r w:rsidR="009C72FC">
        <w:rPr>
          <w:noProof/>
        </w:rPr>
        <w:t>5</w:t>
      </w:r>
      <w:r w:rsidR="00777585">
        <w:fldChar w:fldCharType="end"/>
      </w:r>
      <w:r>
        <w:t>.</w:t>
      </w:r>
    </w:p>
    <w:p w14:paraId="66298804" w14:textId="77777777" w:rsidR="00777585" w:rsidRDefault="00777585" w:rsidP="00777585">
      <w:pPr>
        <w:pStyle w:val="AspexBodyStandard"/>
      </w:pPr>
      <w:r>
        <w:br w:type="page"/>
      </w:r>
    </w:p>
    <w:p w14:paraId="48B6FF66" w14:textId="1402B3FD" w:rsidR="0008030F" w:rsidRDefault="0008030F" w:rsidP="0008030F">
      <w:pPr>
        <w:pStyle w:val="Caption"/>
      </w:pPr>
      <w:bookmarkStart w:id="312" w:name="_Ref371603977"/>
      <w:bookmarkStart w:id="313" w:name="_Toc382313773"/>
      <w:r>
        <w:lastRenderedPageBreak/>
        <w:t xml:space="preserve">Figure </w:t>
      </w:r>
      <w:fldSimple w:instr=" STYLEREF 1 \s ">
        <w:r w:rsidR="009C72FC">
          <w:rPr>
            <w:noProof/>
          </w:rPr>
          <w:t>7</w:t>
        </w:r>
      </w:fldSimple>
      <w:r w:rsidR="00A31FC7">
        <w:noBreakHyphen/>
      </w:r>
      <w:fldSimple w:instr=" SEQ Figure \* ARABIC \s 1 ">
        <w:r w:rsidR="009C72FC">
          <w:rPr>
            <w:noProof/>
          </w:rPr>
          <w:t>5</w:t>
        </w:r>
      </w:fldSimple>
      <w:bookmarkEnd w:id="312"/>
      <w:r>
        <w:rPr>
          <w:noProof/>
        </w:rPr>
        <w:t>:</w:t>
      </w:r>
      <w:r>
        <w:tab/>
      </w:r>
      <w:r w:rsidRPr="00D72A26">
        <w:rPr>
          <w:b w:val="0"/>
        </w:rPr>
        <w:t xml:space="preserve"> </w:t>
      </w:r>
      <w:r>
        <w:t>Summary of options</w:t>
      </w:r>
      <w:r w:rsidRPr="009F6D70">
        <w:t xml:space="preserve"> – </w:t>
      </w:r>
      <w:r w:rsidR="00016C6F">
        <w:t>specialist c</w:t>
      </w:r>
      <w:r>
        <w:t>harges</w:t>
      </w:r>
      <w:r w:rsidR="00012AF6">
        <w:t xml:space="preserve"> by </w:t>
      </w:r>
      <w:r w:rsidR="00016C6F">
        <w:t>f</w:t>
      </w:r>
      <w:r w:rsidR="00012AF6">
        <w:t xml:space="preserve">inancial </w:t>
      </w:r>
      <w:r w:rsidR="00016C6F">
        <w:t>y</w:t>
      </w:r>
      <w:r w:rsidR="00012AF6">
        <w:t>ear</w:t>
      </w:r>
      <w:bookmarkEnd w:id="313"/>
    </w:p>
    <w:p w14:paraId="2F70B7F5" w14:textId="5DA08F31" w:rsidR="0008030F" w:rsidRPr="00DC4CF1" w:rsidRDefault="00833638" w:rsidP="0008030F">
      <w:pPr>
        <w:pStyle w:val="AspexBodyStandard"/>
        <w:rPr>
          <w:b/>
        </w:rPr>
      </w:pPr>
      <w:r w:rsidRPr="00DC4CF1">
        <w:rPr>
          <w:b/>
          <w:noProof/>
          <w:lang w:eastAsia="en-AU"/>
        </w:rPr>
        <w:drawing>
          <wp:inline distT="0" distB="0" distL="0" distR="0" wp14:anchorId="3C4C21BB" wp14:editId="43EFD0EA">
            <wp:extent cx="5723890" cy="2681264"/>
            <wp:effectExtent l="0" t="0" r="0" b="5080"/>
            <wp:docPr id="59" name="Picture 7" descr="Summary of options – specialist charges by financial year as discussed in Section 7.2.4" title="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124E0BEC" w14:textId="77777777" w:rsidR="0008030F" w:rsidRPr="001251BC" w:rsidRDefault="0008030F" w:rsidP="0008030F">
      <w:pPr>
        <w:pStyle w:val="AspexBodyStandard"/>
      </w:pPr>
      <w:r>
        <w:t xml:space="preserve">Benefits paid under the current and proposed scenarios are shown in </w:t>
      </w:r>
      <w:r w:rsidR="00CA377D">
        <w:fldChar w:fldCharType="begin"/>
      </w:r>
      <w:r w:rsidR="00CA377D">
        <w:instrText xml:space="preserve"> REF _Ref371604212 \h </w:instrText>
      </w:r>
      <w:r w:rsidR="00CA377D">
        <w:fldChar w:fldCharType="separate"/>
      </w:r>
      <w:r w:rsidR="009C72FC">
        <w:t xml:space="preserve">Figure </w:t>
      </w:r>
      <w:r w:rsidR="009C72FC">
        <w:rPr>
          <w:noProof/>
        </w:rPr>
        <w:t>7</w:t>
      </w:r>
      <w:r w:rsidR="009C72FC">
        <w:noBreakHyphen/>
      </w:r>
      <w:r w:rsidR="009C72FC">
        <w:rPr>
          <w:noProof/>
        </w:rPr>
        <w:t>6</w:t>
      </w:r>
      <w:r w:rsidR="00CA377D">
        <w:fldChar w:fldCharType="end"/>
      </w:r>
      <w:r>
        <w:t>.</w:t>
      </w:r>
    </w:p>
    <w:p w14:paraId="572C0F03" w14:textId="1732A065" w:rsidR="0008030F" w:rsidRDefault="0008030F" w:rsidP="0008030F">
      <w:pPr>
        <w:pStyle w:val="Caption"/>
      </w:pPr>
      <w:bookmarkStart w:id="314" w:name="_Ref371604212"/>
      <w:bookmarkStart w:id="315" w:name="_Toc382313774"/>
      <w:r>
        <w:t xml:space="preserve">Figure </w:t>
      </w:r>
      <w:fldSimple w:instr=" STYLEREF 1 \s ">
        <w:r w:rsidR="009C72FC">
          <w:rPr>
            <w:noProof/>
          </w:rPr>
          <w:t>7</w:t>
        </w:r>
      </w:fldSimple>
      <w:r w:rsidR="00A31FC7">
        <w:noBreakHyphen/>
      </w:r>
      <w:fldSimple w:instr=" SEQ Figure \* ARABIC \s 1 ">
        <w:r w:rsidR="009C72FC">
          <w:rPr>
            <w:noProof/>
          </w:rPr>
          <w:t>6</w:t>
        </w:r>
      </w:fldSimple>
      <w:bookmarkEnd w:id="314"/>
      <w:r>
        <w:rPr>
          <w:noProof/>
        </w:rPr>
        <w:t>:</w:t>
      </w:r>
      <w:r>
        <w:tab/>
      </w:r>
      <w:r w:rsidRPr="00D72A26">
        <w:rPr>
          <w:b w:val="0"/>
        </w:rPr>
        <w:t xml:space="preserve"> </w:t>
      </w:r>
      <w:r>
        <w:t>Summary of options</w:t>
      </w:r>
      <w:r w:rsidRPr="009F6D70">
        <w:t xml:space="preserve"> – </w:t>
      </w:r>
      <w:r w:rsidR="00016C6F">
        <w:t>b</w:t>
      </w:r>
      <w:r>
        <w:t>enefits paid</w:t>
      </w:r>
      <w:r w:rsidR="00016C6F">
        <w:t xml:space="preserve"> by financial year</w:t>
      </w:r>
      <w:bookmarkEnd w:id="315"/>
    </w:p>
    <w:p w14:paraId="5048BB5C" w14:textId="039F962C" w:rsidR="0008030F" w:rsidRPr="009F0BC8" w:rsidRDefault="0090008C" w:rsidP="0008030F">
      <w:pPr>
        <w:pStyle w:val="AspexBodyStandard"/>
      </w:pPr>
      <w:r>
        <w:rPr>
          <w:noProof/>
          <w:lang w:eastAsia="en-AU"/>
        </w:rPr>
        <w:drawing>
          <wp:inline distT="0" distB="0" distL="0" distR="0" wp14:anchorId="2EA36A90" wp14:editId="77D82556">
            <wp:extent cx="5723890" cy="2681264"/>
            <wp:effectExtent l="0" t="0" r="0" b="0"/>
            <wp:docPr id="61" name="Picture 9" descr="Summary of options – benefits paid by financial year as discussed in Section 7.2.4" title="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11488706" w14:textId="570D8BBA" w:rsidR="0008030F" w:rsidRDefault="0008030F" w:rsidP="0008030F">
      <w:pPr>
        <w:pStyle w:val="AspexBodyStandard"/>
      </w:pPr>
      <w:r>
        <w:t>In 2012/13, benefits paid under the current scenario are estimated at $5.820</w:t>
      </w:r>
      <w:r w:rsidR="000D5025">
        <w:t>M</w:t>
      </w:r>
      <w:r>
        <w:t xml:space="preserve"> ($76.45/service) rising to $7.178</w:t>
      </w:r>
      <w:r w:rsidR="000D5025">
        <w:t>M</w:t>
      </w:r>
      <w:r>
        <w:t xml:space="preserve"> ($80.01/service) by 2014/15. Under scenario 1, physician equivalent, benefits paid in 2012/13 are estimated at $8.378</w:t>
      </w:r>
      <w:r w:rsidR="000D5025">
        <w:t>M</w:t>
      </w:r>
      <w:r>
        <w:t xml:space="preserve"> ($110.06/service) an increase of $2.558</w:t>
      </w:r>
      <w:r w:rsidR="000D5025">
        <w:t>M</w:t>
      </w:r>
      <w:r>
        <w:t xml:space="preserve"> or 43.9% over current conditions. The increase above current conditions projected to 2014/15 is $3.634</w:t>
      </w:r>
      <w:r w:rsidR="000D5025">
        <w:t>M</w:t>
      </w:r>
      <w:r>
        <w:t xml:space="preserve"> or 50.6% with total benefits estimated at $10.812</w:t>
      </w:r>
      <w:r w:rsidR="000D5025">
        <w:t>M</w:t>
      </w:r>
      <w:r>
        <w:t xml:space="preserve"> ($120.52/service). Time</w:t>
      </w:r>
      <w:r w:rsidR="002C4DBD">
        <w:t>-</w:t>
      </w:r>
      <w:r>
        <w:t>tier benefits are estimated at $8.027</w:t>
      </w:r>
      <w:r w:rsidR="000D5025">
        <w:t>M</w:t>
      </w:r>
      <w:r>
        <w:t xml:space="preserve"> in 2012/13 ($105.45) which is lower than the physician equivalent benefit by </w:t>
      </w:r>
      <w:r w:rsidR="00080964">
        <w:t>$</w:t>
      </w:r>
      <w:r>
        <w:t>0.351</w:t>
      </w:r>
      <w:r w:rsidR="00080964">
        <w:t>M</w:t>
      </w:r>
      <w:r>
        <w:t xml:space="preserve"> and rises to $9.957</w:t>
      </w:r>
      <w:r w:rsidR="000D5025">
        <w:t>M</w:t>
      </w:r>
      <w:r>
        <w:t xml:space="preserve"> by 2014/15 ($110.99/service).</w:t>
      </w:r>
    </w:p>
    <w:p w14:paraId="2670B96A" w14:textId="1450F24B" w:rsidR="00814915" w:rsidRDefault="0008030F" w:rsidP="0008030F">
      <w:pPr>
        <w:pStyle w:val="AspexBodyStandard"/>
      </w:pPr>
      <w:r>
        <w:t xml:space="preserve">Out-of-pocket outlays are shown in </w:t>
      </w:r>
      <w:r w:rsidR="00CA377D">
        <w:fldChar w:fldCharType="begin"/>
      </w:r>
      <w:r w:rsidR="00CA377D">
        <w:instrText xml:space="preserve"> REF _Ref371604762 \h </w:instrText>
      </w:r>
      <w:r w:rsidR="00CA377D">
        <w:fldChar w:fldCharType="separate"/>
      </w:r>
      <w:r w:rsidR="009C72FC">
        <w:t xml:space="preserve">Figure </w:t>
      </w:r>
      <w:r w:rsidR="009C72FC">
        <w:rPr>
          <w:noProof/>
        </w:rPr>
        <w:t>7</w:t>
      </w:r>
      <w:r w:rsidR="009C72FC">
        <w:noBreakHyphen/>
      </w:r>
      <w:r w:rsidR="009C72FC">
        <w:rPr>
          <w:noProof/>
        </w:rPr>
        <w:t>7</w:t>
      </w:r>
      <w:r w:rsidR="00CA377D">
        <w:fldChar w:fldCharType="end"/>
      </w:r>
      <w:r>
        <w:t>. Under current conditions, out-of-pocket expenses are $2.295</w:t>
      </w:r>
      <w:r w:rsidR="000D5025">
        <w:t>M</w:t>
      </w:r>
      <w:r>
        <w:t xml:space="preserve"> in 2012/13 ($30.14/service) rising to $2.820</w:t>
      </w:r>
      <w:r w:rsidR="000D5025">
        <w:t>M</w:t>
      </w:r>
      <w:r>
        <w:t xml:space="preserve"> in 2014/15 ($31.43/service)</w:t>
      </w:r>
    </w:p>
    <w:p w14:paraId="4D85CEE1" w14:textId="060FF26C" w:rsidR="0008030F" w:rsidRDefault="0008030F" w:rsidP="0008030F">
      <w:pPr>
        <w:pStyle w:val="Caption"/>
      </w:pPr>
      <w:bookmarkStart w:id="316" w:name="_Ref371604762"/>
      <w:bookmarkStart w:id="317" w:name="_Toc382313775"/>
      <w:r>
        <w:lastRenderedPageBreak/>
        <w:t xml:space="preserve">Figure </w:t>
      </w:r>
      <w:fldSimple w:instr=" STYLEREF 1 \s ">
        <w:r w:rsidR="009C72FC">
          <w:rPr>
            <w:noProof/>
          </w:rPr>
          <w:t>7</w:t>
        </w:r>
      </w:fldSimple>
      <w:r w:rsidR="00A31FC7">
        <w:noBreakHyphen/>
      </w:r>
      <w:fldSimple w:instr=" SEQ Figure \* ARABIC \s 1 ">
        <w:r w:rsidR="009C72FC">
          <w:rPr>
            <w:noProof/>
          </w:rPr>
          <w:t>7</w:t>
        </w:r>
      </w:fldSimple>
      <w:bookmarkEnd w:id="316"/>
      <w:r>
        <w:rPr>
          <w:noProof/>
        </w:rPr>
        <w:t>:</w:t>
      </w:r>
      <w:r>
        <w:tab/>
      </w:r>
      <w:r w:rsidRPr="00D72A26">
        <w:rPr>
          <w:b w:val="0"/>
        </w:rPr>
        <w:t xml:space="preserve"> </w:t>
      </w:r>
      <w:r>
        <w:t>Summary of options</w:t>
      </w:r>
      <w:r w:rsidRPr="009F6D70">
        <w:t xml:space="preserve"> – </w:t>
      </w:r>
      <w:r w:rsidR="00016C6F">
        <w:t>o</w:t>
      </w:r>
      <w:r>
        <w:t>ut-of-pockets</w:t>
      </w:r>
      <w:r w:rsidR="00016C6F">
        <w:t xml:space="preserve"> by financial year</w:t>
      </w:r>
      <w:bookmarkEnd w:id="317"/>
    </w:p>
    <w:p w14:paraId="215E707F" w14:textId="599898C8" w:rsidR="0008030F" w:rsidRPr="00C573D6" w:rsidRDefault="0090008C" w:rsidP="0008030F">
      <w:pPr>
        <w:pStyle w:val="AspexBodyStandard"/>
      </w:pPr>
      <w:r>
        <w:rPr>
          <w:noProof/>
          <w:lang w:eastAsia="en-AU"/>
        </w:rPr>
        <w:drawing>
          <wp:inline distT="0" distB="0" distL="0" distR="0" wp14:anchorId="161A715C" wp14:editId="5DCB8CD6">
            <wp:extent cx="5723890" cy="2681264"/>
            <wp:effectExtent l="0" t="0" r="0" b="5080"/>
            <wp:docPr id="65" name="Picture 10" descr="Summary of options – out-of-pockets by financial yearas discussed in Section 7.2.4" title="Figure 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3890" cy="2681264"/>
                    </a:xfrm>
                    <a:prstGeom prst="rect">
                      <a:avLst/>
                    </a:prstGeom>
                    <a:noFill/>
                    <a:ln>
                      <a:noFill/>
                    </a:ln>
                  </pic:spPr>
                </pic:pic>
              </a:graphicData>
            </a:graphic>
          </wp:inline>
        </w:drawing>
      </w:r>
    </w:p>
    <w:p w14:paraId="3F0E7B0C" w14:textId="3A9F8B30" w:rsidR="0008030F" w:rsidRPr="00B347A1" w:rsidRDefault="0008030F" w:rsidP="0008030F">
      <w:pPr>
        <w:pStyle w:val="AspexBodyStandard"/>
      </w:pPr>
      <w:r>
        <w:t>Under scenario 1, physician equivalent, out-of-pocket expenses are estimated at $2.544</w:t>
      </w:r>
      <w:r w:rsidR="000D5025">
        <w:t>M</w:t>
      </w:r>
      <w:r>
        <w:t xml:space="preserve"> ($33.42/service) in 2012/13, an inc</w:t>
      </w:r>
      <w:r w:rsidR="00777585">
        <w:t>rease of $0.249</w:t>
      </w:r>
      <w:r w:rsidR="000D5025">
        <w:t>M</w:t>
      </w:r>
      <w:r w:rsidR="00777585">
        <w:t xml:space="preserve"> or 10.9</w:t>
      </w:r>
      <w:r>
        <w:t>% above current conditions. In 2014/15 the out-of-pockets under scenario 1 are projected to rise to $3.277</w:t>
      </w:r>
      <w:r w:rsidR="000D5025">
        <w:t>M</w:t>
      </w:r>
      <w:r w:rsidR="0023648D">
        <w:t>,</w:t>
      </w:r>
      <w:r>
        <w:t xml:space="preserve"> which is 16.2% or $0.457</w:t>
      </w:r>
      <w:r w:rsidR="000D5025">
        <w:t>M</w:t>
      </w:r>
      <w:r>
        <w:t xml:space="preserve"> above the current conditions projected to 2014/15. The time</w:t>
      </w:r>
      <w:r w:rsidR="002C4DBD">
        <w:t>-</w:t>
      </w:r>
      <w:r>
        <w:t>tier out-of pockets are higher than scenario 1 and are estimated at $2.819</w:t>
      </w:r>
      <w:r w:rsidR="000D5025">
        <w:t>M</w:t>
      </w:r>
      <w:r>
        <w:t xml:space="preserve"> ($37.04) in 2012/13 rising to $3.481</w:t>
      </w:r>
      <w:r w:rsidR="000D5025">
        <w:t>M</w:t>
      </w:r>
      <w:r>
        <w:t xml:space="preserve"> in 2014/15 ($38.80/service).</w:t>
      </w:r>
    </w:p>
    <w:p w14:paraId="29935D11" w14:textId="15AB9585" w:rsidR="004263C1" w:rsidRPr="00D66D75" w:rsidRDefault="004263C1" w:rsidP="004263C1">
      <w:pPr>
        <w:pStyle w:val="Heading2"/>
        <w:tabs>
          <w:tab w:val="clear" w:pos="964"/>
        </w:tabs>
        <w:ind w:left="851" w:hanging="851"/>
      </w:pPr>
      <w:bookmarkStart w:id="318" w:name="_Toc224792903"/>
      <w:bookmarkStart w:id="319" w:name="_Toc382313862"/>
      <w:r>
        <w:t xml:space="preserve">Public </w:t>
      </w:r>
      <w:r w:rsidR="00012AF6">
        <w:t>s</w:t>
      </w:r>
      <w:r>
        <w:t>ector</w:t>
      </w:r>
      <w:bookmarkEnd w:id="318"/>
      <w:bookmarkEnd w:id="319"/>
    </w:p>
    <w:p w14:paraId="1566299F" w14:textId="442ABA98" w:rsidR="004263C1" w:rsidRDefault="004263C1" w:rsidP="004263C1">
      <w:pPr>
        <w:pStyle w:val="AspexBodyStandard"/>
      </w:pPr>
      <w:r>
        <w:t xml:space="preserve">Current costs of public sector services could not be reliably estimated.  More than half of the current </w:t>
      </w:r>
      <w:r w:rsidR="002A2727">
        <w:t>palliative medicine</w:t>
      </w:r>
      <w:r w:rsidRPr="000E2752">
        <w:t xml:space="preserve"> </w:t>
      </w:r>
      <w:r>
        <w:t>specialists work in the public sector.  However, the costs associated with individual patient treatments cannot be separated from the costs of other clinicians assessing and treating patients.</w:t>
      </w:r>
    </w:p>
    <w:p w14:paraId="0B578771" w14:textId="04AABF10" w:rsidR="004263C1" w:rsidRDefault="004263C1" w:rsidP="004263C1">
      <w:pPr>
        <w:pStyle w:val="AspexBodyStandard"/>
      </w:pPr>
      <w:r>
        <w:t xml:space="preserve">The multi-disciplinary models of care that universally operate in the public sector are often very different in the level of involvement of the </w:t>
      </w:r>
      <w:r w:rsidR="002A2727">
        <w:t>palliative medicine</w:t>
      </w:r>
      <w:r w:rsidRPr="000E2752">
        <w:t xml:space="preserve"> </w:t>
      </w:r>
      <w:r>
        <w:t>specialist in the care of patients.</w:t>
      </w:r>
    </w:p>
    <w:p w14:paraId="37F3A2E3" w14:textId="77777777" w:rsidR="006310FD" w:rsidRDefault="006310FD" w:rsidP="006310FD">
      <w:pPr>
        <w:pStyle w:val="Heading2"/>
      </w:pPr>
      <w:bookmarkStart w:id="320" w:name="_Toc382313863"/>
      <w:r>
        <w:t>Revised estimates of cost associated with potentially preventable admissions</w:t>
      </w:r>
      <w:bookmarkEnd w:id="320"/>
    </w:p>
    <w:p w14:paraId="766CD076" w14:textId="4C60B4B3" w:rsidR="0035169D" w:rsidRDefault="006310FD" w:rsidP="0035169D">
      <w:pPr>
        <w:pStyle w:val="AspexBodyStandard"/>
      </w:pPr>
      <w:r w:rsidRPr="00601B38">
        <w:t xml:space="preserve">Given the differences in MBS item rebates under the proposed scenarios, notional cost savings associated with potentially preventable hospital admissions (via maintenance of patient treatment in the community) were re-estimated. </w:t>
      </w:r>
      <w:r w:rsidR="00601B38" w:rsidRPr="00601B38">
        <w:t>Under a physician equivalent scenario (</w:t>
      </w:r>
      <w:r w:rsidR="00601B38" w:rsidRPr="00601B38">
        <w:fldChar w:fldCharType="begin"/>
      </w:r>
      <w:r w:rsidR="00601B38" w:rsidRPr="00601B38">
        <w:instrText xml:space="preserve"> REF _Ref247923645 \h </w:instrText>
      </w:r>
      <w:r w:rsidR="00601B38">
        <w:instrText xml:space="preserve"> \* MERGEFORMAT </w:instrText>
      </w:r>
      <w:r w:rsidR="00601B38" w:rsidRPr="00601B38">
        <w:fldChar w:fldCharType="separate"/>
      </w:r>
      <w:r w:rsidR="009C72FC" w:rsidRPr="00601B38">
        <w:t xml:space="preserve">Table </w:t>
      </w:r>
      <w:r w:rsidR="009C72FC">
        <w:rPr>
          <w:noProof/>
        </w:rPr>
        <w:t>7</w:t>
      </w:r>
      <w:r w:rsidR="009C72FC" w:rsidRPr="00601B38">
        <w:rPr>
          <w:noProof/>
        </w:rPr>
        <w:noBreakHyphen/>
      </w:r>
      <w:r w:rsidR="009C72FC">
        <w:rPr>
          <w:noProof/>
        </w:rPr>
        <w:t>6</w:t>
      </w:r>
      <w:r w:rsidR="00601B38" w:rsidRPr="00601B38">
        <w:fldChar w:fldCharType="end"/>
      </w:r>
      <w:r w:rsidR="00601B38" w:rsidRPr="00601B38">
        <w:t>), an additional outlay of up to $5.0</w:t>
      </w:r>
      <w:r w:rsidR="000D5025">
        <w:t>M</w:t>
      </w:r>
      <w:r w:rsidR="00601B38" w:rsidRPr="00601B38">
        <w:t xml:space="preserve"> in specialist consultation fees would notionally save the health system an estimated </w:t>
      </w:r>
      <w:r w:rsidR="0035169D" w:rsidRPr="00601B38">
        <w:t>$21</w:t>
      </w:r>
      <w:r w:rsidR="0035169D">
        <w:t>M</w:t>
      </w:r>
      <w:r w:rsidR="0035169D" w:rsidRPr="00601B38">
        <w:t xml:space="preserve"> </w:t>
      </w:r>
      <w:r w:rsidR="0035169D">
        <w:t xml:space="preserve">if </w:t>
      </w:r>
      <w:r w:rsidR="0035169D" w:rsidRPr="00601B38">
        <w:t>an additional 20% of the palliative care population</w:t>
      </w:r>
      <w:r w:rsidR="0035169D">
        <w:t xml:space="preserve"> could be identified and treated</w:t>
      </w:r>
      <w:r w:rsidR="0035169D" w:rsidRPr="00601B38">
        <w:t xml:space="preserve"> in the community</w:t>
      </w:r>
      <w:r w:rsidR="0035169D">
        <w:t xml:space="preserve"> (avoiding a potentially preventable hospital admission)</w:t>
      </w:r>
      <w:r w:rsidR="0035169D" w:rsidRPr="00601B38">
        <w:t>.</w:t>
      </w:r>
    </w:p>
    <w:p w14:paraId="18BCB815" w14:textId="29EFFA94" w:rsidR="0039120C" w:rsidRDefault="00601B38" w:rsidP="0039120C">
      <w:pPr>
        <w:pStyle w:val="AspexBodyStandard"/>
      </w:pPr>
      <w:r w:rsidRPr="00601B38">
        <w:t>.</w:t>
      </w:r>
      <w:r w:rsidR="0039120C">
        <w:br w:type="page"/>
      </w:r>
    </w:p>
    <w:p w14:paraId="1AEEBA66" w14:textId="61BE3FDA" w:rsidR="006310FD" w:rsidRDefault="006310FD" w:rsidP="006310FD">
      <w:pPr>
        <w:pStyle w:val="Caption"/>
      </w:pPr>
      <w:bookmarkStart w:id="321" w:name="_Ref247923645"/>
      <w:bookmarkStart w:id="322" w:name="_Ref247923621"/>
      <w:bookmarkStart w:id="323" w:name="_Toc382315630"/>
      <w:r w:rsidRPr="00601B38">
        <w:lastRenderedPageBreak/>
        <w:t xml:space="preserve">Table </w:t>
      </w:r>
      <w:fldSimple w:instr=" STYLEREF 1 \s ">
        <w:r w:rsidR="009C72FC">
          <w:rPr>
            <w:noProof/>
          </w:rPr>
          <w:t>7</w:t>
        </w:r>
      </w:fldSimple>
      <w:r w:rsidRPr="00601B38">
        <w:noBreakHyphen/>
      </w:r>
      <w:fldSimple w:instr=" SEQ Table \* ARABIC \s 1 ">
        <w:r w:rsidR="009C72FC">
          <w:rPr>
            <w:noProof/>
          </w:rPr>
          <w:t>6</w:t>
        </w:r>
      </w:fldSimple>
      <w:bookmarkEnd w:id="321"/>
      <w:r w:rsidR="002167FD">
        <w:t>:</w:t>
      </w:r>
      <w:r w:rsidR="002167FD">
        <w:tab/>
      </w:r>
      <w:r w:rsidRPr="00601B38">
        <w:t>Notional cost savings under a physician equivalent MBS scenario</w:t>
      </w:r>
      <w:bookmarkEnd w:id="322"/>
      <w:bookmarkEnd w:id="323"/>
    </w:p>
    <w:p w14:paraId="63C29C3B" w14:textId="6EAA6F40" w:rsidR="00B57B31" w:rsidRDefault="00106CD9" w:rsidP="00601B38">
      <w:pPr>
        <w:pStyle w:val="AspexBodyStandard"/>
      </w:pPr>
      <w:r>
        <w:rPr>
          <w:noProof/>
          <w:lang w:eastAsia="en-AU"/>
        </w:rPr>
        <w:drawing>
          <wp:inline distT="0" distB="0" distL="0" distR="0" wp14:anchorId="1B7AE128" wp14:editId="02662609">
            <wp:extent cx="5723890" cy="5298267"/>
            <wp:effectExtent l="0" t="0" r="0" b="0"/>
            <wp:docPr id="37" name="Picture 37" descr="Notional cost savings under a physician equivalent MBS scenario as discussed in Section 7.4" title="Table 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23890" cy="5298267"/>
                    </a:xfrm>
                    <a:prstGeom prst="rect">
                      <a:avLst/>
                    </a:prstGeom>
                  </pic:spPr>
                </pic:pic>
              </a:graphicData>
            </a:graphic>
          </wp:inline>
        </w:drawing>
      </w:r>
    </w:p>
    <w:p w14:paraId="483ED484" w14:textId="6AD837C6" w:rsidR="00601B38" w:rsidRDefault="00601B38" w:rsidP="00601B38">
      <w:pPr>
        <w:pStyle w:val="AspexBodyStandard"/>
      </w:pPr>
      <w:r w:rsidRPr="00601B38">
        <w:t>Under a time-tiered scenario (</w:t>
      </w:r>
      <w:r w:rsidRPr="00601B38">
        <w:fldChar w:fldCharType="begin"/>
      </w:r>
      <w:r w:rsidRPr="00601B38">
        <w:instrText xml:space="preserve"> REF _Ref247923699 \h </w:instrText>
      </w:r>
      <w:r>
        <w:instrText xml:space="preserve"> \* MERGEFORMAT </w:instrText>
      </w:r>
      <w:r w:rsidRPr="00601B38">
        <w:fldChar w:fldCharType="separate"/>
      </w:r>
      <w:r w:rsidR="009C72FC" w:rsidRPr="00601B38">
        <w:t xml:space="preserve">Table </w:t>
      </w:r>
      <w:r w:rsidR="009C72FC">
        <w:rPr>
          <w:noProof/>
        </w:rPr>
        <w:t>7</w:t>
      </w:r>
      <w:r w:rsidR="009C72FC" w:rsidRPr="00601B38">
        <w:rPr>
          <w:noProof/>
        </w:rPr>
        <w:noBreakHyphen/>
      </w:r>
      <w:r w:rsidR="009C72FC">
        <w:rPr>
          <w:noProof/>
        </w:rPr>
        <w:t>7</w:t>
      </w:r>
      <w:r w:rsidRPr="00601B38">
        <w:fldChar w:fldCharType="end"/>
      </w:r>
      <w:r w:rsidRPr="00601B38">
        <w:t>) an additional outlay of up to $4.7</w:t>
      </w:r>
      <w:r w:rsidR="000D5025">
        <w:t>M</w:t>
      </w:r>
      <w:r w:rsidRPr="00601B38">
        <w:t xml:space="preserve"> in specialist consultation fees would also notionally save the health system an estimated $21</w:t>
      </w:r>
      <w:r w:rsidR="000D5025">
        <w:t>M</w:t>
      </w:r>
      <w:r w:rsidRPr="00601B38">
        <w:t xml:space="preserve"> </w:t>
      </w:r>
      <w:r w:rsidR="00B74A87">
        <w:t xml:space="preserve">if </w:t>
      </w:r>
      <w:r w:rsidRPr="00601B38">
        <w:t>an additional 20% of the palliative care population</w:t>
      </w:r>
      <w:r w:rsidR="00B74A87">
        <w:t xml:space="preserve"> could be identified and treated</w:t>
      </w:r>
      <w:r w:rsidRPr="00601B38">
        <w:t xml:space="preserve"> in the community</w:t>
      </w:r>
      <w:r w:rsidR="00B74A87">
        <w:t xml:space="preserve"> (avoiding a potentially preventable hospital admission)</w:t>
      </w:r>
      <w:r w:rsidRPr="00601B38">
        <w:t>.</w:t>
      </w:r>
    </w:p>
    <w:p w14:paraId="2D6BA246" w14:textId="77777777" w:rsidR="0039120C" w:rsidRDefault="0039120C" w:rsidP="0039120C">
      <w:pPr>
        <w:pStyle w:val="AspexBodyStandard"/>
      </w:pPr>
      <w:r>
        <w:br w:type="page"/>
      </w:r>
    </w:p>
    <w:p w14:paraId="153D1480" w14:textId="0DACBDC6" w:rsidR="006310FD" w:rsidRDefault="006310FD" w:rsidP="006310FD">
      <w:pPr>
        <w:pStyle w:val="Caption"/>
      </w:pPr>
      <w:bookmarkStart w:id="324" w:name="_Ref247923699"/>
      <w:bookmarkStart w:id="325" w:name="_Toc382315631"/>
      <w:r w:rsidRPr="00601B38">
        <w:lastRenderedPageBreak/>
        <w:t xml:space="preserve">Table </w:t>
      </w:r>
      <w:fldSimple w:instr=" STYLEREF 1 \s ">
        <w:r w:rsidR="009C72FC">
          <w:rPr>
            <w:noProof/>
          </w:rPr>
          <w:t>7</w:t>
        </w:r>
      </w:fldSimple>
      <w:r w:rsidRPr="00601B38">
        <w:noBreakHyphen/>
      </w:r>
      <w:fldSimple w:instr=" SEQ Table \* ARABIC \s 1 ">
        <w:r w:rsidR="009C72FC">
          <w:rPr>
            <w:noProof/>
          </w:rPr>
          <w:t>7</w:t>
        </w:r>
      </w:fldSimple>
      <w:bookmarkEnd w:id="324"/>
      <w:r w:rsidR="002167FD">
        <w:t>:</w:t>
      </w:r>
      <w:r w:rsidR="002167FD">
        <w:tab/>
      </w:r>
      <w:r w:rsidRPr="00601B38">
        <w:t>Notional cost savings under a time-tiered MBS scenario</w:t>
      </w:r>
      <w:bookmarkEnd w:id="325"/>
    </w:p>
    <w:p w14:paraId="4B82B0E9" w14:textId="4A889B72" w:rsidR="00B57B31" w:rsidRDefault="00106CD9" w:rsidP="00601B38">
      <w:pPr>
        <w:pStyle w:val="AspexBodyStandard"/>
      </w:pPr>
      <w:r>
        <w:rPr>
          <w:noProof/>
          <w:lang w:eastAsia="en-AU"/>
        </w:rPr>
        <w:drawing>
          <wp:inline distT="0" distB="0" distL="0" distR="0" wp14:anchorId="75C04299" wp14:editId="681A1145">
            <wp:extent cx="5723890" cy="5341686"/>
            <wp:effectExtent l="0" t="0" r="0" b="0"/>
            <wp:docPr id="38" name="Picture 38" descr="Notional cost savings under a time-tiered MBS scenario as discussed in Section 7.4" title="Table 7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23890" cy="5341686"/>
                    </a:xfrm>
                    <a:prstGeom prst="rect">
                      <a:avLst/>
                    </a:prstGeom>
                  </pic:spPr>
                </pic:pic>
              </a:graphicData>
            </a:graphic>
          </wp:inline>
        </w:drawing>
      </w:r>
    </w:p>
    <w:p w14:paraId="621C5709" w14:textId="77777777" w:rsidR="004263C1" w:rsidRDefault="004263C1" w:rsidP="004263C1">
      <w:pPr>
        <w:pStyle w:val="Heading2"/>
        <w:tabs>
          <w:tab w:val="clear" w:pos="964"/>
        </w:tabs>
        <w:ind w:left="851" w:hanging="851"/>
      </w:pPr>
      <w:bookmarkStart w:id="326" w:name="_Toc224792904"/>
      <w:bookmarkStart w:id="327" w:name="_Toc382313864"/>
      <w:r>
        <w:t>Impact upon supply of specialists</w:t>
      </w:r>
      <w:bookmarkEnd w:id="326"/>
      <w:bookmarkEnd w:id="327"/>
    </w:p>
    <w:p w14:paraId="7443CC15" w14:textId="7076DBCD" w:rsidR="004263C1" w:rsidRDefault="004263C1" w:rsidP="004263C1">
      <w:pPr>
        <w:pStyle w:val="AspexBodyStandard"/>
      </w:pPr>
      <w:r>
        <w:t xml:space="preserve">Anecdotal reports from representatives of the Chapter of </w:t>
      </w:r>
      <w:r w:rsidR="00080964">
        <w:t>Palliative M</w:t>
      </w:r>
      <w:r w:rsidR="002A2727">
        <w:t>edicine</w:t>
      </w:r>
      <w:r>
        <w:t xml:space="preserve"> indicate that the availability of MBS items for </w:t>
      </w:r>
      <w:r w:rsidR="002A2727">
        <w:t>palliative medicine</w:t>
      </w:r>
      <w:r w:rsidRPr="000E2752">
        <w:t xml:space="preserve"> </w:t>
      </w:r>
      <w:r>
        <w:t>would have a positive impact upon the supply of specialists.  There are several self-reinforcing reasons for this advice, including but not limited to:</w:t>
      </w:r>
    </w:p>
    <w:p w14:paraId="67F93D55" w14:textId="77777777" w:rsidR="004263C1" w:rsidRDefault="004263C1" w:rsidP="004263C1">
      <w:pPr>
        <w:pStyle w:val="AspexBullet1"/>
      </w:pPr>
      <w:r>
        <w:t>Current benefit levels are unable to support a viable private practice.  Hence, the fee structure is actively working against attracting specialists into private practice</w:t>
      </w:r>
      <w:r w:rsidR="00E331ED">
        <w:t>, and retaining specialists in private hospital practices that rely upon fee-for-service arrangements</w:t>
      </w:r>
      <w:r>
        <w:t>; and</w:t>
      </w:r>
    </w:p>
    <w:p w14:paraId="5FB2E1E2" w14:textId="7603200E" w:rsidR="004263C1" w:rsidRDefault="004263C1" w:rsidP="004263C1">
      <w:pPr>
        <w:pStyle w:val="AspexBullet1"/>
      </w:pPr>
      <w:r>
        <w:t xml:space="preserve">The current remuneration </w:t>
      </w:r>
      <w:proofErr w:type="gramStart"/>
      <w:r>
        <w:t xml:space="preserve">levels for </w:t>
      </w:r>
      <w:r w:rsidR="002A2727">
        <w:t>palliative medicine</w:t>
      </w:r>
      <w:r w:rsidRPr="000E2752">
        <w:t xml:space="preserve"> </w:t>
      </w:r>
      <w:r>
        <w:t>is</w:t>
      </w:r>
      <w:proofErr w:type="gramEnd"/>
      <w:r>
        <w:t xml:space="preserve"> a disincentive in attracting candidates compared with other specialty areas.  </w:t>
      </w:r>
      <w:r w:rsidR="009E1C48">
        <w:t>Whilst more recent data indicates an increase in the number of new fellows, it remains to be seen if this will have a long-lasting effect on the number of applications for</w:t>
      </w:r>
      <w:r>
        <w:t xml:space="preserve"> accredited </w:t>
      </w:r>
      <w:r w:rsidR="002A2727">
        <w:t>palliative medicine</w:t>
      </w:r>
      <w:r w:rsidRPr="000E2752">
        <w:t xml:space="preserve"> </w:t>
      </w:r>
      <w:r>
        <w:t>registrar positions.</w:t>
      </w:r>
    </w:p>
    <w:p w14:paraId="6C908C8A" w14:textId="77777777" w:rsidR="004263C1" w:rsidRDefault="004263C1" w:rsidP="004263C1">
      <w:pPr>
        <w:pStyle w:val="Heading2"/>
        <w:tabs>
          <w:tab w:val="clear" w:pos="964"/>
        </w:tabs>
        <w:ind w:left="851" w:hanging="851"/>
      </w:pPr>
      <w:bookmarkStart w:id="328" w:name="_Toc224792905"/>
      <w:bookmarkStart w:id="329" w:name="_Toc382313865"/>
      <w:r>
        <w:lastRenderedPageBreak/>
        <w:t>Impact upon access to services</w:t>
      </w:r>
      <w:bookmarkEnd w:id="328"/>
      <w:bookmarkEnd w:id="329"/>
    </w:p>
    <w:p w14:paraId="006C8A7D" w14:textId="4938FDBC" w:rsidR="004263C1" w:rsidRDefault="004263C1" w:rsidP="004263C1">
      <w:pPr>
        <w:pStyle w:val="AspexBodyStandard"/>
      </w:pPr>
      <w:r>
        <w:t xml:space="preserve">It is estimated that there would be an increase in the supply of </w:t>
      </w:r>
      <w:r w:rsidR="002A2727">
        <w:t>palliative medicine</w:t>
      </w:r>
      <w:r w:rsidRPr="000E2752">
        <w:t xml:space="preserve"> </w:t>
      </w:r>
      <w:r>
        <w:t>specialists over time as a direct result of a new – more appropriately remunerated – MBS item structure.</w:t>
      </w:r>
    </w:p>
    <w:p w14:paraId="5F0996BB" w14:textId="3059C352" w:rsidR="004263C1" w:rsidRDefault="004263C1" w:rsidP="004263C1">
      <w:pPr>
        <w:pStyle w:val="AspexBodyStandard"/>
      </w:pPr>
      <w:r>
        <w:t xml:space="preserve">The rate of increase in qualified specialists is a function of the number of accredited trainee positions and the interest in specialisation in </w:t>
      </w:r>
      <w:r w:rsidR="002A2727">
        <w:t>palliative medicine</w:t>
      </w:r>
      <w:r>
        <w:t>.  It is anticipated that there will not be a major or sudden tur</w:t>
      </w:r>
      <w:r w:rsidR="00E331ED">
        <w:t>naround in the current potential paucity o</w:t>
      </w:r>
      <w:r>
        <w:t>f interest, and that the ‘take up’ rates will be gradual.</w:t>
      </w:r>
    </w:p>
    <w:p w14:paraId="0DE85C0E" w14:textId="34679DB0" w:rsidR="004263C1" w:rsidRPr="0031491E" w:rsidRDefault="004263C1" w:rsidP="004263C1">
      <w:pPr>
        <w:pStyle w:val="AspexBodyStandard"/>
      </w:pPr>
      <w:r>
        <w:t xml:space="preserve">As there will be strong jurisdictional interest in developing </w:t>
      </w:r>
      <w:r w:rsidR="002A2727">
        <w:t>palliative medicine</w:t>
      </w:r>
      <w:r w:rsidRPr="000E2752">
        <w:t xml:space="preserve"> </w:t>
      </w:r>
      <w:r>
        <w:t xml:space="preserve">specialists, there is likely to be concerted efforts, particularly in the take up of training positions in </w:t>
      </w:r>
      <w:r w:rsidR="00E331ED">
        <w:t>all jurisdictions with the exception of Tasmania and New South Wales where</w:t>
      </w:r>
      <w:r>
        <w:t xml:space="preserve"> the current workforce is </w:t>
      </w:r>
      <w:r w:rsidR="00E331ED">
        <w:t>available at a rate considered appropriate to population need</w:t>
      </w:r>
      <w:r>
        <w:t xml:space="preserve">.  A new regime of MBS items is reported to give impetus to developing flexible public-private training models. </w:t>
      </w:r>
    </w:p>
    <w:p w14:paraId="2620350B" w14:textId="77777777" w:rsidR="004263C1" w:rsidRDefault="004263C1" w:rsidP="004263C1">
      <w:pPr>
        <w:pStyle w:val="Heading2"/>
        <w:tabs>
          <w:tab w:val="clear" w:pos="964"/>
        </w:tabs>
        <w:ind w:left="851" w:hanging="851"/>
      </w:pPr>
      <w:bookmarkStart w:id="330" w:name="_Toc224792906"/>
      <w:bookmarkStart w:id="331" w:name="_Toc382313866"/>
      <w:r>
        <w:t>Impact upon patient outcomes</w:t>
      </w:r>
      <w:bookmarkEnd w:id="330"/>
      <w:bookmarkEnd w:id="331"/>
    </w:p>
    <w:p w14:paraId="3C9FA410" w14:textId="02013202" w:rsidR="004263C1" w:rsidRDefault="004263C1" w:rsidP="004263C1">
      <w:pPr>
        <w:pStyle w:val="AspexBodyStandard"/>
      </w:pPr>
      <w:r>
        <w:t xml:space="preserve">The </w:t>
      </w:r>
      <w:proofErr w:type="gramStart"/>
      <w:r>
        <w:t>AMC,</w:t>
      </w:r>
      <w:proofErr w:type="gramEnd"/>
      <w:r>
        <w:t xml:space="preserve"> and the medical profession more broadly, recognise that </w:t>
      </w:r>
      <w:r w:rsidR="002A2727">
        <w:t>palliative medicine</w:t>
      </w:r>
      <w:r w:rsidRPr="000E2752">
        <w:t xml:space="preserve"> </w:t>
      </w:r>
      <w:r>
        <w:t>is a complex area, requiring a dedicated specialty able to deliver a range of high quality interventions to patients.  Patient outcomes can therefore expect to improve through:</w:t>
      </w:r>
    </w:p>
    <w:p w14:paraId="5365D513" w14:textId="02E81B85" w:rsidR="004263C1" w:rsidRDefault="004263C1" w:rsidP="004263C1">
      <w:pPr>
        <w:pStyle w:val="AspexNumberedbullet1"/>
        <w:numPr>
          <w:ilvl w:val="0"/>
          <w:numId w:val="24"/>
        </w:numPr>
      </w:pPr>
      <w:r w:rsidRPr="00337B00">
        <w:t xml:space="preserve">Advice and support to </w:t>
      </w:r>
      <w:r w:rsidR="0081173A">
        <w:t>GPs</w:t>
      </w:r>
      <w:r>
        <w:t>;</w:t>
      </w:r>
    </w:p>
    <w:p w14:paraId="04AC1CE3" w14:textId="77777777" w:rsidR="004263C1" w:rsidRPr="00337B00" w:rsidRDefault="004263C1" w:rsidP="004263C1">
      <w:pPr>
        <w:pStyle w:val="AspexNumberedbullet1"/>
        <w:numPr>
          <w:ilvl w:val="0"/>
          <w:numId w:val="5"/>
        </w:numPr>
      </w:pPr>
      <w:r>
        <w:t>Improving integration and coordination of care through the ‘collaborative or shared care’ service models</w:t>
      </w:r>
      <w:r w:rsidRPr="00337B00">
        <w:t>;</w:t>
      </w:r>
    </w:p>
    <w:p w14:paraId="59DCE1EB" w14:textId="77777777" w:rsidR="004263C1" w:rsidRPr="00337B00" w:rsidRDefault="004263C1" w:rsidP="004263C1">
      <w:pPr>
        <w:pStyle w:val="AspexNumberedbullet1"/>
        <w:numPr>
          <w:ilvl w:val="0"/>
          <w:numId w:val="5"/>
        </w:numPr>
      </w:pPr>
      <w:r w:rsidRPr="00337B00">
        <w:t>Direct management of more complex cases – as is the case with any specialty are.</w:t>
      </w:r>
    </w:p>
    <w:p w14:paraId="09D3C9B8" w14:textId="2155CEE0" w:rsidR="004263C1" w:rsidRDefault="004263C1" w:rsidP="004263C1">
      <w:pPr>
        <w:pStyle w:val="AspexNumberedbullet1"/>
        <w:numPr>
          <w:ilvl w:val="0"/>
          <w:numId w:val="5"/>
        </w:numPr>
      </w:pPr>
      <w:r>
        <w:t xml:space="preserve">Enabling equivalent </w:t>
      </w:r>
      <w:r w:rsidR="00E331ED">
        <w:t>reimbursement for</w:t>
      </w:r>
      <w:r>
        <w:t xml:space="preserve"> practice that </w:t>
      </w:r>
      <w:r w:rsidR="005A5C59">
        <w:t xml:space="preserve">is </w:t>
      </w:r>
      <w:r>
        <w:t>currently available within the public sector – currently a significant limitation to specialists who are not already fellows of other medical colleges.  Given the efficacy of these interventions and the accredited training to provide a wide range of services, it is assumed that patient outcomes will therefore be no worse than those achieved in the public sector</w:t>
      </w:r>
      <w:r w:rsidR="00E331ED">
        <w:t xml:space="preserve"> and in all likelihood superior to other medical specialists who have not demonstrated the same clinical competencies to address the range of end-of-life issues that palliative medicine specialists are competent</w:t>
      </w:r>
      <w:r w:rsidR="005A5C59">
        <w:t xml:space="preserve"> in</w:t>
      </w:r>
      <w:r w:rsidR="00E331ED">
        <w:t xml:space="preserve"> and capable of delivering</w:t>
      </w:r>
      <w:r>
        <w:t>.</w:t>
      </w:r>
    </w:p>
    <w:p w14:paraId="1CEE470D" w14:textId="4DC0D6AB" w:rsidR="004263C1" w:rsidRDefault="004263C1" w:rsidP="004263C1">
      <w:pPr>
        <w:pStyle w:val="AspexNumberedbullet1"/>
        <w:numPr>
          <w:ilvl w:val="0"/>
          <w:numId w:val="5"/>
        </w:numPr>
      </w:pPr>
      <w:r>
        <w:t xml:space="preserve">Workforce development that may also increase the availability of input by </w:t>
      </w:r>
      <w:r w:rsidR="002A2727">
        <w:t>palliative medicine</w:t>
      </w:r>
      <w:r w:rsidRPr="000E2752">
        <w:t xml:space="preserve"> </w:t>
      </w:r>
      <w:r>
        <w:t xml:space="preserve">specialists into public policy and program development to increase awareness of </w:t>
      </w:r>
      <w:r w:rsidR="00E331ED">
        <w:t>appropriate end of life management</w:t>
      </w:r>
      <w:r>
        <w:t xml:space="preserve">.  This would ideally result in a higher proportion of individuals </w:t>
      </w:r>
      <w:r w:rsidR="00E331ED">
        <w:t>requesting referral for palliative specialist intervention</w:t>
      </w:r>
      <w:r>
        <w:t>.</w:t>
      </w:r>
      <w:r w:rsidR="00E331ED">
        <w:t xml:space="preserve"> This is a particular area that has thus far remained largely unaddressed by palliative medicine specialists</w:t>
      </w:r>
    </w:p>
    <w:p w14:paraId="7C2881D4" w14:textId="77777777" w:rsidR="004263C1" w:rsidRDefault="004263C1" w:rsidP="004263C1">
      <w:pPr>
        <w:pStyle w:val="AspexNumberedbullet1"/>
        <w:numPr>
          <w:ilvl w:val="0"/>
          <w:numId w:val="5"/>
        </w:numPr>
      </w:pPr>
      <w:r>
        <w:t>Improving access to timely care by:</w:t>
      </w:r>
    </w:p>
    <w:p w14:paraId="3909A67D" w14:textId="77777777" w:rsidR="004263C1" w:rsidRDefault="004263C1" w:rsidP="004263C1">
      <w:pPr>
        <w:pStyle w:val="AspexNumberedBullet2"/>
        <w:numPr>
          <w:ilvl w:val="1"/>
          <w:numId w:val="5"/>
        </w:numPr>
      </w:pPr>
      <w:r>
        <w:t xml:space="preserve">Reducing preventable </w:t>
      </w:r>
      <w:r w:rsidR="00E331ED">
        <w:t xml:space="preserve">admissions for inpatient care by enabling the majority of individuals to </w:t>
      </w:r>
      <w:r w:rsidR="00902784">
        <w:t>die as they choose – in the community</w:t>
      </w:r>
      <w:r>
        <w:t>; and</w:t>
      </w:r>
    </w:p>
    <w:p w14:paraId="4244E8A5" w14:textId="77777777" w:rsidR="004263C1" w:rsidRDefault="004263C1" w:rsidP="004263C1">
      <w:pPr>
        <w:pStyle w:val="AspexNumberedBullet2"/>
        <w:numPr>
          <w:ilvl w:val="1"/>
          <w:numId w:val="5"/>
        </w:numPr>
      </w:pPr>
      <w:r>
        <w:t>Reducing out-of-pocket costs (on average) to the patient.</w:t>
      </w:r>
    </w:p>
    <w:p w14:paraId="689DD69C" w14:textId="77777777" w:rsidR="004263C1" w:rsidRPr="00BC768A" w:rsidRDefault="004263C1" w:rsidP="004263C1">
      <w:pPr>
        <w:pStyle w:val="AspexBodyStandard"/>
      </w:pPr>
      <w:r>
        <w:t xml:space="preserve">Notwithstanding the proposition that patient outcomes are expected </w:t>
      </w:r>
      <w:r w:rsidR="00902784">
        <w:t xml:space="preserve">and have been reported </w:t>
      </w:r>
      <w:r>
        <w:t>to improve</w:t>
      </w:r>
      <w:r w:rsidR="00902784">
        <w:t xml:space="preserve"> (with respect to dying with dignity and a maximised quality of life)</w:t>
      </w:r>
      <w:r>
        <w:t>, there is no basis for quantifying the level of expected patient outcome improvement by any of the standard quantification methods – at individual patient level or system level - through the provision of medical consultation services</w:t>
      </w:r>
      <w:r w:rsidR="00902784">
        <w:t xml:space="preserve"> (at the current point in time)</w:t>
      </w:r>
      <w:r>
        <w:t>.</w:t>
      </w:r>
      <w:r w:rsidR="00902784">
        <w:t xml:space="preserve"> In future, it is </w:t>
      </w:r>
      <w:r w:rsidR="00902784">
        <w:lastRenderedPageBreak/>
        <w:t>conceivable that appropriate outcome measures (e.g. quality adjusted life years/months/days) could be developed for individuals transitioning through different stages of terminal illness to address this goal.</w:t>
      </w:r>
    </w:p>
    <w:p w14:paraId="0A3F0241" w14:textId="77777777" w:rsidR="004263C1" w:rsidRDefault="004263C1" w:rsidP="004263C1">
      <w:pPr>
        <w:pStyle w:val="Heading2"/>
        <w:tabs>
          <w:tab w:val="clear" w:pos="964"/>
        </w:tabs>
        <w:ind w:left="851" w:hanging="851"/>
      </w:pPr>
      <w:bookmarkStart w:id="332" w:name="_Toc224792907"/>
      <w:bookmarkStart w:id="333" w:name="_Toc382313867"/>
      <w:r>
        <w:t>Impact upon private sector providers</w:t>
      </w:r>
      <w:bookmarkEnd w:id="332"/>
      <w:bookmarkEnd w:id="333"/>
    </w:p>
    <w:p w14:paraId="2E463A73" w14:textId="36119739" w:rsidR="004263C1" w:rsidRDefault="004263C1" w:rsidP="004263C1">
      <w:pPr>
        <w:pStyle w:val="AspexBodyStandard"/>
      </w:pPr>
      <w:r>
        <w:t xml:space="preserve">There is no anticipated change </w:t>
      </w:r>
      <w:r w:rsidR="005A5C59">
        <w:t xml:space="preserve">in </w:t>
      </w:r>
      <w:r>
        <w:t xml:space="preserve">the requirements for referral to </w:t>
      </w:r>
      <w:r w:rsidR="002A2727">
        <w:t>palliative medicine</w:t>
      </w:r>
      <w:r w:rsidRPr="000E2752">
        <w:t xml:space="preserve"> </w:t>
      </w:r>
      <w:r>
        <w:t>specialist as is the case with all other specialties, for advice and management of more complex co-morbidities.  Therefore, there is no expected change to the current patient presentation arrangements for GPs or private practice specialist providers.</w:t>
      </w:r>
    </w:p>
    <w:p w14:paraId="573D2884" w14:textId="77777777" w:rsidR="004263C1" w:rsidRDefault="004263C1" w:rsidP="004263C1">
      <w:pPr>
        <w:pStyle w:val="AspexBodyStandard"/>
      </w:pPr>
      <w:r>
        <w:t>Based on the expected unmet demand in the community, there is unlikely to be any adverse impact on the demand for GP or other specialist services.</w:t>
      </w:r>
    </w:p>
    <w:p w14:paraId="60482884" w14:textId="5BE34697" w:rsidR="00902784" w:rsidRDefault="00902784" w:rsidP="004263C1">
      <w:pPr>
        <w:pStyle w:val="AspexBodyStandard"/>
      </w:pPr>
      <w:r>
        <w:t xml:space="preserve">Rather, the potential exists for additional ‘case finding’ and referral by </w:t>
      </w:r>
      <w:r w:rsidR="0081173A">
        <w:t>GPs</w:t>
      </w:r>
      <w:r>
        <w:t>, who currently see a smaller number of palliative care-type patients each year (compared with specialists), spend less time (on average) with their palliative patients, and could be supported to refer patients under a shared care arrangement with a palliative care team, thus allowing around 87.5% of patients to remain in the community throughout their illness trajectory.</w:t>
      </w:r>
    </w:p>
    <w:p w14:paraId="4B47449E" w14:textId="77777777" w:rsidR="004263C1" w:rsidRDefault="004263C1" w:rsidP="004263C1">
      <w:pPr>
        <w:pStyle w:val="Heading2"/>
        <w:tabs>
          <w:tab w:val="clear" w:pos="964"/>
        </w:tabs>
        <w:ind w:left="851" w:hanging="851"/>
      </w:pPr>
      <w:bookmarkStart w:id="334" w:name="_Toc224792908"/>
      <w:bookmarkStart w:id="335" w:name="_Toc382313868"/>
      <w:r>
        <w:t>Impact upon public sector services</w:t>
      </w:r>
      <w:bookmarkEnd w:id="334"/>
      <w:bookmarkEnd w:id="335"/>
    </w:p>
    <w:p w14:paraId="0820341F" w14:textId="2829B1AB" w:rsidR="00AB7416" w:rsidRDefault="004263C1" w:rsidP="004263C1">
      <w:pPr>
        <w:pStyle w:val="AspexBodyStandard"/>
      </w:pPr>
      <w:r>
        <w:t xml:space="preserve">There is expected to be </w:t>
      </w:r>
      <w:r w:rsidR="00902784">
        <w:t>increased demand for public sector palliative care services in future years, but this remains relatively independent of any decision relating to the introduction of any new MBS items</w:t>
      </w:r>
      <w:r>
        <w:t xml:space="preserve">.  </w:t>
      </w:r>
      <w:r w:rsidR="00AB7416">
        <w:t>The availability of multidisciplinary care, as a cornerstone of palliative medicine, will remain more readily available in the public hospital sector. Whilst some increase in palliative care assessments may occur in private hospitals, the extent to which subsequent MBS claims are made to monitor the impact of the range of multidisciplinary interventions organised to address patient needs is likely to be low (given the availability and fee-for-service costs of these services in the private hospital sector)</w:t>
      </w:r>
      <w:r w:rsidR="00726609">
        <w:t>.</w:t>
      </w:r>
    </w:p>
    <w:p w14:paraId="567C511E" w14:textId="77777777" w:rsidR="00AB7416" w:rsidRDefault="00AB7416" w:rsidP="004263C1">
      <w:pPr>
        <w:pStyle w:val="AspexBodyStandard"/>
      </w:pPr>
      <w:r>
        <w:t>Where the introduction of new MBS items is likely to impact upon public service provision will be in the community sector. The introduction of MBS items that more accurately reflect the palliative model of care is likely to increase the involvement of medical specialists in the delivery of community services. Given the research indicating the benefits of maintaining palliative care patients in the community (in terms of personal preference and system costs), compared with the alternative of a relatively more expensive hospital admission – any increase in community based MBS billing would appear to be a worthwhile investment.</w:t>
      </w:r>
    </w:p>
    <w:p w14:paraId="7A40CD27" w14:textId="77777777" w:rsidR="004263C1" w:rsidRDefault="004263C1" w:rsidP="004263C1">
      <w:pPr>
        <w:pStyle w:val="Heading2"/>
        <w:tabs>
          <w:tab w:val="clear" w:pos="964"/>
        </w:tabs>
        <w:ind w:left="851" w:hanging="851"/>
      </w:pPr>
      <w:bookmarkStart w:id="336" w:name="_Toc224792909"/>
      <w:bookmarkStart w:id="337" w:name="_Toc382313869"/>
      <w:r>
        <w:t>Impact upon overall health expenditure (relative cost effectiveness)</w:t>
      </w:r>
      <w:bookmarkEnd w:id="336"/>
      <w:bookmarkEnd w:id="337"/>
    </w:p>
    <w:p w14:paraId="02EA4A86" w14:textId="59FB98AE" w:rsidR="004263C1" w:rsidRDefault="004263C1" w:rsidP="004263C1">
      <w:pPr>
        <w:pStyle w:val="AspexBodyStandard"/>
      </w:pPr>
      <w:r>
        <w:t>Cost effectiveness analysis is used as a means to determine the relative cost of undertaking a course of action compared with the most appropriate existing course of action.</w:t>
      </w:r>
      <w:r w:rsidR="001B5B90">
        <w:t xml:space="preserve"> </w:t>
      </w:r>
      <w:r>
        <w:t xml:space="preserve">In the context of </w:t>
      </w:r>
      <w:r w:rsidR="002A2727">
        <w:t>palliative medicine</w:t>
      </w:r>
      <w:r>
        <w:t xml:space="preserve"> cost effectiveness analysis is between two independent</w:t>
      </w:r>
      <w:r>
        <w:rPr>
          <w:rStyle w:val="FootnoteReference"/>
        </w:rPr>
        <w:footnoteReference w:id="131"/>
      </w:r>
      <w:r w:rsidR="00C814A3">
        <w:t xml:space="preserve"> treatment contexts</w:t>
      </w:r>
      <w:r>
        <w:t xml:space="preserve">, i.e. </w:t>
      </w:r>
      <w:r w:rsidR="00C814A3">
        <w:t>between interventions provided in an admitted hospital or community environment</w:t>
      </w:r>
      <w:r>
        <w:t>.</w:t>
      </w:r>
    </w:p>
    <w:p w14:paraId="7139A43C" w14:textId="735C3C77" w:rsidR="004263C1" w:rsidRDefault="004263C1" w:rsidP="004263C1">
      <w:pPr>
        <w:pStyle w:val="AspexBodyStandard"/>
      </w:pPr>
      <w:r>
        <w:lastRenderedPageBreak/>
        <w:t xml:space="preserve">Analysis between independent </w:t>
      </w:r>
      <w:r w:rsidR="00927467">
        <w:t>contexts</w:t>
      </w:r>
      <w:r>
        <w:t xml:space="preserve"> would ordinarily suggest comparative analysis between the </w:t>
      </w:r>
      <w:proofErr w:type="gramStart"/>
      <w:r>
        <w:t>cost</w:t>
      </w:r>
      <w:proofErr w:type="gramEnd"/>
      <w:r>
        <w:t xml:space="preserve"> of interventions compared with the health gain of the intervention (usually expressed as a ratio).  This is where conventional cost effectiveness analysis becomes problematic.  Whilst it is possible to estimate the cost difference between consultations delivered by a </w:t>
      </w:r>
      <w:r w:rsidR="002A2727">
        <w:t>palliative medicine</w:t>
      </w:r>
      <w:r>
        <w:t xml:space="preserve"> specialist </w:t>
      </w:r>
      <w:r w:rsidR="00927467">
        <w:rPr>
          <w:i/>
        </w:rPr>
        <w:t>(as part of a multidisciplinary team)</w:t>
      </w:r>
      <w:r w:rsidR="00927467">
        <w:t xml:space="preserve"> in a hospital versus a community context</w:t>
      </w:r>
      <w:r>
        <w:t>, it is not possible to identify the relative or absolute health gain resulting from one or a series of medical consultations</w:t>
      </w:r>
      <w:r w:rsidR="00927467">
        <w:t xml:space="preserve"> in either context</w:t>
      </w:r>
      <w:r>
        <w:t xml:space="preserve">.  </w:t>
      </w:r>
    </w:p>
    <w:p w14:paraId="4B5E7C6C" w14:textId="0A518F7E" w:rsidR="004263C1" w:rsidRDefault="00927467" w:rsidP="004263C1">
      <w:pPr>
        <w:pStyle w:val="AspexBodyStandard"/>
      </w:pPr>
      <w:r>
        <w:t>T</w:t>
      </w:r>
      <w:r w:rsidR="004263C1">
        <w:t xml:space="preserve">here has been acceptance within the medical profession that there are superior clinical benefits from </w:t>
      </w:r>
      <w:r w:rsidR="002A2727">
        <w:t>palliative medicine</w:t>
      </w:r>
      <w:r w:rsidR="004263C1" w:rsidRPr="000E2752">
        <w:t xml:space="preserve"> </w:t>
      </w:r>
      <w:r w:rsidR="004263C1">
        <w:t xml:space="preserve">interventions for </w:t>
      </w:r>
      <w:r w:rsidR="009E1C48">
        <w:t>palliative care</w:t>
      </w:r>
      <w:r w:rsidR="004263C1">
        <w:t xml:space="preserve"> related disorders relative to interventions</w:t>
      </w:r>
      <w:r>
        <w:t xml:space="preserve"> provided by (willing) </w:t>
      </w:r>
      <w:r w:rsidR="0081173A">
        <w:t>GPs</w:t>
      </w:r>
      <w:r>
        <w:t xml:space="preserve"> or other specialty groups</w:t>
      </w:r>
      <w:r w:rsidR="004263C1">
        <w:t xml:space="preserve">.  On this basis, a cost effectiveness analysis should only need to demonstrate costs at or below the alternative </w:t>
      </w:r>
      <w:r>
        <w:t>contextual environments</w:t>
      </w:r>
      <w:r w:rsidR="004263C1">
        <w:t xml:space="preserve"> to demonstrate overall superior cost effectiveness.</w:t>
      </w:r>
    </w:p>
    <w:p w14:paraId="02D817ED" w14:textId="6063AD53" w:rsidR="004263C1" w:rsidRDefault="004263C1" w:rsidP="004263C1">
      <w:pPr>
        <w:pStyle w:val="AspexBodyStandard"/>
      </w:pPr>
      <w:r>
        <w:t xml:space="preserve">Therefore, an economic evaluation of the </w:t>
      </w:r>
      <w:r w:rsidR="002A2727">
        <w:t>palliative medicine</w:t>
      </w:r>
      <w:r w:rsidRPr="000E2752">
        <w:t xml:space="preserve"> </w:t>
      </w:r>
      <w:r>
        <w:t xml:space="preserve">MBS items has been based on a </w:t>
      </w:r>
      <w:r w:rsidRPr="00DA1F09">
        <w:rPr>
          <w:i/>
        </w:rPr>
        <w:t xml:space="preserve">relative cost </w:t>
      </w:r>
      <w:r>
        <w:rPr>
          <w:i/>
        </w:rPr>
        <w:t>of medical consultations</w:t>
      </w:r>
      <w:r w:rsidR="00927467">
        <w:rPr>
          <w:i/>
        </w:rPr>
        <w:t xml:space="preserve"> in hospitals versus the community</w:t>
      </w:r>
      <w:r>
        <w:rPr>
          <w:i/>
        </w:rPr>
        <w:t>.</w:t>
      </w:r>
      <w:r>
        <w:t xml:space="preserve"> A modelled comparative analysis of </w:t>
      </w:r>
      <w:r w:rsidR="00927467">
        <w:rPr>
          <w:i/>
        </w:rPr>
        <w:t>current</w:t>
      </w:r>
      <w:r>
        <w:t xml:space="preserve"> costs </w:t>
      </w:r>
      <w:r w:rsidR="00927467">
        <w:t>as at 2012-13</w:t>
      </w:r>
      <w:r>
        <w:t xml:space="preserve"> by </w:t>
      </w:r>
      <w:r w:rsidR="002A2727">
        <w:t>palliative medicine</w:t>
      </w:r>
      <w:r w:rsidRPr="000E2752">
        <w:t xml:space="preserve"> </w:t>
      </w:r>
      <w:r w:rsidR="00927467">
        <w:t xml:space="preserve">(and other unknown) </w:t>
      </w:r>
      <w:r>
        <w:t xml:space="preserve">specialists </w:t>
      </w:r>
      <w:r w:rsidR="00927467">
        <w:t>working in the community rather than a hospital environment</w:t>
      </w:r>
      <w:r>
        <w:t xml:space="preserve"> has been developed.  The forecast costs for </w:t>
      </w:r>
      <w:r w:rsidR="002A2727">
        <w:t>palliative medicine</w:t>
      </w:r>
      <w:r w:rsidRPr="000E2752">
        <w:t xml:space="preserve"> </w:t>
      </w:r>
      <w:r>
        <w:t>are based on the proposed fee structure where assessment and patient review are at physician rates.</w:t>
      </w:r>
    </w:p>
    <w:p w14:paraId="371A86A9" w14:textId="77777777" w:rsidR="004263C1" w:rsidRPr="0017710F" w:rsidRDefault="004263C1" w:rsidP="0017710F">
      <w:pPr>
        <w:pStyle w:val="AspexBodyStandard"/>
        <w:rPr>
          <w:b/>
        </w:rPr>
      </w:pPr>
      <w:r w:rsidRPr="0017710F">
        <w:rPr>
          <w:b/>
        </w:rPr>
        <w:t>Modelled comparative analysis</w:t>
      </w:r>
    </w:p>
    <w:p w14:paraId="0FACD7A5" w14:textId="19BD408A" w:rsidR="004263C1" w:rsidRPr="006E6D2C" w:rsidRDefault="004263C1" w:rsidP="004263C1">
      <w:pPr>
        <w:pStyle w:val="AspexBodyStandard"/>
      </w:pPr>
      <w:r w:rsidRPr="006E6D2C">
        <w:t>The current (2012</w:t>
      </w:r>
      <w:r w:rsidR="00777585">
        <w:t>/13)</w:t>
      </w:r>
      <w:r w:rsidRPr="006E6D2C">
        <w:t xml:space="preserve"> MBS outlays for </w:t>
      </w:r>
      <w:r w:rsidR="00080964">
        <w:t>p</w:t>
      </w:r>
      <w:r w:rsidR="002A2727">
        <w:t>alliative medicine</w:t>
      </w:r>
      <w:r w:rsidRPr="006E6D2C">
        <w:t xml:space="preserve"> are estimated to be </w:t>
      </w:r>
      <w:r w:rsidR="00777585" w:rsidRPr="00777585">
        <w:t>~$5.82</w:t>
      </w:r>
      <w:r w:rsidR="000D5025">
        <w:t>M</w:t>
      </w:r>
      <w:r w:rsidRPr="006E6D2C">
        <w:t>.  However, due to service number increases</w:t>
      </w:r>
      <w:r w:rsidR="00777585">
        <w:t xml:space="preserve"> and indexation</w:t>
      </w:r>
      <w:r w:rsidRPr="006E6D2C">
        <w:t xml:space="preserve">, it is estimated that this would rise to </w:t>
      </w:r>
      <w:r w:rsidRPr="00777585">
        <w:t>$</w:t>
      </w:r>
      <w:r w:rsidR="00777585" w:rsidRPr="00777585">
        <w:t>7.18</w:t>
      </w:r>
      <w:r w:rsidR="00080964">
        <w:t>M</w:t>
      </w:r>
      <w:r w:rsidRPr="006E6D2C">
        <w:t xml:space="preserve"> by 20</w:t>
      </w:r>
      <w:r w:rsidR="00777585">
        <w:t>14/</w:t>
      </w:r>
      <w:r w:rsidRPr="006E6D2C">
        <w:t xml:space="preserve">15. </w:t>
      </w:r>
    </w:p>
    <w:p w14:paraId="74D97BAD" w14:textId="73E91C5D" w:rsidR="004263C1" w:rsidRPr="006E6D2C" w:rsidRDefault="004263C1" w:rsidP="004263C1">
      <w:pPr>
        <w:pStyle w:val="AspexBodyStandard"/>
      </w:pPr>
      <w:r w:rsidRPr="006E6D2C">
        <w:t>The forecast (20</w:t>
      </w:r>
      <w:r w:rsidR="00777585">
        <w:t>14/</w:t>
      </w:r>
      <w:r w:rsidRPr="006E6D2C">
        <w:t xml:space="preserve">15) MBS outlays for </w:t>
      </w:r>
      <w:r w:rsidR="002A2727">
        <w:t>Palliative medicine</w:t>
      </w:r>
      <w:r w:rsidRPr="006E6D2C">
        <w:t xml:space="preserve">, is </w:t>
      </w:r>
      <w:r w:rsidRPr="00777585">
        <w:t>~$</w:t>
      </w:r>
      <w:r w:rsidR="00777585">
        <w:t>10.81</w:t>
      </w:r>
      <w:r w:rsidR="000D5025">
        <w:t>M</w:t>
      </w:r>
      <w:r w:rsidRPr="006E6D2C">
        <w:t xml:space="preserve"> noting that there are rate increase to consultant physician levels, changes to </w:t>
      </w:r>
      <w:r w:rsidR="006E6D2C">
        <w:t xml:space="preserve">reflect the proportion of patients </w:t>
      </w:r>
      <w:r w:rsidR="00726609">
        <w:t>who</w:t>
      </w:r>
      <w:r w:rsidR="006E6D2C">
        <w:t xml:space="preserve"> require </w:t>
      </w:r>
      <w:r w:rsidRPr="006E6D2C">
        <w:t>co</w:t>
      </w:r>
      <w:r w:rsidR="006E6D2C">
        <w:t>mplex assessment and treatment planning, and an increased allowance for two assessment episodes in line with the recognised phases of palliative care service delivery</w:t>
      </w:r>
      <w:r w:rsidRPr="006E6D2C">
        <w:t xml:space="preserve">.  This suggests that there would be an </w:t>
      </w:r>
      <w:r w:rsidRPr="006E6D2C">
        <w:rPr>
          <w:i/>
        </w:rPr>
        <w:t>increase</w:t>
      </w:r>
      <w:r w:rsidRPr="006E6D2C">
        <w:t xml:space="preserve"> in MBS outlays of </w:t>
      </w:r>
      <w:r w:rsidRPr="00777585">
        <w:t>~$3.</w:t>
      </w:r>
      <w:r w:rsidR="00777585">
        <w:t>63</w:t>
      </w:r>
      <w:r w:rsidR="000D5025">
        <w:t>M</w:t>
      </w:r>
      <w:r w:rsidRPr="006E6D2C">
        <w:t xml:space="preserve"> based on the difference between actual 2012</w:t>
      </w:r>
      <w:r w:rsidR="00777585">
        <w:t>/13</w:t>
      </w:r>
      <w:r w:rsidRPr="006E6D2C">
        <w:t xml:space="preserve"> and forecast 20</w:t>
      </w:r>
      <w:r w:rsidR="00777585">
        <w:t>14/</w:t>
      </w:r>
      <w:r w:rsidRPr="006E6D2C">
        <w:t>15 outlays under a new item structure.</w:t>
      </w:r>
    </w:p>
    <w:p w14:paraId="566A9887" w14:textId="03E09A66" w:rsidR="00601B38" w:rsidRPr="00601B38" w:rsidRDefault="00601B38" w:rsidP="00601B38">
      <w:pPr>
        <w:pStyle w:val="AspexBodyStandard"/>
      </w:pPr>
      <w:r w:rsidRPr="00601B38">
        <w:t>The forecast MBS outlays using community treatment to divert potentially preventable hospital admissions is an additional outlay of up to ~$5.0</w:t>
      </w:r>
      <w:r w:rsidR="000D5025">
        <w:t>M</w:t>
      </w:r>
      <w:r w:rsidRPr="00601B38">
        <w:t>, to achieve potential notional savings to the health system of ~$21.0</w:t>
      </w:r>
      <w:r w:rsidR="000D5025">
        <w:t>M</w:t>
      </w:r>
      <w:r w:rsidRPr="00601B38">
        <w:t xml:space="preserve">. This suggests that even with an increase in payment rates for </w:t>
      </w:r>
      <w:r w:rsidR="002A2727">
        <w:t>palliative medicine</w:t>
      </w:r>
      <w:r w:rsidRPr="00601B38">
        <w:t xml:space="preserve"> specialists, a significant cost advantage may be realised if an increase in the number of community palliative specialist consultations can be achieved.</w:t>
      </w:r>
    </w:p>
    <w:p w14:paraId="526A5679" w14:textId="5F109145" w:rsidR="00601B38" w:rsidRPr="00601B38" w:rsidRDefault="00601B38" w:rsidP="00601B38">
      <w:pPr>
        <w:pStyle w:val="AspexBodyStandard"/>
      </w:pPr>
      <w:r w:rsidRPr="00601B38">
        <w:t xml:space="preserve">The assumed </w:t>
      </w:r>
      <w:proofErr w:type="gramStart"/>
      <w:r w:rsidRPr="00601B38">
        <w:t xml:space="preserve">mix of consultations between </w:t>
      </w:r>
      <w:r w:rsidR="002A2727">
        <w:t>palliative medicine</w:t>
      </w:r>
      <w:r w:rsidRPr="00601B38">
        <w:t xml:space="preserve"> services delivered in a hospital or community environment are</w:t>
      </w:r>
      <w:proofErr w:type="gramEnd"/>
      <w:r w:rsidRPr="00601B38">
        <w:t xml:space="preserve"> currently different; namely:</w:t>
      </w:r>
    </w:p>
    <w:p w14:paraId="54843B38" w14:textId="677818D4" w:rsidR="00601B38" w:rsidRPr="00601B38" w:rsidRDefault="00601B38" w:rsidP="00601B38">
      <w:pPr>
        <w:pStyle w:val="AspexBullet1"/>
      </w:pPr>
      <w:r w:rsidRPr="00601B38">
        <w:t>In</w:t>
      </w:r>
      <w:r w:rsidR="00726609">
        <w:t>-</w:t>
      </w:r>
      <w:r w:rsidRPr="00601B38">
        <w:t>hospital assessment comprises around 17% of consultations (compared with 83% of consultations involving patient review); and</w:t>
      </w:r>
    </w:p>
    <w:p w14:paraId="6FE0B652" w14:textId="055D74AE" w:rsidR="00601B38" w:rsidRPr="00601B38" w:rsidRDefault="00601B38" w:rsidP="00601B38">
      <w:pPr>
        <w:pStyle w:val="AspexBullet1"/>
      </w:pPr>
      <w:r w:rsidRPr="00601B38">
        <w:t>In the community assessment comprises around 42% of consultations (compared with 58% of consultations involving patient review.</w:t>
      </w:r>
    </w:p>
    <w:p w14:paraId="1ABF65F9" w14:textId="6D51EDC2" w:rsidR="00601B38" w:rsidRPr="00601B38" w:rsidRDefault="00601B38" w:rsidP="00601B38">
      <w:pPr>
        <w:pStyle w:val="AspexBodyStandard"/>
      </w:pPr>
      <w:r w:rsidRPr="00601B38">
        <w:t xml:space="preserve">Under any revised MBS item scenario it is estimated that the proportion of assessments would double (due to the availability of two patient assessment items), with a corresponding reduction in the relative percentage of patient reviews.  It must be noted however, that the </w:t>
      </w:r>
      <w:r w:rsidRPr="00601B38">
        <w:lastRenderedPageBreak/>
        <w:t>overall number of community consultations may increase – but this cannot be readily determined from the available data.</w:t>
      </w:r>
    </w:p>
    <w:p w14:paraId="3BB7B070" w14:textId="66FB8A26" w:rsidR="00601B38" w:rsidRPr="00601B38" w:rsidRDefault="00601B38" w:rsidP="00601B38">
      <w:pPr>
        <w:pStyle w:val="AspexBodyStandard"/>
      </w:pPr>
      <w:r w:rsidRPr="00601B38">
        <w:t xml:space="preserve">Another important aspect of the cost effectiveness analysis is the forecast for out-of-pocket costs for patients.  The analysis assumes the same out-of pocket cost differential between current </w:t>
      </w:r>
      <w:r w:rsidR="002A2727">
        <w:t>palliative medicine</w:t>
      </w:r>
      <w:r w:rsidRPr="00601B38">
        <w:t xml:space="preserve"> arrangements and those associated with a change in MBS item structure.  </w:t>
      </w:r>
    </w:p>
    <w:p w14:paraId="10F88E42" w14:textId="5DA4074B" w:rsidR="00601B38" w:rsidRDefault="00601B38" w:rsidP="00601B38">
      <w:pPr>
        <w:pStyle w:val="AspexBodyStandard"/>
      </w:pPr>
      <w:r w:rsidRPr="00601B38">
        <w:t>The estimated out-of-pocket costs to patients (2013), suggests ~$2.02</w:t>
      </w:r>
      <w:r w:rsidR="000D5025">
        <w:t>M</w:t>
      </w:r>
      <w:r w:rsidRPr="00601B38">
        <w:t xml:space="preserve"> for </w:t>
      </w:r>
      <w:r w:rsidR="002A2727">
        <w:t>Palliative medicine</w:t>
      </w:r>
      <w:r w:rsidRPr="00601B38">
        <w:t xml:space="preserve"> services charged under physician equivalent items, compared to out-of-pocket costs of $2.2</w:t>
      </w:r>
      <w:r w:rsidR="000D5025">
        <w:t>M</w:t>
      </w:r>
      <w:r w:rsidRPr="00601B38">
        <w:t xml:space="preserve"> for time</w:t>
      </w:r>
      <w:r w:rsidR="002C4DBD">
        <w:t>-</w:t>
      </w:r>
      <w:r w:rsidRPr="00601B38">
        <w:t>tiered MBS items.  The majority of these costs occur in the hospital sector (~$0.032</w:t>
      </w:r>
      <w:r w:rsidR="000D5025">
        <w:t>M</w:t>
      </w:r>
      <w:r w:rsidRPr="00601B38">
        <w:t>) under any new MBS arrangement with only a minor increase of ~$0.032</w:t>
      </w:r>
      <w:r w:rsidR="000D5025">
        <w:t>M</w:t>
      </w:r>
      <w:r w:rsidRPr="00601B38">
        <w:t xml:space="preserve"> (physician items) to ~$0.060</w:t>
      </w:r>
      <w:r w:rsidR="000D5025">
        <w:t>M</w:t>
      </w:r>
      <w:r w:rsidRPr="00601B38">
        <w:t xml:space="preserve"> (time</w:t>
      </w:r>
      <w:r w:rsidR="002C4DBD">
        <w:t>-</w:t>
      </w:r>
      <w:r w:rsidRPr="00601B38">
        <w:t xml:space="preserve">tiered), for </w:t>
      </w:r>
      <w:r w:rsidR="002A2727">
        <w:t>palliative medicine</w:t>
      </w:r>
      <w:r w:rsidRPr="00601B38">
        <w:t xml:space="preserve"> services delivered in a community environment.</w:t>
      </w:r>
    </w:p>
    <w:p w14:paraId="3AC8B4AE" w14:textId="77777777" w:rsidR="00257B86" w:rsidRDefault="00257B86" w:rsidP="00257B86">
      <w:pPr>
        <w:pStyle w:val="AspexAppendixlevel1"/>
      </w:pPr>
      <w:bookmarkStart w:id="338" w:name="_Toc373163188"/>
      <w:bookmarkStart w:id="339" w:name="_Ref247991911"/>
      <w:bookmarkStart w:id="340" w:name="_Toc382313870"/>
      <w:r>
        <w:lastRenderedPageBreak/>
        <w:t xml:space="preserve">Modelling </w:t>
      </w:r>
      <w:bookmarkEnd w:id="338"/>
      <w:r w:rsidR="005557F6">
        <w:t xml:space="preserve">of alternate </w:t>
      </w:r>
      <w:r w:rsidR="001F5B8B">
        <w:t xml:space="preserve">cost </w:t>
      </w:r>
      <w:r w:rsidR="005557F6">
        <w:t>scenarios</w:t>
      </w:r>
      <w:bookmarkEnd w:id="339"/>
      <w:bookmarkEnd w:id="340"/>
    </w:p>
    <w:p w14:paraId="7060A02D" w14:textId="60F9CAC6"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 w:val="32"/>
          <w:szCs w:val="32"/>
        </w:rPr>
        <w:t>Financial year 2012-13</w:t>
      </w:r>
      <w:r w:rsidRPr="008528B8">
        <w:rPr>
          <w:rFonts w:ascii="Arial Narrow" w:hAnsi="Arial Narrow" w:cs="Arial"/>
          <w:sz w:val="32"/>
          <w:szCs w:val="32"/>
        </w:rPr>
        <w:tab/>
      </w:r>
    </w:p>
    <w:p w14:paraId="45EDC05B" w14:textId="10F41ACD" w:rsidR="0076327C" w:rsidRDefault="0076327C" w:rsidP="0076327C">
      <w:pPr>
        <w:tabs>
          <w:tab w:val="left" w:pos="3675"/>
          <w:tab w:val="left" w:pos="4604"/>
          <w:tab w:val="left" w:pos="5628"/>
          <w:tab w:val="left" w:pos="6504"/>
          <w:tab w:val="left" w:pos="7321"/>
          <w:tab w:val="left" w:pos="8348"/>
        </w:tabs>
        <w:spacing w:before="0" w:after="0" w:line="240" w:lineRule="auto"/>
        <w:ind w:left="93"/>
        <w:rPr>
          <w:rFonts w:ascii="Arial Narrow" w:hAnsi="Arial Narrow" w:cs="Arial"/>
          <w:color w:val="8497B0"/>
          <w:sz w:val="32"/>
          <w:szCs w:val="32"/>
        </w:rPr>
      </w:pPr>
      <w:r w:rsidRPr="008528B8">
        <w:rPr>
          <w:rFonts w:ascii="Arial Narrow" w:hAnsi="Arial Narrow" w:cs="Arial"/>
          <w:color w:val="8497B0"/>
          <w:sz w:val="32"/>
          <w:szCs w:val="32"/>
        </w:rPr>
        <w:t>Current estimates of potential referral</w:t>
      </w:r>
    </w:p>
    <w:p w14:paraId="698FDB7C" w14:textId="77777777" w:rsidR="00F0773D" w:rsidRPr="00F0773D" w:rsidRDefault="00F0773D" w:rsidP="00F0773D">
      <w:pPr>
        <w:pStyle w:val="AspexBodyStandard"/>
      </w:pPr>
    </w:p>
    <w:p w14:paraId="23244968" w14:textId="77777777" w:rsidR="00F0773D"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Cs w:val="22"/>
        </w:rPr>
      </w:pPr>
      <w:r w:rsidRPr="008528B8">
        <w:rPr>
          <w:rFonts w:ascii="Arial Narrow" w:hAnsi="Arial Narrow" w:cs="Arial"/>
          <w:szCs w:val="22"/>
        </w:rPr>
        <w:t>Number of deaths</w:t>
      </w:r>
      <w:r w:rsidR="00F0773D">
        <w:rPr>
          <w:rFonts w:ascii="Arial Narrow" w:hAnsi="Arial Narrow" w:cs="Arial"/>
          <w:szCs w:val="22"/>
        </w:rPr>
        <w:tab/>
      </w:r>
      <w:r w:rsidR="00F0773D">
        <w:rPr>
          <w:rFonts w:ascii="Arial Narrow" w:hAnsi="Arial Narrow" w:cs="Arial"/>
          <w:szCs w:val="22"/>
        </w:rPr>
        <w:tab/>
      </w:r>
      <w:r w:rsidRPr="008528B8">
        <w:rPr>
          <w:rFonts w:ascii="Arial Narrow" w:hAnsi="Arial Narrow" w:cs="Arial"/>
          <w:szCs w:val="22"/>
        </w:rPr>
        <w:t>49459</w:t>
      </w:r>
    </w:p>
    <w:p w14:paraId="0E40B0A6" w14:textId="4BD39ECB"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59.37%</w:t>
      </w:r>
    </w:p>
    <w:p w14:paraId="62C57AA3" w14:textId="54957949"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'anticipated'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88734</w:t>
      </w:r>
    </w:p>
    <w:p w14:paraId="4CFEB11B" w14:textId="2CE3540F" w:rsidR="0076327C" w:rsidRPr="008528B8" w:rsidRDefault="0076327C" w:rsidP="0076327C">
      <w:pPr>
        <w:tabs>
          <w:tab w:val="left" w:pos="2821"/>
          <w:tab w:val="left" w:pos="3675"/>
          <w:tab w:val="left" w:pos="4253"/>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61DD363E" w14:textId="0FBAB24F"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54571</w:t>
      </w:r>
    </w:p>
    <w:p w14:paraId="7E76D5C4" w14:textId="0010FD84" w:rsidR="004728FD" w:rsidRDefault="004728FD" w:rsidP="0076327C">
      <w:r>
        <w:rPr>
          <w:noProof/>
          <w:lang w:eastAsia="en-AU"/>
        </w:rPr>
        <w:drawing>
          <wp:inline distT="0" distB="0" distL="0" distR="0" wp14:anchorId="09FEC8AA" wp14:editId="72EA36C7">
            <wp:extent cx="5723890" cy="5270749"/>
            <wp:effectExtent l="0" t="0" r="0" b="6350"/>
            <wp:docPr id="20" name="Picture 20" descr="Current estimates of potential referral      " title="Table 1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23890" cy="5270749"/>
                    </a:xfrm>
                    <a:prstGeom prst="rect">
                      <a:avLst/>
                    </a:prstGeom>
                  </pic:spPr>
                </pic:pic>
              </a:graphicData>
            </a:graphic>
          </wp:inline>
        </w:drawing>
      </w:r>
    </w:p>
    <w:p w14:paraId="26DA52E6" w14:textId="77777777" w:rsidR="004728FD" w:rsidRDefault="004728FD" w:rsidP="004728FD">
      <w:pPr>
        <w:pStyle w:val="AspexBodyStandard"/>
      </w:pPr>
      <w:r>
        <w:br w:type="page"/>
      </w:r>
    </w:p>
    <w:p w14:paraId="7428CC65" w14:textId="617D0283"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 w:val="32"/>
          <w:szCs w:val="32"/>
        </w:rPr>
        <w:lastRenderedPageBreak/>
        <w:t>Financial year 2012-13</w:t>
      </w:r>
      <w:r w:rsidRPr="008528B8">
        <w:rPr>
          <w:rFonts w:ascii="Arial Narrow" w:hAnsi="Arial Narrow" w:cs="Arial"/>
          <w:sz w:val="32"/>
          <w:szCs w:val="32"/>
        </w:rPr>
        <w:tab/>
      </w:r>
    </w:p>
    <w:p w14:paraId="5C3623C5" w14:textId="4DF3B181" w:rsidR="0076327C" w:rsidRDefault="0076327C" w:rsidP="0076327C">
      <w:pPr>
        <w:tabs>
          <w:tab w:val="left" w:pos="5628"/>
          <w:tab w:val="left" w:pos="6504"/>
          <w:tab w:val="left" w:pos="7321"/>
          <w:tab w:val="left" w:pos="8348"/>
        </w:tabs>
        <w:spacing w:before="0" w:after="0" w:line="240" w:lineRule="auto"/>
        <w:ind w:left="93"/>
        <w:rPr>
          <w:rFonts w:ascii="Arial Narrow" w:hAnsi="Arial Narrow" w:cs="Arial"/>
          <w:color w:val="8497B0"/>
          <w:sz w:val="32"/>
          <w:szCs w:val="32"/>
        </w:rPr>
      </w:pPr>
      <w:r w:rsidRPr="008528B8">
        <w:rPr>
          <w:rFonts w:ascii="Arial Narrow" w:hAnsi="Arial Narrow" w:cs="Arial"/>
          <w:color w:val="8497B0"/>
          <w:sz w:val="32"/>
          <w:szCs w:val="32"/>
        </w:rPr>
        <w:t xml:space="preserve">DoHA 2012 lower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r w:rsidRPr="008528B8">
        <w:rPr>
          <w:rFonts w:ascii="Arial Narrow" w:hAnsi="Arial Narrow" w:cs="Arial"/>
          <w:color w:val="8497B0"/>
          <w:sz w:val="32"/>
          <w:szCs w:val="32"/>
        </w:rPr>
        <w:tab/>
      </w:r>
    </w:p>
    <w:p w14:paraId="18ED7AE1" w14:textId="77777777" w:rsidR="00F0773D" w:rsidRPr="00F0773D" w:rsidRDefault="00F0773D" w:rsidP="00F0773D">
      <w:pPr>
        <w:pStyle w:val="AspexBodyStandard"/>
      </w:pPr>
    </w:p>
    <w:p w14:paraId="240717C2" w14:textId="22EE50E4"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3F272320" w14:textId="798EAABD"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24.90%</w:t>
      </w:r>
    </w:p>
    <w:p w14:paraId="5B7B5E90" w14:textId="3234DC58"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37215</w:t>
      </w:r>
    </w:p>
    <w:p w14:paraId="26E78F48" w14:textId="27B09034" w:rsidR="0076327C" w:rsidRPr="008528B8" w:rsidRDefault="0076327C" w:rsidP="0076327C">
      <w:pPr>
        <w:tabs>
          <w:tab w:val="left" w:pos="2821"/>
          <w:tab w:val="left" w:pos="3675"/>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1C709640" w14:textId="4B494F96"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22887</w:t>
      </w:r>
    </w:p>
    <w:p w14:paraId="2640C79B" w14:textId="59F6E9B8" w:rsidR="0076327C" w:rsidRDefault="004728FD" w:rsidP="0076327C">
      <w:r>
        <w:rPr>
          <w:noProof/>
          <w:lang w:eastAsia="en-AU"/>
        </w:rPr>
        <w:drawing>
          <wp:inline distT="0" distB="0" distL="0" distR="0" wp14:anchorId="70712B88" wp14:editId="03156043">
            <wp:extent cx="5723890" cy="5284814"/>
            <wp:effectExtent l="0" t="0" r="0" b="0"/>
            <wp:docPr id="23" name="Picture 23" descr="DoHA 2012 lower estimates of referral – total notional savings   " title="Table 2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23890" cy="5284814"/>
                    </a:xfrm>
                    <a:prstGeom prst="rect">
                      <a:avLst/>
                    </a:prstGeom>
                  </pic:spPr>
                </pic:pic>
              </a:graphicData>
            </a:graphic>
          </wp:inline>
        </w:drawing>
      </w:r>
    </w:p>
    <w:p w14:paraId="23DAFAC4" w14:textId="661A980B" w:rsidR="004728FD" w:rsidRDefault="004728FD">
      <w:pPr>
        <w:spacing w:before="0" w:after="0" w:line="240" w:lineRule="auto"/>
      </w:pPr>
      <w:r>
        <w:br w:type="page"/>
      </w:r>
    </w:p>
    <w:p w14:paraId="0C3CCACA" w14:textId="129C2D15" w:rsidR="0076327C" w:rsidRPr="008528B8" w:rsidRDefault="004728FD"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Pr>
          <w:rFonts w:ascii="Arial Narrow" w:hAnsi="Arial Narrow" w:cs="Arial"/>
          <w:sz w:val="32"/>
          <w:szCs w:val="32"/>
        </w:rPr>
        <w:lastRenderedPageBreak/>
        <w:t>F</w:t>
      </w:r>
      <w:r w:rsidR="0076327C" w:rsidRPr="008528B8">
        <w:rPr>
          <w:rFonts w:ascii="Arial Narrow" w:hAnsi="Arial Narrow" w:cs="Arial"/>
          <w:sz w:val="32"/>
          <w:szCs w:val="32"/>
        </w:rPr>
        <w:t>inancial year 2012-13</w:t>
      </w:r>
      <w:r w:rsidR="0076327C" w:rsidRPr="008528B8">
        <w:rPr>
          <w:rFonts w:ascii="Arial Narrow" w:hAnsi="Arial Narrow" w:cs="Arial"/>
          <w:sz w:val="32"/>
          <w:szCs w:val="32"/>
        </w:rPr>
        <w:tab/>
      </w:r>
    </w:p>
    <w:p w14:paraId="133C5B50" w14:textId="73C253C9" w:rsidR="0076327C" w:rsidRDefault="0076327C" w:rsidP="0076327C">
      <w:pPr>
        <w:tabs>
          <w:tab w:val="left" w:pos="5628"/>
          <w:tab w:val="left" w:pos="6504"/>
          <w:tab w:val="left" w:pos="7321"/>
          <w:tab w:val="left" w:pos="8348"/>
        </w:tabs>
        <w:spacing w:before="0" w:after="0" w:line="240" w:lineRule="auto"/>
        <w:ind w:left="93"/>
        <w:rPr>
          <w:rFonts w:ascii="Arial Narrow" w:hAnsi="Arial Narrow" w:cs="Arial"/>
          <w:color w:val="8497B0"/>
          <w:sz w:val="32"/>
          <w:szCs w:val="32"/>
        </w:rPr>
      </w:pPr>
      <w:r w:rsidRPr="008528B8">
        <w:rPr>
          <w:rFonts w:ascii="Arial Narrow" w:hAnsi="Arial Narrow" w:cs="Arial"/>
          <w:color w:val="8497B0"/>
          <w:sz w:val="32"/>
          <w:szCs w:val="32"/>
        </w:rPr>
        <w:t xml:space="preserve">DoHA 2012 upper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p>
    <w:p w14:paraId="01152BED" w14:textId="77777777" w:rsidR="00F0773D" w:rsidRPr="00F0773D" w:rsidRDefault="00F0773D" w:rsidP="00F0773D">
      <w:pPr>
        <w:pStyle w:val="AspexBodyStandard"/>
      </w:pPr>
    </w:p>
    <w:p w14:paraId="0D87BAD2" w14:textId="7060EBAF"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2B16CAF4" w14:textId="3AFAA65C"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48.17%</w:t>
      </w:r>
    </w:p>
    <w:p w14:paraId="2474C31E" w14:textId="59A835E2"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71994</w:t>
      </w:r>
    </w:p>
    <w:p w14:paraId="2E6E0C86" w14:textId="6223955C" w:rsidR="0076327C" w:rsidRPr="008528B8" w:rsidRDefault="0076327C" w:rsidP="0076327C">
      <w:pPr>
        <w:tabs>
          <w:tab w:val="left" w:pos="2821"/>
          <w:tab w:val="left" w:pos="3675"/>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4EE3341D" w14:textId="5C2F30D6"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44277</w:t>
      </w:r>
    </w:p>
    <w:p w14:paraId="7D5328A7" w14:textId="56A0A327" w:rsidR="0076327C" w:rsidRDefault="004728FD" w:rsidP="0076327C">
      <w:r>
        <w:rPr>
          <w:noProof/>
          <w:lang w:eastAsia="en-AU"/>
        </w:rPr>
        <w:drawing>
          <wp:inline distT="0" distB="0" distL="0" distR="0" wp14:anchorId="6B9FE8DB" wp14:editId="2C246AEB">
            <wp:extent cx="5723890" cy="5282979"/>
            <wp:effectExtent l="0" t="0" r="0" b="0"/>
            <wp:docPr id="24" name="Picture 24" descr="DoHA 2012 upper estimates of referral – total notional savings  " title="Table 3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23890" cy="5282979"/>
                    </a:xfrm>
                    <a:prstGeom prst="rect">
                      <a:avLst/>
                    </a:prstGeom>
                  </pic:spPr>
                </pic:pic>
              </a:graphicData>
            </a:graphic>
          </wp:inline>
        </w:drawing>
      </w:r>
    </w:p>
    <w:p w14:paraId="0D9DA3A0" w14:textId="7FDE5860" w:rsidR="004728FD" w:rsidRDefault="004728FD">
      <w:pPr>
        <w:spacing w:before="0" w:after="0" w:line="240" w:lineRule="auto"/>
      </w:pPr>
      <w:r>
        <w:br w:type="page"/>
      </w:r>
    </w:p>
    <w:p w14:paraId="184C391A" w14:textId="0A575523" w:rsidR="0076327C" w:rsidRPr="008528B8" w:rsidRDefault="004728FD"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Pr>
          <w:rFonts w:ascii="Arial Narrow" w:hAnsi="Arial Narrow" w:cs="Arial"/>
          <w:sz w:val="32"/>
          <w:szCs w:val="32"/>
        </w:rPr>
        <w:lastRenderedPageBreak/>
        <w:t>F</w:t>
      </w:r>
      <w:r w:rsidR="0076327C" w:rsidRPr="008528B8">
        <w:rPr>
          <w:rFonts w:ascii="Arial Narrow" w:hAnsi="Arial Narrow" w:cs="Arial"/>
          <w:sz w:val="32"/>
          <w:szCs w:val="32"/>
        </w:rPr>
        <w:t>inancial year 2012-13</w:t>
      </w:r>
      <w:r w:rsidR="0076327C" w:rsidRPr="008528B8">
        <w:rPr>
          <w:rFonts w:ascii="Arial Narrow" w:hAnsi="Arial Narrow" w:cs="Arial"/>
          <w:sz w:val="32"/>
          <w:szCs w:val="32"/>
        </w:rPr>
        <w:tab/>
      </w:r>
    </w:p>
    <w:p w14:paraId="3F376380" w14:textId="611980C6" w:rsidR="0076327C" w:rsidRDefault="0076327C" w:rsidP="0076327C">
      <w:pPr>
        <w:tabs>
          <w:tab w:val="left" w:pos="5628"/>
          <w:tab w:val="left" w:pos="6504"/>
          <w:tab w:val="left" w:pos="7321"/>
          <w:tab w:val="left" w:pos="8348"/>
        </w:tabs>
        <w:spacing w:before="0" w:after="0" w:line="240" w:lineRule="auto"/>
        <w:ind w:left="93"/>
        <w:rPr>
          <w:rFonts w:ascii="Arial Narrow" w:hAnsi="Arial Narrow" w:cs="Arial"/>
          <w:color w:val="8497B0"/>
          <w:sz w:val="32"/>
          <w:szCs w:val="32"/>
        </w:rPr>
      </w:pPr>
      <w:proofErr w:type="spellStart"/>
      <w:r w:rsidRPr="008528B8">
        <w:rPr>
          <w:rFonts w:ascii="Arial Narrow" w:hAnsi="Arial Narrow" w:cs="Arial"/>
          <w:color w:val="8497B0"/>
          <w:sz w:val="32"/>
          <w:szCs w:val="32"/>
        </w:rPr>
        <w:t>AChPM</w:t>
      </w:r>
      <w:proofErr w:type="spellEnd"/>
      <w:r w:rsidRPr="008528B8">
        <w:rPr>
          <w:rFonts w:ascii="Arial Narrow" w:hAnsi="Arial Narrow" w:cs="Arial"/>
          <w:color w:val="8497B0"/>
          <w:sz w:val="32"/>
          <w:szCs w:val="32"/>
        </w:rPr>
        <w:t xml:space="preserve"> 2005 lower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p>
    <w:p w14:paraId="2A6E0BFD" w14:textId="77777777" w:rsidR="00F0773D" w:rsidRPr="00F0773D" w:rsidRDefault="00F0773D" w:rsidP="00F0773D">
      <w:pPr>
        <w:pStyle w:val="AspexBodyStandard"/>
      </w:pPr>
    </w:p>
    <w:p w14:paraId="4AF10329" w14:textId="1854F54E"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1B1317AF" w14:textId="108F7CE5"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70.00%</w:t>
      </w:r>
    </w:p>
    <w:p w14:paraId="196728E9" w14:textId="77777777" w:rsidR="00F0773D" w:rsidRDefault="0076327C" w:rsidP="00F0773D">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Cs w:val="22"/>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104621</w:t>
      </w:r>
    </w:p>
    <w:p w14:paraId="45472AA4" w14:textId="3C4A74CF" w:rsidR="0076327C" w:rsidRPr="008528B8" w:rsidRDefault="0076327C" w:rsidP="00F0773D">
      <w:pPr>
        <w:tabs>
          <w:tab w:val="left" w:pos="2821"/>
          <w:tab w:val="left" w:pos="3675"/>
          <w:tab w:val="left" w:pos="4604"/>
          <w:tab w:val="left" w:pos="5628"/>
          <w:tab w:val="left" w:pos="6504"/>
          <w:tab w:val="left" w:pos="7321"/>
          <w:tab w:val="left" w:pos="8348"/>
        </w:tabs>
        <w:spacing w:before="0" w:after="0" w:line="240" w:lineRule="auto"/>
        <w:ind w:left="3675" w:hanging="3582"/>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00F0773D">
        <w:rPr>
          <w:rFonts w:ascii="Arial Narrow" w:hAnsi="Arial Narrow" w:cs="Arial"/>
          <w:szCs w:val="22"/>
        </w:rPr>
        <w:tab/>
      </w:r>
      <w:proofErr w:type="gramStart"/>
      <w:r w:rsidRPr="0076327C">
        <w:rPr>
          <w:rFonts w:ascii="Arial Narrow" w:hAnsi="Arial Narrow" w:cs="Arial"/>
          <w:szCs w:val="22"/>
        </w:rPr>
        <w:t>61.50%</w:t>
      </w:r>
      <w:proofErr w:type="gramEnd"/>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563BAD8B" w14:textId="25C810ED"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64342</w:t>
      </w:r>
    </w:p>
    <w:p w14:paraId="4A7D90C7" w14:textId="1AFF5723" w:rsidR="0076327C" w:rsidRDefault="004728FD" w:rsidP="0076327C">
      <w:r>
        <w:rPr>
          <w:noProof/>
          <w:lang w:eastAsia="en-AU"/>
        </w:rPr>
        <w:drawing>
          <wp:inline distT="0" distB="0" distL="0" distR="0" wp14:anchorId="50BE93C9" wp14:editId="376FD3FB">
            <wp:extent cx="5723890" cy="5293987"/>
            <wp:effectExtent l="0" t="0" r="0" b="2540"/>
            <wp:docPr id="26" name="Picture 26" descr="AChPM 2005 lower estimates of referral – total notional savings  " title="Table 4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23890" cy="5293987"/>
                    </a:xfrm>
                    <a:prstGeom prst="rect">
                      <a:avLst/>
                    </a:prstGeom>
                  </pic:spPr>
                </pic:pic>
              </a:graphicData>
            </a:graphic>
          </wp:inline>
        </w:drawing>
      </w:r>
    </w:p>
    <w:p w14:paraId="3A1356A0" w14:textId="77777777" w:rsidR="004728FD" w:rsidRDefault="004728FD">
      <w:pPr>
        <w:spacing w:before="0" w:after="0" w:line="240" w:lineRule="auto"/>
        <w:rPr>
          <w:rFonts w:ascii="Arial Narrow" w:hAnsi="Arial Narrow" w:cs="Arial"/>
          <w:sz w:val="32"/>
          <w:szCs w:val="32"/>
        </w:rPr>
      </w:pPr>
      <w:r>
        <w:rPr>
          <w:rFonts w:ascii="Arial Narrow" w:hAnsi="Arial Narrow" w:cs="Arial"/>
          <w:sz w:val="32"/>
          <w:szCs w:val="32"/>
        </w:rPr>
        <w:br w:type="page"/>
      </w:r>
    </w:p>
    <w:p w14:paraId="13CC9BCE" w14:textId="644752F3" w:rsidR="0076327C" w:rsidRPr="008528B8" w:rsidRDefault="004728FD"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Pr>
          <w:rFonts w:ascii="Arial Narrow" w:hAnsi="Arial Narrow" w:cs="Arial"/>
          <w:sz w:val="32"/>
          <w:szCs w:val="32"/>
        </w:rPr>
        <w:lastRenderedPageBreak/>
        <w:t>F</w:t>
      </w:r>
      <w:r w:rsidR="0076327C" w:rsidRPr="008528B8">
        <w:rPr>
          <w:rFonts w:ascii="Arial Narrow" w:hAnsi="Arial Narrow" w:cs="Arial"/>
          <w:sz w:val="32"/>
          <w:szCs w:val="32"/>
        </w:rPr>
        <w:t>inancial year 2012-13</w:t>
      </w:r>
      <w:r w:rsidR="0076327C" w:rsidRPr="008528B8">
        <w:rPr>
          <w:rFonts w:ascii="Arial Narrow" w:hAnsi="Arial Narrow" w:cs="Arial"/>
          <w:sz w:val="32"/>
          <w:szCs w:val="32"/>
        </w:rPr>
        <w:tab/>
      </w:r>
    </w:p>
    <w:p w14:paraId="2B81DFAA" w14:textId="4B202A2B" w:rsidR="0076327C" w:rsidRDefault="0076327C" w:rsidP="0076327C">
      <w:pPr>
        <w:tabs>
          <w:tab w:val="left" w:pos="5628"/>
          <w:tab w:val="left" w:pos="6504"/>
          <w:tab w:val="left" w:pos="7321"/>
          <w:tab w:val="left" w:pos="8348"/>
        </w:tabs>
        <w:spacing w:before="0" w:after="0" w:line="240" w:lineRule="auto"/>
        <w:ind w:left="93"/>
        <w:rPr>
          <w:rFonts w:ascii="Arial Narrow" w:hAnsi="Arial Narrow" w:cs="Arial"/>
          <w:color w:val="8497B0"/>
          <w:sz w:val="32"/>
          <w:szCs w:val="32"/>
        </w:rPr>
      </w:pPr>
      <w:proofErr w:type="spellStart"/>
      <w:r w:rsidRPr="008528B8">
        <w:rPr>
          <w:rFonts w:ascii="Arial Narrow" w:hAnsi="Arial Narrow" w:cs="Arial"/>
          <w:color w:val="8497B0"/>
          <w:sz w:val="32"/>
          <w:szCs w:val="32"/>
        </w:rPr>
        <w:t>AchPM</w:t>
      </w:r>
      <w:proofErr w:type="spellEnd"/>
      <w:r w:rsidRPr="008528B8">
        <w:rPr>
          <w:rFonts w:ascii="Arial Narrow" w:hAnsi="Arial Narrow" w:cs="Arial"/>
          <w:color w:val="8497B0"/>
          <w:sz w:val="32"/>
          <w:szCs w:val="32"/>
        </w:rPr>
        <w:t xml:space="preserve"> 2005 upper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p>
    <w:p w14:paraId="2BFE8F2F" w14:textId="77777777" w:rsidR="00F0773D" w:rsidRPr="00F0773D" w:rsidRDefault="00F0773D" w:rsidP="00F0773D">
      <w:pPr>
        <w:pStyle w:val="AspexBodyStandard"/>
      </w:pPr>
    </w:p>
    <w:p w14:paraId="306E4E95" w14:textId="5FCFBC10"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12C96B18" w14:textId="1A23E862"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75.96%</w:t>
      </w:r>
    </w:p>
    <w:p w14:paraId="541E3DB3" w14:textId="48672470"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113529</w:t>
      </w:r>
    </w:p>
    <w:p w14:paraId="2731EEE5" w14:textId="566C3655" w:rsidR="0076327C" w:rsidRPr="008528B8" w:rsidRDefault="0076327C" w:rsidP="0076327C">
      <w:pPr>
        <w:tabs>
          <w:tab w:val="left" w:pos="2821"/>
          <w:tab w:val="left" w:pos="3675"/>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41A68C20" w14:textId="59ED4205"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69820</w:t>
      </w:r>
    </w:p>
    <w:p w14:paraId="2D5A85A9" w14:textId="4AF82090" w:rsidR="0076327C" w:rsidRDefault="004728FD" w:rsidP="0076327C">
      <w:r>
        <w:rPr>
          <w:noProof/>
          <w:lang w:eastAsia="en-AU"/>
        </w:rPr>
        <w:drawing>
          <wp:inline distT="0" distB="0" distL="0" distR="0" wp14:anchorId="2C060C0E" wp14:editId="7A5D2DE8">
            <wp:extent cx="5723890" cy="5304383"/>
            <wp:effectExtent l="0" t="0" r="0" b="0"/>
            <wp:docPr id="29" name="Picture 29" descr="AchPM 2005 upper estimates of referral – total notional savings  " title="Table 5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23890" cy="5304383"/>
                    </a:xfrm>
                    <a:prstGeom prst="rect">
                      <a:avLst/>
                    </a:prstGeom>
                  </pic:spPr>
                </pic:pic>
              </a:graphicData>
            </a:graphic>
          </wp:inline>
        </w:drawing>
      </w:r>
    </w:p>
    <w:p w14:paraId="0D0AE5F8" w14:textId="7D7DE7BA" w:rsidR="004728FD" w:rsidRDefault="004728FD">
      <w:pPr>
        <w:spacing w:before="0" w:after="0" w:line="240" w:lineRule="auto"/>
      </w:pPr>
      <w:r>
        <w:br w:type="page"/>
      </w:r>
    </w:p>
    <w:p w14:paraId="7625189B" w14:textId="264B30AC"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 w:val="32"/>
          <w:szCs w:val="32"/>
        </w:rPr>
        <w:lastRenderedPageBreak/>
        <w:t>Financial year 2012-13</w:t>
      </w:r>
      <w:r w:rsidRPr="008528B8">
        <w:rPr>
          <w:rFonts w:ascii="Arial Narrow" w:hAnsi="Arial Narrow" w:cs="Arial"/>
          <w:sz w:val="32"/>
          <w:szCs w:val="32"/>
        </w:rPr>
        <w:tab/>
      </w:r>
    </w:p>
    <w:p w14:paraId="4CDE5E2A" w14:textId="77777777" w:rsidR="00F0773D" w:rsidRDefault="0076327C" w:rsidP="0076327C">
      <w:pPr>
        <w:tabs>
          <w:tab w:val="left" w:pos="6504"/>
          <w:tab w:val="left" w:pos="7321"/>
          <w:tab w:val="left" w:pos="8348"/>
        </w:tabs>
        <w:spacing w:before="0" w:after="0" w:line="240" w:lineRule="auto"/>
        <w:ind w:left="93"/>
        <w:rPr>
          <w:rFonts w:ascii="Arial Narrow" w:hAnsi="Arial Narrow" w:cs="Arial"/>
          <w:color w:val="8497B0"/>
          <w:sz w:val="32"/>
          <w:szCs w:val="32"/>
        </w:rPr>
      </w:pPr>
      <w:proofErr w:type="spellStart"/>
      <w:r w:rsidRPr="008528B8">
        <w:rPr>
          <w:rFonts w:ascii="Arial Narrow" w:hAnsi="Arial Narrow" w:cs="Arial"/>
          <w:color w:val="8497B0"/>
          <w:sz w:val="32"/>
          <w:szCs w:val="32"/>
        </w:rPr>
        <w:t>Rosenwax</w:t>
      </w:r>
      <w:proofErr w:type="spellEnd"/>
      <w:r w:rsidRPr="008528B8">
        <w:rPr>
          <w:rFonts w:ascii="Arial Narrow" w:hAnsi="Arial Narrow" w:cs="Arial"/>
          <w:color w:val="8497B0"/>
          <w:sz w:val="32"/>
          <w:szCs w:val="32"/>
        </w:rPr>
        <w:t xml:space="preserve"> et al 2005 lower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p>
    <w:p w14:paraId="4972612B" w14:textId="77777777" w:rsidR="00F0773D" w:rsidRDefault="00F0773D"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Cs w:val="22"/>
        </w:rPr>
      </w:pPr>
    </w:p>
    <w:p w14:paraId="667834DA" w14:textId="3695C383"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2C908FA0" w14:textId="628384B4"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44.00%</w:t>
      </w:r>
    </w:p>
    <w:p w14:paraId="40E2AD57" w14:textId="4702CE54"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65762</w:t>
      </w:r>
    </w:p>
    <w:p w14:paraId="5320AFA2" w14:textId="28A4F0D3" w:rsidR="0076327C" w:rsidRPr="008528B8" w:rsidRDefault="0076327C" w:rsidP="0076327C">
      <w:pPr>
        <w:tabs>
          <w:tab w:val="left" w:pos="2821"/>
          <w:tab w:val="left" w:pos="3675"/>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27FEA934" w14:textId="55D3A7E0"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40444</w:t>
      </w:r>
    </w:p>
    <w:p w14:paraId="6FADF113" w14:textId="3DC39D97" w:rsidR="0076327C" w:rsidRDefault="004728FD" w:rsidP="0076327C">
      <w:r>
        <w:rPr>
          <w:noProof/>
          <w:lang w:eastAsia="en-AU"/>
        </w:rPr>
        <w:drawing>
          <wp:inline distT="0" distB="0" distL="0" distR="0" wp14:anchorId="1481917C" wp14:editId="33053CC4">
            <wp:extent cx="5723890" cy="5294598"/>
            <wp:effectExtent l="0" t="0" r="0" b="1905"/>
            <wp:docPr id="31" name="Picture 31" descr="Rosenwax et al 2005 lower estimates of referral – total notional savings" title="Table 6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23890" cy="5294598"/>
                    </a:xfrm>
                    <a:prstGeom prst="rect">
                      <a:avLst/>
                    </a:prstGeom>
                  </pic:spPr>
                </pic:pic>
              </a:graphicData>
            </a:graphic>
          </wp:inline>
        </w:drawing>
      </w:r>
    </w:p>
    <w:p w14:paraId="04B2E229" w14:textId="0DCE6607"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Pr>
          <w:rFonts w:ascii="Arial Narrow" w:hAnsi="Arial Narrow" w:cs="Arial"/>
          <w:sz w:val="32"/>
          <w:szCs w:val="32"/>
        </w:rPr>
        <w:br w:type="column"/>
      </w:r>
      <w:r w:rsidRPr="008528B8">
        <w:rPr>
          <w:rFonts w:ascii="Arial Narrow" w:hAnsi="Arial Narrow" w:cs="Arial"/>
          <w:sz w:val="32"/>
          <w:szCs w:val="32"/>
        </w:rPr>
        <w:lastRenderedPageBreak/>
        <w:t>Financial year 2012-13</w:t>
      </w:r>
      <w:r w:rsidRPr="008528B8">
        <w:rPr>
          <w:rFonts w:ascii="Arial Narrow" w:hAnsi="Arial Narrow" w:cs="Arial"/>
          <w:sz w:val="32"/>
          <w:szCs w:val="32"/>
        </w:rPr>
        <w:tab/>
      </w:r>
    </w:p>
    <w:p w14:paraId="5D9B0494" w14:textId="1FACF79B" w:rsidR="0076327C" w:rsidRDefault="0076327C" w:rsidP="0076327C">
      <w:pPr>
        <w:tabs>
          <w:tab w:val="left" w:pos="6504"/>
          <w:tab w:val="left" w:pos="7321"/>
          <w:tab w:val="left" w:pos="8348"/>
        </w:tabs>
        <w:spacing w:before="0" w:after="0" w:line="240" w:lineRule="auto"/>
        <w:ind w:left="93"/>
        <w:rPr>
          <w:rFonts w:ascii="Arial Narrow" w:hAnsi="Arial Narrow" w:cs="Arial"/>
          <w:color w:val="8497B0"/>
          <w:sz w:val="32"/>
          <w:szCs w:val="32"/>
        </w:rPr>
      </w:pPr>
      <w:proofErr w:type="spellStart"/>
      <w:r w:rsidRPr="008528B8">
        <w:rPr>
          <w:rFonts w:ascii="Arial Narrow" w:hAnsi="Arial Narrow" w:cs="Arial"/>
          <w:color w:val="8497B0"/>
          <w:sz w:val="32"/>
          <w:szCs w:val="32"/>
        </w:rPr>
        <w:t>Rosenwax</w:t>
      </w:r>
      <w:proofErr w:type="spellEnd"/>
      <w:r w:rsidRPr="008528B8">
        <w:rPr>
          <w:rFonts w:ascii="Arial Narrow" w:hAnsi="Arial Narrow" w:cs="Arial"/>
          <w:color w:val="8497B0"/>
          <w:sz w:val="32"/>
          <w:szCs w:val="32"/>
        </w:rPr>
        <w:t xml:space="preserve"> et al 2005 upper estimates of referral </w:t>
      </w:r>
      <w:r>
        <w:rPr>
          <w:rFonts w:ascii="Arial Narrow" w:hAnsi="Arial Narrow" w:cs="Arial"/>
          <w:color w:val="8497B0"/>
          <w:sz w:val="32"/>
          <w:szCs w:val="32"/>
        </w:rPr>
        <w:t>–</w:t>
      </w:r>
      <w:r w:rsidRPr="008528B8">
        <w:rPr>
          <w:rFonts w:ascii="Arial Narrow" w:hAnsi="Arial Narrow" w:cs="Arial"/>
          <w:color w:val="8497B0"/>
          <w:sz w:val="32"/>
          <w:szCs w:val="32"/>
        </w:rPr>
        <w:t xml:space="preserve"> total notional savings</w:t>
      </w:r>
    </w:p>
    <w:p w14:paraId="49A3C2DC" w14:textId="77777777" w:rsidR="00F0773D" w:rsidRPr="00F0773D" w:rsidRDefault="00F0773D" w:rsidP="00F0773D">
      <w:pPr>
        <w:pStyle w:val="AspexBodyStandard"/>
      </w:pPr>
    </w:p>
    <w:p w14:paraId="1F0B78C2" w14:textId="029409C8"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Number of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149459</w:t>
      </w:r>
    </w:p>
    <w:p w14:paraId="16247FE6" w14:textId="7C3E3B0A"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color w:val="FF0000"/>
          <w:sz w:val="20"/>
        </w:rPr>
      </w:pPr>
      <w:r w:rsidRPr="0076327C">
        <w:rPr>
          <w:rFonts w:ascii="Arial Narrow" w:hAnsi="Arial Narrow" w:cs="Arial"/>
          <w:color w:val="FF0000"/>
          <w:szCs w:val="22"/>
        </w:rPr>
        <w:t>Proportion of ‘anticipated’ deaths</w:t>
      </w:r>
      <w:r w:rsidRPr="0076327C">
        <w:rPr>
          <w:rFonts w:ascii="Arial Narrow" w:hAnsi="Arial Narrow" w:cs="Arial"/>
          <w:color w:val="FF0000"/>
          <w:szCs w:val="22"/>
        </w:rPr>
        <w:tab/>
      </w:r>
      <w:r w:rsidRPr="0076327C">
        <w:rPr>
          <w:rFonts w:ascii="Arial Narrow" w:hAnsi="Arial Narrow" w:cs="Arial"/>
          <w:color w:val="FF0000"/>
          <w:szCs w:val="22"/>
        </w:rPr>
        <w:tab/>
        <w:t>78.00%</w:t>
      </w:r>
    </w:p>
    <w:p w14:paraId="114B50BB" w14:textId="1DCE3E85" w:rsidR="0076327C" w:rsidRPr="008528B8"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8528B8">
        <w:rPr>
          <w:rFonts w:ascii="Arial Narrow" w:hAnsi="Arial Narrow" w:cs="Arial"/>
          <w:szCs w:val="22"/>
        </w:rPr>
        <w:t xml:space="preserve">Number of </w:t>
      </w:r>
      <w:r>
        <w:rPr>
          <w:rFonts w:ascii="Arial Narrow" w:hAnsi="Arial Narrow" w:cs="Arial"/>
          <w:szCs w:val="22"/>
        </w:rPr>
        <w:t>‘</w:t>
      </w:r>
      <w:r w:rsidRPr="008528B8">
        <w:rPr>
          <w:rFonts w:ascii="Arial Narrow" w:hAnsi="Arial Narrow" w:cs="Arial"/>
          <w:szCs w:val="22"/>
        </w:rPr>
        <w:t>anticipated</w:t>
      </w:r>
      <w:r>
        <w:rPr>
          <w:rFonts w:ascii="Arial Narrow" w:hAnsi="Arial Narrow" w:cs="Arial"/>
          <w:szCs w:val="22"/>
        </w:rPr>
        <w:t>’</w:t>
      </w:r>
      <w:r w:rsidRPr="008528B8">
        <w:rPr>
          <w:rFonts w:ascii="Arial Narrow" w:hAnsi="Arial Narrow" w:cs="Arial"/>
          <w:szCs w:val="22"/>
        </w:rPr>
        <w:t xml:space="preserve"> deaths</w:t>
      </w:r>
      <w:r w:rsidRPr="008528B8">
        <w:rPr>
          <w:rFonts w:ascii="Arial Narrow" w:hAnsi="Arial Narrow" w:cs="Arial"/>
          <w:szCs w:val="22"/>
        </w:rPr>
        <w:tab/>
      </w:r>
      <w:r>
        <w:rPr>
          <w:rFonts w:ascii="Arial Narrow" w:hAnsi="Arial Narrow" w:cs="Arial"/>
          <w:szCs w:val="22"/>
        </w:rPr>
        <w:tab/>
      </w:r>
      <w:r w:rsidRPr="008528B8">
        <w:rPr>
          <w:rFonts w:ascii="Arial Narrow" w:hAnsi="Arial Narrow" w:cs="Arial"/>
          <w:szCs w:val="22"/>
        </w:rPr>
        <w:t>116578</w:t>
      </w:r>
    </w:p>
    <w:p w14:paraId="1164D5ED" w14:textId="47A82E19" w:rsidR="0076327C" w:rsidRPr="008528B8" w:rsidRDefault="0076327C" w:rsidP="0076327C">
      <w:pPr>
        <w:tabs>
          <w:tab w:val="left" w:pos="2821"/>
          <w:tab w:val="left" w:pos="3675"/>
        </w:tabs>
        <w:spacing w:before="0" w:after="0" w:line="240" w:lineRule="auto"/>
        <w:ind w:left="3673" w:hanging="3580"/>
        <w:rPr>
          <w:rFonts w:ascii="Arial Narrow" w:hAnsi="Arial Narrow" w:cs="Arial"/>
          <w:sz w:val="20"/>
        </w:rPr>
      </w:pPr>
      <w:r w:rsidRPr="0076327C">
        <w:rPr>
          <w:rFonts w:ascii="Arial Narrow" w:hAnsi="Arial Narrow" w:cs="Arial"/>
          <w:szCs w:val="22"/>
        </w:rPr>
        <w:t>Proportion of specialist referrals</w:t>
      </w:r>
      <w:r w:rsidRPr="0076327C">
        <w:rPr>
          <w:rFonts w:ascii="Arial Narrow" w:hAnsi="Arial Narrow" w:cs="Arial"/>
          <w:szCs w:val="22"/>
        </w:rPr>
        <w:tab/>
      </w:r>
      <w:r w:rsidRPr="0076327C">
        <w:rPr>
          <w:rFonts w:ascii="Arial Narrow" w:hAnsi="Arial Narrow" w:cs="Arial"/>
          <w:szCs w:val="22"/>
        </w:rPr>
        <w:tab/>
      </w:r>
      <w:r w:rsidRPr="0076327C">
        <w:rPr>
          <w:rFonts w:ascii="Arial Narrow" w:hAnsi="Arial Narrow" w:cs="Arial"/>
          <w:szCs w:val="22"/>
        </w:rPr>
        <w:tab/>
        <w:t>61.50%</w:t>
      </w:r>
      <w:r w:rsidRPr="0076327C">
        <w:rPr>
          <w:rFonts w:ascii="Arial Narrow" w:hAnsi="Arial Narrow" w:cs="Arial"/>
          <w:szCs w:val="22"/>
        </w:rPr>
        <w:tab/>
      </w:r>
      <w:r w:rsidRPr="0076327C">
        <w:rPr>
          <w:rFonts w:ascii="Arial Narrow" w:hAnsi="Arial Narrow" w:cs="Arial"/>
          <w:sz w:val="20"/>
        </w:rPr>
        <w:t xml:space="preserve">(currently referred for </w:t>
      </w:r>
      <w:r w:rsidR="002A2727">
        <w:rPr>
          <w:rFonts w:ascii="Arial Narrow" w:hAnsi="Arial Narrow" w:cs="Arial"/>
          <w:sz w:val="20"/>
        </w:rPr>
        <w:t>palliative medicine</w:t>
      </w:r>
      <w:r w:rsidRPr="0076327C">
        <w:rPr>
          <w:rFonts w:ascii="Arial Narrow" w:hAnsi="Arial Narrow" w:cs="Arial"/>
          <w:sz w:val="20"/>
        </w:rPr>
        <w:t xml:space="preserve"> specialist</w:t>
      </w:r>
      <w:r w:rsidRPr="008528B8">
        <w:rPr>
          <w:rFonts w:ascii="Arial Narrow" w:hAnsi="Arial Narrow" w:cs="Arial"/>
          <w:sz w:val="20"/>
        </w:rPr>
        <w:t xml:space="preserve"> assessment in hospital or community)</w:t>
      </w:r>
    </w:p>
    <w:p w14:paraId="646F9D38" w14:textId="75DB5431" w:rsidR="0076327C" w:rsidRPr="0076327C" w:rsidRDefault="0076327C" w:rsidP="0076327C">
      <w:pPr>
        <w:tabs>
          <w:tab w:val="left" w:pos="2821"/>
          <w:tab w:val="left" w:pos="3675"/>
          <w:tab w:val="left" w:pos="4604"/>
          <w:tab w:val="left" w:pos="5628"/>
          <w:tab w:val="left" w:pos="6504"/>
          <w:tab w:val="left" w:pos="7321"/>
          <w:tab w:val="left" w:pos="8348"/>
        </w:tabs>
        <w:spacing w:before="0" w:after="0" w:line="240" w:lineRule="auto"/>
        <w:ind w:left="93"/>
        <w:rPr>
          <w:rFonts w:ascii="Arial Narrow" w:hAnsi="Arial Narrow" w:cs="Arial"/>
          <w:sz w:val="20"/>
        </w:rPr>
      </w:pPr>
      <w:r w:rsidRPr="0076327C">
        <w:rPr>
          <w:rFonts w:ascii="Arial Narrow" w:hAnsi="Arial Narrow" w:cs="Arial"/>
          <w:szCs w:val="22"/>
        </w:rPr>
        <w:t>Number of ‘anticipated’ deaths referred</w:t>
      </w:r>
      <w:r w:rsidRPr="0076327C">
        <w:rPr>
          <w:rFonts w:ascii="Arial Narrow" w:hAnsi="Arial Narrow" w:cs="Arial"/>
          <w:szCs w:val="22"/>
        </w:rPr>
        <w:tab/>
        <w:t>71695</w:t>
      </w:r>
    </w:p>
    <w:p w14:paraId="28EF490F" w14:textId="1527A8EC" w:rsidR="0076327C" w:rsidRDefault="004728FD" w:rsidP="0076327C">
      <w:r>
        <w:rPr>
          <w:noProof/>
          <w:lang w:eastAsia="en-AU"/>
        </w:rPr>
        <w:drawing>
          <wp:inline distT="0" distB="0" distL="0" distR="0" wp14:anchorId="2D882DF8" wp14:editId="331A9E34">
            <wp:extent cx="5723890" cy="5262187"/>
            <wp:effectExtent l="0" t="0" r="0" b="0"/>
            <wp:docPr id="8" name="Picture 8" descr="Rosenwax et al 2005 upper estimates of referral – total notional savings" title="Table 7 of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23890" cy="5262187"/>
                    </a:xfrm>
                    <a:prstGeom prst="rect">
                      <a:avLst/>
                    </a:prstGeom>
                  </pic:spPr>
                </pic:pic>
              </a:graphicData>
            </a:graphic>
          </wp:inline>
        </w:drawing>
      </w:r>
    </w:p>
    <w:p w14:paraId="2313D743" w14:textId="77777777" w:rsidR="00257B86" w:rsidRDefault="001F5B8B" w:rsidP="00257B86">
      <w:pPr>
        <w:pStyle w:val="AspexAppendixlevel1"/>
      </w:pPr>
      <w:bookmarkStart w:id="341" w:name="_Toc382313871"/>
      <w:r>
        <w:lastRenderedPageBreak/>
        <w:t>References</w:t>
      </w:r>
      <w:bookmarkEnd w:id="341"/>
    </w:p>
    <w:p w14:paraId="4B35FBCF" w14:textId="77777777" w:rsidR="001F5B8B" w:rsidRDefault="001F5B8B" w:rsidP="001F5B8B">
      <w:pPr>
        <w:pStyle w:val="AspexBodyStandard"/>
      </w:pPr>
    </w:p>
    <w:p w14:paraId="6BC2BB8F"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Australian &amp; New Zealand Society of Palliative Medicine. </w:t>
      </w:r>
      <w:r w:rsidRPr="009209C7">
        <w:rPr>
          <w:rFonts w:ascii="Arial Narrow" w:hAnsi="Arial Narrow" w:cs="Arial"/>
          <w:i/>
          <w:szCs w:val="22"/>
        </w:rPr>
        <w:t>Benchmark Number of Specialists in Palliative Medicine ANZSPM. Position Statement</w:t>
      </w:r>
      <w:r w:rsidRPr="009209C7">
        <w:rPr>
          <w:rFonts w:ascii="Arial Narrow" w:hAnsi="Arial Narrow" w:cs="Arial"/>
          <w:szCs w:val="22"/>
        </w:rPr>
        <w:t xml:space="preserve">, ANZSPC </w:t>
      </w:r>
      <w:proofErr w:type="spellStart"/>
      <w:r w:rsidRPr="009209C7">
        <w:rPr>
          <w:rFonts w:ascii="Arial Narrow" w:hAnsi="Arial Narrow" w:cs="Arial"/>
          <w:szCs w:val="22"/>
        </w:rPr>
        <w:t>Inc</w:t>
      </w:r>
      <w:proofErr w:type="spellEnd"/>
      <w:r w:rsidRPr="009209C7">
        <w:rPr>
          <w:rFonts w:ascii="Arial Narrow" w:hAnsi="Arial Narrow" w:cs="Arial"/>
          <w:szCs w:val="22"/>
        </w:rPr>
        <w:t>: Canberra; 2010.</w:t>
      </w:r>
    </w:p>
    <w:p w14:paraId="28A2451B"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Australian &amp; New Zealand Society of Palliative Medicine. </w:t>
      </w:r>
      <w:hyperlink r:id="rId95" w:history="1">
        <w:r w:rsidRPr="00A36533">
          <w:rPr>
            <w:rFonts w:ascii="Arial Narrow" w:hAnsi="Arial Narrow" w:cs="Arial"/>
            <w:szCs w:val="22"/>
          </w:rPr>
          <w:t>Defining the meaning of the terms: Consultant Physician in Palliative Medicine and Palliative Medicine Specialist</w:t>
        </w:r>
      </w:hyperlink>
      <w:r w:rsidRPr="009209C7">
        <w:rPr>
          <w:rFonts w:ascii="Arial Narrow" w:hAnsi="Arial Narrow" w:cs="Arial"/>
          <w:szCs w:val="22"/>
        </w:rPr>
        <w:t xml:space="preserve">. ANZSPM, </w:t>
      </w:r>
      <w:proofErr w:type="spellStart"/>
      <w:r w:rsidRPr="009209C7">
        <w:rPr>
          <w:rFonts w:ascii="Arial Narrow" w:hAnsi="Arial Narrow" w:cs="Arial"/>
          <w:szCs w:val="22"/>
        </w:rPr>
        <w:t>Inc</w:t>
      </w:r>
      <w:proofErr w:type="spellEnd"/>
      <w:r w:rsidRPr="009209C7">
        <w:rPr>
          <w:rFonts w:ascii="Arial Narrow" w:hAnsi="Arial Narrow" w:cs="Arial"/>
          <w:szCs w:val="22"/>
        </w:rPr>
        <w:t>: Canberra; 2008.</w:t>
      </w:r>
    </w:p>
    <w:p w14:paraId="7441D36E" w14:textId="77777777" w:rsidR="00A36533" w:rsidRPr="00A36533" w:rsidRDefault="00A36533" w:rsidP="00A36533">
      <w:pPr>
        <w:pStyle w:val="ListParagraph"/>
        <w:numPr>
          <w:ilvl w:val="0"/>
          <w:numId w:val="26"/>
        </w:numPr>
        <w:spacing w:after="120" w:line="240" w:lineRule="auto"/>
        <w:contextualSpacing w:val="0"/>
        <w:jc w:val="both"/>
        <w:rPr>
          <w:rFonts w:cs="Arial"/>
        </w:rPr>
      </w:pPr>
      <w:r w:rsidRPr="00A36533">
        <w:rPr>
          <w:rFonts w:ascii="Arial Narrow" w:hAnsi="Arial Narrow" w:cs="Arial"/>
          <w:szCs w:val="22"/>
        </w:rPr>
        <w:t>Australian Institute of Health and Welfare (2011). Identifying admitted patient palliative care hospitalizations: technical paper. Cat. No. HWI 113. Canberra. AIHW.</w:t>
      </w:r>
      <w:r w:rsidRPr="00A36533">
        <w:rPr>
          <w:rFonts w:cs="Arial"/>
        </w:rPr>
        <w:footnoteRef/>
      </w:r>
    </w:p>
    <w:p w14:paraId="1C590CC3"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Australian Institute of Health and Welfare 2012. Palliative care services in Australia 2012. HWI 120 Canberra: AIHW. Australian Institute of Health and Welfare 2013. Palliative care services in Australia 2013. HWI 123 Canberra: AIHW.</w:t>
      </w:r>
    </w:p>
    <w:p w14:paraId="1F4B5A9A"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2" w:name="_Ref372621024"/>
      <w:r w:rsidRPr="009209C7">
        <w:rPr>
          <w:rFonts w:ascii="Arial Narrow" w:hAnsi="Arial Narrow" w:cs="Arial"/>
          <w:szCs w:val="22"/>
        </w:rPr>
        <w:t xml:space="preserve">Australian Institute of Health and Welfare. </w:t>
      </w:r>
      <w:r w:rsidRPr="00A36533">
        <w:rPr>
          <w:rFonts w:ascii="Arial Narrow" w:hAnsi="Arial Narrow" w:cs="Arial"/>
          <w:szCs w:val="22"/>
        </w:rPr>
        <w:t>National health data dictionary</w:t>
      </w:r>
      <w:r w:rsidRPr="009209C7">
        <w:rPr>
          <w:rFonts w:ascii="Arial Narrow" w:hAnsi="Arial Narrow" w:cs="Arial"/>
          <w:szCs w:val="22"/>
        </w:rPr>
        <w:t xml:space="preserve">. Version 15. Cat. </w:t>
      </w:r>
      <w:proofErr w:type="gramStart"/>
      <w:r w:rsidRPr="009209C7">
        <w:rPr>
          <w:rFonts w:ascii="Arial Narrow" w:hAnsi="Arial Narrow" w:cs="Arial"/>
          <w:szCs w:val="22"/>
        </w:rPr>
        <w:t>no</w:t>
      </w:r>
      <w:proofErr w:type="gramEnd"/>
      <w:r w:rsidRPr="009209C7">
        <w:rPr>
          <w:rFonts w:ascii="Arial Narrow" w:hAnsi="Arial Narrow" w:cs="Arial"/>
          <w:szCs w:val="22"/>
        </w:rPr>
        <w:t>. HWI 107. Canberra: AIHW; 2010.</w:t>
      </w:r>
      <w:bookmarkEnd w:id="342"/>
      <w:r w:rsidRPr="009209C7">
        <w:rPr>
          <w:rFonts w:ascii="Arial Narrow" w:hAnsi="Arial Narrow" w:cs="Arial"/>
          <w:szCs w:val="22"/>
        </w:rPr>
        <w:t xml:space="preserve"> </w:t>
      </w:r>
    </w:p>
    <w:p w14:paraId="28DF7D8B"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3" w:name="_Ref372715307"/>
      <w:r w:rsidRPr="009209C7">
        <w:rPr>
          <w:rFonts w:ascii="Arial Narrow" w:hAnsi="Arial Narrow" w:cs="Arial"/>
          <w:szCs w:val="22"/>
        </w:rPr>
        <w:t xml:space="preserve">Australian Institute of Health and Welfare. </w:t>
      </w:r>
      <w:r w:rsidRPr="00A36533">
        <w:rPr>
          <w:rFonts w:ascii="Arial Narrow" w:hAnsi="Arial Narrow" w:cs="Arial"/>
          <w:szCs w:val="22"/>
        </w:rPr>
        <w:t>Trends in palliative care in Australian hospitals</w:t>
      </w:r>
      <w:r w:rsidRPr="009209C7">
        <w:rPr>
          <w:rFonts w:ascii="Arial Narrow" w:hAnsi="Arial Narrow" w:cs="Arial"/>
          <w:szCs w:val="22"/>
        </w:rPr>
        <w:t xml:space="preserve">. Cat. </w:t>
      </w:r>
      <w:proofErr w:type="gramStart"/>
      <w:r w:rsidRPr="009209C7">
        <w:rPr>
          <w:rFonts w:ascii="Arial Narrow" w:hAnsi="Arial Narrow" w:cs="Arial"/>
          <w:szCs w:val="22"/>
        </w:rPr>
        <w:t>no</w:t>
      </w:r>
      <w:proofErr w:type="gramEnd"/>
      <w:r w:rsidRPr="009209C7">
        <w:rPr>
          <w:rFonts w:ascii="Arial Narrow" w:hAnsi="Arial Narrow" w:cs="Arial"/>
          <w:szCs w:val="22"/>
        </w:rPr>
        <w:t>. HWI 112. Canberra: AIHW; 2011.</w:t>
      </w:r>
      <w:bookmarkEnd w:id="343"/>
    </w:p>
    <w:p w14:paraId="20E00ECC"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Australian Medical Council. (2005). Assessment of palliative medicine as a medical specialty: Recognition of medical specialties advisory committee Report. ACT; Kingston, AMC Inc.  p.28.</w:t>
      </w:r>
    </w:p>
    <w:p w14:paraId="4EA45EA8"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Back AL, Li YF, Sales AE. Impact of palliative care case management on resource use by patients dying of cancer at a Veterans Affairs medical </w:t>
      </w:r>
      <w:proofErr w:type="spellStart"/>
      <w:r w:rsidRPr="009209C7">
        <w:rPr>
          <w:rFonts w:ascii="Arial Narrow" w:hAnsi="Arial Narrow" w:cs="Arial"/>
          <w:szCs w:val="22"/>
        </w:rPr>
        <w:t>center</w:t>
      </w:r>
      <w:proofErr w:type="spellEnd"/>
      <w:r w:rsidRPr="009209C7">
        <w:rPr>
          <w:rFonts w:ascii="Arial Narrow" w:hAnsi="Arial Narrow" w:cs="Arial"/>
          <w:szCs w:val="22"/>
        </w:rPr>
        <w:t xml:space="preserve">. </w:t>
      </w:r>
      <w:r w:rsidRPr="00A36533">
        <w:rPr>
          <w:rFonts w:ascii="Arial Narrow" w:hAnsi="Arial Narrow" w:cs="Arial"/>
          <w:szCs w:val="22"/>
        </w:rPr>
        <w:t>J Med</w:t>
      </w:r>
      <w:r w:rsidRPr="009209C7">
        <w:rPr>
          <w:rFonts w:ascii="Arial Narrow" w:hAnsi="Arial Narrow" w:cs="Arial"/>
          <w:szCs w:val="22"/>
        </w:rPr>
        <w:t>. 2005 Feb</w:t>
      </w:r>
      <w:proofErr w:type="gramStart"/>
      <w:r w:rsidRPr="009209C7">
        <w:rPr>
          <w:rFonts w:ascii="Arial Narrow" w:hAnsi="Arial Narrow" w:cs="Arial"/>
          <w:szCs w:val="22"/>
        </w:rPr>
        <w:t>;8</w:t>
      </w:r>
      <w:proofErr w:type="gramEnd"/>
      <w:r w:rsidRPr="009209C7">
        <w:rPr>
          <w:rFonts w:ascii="Arial Narrow" w:hAnsi="Arial Narrow" w:cs="Arial"/>
          <w:szCs w:val="22"/>
        </w:rPr>
        <w:t>(1):26-35.</w:t>
      </w:r>
    </w:p>
    <w:p w14:paraId="12D035DD"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Barclay S, Todd C, Grande G, </w:t>
      </w:r>
      <w:proofErr w:type="spellStart"/>
      <w:r w:rsidRPr="009209C7">
        <w:rPr>
          <w:rFonts w:ascii="Arial Narrow" w:hAnsi="Arial Narrow" w:cs="Arial"/>
          <w:szCs w:val="22"/>
        </w:rPr>
        <w:t>Lipscombe</w:t>
      </w:r>
      <w:proofErr w:type="spellEnd"/>
      <w:r w:rsidRPr="009209C7">
        <w:rPr>
          <w:rFonts w:ascii="Arial Narrow" w:hAnsi="Arial Narrow" w:cs="Arial"/>
          <w:szCs w:val="22"/>
        </w:rPr>
        <w:t xml:space="preserve"> J. How common is medical training in palliative care? A postal survey of general practitioners. </w:t>
      </w:r>
      <w:r w:rsidRPr="00A36533">
        <w:rPr>
          <w:rFonts w:ascii="Arial Narrow" w:hAnsi="Arial Narrow" w:cs="Arial"/>
          <w:szCs w:val="22"/>
        </w:rPr>
        <w:t xml:space="preserve">Br J Gen </w:t>
      </w:r>
      <w:proofErr w:type="spellStart"/>
      <w:r w:rsidRPr="00A36533">
        <w:rPr>
          <w:rFonts w:ascii="Arial Narrow" w:hAnsi="Arial Narrow" w:cs="Arial"/>
          <w:szCs w:val="22"/>
        </w:rPr>
        <w:t>Pract</w:t>
      </w:r>
      <w:proofErr w:type="spellEnd"/>
      <w:r w:rsidRPr="009209C7">
        <w:rPr>
          <w:rFonts w:ascii="Arial Narrow" w:hAnsi="Arial Narrow" w:cs="Arial"/>
          <w:szCs w:val="22"/>
        </w:rPr>
        <w:t>. 1997 Dec</w:t>
      </w:r>
      <w:proofErr w:type="gramStart"/>
      <w:r w:rsidRPr="009209C7">
        <w:rPr>
          <w:rFonts w:ascii="Arial Narrow" w:hAnsi="Arial Narrow" w:cs="Arial"/>
          <w:szCs w:val="22"/>
        </w:rPr>
        <w:t>;47</w:t>
      </w:r>
      <w:proofErr w:type="gramEnd"/>
      <w:r w:rsidRPr="009209C7">
        <w:rPr>
          <w:rFonts w:ascii="Arial Narrow" w:hAnsi="Arial Narrow" w:cs="Arial"/>
          <w:szCs w:val="22"/>
        </w:rPr>
        <w:t>(425):800-4.</w:t>
      </w:r>
    </w:p>
    <w:p w14:paraId="58AF292A"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Carroll, D. (1998). An audit of place of death of cancer patients in a semi-rural Scottish practice.  Palliative Medicine, 12, pp.51-53.</w:t>
      </w:r>
    </w:p>
    <w:p w14:paraId="52CB0DD8"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Charlton RC. Attitudes towards care of the dying: a questionnaire survey of general practice attenders. </w:t>
      </w:r>
      <w:proofErr w:type="spellStart"/>
      <w:r w:rsidRPr="00A36533">
        <w:rPr>
          <w:rFonts w:ascii="Arial Narrow" w:hAnsi="Arial Narrow" w:cs="Arial"/>
          <w:szCs w:val="22"/>
        </w:rPr>
        <w:t>Fam</w:t>
      </w:r>
      <w:proofErr w:type="spellEnd"/>
      <w:r w:rsidRPr="00A36533">
        <w:rPr>
          <w:rFonts w:ascii="Arial Narrow" w:hAnsi="Arial Narrow" w:cs="Arial"/>
          <w:szCs w:val="22"/>
        </w:rPr>
        <w:t xml:space="preserve"> </w:t>
      </w:r>
      <w:proofErr w:type="spellStart"/>
      <w:r w:rsidRPr="00A36533">
        <w:rPr>
          <w:rFonts w:ascii="Arial Narrow" w:hAnsi="Arial Narrow" w:cs="Arial"/>
          <w:szCs w:val="22"/>
        </w:rPr>
        <w:t>Pract</w:t>
      </w:r>
      <w:proofErr w:type="spellEnd"/>
      <w:r w:rsidRPr="00A36533">
        <w:rPr>
          <w:rFonts w:ascii="Arial Narrow" w:hAnsi="Arial Narrow" w:cs="Arial"/>
          <w:szCs w:val="22"/>
        </w:rPr>
        <w:t>. 1991 Dec</w:t>
      </w:r>
      <w:proofErr w:type="gramStart"/>
      <w:r w:rsidRPr="00A36533">
        <w:rPr>
          <w:rFonts w:ascii="Arial Narrow" w:hAnsi="Arial Narrow" w:cs="Arial"/>
          <w:szCs w:val="22"/>
        </w:rPr>
        <w:t>;8</w:t>
      </w:r>
      <w:proofErr w:type="gramEnd"/>
      <w:r w:rsidRPr="00A36533">
        <w:rPr>
          <w:rFonts w:ascii="Arial Narrow" w:hAnsi="Arial Narrow" w:cs="Arial"/>
          <w:szCs w:val="22"/>
        </w:rPr>
        <w:t>(4):356-9.</w:t>
      </w:r>
    </w:p>
    <w:p w14:paraId="52DEEC49"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4" w:name="_Ref372725044"/>
      <w:r w:rsidRPr="009209C7">
        <w:rPr>
          <w:rFonts w:ascii="Arial Narrow" w:hAnsi="Arial Narrow" w:cs="Arial"/>
          <w:szCs w:val="22"/>
        </w:rPr>
        <w:t xml:space="preserve">Coventry PA, Grande GE, Richards DA &amp; Todd CJ. Prediction of appropriate timing of palliative care for older adults with non-malignant life-threatening disease: a systematic review. </w:t>
      </w:r>
      <w:r w:rsidRPr="00A36533">
        <w:rPr>
          <w:rFonts w:ascii="Arial Narrow" w:hAnsi="Arial Narrow" w:cs="Arial"/>
          <w:szCs w:val="22"/>
        </w:rPr>
        <w:t>Age and Ageing</w:t>
      </w:r>
      <w:r w:rsidRPr="009209C7">
        <w:rPr>
          <w:rFonts w:ascii="Arial Narrow" w:hAnsi="Arial Narrow" w:cs="Arial"/>
          <w:szCs w:val="22"/>
        </w:rPr>
        <w:t xml:space="preserve"> 2005; 34(3):217–27.</w:t>
      </w:r>
      <w:bookmarkEnd w:id="344"/>
    </w:p>
    <w:p w14:paraId="4D1B9E09"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proofErr w:type="spellStart"/>
      <w:r w:rsidRPr="00A36533">
        <w:rPr>
          <w:rFonts w:ascii="Arial Narrow" w:hAnsi="Arial Narrow" w:cs="Arial"/>
          <w:szCs w:val="22"/>
        </w:rPr>
        <w:t>Dahlhaus</w:t>
      </w:r>
      <w:proofErr w:type="spellEnd"/>
      <w:r w:rsidRPr="00A36533">
        <w:rPr>
          <w:rFonts w:ascii="Arial Narrow" w:hAnsi="Arial Narrow" w:cs="Arial"/>
          <w:szCs w:val="22"/>
        </w:rPr>
        <w:t xml:space="preserve"> A, </w:t>
      </w:r>
      <w:proofErr w:type="spellStart"/>
      <w:r w:rsidRPr="00A36533">
        <w:rPr>
          <w:rFonts w:ascii="Arial Narrow" w:hAnsi="Arial Narrow" w:cs="Arial"/>
          <w:szCs w:val="22"/>
        </w:rPr>
        <w:t>Vanneman</w:t>
      </w:r>
      <w:proofErr w:type="spellEnd"/>
      <w:r w:rsidRPr="00A36533">
        <w:rPr>
          <w:rFonts w:ascii="Arial Narrow" w:hAnsi="Arial Narrow" w:cs="Arial"/>
          <w:szCs w:val="22"/>
        </w:rPr>
        <w:t xml:space="preserve"> N, </w:t>
      </w:r>
      <w:proofErr w:type="spellStart"/>
      <w:r w:rsidRPr="00A36533">
        <w:rPr>
          <w:rFonts w:ascii="Arial Narrow" w:hAnsi="Arial Narrow" w:cs="Arial"/>
          <w:szCs w:val="22"/>
        </w:rPr>
        <w:t>Siebenhofer</w:t>
      </w:r>
      <w:proofErr w:type="spellEnd"/>
      <w:r w:rsidRPr="00A36533">
        <w:rPr>
          <w:rFonts w:ascii="Arial Narrow" w:hAnsi="Arial Narrow" w:cs="Arial"/>
          <w:szCs w:val="22"/>
        </w:rPr>
        <w:t xml:space="preserve"> A, </w:t>
      </w:r>
      <w:proofErr w:type="spellStart"/>
      <w:r w:rsidRPr="00A36533">
        <w:rPr>
          <w:rFonts w:ascii="Arial Narrow" w:hAnsi="Arial Narrow" w:cs="Arial"/>
          <w:szCs w:val="22"/>
        </w:rPr>
        <w:t>Brosche</w:t>
      </w:r>
      <w:proofErr w:type="spellEnd"/>
      <w:r w:rsidRPr="00A36533">
        <w:rPr>
          <w:rFonts w:ascii="Arial Narrow" w:hAnsi="Arial Narrow" w:cs="Arial"/>
          <w:szCs w:val="22"/>
        </w:rPr>
        <w:t xml:space="preserve"> M, </w:t>
      </w:r>
      <w:proofErr w:type="spellStart"/>
      <w:r w:rsidRPr="00A36533">
        <w:rPr>
          <w:rFonts w:ascii="Arial Narrow" w:hAnsi="Arial Narrow" w:cs="Arial"/>
          <w:szCs w:val="22"/>
        </w:rPr>
        <w:t>Guethlin</w:t>
      </w:r>
      <w:proofErr w:type="spellEnd"/>
      <w:r w:rsidRPr="00A36533">
        <w:rPr>
          <w:rFonts w:ascii="Arial Narrow" w:hAnsi="Arial Narrow" w:cs="Arial"/>
          <w:szCs w:val="22"/>
        </w:rPr>
        <w:t xml:space="preserve"> C. Involvement of general practitioners in palliative cancer care: a qualitative study. Support Care Cancer. 2013 Dec</w:t>
      </w:r>
      <w:proofErr w:type="gramStart"/>
      <w:r w:rsidRPr="00A36533">
        <w:rPr>
          <w:rFonts w:ascii="Arial Narrow" w:hAnsi="Arial Narrow" w:cs="Arial"/>
          <w:szCs w:val="22"/>
        </w:rPr>
        <w:t>;21</w:t>
      </w:r>
      <w:proofErr w:type="gramEnd"/>
      <w:r w:rsidRPr="00A36533">
        <w:rPr>
          <w:rFonts w:ascii="Arial Narrow" w:hAnsi="Arial Narrow" w:cs="Arial"/>
          <w:szCs w:val="22"/>
        </w:rPr>
        <w:t>(12):3293-300.</w:t>
      </w:r>
    </w:p>
    <w:p w14:paraId="378AA03A"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Family Medicine Research Institute (2013). Bettering the evaluation and care of health: Palliative care in general practice, April 2009 – March 2012. School of Public Health, </w:t>
      </w:r>
      <w:proofErr w:type="gramStart"/>
      <w:r w:rsidRPr="00A36533">
        <w:rPr>
          <w:rFonts w:ascii="Arial Narrow" w:hAnsi="Arial Narrow" w:cs="Arial"/>
          <w:szCs w:val="22"/>
        </w:rPr>
        <w:t>The</w:t>
      </w:r>
      <w:proofErr w:type="gramEnd"/>
      <w:r w:rsidRPr="00A36533">
        <w:rPr>
          <w:rFonts w:ascii="Arial Narrow" w:hAnsi="Arial Narrow" w:cs="Arial"/>
          <w:szCs w:val="22"/>
        </w:rPr>
        <w:t xml:space="preserve"> University of Sydney.</w:t>
      </w:r>
    </w:p>
    <w:p w14:paraId="5C31AC8E" w14:textId="19FD61CE"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Groot MM, </w:t>
      </w:r>
      <w:proofErr w:type="spellStart"/>
      <w:r w:rsidRPr="009209C7">
        <w:rPr>
          <w:rFonts w:ascii="Arial Narrow" w:hAnsi="Arial Narrow" w:cs="Arial"/>
          <w:szCs w:val="22"/>
        </w:rPr>
        <w:t>Vernooij-Dassen</w:t>
      </w:r>
      <w:proofErr w:type="spellEnd"/>
      <w:r w:rsidRPr="009209C7">
        <w:rPr>
          <w:rFonts w:ascii="Arial Narrow" w:hAnsi="Arial Narrow" w:cs="Arial"/>
          <w:szCs w:val="22"/>
        </w:rPr>
        <w:t xml:space="preserve"> MJ, </w:t>
      </w:r>
      <w:proofErr w:type="spellStart"/>
      <w:r w:rsidRPr="009209C7">
        <w:rPr>
          <w:rFonts w:ascii="Arial Narrow" w:hAnsi="Arial Narrow" w:cs="Arial"/>
          <w:szCs w:val="22"/>
        </w:rPr>
        <w:t>Crul</w:t>
      </w:r>
      <w:proofErr w:type="spellEnd"/>
      <w:r w:rsidRPr="009209C7">
        <w:rPr>
          <w:rFonts w:ascii="Arial Narrow" w:hAnsi="Arial Narrow" w:cs="Arial"/>
          <w:szCs w:val="22"/>
        </w:rPr>
        <w:t xml:space="preserve"> BJ, </w:t>
      </w:r>
      <w:proofErr w:type="spellStart"/>
      <w:r w:rsidRPr="009209C7">
        <w:rPr>
          <w:rFonts w:ascii="Arial Narrow" w:hAnsi="Arial Narrow" w:cs="Arial"/>
          <w:szCs w:val="22"/>
        </w:rPr>
        <w:t>Grol</w:t>
      </w:r>
      <w:proofErr w:type="spellEnd"/>
      <w:r w:rsidRPr="009209C7">
        <w:rPr>
          <w:rFonts w:ascii="Arial Narrow" w:hAnsi="Arial Narrow" w:cs="Arial"/>
          <w:szCs w:val="22"/>
        </w:rPr>
        <w:t xml:space="preserve"> RP. General </w:t>
      </w:r>
      <w:r w:rsidR="0081173A">
        <w:rPr>
          <w:rFonts w:ascii="Arial Narrow" w:hAnsi="Arial Narrow" w:cs="Arial"/>
          <w:szCs w:val="22"/>
        </w:rPr>
        <w:t>P</w:t>
      </w:r>
      <w:r w:rsidRPr="009209C7">
        <w:rPr>
          <w:rFonts w:ascii="Arial Narrow" w:hAnsi="Arial Narrow" w:cs="Arial"/>
          <w:szCs w:val="22"/>
        </w:rPr>
        <w:t xml:space="preserve">ractitioners (GPs) and palliative care: perceived tasks and barriers in daily practice.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Med.</w:t>
      </w:r>
      <w:r w:rsidRPr="009209C7">
        <w:rPr>
          <w:rFonts w:ascii="Arial Narrow" w:hAnsi="Arial Narrow" w:cs="Arial"/>
          <w:szCs w:val="22"/>
        </w:rPr>
        <w:t xml:space="preserve"> 2005 Mar</w:t>
      </w:r>
      <w:proofErr w:type="gramStart"/>
      <w:r w:rsidRPr="009209C7">
        <w:rPr>
          <w:rFonts w:ascii="Arial Narrow" w:hAnsi="Arial Narrow" w:cs="Arial"/>
          <w:szCs w:val="22"/>
        </w:rPr>
        <w:t>;19</w:t>
      </w:r>
      <w:proofErr w:type="gramEnd"/>
      <w:r w:rsidRPr="009209C7">
        <w:rPr>
          <w:rFonts w:ascii="Arial Narrow" w:hAnsi="Arial Narrow" w:cs="Arial"/>
          <w:szCs w:val="22"/>
        </w:rPr>
        <w:t>(2):111-8.</w:t>
      </w:r>
    </w:p>
    <w:p w14:paraId="78B5BB78"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proofErr w:type="spellStart"/>
      <w:r w:rsidRPr="009209C7">
        <w:rPr>
          <w:rFonts w:ascii="Arial Narrow" w:hAnsi="Arial Narrow" w:cs="Arial"/>
          <w:szCs w:val="22"/>
        </w:rPr>
        <w:t>Hatziandreu</w:t>
      </w:r>
      <w:proofErr w:type="spellEnd"/>
      <w:r w:rsidRPr="009209C7">
        <w:rPr>
          <w:rFonts w:ascii="Arial Narrow" w:hAnsi="Arial Narrow" w:cs="Arial"/>
          <w:szCs w:val="22"/>
        </w:rPr>
        <w:t xml:space="preserve"> E, </w:t>
      </w:r>
      <w:proofErr w:type="spellStart"/>
      <w:r w:rsidRPr="009209C7">
        <w:rPr>
          <w:rFonts w:ascii="Arial Narrow" w:hAnsi="Arial Narrow" w:cs="Arial"/>
          <w:szCs w:val="22"/>
        </w:rPr>
        <w:t>Archontakis</w:t>
      </w:r>
      <w:proofErr w:type="spellEnd"/>
      <w:r w:rsidRPr="009209C7">
        <w:rPr>
          <w:rFonts w:ascii="Arial Narrow" w:hAnsi="Arial Narrow" w:cs="Arial"/>
          <w:szCs w:val="22"/>
        </w:rPr>
        <w:t xml:space="preserve"> F, Daly A, et al. National Audit Office. The potential cost savings of greater use of home- and hospice-based end of life care in England. Cambridge: RAND Corporation, 2008.</w:t>
      </w:r>
    </w:p>
    <w:p w14:paraId="6EE5DC68"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Hearn J, Higginson IJ. Do specialist palliative care teams improve outcomes for cancer patients? A systematic literature review.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Med</w:t>
      </w:r>
      <w:r w:rsidRPr="009209C7">
        <w:rPr>
          <w:rFonts w:ascii="Arial Narrow" w:hAnsi="Arial Narrow" w:cs="Arial"/>
          <w:szCs w:val="22"/>
        </w:rPr>
        <w:t>. 1998 Sep</w:t>
      </w:r>
      <w:proofErr w:type="gramStart"/>
      <w:r w:rsidRPr="009209C7">
        <w:rPr>
          <w:rFonts w:ascii="Arial Narrow" w:hAnsi="Arial Narrow" w:cs="Arial"/>
          <w:szCs w:val="22"/>
        </w:rPr>
        <w:t>;12</w:t>
      </w:r>
      <w:proofErr w:type="gramEnd"/>
      <w:r w:rsidRPr="009209C7">
        <w:rPr>
          <w:rFonts w:ascii="Arial Narrow" w:hAnsi="Arial Narrow" w:cs="Arial"/>
          <w:szCs w:val="22"/>
        </w:rPr>
        <w:t>(5):317-32.</w:t>
      </w:r>
    </w:p>
    <w:p w14:paraId="03457EB1"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Higginson I., Finlay I., Goodwin D.M. Do hospital-based palliative care teams improve care for patients or families at the end of life</w:t>
      </w:r>
      <w:proofErr w:type="gramStart"/>
      <w:r w:rsidRPr="009209C7">
        <w:rPr>
          <w:rFonts w:ascii="Arial Narrow" w:hAnsi="Arial Narrow" w:cs="Arial"/>
          <w:szCs w:val="22"/>
        </w:rPr>
        <w:t>?.</w:t>
      </w:r>
      <w:proofErr w:type="gramEnd"/>
      <w:r w:rsidRPr="009209C7">
        <w:rPr>
          <w:rFonts w:ascii="Arial Narrow" w:hAnsi="Arial Narrow" w:cs="Arial"/>
          <w:szCs w:val="22"/>
        </w:rPr>
        <w:t xml:space="preserve"> </w:t>
      </w:r>
      <w:r w:rsidRPr="00A36533">
        <w:rPr>
          <w:rFonts w:ascii="Arial Narrow" w:hAnsi="Arial Narrow" w:cs="Arial"/>
          <w:szCs w:val="22"/>
        </w:rPr>
        <w:t xml:space="preserve">J Pain Symptom Manage </w:t>
      </w:r>
      <w:r w:rsidRPr="009209C7">
        <w:rPr>
          <w:rFonts w:ascii="Arial Narrow" w:hAnsi="Arial Narrow" w:cs="Arial"/>
          <w:szCs w:val="22"/>
        </w:rPr>
        <w:t xml:space="preserve">2002; </w:t>
      </w:r>
      <w:r w:rsidRPr="00A36533">
        <w:rPr>
          <w:rFonts w:ascii="Arial Narrow" w:hAnsi="Arial Narrow" w:cs="Arial"/>
          <w:szCs w:val="22"/>
        </w:rPr>
        <w:t>23</w:t>
      </w:r>
      <w:r w:rsidRPr="009209C7">
        <w:rPr>
          <w:rFonts w:ascii="Arial Narrow" w:hAnsi="Arial Narrow" w:cs="Arial"/>
          <w:szCs w:val="22"/>
        </w:rPr>
        <w:t>: pp 96-106.</w:t>
      </w:r>
    </w:p>
    <w:p w14:paraId="1C19F7FD"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lastRenderedPageBreak/>
        <w:t xml:space="preserve">Higginson IJ, </w:t>
      </w:r>
      <w:proofErr w:type="spellStart"/>
      <w:r w:rsidRPr="009209C7">
        <w:rPr>
          <w:rFonts w:ascii="Arial Narrow" w:hAnsi="Arial Narrow" w:cs="Arial"/>
          <w:szCs w:val="22"/>
        </w:rPr>
        <w:t>McCrone</w:t>
      </w:r>
      <w:proofErr w:type="spellEnd"/>
      <w:r w:rsidRPr="009209C7">
        <w:rPr>
          <w:rFonts w:ascii="Arial Narrow" w:hAnsi="Arial Narrow" w:cs="Arial"/>
          <w:szCs w:val="22"/>
        </w:rPr>
        <w:t xml:space="preserve"> P, Hart SR, </w:t>
      </w:r>
      <w:proofErr w:type="spellStart"/>
      <w:r w:rsidRPr="009209C7">
        <w:rPr>
          <w:rFonts w:ascii="Arial Narrow" w:hAnsi="Arial Narrow" w:cs="Arial"/>
          <w:szCs w:val="22"/>
        </w:rPr>
        <w:t>Burman</w:t>
      </w:r>
      <w:proofErr w:type="spellEnd"/>
      <w:r w:rsidRPr="009209C7">
        <w:rPr>
          <w:rFonts w:ascii="Arial Narrow" w:hAnsi="Arial Narrow" w:cs="Arial"/>
          <w:szCs w:val="22"/>
        </w:rPr>
        <w:t xml:space="preserve"> R, Silber E, Edmonds PM. Is short-term palliative care cost-effective in multiple sclerosis? A randomized phase II trial. </w:t>
      </w:r>
      <w:r w:rsidRPr="00A36533">
        <w:rPr>
          <w:rFonts w:ascii="Arial Narrow" w:hAnsi="Arial Narrow" w:cs="Arial"/>
          <w:szCs w:val="22"/>
        </w:rPr>
        <w:t>J Pain Symptom Manage</w:t>
      </w:r>
      <w:r w:rsidRPr="009209C7">
        <w:rPr>
          <w:rFonts w:ascii="Arial Narrow" w:hAnsi="Arial Narrow" w:cs="Arial"/>
          <w:szCs w:val="22"/>
        </w:rPr>
        <w:t>. 2009 Dec</w:t>
      </w:r>
      <w:proofErr w:type="gramStart"/>
      <w:r w:rsidRPr="009209C7">
        <w:rPr>
          <w:rFonts w:ascii="Arial Narrow" w:hAnsi="Arial Narrow" w:cs="Arial"/>
          <w:szCs w:val="22"/>
        </w:rPr>
        <w:t>;38</w:t>
      </w:r>
      <w:proofErr w:type="gramEnd"/>
      <w:r w:rsidRPr="009209C7">
        <w:rPr>
          <w:rFonts w:ascii="Arial Narrow" w:hAnsi="Arial Narrow" w:cs="Arial"/>
          <w:szCs w:val="22"/>
        </w:rPr>
        <w:t>(6):816-26.</w:t>
      </w:r>
    </w:p>
    <w:p w14:paraId="2B4B546B"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5" w:name="_Ref372725047"/>
      <w:r w:rsidRPr="009209C7">
        <w:rPr>
          <w:rFonts w:ascii="Arial Narrow" w:hAnsi="Arial Narrow" w:cs="Arial"/>
          <w:szCs w:val="22"/>
        </w:rPr>
        <w:t xml:space="preserve">Hudson PL, </w:t>
      </w:r>
      <w:proofErr w:type="spellStart"/>
      <w:r w:rsidRPr="009209C7">
        <w:rPr>
          <w:rFonts w:ascii="Arial Narrow" w:hAnsi="Arial Narrow" w:cs="Arial"/>
          <w:szCs w:val="22"/>
        </w:rPr>
        <w:t>Toye</w:t>
      </w:r>
      <w:proofErr w:type="spellEnd"/>
      <w:r w:rsidRPr="009209C7">
        <w:rPr>
          <w:rFonts w:ascii="Arial Narrow" w:hAnsi="Arial Narrow" w:cs="Arial"/>
          <w:szCs w:val="22"/>
        </w:rPr>
        <w:t xml:space="preserve"> C &amp; </w:t>
      </w:r>
      <w:proofErr w:type="spellStart"/>
      <w:r w:rsidRPr="009209C7">
        <w:rPr>
          <w:rFonts w:ascii="Arial Narrow" w:hAnsi="Arial Narrow" w:cs="Arial"/>
          <w:szCs w:val="22"/>
        </w:rPr>
        <w:t>Kristjanson</w:t>
      </w:r>
      <w:proofErr w:type="spellEnd"/>
      <w:r w:rsidRPr="009209C7">
        <w:rPr>
          <w:rFonts w:ascii="Arial Narrow" w:hAnsi="Arial Narrow" w:cs="Arial"/>
          <w:szCs w:val="22"/>
        </w:rPr>
        <w:t xml:space="preserve"> LJ. Would people with Parkinson’s disease benefit from palliative care? </w:t>
      </w:r>
      <w:r w:rsidRPr="00A36533">
        <w:rPr>
          <w:rFonts w:ascii="Arial Narrow" w:hAnsi="Arial Narrow" w:cs="Arial"/>
          <w:szCs w:val="22"/>
        </w:rPr>
        <w:t xml:space="preserve">Palliative Medicine </w:t>
      </w:r>
      <w:r w:rsidRPr="009209C7">
        <w:rPr>
          <w:rFonts w:ascii="Arial Narrow" w:hAnsi="Arial Narrow" w:cs="Arial"/>
          <w:szCs w:val="22"/>
        </w:rPr>
        <w:t>2006; 20:87–94.</w:t>
      </w:r>
      <w:bookmarkEnd w:id="345"/>
      <w:r w:rsidRPr="009209C7">
        <w:rPr>
          <w:rFonts w:ascii="Arial Narrow" w:hAnsi="Arial Narrow" w:cs="Arial"/>
          <w:szCs w:val="22"/>
        </w:rPr>
        <w:t xml:space="preserve"> </w:t>
      </w:r>
    </w:p>
    <w:p w14:paraId="03F25D7F"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Johnson CE, </w:t>
      </w:r>
      <w:proofErr w:type="spellStart"/>
      <w:r w:rsidRPr="009209C7">
        <w:rPr>
          <w:rFonts w:ascii="Arial Narrow" w:hAnsi="Arial Narrow" w:cs="Arial"/>
          <w:szCs w:val="22"/>
        </w:rPr>
        <w:t>Lizama</w:t>
      </w:r>
      <w:proofErr w:type="spellEnd"/>
      <w:r w:rsidRPr="009209C7">
        <w:rPr>
          <w:rFonts w:ascii="Arial Narrow" w:hAnsi="Arial Narrow" w:cs="Arial"/>
          <w:szCs w:val="22"/>
        </w:rPr>
        <w:t xml:space="preserve"> N, </w:t>
      </w:r>
      <w:proofErr w:type="spellStart"/>
      <w:r w:rsidRPr="009209C7">
        <w:rPr>
          <w:rFonts w:ascii="Arial Narrow" w:hAnsi="Arial Narrow" w:cs="Arial"/>
          <w:szCs w:val="22"/>
        </w:rPr>
        <w:t>Garg</w:t>
      </w:r>
      <w:proofErr w:type="spellEnd"/>
      <w:r w:rsidRPr="009209C7">
        <w:rPr>
          <w:rFonts w:ascii="Arial Narrow" w:hAnsi="Arial Narrow" w:cs="Arial"/>
          <w:szCs w:val="22"/>
        </w:rPr>
        <w:t xml:space="preserve"> N, Ghosh M, Emery J, Saunders C. Australian general practitioners' preferences for managing the care of people diagnosed with cancer. </w:t>
      </w:r>
      <w:r w:rsidRPr="00A36533">
        <w:rPr>
          <w:rFonts w:ascii="Arial Narrow" w:hAnsi="Arial Narrow" w:cs="Arial"/>
          <w:szCs w:val="22"/>
        </w:rPr>
        <w:t xml:space="preserve">Asia Pac J </w:t>
      </w:r>
      <w:proofErr w:type="spellStart"/>
      <w:r w:rsidRPr="00A36533">
        <w:rPr>
          <w:rFonts w:ascii="Arial Narrow" w:hAnsi="Arial Narrow" w:cs="Arial"/>
          <w:szCs w:val="22"/>
        </w:rPr>
        <w:t>Clin</w:t>
      </w:r>
      <w:proofErr w:type="spellEnd"/>
      <w:r w:rsidRPr="00A36533">
        <w:rPr>
          <w:rFonts w:ascii="Arial Narrow" w:hAnsi="Arial Narrow" w:cs="Arial"/>
          <w:szCs w:val="22"/>
        </w:rPr>
        <w:t xml:space="preserve"> </w:t>
      </w:r>
      <w:proofErr w:type="spellStart"/>
      <w:r w:rsidRPr="00A36533">
        <w:rPr>
          <w:rFonts w:ascii="Arial Narrow" w:hAnsi="Arial Narrow" w:cs="Arial"/>
          <w:szCs w:val="22"/>
        </w:rPr>
        <w:t>Oncol</w:t>
      </w:r>
      <w:proofErr w:type="spellEnd"/>
      <w:r w:rsidRPr="00A36533">
        <w:rPr>
          <w:rFonts w:ascii="Arial Narrow" w:hAnsi="Arial Narrow" w:cs="Arial"/>
          <w:szCs w:val="22"/>
        </w:rPr>
        <w:t>.</w:t>
      </w:r>
      <w:r w:rsidRPr="009209C7">
        <w:rPr>
          <w:rFonts w:ascii="Arial Narrow" w:hAnsi="Arial Narrow" w:cs="Arial"/>
          <w:szCs w:val="22"/>
        </w:rPr>
        <w:t xml:space="preserve"> 2012 Dec 26.</w:t>
      </w:r>
    </w:p>
    <w:p w14:paraId="03F995B3"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6" w:name="_Ref372724504"/>
      <w:proofErr w:type="spellStart"/>
      <w:r w:rsidRPr="009209C7">
        <w:rPr>
          <w:rFonts w:ascii="Arial Narrow" w:hAnsi="Arial Narrow" w:cs="Arial"/>
          <w:szCs w:val="22"/>
        </w:rPr>
        <w:t>Kaasa</w:t>
      </w:r>
      <w:proofErr w:type="spellEnd"/>
      <w:r w:rsidRPr="009209C7">
        <w:rPr>
          <w:rFonts w:ascii="Arial Narrow" w:hAnsi="Arial Narrow" w:cs="Arial"/>
          <w:szCs w:val="22"/>
        </w:rPr>
        <w:t xml:space="preserve"> S, </w:t>
      </w:r>
      <w:proofErr w:type="spellStart"/>
      <w:r w:rsidRPr="009209C7">
        <w:rPr>
          <w:rFonts w:ascii="Arial Narrow" w:hAnsi="Arial Narrow" w:cs="Arial"/>
          <w:szCs w:val="22"/>
        </w:rPr>
        <w:t>Torvik</w:t>
      </w:r>
      <w:proofErr w:type="spellEnd"/>
      <w:r w:rsidRPr="009209C7">
        <w:rPr>
          <w:rFonts w:ascii="Arial Narrow" w:hAnsi="Arial Narrow" w:cs="Arial"/>
          <w:szCs w:val="22"/>
        </w:rPr>
        <w:t xml:space="preserve"> K, </w:t>
      </w:r>
      <w:proofErr w:type="spellStart"/>
      <w:r w:rsidRPr="009209C7">
        <w:rPr>
          <w:rFonts w:ascii="Arial Narrow" w:hAnsi="Arial Narrow" w:cs="Arial"/>
          <w:szCs w:val="22"/>
        </w:rPr>
        <w:t>Cherny</w:t>
      </w:r>
      <w:proofErr w:type="spellEnd"/>
      <w:r w:rsidRPr="009209C7">
        <w:rPr>
          <w:rFonts w:ascii="Arial Narrow" w:hAnsi="Arial Narrow" w:cs="Arial"/>
          <w:szCs w:val="22"/>
        </w:rPr>
        <w:t xml:space="preserve"> N et al. Patient demographics and centre description in European palliative care units. </w:t>
      </w:r>
      <w:r w:rsidRPr="00A36533">
        <w:rPr>
          <w:rFonts w:ascii="Arial Narrow" w:hAnsi="Arial Narrow" w:cs="Arial"/>
          <w:szCs w:val="22"/>
        </w:rPr>
        <w:t>Palliative Medicine</w:t>
      </w:r>
      <w:r w:rsidRPr="009209C7">
        <w:rPr>
          <w:rFonts w:ascii="Arial Narrow" w:hAnsi="Arial Narrow" w:cs="Arial"/>
          <w:szCs w:val="22"/>
        </w:rPr>
        <w:t xml:space="preserve"> 2007; 21:15–22.</w:t>
      </w:r>
      <w:bookmarkEnd w:id="346"/>
    </w:p>
    <w:p w14:paraId="18F0AF39"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Makin, W, Finlay, IG, Amesbury, B, and </w:t>
      </w:r>
      <w:proofErr w:type="spellStart"/>
      <w:r w:rsidRPr="00A36533">
        <w:rPr>
          <w:rFonts w:ascii="Arial Narrow" w:hAnsi="Arial Narrow" w:cs="Arial"/>
          <w:szCs w:val="22"/>
        </w:rPr>
        <w:t>Naysmith</w:t>
      </w:r>
      <w:proofErr w:type="spellEnd"/>
      <w:r w:rsidRPr="00A36533">
        <w:rPr>
          <w:rFonts w:ascii="Arial Narrow" w:hAnsi="Arial Narrow" w:cs="Arial"/>
          <w:szCs w:val="22"/>
        </w:rPr>
        <w:t>, A. (2000). What do palliative medicine specialists do? Palliative Medicine, 14, 405-409.</w:t>
      </w:r>
    </w:p>
    <w:p w14:paraId="647EE436"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McGrath LS, Foote DG, Frith KH, Hall WM. Cost effectiveness of a palliative care program in a rural community hospital. </w:t>
      </w:r>
      <w:proofErr w:type="spellStart"/>
      <w:r w:rsidRPr="00A36533">
        <w:rPr>
          <w:rFonts w:ascii="Arial Narrow" w:hAnsi="Arial Narrow" w:cs="Arial"/>
          <w:szCs w:val="22"/>
        </w:rPr>
        <w:t>Nurs</w:t>
      </w:r>
      <w:proofErr w:type="spellEnd"/>
      <w:r w:rsidRPr="00A36533">
        <w:rPr>
          <w:rFonts w:ascii="Arial Narrow" w:hAnsi="Arial Narrow" w:cs="Arial"/>
          <w:szCs w:val="22"/>
        </w:rPr>
        <w:t xml:space="preserve"> Econ</w:t>
      </w:r>
      <w:r w:rsidRPr="009209C7">
        <w:rPr>
          <w:rFonts w:ascii="Arial Narrow" w:hAnsi="Arial Narrow" w:cs="Arial"/>
          <w:szCs w:val="22"/>
        </w:rPr>
        <w:t>. 2013 Jul-Aug</w:t>
      </w:r>
      <w:proofErr w:type="gramStart"/>
      <w:r w:rsidRPr="009209C7">
        <w:rPr>
          <w:rFonts w:ascii="Arial Narrow" w:hAnsi="Arial Narrow" w:cs="Arial"/>
          <w:szCs w:val="22"/>
        </w:rPr>
        <w:t>;31</w:t>
      </w:r>
      <w:proofErr w:type="gramEnd"/>
      <w:r w:rsidRPr="009209C7">
        <w:rPr>
          <w:rFonts w:ascii="Arial Narrow" w:hAnsi="Arial Narrow" w:cs="Arial"/>
          <w:szCs w:val="22"/>
        </w:rPr>
        <w:t>(4):176-83.</w:t>
      </w:r>
    </w:p>
    <w:p w14:paraId="7305E8E5"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McKinley RK, Stokes T, </w:t>
      </w:r>
      <w:proofErr w:type="spellStart"/>
      <w:r w:rsidRPr="00A36533">
        <w:rPr>
          <w:rFonts w:ascii="Arial Narrow" w:hAnsi="Arial Narrow" w:cs="Arial"/>
          <w:szCs w:val="22"/>
        </w:rPr>
        <w:t>Exley</w:t>
      </w:r>
      <w:proofErr w:type="spellEnd"/>
      <w:r w:rsidRPr="00A36533">
        <w:rPr>
          <w:rFonts w:ascii="Arial Narrow" w:hAnsi="Arial Narrow" w:cs="Arial"/>
          <w:szCs w:val="22"/>
        </w:rPr>
        <w:t xml:space="preserve"> C, Field D. (2004). Care of people dying with malignant and cardiorespiratory disease in general practice. Br J Gen Pract.14:909–913.</w:t>
      </w:r>
    </w:p>
    <w:p w14:paraId="44C48E01"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McNamara, B, and </w:t>
      </w:r>
      <w:proofErr w:type="spellStart"/>
      <w:r w:rsidRPr="00A36533">
        <w:rPr>
          <w:rFonts w:ascii="Arial Narrow" w:hAnsi="Arial Narrow" w:cs="Arial"/>
          <w:szCs w:val="22"/>
        </w:rPr>
        <w:t>Rosenwax</w:t>
      </w:r>
      <w:proofErr w:type="spellEnd"/>
      <w:r w:rsidRPr="00A36533">
        <w:rPr>
          <w:rFonts w:ascii="Arial Narrow" w:hAnsi="Arial Narrow" w:cs="Arial"/>
          <w:szCs w:val="22"/>
        </w:rPr>
        <w:t>, B. (2007). Factors affecting place of death in Western Australia. Health and Place, 13, 356-367.</w:t>
      </w:r>
    </w:p>
    <w:p w14:paraId="43889D19"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McNamara, B, </w:t>
      </w:r>
      <w:proofErr w:type="spellStart"/>
      <w:r w:rsidRPr="00A36533">
        <w:rPr>
          <w:rFonts w:ascii="Arial Narrow" w:hAnsi="Arial Narrow" w:cs="Arial"/>
          <w:szCs w:val="22"/>
        </w:rPr>
        <w:t>Rosenwax</w:t>
      </w:r>
      <w:proofErr w:type="spellEnd"/>
      <w:r w:rsidRPr="00A36533">
        <w:rPr>
          <w:rFonts w:ascii="Arial Narrow" w:hAnsi="Arial Narrow" w:cs="Arial"/>
          <w:szCs w:val="22"/>
        </w:rPr>
        <w:t>, LK, Holman, CDJ. (2006). A method for defining and estimating the palliative care population. Journal of pain and symptom management, 32, 1, pp. 5-12.</w:t>
      </w:r>
    </w:p>
    <w:p w14:paraId="6AFF8EAA"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Mitchell GK, Del Mar CB, O'Rourke PK, </w:t>
      </w:r>
      <w:proofErr w:type="spellStart"/>
      <w:r w:rsidRPr="009209C7">
        <w:rPr>
          <w:rFonts w:ascii="Arial Narrow" w:hAnsi="Arial Narrow" w:cs="Arial"/>
          <w:szCs w:val="22"/>
        </w:rPr>
        <w:t>Clavarino</w:t>
      </w:r>
      <w:proofErr w:type="spellEnd"/>
      <w:r w:rsidRPr="009209C7">
        <w:rPr>
          <w:rFonts w:ascii="Arial Narrow" w:hAnsi="Arial Narrow" w:cs="Arial"/>
          <w:szCs w:val="22"/>
        </w:rPr>
        <w:t xml:space="preserve"> AM. Do case conferences between general practitioners and specialist palliative care services improve quality of life? A randomised controlled trial (ISRCTN 52269003).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Med</w:t>
      </w:r>
      <w:r w:rsidRPr="009209C7">
        <w:rPr>
          <w:rFonts w:ascii="Arial Narrow" w:hAnsi="Arial Narrow" w:cs="Arial"/>
          <w:szCs w:val="22"/>
        </w:rPr>
        <w:t>. 2008 Dec</w:t>
      </w:r>
      <w:proofErr w:type="gramStart"/>
      <w:r w:rsidRPr="009209C7">
        <w:rPr>
          <w:rFonts w:ascii="Arial Narrow" w:hAnsi="Arial Narrow" w:cs="Arial"/>
          <w:szCs w:val="22"/>
        </w:rPr>
        <w:t>;22</w:t>
      </w:r>
      <w:proofErr w:type="gramEnd"/>
      <w:r w:rsidRPr="009209C7">
        <w:rPr>
          <w:rFonts w:ascii="Arial Narrow" w:hAnsi="Arial Narrow" w:cs="Arial"/>
          <w:szCs w:val="22"/>
        </w:rPr>
        <w:t>(8):904-12.</w:t>
      </w:r>
    </w:p>
    <w:p w14:paraId="6910EDA4"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Mitchell GK, Johnson CE, Thomas K &amp; Murray </w:t>
      </w:r>
      <w:proofErr w:type="gramStart"/>
      <w:r w:rsidRPr="009209C7">
        <w:rPr>
          <w:rFonts w:ascii="Arial Narrow" w:hAnsi="Arial Narrow" w:cs="Arial"/>
          <w:szCs w:val="22"/>
        </w:rPr>
        <w:t>SA .</w:t>
      </w:r>
      <w:proofErr w:type="gramEnd"/>
      <w:r w:rsidRPr="009209C7">
        <w:rPr>
          <w:rFonts w:ascii="Arial Narrow" w:hAnsi="Arial Narrow" w:cs="Arial"/>
          <w:szCs w:val="22"/>
        </w:rPr>
        <w:t xml:space="preserve"> Palliative care beyond that for cancer in Australia. </w:t>
      </w:r>
      <w:r w:rsidRPr="00A36533">
        <w:rPr>
          <w:rFonts w:ascii="Arial Narrow" w:hAnsi="Arial Narrow" w:cs="Arial"/>
          <w:szCs w:val="22"/>
        </w:rPr>
        <w:t>Medical Journal of Australia</w:t>
      </w:r>
      <w:r w:rsidRPr="009209C7">
        <w:rPr>
          <w:rFonts w:ascii="Arial Narrow" w:hAnsi="Arial Narrow" w:cs="Arial"/>
          <w:szCs w:val="22"/>
        </w:rPr>
        <w:t xml:space="preserve"> 2010</w:t>
      </w:r>
      <w:proofErr w:type="gramStart"/>
      <w:r w:rsidRPr="009209C7">
        <w:rPr>
          <w:rFonts w:ascii="Arial Narrow" w:hAnsi="Arial Narrow" w:cs="Arial"/>
          <w:szCs w:val="22"/>
        </w:rPr>
        <w:t>;193</w:t>
      </w:r>
      <w:proofErr w:type="gramEnd"/>
      <w:r w:rsidRPr="009209C7">
        <w:rPr>
          <w:rFonts w:ascii="Arial Narrow" w:hAnsi="Arial Narrow" w:cs="Arial"/>
          <w:szCs w:val="22"/>
        </w:rPr>
        <w:t>(2):124–6.</w:t>
      </w:r>
    </w:p>
    <w:p w14:paraId="49799D58"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Mitchell GK. How well do general practitioners deliver palliative care? A systematic review. </w:t>
      </w:r>
      <w:proofErr w:type="spellStart"/>
      <w:r w:rsidRPr="009209C7">
        <w:rPr>
          <w:rFonts w:ascii="Arial Narrow" w:hAnsi="Arial Narrow" w:cs="Arial"/>
          <w:szCs w:val="22"/>
        </w:rPr>
        <w:t>Palliat</w:t>
      </w:r>
      <w:proofErr w:type="spellEnd"/>
      <w:r w:rsidRPr="009209C7">
        <w:rPr>
          <w:rFonts w:ascii="Arial Narrow" w:hAnsi="Arial Narrow" w:cs="Arial"/>
          <w:szCs w:val="22"/>
        </w:rPr>
        <w:t xml:space="preserve"> Med. 2002 Nov</w:t>
      </w:r>
      <w:proofErr w:type="gramStart"/>
      <w:r w:rsidRPr="009209C7">
        <w:rPr>
          <w:rFonts w:ascii="Arial Narrow" w:hAnsi="Arial Narrow" w:cs="Arial"/>
          <w:szCs w:val="22"/>
        </w:rPr>
        <w:t>;16</w:t>
      </w:r>
      <w:proofErr w:type="gramEnd"/>
      <w:r w:rsidRPr="009209C7">
        <w:rPr>
          <w:rFonts w:ascii="Arial Narrow" w:hAnsi="Arial Narrow" w:cs="Arial"/>
          <w:szCs w:val="22"/>
        </w:rPr>
        <w:t>(6):457-</w:t>
      </w:r>
      <w:r w:rsidRPr="00A36533">
        <w:rPr>
          <w:rFonts w:ascii="Arial Narrow" w:hAnsi="Arial Narrow" w:cs="Arial"/>
          <w:szCs w:val="22"/>
        </w:rPr>
        <w:t>64.</w:t>
      </w:r>
    </w:p>
    <w:p w14:paraId="599620F8"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Mitchell GK. Primary palliative care - facing twin challenges. </w:t>
      </w:r>
      <w:proofErr w:type="spellStart"/>
      <w:r w:rsidRPr="00A36533">
        <w:rPr>
          <w:rFonts w:ascii="Arial Narrow" w:hAnsi="Arial Narrow" w:cs="Arial"/>
          <w:szCs w:val="22"/>
        </w:rPr>
        <w:t>Aust</w:t>
      </w:r>
      <w:proofErr w:type="spellEnd"/>
      <w:r w:rsidRPr="00A36533">
        <w:rPr>
          <w:rFonts w:ascii="Arial Narrow" w:hAnsi="Arial Narrow" w:cs="Arial"/>
          <w:szCs w:val="22"/>
        </w:rPr>
        <w:t xml:space="preserve"> </w:t>
      </w:r>
      <w:proofErr w:type="spellStart"/>
      <w:proofErr w:type="gramStart"/>
      <w:r w:rsidRPr="00A36533">
        <w:rPr>
          <w:rFonts w:ascii="Arial Narrow" w:hAnsi="Arial Narrow" w:cs="Arial"/>
          <w:szCs w:val="22"/>
        </w:rPr>
        <w:t>Fam</w:t>
      </w:r>
      <w:proofErr w:type="spellEnd"/>
      <w:proofErr w:type="gramEnd"/>
      <w:r w:rsidRPr="00A36533">
        <w:rPr>
          <w:rFonts w:ascii="Arial Narrow" w:hAnsi="Arial Narrow" w:cs="Arial"/>
          <w:szCs w:val="22"/>
        </w:rPr>
        <w:t xml:space="preserve"> Physician</w:t>
      </w:r>
      <w:r w:rsidRPr="009209C7">
        <w:rPr>
          <w:rFonts w:ascii="Arial Narrow" w:hAnsi="Arial Narrow" w:cs="Arial"/>
          <w:szCs w:val="22"/>
        </w:rPr>
        <w:t>. 2011 Jul</w:t>
      </w:r>
      <w:proofErr w:type="gramStart"/>
      <w:r w:rsidRPr="009209C7">
        <w:rPr>
          <w:rFonts w:ascii="Arial Narrow" w:hAnsi="Arial Narrow" w:cs="Arial"/>
          <w:szCs w:val="22"/>
        </w:rPr>
        <w:t>;40</w:t>
      </w:r>
      <w:proofErr w:type="gramEnd"/>
      <w:r w:rsidRPr="009209C7">
        <w:rPr>
          <w:rFonts w:ascii="Arial Narrow" w:hAnsi="Arial Narrow" w:cs="Arial"/>
          <w:szCs w:val="22"/>
        </w:rPr>
        <w:t>(7):517-8.</w:t>
      </w:r>
    </w:p>
    <w:p w14:paraId="6F7BA86D"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Morrison RS, Dietrich J, </w:t>
      </w:r>
      <w:proofErr w:type="spellStart"/>
      <w:r w:rsidRPr="009209C7">
        <w:rPr>
          <w:rFonts w:ascii="Arial Narrow" w:hAnsi="Arial Narrow" w:cs="Arial"/>
          <w:szCs w:val="22"/>
        </w:rPr>
        <w:t>Ladwig</w:t>
      </w:r>
      <w:proofErr w:type="spellEnd"/>
      <w:r w:rsidRPr="009209C7">
        <w:rPr>
          <w:rFonts w:ascii="Arial Narrow" w:hAnsi="Arial Narrow" w:cs="Arial"/>
          <w:szCs w:val="22"/>
        </w:rPr>
        <w:t xml:space="preserve"> S, et al: Palliative care consultation teams cut hospital costs for Medicaid beneficiaries</w:t>
      </w:r>
      <w:r w:rsidRPr="00A36533">
        <w:rPr>
          <w:rFonts w:ascii="Arial Narrow" w:hAnsi="Arial Narrow" w:cs="Arial"/>
          <w:szCs w:val="22"/>
        </w:rPr>
        <w:t>. Health Affairs</w:t>
      </w:r>
      <w:r w:rsidRPr="009209C7">
        <w:rPr>
          <w:rFonts w:ascii="Arial Narrow" w:hAnsi="Arial Narrow" w:cs="Arial"/>
          <w:szCs w:val="22"/>
        </w:rPr>
        <w:t xml:space="preserve"> 2011</w:t>
      </w:r>
      <w:proofErr w:type="gramStart"/>
      <w:r w:rsidRPr="009209C7">
        <w:rPr>
          <w:rFonts w:ascii="Arial Narrow" w:hAnsi="Arial Narrow" w:cs="Arial"/>
          <w:szCs w:val="22"/>
        </w:rPr>
        <w:t>;30</w:t>
      </w:r>
      <w:proofErr w:type="gramEnd"/>
      <w:r w:rsidRPr="009209C7">
        <w:rPr>
          <w:rFonts w:ascii="Arial Narrow" w:hAnsi="Arial Narrow" w:cs="Arial"/>
          <w:szCs w:val="22"/>
        </w:rPr>
        <w:t xml:space="preserve">(3):454-463. </w:t>
      </w:r>
    </w:p>
    <w:p w14:paraId="75F951BC"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Morrison RS, </w:t>
      </w:r>
      <w:proofErr w:type="spellStart"/>
      <w:r w:rsidRPr="00A36533">
        <w:rPr>
          <w:rFonts w:ascii="Arial Narrow" w:hAnsi="Arial Narrow" w:cs="Arial"/>
          <w:szCs w:val="22"/>
        </w:rPr>
        <w:t>Penrod</w:t>
      </w:r>
      <w:proofErr w:type="spellEnd"/>
      <w:r w:rsidRPr="00A36533">
        <w:rPr>
          <w:rFonts w:ascii="Arial Narrow" w:hAnsi="Arial Narrow" w:cs="Arial"/>
          <w:szCs w:val="22"/>
        </w:rPr>
        <w:t xml:space="preserve"> JD, Cassel JB, et al: Cost savings associated with US hospital palliative care consultation programs. Arch Intern Med 2008; 168(16):1783-1790.</w:t>
      </w:r>
    </w:p>
    <w:p w14:paraId="78C1881D" w14:textId="690DBF70"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7" w:name="_Ref371859274"/>
      <w:r w:rsidRPr="009209C7">
        <w:rPr>
          <w:rFonts w:ascii="Arial Narrow" w:hAnsi="Arial Narrow" w:cs="Arial"/>
          <w:szCs w:val="22"/>
        </w:rPr>
        <w:t xml:space="preserve">National Health and Medical Research Council (Australia). Chapter 1: </w:t>
      </w:r>
      <w:r w:rsidRPr="00A36533">
        <w:rPr>
          <w:rFonts w:ascii="Arial Narrow" w:hAnsi="Arial Narrow" w:cs="Arial"/>
          <w:szCs w:val="22"/>
        </w:rPr>
        <w:t>Assessing the evidence. How to use the evidence: assessment and application of scientific evidence</w:t>
      </w:r>
      <w:r w:rsidRPr="009209C7">
        <w:rPr>
          <w:rFonts w:ascii="Arial Narrow" w:hAnsi="Arial Narrow" w:cs="Arial"/>
          <w:szCs w:val="22"/>
        </w:rPr>
        <w:t xml:space="preserve">. Canberra: </w:t>
      </w:r>
      <w:proofErr w:type="spellStart"/>
      <w:r w:rsidRPr="009209C7">
        <w:rPr>
          <w:rFonts w:ascii="Arial Narrow" w:hAnsi="Arial Narrow" w:cs="Arial"/>
          <w:szCs w:val="22"/>
        </w:rPr>
        <w:t>Biotext</w:t>
      </w:r>
      <w:proofErr w:type="spellEnd"/>
      <w:r w:rsidRPr="009209C7">
        <w:rPr>
          <w:rFonts w:ascii="Arial Narrow" w:hAnsi="Arial Narrow" w:cs="Arial"/>
          <w:szCs w:val="22"/>
        </w:rPr>
        <w:t xml:space="preserve">, 2000. Available at </w:t>
      </w:r>
      <w:r w:rsidRPr="00814915">
        <w:rPr>
          <w:rFonts w:ascii="Arial Narrow" w:hAnsi="Arial Narrow"/>
        </w:rPr>
        <w:t>http://www7.health.gov.au/nhmrc/publications/pdf/cp69.pdf</w:t>
      </w:r>
      <w:r w:rsidRPr="00814915">
        <w:rPr>
          <w:rFonts w:ascii="Arial Narrow" w:hAnsi="Arial Narrow" w:cs="Arial"/>
          <w:szCs w:val="22"/>
        </w:rPr>
        <w:t>.</w:t>
      </w:r>
      <w:bookmarkEnd w:id="347"/>
      <w:r w:rsidRPr="009209C7">
        <w:rPr>
          <w:rFonts w:ascii="Arial Narrow" w:hAnsi="Arial Narrow" w:cs="Arial"/>
          <w:szCs w:val="22"/>
        </w:rPr>
        <w:t xml:space="preserve"> </w:t>
      </w:r>
    </w:p>
    <w:p w14:paraId="338FB340" w14:textId="55D13B91"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Palliative Care Australia. </w:t>
      </w:r>
      <w:r w:rsidRPr="00A36533">
        <w:rPr>
          <w:rFonts w:ascii="Arial Narrow" w:hAnsi="Arial Narrow" w:cs="Arial"/>
          <w:szCs w:val="22"/>
        </w:rPr>
        <w:t>Palliative Care Service Provision in Australia: A Planning Guide</w:t>
      </w:r>
      <w:r w:rsidRPr="009209C7">
        <w:rPr>
          <w:rFonts w:ascii="Arial Narrow" w:hAnsi="Arial Narrow" w:cs="Arial"/>
          <w:szCs w:val="22"/>
        </w:rPr>
        <w:t>. Canberra: PCA; 2003.</w:t>
      </w:r>
    </w:p>
    <w:p w14:paraId="2ADC7BB0" w14:textId="77777777" w:rsid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Protocol Advisory Sub-Committee. </w:t>
      </w:r>
      <w:r w:rsidRPr="00A36533">
        <w:rPr>
          <w:rFonts w:ascii="Arial Narrow" w:hAnsi="Arial Narrow" w:cs="Arial"/>
          <w:szCs w:val="22"/>
        </w:rPr>
        <w:t>Final Decision Analytic Protocol (DAP) to guide the assessment of palliative medicine professional attendance items</w:t>
      </w:r>
      <w:r w:rsidRPr="009209C7">
        <w:rPr>
          <w:rFonts w:ascii="Arial Narrow" w:hAnsi="Arial Narrow" w:cs="Arial"/>
          <w:szCs w:val="22"/>
        </w:rPr>
        <w:t>. Canberra: Author; 2012.</w:t>
      </w:r>
    </w:p>
    <w:p w14:paraId="6781D5D1" w14:textId="04E52C68"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Queensland Health. Queensland </w:t>
      </w:r>
      <w:proofErr w:type="spellStart"/>
      <w:r w:rsidRPr="009209C7">
        <w:rPr>
          <w:rFonts w:ascii="Arial Narrow" w:hAnsi="Arial Narrow" w:cs="Arial"/>
          <w:szCs w:val="22"/>
        </w:rPr>
        <w:t>Statewide</w:t>
      </w:r>
      <w:proofErr w:type="spellEnd"/>
      <w:r w:rsidRPr="009209C7">
        <w:rPr>
          <w:rFonts w:ascii="Arial Narrow" w:hAnsi="Arial Narrow" w:cs="Arial"/>
          <w:szCs w:val="22"/>
        </w:rPr>
        <w:t xml:space="preserve"> Cancer Treatment Services Plan 2008-2017. Brisbane: Author; 2008. Available at: </w:t>
      </w:r>
      <w:r w:rsidRPr="00A36533">
        <w:rPr>
          <w:rFonts w:ascii="Arial Narrow" w:hAnsi="Arial Narrow" w:cs="Arial"/>
          <w:szCs w:val="22"/>
        </w:rPr>
        <w:t>http://www.health.qld.gov.au/publications/qh_plans/QS_cancer_plan_final.pdf</w:t>
      </w:r>
      <w:r w:rsidRPr="009209C7">
        <w:rPr>
          <w:rFonts w:ascii="Arial Narrow" w:hAnsi="Arial Narrow" w:cs="Arial"/>
          <w:szCs w:val="22"/>
        </w:rPr>
        <w:t xml:space="preserve"> </w:t>
      </w:r>
    </w:p>
    <w:p w14:paraId="7AF4ACAE"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8" w:name="_Ref372560999"/>
      <w:r w:rsidRPr="00A36533">
        <w:rPr>
          <w:rFonts w:ascii="Arial Narrow" w:hAnsi="Arial Narrow" w:cs="Arial"/>
          <w:szCs w:val="22"/>
        </w:rPr>
        <w:t xml:space="preserve">Quest TE, Marco CA, </w:t>
      </w:r>
      <w:proofErr w:type="spellStart"/>
      <w:r w:rsidRPr="00A36533">
        <w:rPr>
          <w:rFonts w:ascii="Arial Narrow" w:hAnsi="Arial Narrow" w:cs="Arial"/>
          <w:szCs w:val="22"/>
        </w:rPr>
        <w:t>Derse</w:t>
      </w:r>
      <w:proofErr w:type="spellEnd"/>
      <w:r w:rsidRPr="00A36533">
        <w:rPr>
          <w:rFonts w:ascii="Arial Narrow" w:hAnsi="Arial Narrow" w:cs="Arial"/>
          <w:szCs w:val="22"/>
        </w:rPr>
        <w:t xml:space="preserve"> AR. </w:t>
      </w:r>
      <w:r w:rsidRPr="009209C7">
        <w:rPr>
          <w:rFonts w:ascii="Arial Narrow" w:hAnsi="Arial Narrow" w:cs="Arial"/>
          <w:szCs w:val="22"/>
        </w:rPr>
        <w:t xml:space="preserve">Hospice and palliative medicine: new subspecialty, new opportunities. </w:t>
      </w:r>
      <w:r w:rsidRPr="00A36533">
        <w:rPr>
          <w:rFonts w:ascii="Arial Narrow" w:hAnsi="Arial Narrow" w:cs="Arial"/>
          <w:szCs w:val="22"/>
        </w:rPr>
        <w:t xml:space="preserve">Ann </w:t>
      </w:r>
      <w:proofErr w:type="spellStart"/>
      <w:r w:rsidRPr="00A36533">
        <w:rPr>
          <w:rFonts w:ascii="Arial Narrow" w:hAnsi="Arial Narrow" w:cs="Arial"/>
          <w:szCs w:val="22"/>
        </w:rPr>
        <w:t>Emerg</w:t>
      </w:r>
      <w:proofErr w:type="spellEnd"/>
      <w:r w:rsidRPr="00A36533">
        <w:rPr>
          <w:rFonts w:ascii="Arial Narrow" w:hAnsi="Arial Narrow" w:cs="Arial"/>
          <w:szCs w:val="22"/>
        </w:rPr>
        <w:t xml:space="preserve"> Med</w:t>
      </w:r>
      <w:r w:rsidRPr="009209C7">
        <w:rPr>
          <w:rFonts w:ascii="Arial Narrow" w:hAnsi="Arial Narrow" w:cs="Arial"/>
          <w:szCs w:val="22"/>
        </w:rPr>
        <w:t>. 2009 Jul</w:t>
      </w:r>
      <w:proofErr w:type="gramStart"/>
      <w:r w:rsidRPr="009209C7">
        <w:rPr>
          <w:rFonts w:ascii="Arial Narrow" w:hAnsi="Arial Narrow" w:cs="Arial"/>
          <w:szCs w:val="22"/>
        </w:rPr>
        <w:t>;54</w:t>
      </w:r>
      <w:proofErr w:type="gramEnd"/>
      <w:r w:rsidRPr="009209C7">
        <w:rPr>
          <w:rFonts w:ascii="Arial Narrow" w:hAnsi="Arial Narrow" w:cs="Arial"/>
          <w:szCs w:val="22"/>
        </w:rPr>
        <w:t>(1):94-102.</w:t>
      </w:r>
      <w:bookmarkEnd w:id="348"/>
    </w:p>
    <w:p w14:paraId="179195C9"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lastRenderedPageBreak/>
        <w:t xml:space="preserve">Rhee J, </w:t>
      </w:r>
      <w:proofErr w:type="spellStart"/>
      <w:r w:rsidRPr="009209C7">
        <w:rPr>
          <w:rFonts w:ascii="Arial Narrow" w:hAnsi="Arial Narrow" w:cs="Arial"/>
          <w:szCs w:val="22"/>
        </w:rPr>
        <w:t>Zwar</w:t>
      </w:r>
      <w:proofErr w:type="spellEnd"/>
      <w:r w:rsidRPr="009209C7">
        <w:rPr>
          <w:rFonts w:ascii="Arial Narrow" w:hAnsi="Arial Narrow" w:cs="Arial"/>
          <w:szCs w:val="22"/>
        </w:rPr>
        <w:t xml:space="preserve"> N, </w:t>
      </w:r>
      <w:proofErr w:type="spellStart"/>
      <w:r w:rsidRPr="009209C7">
        <w:rPr>
          <w:rFonts w:ascii="Arial Narrow" w:hAnsi="Arial Narrow" w:cs="Arial"/>
          <w:szCs w:val="22"/>
        </w:rPr>
        <w:t>Vagholkar</w:t>
      </w:r>
      <w:proofErr w:type="spellEnd"/>
      <w:r w:rsidRPr="009209C7">
        <w:rPr>
          <w:rFonts w:ascii="Arial Narrow" w:hAnsi="Arial Narrow" w:cs="Arial"/>
          <w:szCs w:val="22"/>
        </w:rPr>
        <w:t xml:space="preserve"> S, Dennis S, Broadbent A, Mitchell G. Attitudes and barriers to involvement in palliative care by Australian urban general practitioners. </w:t>
      </w:r>
      <w:r w:rsidRPr="00A36533">
        <w:rPr>
          <w:rFonts w:ascii="Arial Narrow" w:hAnsi="Arial Narrow" w:cs="Arial"/>
          <w:szCs w:val="22"/>
        </w:rPr>
        <w:t>J Pall Med</w:t>
      </w:r>
      <w:r w:rsidRPr="009209C7">
        <w:rPr>
          <w:rFonts w:ascii="Arial Narrow" w:hAnsi="Arial Narrow" w:cs="Arial"/>
          <w:szCs w:val="22"/>
        </w:rPr>
        <w:t xml:space="preserve"> 2008</w:t>
      </w:r>
      <w:proofErr w:type="gramStart"/>
      <w:r w:rsidRPr="009209C7">
        <w:rPr>
          <w:rFonts w:ascii="Arial Narrow" w:hAnsi="Arial Narrow" w:cs="Arial"/>
          <w:szCs w:val="22"/>
        </w:rPr>
        <w:t>;11:980</w:t>
      </w:r>
      <w:proofErr w:type="gramEnd"/>
      <w:r w:rsidRPr="009209C7">
        <w:rPr>
          <w:rFonts w:ascii="Arial Narrow" w:hAnsi="Arial Narrow" w:cs="Arial"/>
          <w:szCs w:val="22"/>
        </w:rPr>
        <w:t>–5.</w:t>
      </w:r>
    </w:p>
    <w:p w14:paraId="472BFC30"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Riley GF, </w:t>
      </w:r>
      <w:proofErr w:type="spellStart"/>
      <w:r w:rsidRPr="009209C7">
        <w:rPr>
          <w:rFonts w:ascii="Arial Narrow" w:hAnsi="Arial Narrow" w:cs="Arial"/>
          <w:szCs w:val="22"/>
        </w:rPr>
        <w:t>Lubitz</w:t>
      </w:r>
      <w:proofErr w:type="spellEnd"/>
      <w:r w:rsidRPr="009209C7">
        <w:rPr>
          <w:rFonts w:ascii="Arial Narrow" w:hAnsi="Arial Narrow" w:cs="Arial"/>
          <w:szCs w:val="22"/>
        </w:rPr>
        <w:t xml:space="preserve"> JD. Long-term trends in Medicare payments in the last year of life. Health </w:t>
      </w:r>
      <w:proofErr w:type="spellStart"/>
      <w:r w:rsidRPr="009209C7">
        <w:rPr>
          <w:rFonts w:ascii="Arial Narrow" w:hAnsi="Arial Narrow" w:cs="Arial"/>
          <w:szCs w:val="22"/>
        </w:rPr>
        <w:t>Serv</w:t>
      </w:r>
      <w:proofErr w:type="spellEnd"/>
      <w:r w:rsidRPr="009209C7">
        <w:rPr>
          <w:rFonts w:ascii="Arial Narrow" w:hAnsi="Arial Narrow" w:cs="Arial"/>
          <w:szCs w:val="22"/>
        </w:rPr>
        <w:t xml:space="preserve"> Res 2010; 45: 565–576.</w:t>
      </w:r>
    </w:p>
    <w:p w14:paraId="7D7691CE"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bookmarkStart w:id="349" w:name="_Ref372724506"/>
      <w:proofErr w:type="spellStart"/>
      <w:r w:rsidRPr="009209C7">
        <w:rPr>
          <w:rFonts w:ascii="Arial Narrow" w:hAnsi="Arial Narrow" w:cs="Arial"/>
          <w:szCs w:val="22"/>
        </w:rPr>
        <w:t>Rosenwax</w:t>
      </w:r>
      <w:proofErr w:type="spellEnd"/>
      <w:r w:rsidRPr="009209C7">
        <w:rPr>
          <w:rFonts w:ascii="Arial Narrow" w:hAnsi="Arial Narrow" w:cs="Arial"/>
          <w:szCs w:val="22"/>
        </w:rPr>
        <w:t xml:space="preserve"> LK &amp; McNamara BA Who receives specialist palliative care in Western Australia and who misses out. </w:t>
      </w:r>
      <w:r w:rsidRPr="00A36533">
        <w:rPr>
          <w:rFonts w:ascii="Arial Narrow" w:hAnsi="Arial Narrow" w:cs="Arial"/>
          <w:szCs w:val="22"/>
        </w:rPr>
        <w:t>Palliative Medicine</w:t>
      </w:r>
      <w:r w:rsidRPr="009209C7">
        <w:rPr>
          <w:rFonts w:ascii="Arial Narrow" w:hAnsi="Arial Narrow" w:cs="Arial"/>
          <w:szCs w:val="22"/>
        </w:rPr>
        <w:t xml:space="preserve"> 2006; 20:439–45.</w:t>
      </w:r>
      <w:bookmarkEnd w:id="349"/>
    </w:p>
    <w:p w14:paraId="48C479E8"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proofErr w:type="spellStart"/>
      <w:r w:rsidRPr="00A36533">
        <w:rPr>
          <w:rFonts w:ascii="Arial Narrow" w:hAnsi="Arial Narrow" w:cs="Arial"/>
          <w:szCs w:val="22"/>
        </w:rPr>
        <w:t>Rosenwax</w:t>
      </w:r>
      <w:proofErr w:type="spellEnd"/>
      <w:r w:rsidRPr="00A36533">
        <w:rPr>
          <w:rFonts w:ascii="Arial Narrow" w:hAnsi="Arial Narrow" w:cs="Arial"/>
          <w:szCs w:val="22"/>
        </w:rPr>
        <w:t xml:space="preserve"> LK, McNamara, B, Blackmore, AM, and Holman CDJ. (2005). Estimating the size of a potential palliative care population. Palliative Medicine, 19, 556-562.</w:t>
      </w:r>
    </w:p>
    <w:p w14:paraId="34858CAD" w14:textId="77777777" w:rsidR="00A36533" w:rsidRPr="00A36533" w:rsidRDefault="00A36533" w:rsidP="00A36533">
      <w:pPr>
        <w:pStyle w:val="ListParagraph"/>
        <w:numPr>
          <w:ilvl w:val="0"/>
          <w:numId w:val="26"/>
        </w:numPr>
        <w:spacing w:after="120" w:line="240" w:lineRule="auto"/>
        <w:contextualSpacing w:val="0"/>
        <w:jc w:val="both"/>
        <w:rPr>
          <w:rFonts w:cs="Arial"/>
        </w:rPr>
      </w:pPr>
      <w:proofErr w:type="spellStart"/>
      <w:r w:rsidRPr="00A36533">
        <w:rPr>
          <w:rFonts w:ascii="Arial Narrow" w:hAnsi="Arial Narrow" w:cs="Arial"/>
          <w:szCs w:val="22"/>
        </w:rPr>
        <w:t>Rosenwax</w:t>
      </w:r>
      <w:proofErr w:type="spellEnd"/>
      <w:r w:rsidRPr="00A36533">
        <w:rPr>
          <w:rFonts w:ascii="Arial Narrow" w:hAnsi="Arial Narrow" w:cs="Arial"/>
          <w:szCs w:val="22"/>
        </w:rPr>
        <w:t xml:space="preserve">, LK, McNamara, BA, Murray, K, McCabe, RJ, </w:t>
      </w:r>
      <w:proofErr w:type="spellStart"/>
      <w:r w:rsidRPr="00A36533">
        <w:rPr>
          <w:rFonts w:ascii="Arial Narrow" w:hAnsi="Arial Narrow" w:cs="Arial"/>
          <w:szCs w:val="22"/>
        </w:rPr>
        <w:t>Aoun</w:t>
      </w:r>
      <w:proofErr w:type="spellEnd"/>
      <w:r w:rsidRPr="00A36533">
        <w:rPr>
          <w:rFonts w:ascii="Arial Narrow" w:hAnsi="Arial Narrow" w:cs="Arial"/>
          <w:szCs w:val="22"/>
        </w:rPr>
        <w:t xml:space="preserve">, SM, and </w:t>
      </w:r>
      <w:proofErr w:type="spellStart"/>
      <w:r w:rsidRPr="00A36533">
        <w:rPr>
          <w:rFonts w:ascii="Arial Narrow" w:hAnsi="Arial Narrow" w:cs="Arial"/>
          <w:szCs w:val="22"/>
        </w:rPr>
        <w:t>Currow</w:t>
      </w:r>
      <w:proofErr w:type="spellEnd"/>
      <w:r w:rsidRPr="00A36533">
        <w:rPr>
          <w:rFonts w:ascii="Arial Narrow" w:hAnsi="Arial Narrow" w:cs="Arial"/>
          <w:szCs w:val="22"/>
        </w:rPr>
        <w:t xml:space="preserve">, DC (2011). Hospital and emergency department use in the last year of life: a baseline for future modifications to end-of-life care. Med J </w:t>
      </w:r>
      <w:proofErr w:type="spellStart"/>
      <w:r w:rsidRPr="00A36533">
        <w:rPr>
          <w:rFonts w:ascii="Arial Narrow" w:hAnsi="Arial Narrow" w:cs="Arial"/>
          <w:szCs w:val="22"/>
        </w:rPr>
        <w:t>Aust</w:t>
      </w:r>
      <w:proofErr w:type="spellEnd"/>
      <w:r w:rsidRPr="00A36533">
        <w:rPr>
          <w:rFonts w:ascii="Arial Narrow" w:hAnsi="Arial Narrow" w:cs="Arial"/>
          <w:szCs w:val="22"/>
        </w:rPr>
        <w:t>; 194 (11): 570-573</w:t>
      </w:r>
    </w:p>
    <w:p w14:paraId="0272A90F"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Royal College of Physicians, (2008), Consultant Physicians Working for Patients. 4th edition. London: RCP; 2008.</w:t>
      </w:r>
    </w:p>
    <w:p w14:paraId="03CC609F"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Smith S, Brick </w:t>
      </w:r>
      <w:proofErr w:type="gramStart"/>
      <w:r w:rsidRPr="009209C7">
        <w:rPr>
          <w:rFonts w:ascii="Arial Narrow" w:hAnsi="Arial Narrow" w:cs="Arial"/>
          <w:szCs w:val="22"/>
        </w:rPr>
        <w:t>A</w:t>
      </w:r>
      <w:proofErr w:type="gramEnd"/>
      <w:r w:rsidRPr="009209C7">
        <w:rPr>
          <w:rFonts w:ascii="Arial Narrow" w:hAnsi="Arial Narrow" w:cs="Arial"/>
          <w:szCs w:val="22"/>
        </w:rPr>
        <w:t xml:space="preserve">, O'Hara S, Normand C. Evidence on the cost and cost-effectiveness of palliative care: A literature review.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Med</w:t>
      </w:r>
      <w:r w:rsidRPr="009209C7">
        <w:rPr>
          <w:rFonts w:ascii="Arial Narrow" w:hAnsi="Arial Narrow" w:cs="Arial"/>
          <w:szCs w:val="22"/>
        </w:rPr>
        <w:t>. 2013 Nov 13 [</w:t>
      </w:r>
      <w:proofErr w:type="spellStart"/>
      <w:r w:rsidRPr="009209C7">
        <w:rPr>
          <w:rFonts w:ascii="Arial Narrow" w:hAnsi="Arial Narrow" w:cs="Arial"/>
          <w:szCs w:val="22"/>
        </w:rPr>
        <w:t>Epub</w:t>
      </w:r>
      <w:proofErr w:type="spellEnd"/>
      <w:r w:rsidRPr="009209C7">
        <w:rPr>
          <w:rFonts w:ascii="Arial Narrow" w:hAnsi="Arial Narrow" w:cs="Arial"/>
          <w:szCs w:val="22"/>
        </w:rPr>
        <w:t xml:space="preserve"> ahead of print]</w:t>
      </w:r>
    </w:p>
    <w:p w14:paraId="52A361C5"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Tang, S, and McCorkle, R. (2003). Determinants of congruence between the preferred and actual place of death for terminally ill cancer patients. Journal of Palliative Care, 19 (4), pp.230-237.</w:t>
      </w:r>
    </w:p>
    <w:p w14:paraId="60EAA144"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Taylor DH </w:t>
      </w:r>
      <w:proofErr w:type="spellStart"/>
      <w:r w:rsidRPr="009209C7">
        <w:rPr>
          <w:rFonts w:ascii="Arial Narrow" w:hAnsi="Arial Narrow" w:cs="Arial"/>
          <w:szCs w:val="22"/>
        </w:rPr>
        <w:t>Jr</w:t>
      </w:r>
      <w:proofErr w:type="spellEnd"/>
      <w:r w:rsidRPr="009209C7">
        <w:rPr>
          <w:rFonts w:ascii="Arial Narrow" w:hAnsi="Arial Narrow" w:cs="Arial"/>
          <w:szCs w:val="22"/>
        </w:rPr>
        <w:t xml:space="preserve">, </w:t>
      </w:r>
      <w:proofErr w:type="spellStart"/>
      <w:r w:rsidRPr="009209C7">
        <w:rPr>
          <w:rFonts w:ascii="Arial Narrow" w:hAnsi="Arial Narrow" w:cs="Arial"/>
          <w:szCs w:val="22"/>
        </w:rPr>
        <w:t>Ostermann</w:t>
      </w:r>
      <w:proofErr w:type="spellEnd"/>
      <w:r w:rsidRPr="009209C7">
        <w:rPr>
          <w:rFonts w:ascii="Arial Narrow" w:hAnsi="Arial Narrow" w:cs="Arial"/>
          <w:szCs w:val="22"/>
        </w:rPr>
        <w:t xml:space="preserve"> J, Van </w:t>
      </w:r>
      <w:proofErr w:type="spellStart"/>
      <w:r w:rsidRPr="009209C7">
        <w:rPr>
          <w:rFonts w:ascii="Arial Narrow" w:hAnsi="Arial Narrow" w:cs="Arial"/>
          <w:szCs w:val="22"/>
        </w:rPr>
        <w:t>Houtven</w:t>
      </w:r>
      <w:proofErr w:type="spellEnd"/>
      <w:r w:rsidRPr="009209C7">
        <w:rPr>
          <w:rFonts w:ascii="Arial Narrow" w:hAnsi="Arial Narrow" w:cs="Arial"/>
          <w:szCs w:val="22"/>
        </w:rPr>
        <w:t xml:space="preserve"> CH, et al: What length of hospice use maximizes reduction in medical expenditures near death in the US Medicare program? </w:t>
      </w:r>
      <w:proofErr w:type="spellStart"/>
      <w:r w:rsidRPr="00A36533">
        <w:rPr>
          <w:rFonts w:ascii="Arial Narrow" w:hAnsi="Arial Narrow" w:cs="Arial"/>
          <w:szCs w:val="22"/>
        </w:rPr>
        <w:t>Soc</w:t>
      </w:r>
      <w:proofErr w:type="spellEnd"/>
      <w:r w:rsidRPr="00A36533">
        <w:rPr>
          <w:rFonts w:ascii="Arial Narrow" w:hAnsi="Arial Narrow" w:cs="Arial"/>
          <w:szCs w:val="22"/>
        </w:rPr>
        <w:t xml:space="preserve"> </w:t>
      </w:r>
      <w:proofErr w:type="spellStart"/>
      <w:r w:rsidRPr="00A36533">
        <w:rPr>
          <w:rFonts w:ascii="Arial Narrow" w:hAnsi="Arial Narrow" w:cs="Arial"/>
          <w:szCs w:val="22"/>
        </w:rPr>
        <w:t>Sci</w:t>
      </w:r>
      <w:proofErr w:type="spellEnd"/>
      <w:r w:rsidRPr="00A36533">
        <w:rPr>
          <w:rFonts w:ascii="Arial Narrow" w:hAnsi="Arial Narrow" w:cs="Arial"/>
          <w:szCs w:val="22"/>
        </w:rPr>
        <w:t xml:space="preserve"> Med</w:t>
      </w:r>
      <w:r w:rsidRPr="009209C7">
        <w:rPr>
          <w:rFonts w:ascii="Arial Narrow" w:hAnsi="Arial Narrow" w:cs="Arial"/>
          <w:szCs w:val="22"/>
        </w:rPr>
        <w:t xml:space="preserve"> 2007; 65(7): 1 466-1478. </w:t>
      </w:r>
    </w:p>
    <w:p w14:paraId="24398F09"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proofErr w:type="spellStart"/>
      <w:r w:rsidRPr="00A36533">
        <w:rPr>
          <w:rFonts w:ascii="Arial Narrow" w:hAnsi="Arial Narrow" w:cs="Arial"/>
          <w:szCs w:val="22"/>
        </w:rPr>
        <w:t>Tiernan</w:t>
      </w:r>
      <w:proofErr w:type="spellEnd"/>
      <w:r w:rsidRPr="00A36533">
        <w:rPr>
          <w:rFonts w:ascii="Arial Narrow" w:hAnsi="Arial Narrow" w:cs="Arial"/>
          <w:szCs w:val="22"/>
        </w:rPr>
        <w:t xml:space="preserve">, E, Connor, M, Kearney, P, and </w:t>
      </w:r>
      <w:proofErr w:type="spellStart"/>
      <w:r w:rsidRPr="00A36533">
        <w:rPr>
          <w:rFonts w:ascii="Arial Narrow" w:hAnsi="Arial Narrow" w:cs="Arial"/>
          <w:szCs w:val="22"/>
        </w:rPr>
        <w:t>O’Siorain</w:t>
      </w:r>
      <w:proofErr w:type="spellEnd"/>
      <w:r w:rsidRPr="00A36533">
        <w:rPr>
          <w:rFonts w:ascii="Arial Narrow" w:hAnsi="Arial Narrow" w:cs="Arial"/>
          <w:szCs w:val="22"/>
        </w:rPr>
        <w:t>, L. (2002). A prospective study of preferred versus actual place of death among patients referred to a palliative care home-care service. Irish Medical Journal, 95 (8), pp.232-235.</w:t>
      </w:r>
    </w:p>
    <w:p w14:paraId="4F31243C"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proofErr w:type="gramStart"/>
      <w:r w:rsidRPr="009209C7">
        <w:rPr>
          <w:rFonts w:ascii="Arial Narrow" w:hAnsi="Arial Narrow" w:cs="Arial"/>
          <w:szCs w:val="22"/>
        </w:rPr>
        <w:t>von</w:t>
      </w:r>
      <w:proofErr w:type="gramEnd"/>
      <w:r w:rsidRPr="009209C7">
        <w:rPr>
          <w:rFonts w:ascii="Arial Narrow" w:hAnsi="Arial Narrow" w:cs="Arial"/>
          <w:szCs w:val="22"/>
        </w:rPr>
        <w:t xml:space="preserve"> </w:t>
      </w:r>
      <w:proofErr w:type="spellStart"/>
      <w:r w:rsidRPr="009209C7">
        <w:rPr>
          <w:rFonts w:ascii="Arial Narrow" w:hAnsi="Arial Narrow" w:cs="Arial"/>
          <w:szCs w:val="22"/>
        </w:rPr>
        <w:t>Gunten</w:t>
      </w:r>
      <w:proofErr w:type="spellEnd"/>
      <w:r w:rsidRPr="009209C7">
        <w:rPr>
          <w:rFonts w:ascii="Arial Narrow" w:hAnsi="Arial Narrow" w:cs="Arial"/>
          <w:szCs w:val="22"/>
        </w:rPr>
        <w:t xml:space="preserve"> CF. Evolution and effectiveness of palliative care. </w:t>
      </w:r>
      <w:r w:rsidRPr="00A36533">
        <w:rPr>
          <w:rFonts w:ascii="Arial Narrow" w:hAnsi="Arial Narrow" w:cs="Arial"/>
          <w:szCs w:val="22"/>
        </w:rPr>
        <w:t xml:space="preserve">Am J </w:t>
      </w:r>
      <w:proofErr w:type="spellStart"/>
      <w:r w:rsidRPr="00A36533">
        <w:rPr>
          <w:rFonts w:ascii="Arial Narrow" w:hAnsi="Arial Narrow" w:cs="Arial"/>
          <w:szCs w:val="22"/>
        </w:rPr>
        <w:t>Geriatr</w:t>
      </w:r>
      <w:proofErr w:type="spellEnd"/>
      <w:r w:rsidRPr="00A36533">
        <w:rPr>
          <w:rFonts w:ascii="Arial Narrow" w:hAnsi="Arial Narrow" w:cs="Arial"/>
          <w:szCs w:val="22"/>
        </w:rPr>
        <w:t xml:space="preserve"> Psychiatry</w:t>
      </w:r>
      <w:r w:rsidRPr="009209C7">
        <w:rPr>
          <w:rFonts w:ascii="Arial Narrow" w:hAnsi="Arial Narrow" w:cs="Arial"/>
          <w:szCs w:val="22"/>
        </w:rPr>
        <w:t>. 2012 Apr</w:t>
      </w:r>
      <w:proofErr w:type="gramStart"/>
      <w:r w:rsidRPr="009209C7">
        <w:rPr>
          <w:rFonts w:ascii="Arial Narrow" w:hAnsi="Arial Narrow" w:cs="Arial"/>
          <w:szCs w:val="22"/>
        </w:rPr>
        <w:t>;20</w:t>
      </w:r>
      <w:proofErr w:type="gramEnd"/>
      <w:r w:rsidRPr="009209C7">
        <w:rPr>
          <w:rFonts w:ascii="Arial Narrow" w:hAnsi="Arial Narrow" w:cs="Arial"/>
          <w:szCs w:val="22"/>
        </w:rPr>
        <w:t>(4):291-7.</w:t>
      </w:r>
    </w:p>
    <w:p w14:paraId="2B47F514" w14:textId="77777777" w:rsidR="00A36533" w:rsidRPr="00A36533"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A36533">
        <w:rPr>
          <w:rFonts w:ascii="Arial Narrow" w:hAnsi="Arial Narrow" w:cs="Arial"/>
          <w:szCs w:val="22"/>
        </w:rPr>
        <w:t xml:space="preserve">Wakefield MA, </w:t>
      </w:r>
      <w:proofErr w:type="spellStart"/>
      <w:r w:rsidRPr="00A36533">
        <w:rPr>
          <w:rFonts w:ascii="Arial Narrow" w:hAnsi="Arial Narrow" w:cs="Arial"/>
          <w:szCs w:val="22"/>
        </w:rPr>
        <w:t>Beilby</w:t>
      </w:r>
      <w:proofErr w:type="spellEnd"/>
      <w:r w:rsidRPr="00A36533">
        <w:rPr>
          <w:rFonts w:ascii="Arial Narrow" w:hAnsi="Arial Narrow" w:cs="Arial"/>
          <w:szCs w:val="22"/>
        </w:rPr>
        <w:t xml:space="preserve"> J, Ashby MA. General practitioners and palliative care.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Med. 1993</w:t>
      </w:r>
      <w:proofErr w:type="gramStart"/>
      <w:r w:rsidRPr="00A36533">
        <w:rPr>
          <w:rFonts w:ascii="Arial Narrow" w:hAnsi="Arial Narrow" w:cs="Arial"/>
          <w:szCs w:val="22"/>
        </w:rPr>
        <w:t>;7</w:t>
      </w:r>
      <w:proofErr w:type="gramEnd"/>
      <w:r w:rsidRPr="00A36533">
        <w:rPr>
          <w:rFonts w:ascii="Arial Narrow" w:hAnsi="Arial Narrow" w:cs="Arial"/>
          <w:szCs w:val="22"/>
        </w:rPr>
        <w:t>(2):117-26.</w:t>
      </w:r>
    </w:p>
    <w:p w14:paraId="0291CD98"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Waller A, </w:t>
      </w:r>
      <w:proofErr w:type="spellStart"/>
      <w:r w:rsidRPr="009209C7">
        <w:rPr>
          <w:rFonts w:ascii="Arial Narrow" w:hAnsi="Arial Narrow" w:cs="Arial"/>
          <w:szCs w:val="22"/>
        </w:rPr>
        <w:t>Girgis</w:t>
      </w:r>
      <w:proofErr w:type="spellEnd"/>
      <w:r w:rsidRPr="009209C7">
        <w:rPr>
          <w:rFonts w:ascii="Arial Narrow" w:hAnsi="Arial Narrow" w:cs="Arial"/>
          <w:szCs w:val="22"/>
        </w:rPr>
        <w:t xml:space="preserve"> A, Johnson C, Mitchell G, Yates P, </w:t>
      </w:r>
      <w:proofErr w:type="spellStart"/>
      <w:r w:rsidRPr="009209C7">
        <w:rPr>
          <w:rFonts w:ascii="Arial Narrow" w:hAnsi="Arial Narrow" w:cs="Arial"/>
          <w:szCs w:val="22"/>
        </w:rPr>
        <w:t>Kristjanson</w:t>
      </w:r>
      <w:proofErr w:type="spellEnd"/>
      <w:r w:rsidRPr="009209C7">
        <w:rPr>
          <w:rFonts w:ascii="Arial Narrow" w:hAnsi="Arial Narrow" w:cs="Arial"/>
          <w:szCs w:val="22"/>
        </w:rPr>
        <w:t xml:space="preserve"> L et al. Facilitating needs based cancer care for people with a chronic disease: Evaluation of an intervention using a multi-centre interrupted time series design. </w:t>
      </w:r>
      <w:r w:rsidRPr="00A36533">
        <w:rPr>
          <w:rFonts w:ascii="Arial Narrow" w:hAnsi="Arial Narrow" w:cs="Arial"/>
          <w:szCs w:val="22"/>
        </w:rPr>
        <w:t xml:space="preserve">BMC </w:t>
      </w:r>
      <w:proofErr w:type="spellStart"/>
      <w:r w:rsidRPr="00A36533">
        <w:rPr>
          <w:rFonts w:ascii="Arial Narrow" w:hAnsi="Arial Narrow" w:cs="Arial"/>
          <w:szCs w:val="22"/>
        </w:rPr>
        <w:t>Palliat</w:t>
      </w:r>
      <w:proofErr w:type="spellEnd"/>
      <w:r w:rsidRPr="00A36533">
        <w:rPr>
          <w:rFonts w:ascii="Arial Narrow" w:hAnsi="Arial Narrow" w:cs="Arial"/>
          <w:szCs w:val="22"/>
        </w:rPr>
        <w:t xml:space="preserve"> Care</w:t>
      </w:r>
      <w:r w:rsidRPr="009209C7">
        <w:rPr>
          <w:rFonts w:ascii="Arial Narrow" w:hAnsi="Arial Narrow" w:cs="Arial"/>
          <w:szCs w:val="22"/>
        </w:rPr>
        <w:t>. 2010 Jan 11</w:t>
      </w:r>
      <w:proofErr w:type="gramStart"/>
      <w:r w:rsidRPr="009209C7">
        <w:rPr>
          <w:rFonts w:ascii="Arial Narrow" w:hAnsi="Arial Narrow" w:cs="Arial"/>
          <w:szCs w:val="22"/>
        </w:rPr>
        <w:t>;9:2</w:t>
      </w:r>
      <w:proofErr w:type="gramEnd"/>
      <w:r w:rsidRPr="009209C7">
        <w:rPr>
          <w:rFonts w:ascii="Arial Narrow" w:hAnsi="Arial Narrow" w:cs="Arial"/>
          <w:szCs w:val="22"/>
        </w:rPr>
        <w:t>.</w:t>
      </w:r>
    </w:p>
    <w:p w14:paraId="2E890514" w14:textId="77777777" w:rsidR="00A36533" w:rsidRPr="009209C7" w:rsidRDefault="00A36533" w:rsidP="00A36533">
      <w:pPr>
        <w:pStyle w:val="ListParagraph"/>
        <w:numPr>
          <w:ilvl w:val="0"/>
          <w:numId w:val="26"/>
        </w:numPr>
        <w:spacing w:after="120" w:line="240" w:lineRule="auto"/>
        <w:contextualSpacing w:val="0"/>
        <w:jc w:val="both"/>
        <w:rPr>
          <w:rFonts w:ascii="Arial Narrow" w:hAnsi="Arial Narrow" w:cs="Arial"/>
          <w:szCs w:val="22"/>
        </w:rPr>
      </w:pPr>
      <w:r w:rsidRPr="009209C7">
        <w:rPr>
          <w:rFonts w:ascii="Arial Narrow" w:hAnsi="Arial Narrow" w:cs="Arial"/>
          <w:szCs w:val="22"/>
        </w:rPr>
        <w:t xml:space="preserve">World Health Organization. </w:t>
      </w:r>
      <w:r w:rsidRPr="00A36533">
        <w:rPr>
          <w:rFonts w:ascii="Arial Narrow" w:hAnsi="Arial Narrow" w:cs="Arial"/>
          <w:szCs w:val="22"/>
        </w:rPr>
        <w:t>National Cancer Control Programmes: Policies and Managerial Guidelines.</w:t>
      </w:r>
      <w:r w:rsidRPr="009209C7">
        <w:rPr>
          <w:rFonts w:ascii="Arial Narrow" w:hAnsi="Arial Narrow" w:cs="Arial"/>
          <w:szCs w:val="22"/>
        </w:rPr>
        <w:t xml:space="preserve"> 2nd ed. Geneva, Switzerland: World Health Organization; 2002.</w:t>
      </w:r>
    </w:p>
    <w:p w14:paraId="279040EA" w14:textId="6717D35B" w:rsidR="001F5B8B" w:rsidRDefault="00CD7356" w:rsidP="00785567">
      <w:pPr>
        <w:pStyle w:val="AspexAppendixlevel1"/>
      </w:pPr>
      <w:bookmarkStart w:id="350" w:name="_Toc382313872"/>
      <w:r>
        <w:lastRenderedPageBreak/>
        <w:t>Current NH</w:t>
      </w:r>
      <w:r w:rsidR="00785567">
        <w:t>MRC funded research</w:t>
      </w:r>
      <w:bookmarkEnd w:id="350"/>
    </w:p>
    <w:p w14:paraId="64170E5F" w14:textId="77777777" w:rsidR="0073588A" w:rsidRDefault="0073588A" w:rsidP="001F5B8B">
      <w:pPr>
        <w:pStyle w:val="AspexBodyStandard"/>
      </w:pPr>
    </w:p>
    <w:tbl>
      <w:tblPr>
        <w:tblStyle w:val="AspexTable1"/>
        <w:tblW w:w="9014" w:type="dxa"/>
        <w:tblLook w:val="04A0" w:firstRow="1" w:lastRow="0" w:firstColumn="1" w:lastColumn="0" w:noHBand="0" w:noVBand="1"/>
        <w:tblCaption w:val="Table  in Appendix 3 listing NHMRC Grants"/>
        <w:tblDescription w:val="NHMRC  Research Grants by broad research areas"/>
      </w:tblPr>
      <w:tblGrid>
        <w:gridCol w:w="9014"/>
      </w:tblGrid>
      <w:tr w:rsidR="00A31E56" w:rsidRPr="00A36533" w14:paraId="0B0937CE" w14:textId="77777777" w:rsidTr="00A31E56">
        <w:trPr>
          <w:cnfStyle w:val="100000000000" w:firstRow="1" w:lastRow="0" w:firstColumn="0" w:lastColumn="0" w:oddVBand="0" w:evenVBand="0" w:oddHBand="0" w:evenHBand="0" w:firstRowFirstColumn="0" w:firstRowLastColumn="0" w:lastRowFirstColumn="0" w:lastRowLastColumn="0"/>
          <w:tblHeader/>
        </w:trPr>
        <w:tc>
          <w:tcPr>
            <w:tcW w:w="9230" w:type="dxa"/>
          </w:tcPr>
          <w:p w14:paraId="638F49A5" w14:textId="77777777" w:rsidR="00A31E56" w:rsidRPr="00A36533" w:rsidRDefault="00A31E56" w:rsidP="00A31E56">
            <w:pPr>
              <w:pStyle w:val="AspexTableText-Narrow"/>
              <w:spacing w:before="144" w:after="144"/>
              <w:rPr>
                <w:color w:val="FFFFFF" w:themeColor="background1"/>
                <w:szCs w:val="20"/>
                <w:lang w:eastAsia="en-AU"/>
              </w:rPr>
            </w:pPr>
            <w:r w:rsidRPr="00A36533">
              <w:rPr>
                <w:color w:val="FFFFFF" w:themeColor="background1"/>
                <w:szCs w:val="20"/>
                <w:lang w:eastAsia="en-AU"/>
              </w:rPr>
              <w:t>NHMRC  PALLIATIVE CARE RESEARCH GRANTS</w:t>
            </w:r>
          </w:p>
        </w:tc>
      </w:tr>
      <w:tr w:rsidR="00A31E56" w:rsidRPr="00A36533" w14:paraId="725BE8A3" w14:textId="77777777" w:rsidTr="00A31E56">
        <w:tc>
          <w:tcPr>
            <w:tcW w:w="9230" w:type="dxa"/>
          </w:tcPr>
          <w:p w14:paraId="7BAE8CC9"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 xml:space="preserve">Pharmacotherapy and other Therapies </w:t>
            </w:r>
          </w:p>
        </w:tc>
      </w:tr>
      <w:tr w:rsidR="00A31E56" w:rsidRPr="00A36533" w14:paraId="40D92CB0" w14:textId="77777777" w:rsidTr="00A31E56">
        <w:tc>
          <w:tcPr>
            <w:tcW w:w="9230" w:type="dxa"/>
          </w:tcPr>
          <w:p w14:paraId="4AF8AB87"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 xml:space="preserve">Randomised control trial of </w:t>
            </w:r>
            <w:proofErr w:type="spellStart"/>
            <w:r w:rsidRPr="00A36533">
              <w:rPr>
                <w:rFonts w:cs="Arial"/>
                <w:color w:val="333333"/>
                <w:sz w:val="20"/>
                <w:szCs w:val="20"/>
                <w:lang w:eastAsia="en-AU"/>
              </w:rPr>
              <w:t>Risperidone</w:t>
            </w:r>
            <w:proofErr w:type="spellEnd"/>
            <w:r w:rsidRPr="00A36533">
              <w:rPr>
                <w:rFonts w:cs="Arial"/>
                <w:color w:val="333333"/>
                <w:sz w:val="20"/>
                <w:szCs w:val="20"/>
                <w:lang w:eastAsia="en-AU"/>
              </w:rPr>
              <w:t xml:space="preserve"> versus Haloperidol versus placebo with rescue haloperidol in delirium in palliative care.</w:t>
            </w:r>
          </w:p>
        </w:tc>
      </w:tr>
      <w:tr w:rsidR="00A31E56" w:rsidRPr="00A36533" w14:paraId="60E26DD0" w14:textId="77777777" w:rsidTr="00A31E56">
        <w:tc>
          <w:tcPr>
            <w:tcW w:w="9230" w:type="dxa"/>
          </w:tcPr>
          <w:p w14:paraId="66944330"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An evaluation of the validity of measuring salivary oxycodone concentrations for pharmacokinetic studies in palliative care patients.</w:t>
            </w:r>
          </w:p>
        </w:tc>
      </w:tr>
      <w:tr w:rsidR="00A31E56" w:rsidRPr="00A36533" w14:paraId="1676D4C9" w14:textId="77777777" w:rsidTr="00A31E56">
        <w:tc>
          <w:tcPr>
            <w:tcW w:w="9230" w:type="dxa"/>
          </w:tcPr>
          <w:p w14:paraId="699BBB8C"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Subcutaneous ketamine in cancer pain.</w:t>
            </w:r>
          </w:p>
        </w:tc>
      </w:tr>
      <w:tr w:rsidR="00A31E56" w:rsidRPr="00A36533" w14:paraId="5FD2AA7D" w14:textId="77777777" w:rsidTr="00A31E56">
        <w:tc>
          <w:tcPr>
            <w:tcW w:w="9230" w:type="dxa"/>
          </w:tcPr>
          <w:p w14:paraId="67CDDE36"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Comparing the effectiveness of paracetamol and placebos in advanced cancer patients on opioids.</w:t>
            </w:r>
          </w:p>
        </w:tc>
      </w:tr>
      <w:tr w:rsidR="00A31E56" w:rsidRPr="00A36533" w14:paraId="3F26E8F7" w14:textId="77777777" w:rsidTr="00A31E56">
        <w:tc>
          <w:tcPr>
            <w:tcW w:w="9230" w:type="dxa"/>
          </w:tcPr>
          <w:p w14:paraId="2FE35454"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Oxygen to relieve dyspnoea in non-</w:t>
            </w:r>
            <w:proofErr w:type="spellStart"/>
            <w:r w:rsidRPr="00A36533">
              <w:rPr>
                <w:rFonts w:cs="Arial"/>
                <w:color w:val="333333"/>
                <w:sz w:val="20"/>
                <w:szCs w:val="20"/>
                <w:lang w:eastAsia="en-AU"/>
              </w:rPr>
              <w:t>hypoxaemic</w:t>
            </w:r>
            <w:proofErr w:type="spellEnd"/>
            <w:r w:rsidRPr="00A36533">
              <w:rPr>
                <w:rFonts w:cs="Arial"/>
                <w:color w:val="333333"/>
                <w:sz w:val="20"/>
                <w:szCs w:val="20"/>
                <w:lang w:eastAsia="en-AU"/>
              </w:rPr>
              <w:t xml:space="preserve"> patients with end-stage heart failure</w:t>
            </w:r>
          </w:p>
        </w:tc>
      </w:tr>
      <w:tr w:rsidR="00A31E56" w:rsidRPr="00A36533" w14:paraId="4AE7B7F1" w14:textId="77777777" w:rsidTr="00A31E56">
        <w:tc>
          <w:tcPr>
            <w:tcW w:w="9230" w:type="dxa"/>
          </w:tcPr>
          <w:p w14:paraId="52C42C63"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multi-centre randomised double-blind controlled trial of oxygen versus air for the relief of breathlessness in terminally-ill patients with intractable dyspnoea and PaO2 &gt;55mmHg</w:t>
            </w:r>
          </w:p>
        </w:tc>
      </w:tr>
      <w:tr w:rsidR="00A31E56" w:rsidRPr="00A36533" w14:paraId="2CD289E8" w14:textId="77777777" w:rsidTr="00A31E56">
        <w:tc>
          <w:tcPr>
            <w:tcW w:w="9230" w:type="dxa"/>
          </w:tcPr>
          <w:p w14:paraId="36887A8F"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 xml:space="preserve">What are the unmet care needs of patients with end-stage chronic obstructive pulmonary disease and how can they </w:t>
            </w:r>
            <w:proofErr w:type="gramStart"/>
            <w:r w:rsidRPr="00A36533">
              <w:rPr>
                <w:rFonts w:cs="Arial"/>
                <w:color w:val="333333"/>
                <w:sz w:val="20"/>
                <w:szCs w:val="20"/>
                <w:lang w:eastAsia="en-AU"/>
              </w:rPr>
              <w:t>be</w:t>
            </w:r>
            <w:proofErr w:type="gramEnd"/>
            <w:r w:rsidRPr="00A36533">
              <w:rPr>
                <w:rFonts w:cs="Arial"/>
                <w:color w:val="333333"/>
                <w:sz w:val="20"/>
                <w:szCs w:val="20"/>
                <w:lang w:eastAsia="en-AU"/>
              </w:rPr>
              <w:t xml:space="preserve"> addressed?</w:t>
            </w:r>
          </w:p>
        </w:tc>
      </w:tr>
      <w:tr w:rsidR="00A31E56" w:rsidRPr="00A36533" w14:paraId="601FBDA7" w14:textId="77777777" w:rsidTr="00A31E56">
        <w:tc>
          <w:tcPr>
            <w:tcW w:w="9230" w:type="dxa"/>
          </w:tcPr>
          <w:p w14:paraId="24014779"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Using Single Patient Trials to determine the effectiveness of psycho-stimulants in fatigue in advanced cancer patients</w:t>
            </w:r>
          </w:p>
        </w:tc>
      </w:tr>
      <w:tr w:rsidR="00A31E56" w:rsidRPr="00A36533" w14:paraId="0531C864" w14:textId="77777777" w:rsidTr="00A31E56">
        <w:tc>
          <w:tcPr>
            <w:tcW w:w="9230" w:type="dxa"/>
          </w:tcPr>
          <w:p w14:paraId="3CBBA18F"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QUARTZ: Quality of Life After Radiotherapy and/or Steroids</w:t>
            </w:r>
          </w:p>
        </w:tc>
      </w:tr>
      <w:tr w:rsidR="00A31E56" w:rsidRPr="00A36533" w14:paraId="1A1B0C3B" w14:textId="77777777" w:rsidTr="00A31E56">
        <w:tc>
          <w:tcPr>
            <w:tcW w:w="9230" w:type="dxa"/>
          </w:tcPr>
          <w:p w14:paraId="61E144D8"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Palliative Care and Cancer</w:t>
            </w:r>
          </w:p>
        </w:tc>
      </w:tr>
      <w:tr w:rsidR="00A31E56" w:rsidRPr="00A36533" w14:paraId="108B9F54" w14:textId="77777777" w:rsidTr="00A31E56">
        <w:tc>
          <w:tcPr>
            <w:tcW w:w="9230" w:type="dxa"/>
          </w:tcPr>
          <w:p w14:paraId="1AB0ED48"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randomised controlled trial of the cost effectiveness of models of supportive care coordination for advanced cancer</w:t>
            </w:r>
          </w:p>
        </w:tc>
      </w:tr>
      <w:tr w:rsidR="00A31E56" w:rsidRPr="00A36533" w14:paraId="66696762" w14:textId="77777777" w:rsidTr="00A31E56">
        <w:tc>
          <w:tcPr>
            <w:tcW w:w="9230" w:type="dxa"/>
          </w:tcPr>
          <w:p w14:paraId="576C078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Preliminary study of association between nutritional indices, psychosocial factors, cytokines and survival in advanced cancer patients</w:t>
            </w:r>
          </w:p>
        </w:tc>
      </w:tr>
      <w:tr w:rsidR="00A31E56" w:rsidRPr="00A36533" w14:paraId="22070DC3" w14:textId="77777777" w:rsidTr="00A31E56">
        <w:tc>
          <w:tcPr>
            <w:tcW w:w="9230" w:type="dxa"/>
          </w:tcPr>
          <w:p w14:paraId="74B01448"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randomised clinical trial to test a pain education program for patients with cancer and their family carers</w:t>
            </w:r>
          </w:p>
        </w:tc>
      </w:tr>
      <w:tr w:rsidR="00A31E56" w:rsidRPr="00A36533" w14:paraId="536C4FDA" w14:textId="77777777" w:rsidTr="00A31E56">
        <w:tc>
          <w:tcPr>
            <w:tcW w:w="9230" w:type="dxa"/>
          </w:tcPr>
          <w:p w14:paraId="03A7B23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randomised controlled trial of an innovative supportive care program designed to reduce perceived needs and psychological distress and enhance quality of life amongst people with incurable lung cancer</w:t>
            </w:r>
          </w:p>
        </w:tc>
      </w:tr>
      <w:tr w:rsidR="00A31E56" w:rsidRPr="00A36533" w14:paraId="26A3A10F" w14:textId="77777777" w:rsidTr="00A31E56">
        <w:tc>
          <w:tcPr>
            <w:tcW w:w="9230" w:type="dxa"/>
          </w:tcPr>
          <w:p w14:paraId="7D404BAA"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Nutrition and rehabilitation in advanced cancer patients</w:t>
            </w:r>
          </w:p>
        </w:tc>
      </w:tr>
      <w:tr w:rsidR="00A31E56" w:rsidRPr="00A36533" w14:paraId="6FBA70E6" w14:textId="77777777" w:rsidTr="00A31E56">
        <w:tc>
          <w:tcPr>
            <w:tcW w:w="9230" w:type="dxa"/>
          </w:tcPr>
          <w:p w14:paraId="6E66904B"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prospective longitudinal study of symptom clusters and their effects on physical and psychological functioning of patients with metastatic cancer</w:t>
            </w:r>
          </w:p>
        </w:tc>
      </w:tr>
      <w:tr w:rsidR="00A31E56" w:rsidRPr="00A36533" w14:paraId="72C2AAA3" w14:textId="77777777" w:rsidTr="00A31E56">
        <w:tc>
          <w:tcPr>
            <w:tcW w:w="9230" w:type="dxa"/>
          </w:tcPr>
          <w:p w14:paraId="5E8A17DF"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An exploration of functional decline and the potential for rehabilitation in patients with advanced non-small-cell lung cancer.</w:t>
            </w:r>
          </w:p>
        </w:tc>
      </w:tr>
      <w:tr w:rsidR="00A31E56" w:rsidRPr="00A36533" w14:paraId="2DE99172" w14:textId="77777777" w:rsidTr="00A31E56">
        <w:tc>
          <w:tcPr>
            <w:tcW w:w="9230" w:type="dxa"/>
          </w:tcPr>
          <w:p w14:paraId="31192D3F"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The development of a meaning centred therapy for patients with advanced cancer – an intervention study.</w:t>
            </w:r>
          </w:p>
        </w:tc>
      </w:tr>
      <w:tr w:rsidR="00A31E56" w:rsidRPr="00A36533" w14:paraId="0ECF7E98" w14:textId="77777777" w:rsidTr="00A31E56">
        <w:tc>
          <w:tcPr>
            <w:tcW w:w="9230" w:type="dxa"/>
          </w:tcPr>
          <w:p w14:paraId="747D87CB"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 xml:space="preserve">Life threatening cancer across the lifespan: Examining the relevance of music to patients and their </w:t>
            </w:r>
            <w:r w:rsidRPr="00A36533">
              <w:rPr>
                <w:rFonts w:cs="Arial"/>
                <w:color w:val="333333"/>
                <w:sz w:val="20"/>
                <w:szCs w:val="20"/>
                <w:lang w:eastAsia="en-AU"/>
              </w:rPr>
              <w:lastRenderedPageBreak/>
              <w:t>companions.</w:t>
            </w:r>
          </w:p>
        </w:tc>
      </w:tr>
      <w:tr w:rsidR="00A31E56" w:rsidRPr="00A36533" w14:paraId="0FE86963" w14:textId="77777777" w:rsidTr="00A31E56">
        <w:tc>
          <w:tcPr>
            <w:tcW w:w="9230" w:type="dxa"/>
          </w:tcPr>
          <w:p w14:paraId="49384CD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lastRenderedPageBreak/>
              <w:t>Evidence for psychological and educational interventions for cancer-related fatigue.</w:t>
            </w:r>
          </w:p>
        </w:tc>
      </w:tr>
      <w:tr w:rsidR="00A31E56" w:rsidRPr="00A36533" w14:paraId="77D24FEC" w14:textId="77777777" w:rsidTr="00A31E56">
        <w:tc>
          <w:tcPr>
            <w:tcW w:w="9230" w:type="dxa"/>
          </w:tcPr>
          <w:p w14:paraId="621FC4EB"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End-of-Life Planning and Care Planning</w:t>
            </w:r>
          </w:p>
        </w:tc>
      </w:tr>
      <w:tr w:rsidR="00A31E56" w:rsidRPr="00A36533" w14:paraId="71A4E8B6" w14:textId="77777777" w:rsidTr="00A31E56">
        <w:tc>
          <w:tcPr>
            <w:tcW w:w="9230" w:type="dxa"/>
          </w:tcPr>
          <w:p w14:paraId="5A5107CB"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Prospective study of medical-emergency team calls to define issues of end-life decision making, symptoms and transition in goals of care.</w:t>
            </w:r>
          </w:p>
        </w:tc>
      </w:tr>
      <w:tr w:rsidR="00A31E56" w:rsidRPr="00A36533" w14:paraId="00B64172" w14:textId="77777777" w:rsidTr="00A31E56">
        <w:tc>
          <w:tcPr>
            <w:tcW w:w="9230" w:type="dxa"/>
          </w:tcPr>
          <w:p w14:paraId="5E80728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End of life care options in the community for people with dementia.</w:t>
            </w:r>
          </w:p>
        </w:tc>
      </w:tr>
      <w:tr w:rsidR="00A31E56" w:rsidRPr="00A36533" w14:paraId="7BDDD7F9" w14:textId="77777777" w:rsidTr="00A31E56">
        <w:tc>
          <w:tcPr>
            <w:tcW w:w="9230" w:type="dxa"/>
          </w:tcPr>
          <w:p w14:paraId="6AF95FD1"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Pilot randomised study of telemedicine consultation versus face-to-face consultation in palliative medicine.</w:t>
            </w:r>
          </w:p>
        </w:tc>
      </w:tr>
      <w:tr w:rsidR="00A31E56" w:rsidRPr="00A36533" w14:paraId="662A84A8" w14:textId="77777777" w:rsidTr="00A31E56">
        <w:tc>
          <w:tcPr>
            <w:tcW w:w="9230" w:type="dxa"/>
          </w:tcPr>
          <w:p w14:paraId="08B36B5D"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Discussing prognosis &amp; end-of-life issues in palliative care; current practice &amp;  development of an evidence based training program</w:t>
            </w:r>
          </w:p>
        </w:tc>
      </w:tr>
      <w:tr w:rsidR="00A31E56" w:rsidRPr="00A36533" w14:paraId="372A86FB" w14:textId="77777777" w:rsidTr="00A31E56">
        <w:tc>
          <w:tcPr>
            <w:tcW w:w="9230" w:type="dxa"/>
          </w:tcPr>
          <w:p w14:paraId="083011E1"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An investigation of care-planning decisions in advanced pulmonary and cardiac illness in the Bayside Health Care region.</w:t>
            </w:r>
          </w:p>
        </w:tc>
      </w:tr>
      <w:tr w:rsidR="00A31E56" w:rsidRPr="00A36533" w14:paraId="296C8835" w14:textId="77777777" w:rsidTr="00A31E56">
        <w:tc>
          <w:tcPr>
            <w:tcW w:w="9230" w:type="dxa"/>
          </w:tcPr>
          <w:p w14:paraId="75892565"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Education</w:t>
            </w:r>
          </w:p>
        </w:tc>
      </w:tr>
      <w:tr w:rsidR="00A31E56" w:rsidRPr="00A36533" w14:paraId="233A159B" w14:textId="77777777" w:rsidTr="00A31E56">
        <w:tc>
          <w:tcPr>
            <w:tcW w:w="9230" w:type="dxa"/>
          </w:tcPr>
          <w:p w14:paraId="43B21E1D"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Identifying e-health literacy and readability issues for palliative-care consumers.</w:t>
            </w:r>
          </w:p>
        </w:tc>
      </w:tr>
      <w:tr w:rsidR="00A31E56" w:rsidRPr="00A36533" w14:paraId="01E3424C" w14:textId="77777777" w:rsidTr="00A31E56">
        <w:tc>
          <w:tcPr>
            <w:tcW w:w="9230" w:type="dxa"/>
          </w:tcPr>
          <w:p w14:paraId="065B9156"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Needs based access to specialist palliative care services: Development and evaluation of a Consumer Toolkit</w:t>
            </w:r>
          </w:p>
        </w:tc>
      </w:tr>
      <w:tr w:rsidR="00A31E56" w:rsidRPr="00A36533" w14:paraId="0951B46D" w14:textId="77777777" w:rsidTr="00A31E56">
        <w:tc>
          <w:tcPr>
            <w:tcW w:w="9230" w:type="dxa"/>
          </w:tcPr>
          <w:p w14:paraId="06731DFA"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Development and implementation of an educational program to guide palliative care for people with Motor Neurone Disease.</w:t>
            </w:r>
          </w:p>
        </w:tc>
      </w:tr>
      <w:tr w:rsidR="00A31E56" w:rsidRPr="00A36533" w14:paraId="339FC038" w14:textId="77777777" w:rsidTr="00A31E56">
        <w:tc>
          <w:tcPr>
            <w:tcW w:w="9230" w:type="dxa"/>
          </w:tcPr>
          <w:p w14:paraId="1E837156"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 xml:space="preserve">Palliative Care in Community and Other Residential Settings </w:t>
            </w:r>
          </w:p>
        </w:tc>
      </w:tr>
      <w:tr w:rsidR="00A31E56" w:rsidRPr="00A36533" w14:paraId="5232E27D" w14:textId="77777777" w:rsidTr="00A31E56">
        <w:tc>
          <w:tcPr>
            <w:tcW w:w="9230" w:type="dxa"/>
          </w:tcPr>
          <w:p w14:paraId="129DFE56"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Primary care: what is GPs’ approach to patients with advanced cancer and those who require radiotherapy?</w:t>
            </w:r>
          </w:p>
        </w:tc>
      </w:tr>
      <w:tr w:rsidR="00A31E56" w:rsidRPr="00A36533" w14:paraId="5D2D8AEC" w14:textId="77777777" w:rsidTr="00A31E56">
        <w:tc>
          <w:tcPr>
            <w:tcW w:w="9230" w:type="dxa"/>
          </w:tcPr>
          <w:p w14:paraId="0527A690"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Identification of the palliative care needs of home-based people with end-stage dementia.</w:t>
            </w:r>
          </w:p>
        </w:tc>
      </w:tr>
      <w:tr w:rsidR="00A31E56" w:rsidRPr="00A36533" w14:paraId="64095054" w14:textId="77777777" w:rsidTr="00A31E56">
        <w:tc>
          <w:tcPr>
            <w:tcW w:w="9230" w:type="dxa"/>
          </w:tcPr>
          <w:p w14:paraId="37376ACF"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Meeting the needs of the elderly: implementing the palliative approach for people with declining health in home and hostel accommodation.</w:t>
            </w:r>
          </w:p>
        </w:tc>
      </w:tr>
      <w:tr w:rsidR="00A31E56" w:rsidRPr="00A36533" w14:paraId="56F5E21B" w14:textId="77777777" w:rsidTr="00A31E56">
        <w:tc>
          <w:tcPr>
            <w:tcW w:w="9230" w:type="dxa"/>
          </w:tcPr>
          <w:p w14:paraId="545B8B2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Strengthening community based Palliative Care Services: Towards a better understanding of the medical aspects of caring for children (and their families).</w:t>
            </w:r>
          </w:p>
        </w:tc>
      </w:tr>
      <w:tr w:rsidR="00A31E56" w:rsidRPr="00A36533" w14:paraId="622BF293" w14:textId="77777777" w:rsidTr="00A31E56">
        <w:tc>
          <w:tcPr>
            <w:tcW w:w="9230" w:type="dxa"/>
          </w:tcPr>
          <w:p w14:paraId="31F01394"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Palliative Care approaches for Pain Management Education among Care Assistants in Residential Aged Care Hostels: A feasibility study</w:t>
            </w:r>
          </w:p>
        </w:tc>
      </w:tr>
      <w:tr w:rsidR="00A31E56" w:rsidRPr="00A36533" w14:paraId="3AB43FC7" w14:textId="77777777" w:rsidTr="00A31E56">
        <w:tc>
          <w:tcPr>
            <w:tcW w:w="9230" w:type="dxa"/>
          </w:tcPr>
          <w:p w14:paraId="4B05DB20"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Case conferencing, quality of life and palliative care for clients from remote communities in the Northern Territory.</w:t>
            </w:r>
          </w:p>
        </w:tc>
      </w:tr>
      <w:tr w:rsidR="00A31E56" w:rsidRPr="00A36533" w14:paraId="7B5F0ECB" w14:textId="77777777" w:rsidTr="00A31E56">
        <w:tc>
          <w:tcPr>
            <w:tcW w:w="9230" w:type="dxa"/>
          </w:tcPr>
          <w:p w14:paraId="2FFF9760"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Development of a palliative approach in residential care outcome scale (PARCOS).</w:t>
            </w:r>
          </w:p>
        </w:tc>
      </w:tr>
      <w:tr w:rsidR="00A31E56" w:rsidRPr="00A36533" w14:paraId="69CE0DA4" w14:textId="77777777" w:rsidTr="00A31E56">
        <w:tc>
          <w:tcPr>
            <w:tcW w:w="9230" w:type="dxa"/>
          </w:tcPr>
          <w:p w14:paraId="08C7888C"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Care Givers</w:t>
            </w:r>
          </w:p>
        </w:tc>
      </w:tr>
      <w:tr w:rsidR="00A31E56" w:rsidRPr="00A36533" w14:paraId="6F639914" w14:textId="77777777" w:rsidTr="00A31E56">
        <w:tc>
          <w:tcPr>
            <w:tcW w:w="9230" w:type="dxa"/>
          </w:tcPr>
          <w:p w14:paraId="20EE41EB"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Helping family caregivers of palliative care patients manage their role: evaluation of a hospital based group education intervention</w:t>
            </w:r>
          </w:p>
        </w:tc>
      </w:tr>
      <w:tr w:rsidR="00A31E56" w:rsidRPr="00A36533" w14:paraId="716F8E1A" w14:textId="77777777" w:rsidTr="00A31E56">
        <w:tc>
          <w:tcPr>
            <w:tcW w:w="9230" w:type="dxa"/>
          </w:tcPr>
          <w:p w14:paraId="5AF483C2"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Improving the psychological wellbeing of family caregivers of home based palliative care patients: A randomised controlled trial</w:t>
            </w:r>
          </w:p>
        </w:tc>
      </w:tr>
      <w:tr w:rsidR="00A31E56" w:rsidRPr="00A36533" w14:paraId="506004E0" w14:textId="77777777" w:rsidTr="00A31E56">
        <w:tc>
          <w:tcPr>
            <w:tcW w:w="9230" w:type="dxa"/>
          </w:tcPr>
          <w:p w14:paraId="5FAB7979"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lastRenderedPageBreak/>
              <w:t>An instrument to measure self–efficacy in family cares of patients with advanced cancer - a questionnaire.</w:t>
            </w:r>
          </w:p>
        </w:tc>
      </w:tr>
      <w:tr w:rsidR="00A31E56" w:rsidRPr="00A36533" w14:paraId="5BDA13BE" w14:textId="77777777" w:rsidTr="00A31E56">
        <w:tc>
          <w:tcPr>
            <w:tcW w:w="9230" w:type="dxa"/>
          </w:tcPr>
          <w:p w14:paraId="0EA7F120" w14:textId="77777777" w:rsidR="00A31E56" w:rsidRPr="00A36533" w:rsidRDefault="00A31E56" w:rsidP="00A31E56">
            <w:pPr>
              <w:pStyle w:val="AspexTableText-Narrow"/>
              <w:rPr>
                <w:rFonts w:cs="Arial"/>
                <w:b/>
                <w:color w:val="333333"/>
                <w:sz w:val="20"/>
                <w:szCs w:val="20"/>
                <w:lang w:eastAsia="en-AU"/>
              </w:rPr>
            </w:pPr>
            <w:r w:rsidRPr="00A36533">
              <w:rPr>
                <w:rFonts w:cs="Arial"/>
                <w:b/>
                <w:color w:val="333333"/>
                <w:sz w:val="20"/>
                <w:szCs w:val="20"/>
                <w:lang w:eastAsia="en-AU"/>
              </w:rPr>
              <w:t>Other</w:t>
            </w:r>
          </w:p>
        </w:tc>
      </w:tr>
      <w:tr w:rsidR="00A31E56" w:rsidRPr="00A36533" w14:paraId="686B7022" w14:textId="77777777" w:rsidTr="00A31E56">
        <w:tc>
          <w:tcPr>
            <w:tcW w:w="9230" w:type="dxa"/>
          </w:tcPr>
          <w:p w14:paraId="583445ED"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Palliative care for Aboriginal and Torres Strait Islander people with end-stage renal disease: an action research initiative</w:t>
            </w:r>
          </w:p>
        </w:tc>
      </w:tr>
      <w:tr w:rsidR="00A31E56" w:rsidRPr="00A36533" w14:paraId="7C8C758F" w14:textId="77777777" w:rsidTr="00A31E56">
        <w:tc>
          <w:tcPr>
            <w:tcW w:w="9230" w:type="dxa"/>
          </w:tcPr>
          <w:p w14:paraId="7CB9BCC9"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Client centred palliative rehabilitation: An evaluation of its efficacy.</w:t>
            </w:r>
          </w:p>
        </w:tc>
      </w:tr>
      <w:tr w:rsidR="00A31E56" w:rsidRPr="00A36533" w14:paraId="59BCC67C" w14:textId="77777777" w:rsidTr="00A31E56">
        <w:tc>
          <w:tcPr>
            <w:tcW w:w="9230" w:type="dxa"/>
          </w:tcPr>
          <w:p w14:paraId="3386E99C"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Needs based palliative care: Evaluation of the Palliative Care Needs Assessment Guidelines and Palliative Care Needs Assessment Tool.</w:t>
            </w:r>
          </w:p>
        </w:tc>
      </w:tr>
      <w:tr w:rsidR="00A31E56" w:rsidRPr="00A36533" w14:paraId="2E029A40" w14:textId="77777777" w:rsidTr="00A31E56">
        <w:tc>
          <w:tcPr>
            <w:tcW w:w="9230" w:type="dxa"/>
          </w:tcPr>
          <w:p w14:paraId="3A176175"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Developing and Measuring Palliative Care Decision Making Skill.</w:t>
            </w:r>
          </w:p>
        </w:tc>
      </w:tr>
      <w:tr w:rsidR="00A31E56" w:rsidRPr="00A36533" w14:paraId="357B8067" w14:textId="77777777" w:rsidTr="00A31E56">
        <w:tc>
          <w:tcPr>
            <w:tcW w:w="9230" w:type="dxa"/>
          </w:tcPr>
          <w:p w14:paraId="34E44D70"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How do risk factors for complicated grief identified before death contribute to outcomes for the bereaved?</w:t>
            </w:r>
          </w:p>
        </w:tc>
      </w:tr>
      <w:tr w:rsidR="00A31E56" w:rsidRPr="00A36533" w14:paraId="52DB9873" w14:textId="77777777" w:rsidTr="00A31E56">
        <w:tc>
          <w:tcPr>
            <w:tcW w:w="9230" w:type="dxa"/>
          </w:tcPr>
          <w:p w14:paraId="5DF9CA87"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The development of a model of care for Haematology and Palliative Care</w:t>
            </w:r>
          </w:p>
        </w:tc>
      </w:tr>
      <w:tr w:rsidR="00A31E56" w:rsidRPr="00A36533" w14:paraId="02C10D57" w14:textId="77777777" w:rsidTr="00A31E56">
        <w:tc>
          <w:tcPr>
            <w:tcW w:w="9230" w:type="dxa"/>
          </w:tcPr>
          <w:p w14:paraId="4D7453D6"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study to pilot a clinical trial to test dignity psychotherapy for the frail aged</w:t>
            </w:r>
          </w:p>
        </w:tc>
      </w:tr>
      <w:tr w:rsidR="00A31E56" w:rsidRPr="00A36533" w14:paraId="290E3085" w14:textId="77777777" w:rsidTr="00A31E56">
        <w:tc>
          <w:tcPr>
            <w:tcW w:w="9230" w:type="dxa"/>
          </w:tcPr>
          <w:p w14:paraId="432978DB"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A model of current and potential palliative care constituency: Measuring met and unmet needs</w:t>
            </w:r>
          </w:p>
        </w:tc>
      </w:tr>
      <w:tr w:rsidR="00A31E56" w:rsidRPr="00A36533" w14:paraId="570601CF" w14:textId="77777777" w:rsidTr="00A31E56">
        <w:tc>
          <w:tcPr>
            <w:tcW w:w="9230" w:type="dxa"/>
          </w:tcPr>
          <w:p w14:paraId="20682952"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Supporting pathways to palliative care for people diagnosed with chronic kidney disease.</w:t>
            </w:r>
          </w:p>
        </w:tc>
      </w:tr>
      <w:tr w:rsidR="00A31E56" w:rsidRPr="00A36533" w14:paraId="00078C3D" w14:textId="77777777" w:rsidTr="00A31E56">
        <w:tc>
          <w:tcPr>
            <w:tcW w:w="9230" w:type="dxa"/>
          </w:tcPr>
          <w:p w14:paraId="1C8045EE" w14:textId="77777777" w:rsidR="00A31E56" w:rsidRPr="00A36533" w:rsidRDefault="00A31E56" w:rsidP="0073588A">
            <w:pPr>
              <w:pStyle w:val="AspexTableText-Narrow"/>
              <w:numPr>
                <w:ilvl w:val="0"/>
                <w:numId w:val="17"/>
              </w:numPr>
              <w:rPr>
                <w:rFonts w:cs="Arial"/>
                <w:color w:val="333333"/>
                <w:sz w:val="20"/>
                <w:szCs w:val="20"/>
                <w:lang w:eastAsia="en-AU"/>
              </w:rPr>
            </w:pPr>
            <w:r w:rsidRPr="00A36533">
              <w:rPr>
                <w:rFonts w:cs="Arial"/>
                <w:color w:val="333333"/>
                <w:sz w:val="20"/>
                <w:szCs w:val="20"/>
                <w:lang w:eastAsia="en-AU"/>
              </w:rPr>
              <w:t>Informing development of national guidelines for palliative care in ambulance services by exploring current service provision.</w:t>
            </w:r>
          </w:p>
        </w:tc>
      </w:tr>
    </w:tbl>
    <w:p w14:paraId="5E5C7334" w14:textId="77777777" w:rsidR="00804F73" w:rsidRDefault="00804F73" w:rsidP="00814915">
      <w:pPr>
        <w:pStyle w:val="AspexBodyStandard"/>
      </w:pPr>
    </w:p>
    <w:sectPr w:rsidR="00804F73" w:rsidSect="00FF7355">
      <w:pgSz w:w="11906" w:h="16838" w:code="9"/>
      <w:pgMar w:top="1949" w:right="1276" w:bottom="1134" w:left="161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25461" w14:textId="77777777" w:rsidR="009C72FC" w:rsidRDefault="009C72FC" w:rsidP="00AE3430">
      <w:pPr>
        <w:spacing w:before="0" w:line="240" w:lineRule="auto"/>
      </w:pPr>
      <w:r>
        <w:separator/>
      </w:r>
    </w:p>
  </w:endnote>
  <w:endnote w:type="continuationSeparator" w:id="0">
    <w:p w14:paraId="4CEA20B5" w14:textId="77777777" w:rsidR="009C72FC" w:rsidRDefault="009C72FC" w:rsidP="00AE34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E0BA4" w14:textId="77777777" w:rsidR="009C72FC" w:rsidRDefault="009C72FC" w:rsidP="00325C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17410" w14:textId="77777777" w:rsidR="009C72FC" w:rsidRDefault="009C72FC" w:rsidP="00414B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0DCBC" w14:textId="77777777" w:rsidR="009C72FC" w:rsidRPr="00414B41" w:rsidRDefault="009C72FC" w:rsidP="00414B41">
    <w:pPr>
      <w:pStyle w:val="Footer"/>
      <w:framePr w:wrap="around" w:vAnchor="text" w:hAnchor="page" w:x="10527" w:y="-60"/>
      <w:rPr>
        <w:rStyle w:val="PageNumber"/>
        <w:rFonts w:ascii="Arial Narrow" w:hAnsi="Arial Narrow"/>
      </w:rPr>
    </w:pPr>
    <w:r w:rsidRPr="00414B41">
      <w:rPr>
        <w:rStyle w:val="PageNumber"/>
        <w:rFonts w:ascii="Arial Narrow" w:hAnsi="Arial Narrow"/>
      </w:rPr>
      <w:fldChar w:fldCharType="begin"/>
    </w:r>
    <w:r w:rsidRPr="00414B41">
      <w:rPr>
        <w:rStyle w:val="PageNumber"/>
        <w:rFonts w:ascii="Arial Narrow" w:hAnsi="Arial Narrow"/>
      </w:rPr>
      <w:instrText xml:space="preserve">PAGE  </w:instrText>
    </w:r>
    <w:r w:rsidRPr="00414B41">
      <w:rPr>
        <w:rStyle w:val="PageNumber"/>
        <w:rFonts w:ascii="Arial Narrow" w:hAnsi="Arial Narrow"/>
      </w:rPr>
      <w:fldChar w:fldCharType="separate"/>
    </w:r>
    <w:r w:rsidR="001A071B">
      <w:rPr>
        <w:rStyle w:val="PageNumber"/>
        <w:rFonts w:ascii="Arial Narrow" w:hAnsi="Arial Narrow"/>
        <w:noProof/>
      </w:rPr>
      <w:t>2</w:t>
    </w:r>
    <w:r w:rsidRPr="00414B41">
      <w:rPr>
        <w:rStyle w:val="PageNumber"/>
        <w:rFonts w:ascii="Arial Narrow" w:hAnsi="Arial Narrow"/>
      </w:rPr>
      <w:fldChar w:fldCharType="end"/>
    </w:r>
  </w:p>
  <w:p w14:paraId="5C60E65F" w14:textId="5AA5C414" w:rsidR="009C72FC" w:rsidRDefault="009C72FC" w:rsidP="00414B4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FD58" w14:textId="77777777" w:rsidR="009C72FC" w:rsidRPr="003F6658" w:rsidRDefault="009C72FC" w:rsidP="00836AA4">
    <w:pPr>
      <w:pStyle w:val="Footer"/>
      <w:jc w:val="center"/>
      <w:rPr>
        <w:lang w:val="en-US"/>
      </w:rPr>
    </w:pPr>
    <w:r w:rsidRPr="003F6658">
      <w:rPr>
        <w:lang w:val="en-US"/>
      </w:rPr>
      <w:t xml:space="preserve">212 Clarendon </w:t>
    </w:r>
    <w:proofErr w:type="gramStart"/>
    <w:r w:rsidRPr="003F6658">
      <w:rPr>
        <w:lang w:val="en-US"/>
      </w:rPr>
      <w:t>Street  |</w:t>
    </w:r>
    <w:proofErr w:type="gramEnd"/>
    <w:r w:rsidRPr="003F6658">
      <w:rPr>
        <w:lang w:val="en-US"/>
      </w:rPr>
      <w:t xml:space="preserve">  East Melbourne  |  Victoria  |  3002  |  </w:t>
    </w:r>
    <w:r>
      <w:rPr>
        <w:lang w:val="en-US"/>
      </w:rPr>
      <w:t>+61 (</w:t>
    </w:r>
    <w:r w:rsidRPr="003F6658">
      <w:rPr>
        <w:lang w:val="en-US"/>
      </w:rPr>
      <w:t>0</w:t>
    </w:r>
    <w:r>
      <w:rPr>
        <w:lang w:val="en-US"/>
      </w:rPr>
      <w:t>) 3 9419 0006</w:t>
    </w:r>
  </w:p>
  <w:p w14:paraId="2500CB19" w14:textId="77777777" w:rsidR="009C72FC" w:rsidRPr="00C665C3" w:rsidRDefault="009C72FC" w:rsidP="00836AA4">
    <w:pPr>
      <w:pStyle w:val="Footer"/>
      <w:jc w:val="center"/>
      <w:rPr>
        <w:lang w:val="en-US"/>
      </w:rPr>
    </w:pPr>
    <w:r w:rsidRPr="003F6658">
      <w:rPr>
        <w:lang w:val="en-US"/>
      </w:rPr>
      <w:t>aspexconsulting.com.au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7E871" w14:textId="77777777" w:rsidR="009C72FC" w:rsidRDefault="009C72FC" w:rsidP="00AE3430">
      <w:pPr>
        <w:spacing w:before="0" w:line="240" w:lineRule="auto"/>
      </w:pPr>
      <w:r>
        <w:separator/>
      </w:r>
    </w:p>
  </w:footnote>
  <w:footnote w:type="continuationSeparator" w:id="0">
    <w:p w14:paraId="5B87712C" w14:textId="77777777" w:rsidR="009C72FC" w:rsidRDefault="009C72FC" w:rsidP="00AE3430">
      <w:pPr>
        <w:spacing w:before="0" w:line="240" w:lineRule="auto"/>
      </w:pPr>
      <w:r>
        <w:continuationSeparator/>
      </w:r>
    </w:p>
  </w:footnote>
  <w:footnote w:id="1">
    <w:p w14:paraId="501C5DF8" w14:textId="1EFF435B" w:rsidR="009C72FC" w:rsidRPr="00B91A80" w:rsidRDefault="009C72FC" w:rsidP="001B7C47">
      <w:pPr>
        <w:pStyle w:val="FootnoteText"/>
        <w:jc w:val="both"/>
        <w:rPr>
          <w:rFonts w:ascii="Arial Narrow" w:hAnsi="Arial Narrow"/>
          <w:lang w:val="en-US"/>
        </w:rPr>
      </w:pPr>
      <w:r>
        <w:rPr>
          <w:rStyle w:val="FootnoteReference"/>
        </w:rPr>
        <w:footnoteRef/>
      </w:r>
      <w:r>
        <w:t xml:space="preserve"> </w:t>
      </w:r>
      <w:r>
        <w:rPr>
          <w:lang w:val="en-US"/>
        </w:rPr>
        <w:tab/>
      </w:r>
      <w:r w:rsidRPr="00B91A80">
        <w:rPr>
          <w:rFonts w:ascii="Arial Narrow" w:hAnsi="Arial Narrow"/>
          <w:lang w:val="en-US"/>
        </w:rPr>
        <w:t>Attempts to undertake such investigations would not address questions about whether access to items for more comprehensive assessment/treatment planning result in better outcomes, as the majority of non-physician registered palliative medicine specialists report spending the same amount of time in their current patient assessment/treatment planning activities (as co-registered physicians) regardless of the level of MBS remuneration.</w:t>
      </w:r>
    </w:p>
  </w:footnote>
  <w:footnote w:id="2">
    <w:p w14:paraId="0BCECFB1" w14:textId="77777777" w:rsidR="009C72FC" w:rsidRPr="00B91A80" w:rsidRDefault="009C72FC" w:rsidP="001B5B90">
      <w:pPr>
        <w:pStyle w:val="FootnoteText"/>
        <w:rPr>
          <w:rFonts w:ascii="Arial Narrow" w:hAnsi="Arial Narrow"/>
          <w:lang w:val="en-US"/>
        </w:rPr>
      </w:pPr>
      <w:r w:rsidRPr="00B91A80">
        <w:rPr>
          <w:rStyle w:val="FootnoteReference"/>
          <w:rFonts w:ascii="Arial Narrow" w:hAnsi="Arial Narrow"/>
        </w:rPr>
        <w:footnoteRef/>
      </w:r>
      <w:r w:rsidRPr="00B91A80">
        <w:rPr>
          <w:rFonts w:ascii="Arial Narrow" w:hAnsi="Arial Narrow"/>
        </w:rPr>
        <w:t xml:space="preserve"> </w:t>
      </w:r>
      <w:r w:rsidRPr="00B91A80">
        <w:rPr>
          <w:rFonts w:ascii="Arial Narrow" w:hAnsi="Arial Narrow"/>
        </w:rPr>
        <w:tab/>
      </w:r>
      <w:r w:rsidRPr="00B91A80">
        <w:rPr>
          <w:rFonts w:ascii="Arial Narrow" w:hAnsi="Arial Narrow"/>
          <w:lang w:val="en-US"/>
        </w:rPr>
        <w:t>This means that the actions are independent but not mutually exclusive.</w:t>
      </w:r>
    </w:p>
  </w:footnote>
  <w:footnote w:id="3">
    <w:p w14:paraId="7D1087D4" w14:textId="5A8FEB15" w:rsidR="009C72FC" w:rsidRPr="00B91A80" w:rsidRDefault="009C72FC" w:rsidP="00657078">
      <w:pPr>
        <w:pStyle w:val="FootnoteText"/>
        <w:jc w:val="both"/>
        <w:rPr>
          <w:rFonts w:ascii="Arial Narrow" w:hAnsi="Arial Narrow"/>
          <w:lang w:val="en-US"/>
        </w:rPr>
      </w:pPr>
      <w:r w:rsidRPr="00657078">
        <w:rPr>
          <w:rStyle w:val="FootnoteReference"/>
        </w:rPr>
        <w:footnoteRef/>
      </w:r>
      <w:r w:rsidRPr="00657078">
        <w:t xml:space="preserve"> </w:t>
      </w:r>
      <w:r w:rsidRPr="00657078">
        <w:tab/>
      </w:r>
      <w:proofErr w:type="gramStart"/>
      <w:r w:rsidRPr="00B91A80">
        <w:rPr>
          <w:rFonts w:ascii="Arial Narrow" w:hAnsi="Arial Narrow"/>
        </w:rPr>
        <w:t>From evidence given the 2012 Australian Government Senate Community Affairs References Committee into Palliative Care in Australia.</w:t>
      </w:r>
      <w:proofErr w:type="gramEnd"/>
    </w:p>
  </w:footnote>
  <w:footnote w:id="4">
    <w:p w14:paraId="0A81E841" w14:textId="7F03B096" w:rsidR="009C72FC" w:rsidRPr="00B91A80" w:rsidRDefault="009C72FC" w:rsidP="00657078">
      <w:pPr>
        <w:pStyle w:val="FootnoteText"/>
        <w:jc w:val="both"/>
        <w:rPr>
          <w:rFonts w:ascii="Arial Narrow" w:hAnsi="Arial Narrow"/>
          <w:color w:val="FF0000"/>
          <w:lang w:val="en-US"/>
        </w:rPr>
      </w:pPr>
      <w:r w:rsidRPr="00657078">
        <w:rPr>
          <w:rStyle w:val="FootnoteReference"/>
        </w:rPr>
        <w:footnoteRef/>
      </w:r>
      <w:r w:rsidRPr="00657078">
        <w:t xml:space="preserve"> </w:t>
      </w:r>
      <w:r w:rsidRPr="00657078">
        <w:rPr>
          <w:lang w:val="en-US"/>
        </w:rPr>
        <w:tab/>
      </w:r>
      <w:r w:rsidRPr="00B91A80">
        <w:rPr>
          <w:rFonts w:ascii="Arial Narrow" w:hAnsi="Arial Narrow"/>
          <w:lang w:val="en-US"/>
        </w:rPr>
        <w:t xml:space="preserve">From evidence reported by the Australian Medical Council (2005) Assessment of Palliative Medicine as a Medical </w:t>
      </w:r>
      <w:proofErr w:type="gramStart"/>
      <w:r w:rsidRPr="00B91A80">
        <w:rPr>
          <w:rFonts w:ascii="Arial Narrow" w:hAnsi="Arial Narrow"/>
          <w:lang w:val="en-US"/>
        </w:rPr>
        <w:t>Specialty.</w:t>
      </w:r>
      <w:proofErr w:type="gramEnd"/>
      <w:r w:rsidRPr="00B91A80">
        <w:rPr>
          <w:rFonts w:ascii="Arial Narrow" w:hAnsi="Arial Narrow"/>
          <w:lang w:val="en-US"/>
        </w:rPr>
        <w:t xml:space="preserve"> </w:t>
      </w:r>
      <w:proofErr w:type="gramStart"/>
      <w:r w:rsidRPr="00B91A80">
        <w:rPr>
          <w:rFonts w:ascii="Arial Narrow" w:hAnsi="Arial Narrow"/>
          <w:lang w:val="en-US"/>
        </w:rPr>
        <w:t>Recognition of Medical Specialties, Advisory Committee Report, December 2005, AMC Inc.</w:t>
      </w:r>
      <w:proofErr w:type="gramEnd"/>
    </w:p>
  </w:footnote>
  <w:footnote w:id="5">
    <w:p w14:paraId="246799BF" w14:textId="77777777" w:rsidR="009C72FC" w:rsidRPr="002B186E" w:rsidRDefault="009C72FC">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rPr>
        <w:tab/>
        <w:t>AIHW, Palliative care services in Australia 2012</w:t>
      </w:r>
    </w:p>
  </w:footnote>
  <w:footnote w:id="6">
    <w:p w14:paraId="22DE0CA1" w14:textId="02CCD1DB" w:rsidR="009C72FC" w:rsidRPr="00873929" w:rsidRDefault="009C72FC" w:rsidP="00873929">
      <w:pPr>
        <w:pStyle w:val="FootnoteText"/>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rPr>
        <w:tab/>
        <w:t>Quotations in pale grey throughout this report are statements made by palliative care specialists interviewed in preparation of this assessment.</w:t>
      </w:r>
    </w:p>
  </w:footnote>
  <w:footnote w:id="7">
    <w:p w14:paraId="358204F0" w14:textId="77777777" w:rsidR="009C72FC" w:rsidRPr="002B186E" w:rsidRDefault="009C72FC">
      <w:pPr>
        <w:pStyle w:val="FootnoteText"/>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The term ‘hospice’ can mean various clinical contexts, from free-standing (public or private) facilities in the community, to designated palliative care beds or units in (public or private) hospitals.</w:t>
      </w:r>
    </w:p>
  </w:footnote>
  <w:footnote w:id="8">
    <w:p w14:paraId="580428C7" w14:textId="77777777" w:rsidR="009C72FC" w:rsidRPr="002B186E" w:rsidRDefault="009C72FC" w:rsidP="006206B3">
      <w:pPr>
        <w:pStyle w:val="FootnoteText"/>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The volume of patients with COPD and Neurological disease was significantly higher in Residential Care environments, compared with patients treated in Community, Hospital, and Hospital settings.</w:t>
      </w:r>
    </w:p>
  </w:footnote>
  <w:footnote w:id="9">
    <w:p w14:paraId="329D3FF9" w14:textId="77777777" w:rsidR="009C72FC" w:rsidRPr="002B186E" w:rsidRDefault="009C72FC" w:rsidP="00937B1C">
      <w:pPr>
        <w:pStyle w:val="FootnoteText"/>
        <w:rPr>
          <w:rFonts w:ascii="Arial Narrow" w:hAnsi="Arial Narrow" w:cs="Times"/>
          <w:sz w:val="24"/>
          <w:lang w:val="en-US" w:eastAsia="en-AU"/>
        </w:rPr>
      </w:pPr>
      <w:r w:rsidRPr="002B186E">
        <w:rPr>
          <w:rStyle w:val="FootnoteReference"/>
          <w:rFonts w:ascii="Arial Narrow" w:hAnsi="Arial Narrow"/>
        </w:rPr>
        <w:footnoteRef/>
      </w:r>
      <w:r w:rsidRPr="002B186E">
        <w:rPr>
          <w:rStyle w:val="FootnoteReference"/>
          <w:rFonts w:ascii="Arial Narrow" w:hAnsi="Arial Narrow"/>
        </w:rPr>
        <w:t xml:space="preserve"> </w:t>
      </w:r>
      <w:r w:rsidRPr="002B186E">
        <w:rPr>
          <w:rStyle w:val="FootnoteReference"/>
          <w:rFonts w:ascii="Arial Narrow" w:hAnsi="Arial Narrow"/>
        </w:rPr>
        <w:tab/>
      </w:r>
      <w:r w:rsidRPr="002B186E">
        <w:rPr>
          <w:rStyle w:val="FootnoteReference"/>
          <w:rFonts w:ascii="Arial Narrow" w:hAnsi="Arial Narrow"/>
          <w:szCs w:val="16"/>
          <w:vertAlign w:val="baseline"/>
        </w:rPr>
        <w:t>Australian Institute of Health and Welfare 2012. Palliative care services in Australia 2012. HWI 120 Canberra: AIHW. Australian Institute of Health and Welfare 2013. Palliative care services in Australia 2013. HWI 123 Canberra: AIHW.</w:t>
      </w:r>
    </w:p>
  </w:footnote>
  <w:footnote w:id="10">
    <w:p w14:paraId="55ABF997" w14:textId="77777777" w:rsidR="009C72FC" w:rsidRPr="00FE2AD5" w:rsidRDefault="009C72FC" w:rsidP="006206B3">
      <w:pPr>
        <w:pStyle w:val="FootnoteText"/>
        <w:rPr>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rPr>
        <w:tab/>
        <w:t>Note that percentages for individual diagnoses sum to more than 100% as individual patients may have more than one diagnosis (e.g., Lung cancer and Secondary site cancer).</w:t>
      </w:r>
    </w:p>
  </w:footnote>
  <w:footnote w:id="11">
    <w:p w14:paraId="4192F04B" w14:textId="77777777" w:rsidR="009C72FC" w:rsidRPr="002B186E" w:rsidRDefault="009C72FC" w:rsidP="006206B3">
      <w:pPr>
        <w:pStyle w:val="FootnoteText"/>
        <w:jc w:val="both"/>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 xml:space="preserve">With the exception of circulatory system disease, </w:t>
      </w:r>
      <w:proofErr w:type="gramStart"/>
      <w:r w:rsidRPr="002B186E">
        <w:rPr>
          <w:rFonts w:ascii="Arial Narrow" w:hAnsi="Arial Narrow"/>
          <w:lang w:val="en-US"/>
        </w:rPr>
        <w:t>which appears to be decreasing, and congenital/chromosomal, diseases that appear relatively stable.</w:t>
      </w:r>
      <w:proofErr w:type="gramEnd"/>
      <w:r w:rsidRPr="002B186E">
        <w:rPr>
          <w:rFonts w:ascii="Arial Narrow" w:hAnsi="Arial Narrow"/>
          <w:lang w:val="en-US"/>
        </w:rPr>
        <w:t xml:space="preserve">  Linear forecasting was based upon known data (2008-2011) for each independently estimated future period (i.e., projected forecasts were not confounded by forecast data from a previous period in the estimation timeline). This is the case for all forecast estimates outlined in the current report.</w:t>
      </w:r>
    </w:p>
  </w:footnote>
  <w:footnote w:id="12">
    <w:p w14:paraId="3D19504D" w14:textId="77777777" w:rsidR="009C72FC" w:rsidRPr="002B186E" w:rsidRDefault="009C72FC" w:rsidP="004734BB">
      <w:pPr>
        <w:pStyle w:val="FootnoteText"/>
        <w:rPr>
          <w:rFonts w:ascii="Arial Narrow" w:hAnsi="Arial Narrow"/>
          <w:i/>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vertAlign w:val="superscript"/>
        </w:rPr>
        <w:tab/>
      </w:r>
      <w:r w:rsidRPr="002B186E">
        <w:rPr>
          <w:rFonts w:ascii="Arial Narrow" w:hAnsi="Arial Narrow"/>
        </w:rPr>
        <w:t xml:space="preserve">AHMAC, National Palliative Care Strategy, 2010 – </w:t>
      </w:r>
      <w:r w:rsidRPr="002B186E">
        <w:rPr>
          <w:rFonts w:ascii="Arial Narrow" w:hAnsi="Arial Narrow"/>
          <w:i/>
        </w:rPr>
        <w:t>Supporting Australians to Live Well at the End of Life</w:t>
      </w:r>
    </w:p>
  </w:footnote>
  <w:footnote w:id="13">
    <w:p w14:paraId="0F2A78C3" w14:textId="77777777" w:rsidR="009C72FC" w:rsidRPr="00507E0C" w:rsidRDefault="009C72FC" w:rsidP="00D5439D">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Pr>
          <w:lang w:val="en-US"/>
        </w:rPr>
        <w:tab/>
      </w:r>
      <w:proofErr w:type="gramStart"/>
      <w:r w:rsidRPr="00507E0C">
        <w:rPr>
          <w:rFonts w:ascii="Arial Narrow" w:hAnsi="Arial Narrow"/>
          <w:lang w:val="en-US"/>
        </w:rPr>
        <w:t>Department of Health and Ageing, Submission 96 (p.3) to the Australian Senate Community Affairs References Committee.</w:t>
      </w:r>
      <w:proofErr w:type="gramEnd"/>
      <w:r w:rsidRPr="00507E0C">
        <w:rPr>
          <w:rFonts w:ascii="Arial Narrow" w:hAnsi="Arial Narrow"/>
          <w:lang w:val="en-US"/>
        </w:rPr>
        <w:t xml:space="preserve"> Cited in: Commonwealth of Australia (2012) </w:t>
      </w:r>
      <w:r w:rsidRPr="00507E0C">
        <w:rPr>
          <w:rFonts w:ascii="Arial Narrow" w:hAnsi="Arial Narrow"/>
          <w:i/>
          <w:lang w:val="en-US"/>
        </w:rPr>
        <w:t>Palliative care in Australia</w:t>
      </w:r>
      <w:r w:rsidRPr="00507E0C">
        <w:rPr>
          <w:rFonts w:ascii="Arial Narrow" w:hAnsi="Arial Narrow"/>
          <w:lang w:val="en-US"/>
        </w:rPr>
        <w:t xml:space="preserve">, Canberra, </w:t>
      </w:r>
      <w:proofErr w:type="gramStart"/>
      <w:r w:rsidRPr="00507E0C">
        <w:rPr>
          <w:rFonts w:ascii="Arial Narrow" w:hAnsi="Arial Narrow"/>
          <w:lang w:val="en-US"/>
        </w:rPr>
        <w:t>Author</w:t>
      </w:r>
      <w:proofErr w:type="gramEnd"/>
      <w:r w:rsidRPr="00507E0C">
        <w:rPr>
          <w:rFonts w:ascii="Arial Narrow" w:hAnsi="Arial Narrow"/>
          <w:lang w:val="en-US"/>
        </w:rPr>
        <w:t>.</w:t>
      </w:r>
    </w:p>
  </w:footnote>
  <w:footnote w:id="14">
    <w:p w14:paraId="6B677BB2" w14:textId="77777777" w:rsidR="009C72FC" w:rsidRPr="00507E0C" w:rsidRDefault="009C72FC" w:rsidP="00D5439D">
      <w:pPr>
        <w:pStyle w:val="FootnoteText"/>
        <w:jc w:val="both"/>
        <w:rPr>
          <w:rFonts w:ascii="Arial Narrow" w:hAnsi="Arial Narrow"/>
          <w:i/>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spellStart"/>
      <w:r w:rsidRPr="00507E0C">
        <w:rPr>
          <w:rFonts w:ascii="Arial Narrow" w:hAnsi="Arial Narrow"/>
          <w:lang w:val="en-US"/>
        </w:rPr>
        <w:t>Rosenwax</w:t>
      </w:r>
      <w:proofErr w:type="spellEnd"/>
      <w:r w:rsidRPr="00507E0C">
        <w:rPr>
          <w:rFonts w:ascii="Arial Narrow" w:hAnsi="Arial Narrow"/>
          <w:lang w:val="en-US"/>
        </w:rPr>
        <w:t xml:space="preserve"> LK, McNamara, B, Blackmore, AM, and Holman CDJ. (2005). Estimating the size of a potential palliative care population. </w:t>
      </w:r>
      <w:r w:rsidRPr="00507E0C">
        <w:rPr>
          <w:rFonts w:ascii="Arial Narrow" w:hAnsi="Arial Narrow"/>
          <w:i/>
          <w:lang w:val="en-US"/>
        </w:rPr>
        <w:t>Palliative Medicine, 19, 556-562.</w:t>
      </w:r>
    </w:p>
  </w:footnote>
  <w:footnote w:id="15">
    <w:p w14:paraId="7C0157F7" w14:textId="77777777" w:rsidR="009C72FC" w:rsidRPr="009647F0" w:rsidRDefault="009C72FC" w:rsidP="006A58C9">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Note that the number of referrals can still be used as one indicator of specialist demand as all specialist assessments billed on the MBS must be referred from another medical practitioner, which is estimated in later sections of the current chapter.</w:t>
      </w:r>
    </w:p>
  </w:footnote>
  <w:footnote w:id="16">
    <w:p w14:paraId="5A98AC1E"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Ibid.</w:t>
      </w:r>
    </w:p>
  </w:footnote>
  <w:footnote w:id="17">
    <w:p w14:paraId="2E0FF1D0" w14:textId="77777777" w:rsidR="009C72FC" w:rsidRPr="00507E0C" w:rsidRDefault="009C72FC" w:rsidP="00800416">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t xml:space="preserve">McNamara, B, </w:t>
      </w:r>
      <w:proofErr w:type="spellStart"/>
      <w:r w:rsidRPr="00507E0C">
        <w:rPr>
          <w:rFonts w:ascii="Arial Narrow" w:hAnsi="Arial Narrow"/>
        </w:rPr>
        <w:t>Rosenwax</w:t>
      </w:r>
      <w:proofErr w:type="spellEnd"/>
      <w:r w:rsidRPr="00507E0C">
        <w:rPr>
          <w:rFonts w:ascii="Arial Narrow" w:hAnsi="Arial Narrow"/>
        </w:rPr>
        <w:t xml:space="preserve">, LK, Holman, CDJ. </w:t>
      </w:r>
      <w:proofErr w:type="gramStart"/>
      <w:r w:rsidRPr="00507E0C">
        <w:rPr>
          <w:rFonts w:ascii="Arial Narrow" w:hAnsi="Arial Narrow"/>
        </w:rPr>
        <w:t>(2006). A method for defining and estimating the palliative care population.</w:t>
      </w:r>
      <w:proofErr w:type="gramEnd"/>
      <w:r w:rsidRPr="00507E0C">
        <w:rPr>
          <w:rFonts w:ascii="Arial Narrow" w:hAnsi="Arial Narrow"/>
        </w:rPr>
        <w:t xml:space="preserve"> </w:t>
      </w:r>
      <w:proofErr w:type="gramStart"/>
      <w:r w:rsidRPr="00507E0C">
        <w:rPr>
          <w:rFonts w:ascii="Arial Narrow" w:hAnsi="Arial Narrow"/>
          <w:i/>
        </w:rPr>
        <w:t>Journal of pain and symptom management, 32, 1,</w:t>
      </w:r>
      <w:r w:rsidRPr="00507E0C">
        <w:rPr>
          <w:rFonts w:ascii="Arial Narrow" w:hAnsi="Arial Narrow"/>
        </w:rPr>
        <w:t xml:space="preserve"> pp. 5-12.</w:t>
      </w:r>
      <w:proofErr w:type="gramEnd"/>
    </w:p>
  </w:footnote>
  <w:footnote w:id="18">
    <w:p w14:paraId="34BC7628"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Family Medicine Research Institute (2013). </w:t>
      </w:r>
      <w:proofErr w:type="gramStart"/>
      <w:r w:rsidRPr="00507E0C">
        <w:rPr>
          <w:rFonts w:ascii="Arial Narrow" w:hAnsi="Arial Narrow"/>
          <w:lang w:val="en-US"/>
        </w:rPr>
        <w:t>Bettering the evaluation and care of health: Palliative care in general practice, April 2009 – March 2012.</w:t>
      </w:r>
      <w:proofErr w:type="gramEnd"/>
      <w:r w:rsidRPr="00507E0C">
        <w:rPr>
          <w:rFonts w:ascii="Arial Narrow" w:hAnsi="Arial Narrow"/>
          <w:lang w:val="en-US"/>
        </w:rPr>
        <w:t xml:space="preserve"> School of Public Health, </w:t>
      </w:r>
      <w:proofErr w:type="gramStart"/>
      <w:r w:rsidRPr="00507E0C">
        <w:rPr>
          <w:rFonts w:ascii="Arial Narrow" w:hAnsi="Arial Narrow"/>
          <w:lang w:val="en-US"/>
        </w:rPr>
        <w:t>The</w:t>
      </w:r>
      <w:proofErr w:type="gramEnd"/>
      <w:r w:rsidRPr="00507E0C">
        <w:rPr>
          <w:rFonts w:ascii="Arial Narrow" w:hAnsi="Arial Narrow"/>
          <w:lang w:val="en-US"/>
        </w:rPr>
        <w:t xml:space="preserve"> University of Sydney.</w:t>
      </w:r>
    </w:p>
  </w:footnote>
  <w:footnote w:id="19">
    <w:p w14:paraId="3D0D9BD9" w14:textId="77777777" w:rsidR="009C72FC" w:rsidRPr="00DA1AF1" w:rsidRDefault="009C72FC" w:rsidP="00DA1AF1">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Data previously reported by the AIHW (2012, 2013), indicate a lower number of patients presenting to general practice from the BEACH data collection (e.g. 108,325; 95%CI 74,226-141,669 for the 2010-11 financial year).  Following discussion with the Family Medicine Research Institute, it was considered that the definition of ‘palliative’ patients was too restrictive in these reports and would be more appropriately expanded to include the wider range of potentially ‘anticipated’ deaths seen by general practitioners (in accordance with recommended approaches in the peer-reviewed literature).  Accordingly, more comprehensive search criteria were agreed and data was extracted and is reported on this basis.</w:t>
      </w:r>
    </w:p>
  </w:footnote>
  <w:footnote w:id="20">
    <w:p w14:paraId="4E2099F7" w14:textId="77777777" w:rsidR="009C72FC" w:rsidRPr="00507E0C" w:rsidRDefault="009C72FC" w:rsidP="00800416">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This figure includes all phases of palliative care treatment delivered in an ‘ambulatory and community’ setting (classified as: stable, unstable, deteriorating, terminal, and bereaved) as presented in the six-monthly National Reports on Patient Outcomes in Palliative Care in Australia (PCOC), Available at: www.pcoc.org.au.</w:t>
      </w:r>
    </w:p>
  </w:footnote>
  <w:footnote w:id="21">
    <w:p w14:paraId="53BF732B" w14:textId="77777777" w:rsidR="009C72FC" w:rsidRPr="00507E0C" w:rsidRDefault="009C72FC" w:rsidP="00800416">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See for example: McKinley RK, Stokes T, </w:t>
      </w:r>
      <w:proofErr w:type="spellStart"/>
      <w:r w:rsidRPr="00507E0C">
        <w:rPr>
          <w:rFonts w:ascii="Arial Narrow" w:hAnsi="Arial Narrow"/>
          <w:lang w:val="en-US"/>
        </w:rPr>
        <w:t>Exley</w:t>
      </w:r>
      <w:proofErr w:type="spellEnd"/>
      <w:r w:rsidRPr="00507E0C">
        <w:rPr>
          <w:rFonts w:ascii="Arial Narrow" w:hAnsi="Arial Narrow"/>
          <w:lang w:val="en-US"/>
        </w:rPr>
        <w:t xml:space="preserve"> C, Field D. (2004). Care of people dying with malignant and cardiorespiratory disease in general practice. Br J Gen Pract.14:909–913.</w:t>
      </w:r>
    </w:p>
  </w:footnote>
  <w:footnote w:id="22">
    <w:p w14:paraId="72B21BAC" w14:textId="77777777" w:rsidR="009C72FC" w:rsidRPr="00507E0C" w:rsidRDefault="009C72FC" w:rsidP="00800416">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From a total average community period of palliative care totaling 49.9 days (PCOC Data reported by AIHW p.81: 22.6 days in ‘stable’ phase of treatment + 8.6 days in ‘unstable’ phase + 15.8 days in ‘deteriorating’ phase + 2.9 days in ‘terminal’ phase), divided by 5.75 days between visits (from 23 days divided by 4 visits on average in the community) = 8.68 average visits during treatment.  204,000 divided by 8.68 = 23,502 patients per annum. </w:t>
      </w:r>
    </w:p>
  </w:footnote>
  <w:footnote w:id="23">
    <w:p w14:paraId="35DC9AA2" w14:textId="77777777" w:rsidR="009C72FC" w:rsidRPr="00507E0C" w:rsidRDefault="009C72FC" w:rsidP="006206B3">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t>Recent data (2011-12) was made available from one jurisdiction (Victoria), which indicated that medical involvement occurred for only 0.5 percent of all community patient contacts (1,845/356,994).</w:t>
      </w:r>
    </w:p>
  </w:footnote>
  <w:footnote w:id="24">
    <w:p w14:paraId="6B250A25" w14:textId="77777777" w:rsidR="009C72FC" w:rsidRPr="00EE2040" w:rsidRDefault="009C72FC">
      <w:pPr>
        <w:pStyle w:val="FootnoteText"/>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Commonwealth of Australia, (2012).</w:t>
      </w:r>
      <w:proofErr w:type="gramEnd"/>
      <w:r w:rsidRPr="00507E0C">
        <w:rPr>
          <w:rFonts w:ascii="Arial Narrow" w:hAnsi="Arial Narrow"/>
          <w:lang w:val="en-US"/>
        </w:rPr>
        <w:t xml:space="preserve">  </w:t>
      </w:r>
      <w:proofErr w:type="gramStart"/>
      <w:r w:rsidRPr="00507E0C">
        <w:rPr>
          <w:rFonts w:ascii="Arial Narrow" w:hAnsi="Arial Narrow"/>
          <w:lang w:val="en-US"/>
        </w:rPr>
        <w:t>Recommendation 4.</w:t>
      </w:r>
      <w:proofErr w:type="gramEnd"/>
      <w:r w:rsidRPr="00507E0C">
        <w:rPr>
          <w:rFonts w:ascii="Arial Narrow" w:hAnsi="Arial Narrow"/>
          <w:lang w:val="en-US"/>
        </w:rPr>
        <w:t xml:space="preserve"> </w:t>
      </w:r>
      <w:proofErr w:type="gramStart"/>
      <w:r w:rsidRPr="00507E0C">
        <w:rPr>
          <w:rFonts w:ascii="Arial Narrow" w:hAnsi="Arial Narrow"/>
          <w:lang w:val="en-US"/>
        </w:rPr>
        <w:t>p.46.</w:t>
      </w:r>
      <w:proofErr w:type="gramEnd"/>
    </w:p>
  </w:footnote>
  <w:footnote w:id="25">
    <w:p w14:paraId="070330B8" w14:textId="77777777" w:rsidR="009C72FC" w:rsidRPr="00507E0C" w:rsidRDefault="009C72FC" w:rsidP="007D2C26">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Coding instructions now require any ‘</w:t>
      </w:r>
      <w:proofErr w:type="gramStart"/>
      <w:r w:rsidRPr="00507E0C">
        <w:rPr>
          <w:rFonts w:ascii="Arial Narrow" w:hAnsi="Arial Narrow"/>
          <w:lang w:val="en-US"/>
        </w:rPr>
        <w:t>diagnosis’</w:t>
      </w:r>
      <w:proofErr w:type="gramEnd"/>
      <w:r w:rsidRPr="00507E0C">
        <w:rPr>
          <w:rFonts w:ascii="Arial Narrow" w:hAnsi="Arial Narrow"/>
          <w:lang w:val="en-US"/>
        </w:rPr>
        <w:t xml:space="preserve"> of palliative care to be classified as an additional, rather than a primary diagnosis. See: AIHW (2012</w:t>
      </w:r>
      <w:proofErr w:type="gramStart"/>
      <w:r w:rsidRPr="00507E0C">
        <w:rPr>
          <w:rFonts w:ascii="Arial Narrow" w:hAnsi="Arial Narrow"/>
          <w:lang w:val="en-US"/>
        </w:rPr>
        <w:t>,2013</w:t>
      </w:r>
      <w:proofErr w:type="gramEnd"/>
      <w:r w:rsidRPr="00507E0C">
        <w:rPr>
          <w:rFonts w:ascii="Arial Narrow" w:hAnsi="Arial Narrow"/>
          <w:lang w:val="en-US"/>
        </w:rPr>
        <w:t xml:space="preserve">) Appendix A for a summary of the methodology used.  A fuller description of the methodology used is published in Australian Institute of Health and Welfare (2011). </w:t>
      </w:r>
      <w:r w:rsidRPr="00507E0C">
        <w:rPr>
          <w:rFonts w:ascii="Arial Narrow" w:hAnsi="Arial Narrow"/>
          <w:i/>
          <w:lang w:val="en-US"/>
        </w:rPr>
        <w:t>Identifying admitted patient palliative care hospitalizations: technical paper</w:t>
      </w:r>
      <w:r w:rsidRPr="00507E0C">
        <w:rPr>
          <w:rFonts w:ascii="Arial Narrow" w:hAnsi="Arial Narrow"/>
          <w:lang w:val="en-US"/>
        </w:rPr>
        <w:t xml:space="preserve">. Cat. No. </w:t>
      </w:r>
      <w:proofErr w:type="gramStart"/>
      <w:r w:rsidRPr="00507E0C">
        <w:rPr>
          <w:rFonts w:ascii="Arial Narrow" w:hAnsi="Arial Narrow"/>
          <w:lang w:val="en-US"/>
        </w:rPr>
        <w:t>HWI 113.</w:t>
      </w:r>
      <w:proofErr w:type="gramEnd"/>
      <w:r w:rsidRPr="00507E0C">
        <w:rPr>
          <w:rFonts w:ascii="Arial Narrow" w:hAnsi="Arial Narrow"/>
          <w:lang w:val="en-US"/>
        </w:rPr>
        <w:t xml:space="preserve"> Canberra. </w:t>
      </w:r>
      <w:proofErr w:type="gramStart"/>
      <w:r w:rsidRPr="00507E0C">
        <w:rPr>
          <w:rFonts w:ascii="Arial Narrow" w:hAnsi="Arial Narrow"/>
          <w:lang w:val="en-US"/>
        </w:rPr>
        <w:t>AIHW.</w:t>
      </w:r>
      <w:proofErr w:type="gramEnd"/>
    </w:p>
  </w:footnote>
  <w:footnote w:id="26">
    <w:p w14:paraId="2070BF50" w14:textId="77777777" w:rsidR="009C72FC" w:rsidRPr="00507E0C" w:rsidRDefault="009C72FC" w:rsidP="007D2C26">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Changes in care type during a hospital stay are known as ‘statistical separations’.</w:t>
      </w:r>
    </w:p>
  </w:footnote>
  <w:footnote w:id="27">
    <w:p w14:paraId="206829F2"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Palliative Care Queensland, Submission 130, p.3.</w:t>
      </w:r>
      <w:proofErr w:type="gramEnd"/>
      <w:r w:rsidRPr="00507E0C">
        <w:rPr>
          <w:rFonts w:ascii="Arial Narrow" w:hAnsi="Arial Narrow"/>
          <w:lang w:val="en-US"/>
        </w:rPr>
        <w:t xml:space="preserve"> </w:t>
      </w:r>
      <w:proofErr w:type="gramStart"/>
      <w:r w:rsidRPr="00507E0C">
        <w:rPr>
          <w:rFonts w:ascii="Arial Narrow" w:hAnsi="Arial Narrow"/>
          <w:lang w:val="en-US"/>
        </w:rPr>
        <w:t>to</w:t>
      </w:r>
      <w:proofErr w:type="gramEnd"/>
      <w:r w:rsidRPr="00507E0C">
        <w:rPr>
          <w:rFonts w:ascii="Arial Narrow" w:hAnsi="Arial Narrow"/>
          <w:lang w:val="en-US"/>
        </w:rPr>
        <w:t xml:space="preserve"> the Australian Senate Inquiry (Commonwealth of Australia, 2012).</w:t>
      </w:r>
    </w:p>
  </w:footnote>
  <w:footnote w:id="28">
    <w:p w14:paraId="33002BBF"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AIHW (2012, 2013).</w:t>
      </w:r>
      <w:proofErr w:type="gramEnd"/>
    </w:p>
  </w:footnote>
  <w:footnote w:id="29">
    <w:p w14:paraId="1FECEB69" w14:textId="77777777" w:rsidR="009C72FC" w:rsidRPr="00507E0C" w:rsidRDefault="009C72FC" w:rsidP="0002559B">
      <w:pPr>
        <w:pStyle w:val="FootnoteText"/>
        <w:jc w:val="both"/>
        <w:rPr>
          <w:rStyle w:val="FootnoteReference"/>
          <w:rFonts w:ascii="Arial Narrow" w:hAnsi="Arial Narrow"/>
        </w:rPr>
      </w:pPr>
      <w:r w:rsidRPr="00507E0C">
        <w:rPr>
          <w:rStyle w:val="FootnoteReference"/>
          <w:rFonts w:ascii="Arial Narrow" w:hAnsi="Arial Narrow"/>
        </w:rPr>
        <w:footnoteRef/>
      </w:r>
      <w:r w:rsidRPr="00507E0C">
        <w:rPr>
          <w:rStyle w:val="FootnoteReference"/>
          <w:rFonts w:ascii="Arial Narrow" w:hAnsi="Arial Narrow"/>
        </w:rPr>
        <w:t xml:space="preserve"> </w:t>
      </w:r>
      <w:r w:rsidRPr="00507E0C">
        <w:rPr>
          <w:rStyle w:val="FootnoteReference"/>
          <w:rFonts w:ascii="Arial Narrow" w:hAnsi="Arial Narrow"/>
        </w:rPr>
        <w:tab/>
      </w:r>
      <w:proofErr w:type="spellStart"/>
      <w:proofErr w:type="gramStart"/>
      <w:r w:rsidRPr="00507E0C">
        <w:rPr>
          <w:rFonts w:ascii="Arial Narrow" w:hAnsi="Arial Narrow"/>
          <w:lang w:val="en-US"/>
        </w:rPr>
        <w:t>Rosenwax</w:t>
      </w:r>
      <w:proofErr w:type="spellEnd"/>
      <w:r w:rsidRPr="00507E0C">
        <w:rPr>
          <w:rFonts w:ascii="Arial Narrow" w:hAnsi="Arial Narrow"/>
          <w:lang w:val="en-US"/>
        </w:rPr>
        <w:t xml:space="preserve">, LK, McNamara, BA, Murray, K, McCabe, RJ, </w:t>
      </w:r>
      <w:proofErr w:type="spellStart"/>
      <w:r w:rsidRPr="00507E0C">
        <w:rPr>
          <w:rFonts w:ascii="Arial Narrow" w:hAnsi="Arial Narrow"/>
          <w:lang w:val="en-US"/>
        </w:rPr>
        <w:t>Aoun</w:t>
      </w:r>
      <w:proofErr w:type="spellEnd"/>
      <w:r w:rsidRPr="00507E0C">
        <w:rPr>
          <w:rFonts w:ascii="Arial Narrow" w:hAnsi="Arial Narrow"/>
          <w:lang w:val="en-US"/>
        </w:rPr>
        <w:t xml:space="preserve">, SM, and </w:t>
      </w:r>
      <w:proofErr w:type="spellStart"/>
      <w:r w:rsidRPr="00507E0C">
        <w:rPr>
          <w:rFonts w:ascii="Arial Narrow" w:hAnsi="Arial Narrow"/>
          <w:lang w:val="en-US"/>
        </w:rPr>
        <w:t>Currow</w:t>
      </w:r>
      <w:proofErr w:type="spellEnd"/>
      <w:r w:rsidRPr="00507E0C">
        <w:rPr>
          <w:rFonts w:ascii="Arial Narrow" w:hAnsi="Arial Narrow"/>
          <w:lang w:val="en-US"/>
        </w:rPr>
        <w:t>, DC (2011).</w:t>
      </w:r>
      <w:proofErr w:type="gramEnd"/>
      <w:r w:rsidRPr="00507E0C">
        <w:rPr>
          <w:rFonts w:ascii="Arial Narrow" w:hAnsi="Arial Narrow"/>
          <w:lang w:val="en-US"/>
        </w:rPr>
        <w:t xml:space="preserve"> Hospital and emergency department use in the last year of life: a baseline for future modifications to end-of-life care. Med J </w:t>
      </w:r>
      <w:proofErr w:type="spellStart"/>
      <w:r w:rsidRPr="00507E0C">
        <w:rPr>
          <w:rFonts w:ascii="Arial Narrow" w:hAnsi="Arial Narrow"/>
          <w:lang w:val="en-US"/>
        </w:rPr>
        <w:t>Aust</w:t>
      </w:r>
      <w:proofErr w:type="spellEnd"/>
      <w:r w:rsidRPr="00507E0C">
        <w:rPr>
          <w:rFonts w:ascii="Arial Narrow" w:hAnsi="Arial Narrow"/>
          <w:lang w:val="en-US"/>
        </w:rPr>
        <w:t>; 194 (11): 570-573</w:t>
      </w:r>
    </w:p>
    <w:p w14:paraId="5F0FEE17" w14:textId="77777777" w:rsidR="009C72FC" w:rsidRPr="00814306" w:rsidRDefault="009C72FC" w:rsidP="007845BC">
      <w:pPr>
        <w:pStyle w:val="FootnoteText"/>
        <w:rPr>
          <w:lang w:val="en-US"/>
        </w:rPr>
      </w:pPr>
    </w:p>
  </w:footnote>
  <w:footnote w:id="30">
    <w:p w14:paraId="594453B1"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Commonwealth of Australia (2012).</w:t>
      </w:r>
      <w:proofErr w:type="gramEnd"/>
      <w:r w:rsidRPr="00507E0C">
        <w:rPr>
          <w:rFonts w:ascii="Arial Narrow" w:hAnsi="Arial Narrow"/>
          <w:lang w:val="en-US"/>
        </w:rPr>
        <w:t xml:space="preserve"> </w:t>
      </w:r>
      <w:proofErr w:type="gramStart"/>
      <w:r w:rsidRPr="00507E0C">
        <w:rPr>
          <w:rFonts w:ascii="Arial Narrow" w:hAnsi="Arial Narrow"/>
          <w:lang w:val="en-US"/>
        </w:rPr>
        <w:t>p.53.</w:t>
      </w:r>
      <w:proofErr w:type="gramEnd"/>
    </w:p>
  </w:footnote>
  <w:footnote w:id="31">
    <w:p w14:paraId="2D4B88CA" w14:textId="77777777" w:rsidR="009C72FC" w:rsidRPr="00511163" w:rsidRDefault="009C72FC">
      <w:pPr>
        <w:pStyle w:val="FootnoteText"/>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Ibid. pp. 49-50 and 101-104.</w:t>
      </w:r>
    </w:p>
  </w:footnote>
  <w:footnote w:id="32">
    <w:p w14:paraId="45CB7EE8"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Reproduced directly from AIHW (2012) p.25.</w:t>
      </w:r>
      <w:proofErr w:type="gramEnd"/>
    </w:p>
  </w:footnote>
  <w:footnote w:id="33">
    <w:p w14:paraId="2AD055BC"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Ibid. p.21.</w:t>
      </w:r>
      <w:proofErr w:type="gramEnd"/>
    </w:p>
  </w:footnote>
  <w:footnote w:id="34">
    <w:p w14:paraId="1575E3C4" w14:textId="77777777" w:rsidR="009C72FC" w:rsidRPr="00E736BB" w:rsidRDefault="009C72FC" w:rsidP="0002559B">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The precise contribution of any of these (or other) proposed predictors of increased supply are not able to be determined from currently available data.</w:t>
      </w:r>
    </w:p>
  </w:footnote>
  <w:footnote w:id="35">
    <w:p w14:paraId="66AFA134" w14:textId="77777777" w:rsidR="009C72FC" w:rsidRPr="00507E0C" w:rsidRDefault="009C72FC" w:rsidP="00814306">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Thus, those who self-refer to community palliative care services (without prior general practice consultation) are excluded from the estimation.</w:t>
      </w:r>
    </w:p>
  </w:footnote>
  <w:footnote w:id="36">
    <w:p w14:paraId="7AC84145" w14:textId="77777777" w:rsidR="009C72FC" w:rsidRPr="00507E0C" w:rsidRDefault="009C72FC" w:rsidP="00814306">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These issues are presented and discussed in the subsequent chapter of this report.</w:t>
      </w:r>
    </w:p>
  </w:footnote>
  <w:footnote w:id="37">
    <w:p w14:paraId="6F7CFE28" w14:textId="77777777" w:rsidR="009C72FC" w:rsidRPr="007B3C22" w:rsidRDefault="009C72FC" w:rsidP="007B3C22">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Based upon examination of overlapping prediction intervals.</w:t>
      </w:r>
      <w:proofErr w:type="gramEnd"/>
      <w:r w:rsidRPr="00507E0C">
        <w:rPr>
          <w:rFonts w:ascii="Arial Narrow" w:hAnsi="Arial Narrow"/>
          <w:lang w:val="en-US"/>
        </w:rPr>
        <w:t xml:space="preserve"> (NB: Confidence intervals relate to probable variations surrounding point estimates of data such as means/averages, whereas prediction intervals relate to the variation surrounding estimates derived from a prediction equation).</w:t>
      </w:r>
    </w:p>
  </w:footnote>
  <w:footnote w:id="38">
    <w:p w14:paraId="0A129A7F" w14:textId="4A02D205" w:rsidR="009C72FC" w:rsidRPr="00507E0C" w:rsidRDefault="009C72FC">
      <w:pPr>
        <w:pStyle w:val="FootnoteText"/>
        <w:rPr>
          <w:rFonts w:ascii="Arial Narrow" w:hAnsi="Arial Narrow"/>
        </w:rPr>
      </w:pPr>
      <w:r w:rsidRPr="00507E0C">
        <w:rPr>
          <w:rFonts w:ascii="Arial Narrow" w:hAnsi="Arial Narrow"/>
        </w:rPr>
        <w:footnoteRef/>
      </w:r>
      <w:r w:rsidRPr="00507E0C">
        <w:rPr>
          <w:rFonts w:ascii="Arial Narrow" w:hAnsi="Arial Narrow"/>
          <w:vertAlign w:val="superscript"/>
        </w:rPr>
        <w:t>.</w:t>
      </w:r>
      <w:r w:rsidRPr="00507E0C">
        <w:rPr>
          <w:rFonts w:ascii="Arial Narrow" w:hAnsi="Arial Narrow"/>
        </w:rPr>
        <w:tab/>
        <w:t xml:space="preserve">BEACH – op </w:t>
      </w:r>
      <w:proofErr w:type="spellStart"/>
      <w:r w:rsidRPr="00507E0C">
        <w:rPr>
          <w:rFonts w:ascii="Arial Narrow" w:hAnsi="Arial Narrow"/>
        </w:rPr>
        <w:t>cit</w:t>
      </w:r>
      <w:proofErr w:type="spellEnd"/>
    </w:p>
  </w:footnote>
  <w:footnote w:id="39">
    <w:p w14:paraId="292F3BBE" w14:textId="2E4EEA0A" w:rsidR="009C72FC" w:rsidRPr="00507E0C" w:rsidRDefault="009C72FC" w:rsidP="006206B3">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Pr>
          <w:rFonts w:ascii="Arial Narrow" w:hAnsi="Arial Narrow"/>
          <w:lang w:val="en-US"/>
        </w:rPr>
        <w:tab/>
        <w:t>MBS item 3005,110, 132 or 3018</w:t>
      </w:r>
    </w:p>
  </w:footnote>
  <w:footnote w:id="40">
    <w:p w14:paraId="1413C191" w14:textId="5882BBBB"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Presented in further detail in Chapter</w:t>
      </w:r>
      <w:r w:rsidRPr="00507E0C">
        <w:rPr>
          <w:rFonts w:ascii="Arial Narrow" w:hAnsi="Arial Narrow"/>
          <w:lang w:val="en-US"/>
        </w:rPr>
        <w:fldChar w:fldCharType="begin"/>
      </w:r>
      <w:r w:rsidRPr="00507E0C">
        <w:rPr>
          <w:rFonts w:ascii="Arial Narrow" w:hAnsi="Arial Narrow"/>
          <w:lang w:val="en-US"/>
        </w:rPr>
        <w:instrText xml:space="preserve"> REF _Ref248038783 \n \h </w:instrText>
      </w:r>
      <w:r>
        <w:rPr>
          <w:rFonts w:ascii="Arial Narrow" w:hAnsi="Arial Narrow"/>
          <w:lang w:val="en-US"/>
        </w:rPr>
        <w:instrText xml:space="preserve"> \* MERGEFORMAT </w:instrText>
      </w:r>
      <w:r w:rsidRPr="00507E0C">
        <w:rPr>
          <w:rFonts w:ascii="Arial Narrow" w:hAnsi="Arial Narrow"/>
          <w:lang w:val="en-US"/>
        </w:rPr>
      </w:r>
      <w:r w:rsidRPr="00507E0C">
        <w:rPr>
          <w:rFonts w:ascii="Arial Narrow" w:hAnsi="Arial Narrow"/>
          <w:lang w:val="en-US"/>
        </w:rPr>
        <w:fldChar w:fldCharType="separate"/>
      </w:r>
      <w:r>
        <w:rPr>
          <w:rFonts w:ascii="Arial Narrow" w:hAnsi="Arial Narrow"/>
          <w:lang w:val="en-US"/>
        </w:rPr>
        <w:t xml:space="preserve"> 4</w:t>
      </w:r>
      <w:r w:rsidRPr="00507E0C">
        <w:rPr>
          <w:rFonts w:ascii="Arial Narrow" w:hAnsi="Arial Narrow"/>
          <w:lang w:val="en-US"/>
        </w:rPr>
        <w:fldChar w:fldCharType="end"/>
      </w:r>
      <w:r w:rsidRPr="00507E0C">
        <w:rPr>
          <w:rFonts w:ascii="Arial Narrow" w:hAnsi="Arial Narrow"/>
          <w:lang w:val="en-US"/>
        </w:rPr>
        <w:t xml:space="preserve"> of this report.</w:t>
      </w:r>
      <w:proofErr w:type="gramEnd"/>
    </w:p>
  </w:footnote>
  <w:footnote w:id="41">
    <w:p w14:paraId="54F58D79" w14:textId="37F563F4" w:rsidR="009C72FC" w:rsidRPr="00507E0C" w:rsidRDefault="009C72FC" w:rsidP="00900CFA">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Based upon current membership data provided from the Chapter of Palliative Medicine excluding retired, semi-retired, resigned or suspended fellows (Royal College of Physicians), and a fellowship to FTE ratio of 57.8% previously reported by the Chapter to the Australian Medical Council (180 Australian Fellows: 104 FTE positions). </w:t>
      </w:r>
      <w:proofErr w:type="gramStart"/>
      <w:r w:rsidRPr="00507E0C">
        <w:rPr>
          <w:rFonts w:ascii="Arial Narrow" w:hAnsi="Arial Narrow"/>
          <w:lang w:val="en-US"/>
        </w:rPr>
        <w:t>Australian Medical Council.</w:t>
      </w:r>
      <w:proofErr w:type="gramEnd"/>
      <w:r w:rsidRPr="00507E0C">
        <w:rPr>
          <w:rFonts w:ascii="Arial Narrow" w:hAnsi="Arial Narrow"/>
          <w:lang w:val="en-US"/>
        </w:rPr>
        <w:t xml:space="preserve"> (2005). </w:t>
      </w:r>
      <w:r w:rsidRPr="00507E0C">
        <w:rPr>
          <w:rFonts w:ascii="Arial Narrow" w:hAnsi="Arial Narrow"/>
          <w:i/>
          <w:lang w:val="en-US"/>
        </w:rPr>
        <w:t>Assessment of palliative medicine as a medical specialty: Recognition of medical specialties advisory committee Report.</w:t>
      </w:r>
      <w:r w:rsidRPr="00507E0C">
        <w:rPr>
          <w:rFonts w:ascii="Arial Narrow" w:hAnsi="Arial Narrow"/>
          <w:lang w:val="en-US"/>
        </w:rPr>
        <w:t xml:space="preserve"> </w:t>
      </w:r>
      <w:proofErr w:type="gramStart"/>
      <w:r w:rsidRPr="00507E0C">
        <w:rPr>
          <w:rFonts w:ascii="Arial Narrow" w:hAnsi="Arial Narrow"/>
          <w:lang w:val="en-US"/>
        </w:rPr>
        <w:t>ACT; Kingston, AMC Inc.</w:t>
      </w:r>
      <w:proofErr w:type="gramEnd"/>
      <w:r w:rsidRPr="00507E0C">
        <w:rPr>
          <w:rFonts w:ascii="Arial Narrow" w:hAnsi="Arial Narrow"/>
          <w:lang w:val="en-US"/>
        </w:rPr>
        <w:t xml:space="preserve">  </w:t>
      </w:r>
      <w:proofErr w:type="gramStart"/>
      <w:r w:rsidRPr="00507E0C">
        <w:rPr>
          <w:rFonts w:ascii="Arial Narrow" w:hAnsi="Arial Narrow"/>
          <w:lang w:val="en-US"/>
        </w:rPr>
        <w:t>p.28.</w:t>
      </w:r>
      <w:proofErr w:type="gramEnd"/>
    </w:p>
  </w:footnote>
  <w:footnote w:id="42">
    <w:p w14:paraId="6B4144D4"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Derived from 15,932 initial attendance items x 1 </w:t>
      </w:r>
      <w:proofErr w:type="gramStart"/>
      <w:r w:rsidRPr="00507E0C">
        <w:rPr>
          <w:rFonts w:ascii="Arial Narrow" w:hAnsi="Arial Narrow"/>
          <w:lang w:val="en-US"/>
        </w:rPr>
        <w:t>hour,</w:t>
      </w:r>
      <w:proofErr w:type="gramEnd"/>
      <w:r w:rsidRPr="00507E0C">
        <w:rPr>
          <w:rFonts w:ascii="Arial Narrow" w:hAnsi="Arial Narrow"/>
          <w:lang w:val="en-US"/>
        </w:rPr>
        <w:t xml:space="preserve"> and 60,574 subsequent attendance items x 0.5 hours.</w:t>
      </w:r>
    </w:p>
  </w:footnote>
  <w:footnote w:id="43">
    <w:p w14:paraId="41FA6C1B"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46,219 divided by 206,388.</w:t>
      </w:r>
    </w:p>
  </w:footnote>
  <w:footnote w:id="44">
    <w:p w14:paraId="3F1221A6"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r>
      <w:proofErr w:type="gramStart"/>
      <w:r w:rsidRPr="00507E0C">
        <w:rPr>
          <w:rFonts w:ascii="Arial Narrow" w:hAnsi="Arial Narrow"/>
        </w:rPr>
        <w:t>Australian Medical Council (2005).</w:t>
      </w:r>
      <w:proofErr w:type="gramEnd"/>
      <w:r w:rsidRPr="00507E0C">
        <w:rPr>
          <w:rFonts w:ascii="Arial Narrow" w:hAnsi="Arial Narrow"/>
        </w:rPr>
        <w:t xml:space="preserve"> </w:t>
      </w:r>
      <w:proofErr w:type="gramStart"/>
      <w:r w:rsidRPr="00507E0C">
        <w:rPr>
          <w:rFonts w:ascii="Arial Narrow" w:hAnsi="Arial Narrow"/>
        </w:rPr>
        <w:t>p.15</w:t>
      </w:r>
      <w:proofErr w:type="gramEnd"/>
      <w:r w:rsidRPr="00507E0C">
        <w:rPr>
          <w:rFonts w:ascii="Arial Narrow" w:hAnsi="Arial Narrow"/>
        </w:rPr>
        <w:t xml:space="preserve">. Makin, W, Finlay, IG, Amesbury, B, and </w:t>
      </w:r>
      <w:proofErr w:type="spellStart"/>
      <w:r w:rsidRPr="00507E0C">
        <w:rPr>
          <w:rFonts w:ascii="Arial Narrow" w:hAnsi="Arial Narrow"/>
        </w:rPr>
        <w:t>Naysmith</w:t>
      </w:r>
      <w:proofErr w:type="spellEnd"/>
      <w:r w:rsidRPr="00507E0C">
        <w:rPr>
          <w:rFonts w:ascii="Arial Narrow" w:hAnsi="Arial Narrow"/>
        </w:rPr>
        <w:t xml:space="preserve">, A. (2000). What do palliative medicine specialists do? </w:t>
      </w:r>
      <w:r w:rsidRPr="00507E0C">
        <w:rPr>
          <w:rFonts w:ascii="Arial Narrow" w:hAnsi="Arial Narrow"/>
          <w:i/>
        </w:rPr>
        <w:t>Palliative Medicine, 14,</w:t>
      </w:r>
      <w:r w:rsidRPr="00507E0C">
        <w:rPr>
          <w:rFonts w:ascii="Arial Narrow" w:hAnsi="Arial Narrow"/>
        </w:rPr>
        <w:t xml:space="preserve"> 405-409.</w:t>
      </w:r>
    </w:p>
  </w:footnote>
  <w:footnote w:id="45">
    <w:p w14:paraId="35A1AEFA" w14:textId="77777777" w:rsidR="009C72FC" w:rsidRPr="004B7306" w:rsidRDefault="009C72FC" w:rsidP="0002559B">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From ((15,932 private MBS initial attendances x 0.7761 percent of residual FTE) divided by 0.2239 FTE in the private sector) x 0.70 percent of time spent in clinical practice. (Note: multiple decimal places have been rounded in the cross multiplication for illustrative purposes in the method of calculation.)</w:t>
      </w:r>
    </w:p>
  </w:footnote>
  <w:footnote w:id="46">
    <w:p w14:paraId="16C28636" w14:textId="77777777" w:rsidR="009C72FC" w:rsidRPr="00507E0C" w:rsidRDefault="009C72FC" w:rsidP="001D06A9">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For example, whilst conceptually appealing from a measurement perspective, the method of obtaining utility weights (e.g., time trade off, standard gamble or other approaches) rarely occurs in a context where individual ‘preferences’ for living under a range of clinical scenarios are determined by individuals who have personally experienced the full range circumstances they are asked to make judgments about. Moreover, individual preferences for continuing to survive under a particular set of circumstances can readily change (either for or against historical personal judgments) when individuals actually experience a situation that they have previously only hypothetically contemplated. Randomized, longitudinal methods to track variations in preference for living under dynamically changing circumstances are required (across a range of individual disease states) before the value of any utility based measures can be appropriately understood and considered reliable and valid for incorporation into routine palliative care outcome research.</w:t>
      </w:r>
    </w:p>
  </w:footnote>
  <w:footnote w:id="47">
    <w:p w14:paraId="3FA393D8" w14:textId="77777777" w:rsidR="009C72FC" w:rsidRPr="00507E0C" w:rsidRDefault="009C72FC" w:rsidP="00E06FEE">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Smith, S, Brick, A, O’Hara, S, and Normand, C. (2013).</w:t>
      </w:r>
      <w:proofErr w:type="gramEnd"/>
      <w:r w:rsidRPr="00507E0C">
        <w:rPr>
          <w:rFonts w:ascii="Arial Narrow" w:hAnsi="Arial Narrow"/>
          <w:lang w:val="en-US"/>
        </w:rPr>
        <w:t xml:space="preserve"> Evidence on the cost and cost-effectiveness of palliative care: a literature review. </w:t>
      </w:r>
      <w:proofErr w:type="gramStart"/>
      <w:r w:rsidRPr="00507E0C">
        <w:rPr>
          <w:rFonts w:ascii="Arial Narrow" w:hAnsi="Arial Narrow"/>
          <w:i/>
          <w:lang w:val="en-US"/>
        </w:rPr>
        <w:t>Palliative Medicine, 0,</w:t>
      </w:r>
      <w:r w:rsidRPr="00507E0C">
        <w:rPr>
          <w:rFonts w:ascii="Arial Narrow" w:hAnsi="Arial Narrow"/>
          <w:lang w:val="en-US"/>
        </w:rPr>
        <w:t xml:space="preserve"> pp.1-21.</w:t>
      </w:r>
      <w:proofErr w:type="gramEnd"/>
    </w:p>
  </w:footnote>
  <w:footnote w:id="48">
    <w:p w14:paraId="016B913A" w14:textId="77777777" w:rsidR="009C72FC" w:rsidRPr="00507E0C" w:rsidRDefault="009C72FC" w:rsidP="00E06FEE">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Carroll, D. (1998). </w:t>
      </w:r>
      <w:proofErr w:type="gramStart"/>
      <w:r w:rsidRPr="00507E0C">
        <w:rPr>
          <w:rFonts w:ascii="Arial Narrow" w:hAnsi="Arial Narrow"/>
          <w:lang w:val="en-US"/>
        </w:rPr>
        <w:t>An audit of place of death of cancer patients in a semi-rural Scottish practice.</w:t>
      </w:r>
      <w:proofErr w:type="gramEnd"/>
      <w:r w:rsidRPr="00507E0C">
        <w:rPr>
          <w:rFonts w:ascii="Arial Narrow" w:hAnsi="Arial Narrow"/>
          <w:lang w:val="en-US"/>
        </w:rPr>
        <w:t xml:space="preserve"> </w:t>
      </w:r>
      <w:r w:rsidRPr="00507E0C">
        <w:rPr>
          <w:rFonts w:ascii="Arial Narrow" w:hAnsi="Arial Narrow"/>
          <w:i/>
          <w:lang w:val="en-US"/>
        </w:rPr>
        <w:t xml:space="preserve"> </w:t>
      </w:r>
      <w:proofErr w:type="gramStart"/>
      <w:r w:rsidRPr="00507E0C">
        <w:rPr>
          <w:rFonts w:ascii="Arial Narrow" w:hAnsi="Arial Narrow"/>
          <w:i/>
          <w:lang w:val="en-US"/>
        </w:rPr>
        <w:t>Palliative Medicine, 12,</w:t>
      </w:r>
      <w:r w:rsidRPr="00507E0C">
        <w:rPr>
          <w:rFonts w:ascii="Arial Narrow" w:hAnsi="Arial Narrow"/>
          <w:lang w:val="en-US"/>
        </w:rPr>
        <w:t xml:space="preserve"> pp.51-53.</w:t>
      </w:r>
      <w:proofErr w:type="gramEnd"/>
    </w:p>
  </w:footnote>
  <w:footnote w:id="49">
    <w:p w14:paraId="16AF03B0" w14:textId="77777777" w:rsidR="009C72FC" w:rsidRPr="00507E0C" w:rsidRDefault="009C72FC" w:rsidP="00E06FEE">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r>
      <w:proofErr w:type="spellStart"/>
      <w:proofErr w:type="gramStart"/>
      <w:r w:rsidRPr="00507E0C">
        <w:rPr>
          <w:rFonts w:ascii="Arial Narrow" w:hAnsi="Arial Narrow"/>
          <w:lang w:val="en-US"/>
        </w:rPr>
        <w:t>Tiernan</w:t>
      </w:r>
      <w:proofErr w:type="spellEnd"/>
      <w:r w:rsidRPr="00507E0C">
        <w:rPr>
          <w:rFonts w:ascii="Arial Narrow" w:hAnsi="Arial Narrow"/>
          <w:lang w:val="en-US"/>
        </w:rPr>
        <w:t xml:space="preserve">, E, Connor, M, Kearney, P, and </w:t>
      </w:r>
      <w:proofErr w:type="spellStart"/>
      <w:r w:rsidRPr="00507E0C">
        <w:rPr>
          <w:rFonts w:ascii="Arial Narrow" w:hAnsi="Arial Narrow"/>
          <w:lang w:val="en-US"/>
        </w:rPr>
        <w:t>O’Siorain</w:t>
      </w:r>
      <w:proofErr w:type="spellEnd"/>
      <w:r w:rsidRPr="00507E0C">
        <w:rPr>
          <w:rFonts w:ascii="Arial Narrow" w:hAnsi="Arial Narrow"/>
          <w:lang w:val="en-US"/>
        </w:rPr>
        <w:t>, L. (2002).</w:t>
      </w:r>
      <w:proofErr w:type="gramEnd"/>
      <w:r w:rsidRPr="00507E0C">
        <w:rPr>
          <w:rFonts w:ascii="Arial Narrow" w:hAnsi="Arial Narrow"/>
          <w:lang w:val="en-US"/>
        </w:rPr>
        <w:t xml:space="preserve"> A prospective study of preferred versus actual place of death among patients referred to a palliative care home-care service. </w:t>
      </w:r>
      <w:proofErr w:type="gramStart"/>
      <w:r w:rsidRPr="00507E0C">
        <w:rPr>
          <w:rFonts w:ascii="Arial Narrow" w:hAnsi="Arial Narrow"/>
          <w:i/>
          <w:lang w:val="en-US"/>
        </w:rPr>
        <w:t>Irish Medical Journal, 95 (8),</w:t>
      </w:r>
      <w:r w:rsidRPr="00507E0C">
        <w:rPr>
          <w:rFonts w:ascii="Arial Narrow" w:hAnsi="Arial Narrow"/>
          <w:lang w:val="en-US"/>
        </w:rPr>
        <w:t xml:space="preserve"> pp.232-235.</w:t>
      </w:r>
      <w:proofErr w:type="gramEnd"/>
    </w:p>
  </w:footnote>
  <w:footnote w:id="50">
    <w:p w14:paraId="532D3175" w14:textId="77777777" w:rsidR="009C72FC" w:rsidRPr="00507E0C" w:rsidRDefault="009C72FC" w:rsidP="00E06FEE">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r>
      <w:proofErr w:type="gramStart"/>
      <w:r w:rsidRPr="00507E0C">
        <w:rPr>
          <w:rFonts w:ascii="Arial Narrow" w:hAnsi="Arial Narrow"/>
        </w:rPr>
        <w:t>Tang, S, and McCorkle, R. (2003).</w:t>
      </w:r>
      <w:proofErr w:type="gramEnd"/>
      <w:r w:rsidRPr="00507E0C">
        <w:rPr>
          <w:rFonts w:ascii="Arial Narrow" w:hAnsi="Arial Narrow"/>
        </w:rPr>
        <w:t xml:space="preserve"> </w:t>
      </w:r>
      <w:proofErr w:type="gramStart"/>
      <w:r w:rsidRPr="00507E0C">
        <w:rPr>
          <w:rFonts w:ascii="Arial Narrow" w:hAnsi="Arial Narrow"/>
        </w:rPr>
        <w:t>Determinants of congruence between the preferred and actual place of death for terminally ill cancer patients.</w:t>
      </w:r>
      <w:proofErr w:type="gramEnd"/>
      <w:r w:rsidRPr="00507E0C">
        <w:rPr>
          <w:rFonts w:ascii="Arial Narrow" w:hAnsi="Arial Narrow"/>
        </w:rPr>
        <w:t xml:space="preserve"> </w:t>
      </w:r>
      <w:proofErr w:type="gramStart"/>
      <w:r w:rsidRPr="00507E0C">
        <w:rPr>
          <w:rFonts w:ascii="Arial Narrow" w:hAnsi="Arial Narrow"/>
          <w:i/>
        </w:rPr>
        <w:t xml:space="preserve">Journal of Palliative Care, </w:t>
      </w:r>
      <w:r w:rsidRPr="00507E0C">
        <w:rPr>
          <w:rFonts w:ascii="Arial Narrow" w:hAnsi="Arial Narrow"/>
        </w:rPr>
        <w:t>19 (4), pp.230-237.</w:t>
      </w:r>
      <w:proofErr w:type="gramEnd"/>
    </w:p>
  </w:footnote>
  <w:footnote w:id="51">
    <w:p w14:paraId="07CF3587"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 xml:space="preserve">Commonwealth of Australia (2012); </w:t>
      </w:r>
      <w:proofErr w:type="spellStart"/>
      <w:r w:rsidRPr="00507E0C">
        <w:rPr>
          <w:rFonts w:ascii="Arial Narrow" w:hAnsi="Arial Narrow"/>
          <w:lang w:val="en-US"/>
        </w:rPr>
        <w:t>Carrol</w:t>
      </w:r>
      <w:proofErr w:type="spellEnd"/>
      <w:r w:rsidRPr="00507E0C">
        <w:rPr>
          <w:rFonts w:ascii="Arial Narrow" w:hAnsi="Arial Narrow"/>
          <w:lang w:val="en-US"/>
        </w:rPr>
        <w:t xml:space="preserve"> (1998); </w:t>
      </w:r>
      <w:proofErr w:type="spellStart"/>
      <w:r w:rsidRPr="00507E0C">
        <w:rPr>
          <w:rFonts w:ascii="Arial Narrow" w:hAnsi="Arial Narrow"/>
          <w:lang w:val="en-US"/>
        </w:rPr>
        <w:t>Tiernan</w:t>
      </w:r>
      <w:proofErr w:type="spellEnd"/>
      <w:r w:rsidRPr="00507E0C">
        <w:rPr>
          <w:rFonts w:ascii="Arial Narrow" w:hAnsi="Arial Narrow"/>
          <w:lang w:val="en-US"/>
        </w:rPr>
        <w:t xml:space="preserve"> et al (2002); Tang &amp; McCorkle (2003).</w:t>
      </w:r>
      <w:proofErr w:type="gramEnd"/>
    </w:p>
  </w:footnote>
  <w:footnote w:id="52">
    <w:p w14:paraId="334539EF"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AIHW (2012) applying the rate of increase in palliative patient deaths in hospital over 10 years from 23.3% in 2000-01 to 37.3% in 2009-10 (an average increase of 1.4%) to the estimated percentage in 20120-13 = 41.5 (42% rounded).</w:t>
      </w:r>
    </w:p>
  </w:footnote>
  <w:footnote w:id="53">
    <w:p w14:paraId="01CC6104" w14:textId="77777777" w:rsidR="009C72FC" w:rsidRPr="00B61D58" w:rsidRDefault="009C72FC" w:rsidP="00B61D58">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From National Report on Patient Outcomes in Palliative Care in Australia: July – December 2012, pp. 36-37. Available at: www.pcoc.org.au.</w:t>
      </w:r>
    </w:p>
  </w:footnote>
  <w:footnote w:id="54">
    <w:p w14:paraId="18B28C1B"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Ibid. p.33.</w:t>
      </w:r>
      <w:proofErr w:type="gramEnd"/>
    </w:p>
  </w:footnote>
  <w:footnote w:id="55">
    <w:p w14:paraId="14B59D63"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 xml:space="preserve">Outlined in </w:t>
      </w:r>
      <w:r w:rsidRPr="00507E0C">
        <w:rPr>
          <w:rFonts w:ascii="Arial Narrow" w:hAnsi="Arial Narrow"/>
          <w:lang w:val="en-US"/>
        </w:rPr>
        <w:fldChar w:fldCharType="begin"/>
      </w:r>
      <w:r w:rsidRPr="00507E0C">
        <w:rPr>
          <w:rFonts w:ascii="Arial Narrow" w:hAnsi="Arial Narrow"/>
          <w:lang w:val="en-US"/>
        </w:rPr>
        <w:instrText xml:space="preserve"> REF _Ref247508791 \h </w:instrText>
      </w:r>
      <w:r w:rsidRPr="00507E0C">
        <w:rPr>
          <w:rFonts w:ascii="Arial Narrow" w:hAnsi="Arial Narrow"/>
          <w:lang w:val="en-US"/>
        </w:rPr>
      </w:r>
      <w:r w:rsidRPr="00507E0C">
        <w:rPr>
          <w:rFonts w:ascii="Arial Narrow" w:hAnsi="Arial Narrow"/>
          <w:lang w:val="en-US"/>
        </w:rPr>
        <w:fldChar w:fldCharType="separate"/>
      </w:r>
      <w:r>
        <w:t xml:space="preserve">Table </w:t>
      </w:r>
      <w:r>
        <w:rPr>
          <w:noProof/>
        </w:rPr>
        <w:t>2</w:t>
      </w:r>
      <w:r>
        <w:noBreakHyphen/>
      </w:r>
      <w:r>
        <w:rPr>
          <w:noProof/>
        </w:rPr>
        <w:t>2</w:t>
      </w:r>
      <w:r w:rsidRPr="00507E0C">
        <w:rPr>
          <w:rFonts w:ascii="Arial Narrow" w:hAnsi="Arial Narrow"/>
          <w:lang w:val="en-US"/>
        </w:rPr>
        <w:fldChar w:fldCharType="end"/>
      </w:r>
      <w:r w:rsidRPr="00507E0C">
        <w:rPr>
          <w:rFonts w:ascii="Arial Narrow" w:hAnsi="Arial Narrow"/>
          <w:lang w:val="en-US"/>
        </w:rPr>
        <w:t>.</w:t>
      </w:r>
      <w:proofErr w:type="gramEnd"/>
    </w:p>
  </w:footnote>
  <w:footnote w:id="56">
    <w:p w14:paraId="1663A493" w14:textId="77777777" w:rsidR="009C72FC" w:rsidRPr="00507E0C" w:rsidRDefault="009C72FC" w:rsidP="00155225">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Commonwealth of Australia (2012) p.67 for estimates of state based palliative care beds; AMC (2005)  which estimates the full cost of community services to be $210 per day p.41 (indexed to 2012/13 at 28.8% increase from 75.8 in June 2005 to 104.6 in December 2012 = $269 per day). </w:t>
      </w:r>
      <w:proofErr w:type="gramStart"/>
      <w:r w:rsidRPr="00507E0C">
        <w:rPr>
          <w:rFonts w:ascii="Arial Narrow" w:hAnsi="Arial Narrow"/>
          <w:lang w:val="en-US"/>
        </w:rPr>
        <w:t>Health indexation according to Australian Bureau of Statistics (2013) Catalogue 6401.0, Consumer Price Index, Australia.</w:t>
      </w:r>
      <w:proofErr w:type="gramEnd"/>
    </w:p>
  </w:footnote>
  <w:footnote w:id="57">
    <w:p w14:paraId="07AD6B6E" w14:textId="77777777" w:rsidR="009C72FC" w:rsidRPr="00507E0C" w:rsidRDefault="009C72FC" w:rsidP="0002559B">
      <w:pPr>
        <w:pStyle w:val="FootnoteText"/>
        <w:jc w:val="both"/>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 xml:space="preserve">McNamara, B, and </w:t>
      </w:r>
      <w:proofErr w:type="spellStart"/>
      <w:r w:rsidRPr="00507E0C">
        <w:rPr>
          <w:rFonts w:ascii="Arial Narrow" w:hAnsi="Arial Narrow"/>
          <w:lang w:val="en-US"/>
        </w:rPr>
        <w:t>Rosenwax</w:t>
      </w:r>
      <w:proofErr w:type="spellEnd"/>
      <w:r w:rsidRPr="00507E0C">
        <w:rPr>
          <w:rFonts w:ascii="Arial Narrow" w:hAnsi="Arial Narrow"/>
          <w:lang w:val="en-US"/>
        </w:rPr>
        <w:t>, B. (2007).</w:t>
      </w:r>
      <w:proofErr w:type="gramEnd"/>
      <w:r w:rsidRPr="00507E0C">
        <w:rPr>
          <w:rFonts w:ascii="Arial Narrow" w:hAnsi="Arial Narrow"/>
          <w:lang w:val="en-US"/>
        </w:rPr>
        <w:t xml:space="preserve"> Factors affecting place of death in Western Australia. </w:t>
      </w:r>
      <w:r w:rsidRPr="00507E0C">
        <w:rPr>
          <w:rFonts w:ascii="Arial Narrow" w:hAnsi="Arial Narrow"/>
          <w:i/>
          <w:lang w:val="en-US"/>
        </w:rPr>
        <w:t>Health and Place, 13,</w:t>
      </w:r>
      <w:r w:rsidRPr="00507E0C">
        <w:rPr>
          <w:rFonts w:ascii="Arial Narrow" w:hAnsi="Arial Narrow"/>
          <w:lang w:val="en-US"/>
        </w:rPr>
        <w:t xml:space="preserve"> 356-367.</w:t>
      </w:r>
    </w:p>
  </w:footnote>
  <w:footnote w:id="58">
    <w:p w14:paraId="22FF0E24" w14:textId="05BF4734" w:rsidR="009C72FC" w:rsidRPr="00155225" w:rsidRDefault="009C72FC">
      <w:pPr>
        <w:pStyle w:val="FootnoteText"/>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See </w:t>
      </w:r>
      <w:r w:rsidRPr="00507E0C">
        <w:rPr>
          <w:rFonts w:ascii="Arial Narrow" w:hAnsi="Arial Narrow"/>
          <w:lang w:val="en-US"/>
        </w:rPr>
        <w:fldChar w:fldCharType="begin"/>
      </w:r>
      <w:r w:rsidRPr="00507E0C">
        <w:rPr>
          <w:rFonts w:ascii="Arial Narrow" w:hAnsi="Arial Narrow"/>
          <w:lang w:val="en-US"/>
        </w:rPr>
        <w:instrText xml:space="preserve"> REF _Ref247624473 \r \h </w:instrText>
      </w:r>
      <w:r w:rsidRPr="00507E0C">
        <w:rPr>
          <w:rFonts w:ascii="Arial Narrow" w:hAnsi="Arial Narrow"/>
          <w:lang w:val="en-US"/>
        </w:rPr>
      </w:r>
      <w:r w:rsidRPr="00507E0C">
        <w:rPr>
          <w:rFonts w:ascii="Arial Narrow" w:hAnsi="Arial Narrow"/>
          <w:lang w:val="en-US"/>
        </w:rPr>
        <w:fldChar w:fldCharType="separate"/>
      </w:r>
      <w:r>
        <w:rPr>
          <w:rFonts w:ascii="Arial Narrow" w:hAnsi="Arial Narrow"/>
          <w:lang w:val="en-US"/>
        </w:rPr>
        <w:t>2.3.1</w:t>
      </w:r>
      <w:r w:rsidRPr="00507E0C">
        <w:rPr>
          <w:rFonts w:ascii="Arial Narrow" w:hAnsi="Arial Narrow"/>
          <w:lang w:val="en-US"/>
        </w:rPr>
        <w:fldChar w:fldCharType="end"/>
      </w:r>
      <w:r w:rsidRPr="00507E0C">
        <w:rPr>
          <w:rFonts w:ascii="Arial Narrow" w:hAnsi="Arial Narrow"/>
          <w:lang w:val="en-US"/>
        </w:rPr>
        <w:t xml:space="preserve"> for the total estimated number of 17,392 patients currently seen by general practitioners without any referral for specialist palliative medicine intervention.</w:t>
      </w:r>
    </w:p>
  </w:footnote>
  <w:footnote w:id="59">
    <w:p w14:paraId="2DCE30E1" w14:textId="2293248D"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t xml:space="preserve">Calculations underlying these changes in assumption are presented in </w:t>
      </w:r>
      <w:r w:rsidRPr="00507E0C">
        <w:rPr>
          <w:rFonts w:ascii="Arial Narrow" w:hAnsi="Arial Narrow"/>
          <w:lang w:val="en-US"/>
        </w:rPr>
        <w:fldChar w:fldCharType="begin"/>
      </w:r>
      <w:r w:rsidRPr="00507E0C">
        <w:rPr>
          <w:rFonts w:ascii="Arial Narrow" w:hAnsi="Arial Narrow"/>
          <w:lang w:val="en-US"/>
        </w:rPr>
        <w:instrText xml:space="preserve"> REF _Ref247991911 \n \h </w:instrText>
      </w:r>
      <w:r w:rsidRPr="00507E0C">
        <w:rPr>
          <w:rFonts w:ascii="Arial Narrow" w:hAnsi="Arial Narrow"/>
          <w:lang w:val="en-US"/>
        </w:rPr>
      </w:r>
      <w:r w:rsidRPr="00507E0C">
        <w:rPr>
          <w:rFonts w:ascii="Arial Narrow" w:hAnsi="Arial Narrow"/>
          <w:lang w:val="en-US"/>
        </w:rPr>
        <w:fldChar w:fldCharType="separate"/>
      </w:r>
      <w:r>
        <w:rPr>
          <w:rFonts w:ascii="Arial Narrow" w:hAnsi="Arial Narrow"/>
          <w:lang w:val="en-US"/>
        </w:rPr>
        <w:t>Appendix 1</w:t>
      </w:r>
      <w:r w:rsidRPr="00507E0C">
        <w:rPr>
          <w:rFonts w:ascii="Arial Narrow" w:hAnsi="Arial Narrow"/>
          <w:lang w:val="en-US"/>
        </w:rPr>
        <w:fldChar w:fldCharType="end"/>
      </w:r>
      <w:r w:rsidRPr="00507E0C">
        <w:rPr>
          <w:rFonts w:ascii="Arial Narrow" w:hAnsi="Arial Narrow"/>
          <w:lang w:val="en-US"/>
        </w:rPr>
        <w:t>.</w:t>
      </w:r>
    </w:p>
  </w:footnote>
  <w:footnote w:id="60">
    <w:p w14:paraId="5A35EB3F" w14:textId="77777777" w:rsidR="009C72FC" w:rsidRPr="00507E0C" w:rsidRDefault="009C72FC">
      <w:pPr>
        <w:pStyle w:val="FootnoteText"/>
        <w:rPr>
          <w:rFonts w:ascii="Arial Narrow" w:hAnsi="Arial Narrow"/>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rPr>
        <w:tab/>
      </w:r>
      <w:proofErr w:type="gramStart"/>
      <w:r w:rsidRPr="00507E0C">
        <w:rPr>
          <w:rFonts w:ascii="Arial Narrow" w:hAnsi="Arial Narrow"/>
        </w:rPr>
        <w:t>The Commonwealth of Australia (2012) p.10.</w:t>
      </w:r>
      <w:proofErr w:type="gramEnd"/>
    </w:p>
  </w:footnote>
  <w:footnote w:id="61">
    <w:p w14:paraId="618EC2FA" w14:textId="77777777" w:rsidR="009C72FC" w:rsidRPr="001E762A" w:rsidRDefault="009C72FC">
      <w:pPr>
        <w:pStyle w:val="FootnoteText"/>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spellStart"/>
      <w:r w:rsidRPr="00507E0C">
        <w:rPr>
          <w:rFonts w:ascii="Arial Narrow" w:hAnsi="Arial Narrow"/>
          <w:lang w:val="en-US"/>
        </w:rPr>
        <w:t>Rosenwax</w:t>
      </w:r>
      <w:proofErr w:type="spellEnd"/>
      <w:r w:rsidRPr="00507E0C">
        <w:rPr>
          <w:rFonts w:ascii="Arial Narrow" w:hAnsi="Arial Narrow"/>
          <w:lang w:val="en-US"/>
        </w:rPr>
        <w:t xml:space="preserve"> et al (2005).</w:t>
      </w:r>
    </w:p>
  </w:footnote>
  <w:footnote w:id="62">
    <w:p w14:paraId="3CDACAA9" w14:textId="77777777" w:rsidR="009C72FC" w:rsidRPr="00507E0C" w:rsidRDefault="009C72FC" w:rsidP="00E345F6">
      <w:pPr>
        <w:pStyle w:val="ListParagraph"/>
        <w:tabs>
          <w:tab w:val="left" w:pos="426"/>
        </w:tabs>
        <w:spacing w:line="240" w:lineRule="auto"/>
        <w:ind w:left="426" w:hanging="426"/>
        <w:rPr>
          <w:rFonts w:ascii="Arial Narrow" w:hAnsi="Arial Narrow"/>
          <w:sz w:val="16"/>
          <w:szCs w:val="16"/>
        </w:rPr>
      </w:pPr>
      <w:r w:rsidRPr="00507E0C">
        <w:rPr>
          <w:rStyle w:val="FootnoteReference"/>
          <w:rFonts w:ascii="Arial Narrow" w:hAnsi="Arial Narrow"/>
          <w:sz w:val="16"/>
          <w:szCs w:val="16"/>
        </w:rPr>
        <w:footnoteRef/>
      </w:r>
      <w:r w:rsidRPr="00507E0C">
        <w:rPr>
          <w:rFonts w:ascii="Arial Narrow" w:hAnsi="Arial Narrow"/>
          <w:sz w:val="16"/>
          <w:szCs w:val="16"/>
        </w:rPr>
        <w:t xml:space="preserve"> </w:t>
      </w:r>
      <w:r w:rsidRPr="00507E0C">
        <w:rPr>
          <w:rFonts w:ascii="Arial Narrow" w:hAnsi="Arial Narrow"/>
          <w:sz w:val="16"/>
          <w:szCs w:val="16"/>
        </w:rPr>
        <w:tab/>
      </w:r>
      <w:r w:rsidRPr="00507E0C">
        <w:rPr>
          <w:rFonts w:ascii="Arial Narrow" w:hAnsi="Arial Narrow" w:cs="Arial"/>
          <w:sz w:val="16"/>
          <w:szCs w:val="16"/>
          <w:lang w:val="pt-BR"/>
        </w:rPr>
        <w:t xml:space="preserve">Quest TE, Marco CA, Derse AR. </w:t>
      </w:r>
      <w:r w:rsidRPr="00507E0C">
        <w:rPr>
          <w:rFonts w:ascii="Arial Narrow" w:hAnsi="Arial Narrow" w:cs="Arial"/>
          <w:sz w:val="16"/>
          <w:szCs w:val="16"/>
        </w:rPr>
        <w:t xml:space="preserve">Hospice and palliative medicine: new subspecialty, new opportunities. </w:t>
      </w:r>
      <w:r w:rsidRPr="00507E0C">
        <w:rPr>
          <w:rFonts w:ascii="Arial Narrow" w:hAnsi="Arial Narrow" w:cs="Arial"/>
          <w:i/>
          <w:iCs/>
          <w:sz w:val="16"/>
          <w:szCs w:val="16"/>
        </w:rPr>
        <w:t xml:space="preserve">Ann </w:t>
      </w:r>
      <w:proofErr w:type="spellStart"/>
      <w:r w:rsidRPr="00507E0C">
        <w:rPr>
          <w:rFonts w:ascii="Arial Narrow" w:hAnsi="Arial Narrow" w:cs="Arial"/>
          <w:i/>
          <w:iCs/>
          <w:sz w:val="16"/>
          <w:szCs w:val="16"/>
        </w:rPr>
        <w:t>Emerg</w:t>
      </w:r>
      <w:proofErr w:type="spellEnd"/>
      <w:r w:rsidRPr="00507E0C">
        <w:rPr>
          <w:rFonts w:ascii="Arial Narrow" w:hAnsi="Arial Narrow" w:cs="Arial"/>
          <w:i/>
          <w:iCs/>
          <w:sz w:val="16"/>
          <w:szCs w:val="16"/>
        </w:rPr>
        <w:t xml:space="preserve"> Med</w:t>
      </w:r>
      <w:r w:rsidRPr="00507E0C">
        <w:rPr>
          <w:rFonts w:ascii="Arial Narrow" w:hAnsi="Arial Narrow" w:cs="Arial"/>
          <w:sz w:val="16"/>
          <w:szCs w:val="16"/>
        </w:rPr>
        <w:t>. 2009 Jul</w:t>
      </w:r>
      <w:proofErr w:type="gramStart"/>
      <w:r w:rsidRPr="00507E0C">
        <w:rPr>
          <w:rFonts w:ascii="Arial Narrow" w:hAnsi="Arial Narrow" w:cs="Arial"/>
          <w:sz w:val="16"/>
          <w:szCs w:val="16"/>
        </w:rPr>
        <w:t>;54</w:t>
      </w:r>
      <w:proofErr w:type="gramEnd"/>
      <w:r w:rsidRPr="00507E0C">
        <w:rPr>
          <w:rFonts w:ascii="Arial Narrow" w:hAnsi="Arial Narrow" w:cs="Arial"/>
          <w:sz w:val="16"/>
          <w:szCs w:val="16"/>
        </w:rPr>
        <w:t>(1):94-102.</w:t>
      </w:r>
    </w:p>
  </w:footnote>
  <w:footnote w:id="63">
    <w:p w14:paraId="309D8711" w14:textId="77777777" w:rsidR="009C72FC" w:rsidRPr="00507E0C" w:rsidRDefault="009C72FC" w:rsidP="0002559B">
      <w:pPr>
        <w:pStyle w:val="ListParagraph"/>
        <w:tabs>
          <w:tab w:val="left" w:pos="426"/>
        </w:tabs>
        <w:spacing w:after="0" w:line="240" w:lineRule="auto"/>
        <w:ind w:left="426" w:hanging="426"/>
        <w:jc w:val="both"/>
        <w:rPr>
          <w:rFonts w:ascii="Arial Narrow" w:hAnsi="Arial Narrow" w:cs="Arial"/>
          <w:sz w:val="16"/>
          <w:szCs w:val="16"/>
        </w:rPr>
      </w:pPr>
      <w:r w:rsidRPr="00507E0C">
        <w:rPr>
          <w:rStyle w:val="FootnoteReference"/>
          <w:rFonts w:ascii="Arial Narrow" w:hAnsi="Arial Narrow" w:cs="Arial"/>
          <w:sz w:val="16"/>
          <w:szCs w:val="16"/>
        </w:rPr>
        <w:footnoteRef/>
      </w:r>
      <w:r w:rsidRPr="00507E0C">
        <w:rPr>
          <w:rFonts w:ascii="Arial Narrow" w:hAnsi="Arial Narrow" w:cs="Arial"/>
          <w:sz w:val="16"/>
          <w:szCs w:val="16"/>
        </w:rPr>
        <w:t xml:space="preserve"> </w:t>
      </w:r>
      <w:r w:rsidRPr="00507E0C">
        <w:rPr>
          <w:rFonts w:ascii="Arial Narrow" w:hAnsi="Arial Narrow" w:cs="Arial"/>
          <w:sz w:val="16"/>
          <w:szCs w:val="16"/>
        </w:rPr>
        <w:tab/>
      </w:r>
      <w:proofErr w:type="gramStart"/>
      <w:r w:rsidRPr="00507E0C">
        <w:rPr>
          <w:rFonts w:ascii="Arial Narrow" w:hAnsi="Arial Narrow" w:cs="Arial"/>
          <w:sz w:val="16"/>
          <w:szCs w:val="16"/>
        </w:rPr>
        <w:t>World Health Organization.</w:t>
      </w:r>
      <w:proofErr w:type="gramEnd"/>
      <w:r w:rsidRPr="00507E0C">
        <w:rPr>
          <w:rFonts w:ascii="Arial Narrow" w:hAnsi="Arial Narrow" w:cs="Arial"/>
          <w:sz w:val="16"/>
          <w:szCs w:val="16"/>
        </w:rPr>
        <w:t xml:space="preserve"> </w:t>
      </w:r>
      <w:r w:rsidRPr="00507E0C">
        <w:rPr>
          <w:rFonts w:ascii="Arial Narrow" w:hAnsi="Arial Narrow" w:cs="Arial"/>
          <w:i/>
          <w:iCs/>
          <w:sz w:val="16"/>
          <w:szCs w:val="16"/>
        </w:rPr>
        <w:t>National Cancer Control Programmes: Policies and Managerial Guidelines.</w:t>
      </w:r>
      <w:r w:rsidRPr="00507E0C">
        <w:rPr>
          <w:rFonts w:ascii="Arial Narrow" w:hAnsi="Arial Narrow" w:cs="Arial"/>
          <w:sz w:val="16"/>
          <w:szCs w:val="16"/>
        </w:rPr>
        <w:t xml:space="preserve"> 2nd ed. Geneva, Switzerland: World Health Organization; 2002.</w:t>
      </w:r>
    </w:p>
  </w:footnote>
  <w:footnote w:id="64">
    <w:p w14:paraId="26537091" w14:textId="77777777" w:rsidR="009C72FC" w:rsidRPr="00507E0C" w:rsidRDefault="009C72FC" w:rsidP="0002559B">
      <w:pPr>
        <w:pStyle w:val="FootnoteText"/>
        <w:jc w:val="both"/>
        <w:rPr>
          <w:rFonts w:ascii="Arial Narrow" w:hAnsi="Arial Narrow"/>
        </w:rPr>
      </w:pPr>
      <w:r w:rsidRPr="00507E0C">
        <w:rPr>
          <w:rFonts w:ascii="Arial Narrow" w:hAnsi="Arial Narrow"/>
          <w:vertAlign w:val="superscript"/>
        </w:rPr>
        <w:footnoteRef/>
      </w:r>
      <w:r w:rsidRPr="00507E0C">
        <w:rPr>
          <w:rFonts w:ascii="Arial Narrow" w:hAnsi="Arial Narrow"/>
          <w:vertAlign w:val="superscript"/>
        </w:rPr>
        <w:t>.</w:t>
      </w:r>
      <w:r w:rsidRPr="00507E0C">
        <w:rPr>
          <w:rFonts w:ascii="Arial Narrow" w:hAnsi="Arial Narrow"/>
        </w:rPr>
        <w:tab/>
        <w:t>WHO 2002</w:t>
      </w:r>
    </w:p>
  </w:footnote>
  <w:footnote w:id="65">
    <w:p w14:paraId="6A1238E6" w14:textId="77777777" w:rsidR="009C72FC" w:rsidRPr="00714F28" w:rsidRDefault="009C72FC" w:rsidP="0002559B">
      <w:pPr>
        <w:pStyle w:val="ListParagraph"/>
        <w:tabs>
          <w:tab w:val="left" w:pos="426"/>
        </w:tabs>
        <w:spacing w:before="0" w:after="0" w:line="240" w:lineRule="auto"/>
        <w:ind w:left="425" w:hanging="425"/>
        <w:jc w:val="both"/>
        <w:rPr>
          <w:rFonts w:cs="Arial"/>
          <w:sz w:val="16"/>
          <w:szCs w:val="16"/>
        </w:rPr>
      </w:pPr>
      <w:r w:rsidRPr="00507E0C">
        <w:rPr>
          <w:rStyle w:val="FootnoteReference"/>
          <w:rFonts w:ascii="Arial Narrow" w:hAnsi="Arial Narrow" w:cs="Arial"/>
          <w:sz w:val="16"/>
          <w:szCs w:val="16"/>
        </w:rPr>
        <w:footnoteRef/>
      </w:r>
      <w:r w:rsidRPr="00507E0C">
        <w:rPr>
          <w:rFonts w:ascii="Arial Narrow" w:hAnsi="Arial Narrow" w:cs="Arial"/>
          <w:sz w:val="16"/>
          <w:szCs w:val="16"/>
        </w:rPr>
        <w:t xml:space="preserve"> </w:t>
      </w:r>
      <w:r w:rsidRPr="00507E0C">
        <w:rPr>
          <w:rFonts w:ascii="Arial Narrow" w:hAnsi="Arial Narrow" w:cs="Arial"/>
          <w:sz w:val="16"/>
          <w:szCs w:val="16"/>
        </w:rPr>
        <w:tab/>
      </w:r>
      <w:proofErr w:type="gramStart"/>
      <w:r w:rsidRPr="00507E0C">
        <w:rPr>
          <w:rFonts w:ascii="Arial Narrow" w:hAnsi="Arial Narrow"/>
          <w:sz w:val="16"/>
        </w:rPr>
        <w:t>Australian Institute of Health and Welfare.</w:t>
      </w:r>
      <w:proofErr w:type="gramEnd"/>
      <w:r w:rsidRPr="00507E0C">
        <w:rPr>
          <w:rFonts w:ascii="Arial Narrow" w:hAnsi="Arial Narrow"/>
          <w:sz w:val="16"/>
        </w:rPr>
        <w:t xml:space="preserve"> </w:t>
      </w:r>
      <w:proofErr w:type="gramStart"/>
      <w:r w:rsidRPr="00507E0C">
        <w:rPr>
          <w:rFonts w:ascii="Arial Narrow" w:hAnsi="Arial Narrow"/>
          <w:sz w:val="16"/>
        </w:rPr>
        <w:t>National health data dictionary.</w:t>
      </w:r>
      <w:proofErr w:type="gramEnd"/>
      <w:r w:rsidRPr="00507E0C">
        <w:rPr>
          <w:rFonts w:ascii="Arial Narrow" w:hAnsi="Arial Narrow"/>
          <w:sz w:val="16"/>
        </w:rPr>
        <w:t xml:space="preserve"> </w:t>
      </w:r>
      <w:proofErr w:type="gramStart"/>
      <w:r w:rsidRPr="00507E0C">
        <w:rPr>
          <w:rFonts w:ascii="Arial Narrow" w:hAnsi="Arial Narrow"/>
          <w:sz w:val="16"/>
        </w:rPr>
        <w:t>Version 15.</w:t>
      </w:r>
      <w:proofErr w:type="gramEnd"/>
      <w:r w:rsidRPr="00507E0C">
        <w:rPr>
          <w:rFonts w:ascii="Arial Narrow" w:hAnsi="Arial Narrow"/>
          <w:sz w:val="16"/>
        </w:rPr>
        <w:t xml:space="preserve"> Cat. </w:t>
      </w:r>
      <w:proofErr w:type="gramStart"/>
      <w:r w:rsidRPr="00507E0C">
        <w:rPr>
          <w:rFonts w:ascii="Arial Narrow" w:hAnsi="Arial Narrow"/>
          <w:sz w:val="16"/>
        </w:rPr>
        <w:t>no</w:t>
      </w:r>
      <w:proofErr w:type="gramEnd"/>
      <w:r w:rsidRPr="00507E0C">
        <w:rPr>
          <w:rFonts w:ascii="Arial Narrow" w:hAnsi="Arial Narrow"/>
          <w:sz w:val="16"/>
        </w:rPr>
        <w:t xml:space="preserve">. </w:t>
      </w:r>
      <w:proofErr w:type="gramStart"/>
      <w:r w:rsidRPr="00507E0C">
        <w:rPr>
          <w:rFonts w:ascii="Arial Narrow" w:hAnsi="Arial Narrow"/>
          <w:sz w:val="16"/>
        </w:rPr>
        <w:t>HWI 107.</w:t>
      </w:r>
      <w:proofErr w:type="gramEnd"/>
      <w:r w:rsidRPr="00507E0C">
        <w:rPr>
          <w:rFonts w:ascii="Arial Narrow" w:hAnsi="Arial Narrow"/>
          <w:sz w:val="16"/>
        </w:rPr>
        <w:t xml:space="preserve"> Canberra: AIHW; 2010.</w:t>
      </w:r>
      <w:r w:rsidRPr="00714F28">
        <w:rPr>
          <w:rFonts w:cs="Arial"/>
          <w:sz w:val="16"/>
          <w:szCs w:val="16"/>
        </w:rPr>
        <w:t xml:space="preserve"> </w:t>
      </w:r>
    </w:p>
  </w:footnote>
  <w:footnote w:id="66">
    <w:p w14:paraId="581DC1AB" w14:textId="77777777" w:rsidR="009C72FC" w:rsidRPr="00507E0C" w:rsidRDefault="009C72FC" w:rsidP="000405E4">
      <w:pPr>
        <w:pStyle w:val="FootnoteText"/>
        <w:tabs>
          <w:tab w:val="left" w:pos="426"/>
        </w:tabs>
        <w:rPr>
          <w:rFonts w:ascii="Arial Narrow" w:hAnsi="Arial Narrow" w:cs="Arial"/>
          <w:szCs w:val="16"/>
        </w:rPr>
      </w:pPr>
      <w:r w:rsidRPr="00507E0C">
        <w:rPr>
          <w:rFonts w:ascii="Arial Narrow" w:hAnsi="Arial Narrow"/>
          <w:szCs w:val="16"/>
          <w:vertAlign w:val="superscript"/>
        </w:rPr>
        <w:footnoteRef/>
      </w:r>
      <w:r w:rsidRPr="00507E0C">
        <w:rPr>
          <w:rFonts w:ascii="Arial Narrow" w:hAnsi="Arial Narrow" w:cs="Arial"/>
          <w:szCs w:val="16"/>
        </w:rPr>
        <w:t xml:space="preserve"> </w:t>
      </w:r>
      <w:r w:rsidRPr="00507E0C">
        <w:rPr>
          <w:rFonts w:ascii="Arial Narrow" w:hAnsi="Arial Narrow" w:cs="Arial"/>
          <w:szCs w:val="16"/>
        </w:rPr>
        <w:tab/>
        <w:t>Quest et al 2009</w:t>
      </w:r>
    </w:p>
  </w:footnote>
  <w:footnote w:id="67">
    <w:p w14:paraId="089BAF77" w14:textId="77777777" w:rsidR="009C72FC" w:rsidRPr="00507E0C" w:rsidRDefault="009C72FC" w:rsidP="0023371A">
      <w:pPr>
        <w:pStyle w:val="FootnoteText"/>
        <w:tabs>
          <w:tab w:val="left" w:pos="426"/>
        </w:tabs>
        <w:rPr>
          <w:rFonts w:ascii="Arial Narrow" w:hAnsi="Arial Narrow" w:cs="Arial"/>
          <w:szCs w:val="16"/>
        </w:rPr>
      </w:pPr>
      <w:r w:rsidRPr="00507E0C">
        <w:rPr>
          <w:rStyle w:val="FootnoteReference"/>
          <w:rFonts w:ascii="Arial Narrow" w:hAnsi="Arial Narrow"/>
          <w:szCs w:val="16"/>
        </w:rPr>
        <w:footnoteRef/>
      </w:r>
      <w:r w:rsidRPr="00507E0C">
        <w:rPr>
          <w:rFonts w:ascii="Arial Narrow" w:hAnsi="Arial Narrow"/>
          <w:szCs w:val="16"/>
        </w:rPr>
        <w:t xml:space="preserve"> </w:t>
      </w:r>
      <w:r w:rsidRPr="00507E0C">
        <w:rPr>
          <w:rFonts w:ascii="Arial Narrow" w:hAnsi="Arial Narrow"/>
          <w:szCs w:val="16"/>
        </w:rPr>
        <w:tab/>
      </w:r>
      <w:r w:rsidRPr="00507E0C">
        <w:rPr>
          <w:rFonts w:ascii="Arial Narrow" w:hAnsi="Arial Narrow" w:cs="Arial"/>
          <w:szCs w:val="16"/>
        </w:rPr>
        <w:t>ibid</w:t>
      </w:r>
    </w:p>
  </w:footnote>
  <w:footnote w:id="68">
    <w:p w14:paraId="57A722C0" w14:textId="77777777" w:rsidR="009C72FC" w:rsidRPr="00346B1C" w:rsidRDefault="009C72FC" w:rsidP="00C3179E">
      <w:pPr>
        <w:pStyle w:val="FootnoteText"/>
        <w:tabs>
          <w:tab w:val="left" w:pos="426"/>
        </w:tabs>
        <w:rPr>
          <w:szCs w:val="16"/>
        </w:rPr>
      </w:pPr>
      <w:r w:rsidRPr="00507E0C">
        <w:rPr>
          <w:rStyle w:val="FootnoteReference"/>
          <w:rFonts w:ascii="Arial Narrow" w:hAnsi="Arial Narrow"/>
          <w:szCs w:val="16"/>
        </w:rPr>
        <w:footnoteRef/>
      </w:r>
      <w:r w:rsidRPr="00507E0C">
        <w:rPr>
          <w:rFonts w:ascii="Arial Narrow" w:hAnsi="Arial Narrow"/>
          <w:szCs w:val="16"/>
        </w:rPr>
        <w:t xml:space="preserve"> </w:t>
      </w:r>
      <w:r w:rsidRPr="00507E0C">
        <w:rPr>
          <w:rFonts w:ascii="Arial Narrow" w:hAnsi="Arial Narrow"/>
          <w:szCs w:val="16"/>
        </w:rPr>
        <w:tab/>
      </w:r>
      <w:r w:rsidRPr="00507E0C">
        <w:rPr>
          <w:rStyle w:val="mixed-citation"/>
          <w:rFonts w:ascii="Arial Narrow" w:hAnsi="Arial Narrow" w:cs="Arial"/>
          <w:szCs w:val="16"/>
          <w:lang w:val="en"/>
        </w:rPr>
        <w:t>McKinley et al 2004</w:t>
      </w:r>
    </w:p>
  </w:footnote>
  <w:footnote w:id="69">
    <w:p w14:paraId="41ECF445" w14:textId="77777777" w:rsidR="009C72FC" w:rsidRPr="00507E0C" w:rsidRDefault="009C72FC" w:rsidP="0002559B">
      <w:pPr>
        <w:pStyle w:val="FootnoteText"/>
        <w:tabs>
          <w:tab w:val="left" w:pos="426"/>
        </w:tabs>
        <w:jc w:val="both"/>
        <w:rPr>
          <w:rFonts w:ascii="Arial Narrow" w:hAnsi="Arial Narrow" w:cs="Arial"/>
          <w:i/>
          <w:sz w:val="18"/>
          <w:szCs w:val="18"/>
        </w:rPr>
      </w:pPr>
      <w:r w:rsidRPr="00507E0C">
        <w:rPr>
          <w:rStyle w:val="FootnoteReference"/>
          <w:rFonts w:ascii="Arial Narrow" w:hAnsi="Arial Narrow" w:cs="Arial"/>
          <w:szCs w:val="16"/>
        </w:rPr>
        <w:footnoteRef/>
      </w:r>
      <w:r w:rsidRPr="00507E0C">
        <w:rPr>
          <w:rFonts w:ascii="Arial Narrow" w:hAnsi="Arial Narrow" w:cs="Arial"/>
          <w:szCs w:val="16"/>
        </w:rPr>
        <w:t xml:space="preserve"> </w:t>
      </w:r>
      <w:r w:rsidRPr="00507E0C">
        <w:rPr>
          <w:rFonts w:ascii="Arial Narrow" w:hAnsi="Arial Narrow" w:cs="Arial"/>
          <w:szCs w:val="16"/>
        </w:rPr>
        <w:tab/>
      </w:r>
      <w:proofErr w:type="gramStart"/>
      <w:r w:rsidRPr="00507E0C">
        <w:rPr>
          <w:rFonts w:ascii="Arial Narrow" w:hAnsi="Arial Narrow" w:cs="Arial"/>
          <w:szCs w:val="16"/>
        </w:rPr>
        <w:t>Australian &amp; New Zealand Society of Palliative Medicine.</w:t>
      </w:r>
      <w:proofErr w:type="gramEnd"/>
      <w:r w:rsidRPr="00507E0C">
        <w:rPr>
          <w:rFonts w:ascii="Arial Narrow" w:hAnsi="Arial Narrow" w:cs="Arial"/>
          <w:szCs w:val="16"/>
        </w:rPr>
        <w:t xml:space="preserve"> </w:t>
      </w:r>
      <w:proofErr w:type="gramStart"/>
      <w:r w:rsidRPr="00507E0C">
        <w:rPr>
          <w:rFonts w:ascii="Arial Narrow" w:hAnsi="Arial Narrow" w:cs="Arial"/>
          <w:i/>
          <w:szCs w:val="16"/>
        </w:rPr>
        <w:t>Benchmark Number of Specialists in Palliative Medicine ANZSPM.</w:t>
      </w:r>
      <w:proofErr w:type="gramEnd"/>
      <w:r w:rsidRPr="00507E0C">
        <w:rPr>
          <w:rFonts w:ascii="Arial Narrow" w:hAnsi="Arial Narrow" w:cs="Arial"/>
          <w:i/>
          <w:szCs w:val="16"/>
        </w:rPr>
        <w:t xml:space="preserve"> Position Statement, </w:t>
      </w:r>
      <w:r w:rsidRPr="00507E0C">
        <w:rPr>
          <w:rFonts w:ascii="Arial Narrow" w:hAnsi="Arial Narrow" w:cs="Arial"/>
          <w:szCs w:val="16"/>
        </w:rPr>
        <w:t>ANZSPC</w:t>
      </w:r>
      <w:r w:rsidRPr="00507E0C">
        <w:rPr>
          <w:rFonts w:ascii="Arial Narrow" w:hAnsi="Arial Narrow" w:cs="Arial"/>
          <w:i/>
          <w:szCs w:val="16"/>
        </w:rPr>
        <w:t xml:space="preserve"> </w:t>
      </w:r>
      <w:proofErr w:type="spellStart"/>
      <w:r w:rsidRPr="00507E0C">
        <w:rPr>
          <w:rFonts w:ascii="Arial Narrow" w:hAnsi="Arial Narrow" w:cs="Arial"/>
          <w:szCs w:val="16"/>
        </w:rPr>
        <w:t>Inc</w:t>
      </w:r>
      <w:proofErr w:type="spellEnd"/>
      <w:r w:rsidRPr="00507E0C">
        <w:rPr>
          <w:rFonts w:ascii="Arial Narrow" w:hAnsi="Arial Narrow" w:cs="Arial"/>
          <w:szCs w:val="16"/>
        </w:rPr>
        <w:t>:</w:t>
      </w:r>
      <w:r w:rsidRPr="00507E0C">
        <w:rPr>
          <w:rFonts w:ascii="Arial Narrow" w:hAnsi="Arial Narrow" w:cs="Arial"/>
          <w:i/>
          <w:szCs w:val="16"/>
        </w:rPr>
        <w:t xml:space="preserve"> </w:t>
      </w:r>
      <w:r w:rsidRPr="00507E0C">
        <w:rPr>
          <w:rFonts w:ascii="Arial Narrow" w:hAnsi="Arial Narrow" w:cs="Arial"/>
          <w:szCs w:val="16"/>
        </w:rPr>
        <w:t>Canberra; 2010</w:t>
      </w:r>
      <w:r w:rsidRPr="00507E0C">
        <w:rPr>
          <w:rFonts w:ascii="Arial Narrow" w:hAnsi="Arial Narrow" w:cs="Arial"/>
          <w:i/>
          <w:szCs w:val="16"/>
        </w:rPr>
        <w:t>.</w:t>
      </w:r>
    </w:p>
  </w:footnote>
  <w:footnote w:id="70">
    <w:p w14:paraId="3A63D0B6" w14:textId="77777777" w:rsidR="009C72FC" w:rsidRPr="00346B1C" w:rsidRDefault="009C72FC" w:rsidP="0002559B">
      <w:pPr>
        <w:pStyle w:val="FootnoteText"/>
        <w:tabs>
          <w:tab w:val="left" w:pos="426"/>
        </w:tabs>
        <w:jc w:val="both"/>
        <w:rPr>
          <w:szCs w:val="16"/>
        </w:rPr>
      </w:pPr>
      <w:r w:rsidRPr="00507E0C">
        <w:rPr>
          <w:rStyle w:val="FootnoteReference"/>
          <w:rFonts w:ascii="Arial Narrow" w:hAnsi="Arial Narrow"/>
          <w:szCs w:val="16"/>
        </w:rPr>
        <w:footnoteRef/>
      </w:r>
      <w:r w:rsidRPr="00507E0C">
        <w:rPr>
          <w:rFonts w:ascii="Arial Narrow" w:hAnsi="Arial Narrow"/>
          <w:szCs w:val="16"/>
        </w:rPr>
        <w:t xml:space="preserve"> </w:t>
      </w:r>
      <w:r w:rsidRPr="00507E0C">
        <w:rPr>
          <w:rFonts w:ascii="Arial Narrow" w:hAnsi="Arial Narrow"/>
          <w:szCs w:val="16"/>
        </w:rPr>
        <w:tab/>
      </w:r>
      <w:r w:rsidRPr="00507E0C">
        <w:rPr>
          <w:rFonts w:ascii="Arial Narrow" w:hAnsi="Arial Narrow" w:cs="Arial"/>
          <w:szCs w:val="16"/>
        </w:rPr>
        <w:t>ibid</w:t>
      </w:r>
    </w:p>
  </w:footnote>
  <w:footnote w:id="71">
    <w:p w14:paraId="224AA133" w14:textId="77777777" w:rsidR="009C72FC" w:rsidRPr="00507E0C" w:rsidRDefault="009C72FC" w:rsidP="00257B86">
      <w:pPr>
        <w:pStyle w:val="FootnoteText"/>
        <w:tabs>
          <w:tab w:val="left" w:pos="426"/>
        </w:tabs>
        <w:rPr>
          <w:rFonts w:ascii="Arial Narrow" w:hAnsi="Arial Narrow"/>
          <w:szCs w:val="16"/>
        </w:rPr>
      </w:pPr>
      <w:r w:rsidRPr="00507E0C">
        <w:rPr>
          <w:rStyle w:val="FootnoteReference"/>
          <w:rFonts w:ascii="Arial Narrow" w:hAnsi="Arial Narrow"/>
          <w:szCs w:val="16"/>
        </w:rPr>
        <w:footnoteRef/>
      </w:r>
      <w:r w:rsidRPr="00507E0C">
        <w:rPr>
          <w:rFonts w:ascii="Arial Narrow" w:hAnsi="Arial Narrow"/>
          <w:szCs w:val="16"/>
        </w:rPr>
        <w:tab/>
      </w:r>
      <w:r w:rsidRPr="00507E0C">
        <w:rPr>
          <w:rFonts w:ascii="Arial Narrow" w:hAnsi="Arial Narrow" w:cs="Arial"/>
          <w:szCs w:val="16"/>
        </w:rPr>
        <w:t>ibid</w:t>
      </w:r>
    </w:p>
  </w:footnote>
  <w:footnote w:id="72">
    <w:p w14:paraId="2416D528" w14:textId="77777777" w:rsidR="009C72FC" w:rsidRPr="00507E0C" w:rsidRDefault="009C72FC" w:rsidP="0002559B">
      <w:pPr>
        <w:pStyle w:val="FootnoteText"/>
        <w:tabs>
          <w:tab w:val="left" w:pos="426"/>
        </w:tabs>
        <w:jc w:val="both"/>
        <w:rPr>
          <w:rFonts w:ascii="Arial Narrow" w:hAnsi="Arial Narrow" w:cs="Arial"/>
          <w:sz w:val="18"/>
          <w:szCs w:val="18"/>
        </w:rPr>
      </w:pPr>
      <w:r w:rsidRPr="00507E0C">
        <w:rPr>
          <w:rStyle w:val="FootnoteReference"/>
          <w:rFonts w:ascii="Arial Narrow" w:hAnsi="Arial Narrow" w:cs="Arial"/>
          <w:szCs w:val="16"/>
        </w:rPr>
        <w:footnoteRef/>
      </w:r>
      <w:r w:rsidRPr="00507E0C">
        <w:rPr>
          <w:rFonts w:ascii="Arial Narrow" w:hAnsi="Arial Narrow" w:cs="Arial"/>
          <w:szCs w:val="16"/>
        </w:rPr>
        <w:t xml:space="preserve"> </w:t>
      </w:r>
      <w:r w:rsidRPr="00507E0C">
        <w:rPr>
          <w:rFonts w:ascii="Arial Narrow" w:hAnsi="Arial Narrow" w:cs="Arial"/>
          <w:szCs w:val="16"/>
        </w:rPr>
        <w:tab/>
      </w:r>
      <w:proofErr w:type="gramStart"/>
      <w:r w:rsidRPr="00507E0C">
        <w:rPr>
          <w:rFonts w:ascii="Arial Narrow" w:hAnsi="Arial Narrow" w:cs="Arial"/>
          <w:szCs w:val="16"/>
        </w:rPr>
        <w:t>von</w:t>
      </w:r>
      <w:proofErr w:type="gramEnd"/>
      <w:r w:rsidRPr="00507E0C">
        <w:rPr>
          <w:rFonts w:ascii="Arial Narrow" w:hAnsi="Arial Narrow" w:cs="Arial"/>
          <w:szCs w:val="16"/>
        </w:rPr>
        <w:t xml:space="preserve"> </w:t>
      </w:r>
      <w:proofErr w:type="spellStart"/>
      <w:r w:rsidRPr="00507E0C">
        <w:rPr>
          <w:rFonts w:ascii="Arial Narrow" w:hAnsi="Arial Narrow" w:cs="Arial"/>
          <w:szCs w:val="16"/>
        </w:rPr>
        <w:t>Gunten</w:t>
      </w:r>
      <w:proofErr w:type="spellEnd"/>
      <w:r w:rsidRPr="00507E0C">
        <w:rPr>
          <w:rFonts w:ascii="Arial Narrow" w:hAnsi="Arial Narrow" w:cs="Arial"/>
          <w:szCs w:val="16"/>
        </w:rPr>
        <w:t xml:space="preserve"> CF. Evolution and effectiveness of palliative care. </w:t>
      </w:r>
      <w:proofErr w:type="gramStart"/>
      <w:r w:rsidRPr="00507E0C">
        <w:rPr>
          <w:rFonts w:ascii="Arial Narrow" w:hAnsi="Arial Narrow" w:cs="Arial"/>
          <w:i/>
          <w:szCs w:val="16"/>
        </w:rPr>
        <w:t xml:space="preserve">Am J </w:t>
      </w:r>
      <w:proofErr w:type="spellStart"/>
      <w:r w:rsidRPr="00507E0C">
        <w:rPr>
          <w:rFonts w:ascii="Arial Narrow" w:hAnsi="Arial Narrow" w:cs="Arial"/>
          <w:i/>
          <w:szCs w:val="16"/>
        </w:rPr>
        <w:t>Geriatr</w:t>
      </w:r>
      <w:proofErr w:type="spellEnd"/>
      <w:r w:rsidRPr="00507E0C">
        <w:rPr>
          <w:rFonts w:ascii="Arial Narrow" w:hAnsi="Arial Narrow" w:cs="Arial"/>
          <w:i/>
          <w:szCs w:val="16"/>
        </w:rPr>
        <w:t xml:space="preserve"> Psychiatry</w:t>
      </w:r>
      <w:r w:rsidRPr="00507E0C">
        <w:rPr>
          <w:rFonts w:ascii="Arial Narrow" w:hAnsi="Arial Narrow" w:cs="Arial"/>
          <w:szCs w:val="16"/>
        </w:rPr>
        <w:t>.</w:t>
      </w:r>
      <w:proofErr w:type="gramEnd"/>
      <w:r w:rsidRPr="00507E0C">
        <w:rPr>
          <w:rFonts w:ascii="Arial Narrow" w:hAnsi="Arial Narrow" w:cs="Arial"/>
          <w:szCs w:val="16"/>
        </w:rPr>
        <w:t xml:space="preserve"> 2012 Apr</w:t>
      </w:r>
      <w:proofErr w:type="gramStart"/>
      <w:r w:rsidRPr="00507E0C">
        <w:rPr>
          <w:rFonts w:ascii="Arial Narrow" w:hAnsi="Arial Narrow" w:cs="Arial"/>
          <w:szCs w:val="16"/>
        </w:rPr>
        <w:t>;20</w:t>
      </w:r>
      <w:proofErr w:type="gramEnd"/>
      <w:r w:rsidRPr="00507E0C">
        <w:rPr>
          <w:rFonts w:ascii="Arial Narrow" w:hAnsi="Arial Narrow" w:cs="Arial"/>
          <w:szCs w:val="16"/>
        </w:rPr>
        <w:t>(4):291-7.</w:t>
      </w:r>
    </w:p>
  </w:footnote>
  <w:footnote w:id="73">
    <w:p w14:paraId="1AFC18C7" w14:textId="77777777" w:rsidR="009C72FC" w:rsidRPr="00507E0C" w:rsidRDefault="009C72FC" w:rsidP="0002559B">
      <w:pPr>
        <w:pStyle w:val="FootnoteText"/>
        <w:tabs>
          <w:tab w:val="left" w:pos="426"/>
        </w:tabs>
        <w:jc w:val="both"/>
        <w:rPr>
          <w:rFonts w:ascii="Arial Narrow" w:hAnsi="Arial Narrow" w:cs="Arial"/>
          <w:szCs w:val="16"/>
        </w:rPr>
      </w:pPr>
      <w:r w:rsidRPr="00507E0C">
        <w:rPr>
          <w:rStyle w:val="FootnoteReference"/>
          <w:rFonts w:ascii="Arial Narrow" w:hAnsi="Arial Narrow" w:cs="Arial"/>
          <w:szCs w:val="16"/>
        </w:rPr>
        <w:footnoteRef/>
      </w:r>
      <w:r w:rsidRPr="00507E0C">
        <w:rPr>
          <w:rFonts w:ascii="Arial Narrow" w:hAnsi="Arial Narrow" w:cs="Arial"/>
          <w:szCs w:val="16"/>
        </w:rPr>
        <w:t xml:space="preserve"> </w:t>
      </w:r>
      <w:r w:rsidRPr="00507E0C">
        <w:rPr>
          <w:rFonts w:ascii="Arial Narrow" w:hAnsi="Arial Narrow" w:cs="Arial"/>
          <w:szCs w:val="16"/>
        </w:rPr>
        <w:tab/>
      </w:r>
      <w:proofErr w:type="gramStart"/>
      <w:r w:rsidRPr="00507E0C">
        <w:rPr>
          <w:rFonts w:ascii="Arial Narrow" w:hAnsi="Arial Narrow" w:cs="Arial"/>
          <w:szCs w:val="16"/>
        </w:rPr>
        <w:t>Protocol Advisory Sub-Committee.</w:t>
      </w:r>
      <w:proofErr w:type="gramEnd"/>
      <w:r w:rsidRPr="00507E0C">
        <w:rPr>
          <w:rFonts w:ascii="Arial Narrow" w:hAnsi="Arial Narrow" w:cs="Arial"/>
          <w:szCs w:val="16"/>
        </w:rPr>
        <w:t xml:space="preserve"> </w:t>
      </w:r>
      <w:r w:rsidRPr="00507E0C">
        <w:rPr>
          <w:rFonts w:ascii="Arial Narrow" w:hAnsi="Arial Narrow" w:cs="Arial"/>
          <w:i/>
          <w:szCs w:val="16"/>
        </w:rPr>
        <w:t>Final Decision Analytic Protocol (DAP) to guide the assessment of palliative medicine professional attendance items</w:t>
      </w:r>
      <w:r w:rsidRPr="00507E0C">
        <w:rPr>
          <w:rFonts w:ascii="Arial Narrow" w:hAnsi="Arial Narrow" w:cs="Arial"/>
          <w:szCs w:val="16"/>
        </w:rPr>
        <w:t>. Canberra: Author; 2012.</w:t>
      </w:r>
    </w:p>
  </w:footnote>
  <w:footnote w:id="74">
    <w:p w14:paraId="544F5B70" w14:textId="77777777" w:rsidR="009C72FC" w:rsidRPr="003A07F5" w:rsidRDefault="009C72FC" w:rsidP="0002559B">
      <w:pPr>
        <w:pStyle w:val="FootnoteText"/>
        <w:jc w:val="both"/>
        <w:rPr>
          <w:lang w:val="en-US"/>
        </w:rPr>
      </w:pPr>
      <w:r w:rsidRPr="00507E0C">
        <w:rPr>
          <w:rStyle w:val="FootnoteReference"/>
          <w:rFonts w:ascii="Arial Narrow" w:hAnsi="Arial Narrow"/>
        </w:rPr>
        <w:footnoteRef/>
      </w:r>
      <w:r w:rsidRPr="00507E0C">
        <w:rPr>
          <w:rFonts w:ascii="Arial Narrow" w:hAnsi="Arial Narrow"/>
        </w:rPr>
        <w:t xml:space="preserve"> </w:t>
      </w:r>
      <w:r w:rsidRPr="00507E0C">
        <w:rPr>
          <w:rFonts w:ascii="Arial Narrow" w:hAnsi="Arial Narrow"/>
          <w:lang w:val="en-US"/>
        </w:rPr>
        <w:tab/>
      </w:r>
      <w:proofErr w:type="gramStart"/>
      <w:r w:rsidRPr="00507E0C">
        <w:rPr>
          <w:rFonts w:ascii="Arial Narrow" w:hAnsi="Arial Narrow"/>
          <w:lang w:val="en-US"/>
        </w:rPr>
        <w:t>Australian Medical Council (2005).</w:t>
      </w:r>
      <w:proofErr w:type="gramEnd"/>
      <w:r w:rsidRPr="00507E0C">
        <w:rPr>
          <w:rFonts w:ascii="Arial Narrow" w:hAnsi="Arial Narrow"/>
          <w:lang w:val="en-US"/>
        </w:rPr>
        <w:t xml:space="preserve"> </w:t>
      </w:r>
      <w:proofErr w:type="gramStart"/>
      <w:r w:rsidRPr="00507E0C">
        <w:rPr>
          <w:rFonts w:ascii="Arial Narrow" w:hAnsi="Arial Narrow"/>
          <w:lang w:val="en-US"/>
        </w:rPr>
        <w:t>p.30.</w:t>
      </w:r>
      <w:proofErr w:type="gramEnd"/>
    </w:p>
  </w:footnote>
  <w:footnote w:id="75">
    <w:p w14:paraId="0373CD07" w14:textId="77777777" w:rsidR="009C72FC" w:rsidRPr="002B186E" w:rsidRDefault="009C72FC" w:rsidP="0002559B">
      <w:pPr>
        <w:pStyle w:val="FootnoteText"/>
        <w:jc w:val="both"/>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rPr>
        <w:tab/>
      </w:r>
      <w:r w:rsidRPr="002B186E">
        <w:rPr>
          <w:rFonts w:ascii="Arial Narrow" w:hAnsi="Arial Narrow"/>
          <w:i/>
        </w:rPr>
        <w:t xml:space="preserve">J Hear, IJ Higginson – Do specialist palliative care teams improve outcomes for cancer patients? </w:t>
      </w:r>
      <w:proofErr w:type="gramStart"/>
      <w:r w:rsidRPr="002B186E">
        <w:rPr>
          <w:rFonts w:ascii="Arial Narrow" w:hAnsi="Arial Narrow"/>
          <w:i/>
        </w:rPr>
        <w:t>A systematic literature review.</w:t>
      </w:r>
      <w:proofErr w:type="gramEnd"/>
      <w:r w:rsidRPr="002B186E">
        <w:rPr>
          <w:rFonts w:ascii="Arial Narrow" w:hAnsi="Arial Narrow"/>
          <w:i/>
        </w:rPr>
        <w:t xml:space="preserve"> Palliative Medicine 1998: 12: 317-332</w:t>
      </w:r>
    </w:p>
  </w:footnote>
  <w:footnote w:id="76">
    <w:p w14:paraId="0C8D4A41"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ab/>
        <w:t xml:space="preserve">Hearn J, Higginson IJ. Do specialist palliative care teams improve outcomes for cancer patients? </w:t>
      </w:r>
      <w:proofErr w:type="gramStart"/>
      <w:r w:rsidRPr="002B186E">
        <w:rPr>
          <w:rFonts w:ascii="Arial Narrow" w:hAnsi="Arial Narrow" w:cs="Arial"/>
          <w:szCs w:val="16"/>
        </w:rPr>
        <w:t>A systematic literature review.</w:t>
      </w:r>
      <w:proofErr w:type="gramEnd"/>
      <w:r w:rsidRPr="002B186E">
        <w:rPr>
          <w:rFonts w:ascii="Arial Narrow" w:hAnsi="Arial Narrow" w:cs="Arial"/>
          <w:szCs w:val="16"/>
        </w:rPr>
        <w:t xml:space="preserve"> </w:t>
      </w:r>
      <w:proofErr w:type="spellStart"/>
      <w:r w:rsidRPr="002B186E">
        <w:rPr>
          <w:rFonts w:ascii="Arial Narrow" w:hAnsi="Arial Narrow" w:cs="Arial"/>
          <w:i/>
          <w:szCs w:val="16"/>
        </w:rPr>
        <w:t>Palliat</w:t>
      </w:r>
      <w:proofErr w:type="spellEnd"/>
      <w:r w:rsidRPr="002B186E">
        <w:rPr>
          <w:rFonts w:ascii="Arial Narrow" w:hAnsi="Arial Narrow" w:cs="Arial"/>
          <w:i/>
          <w:szCs w:val="16"/>
        </w:rPr>
        <w:t xml:space="preserve"> Med</w:t>
      </w:r>
      <w:r w:rsidRPr="002B186E">
        <w:rPr>
          <w:rFonts w:ascii="Arial Narrow" w:hAnsi="Arial Narrow" w:cs="Arial"/>
          <w:szCs w:val="16"/>
        </w:rPr>
        <w:t>. 1998 Sep</w:t>
      </w:r>
      <w:proofErr w:type="gramStart"/>
      <w:r w:rsidRPr="002B186E">
        <w:rPr>
          <w:rFonts w:ascii="Arial Narrow" w:hAnsi="Arial Narrow" w:cs="Arial"/>
          <w:szCs w:val="16"/>
        </w:rPr>
        <w:t>;12</w:t>
      </w:r>
      <w:proofErr w:type="gramEnd"/>
      <w:r w:rsidRPr="002B186E">
        <w:rPr>
          <w:rFonts w:ascii="Arial Narrow" w:hAnsi="Arial Narrow" w:cs="Arial"/>
          <w:szCs w:val="16"/>
        </w:rPr>
        <w:t>(5):317-32.</w:t>
      </w:r>
    </w:p>
  </w:footnote>
  <w:footnote w:id="77">
    <w:p w14:paraId="236668BF" w14:textId="77777777" w:rsidR="009C72FC" w:rsidRPr="00D40818" w:rsidRDefault="009C72FC" w:rsidP="0002559B">
      <w:pPr>
        <w:pStyle w:val="FootnoteText"/>
        <w:tabs>
          <w:tab w:val="left" w:pos="426"/>
        </w:tabs>
        <w:jc w:val="both"/>
        <w:rPr>
          <w:rFonts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 xml:space="preserve">Higginson IJ, </w:t>
      </w:r>
      <w:proofErr w:type="spellStart"/>
      <w:r w:rsidRPr="002B186E">
        <w:rPr>
          <w:rFonts w:ascii="Arial Narrow" w:hAnsi="Arial Narrow" w:cs="Arial"/>
          <w:szCs w:val="16"/>
        </w:rPr>
        <w:t>McCrone</w:t>
      </w:r>
      <w:proofErr w:type="spellEnd"/>
      <w:r w:rsidRPr="002B186E">
        <w:rPr>
          <w:rFonts w:ascii="Arial Narrow" w:hAnsi="Arial Narrow" w:cs="Arial"/>
          <w:szCs w:val="16"/>
        </w:rPr>
        <w:t xml:space="preserve"> P, Hart SR, </w:t>
      </w:r>
      <w:proofErr w:type="spellStart"/>
      <w:r w:rsidRPr="002B186E">
        <w:rPr>
          <w:rFonts w:ascii="Arial Narrow" w:hAnsi="Arial Narrow" w:cs="Arial"/>
          <w:szCs w:val="16"/>
        </w:rPr>
        <w:t>Burman</w:t>
      </w:r>
      <w:proofErr w:type="spellEnd"/>
      <w:r w:rsidRPr="002B186E">
        <w:rPr>
          <w:rFonts w:ascii="Arial Narrow" w:hAnsi="Arial Narrow" w:cs="Arial"/>
          <w:szCs w:val="16"/>
        </w:rPr>
        <w:t xml:space="preserve"> R, Silber E, Edmonds PM. Is short-term palliative care cost-effective in multiple sclerosis? </w:t>
      </w:r>
      <w:proofErr w:type="gramStart"/>
      <w:r w:rsidRPr="002B186E">
        <w:rPr>
          <w:rFonts w:ascii="Arial Narrow" w:hAnsi="Arial Narrow" w:cs="Arial"/>
          <w:szCs w:val="16"/>
        </w:rPr>
        <w:t>A randomized phase II trial.</w:t>
      </w:r>
      <w:proofErr w:type="gramEnd"/>
      <w:r w:rsidRPr="002B186E">
        <w:rPr>
          <w:rFonts w:ascii="Arial Narrow" w:hAnsi="Arial Narrow" w:cs="Arial"/>
          <w:szCs w:val="16"/>
        </w:rPr>
        <w:t xml:space="preserve"> </w:t>
      </w:r>
      <w:r w:rsidRPr="002B186E">
        <w:rPr>
          <w:rFonts w:ascii="Arial Narrow" w:hAnsi="Arial Narrow" w:cs="Arial"/>
          <w:i/>
          <w:szCs w:val="16"/>
        </w:rPr>
        <w:t>J Pain Symptom Manage</w:t>
      </w:r>
      <w:r w:rsidRPr="002B186E">
        <w:rPr>
          <w:rFonts w:ascii="Arial Narrow" w:hAnsi="Arial Narrow" w:cs="Arial"/>
          <w:szCs w:val="16"/>
        </w:rPr>
        <w:t>. 2009 Dec</w:t>
      </w:r>
      <w:proofErr w:type="gramStart"/>
      <w:r w:rsidRPr="002B186E">
        <w:rPr>
          <w:rFonts w:ascii="Arial Narrow" w:hAnsi="Arial Narrow" w:cs="Arial"/>
          <w:szCs w:val="16"/>
        </w:rPr>
        <w:t>;38</w:t>
      </w:r>
      <w:proofErr w:type="gramEnd"/>
      <w:r w:rsidRPr="002B186E">
        <w:rPr>
          <w:rFonts w:ascii="Arial Narrow" w:hAnsi="Arial Narrow" w:cs="Arial"/>
          <w:szCs w:val="16"/>
        </w:rPr>
        <w:t>(6):816-26.</w:t>
      </w:r>
    </w:p>
  </w:footnote>
  <w:footnote w:id="78">
    <w:p w14:paraId="2ACD25A7"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r>
      <w:proofErr w:type="spellStart"/>
      <w:r w:rsidRPr="002B186E">
        <w:rPr>
          <w:rFonts w:ascii="Arial Narrow" w:hAnsi="Arial Narrow" w:cs="Arial"/>
          <w:szCs w:val="16"/>
        </w:rPr>
        <w:t>Teno</w:t>
      </w:r>
      <w:proofErr w:type="spellEnd"/>
      <w:r w:rsidRPr="002B186E">
        <w:rPr>
          <w:rFonts w:ascii="Arial Narrow" w:hAnsi="Arial Narrow" w:cs="Arial"/>
          <w:szCs w:val="16"/>
        </w:rPr>
        <w:t xml:space="preserve"> et al 2004.</w:t>
      </w:r>
    </w:p>
  </w:footnote>
  <w:footnote w:id="79">
    <w:p w14:paraId="1B2A4F56" w14:textId="77777777" w:rsidR="009C72FC" w:rsidRPr="002B186E" w:rsidRDefault="009C72FC" w:rsidP="0002559B">
      <w:pPr>
        <w:shd w:val="clear" w:color="auto" w:fill="FFFFFF"/>
        <w:tabs>
          <w:tab w:val="left" w:pos="426"/>
        </w:tabs>
        <w:spacing w:before="0" w:after="0" w:line="240" w:lineRule="auto"/>
        <w:jc w:val="both"/>
        <w:rPr>
          <w:rFonts w:ascii="Arial Narrow" w:hAnsi="Arial Narrow" w:cs="Arial"/>
          <w:sz w:val="16"/>
          <w:szCs w:val="16"/>
          <w:lang w:val="en" w:eastAsia="en-AU"/>
        </w:rPr>
      </w:pPr>
      <w:r w:rsidRPr="002B186E">
        <w:rPr>
          <w:rStyle w:val="FootnoteReference"/>
          <w:rFonts w:ascii="Arial Narrow" w:hAnsi="Arial Narrow"/>
          <w:sz w:val="16"/>
          <w:szCs w:val="16"/>
        </w:rPr>
        <w:footnoteRef/>
      </w:r>
      <w:r w:rsidRPr="002B186E">
        <w:rPr>
          <w:rFonts w:ascii="Arial Narrow" w:hAnsi="Arial Narrow"/>
          <w:sz w:val="16"/>
          <w:szCs w:val="16"/>
        </w:rPr>
        <w:t xml:space="preserve"> </w:t>
      </w:r>
      <w:r w:rsidRPr="002B186E">
        <w:rPr>
          <w:rFonts w:ascii="Arial Narrow" w:hAnsi="Arial Narrow"/>
          <w:sz w:val="16"/>
          <w:szCs w:val="16"/>
        </w:rPr>
        <w:tab/>
      </w:r>
      <w:r w:rsidRPr="002B186E">
        <w:rPr>
          <w:rFonts w:ascii="Arial Narrow" w:hAnsi="Arial Narrow" w:cs="Arial"/>
          <w:sz w:val="16"/>
          <w:szCs w:val="16"/>
          <w:lang w:val="en" w:eastAsia="en-AU"/>
        </w:rPr>
        <w:t xml:space="preserve">Riley GF, </w:t>
      </w:r>
      <w:proofErr w:type="spellStart"/>
      <w:r w:rsidRPr="002B186E">
        <w:rPr>
          <w:rFonts w:ascii="Arial Narrow" w:hAnsi="Arial Narrow" w:cs="Arial"/>
          <w:sz w:val="16"/>
          <w:szCs w:val="16"/>
          <w:lang w:val="en" w:eastAsia="en-AU"/>
        </w:rPr>
        <w:t>Lubitz</w:t>
      </w:r>
      <w:proofErr w:type="spellEnd"/>
      <w:r w:rsidRPr="002B186E">
        <w:rPr>
          <w:rFonts w:ascii="Arial Narrow" w:hAnsi="Arial Narrow" w:cs="Arial"/>
          <w:sz w:val="16"/>
          <w:szCs w:val="16"/>
          <w:lang w:val="en" w:eastAsia="en-AU"/>
        </w:rPr>
        <w:t xml:space="preserve"> JD. </w:t>
      </w:r>
      <w:proofErr w:type="gramStart"/>
      <w:r w:rsidRPr="002B186E">
        <w:rPr>
          <w:rFonts w:ascii="Arial Narrow" w:hAnsi="Arial Narrow" w:cs="Arial"/>
          <w:sz w:val="16"/>
          <w:szCs w:val="16"/>
          <w:lang w:val="en" w:eastAsia="en-AU"/>
        </w:rPr>
        <w:t>Long-term trends in Medicare payments in the last year of life.</w:t>
      </w:r>
      <w:proofErr w:type="gramEnd"/>
      <w:r w:rsidRPr="002B186E">
        <w:rPr>
          <w:rFonts w:ascii="Arial Narrow" w:hAnsi="Arial Narrow" w:cs="Arial"/>
          <w:sz w:val="16"/>
          <w:szCs w:val="16"/>
          <w:lang w:val="en" w:eastAsia="en-AU"/>
        </w:rPr>
        <w:t xml:space="preserve"> </w:t>
      </w:r>
      <w:r w:rsidRPr="002B186E">
        <w:rPr>
          <w:rFonts w:ascii="Arial Narrow" w:hAnsi="Arial Narrow" w:cs="Arial"/>
          <w:i/>
          <w:sz w:val="16"/>
          <w:szCs w:val="16"/>
          <w:lang w:val="en" w:eastAsia="en-AU"/>
        </w:rPr>
        <w:t xml:space="preserve">Health </w:t>
      </w:r>
      <w:proofErr w:type="spellStart"/>
      <w:r w:rsidRPr="002B186E">
        <w:rPr>
          <w:rFonts w:ascii="Arial Narrow" w:hAnsi="Arial Narrow" w:cs="Arial"/>
          <w:i/>
          <w:sz w:val="16"/>
          <w:szCs w:val="16"/>
          <w:lang w:val="en" w:eastAsia="en-AU"/>
        </w:rPr>
        <w:t>Serv</w:t>
      </w:r>
      <w:proofErr w:type="spellEnd"/>
      <w:r w:rsidRPr="002B186E">
        <w:rPr>
          <w:rFonts w:ascii="Arial Narrow" w:hAnsi="Arial Narrow" w:cs="Arial"/>
          <w:i/>
          <w:sz w:val="16"/>
          <w:szCs w:val="16"/>
          <w:lang w:val="en" w:eastAsia="en-AU"/>
        </w:rPr>
        <w:t xml:space="preserve"> Res</w:t>
      </w:r>
      <w:r w:rsidRPr="002B186E">
        <w:rPr>
          <w:rFonts w:ascii="Arial Narrow" w:hAnsi="Arial Narrow" w:cs="Arial"/>
          <w:sz w:val="16"/>
          <w:szCs w:val="16"/>
          <w:lang w:val="en" w:eastAsia="en-AU"/>
        </w:rPr>
        <w:t xml:space="preserve"> 2010; 45: 565–576.</w:t>
      </w:r>
    </w:p>
  </w:footnote>
  <w:footnote w:id="80">
    <w:p w14:paraId="41325DA6" w14:textId="77777777" w:rsidR="009C72FC" w:rsidRPr="002B186E" w:rsidRDefault="009C72FC" w:rsidP="0002559B">
      <w:pPr>
        <w:shd w:val="clear" w:color="auto" w:fill="FFFFFF"/>
        <w:tabs>
          <w:tab w:val="left" w:pos="426"/>
        </w:tabs>
        <w:spacing w:before="0" w:after="0" w:line="240" w:lineRule="auto"/>
        <w:ind w:left="426" w:hanging="426"/>
        <w:jc w:val="both"/>
        <w:rPr>
          <w:rFonts w:ascii="Arial Narrow" w:hAnsi="Arial Narrow" w:cs="Arial"/>
          <w:color w:val="222222"/>
          <w:sz w:val="16"/>
          <w:szCs w:val="16"/>
          <w:lang w:val="en" w:eastAsia="en-AU"/>
        </w:rPr>
      </w:pPr>
      <w:r w:rsidRPr="002B186E">
        <w:rPr>
          <w:rStyle w:val="FootnoteReference"/>
          <w:rFonts w:ascii="Arial Narrow" w:hAnsi="Arial Narrow" w:cs="Arial"/>
          <w:sz w:val="16"/>
          <w:szCs w:val="16"/>
        </w:rPr>
        <w:footnoteRef/>
      </w:r>
      <w:r w:rsidRPr="002B186E">
        <w:rPr>
          <w:rFonts w:ascii="Arial Narrow" w:hAnsi="Arial Narrow" w:cs="Arial"/>
          <w:sz w:val="16"/>
          <w:szCs w:val="16"/>
        </w:rPr>
        <w:t xml:space="preserve"> </w:t>
      </w:r>
      <w:r w:rsidRPr="002B186E">
        <w:rPr>
          <w:rFonts w:ascii="Arial Narrow" w:hAnsi="Arial Narrow" w:cs="Arial"/>
          <w:sz w:val="16"/>
          <w:szCs w:val="16"/>
        </w:rPr>
        <w:tab/>
      </w:r>
      <w:proofErr w:type="spellStart"/>
      <w:r w:rsidRPr="002B186E">
        <w:rPr>
          <w:rFonts w:ascii="Arial Narrow" w:hAnsi="Arial Narrow" w:cs="Arial"/>
          <w:color w:val="222222"/>
          <w:sz w:val="16"/>
          <w:szCs w:val="16"/>
          <w:lang w:val="en" w:eastAsia="en-AU"/>
        </w:rPr>
        <w:t>Hatziandreu</w:t>
      </w:r>
      <w:proofErr w:type="spellEnd"/>
      <w:r w:rsidRPr="002B186E">
        <w:rPr>
          <w:rFonts w:ascii="Arial Narrow" w:hAnsi="Arial Narrow" w:cs="Arial"/>
          <w:color w:val="222222"/>
          <w:sz w:val="16"/>
          <w:szCs w:val="16"/>
          <w:lang w:val="en" w:eastAsia="en-AU"/>
        </w:rPr>
        <w:t xml:space="preserve"> E, </w:t>
      </w:r>
      <w:proofErr w:type="spellStart"/>
      <w:r w:rsidRPr="002B186E">
        <w:rPr>
          <w:rFonts w:ascii="Arial Narrow" w:hAnsi="Arial Narrow" w:cs="Arial"/>
          <w:color w:val="222222"/>
          <w:sz w:val="16"/>
          <w:szCs w:val="16"/>
          <w:lang w:val="en" w:eastAsia="en-AU"/>
        </w:rPr>
        <w:t>Archontakis</w:t>
      </w:r>
      <w:proofErr w:type="spellEnd"/>
      <w:r w:rsidRPr="002B186E">
        <w:rPr>
          <w:rFonts w:ascii="Arial Narrow" w:hAnsi="Arial Narrow" w:cs="Arial"/>
          <w:color w:val="222222"/>
          <w:sz w:val="16"/>
          <w:szCs w:val="16"/>
          <w:lang w:val="en" w:eastAsia="en-AU"/>
        </w:rPr>
        <w:t xml:space="preserve"> F, Daly A, et al.</w:t>
      </w:r>
      <w:r w:rsidRPr="002B186E">
        <w:rPr>
          <w:rFonts w:ascii="Arial Narrow" w:hAnsi="Arial Narrow" w:cs="Arial"/>
          <w:i/>
          <w:iCs/>
          <w:color w:val="222222"/>
          <w:sz w:val="16"/>
          <w:szCs w:val="16"/>
          <w:lang w:val="en" w:eastAsia="en-AU"/>
        </w:rPr>
        <w:t xml:space="preserve"> National Audit Office. The potential cost savings of greater use of home- and hospice-based end of life care in England. </w:t>
      </w:r>
      <w:r w:rsidRPr="002B186E">
        <w:rPr>
          <w:rFonts w:ascii="Arial Narrow" w:hAnsi="Arial Narrow" w:cs="Arial"/>
          <w:iCs/>
          <w:color w:val="222222"/>
          <w:sz w:val="16"/>
          <w:szCs w:val="16"/>
          <w:lang w:val="en" w:eastAsia="en-AU"/>
        </w:rPr>
        <w:t>Cambridge: RAND Corporation, 2008.</w:t>
      </w:r>
    </w:p>
  </w:footnote>
  <w:footnote w:id="81">
    <w:p w14:paraId="443F871D"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 xml:space="preserve">Smith S, Brick </w:t>
      </w:r>
      <w:proofErr w:type="gramStart"/>
      <w:r w:rsidRPr="002B186E">
        <w:rPr>
          <w:rFonts w:ascii="Arial Narrow" w:hAnsi="Arial Narrow" w:cs="Arial"/>
          <w:szCs w:val="16"/>
        </w:rPr>
        <w:t>A</w:t>
      </w:r>
      <w:proofErr w:type="gramEnd"/>
      <w:r w:rsidRPr="002B186E">
        <w:rPr>
          <w:rFonts w:ascii="Arial Narrow" w:hAnsi="Arial Narrow" w:cs="Arial"/>
          <w:szCs w:val="16"/>
        </w:rPr>
        <w:t xml:space="preserve">, O'Hara S, Normand C. Evidence on the cost and cost-effectiveness of palliative care: A literature review. </w:t>
      </w:r>
      <w:proofErr w:type="spellStart"/>
      <w:r w:rsidRPr="002B186E">
        <w:rPr>
          <w:rFonts w:ascii="Arial Narrow" w:hAnsi="Arial Narrow" w:cs="Arial"/>
          <w:i/>
          <w:szCs w:val="16"/>
        </w:rPr>
        <w:t>Palliat</w:t>
      </w:r>
      <w:proofErr w:type="spellEnd"/>
      <w:r w:rsidRPr="002B186E">
        <w:rPr>
          <w:rFonts w:ascii="Arial Narrow" w:hAnsi="Arial Narrow" w:cs="Arial"/>
          <w:i/>
          <w:szCs w:val="16"/>
        </w:rPr>
        <w:t xml:space="preserve"> Med</w:t>
      </w:r>
      <w:r w:rsidRPr="002B186E">
        <w:rPr>
          <w:rFonts w:ascii="Arial Narrow" w:hAnsi="Arial Narrow" w:cs="Arial"/>
          <w:szCs w:val="16"/>
        </w:rPr>
        <w:t>. 2013 Nov 13 [</w:t>
      </w:r>
      <w:proofErr w:type="spellStart"/>
      <w:r w:rsidRPr="002B186E">
        <w:rPr>
          <w:rFonts w:ascii="Arial Narrow" w:hAnsi="Arial Narrow" w:cs="Arial"/>
          <w:szCs w:val="16"/>
        </w:rPr>
        <w:t>Epub</w:t>
      </w:r>
      <w:proofErr w:type="spellEnd"/>
      <w:r w:rsidRPr="002B186E">
        <w:rPr>
          <w:rFonts w:ascii="Arial Narrow" w:hAnsi="Arial Narrow" w:cs="Arial"/>
          <w:szCs w:val="16"/>
        </w:rPr>
        <w:t xml:space="preserve"> ahead of print]</w:t>
      </w:r>
    </w:p>
  </w:footnote>
  <w:footnote w:id="82">
    <w:p w14:paraId="542F4D42" w14:textId="77777777" w:rsidR="009C72FC" w:rsidRPr="002B186E" w:rsidRDefault="009C72FC" w:rsidP="0002559B">
      <w:pPr>
        <w:pStyle w:val="NormalWeb"/>
        <w:tabs>
          <w:tab w:val="left" w:pos="426"/>
        </w:tabs>
        <w:spacing w:before="0" w:beforeAutospacing="0" w:after="0" w:afterAutospacing="0"/>
        <w:ind w:left="426" w:hanging="426"/>
        <w:jc w:val="both"/>
        <w:rPr>
          <w:rFonts w:ascii="Arial Narrow" w:hAnsi="Arial Narrow" w:cs="Arial"/>
          <w:sz w:val="16"/>
          <w:szCs w:val="16"/>
          <w:lang w:val="en"/>
        </w:rPr>
      </w:pPr>
      <w:r w:rsidRPr="002B186E">
        <w:rPr>
          <w:rStyle w:val="FootnoteReference"/>
          <w:rFonts w:ascii="Arial Narrow" w:hAnsi="Arial Narrow" w:cs="Arial"/>
          <w:sz w:val="16"/>
          <w:szCs w:val="16"/>
        </w:rPr>
        <w:footnoteRef/>
      </w:r>
      <w:r w:rsidRPr="002B186E">
        <w:rPr>
          <w:rFonts w:ascii="Arial Narrow" w:hAnsi="Arial Narrow" w:cs="Arial"/>
          <w:sz w:val="16"/>
          <w:szCs w:val="16"/>
        </w:rPr>
        <w:t xml:space="preserve"> </w:t>
      </w:r>
      <w:r w:rsidRPr="002B186E">
        <w:rPr>
          <w:rFonts w:ascii="Arial Narrow" w:hAnsi="Arial Narrow" w:cs="Arial"/>
          <w:sz w:val="16"/>
          <w:szCs w:val="16"/>
        </w:rPr>
        <w:tab/>
      </w:r>
      <w:r w:rsidRPr="002B186E">
        <w:rPr>
          <w:rFonts w:ascii="Arial Narrow" w:hAnsi="Arial Narrow" w:cs="Arial"/>
          <w:sz w:val="16"/>
          <w:szCs w:val="16"/>
          <w:lang w:val="en"/>
        </w:rPr>
        <w:t xml:space="preserve">Taylor DH </w:t>
      </w:r>
      <w:proofErr w:type="spellStart"/>
      <w:r w:rsidRPr="002B186E">
        <w:rPr>
          <w:rFonts w:ascii="Arial Narrow" w:hAnsi="Arial Narrow" w:cs="Arial"/>
          <w:sz w:val="16"/>
          <w:szCs w:val="16"/>
          <w:lang w:val="en"/>
        </w:rPr>
        <w:t>Jr</w:t>
      </w:r>
      <w:proofErr w:type="spellEnd"/>
      <w:r w:rsidRPr="002B186E">
        <w:rPr>
          <w:rFonts w:ascii="Arial Narrow" w:hAnsi="Arial Narrow" w:cs="Arial"/>
          <w:sz w:val="16"/>
          <w:szCs w:val="16"/>
          <w:lang w:val="en"/>
        </w:rPr>
        <w:t xml:space="preserve">, </w:t>
      </w:r>
      <w:proofErr w:type="spellStart"/>
      <w:r w:rsidRPr="002B186E">
        <w:rPr>
          <w:rFonts w:ascii="Arial Narrow" w:hAnsi="Arial Narrow" w:cs="Arial"/>
          <w:sz w:val="16"/>
          <w:szCs w:val="16"/>
          <w:lang w:val="en"/>
        </w:rPr>
        <w:t>Ostermann</w:t>
      </w:r>
      <w:proofErr w:type="spellEnd"/>
      <w:r w:rsidRPr="002B186E">
        <w:rPr>
          <w:rFonts w:ascii="Arial Narrow" w:hAnsi="Arial Narrow" w:cs="Arial"/>
          <w:sz w:val="16"/>
          <w:szCs w:val="16"/>
          <w:lang w:val="en"/>
        </w:rPr>
        <w:t xml:space="preserve"> J, Van </w:t>
      </w:r>
      <w:proofErr w:type="spellStart"/>
      <w:r w:rsidRPr="002B186E">
        <w:rPr>
          <w:rFonts w:ascii="Arial Narrow" w:hAnsi="Arial Narrow" w:cs="Arial"/>
          <w:sz w:val="16"/>
          <w:szCs w:val="16"/>
          <w:lang w:val="en"/>
        </w:rPr>
        <w:t>Houtven</w:t>
      </w:r>
      <w:proofErr w:type="spellEnd"/>
      <w:r w:rsidRPr="002B186E">
        <w:rPr>
          <w:rFonts w:ascii="Arial Narrow" w:hAnsi="Arial Narrow" w:cs="Arial"/>
          <w:sz w:val="16"/>
          <w:szCs w:val="16"/>
          <w:lang w:val="en"/>
        </w:rPr>
        <w:t xml:space="preserve"> CH, et al:  What length of hospice use maximizes reduction in medical expenditures near death in the US Medicare program?  </w:t>
      </w:r>
      <w:proofErr w:type="spellStart"/>
      <w:r w:rsidRPr="002B186E">
        <w:rPr>
          <w:rFonts w:ascii="Arial Narrow" w:hAnsi="Arial Narrow" w:cs="Arial"/>
          <w:i/>
          <w:sz w:val="16"/>
          <w:szCs w:val="16"/>
          <w:lang w:val="en"/>
        </w:rPr>
        <w:t>Soc</w:t>
      </w:r>
      <w:proofErr w:type="spellEnd"/>
      <w:r w:rsidRPr="002B186E">
        <w:rPr>
          <w:rFonts w:ascii="Arial Narrow" w:hAnsi="Arial Narrow" w:cs="Arial"/>
          <w:i/>
          <w:sz w:val="16"/>
          <w:szCs w:val="16"/>
          <w:lang w:val="en"/>
        </w:rPr>
        <w:t xml:space="preserve"> </w:t>
      </w:r>
      <w:proofErr w:type="spellStart"/>
      <w:r w:rsidRPr="002B186E">
        <w:rPr>
          <w:rFonts w:ascii="Arial Narrow" w:hAnsi="Arial Narrow" w:cs="Arial"/>
          <w:i/>
          <w:sz w:val="16"/>
          <w:szCs w:val="16"/>
          <w:lang w:val="en"/>
        </w:rPr>
        <w:t>Sci</w:t>
      </w:r>
      <w:proofErr w:type="spellEnd"/>
      <w:r w:rsidRPr="002B186E">
        <w:rPr>
          <w:rFonts w:ascii="Arial Narrow" w:hAnsi="Arial Narrow" w:cs="Arial"/>
          <w:i/>
          <w:sz w:val="16"/>
          <w:szCs w:val="16"/>
          <w:lang w:val="en"/>
        </w:rPr>
        <w:t xml:space="preserve"> Med</w:t>
      </w:r>
      <w:r w:rsidRPr="002B186E">
        <w:rPr>
          <w:rFonts w:ascii="Arial Narrow" w:hAnsi="Arial Narrow" w:cs="Arial"/>
          <w:sz w:val="16"/>
          <w:szCs w:val="16"/>
          <w:lang w:val="en"/>
        </w:rPr>
        <w:t xml:space="preserve"> 2007; 65(7): 1 466-1478 </w:t>
      </w:r>
    </w:p>
  </w:footnote>
  <w:footnote w:id="83">
    <w:p w14:paraId="35B3C221" w14:textId="77777777" w:rsidR="009C72FC" w:rsidRPr="002B186E" w:rsidRDefault="009C72FC" w:rsidP="0002559B">
      <w:pPr>
        <w:pStyle w:val="NormalWeb"/>
        <w:tabs>
          <w:tab w:val="left" w:pos="426"/>
        </w:tabs>
        <w:spacing w:before="0" w:beforeAutospacing="0" w:after="0" w:afterAutospacing="0"/>
        <w:ind w:left="426" w:hanging="426"/>
        <w:jc w:val="both"/>
        <w:rPr>
          <w:rFonts w:ascii="Arial Narrow" w:hAnsi="Arial Narrow" w:cs="Arial"/>
          <w:sz w:val="16"/>
          <w:szCs w:val="16"/>
          <w:lang w:val="en"/>
        </w:rPr>
      </w:pPr>
      <w:r w:rsidRPr="002B186E">
        <w:rPr>
          <w:rStyle w:val="FootnoteReference"/>
          <w:rFonts w:ascii="Arial Narrow" w:hAnsi="Arial Narrow" w:cs="Arial"/>
          <w:sz w:val="16"/>
          <w:szCs w:val="16"/>
        </w:rPr>
        <w:footnoteRef/>
      </w:r>
      <w:r w:rsidRPr="002B186E">
        <w:rPr>
          <w:rFonts w:ascii="Arial Narrow" w:hAnsi="Arial Narrow" w:cs="Arial"/>
          <w:sz w:val="16"/>
          <w:szCs w:val="16"/>
        </w:rPr>
        <w:t xml:space="preserve"> </w:t>
      </w:r>
      <w:r w:rsidRPr="002B186E">
        <w:rPr>
          <w:rFonts w:ascii="Arial Narrow" w:hAnsi="Arial Narrow" w:cs="Arial"/>
          <w:sz w:val="16"/>
          <w:szCs w:val="16"/>
        </w:rPr>
        <w:tab/>
      </w:r>
      <w:r w:rsidRPr="002B186E">
        <w:rPr>
          <w:rFonts w:ascii="Arial Narrow" w:hAnsi="Arial Narrow" w:cs="Arial"/>
          <w:sz w:val="16"/>
          <w:szCs w:val="16"/>
          <w:lang w:val="en"/>
        </w:rPr>
        <w:t xml:space="preserve">Morrison RS, Dietrich J, </w:t>
      </w:r>
      <w:proofErr w:type="spellStart"/>
      <w:r w:rsidRPr="002B186E">
        <w:rPr>
          <w:rFonts w:ascii="Arial Narrow" w:hAnsi="Arial Narrow" w:cs="Arial"/>
          <w:sz w:val="16"/>
          <w:szCs w:val="16"/>
          <w:lang w:val="en"/>
        </w:rPr>
        <w:t>Ladwig</w:t>
      </w:r>
      <w:proofErr w:type="spellEnd"/>
      <w:r w:rsidRPr="002B186E">
        <w:rPr>
          <w:rFonts w:ascii="Arial Narrow" w:hAnsi="Arial Narrow" w:cs="Arial"/>
          <w:sz w:val="16"/>
          <w:szCs w:val="16"/>
          <w:lang w:val="en"/>
        </w:rPr>
        <w:t xml:space="preserve"> S, et al: Palliative care consultation teams cut hospital costs for Medicaid beneficiaries. </w:t>
      </w:r>
      <w:r w:rsidRPr="002B186E">
        <w:rPr>
          <w:rFonts w:ascii="Arial Narrow" w:hAnsi="Arial Narrow" w:cs="Arial"/>
          <w:i/>
          <w:sz w:val="16"/>
          <w:szCs w:val="16"/>
          <w:lang w:val="en"/>
        </w:rPr>
        <w:t>Health Affairs</w:t>
      </w:r>
      <w:r w:rsidRPr="002B186E">
        <w:rPr>
          <w:rFonts w:ascii="Arial Narrow" w:hAnsi="Arial Narrow" w:cs="Arial"/>
          <w:sz w:val="16"/>
          <w:szCs w:val="16"/>
          <w:lang w:val="en"/>
        </w:rPr>
        <w:t xml:space="preserve"> 2011;30(3):454-463 </w:t>
      </w:r>
    </w:p>
  </w:footnote>
  <w:footnote w:id="84">
    <w:p w14:paraId="4C2B4E12"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McGrath LS, Foote DG, Frith KH, Hall WM. Cost effectiveness of a palliative care program in a rural community hospital.</w:t>
      </w:r>
      <w:proofErr w:type="gramEnd"/>
      <w:r w:rsidRPr="002B186E">
        <w:rPr>
          <w:rFonts w:ascii="Arial Narrow" w:hAnsi="Arial Narrow" w:cs="Arial"/>
          <w:szCs w:val="16"/>
        </w:rPr>
        <w:t xml:space="preserve"> </w:t>
      </w:r>
      <w:proofErr w:type="spellStart"/>
      <w:r w:rsidRPr="002B186E">
        <w:rPr>
          <w:rFonts w:ascii="Arial Narrow" w:hAnsi="Arial Narrow" w:cs="Arial"/>
          <w:i/>
          <w:szCs w:val="16"/>
        </w:rPr>
        <w:t>Nurs</w:t>
      </w:r>
      <w:proofErr w:type="spellEnd"/>
      <w:r w:rsidRPr="002B186E">
        <w:rPr>
          <w:rFonts w:ascii="Arial Narrow" w:hAnsi="Arial Narrow" w:cs="Arial"/>
          <w:i/>
          <w:szCs w:val="16"/>
        </w:rPr>
        <w:t xml:space="preserve"> Econ</w:t>
      </w:r>
      <w:r w:rsidRPr="002B186E">
        <w:rPr>
          <w:rFonts w:ascii="Arial Narrow" w:hAnsi="Arial Narrow" w:cs="Arial"/>
          <w:szCs w:val="16"/>
        </w:rPr>
        <w:t>. 2013 Jul-Aug</w:t>
      </w:r>
      <w:proofErr w:type="gramStart"/>
      <w:r w:rsidRPr="002B186E">
        <w:rPr>
          <w:rFonts w:ascii="Arial Narrow" w:hAnsi="Arial Narrow" w:cs="Arial"/>
          <w:szCs w:val="16"/>
        </w:rPr>
        <w:t>;31</w:t>
      </w:r>
      <w:proofErr w:type="gramEnd"/>
      <w:r w:rsidRPr="002B186E">
        <w:rPr>
          <w:rFonts w:ascii="Arial Narrow" w:hAnsi="Arial Narrow" w:cs="Arial"/>
          <w:szCs w:val="16"/>
        </w:rPr>
        <w:t>(4):176-83.</w:t>
      </w:r>
    </w:p>
  </w:footnote>
  <w:footnote w:id="85">
    <w:p w14:paraId="345ED976" w14:textId="77777777" w:rsidR="009C72FC" w:rsidRPr="002B186E" w:rsidRDefault="009C72FC" w:rsidP="0002559B">
      <w:pPr>
        <w:pStyle w:val="FootnoteText"/>
        <w:tabs>
          <w:tab w:val="left" w:pos="426"/>
        </w:tabs>
        <w:jc w:val="both"/>
        <w:rPr>
          <w:rFonts w:ascii="Arial Narrow" w:hAnsi="Arial Narrow" w:cs="Arial"/>
          <w:szCs w:val="16"/>
          <w:lang w:val="en" w:eastAsia="en-AU"/>
        </w:rPr>
      </w:pPr>
      <w:r w:rsidRPr="002B186E">
        <w:rPr>
          <w:rStyle w:val="FootnoteReference"/>
          <w:rFonts w:ascii="Arial Narrow" w:hAnsi="Arial Narrow"/>
          <w:szCs w:val="16"/>
        </w:rPr>
        <w:footnoteRef/>
      </w:r>
      <w:r w:rsidRPr="002B186E">
        <w:rPr>
          <w:rFonts w:ascii="Arial Narrow" w:hAnsi="Arial Narrow"/>
          <w:szCs w:val="16"/>
        </w:rPr>
        <w:t xml:space="preserve"> </w:t>
      </w:r>
      <w:r w:rsidRPr="002B186E">
        <w:rPr>
          <w:rFonts w:ascii="Arial Narrow" w:hAnsi="Arial Narrow"/>
          <w:szCs w:val="16"/>
        </w:rPr>
        <w:tab/>
      </w:r>
      <w:r w:rsidRPr="002B186E">
        <w:rPr>
          <w:rFonts w:ascii="Arial Narrow" w:hAnsi="Arial Narrow" w:cs="Arial"/>
          <w:szCs w:val="16"/>
          <w:lang w:val="en" w:eastAsia="en-AU"/>
        </w:rPr>
        <w:t xml:space="preserve">Morrison RS, </w:t>
      </w:r>
      <w:proofErr w:type="spellStart"/>
      <w:r w:rsidRPr="002B186E">
        <w:rPr>
          <w:rFonts w:ascii="Arial Narrow" w:hAnsi="Arial Narrow" w:cs="Arial"/>
          <w:szCs w:val="16"/>
          <w:lang w:val="en" w:eastAsia="en-AU"/>
        </w:rPr>
        <w:t>Penrod</w:t>
      </w:r>
      <w:proofErr w:type="spellEnd"/>
      <w:r w:rsidRPr="002B186E">
        <w:rPr>
          <w:rFonts w:ascii="Arial Narrow" w:hAnsi="Arial Narrow" w:cs="Arial"/>
          <w:szCs w:val="16"/>
          <w:lang w:val="en" w:eastAsia="en-AU"/>
        </w:rPr>
        <w:t xml:space="preserve"> JD, Cassel JB, et al: Cost savings associated with US hospital palliative care consultation programs. </w:t>
      </w:r>
      <w:r w:rsidRPr="002B186E">
        <w:rPr>
          <w:rFonts w:ascii="Arial Narrow" w:hAnsi="Arial Narrow" w:cs="Arial"/>
          <w:i/>
          <w:szCs w:val="16"/>
          <w:lang w:val="en" w:eastAsia="en-AU"/>
        </w:rPr>
        <w:t>Arch Intern Med</w:t>
      </w:r>
      <w:r w:rsidRPr="002B186E">
        <w:rPr>
          <w:rFonts w:ascii="Arial Narrow" w:hAnsi="Arial Narrow" w:cs="Arial"/>
          <w:szCs w:val="16"/>
          <w:lang w:val="en" w:eastAsia="en-AU"/>
        </w:rPr>
        <w:t xml:space="preserve"> 2008; 168(16):1783-1790.</w:t>
      </w:r>
    </w:p>
  </w:footnote>
  <w:footnote w:id="86">
    <w:p w14:paraId="35C9644D"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Higginson et al 2009</w:t>
      </w:r>
    </w:p>
  </w:footnote>
  <w:footnote w:id="87">
    <w:p w14:paraId="0A19AF0C"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 xml:space="preserve">Von </w:t>
      </w:r>
      <w:proofErr w:type="spellStart"/>
      <w:r w:rsidRPr="002B186E">
        <w:rPr>
          <w:rFonts w:ascii="Arial Narrow" w:hAnsi="Arial Narrow" w:cs="Arial"/>
          <w:szCs w:val="16"/>
        </w:rPr>
        <w:t>Gunten</w:t>
      </w:r>
      <w:proofErr w:type="spellEnd"/>
      <w:r w:rsidRPr="002B186E">
        <w:rPr>
          <w:rFonts w:ascii="Arial Narrow" w:hAnsi="Arial Narrow" w:cs="Arial"/>
          <w:szCs w:val="16"/>
        </w:rPr>
        <w:t xml:space="preserve"> 2012.</w:t>
      </w:r>
    </w:p>
  </w:footnote>
  <w:footnote w:id="88">
    <w:p w14:paraId="165D275E" w14:textId="77777777" w:rsidR="009C72FC" w:rsidRPr="002B186E" w:rsidRDefault="009C72FC" w:rsidP="0002559B">
      <w:pPr>
        <w:pStyle w:val="FootnoteText"/>
        <w:tabs>
          <w:tab w:val="left" w:pos="426"/>
        </w:tabs>
        <w:jc w:val="both"/>
        <w:rPr>
          <w:rFonts w:ascii="Arial Narrow" w:hAnsi="Arial Narrow" w:cs="Arial"/>
          <w:sz w:val="18"/>
          <w:szCs w:val="18"/>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Higginson I., Finlay I., Goodwin D.M. Do hospital-based palliative care teams improve care for patients or families at the end of life</w:t>
      </w:r>
      <w:proofErr w:type="gramStart"/>
      <w:r w:rsidRPr="002B186E">
        <w:rPr>
          <w:rFonts w:ascii="Arial Narrow" w:hAnsi="Arial Narrow" w:cs="Arial"/>
          <w:szCs w:val="16"/>
        </w:rPr>
        <w:t>?.</w:t>
      </w:r>
      <w:proofErr w:type="gramEnd"/>
      <w:r w:rsidRPr="002B186E">
        <w:rPr>
          <w:rFonts w:ascii="Arial Narrow" w:hAnsi="Arial Narrow" w:cs="Arial"/>
          <w:szCs w:val="16"/>
        </w:rPr>
        <w:t xml:space="preserve"> </w:t>
      </w:r>
      <w:r w:rsidRPr="002B186E">
        <w:rPr>
          <w:rFonts w:ascii="Arial Narrow" w:hAnsi="Arial Narrow" w:cs="Arial"/>
          <w:i/>
          <w:iCs/>
          <w:szCs w:val="16"/>
        </w:rPr>
        <w:t xml:space="preserve">J Pain Symptom Manage </w:t>
      </w:r>
      <w:r w:rsidRPr="002B186E">
        <w:rPr>
          <w:rFonts w:ascii="Arial Narrow" w:hAnsi="Arial Narrow" w:cs="Arial"/>
          <w:szCs w:val="16"/>
        </w:rPr>
        <w:t xml:space="preserve">2002; </w:t>
      </w:r>
      <w:r w:rsidRPr="002B186E">
        <w:rPr>
          <w:rFonts w:ascii="Arial Narrow" w:hAnsi="Arial Narrow" w:cs="Arial"/>
          <w:b/>
          <w:bCs/>
          <w:szCs w:val="16"/>
        </w:rPr>
        <w:t>23</w:t>
      </w:r>
      <w:r w:rsidRPr="002B186E">
        <w:rPr>
          <w:rFonts w:ascii="Arial Narrow" w:hAnsi="Arial Narrow" w:cs="Arial"/>
          <w:szCs w:val="16"/>
        </w:rPr>
        <w:t>: pp 96-106.</w:t>
      </w:r>
    </w:p>
  </w:footnote>
  <w:footnote w:id="89">
    <w:p w14:paraId="0EBC09FB" w14:textId="77777777" w:rsidR="009C72FC" w:rsidRPr="00664D63" w:rsidRDefault="009C72FC" w:rsidP="0002559B">
      <w:pPr>
        <w:pStyle w:val="FootnoteText"/>
        <w:jc w:val="both"/>
        <w:rPr>
          <w:rFonts w:cs="Arial"/>
          <w:sz w:val="18"/>
          <w:szCs w:val="18"/>
        </w:rPr>
      </w:pPr>
      <w:r w:rsidRPr="002B186E">
        <w:rPr>
          <w:rStyle w:val="FootnoteReference"/>
          <w:rFonts w:ascii="Arial Narrow" w:hAnsi="Arial Narrow" w:cs="Arial"/>
          <w:sz w:val="18"/>
          <w:szCs w:val="18"/>
        </w:rPr>
        <w:footnoteRef/>
      </w:r>
      <w:r w:rsidRPr="002B186E">
        <w:rPr>
          <w:rFonts w:ascii="Arial Narrow" w:hAnsi="Arial Narrow" w:cs="Arial"/>
          <w:sz w:val="18"/>
          <w:szCs w:val="18"/>
        </w:rPr>
        <w:t xml:space="preserve"> </w:t>
      </w:r>
      <w:r w:rsidRPr="002B186E">
        <w:rPr>
          <w:rFonts w:ascii="Arial Narrow" w:hAnsi="Arial Narrow" w:cs="Arial"/>
          <w:sz w:val="18"/>
          <w:szCs w:val="18"/>
        </w:rPr>
        <w:tab/>
      </w:r>
      <w:r w:rsidRPr="002B186E">
        <w:rPr>
          <w:rFonts w:ascii="Arial Narrow" w:hAnsi="Arial Narrow" w:cs="Arial"/>
          <w:szCs w:val="16"/>
        </w:rPr>
        <w:t xml:space="preserve">Back AL, Li YF, Sales AE. </w:t>
      </w:r>
      <w:proofErr w:type="gramStart"/>
      <w:r w:rsidRPr="002B186E">
        <w:rPr>
          <w:rFonts w:ascii="Arial Narrow" w:hAnsi="Arial Narrow" w:cs="Arial"/>
          <w:szCs w:val="16"/>
        </w:rPr>
        <w:t xml:space="preserve">Impact of palliative care case management on resource use by patients dying of cancer at a Veterans Affairs medical </w:t>
      </w:r>
      <w:proofErr w:type="spellStart"/>
      <w:r w:rsidRPr="002B186E">
        <w:rPr>
          <w:rFonts w:ascii="Arial Narrow" w:hAnsi="Arial Narrow" w:cs="Arial"/>
          <w:szCs w:val="16"/>
        </w:rPr>
        <w:t>center</w:t>
      </w:r>
      <w:proofErr w:type="spellEnd"/>
      <w:r w:rsidRPr="002B186E">
        <w:rPr>
          <w:rFonts w:ascii="Arial Narrow" w:hAnsi="Arial Narrow" w:cs="Arial"/>
          <w:szCs w:val="16"/>
        </w:rPr>
        <w:t>.</w:t>
      </w:r>
      <w:proofErr w:type="gramEnd"/>
      <w:r w:rsidRPr="002B186E">
        <w:rPr>
          <w:rFonts w:ascii="Arial Narrow" w:hAnsi="Arial Narrow" w:cs="Arial"/>
          <w:szCs w:val="16"/>
        </w:rPr>
        <w:t xml:space="preserve"> </w:t>
      </w:r>
      <w:r w:rsidRPr="002B186E">
        <w:rPr>
          <w:rFonts w:ascii="Arial Narrow" w:hAnsi="Arial Narrow" w:cs="Arial"/>
          <w:i/>
          <w:szCs w:val="16"/>
        </w:rPr>
        <w:t>J Med</w:t>
      </w:r>
      <w:r w:rsidRPr="002B186E">
        <w:rPr>
          <w:rFonts w:ascii="Arial Narrow" w:hAnsi="Arial Narrow" w:cs="Arial"/>
          <w:szCs w:val="16"/>
        </w:rPr>
        <w:t>. 2005 Feb</w:t>
      </w:r>
      <w:proofErr w:type="gramStart"/>
      <w:r w:rsidRPr="002B186E">
        <w:rPr>
          <w:rFonts w:ascii="Arial Narrow" w:hAnsi="Arial Narrow" w:cs="Arial"/>
          <w:szCs w:val="16"/>
        </w:rPr>
        <w:t>;8</w:t>
      </w:r>
      <w:proofErr w:type="gramEnd"/>
      <w:r w:rsidRPr="002B186E">
        <w:rPr>
          <w:rFonts w:ascii="Arial Narrow" w:hAnsi="Arial Narrow" w:cs="Arial"/>
          <w:szCs w:val="16"/>
        </w:rPr>
        <w:t>(1):26-35.</w:t>
      </w:r>
    </w:p>
  </w:footnote>
  <w:footnote w:id="90">
    <w:p w14:paraId="5ED7AAF0" w14:textId="77777777" w:rsidR="009C72FC" w:rsidRPr="002B186E" w:rsidRDefault="009C72FC" w:rsidP="0002559B">
      <w:pPr>
        <w:pStyle w:val="FootnoteText"/>
        <w:tabs>
          <w:tab w:val="left" w:pos="426"/>
        </w:tabs>
        <w:jc w:val="both"/>
        <w:rPr>
          <w:rFonts w:ascii="Arial Narrow" w:hAnsi="Arial Narrow"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Australian &amp; New Zealand Society of Palliative Medicine.</w:t>
      </w:r>
      <w:proofErr w:type="gramEnd"/>
      <w:r w:rsidRPr="002B186E">
        <w:rPr>
          <w:rFonts w:ascii="Arial Narrow" w:hAnsi="Arial Narrow" w:cs="Arial"/>
          <w:szCs w:val="16"/>
        </w:rPr>
        <w:t xml:space="preserve"> </w:t>
      </w:r>
      <w:hyperlink r:id="rId1" w:history="1">
        <w:proofErr w:type="gramStart"/>
        <w:r w:rsidRPr="002B186E">
          <w:rPr>
            <w:rFonts w:ascii="Arial Narrow" w:hAnsi="Arial Narrow" w:cs="Arial"/>
            <w:i/>
            <w:iCs/>
            <w:szCs w:val="16"/>
          </w:rPr>
          <w:t>Defining the meaning of the terms: Consultant Physician in Palliative Medicine and Palliative Medicine Specialist</w:t>
        </w:r>
      </w:hyperlink>
      <w:r w:rsidRPr="002B186E">
        <w:rPr>
          <w:rFonts w:ascii="Arial Narrow" w:hAnsi="Arial Narrow" w:cs="Arial"/>
          <w:szCs w:val="16"/>
        </w:rPr>
        <w:t>.</w:t>
      </w:r>
      <w:proofErr w:type="gramEnd"/>
      <w:r w:rsidRPr="002B186E">
        <w:rPr>
          <w:rFonts w:ascii="Arial Narrow" w:hAnsi="Arial Narrow" w:cs="Arial"/>
          <w:szCs w:val="16"/>
        </w:rPr>
        <w:t xml:space="preserve"> ANZSPM, </w:t>
      </w:r>
      <w:proofErr w:type="spellStart"/>
      <w:r w:rsidRPr="002B186E">
        <w:rPr>
          <w:rFonts w:ascii="Arial Narrow" w:hAnsi="Arial Narrow" w:cs="Arial"/>
          <w:szCs w:val="16"/>
        </w:rPr>
        <w:t>Inc</w:t>
      </w:r>
      <w:proofErr w:type="spellEnd"/>
      <w:r w:rsidRPr="002B186E">
        <w:rPr>
          <w:rFonts w:ascii="Arial Narrow" w:hAnsi="Arial Narrow" w:cs="Arial"/>
          <w:szCs w:val="16"/>
        </w:rPr>
        <w:t>: Canberra; 2008.</w:t>
      </w:r>
    </w:p>
  </w:footnote>
  <w:footnote w:id="91">
    <w:p w14:paraId="12C5A157" w14:textId="77777777" w:rsidR="009C72FC" w:rsidRPr="00714F28" w:rsidRDefault="009C72FC" w:rsidP="0002559B">
      <w:pPr>
        <w:pStyle w:val="FootnoteText"/>
        <w:tabs>
          <w:tab w:val="left" w:pos="426"/>
        </w:tabs>
        <w:jc w:val="both"/>
        <w:rPr>
          <w:rFonts w:cs="Arial"/>
          <w:szCs w:val="16"/>
        </w:rPr>
      </w:pPr>
      <w:r w:rsidRPr="002B186E">
        <w:rPr>
          <w:rStyle w:val="FootnoteReference"/>
          <w:rFonts w:ascii="Arial Narrow" w:hAnsi="Arial Narrow" w:cs="Arial"/>
          <w:szCs w:val="16"/>
        </w:rPr>
        <w:footnoteRef/>
      </w:r>
      <w:r w:rsidRPr="002B186E">
        <w:rPr>
          <w:rFonts w:ascii="Arial Narrow" w:hAnsi="Arial Narrow" w:cs="Arial"/>
          <w:szCs w:val="16"/>
        </w:rPr>
        <w:t xml:space="preserve"> </w:t>
      </w:r>
      <w:r w:rsidRPr="002B186E">
        <w:rPr>
          <w:rFonts w:ascii="Arial Narrow" w:hAnsi="Arial Narrow" w:cs="Arial"/>
          <w:szCs w:val="16"/>
        </w:rPr>
        <w:tab/>
        <w:t>Such as the Australian Medical Council, New Zealand Medical Council, Medicare Australia and Royal Australasian College of Physicians</w:t>
      </w:r>
    </w:p>
  </w:footnote>
  <w:footnote w:id="92">
    <w:p w14:paraId="42CB4C84" w14:textId="2F94E19E" w:rsidR="009C72FC" w:rsidRPr="002B186E" w:rsidRDefault="009C72FC" w:rsidP="00E35161">
      <w:pPr>
        <w:tabs>
          <w:tab w:val="left" w:pos="426"/>
        </w:tabs>
        <w:spacing w:before="0" w:after="0" w:line="240" w:lineRule="auto"/>
        <w:ind w:left="426" w:hanging="426"/>
        <w:rPr>
          <w:rFonts w:ascii="Arial Narrow" w:hAnsi="Arial Narrow" w:cs="Arial"/>
          <w:szCs w:val="16"/>
        </w:rPr>
      </w:pPr>
      <w:r w:rsidRPr="002B186E">
        <w:rPr>
          <w:rFonts w:ascii="Arial Narrow" w:hAnsi="Arial Narrow"/>
          <w:sz w:val="16"/>
          <w:szCs w:val="16"/>
          <w:vertAlign w:val="superscript"/>
        </w:rPr>
        <w:footnoteRef/>
      </w:r>
      <w:r w:rsidRPr="002B186E">
        <w:rPr>
          <w:rFonts w:ascii="Arial Narrow" w:hAnsi="Arial Narrow" w:cs="Arial"/>
          <w:sz w:val="16"/>
          <w:szCs w:val="16"/>
          <w:vertAlign w:val="superscript"/>
        </w:rPr>
        <w:t xml:space="preserve"> </w:t>
      </w:r>
      <w:r w:rsidRPr="002B186E">
        <w:rPr>
          <w:rFonts w:ascii="Arial Narrow" w:hAnsi="Arial Narrow" w:cs="Arial"/>
          <w:szCs w:val="16"/>
        </w:rPr>
        <w:tab/>
      </w:r>
      <w:proofErr w:type="gramStart"/>
      <w:r w:rsidRPr="002B186E">
        <w:rPr>
          <w:rFonts w:ascii="Arial Narrow" w:hAnsi="Arial Narrow" w:cs="Arial"/>
          <w:sz w:val="16"/>
          <w:szCs w:val="16"/>
        </w:rPr>
        <w:t>Australian &amp; New Zealand Society of Palliative Medicine.</w:t>
      </w:r>
      <w:proofErr w:type="gramEnd"/>
      <w:r w:rsidRPr="002B186E">
        <w:rPr>
          <w:rFonts w:ascii="Arial Narrow" w:hAnsi="Arial Narrow" w:cs="Arial"/>
          <w:sz w:val="16"/>
          <w:szCs w:val="16"/>
        </w:rPr>
        <w:t xml:space="preserve"> </w:t>
      </w:r>
      <w:proofErr w:type="gramStart"/>
      <w:r w:rsidRPr="002B186E">
        <w:rPr>
          <w:rFonts w:ascii="Arial Narrow" w:hAnsi="Arial Narrow" w:cs="Arial"/>
          <w:sz w:val="16"/>
          <w:szCs w:val="16"/>
        </w:rPr>
        <w:t>Benchmark Number of Specialists in Palliative Medicine ANZSPM.</w:t>
      </w:r>
      <w:proofErr w:type="gramEnd"/>
      <w:r w:rsidRPr="002B186E">
        <w:rPr>
          <w:rFonts w:ascii="Arial Narrow" w:hAnsi="Arial Narrow" w:cs="Arial"/>
          <w:sz w:val="16"/>
          <w:szCs w:val="16"/>
        </w:rPr>
        <w:t xml:space="preserve"> Position Statement, ANZSPC </w:t>
      </w:r>
      <w:proofErr w:type="spellStart"/>
      <w:r w:rsidRPr="002B186E">
        <w:rPr>
          <w:rFonts w:ascii="Arial Narrow" w:hAnsi="Arial Narrow" w:cs="Arial"/>
          <w:sz w:val="16"/>
          <w:szCs w:val="16"/>
        </w:rPr>
        <w:t>Inc</w:t>
      </w:r>
      <w:proofErr w:type="spellEnd"/>
      <w:r w:rsidRPr="002B186E">
        <w:rPr>
          <w:rFonts w:ascii="Arial Narrow" w:hAnsi="Arial Narrow" w:cs="Arial"/>
          <w:sz w:val="16"/>
          <w:szCs w:val="16"/>
        </w:rPr>
        <w:t>: Canberra; 2010</w:t>
      </w:r>
    </w:p>
  </w:footnote>
  <w:footnote w:id="93">
    <w:p w14:paraId="0C43297D" w14:textId="77777777" w:rsidR="009C72FC" w:rsidRPr="002B186E" w:rsidRDefault="009C72FC" w:rsidP="0002559B">
      <w:pPr>
        <w:pStyle w:val="FootnoteText"/>
        <w:tabs>
          <w:tab w:val="left" w:pos="426"/>
        </w:tabs>
        <w:jc w:val="both"/>
        <w:rPr>
          <w:rFonts w:ascii="Arial Narrow" w:hAnsi="Arial Narrow" w:cs="Arial"/>
          <w:szCs w:val="16"/>
        </w:rPr>
      </w:pPr>
      <w:r w:rsidRPr="002B186E">
        <w:rPr>
          <w:rFonts w:ascii="Arial Narrow" w:hAnsi="Arial Narrow"/>
          <w:szCs w:val="16"/>
          <w:vertAlign w:val="superscript"/>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Palliative Care Australia.</w:t>
      </w:r>
      <w:proofErr w:type="gramEnd"/>
      <w:r w:rsidRPr="002B186E">
        <w:rPr>
          <w:rFonts w:ascii="Arial Narrow" w:hAnsi="Arial Narrow" w:cs="Arial"/>
          <w:szCs w:val="16"/>
        </w:rPr>
        <w:t xml:space="preserve"> Palliative Care Service Provision in Australia: A Planning Guide. Canberra: PCA; 2003.</w:t>
      </w:r>
    </w:p>
  </w:footnote>
  <w:footnote w:id="94">
    <w:p w14:paraId="079B6978" w14:textId="77777777" w:rsidR="009C72FC" w:rsidRPr="002B186E" w:rsidRDefault="009C72FC" w:rsidP="0002559B">
      <w:pPr>
        <w:pStyle w:val="FootnoteText"/>
        <w:tabs>
          <w:tab w:val="left" w:pos="426"/>
        </w:tabs>
        <w:jc w:val="both"/>
        <w:rPr>
          <w:rFonts w:ascii="Arial Narrow" w:hAnsi="Arial Narrow" w:cs="Arial"/>
          <w:szCs w:val="16"/>
        </w:rPr>
      </w:pPr>
      <w:r w:rsidRPr="002B186E">
        <w:rPr>
          <w:rFonts w:ascii="Arial Narrow" w:hAnsi="Arial Narrow"/>
          <w:szCs w:val="16"/>
          <w:vertAlign w:val="superscript"/>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Royal College of Physicians, (2008), Consultant Physicians Working for Patients.</w:t>
      </w:r>
      <w:proofErr w:type="gramEnd"/>
      <w:r w:rsidRPr="002B186E">
        <w:rPr>
          <w:rFonts w:ascii="Arial Narrow" w:hAnsi="Arial Narrow" w:cs="Arial"/>
          <w:szCs w:val="16"/>
        </w:rPr>
        <w:t xml:space="preserve"> </w:t>
      </w:r>
      <w:proofErr w:type="gramStart"/>
      <w:r w:rsidRPr="002B186E">
        <w:rPr>
          <w:rFonts w:ascii="Arial Narrow" w:hAnsi="Arial Narrow" w:cs="Arial"/>
          <w:szCs w:val="16"/>
        </w:rPr>
        <w:t>4th edition.</w:t>
      </w:r>
      <w:proofErr w:type="gramEnd"/>
      <w:r w:rsidRPr="002B186E">
        <w:rPr>
          <w:rFonts w:ascii="Arial Narrow" w:hAnsi="Arial Narrow" w:cs="Arial"/>
          <w:szCs w:val="16"/>
        </w:rPr>
        <w:t xml:space="preserve"> London: RCP; 2008.</w:t>
      </w:r>
    </w:p>
  </w:footnote>
  <w:footnote w:id="95">
    <w:p w14:paraId="7029D7E3" w14:textId="77777777" w:rsidR="009C72FC" w:rsidRPr="002B186E" w:rsidRDefault="009C72FC" w:rsidP="0002559B">
      <w:pPr>
        <w:pStyle w:val="FootnoteText"/>
        <w:tabs>
          <w:tab w:val="left" w:pos="426"/>
        </w:tabs>
        <w:jc w:val="both"/>
        <w:rPr>
          <w:rFonts w:ascii="Arial Narrow" w:hAnsi="Arial Narrow" w:cs="Arial"/>
          <w:szCs w:val="16"/>
        </w:rPr>
      </w:pPr>
      <w:r w:rsidRPr="002B186E">
        <w:rPr>
          <w:rFonts w:ascii="Arial Narrow" w:hAnsi="Arial Narrow"/>
          <w:szCs w:val="16"/>
          <w:vertAlign w:val="superscript"/>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Queensland Health.</w:t>
      </w:r>
      <w:proofErr w:type="gramEnd"/>
      <w:r w:rsidRPr="002B186E">
        <w:rPr>
          <w:rFonts w:ascii="Arial Narrow" w:hAnsi="Arial Narrow" w:cs="Arial"/>
          <w:szCs w:val="16"/>
        </w:rPr>
        <w:t xml:space="preserve"> Queensland </w:t>
      </w:r>
      <w:proofErr w:type="spellStart"/>
      <w:r w:rsidRPr="002B186E">
        <w:rPr>
          <w:rFonts w:ascii="Arial Narrow" w:hAnsi="Arial Narrow" w:cs="Arial"/>
          <w:szCs w:val="16"/>
        </w:rPr>
        <w:t>Statewide</w:t>
      </w:r>
      <w:proofErr w:type="spellEnd"/>
      <w:r w:rsidRPr="002B186E">
        <w:rPr>
          <w:rFonts w:ascii="Arial Narrow" w:hAnsi="Arial Narrow" w:cs="Arial"/>
          <w:szCs w:val="16"/>
        </w:rPr>
        <w:t xml:space="preserve"> Cancer Treatment Services Plan 2008-2017. Brisbane: Author; 2008. Available at: </w:t>
      </w:r>
      <w:r w:rsidRPr="002B186E">
        <w:rPr>
          <w:rFonts w:ascii="Arial Narrow" w:hAnsi="Arial Narrow"/>
          <w:szCs w:val="16"/>
        </w:rPr>
        <w:t>http://www.health.qld.gov.au/publications/qh_plans/QS_cancer_plan_final.pdf</w:t>
      </w:r>
      <w:r w:rsidRPr="002B186E">
        <w:rPr>
          <w:rFonts w:ascii="Arial Narrow" w:hAnsi="Arial Narrow" w:cs="Arial"/>
          <w:szCs w:val="16"/>
        </w:rPr>
        <w:t xml:space="preserve"> </w:t>
      </w:r>
    </w:p>
  </w:footnote>
  <w:footnote w:id="96">
    <w:p w14:paraId="104C219E" w14:textId="77777777" w:rsidR="009C72FC" w:rsidRPr="009319E0" w:rsidRDefault="009C72FC" w:rsidP="0002559B">
      <w:pPr>
        <w:pStyle w:val="FootnoteText"/>
        <w:tabs>
          <w:tab w:val="left" w:pos="426"/>
        </w:tabs>
        <w:jc w:val="both"/>
        <w:rPr>
          <w:rFonts w:cs="Arial"/>
          <w:szCs w:val="16"/>
        </w:rPr>
      </w:pPr>
      <w:r w:rsidRPr="002B186E">
        <w:rPr>
          <w:rFonts w:ascii="Arial Narrow" w:hAnsi="Arial Narrow"/>
          <w:szCs w:val="16"/>
          <w:vertAlign w:val="superscript"/>
        </w:rPr>
        <w:footnoteRef/>
      </w:r>
      <w:r w:rsidRPr="002B186E">
        <w:rPr>
          <w:rFonts w:ascii="Arial Narrow" w:hAnsi="Arial Narrow" w:cs="Arial"/>
          <w:szCs w:val="16"/>
        </w:rPr>
        <w:t xml:space="preserve"> </w:t>
      </w:r>
      <w:r w:rsidRPr="002B186E">
        <w:rPr>
          <w:rFonts w:ascii="Arial Narrow" w:hAnsi="Arial Narrow" w:cs="Arial"/>
          <w:szCs w:val="16"/>
        </w:rPr>
        <w:tab/>
      </w:r>
      <w:proofErr w:type="gramStart"/>
      <w:r w:rsidRPr="002B186E">
        <w:rPr>
          <w:rFonts w:ascii="Arial Narrow" w:hAnsi="Arial Narrow" w:cs="Arial"/>
          <w:szCs w:val="16"/>
        </w:rPr>
        <w:t>Australian &amp; New Zealand Society of Palliative Medicine, 2010.</w:t>
      </w:r>
      <w:proofErr w:type="gramEnd"/>
    </w:p>
  </w:footnote>
  <w:footnote w:id="97">
    <w:p w14:paraId="1F9FD39C" w14:textId="6D465B11" w:rsidR="009C72FC" w:rsidRPr="002B186E" w:rsidRDefault="009C72FC" w:rsidP="0002559B">
      <w:pPr>
        <w:pStyle w:val="FootnoteText"/>
        <w:jc w:val="both"/>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 xml:space="preserve">Note: Data obtained from </w:t>
      </w:r>
      <w:proofErr w:type="spellStart"/>
      <w:r w:rsidRPr="002B186E">
        <w:rPr>
          <w:rFonts w:ascii="Arial Narrow" w:hAnsi="Arial Narrow"/>
          <w:lang w:val="en-US"/>
        </w:rPr>
        <w:t>AChPM</w:t>
      </w:r>
      <w:proofErr w:type="spellEnd"/>
      <w:r w:rsidRPr="002B186E">
        <w:rPr>
          <w:rFonts w:ascii="Arial Narrow" w:hAnsi="Arial Narrow"/>
          <w:lang w:val="en-US"/>
        </w:rPr>
        <w:t xml:space="preserve">; thus 100% (n=216) are </w:t>
      </w:r>
      <w:proofErr w:type="spellStart"/>
      <w:r w:rsidRPr="002B186E">
        <w:rPr>
          <w:rFonts w:ascii="Arial Narrow" w:hAnsi="Arial Narrow"/>
          <w:lang w:val="en-US"/>
        </w:rPr>
        <w:t>FAChPM</w:t>
      </w:r>
      <w:proofErr w:type="spellEnd"/>
      <w:r w:rsidRPr="002B186E">
        <w:rPr>
          <w:rFonts w:ascii="Arial Narrow" w:hAnsi="Arial Narrow"/>
          <w:lang w:val="en-US"/>
        </w:rPr>
        <w:t xml:space="preserve">, 78 of those with a </w:t>
      </w:r>
      <w:proofErr w:type="spellStart"/>
      <w:r w:rsidRPr="002B186E">
        <w:rPr>
          <w:rFonts w:ascii="Arial Narrow" w:hAnsi="Arial Narrow"/>
          <w:lang w:val="en-US"/>
        </w:rPr>
        <w:t>FAChPM</w:t>
      </w:r>
      <w:proofErr w:type="spellEnd"/>
      <w:r w:rsidRPr="002B186E">
        <w:rPr>
          <w:rFonts w:ascii="Arial Narrow" w:hAnsi="Arial Narrow"/>
          <w:lang w:val="en-US"/>
        </w:rPr>
        <w:t xml:space="preserve"> also have a FRACP ((78/216) x 100 = 36%) etc.</w:t>
      </w:r>
    </w:p>
  </w:footnote>
  <w:footnote w:id="98">
    <w:p w14:paraId="53B27181" w14:textId="77777777" w:rsidR="009C72FC" w:rsidRPr="002B186E" w:rsidRDefault="009C72FC" w:rsidP="00953D74">
      <w:pPr>
        <w:pStyle w:val="FootnoteText"/>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rPr>
        <w:tab/>
      </w:r>
      <w:proofErr w:type="gramStart"/>
      <w:r w:rsidRPr="002B186E">
        <w:rPr>
          <w:rFonts w:ascii="Arial Narrow" w:hAnsi="Arial Narrow" w:cs="Arial"/>
          <w:szCs w:val="16"/>
        </w:rPr>
        <w:t>Australian &amp; New Zealand Society of Palliative Medicine, 2010.</w:t>
      </w:r>
      <w:proofErr w:type="gramEnd"/>
    </w:p>
  </w:footnote>
  <w:footnote w:id="99">
    <w:p w14:paraId="7FB94A29"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cs="Arial"/>
          <w:szCs w:val="16"/>
          <w:vertAlign w:val="superscript"/>
        </w:rPr>
        <w:footnoteRef/>
      </w:r>
      <w:r w:rsidRPr="002B186E">
        <w:rPr>
          <w:rFonts w:ascii="Arial Narrow" w:hAnsi="Arial Narrow" w:cs="Arial"/>
          <w:szCs w:val="16"/>
        </w:rPr>
        <w:t xml:space="preserve"> </w:t>
      </w:r>
      <w:r w:rsidRPr="002B186E">
        <w:rPr>
          <w:rFonts w:ascii="Arial Narrow" w:hAnsi="Arial Narrow" w:cs="Arial"/>
          <w:szCs w:val="16"/>
        </w:rPr>
        <w:tab/>
        <w:t xml:space="preserve">Mitchell GK. How well do general practitioners deliver palliative care? </w:t>
      </w:r>
      <w:proofErr w:type="gramStart"/>
      <w:r w:rsidRPr="002B186E">
        <w:rPr>
          <w:rFonts w:ascii="Arial Narrow" w:hAnsi="Arial Narrow" w:cs="Arial"/>
          <w:szCs w:val="16"/>
        </w:rPr>
        <w:t>A systematic review.</w:t>
      </w:r>
      <w:proofErr w:type="gramEnd"/>
      <w:r w:rsidRPr="002B186E">
        <w:rPr>
          <w:rFonts w:ascii="Arial Narrow" w:hAnsi="Arial Narrow" w:cs="Arial"/>
          <w:szCs w:val="16"/>
        </w:rPr>
        <w:t xml:space="preserve"> </w:t>
      </w:r>
      <w:proofErr w:type="spellStart"/>
      <w:r w:rsidRPr="002B186E">
        <w:rPr>
          <w:rFonts w:ascii="Arial Narrow" w:hAnsi="Arial Narrow" w:cs="Arial"/>
          <w:szCs w:val="16"/>
        </w:rPr>
        <w:t>Palliat</w:t>
      </w:r>
      <w:proofErr w:type="spellEnd"/>
      <w:r w:rsidRPr="002B186E">
        <w:rPr>
          <w:rFonts w:ascii="Arial Narrow" w:hAnsi="Arial Narrow" w:cs="Arial"/>
          <w:szCs w:val="16"/>
        </w:rPr>
        <w:t xml:space="preserve"> Med. 2002 Nov</w:t>
      </w:r>
      <w:proofErr w:type="gramStart"/>
      <w:r w:rsidRPr="002B186E">
        <w:rPr>
          <w:rFonts w:ascii="Arial Narrow" w:hAnsi="Arial Narrow" w:cs="Arial"/>
          <w:szCs w:val="16"/>
        </w:rPr>
        <w:t>;16</w:t>
      </w:r>
      <w:proofErr w:type="gramEnd"/>
      <w:r w:rsidRPr="002B186E">
        <w:rPr>
          <w:rFonts w:ascii="Arial Narrow" w:hAnsi="Arial Narrow" w:cs="Arial"/>
          <w:szCs w:val="16"/>
        </w:rPr>
        <w:t>(6):457-</w:t>
      </w:r>
      <w:r w:rsidRPr="002B186E">
        <w:rPr>
          <w:rFonts w:ascii="Arial Narrow" w:hAnsi="Arial Narrow"/>
          <w:szCs w:val="16"/>
        </w:rPr>
        <w:t>64.</w:t>
      </w:r>
    </w:p>
  </w:footnote>
  <w:footnote w:id="100">
    <w:p w14:paraId="025F011B"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Charlton RC. Attitudes towards care of the dying: a questionnaire survey of general practice attenders. </w:t>
      </w:r>
      <w:proofErr w:type="spellStart"/>
      <w:r w:rsidRPr="002B186E">
        <w:rPr>
          <w:rFonts w:ascii="Arial Narrow" w:hAnsi="Arial Narrow"/>
          <w:szCs w:val="16"/>
        </w:rPr>
        <w:t>Fam</w:t>
      </w:r>
      <w:proofErr w:type="spellEnd"/>
      <w:r w:rsidRPr="002B186E">
        <w:rPr>
          <w:rFonts w:ascii="Arial Narrow" w:hAnsi="Arial Narrow"/>
          <w:szCs w:val="16"/>
        </w:rPr>
        <w:t xml:space="preserve"> </w:t>
      </w:r>
      <w:proofErr w:type="spellStart"/>
      <w:r w:rsidRPr="002B186E">
        <w:rPr>
          <w:rFonts w:ascii="Arial Narrow" w:hAnsi="Arial Narrow"/>
          <w:szCs w:val="16"/>
        </w:rPr>
        <w:t>Pract</w:t>
      </w:r>
      <w:proofErr w:type="spellEnd"/>
      <w:r w:rsidRPr="002B186E">
        <w:rPr>
          <w:rFonts w:ascii="Arial Narrow" w:hAnsi="Arial Narrow"/>
          <w:szCs w:val="16"/>
        </w:rPr>
        <w:t>. 1991 Dec</w:t>
      </w:r>
      <w:proofErr w:type="gramStart"/>
      <w:r w:rsidRPr="002B186E">
        <w:rPr>
          <w:rFonts w:ascii="Arial Narrow" w:hAnsi="Arial Narrow"/>
          <w:szCs w:val="16"/>
        </w:rPr>
        <w:t>;8</w:t>
      </w:r>
      <w:proofErr w:type="gramEnd"/>
      <w:r w:rsidRPr="002B186E">
        <w:rPr>
          <w:rFonts w:ascii="Arial Narrow" w:hAnsi="Arial Narrow"/>
          <w:szCs w:val="16"/>
        </w:rPr>
        <w:t>(4):356-9.</w:t>
      </w:r>
    </w:p>
  </w:footnote>
  <w:footnote w:id="101">
    <w:p w14:paraId="11BA262E"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ab/>
        <w:t xml:space="preserve"> ibid</w:t>
      </w:r>
    </w:p>
  </w:footnote>
  <w:footnote w:id="102">
    <w:p w14:paraId="2D575D20"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Wakefield MA, </w:t>
      </w:r>
      <w:proofErr w:type="spellStart"/>
      <w:r w:rsidRPr="002B186E">
        <w:rPr>
          <w:rFonts w:ascii="Arial Narrow" w:hAnsi="Arial Narrow"/>
          <w:szCs w:val="16"/>
        </w:rPr>
        <w:t>Beilby</w:t>
      </w:r>
      <w:proofErr w:type="spellEnd"/>
      <w:r w:rsidRPr="002B186E">
        <w:rPr>
          <w:rFonts w:ascii="Arial Narrow" w:hAnsi="Arial Narrow"/>
          <w:szCs w:val="16"/>
        </w:rPr>
        <w:t xml:space="preserve"> J, Ashby MA. </w:t>
      </w:r>
      <w:proofErr w:type="gramStart"/>
      <w:r w:rsidRPr="002B186E">
        <w:rPr>
          <w:rFonts w:ascii="Arial Narrow" w:hAnsi="Arial Narrow"/>
          <w:szCs w:val="16"/>
        </w:rPr>
        <w:t>General practitioners and palliative care.</w:t>
      </w:r>
      <w:proofErr w:type="gramEnd"/>
      <w:r w:rsidRPr="002B186E">
        <w:rPr>
          <w:rFonts w:ascii="Arial Narrow" w:hAnsi="Arial Narrow"/>
          <w:szCs w:val="16"/>
        </w:rPr>
        <w:t xml:space="preserve"> </w:t>
      </w:r>
      <w:proofErr w:type="spellStart"/>
      <w:r w:rsidRPr="002B186E">
        <w:rPr>
          <w:rFonts w:ascii="Arial Narrow" w:hAnsi="Arial Narrow"/>
          <w:szCs w:val="16"/>
        </w:rPr>
        <w:t>Palliat</w:t>
      </w:r>
      <w:proofErr w:type="spellEnd"/>
      <w:r w:rsidRPr="002B186E">
        <w:rPr>
          <w:rFonts w:ascii="Arial Narrow" w:hAnsi="Arial Narrow"/>
          <w:szCs w:val="16"/>
        </w:rPr>
        <w:t xml:space="preserve"> Med. 1993</w:t>
      </w:r>
      <w:proofErr w:type="gramStart"/>
      <w:r w:rsidRPr="002B186E">
        <w:rPr>
          <w:rFonts w:ascii="Arial Narrow" w:hAnsi="Arial Narrow"/>
          <w:szCs w:val="16"/>
        </w:rPr>
        <w:t>;7</w:t>
      </w:r>
      <w:proofErr w:type="gramEnd"/>
      <w:r w:rsidRPr="002B186E">
        <w:rPr>
          <w:rFonts w:ascii="Arial Narrow" w:hAnsi="Arial Narrow"/>
          <w:szCs w:val="16"/>
        </w:rPr>
        <w:t>(2):117-26.</w:t>
      </w:r>
    </w:p>
  </w:footnote>
  <w:footnote w:id="103">
    <w:p w14:paraId="0B9C57C4"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r>
      <w:proofErr w:type="gramStart"/>
      <w:r w:rsidRPr="002B186E">
        <w:rPr>
          <w:rFonts w:ascii="Arial Narrow" w:hAnsi="Arial Narrow"/>
          <w:szCs w:val="16"/>
        </w:rPr>
        <w:t xml:space="preserve">McKinley RK, Stokes T, </w:t>
      </w:r>
      <w:proofErr w:type="spellStart"/>
      <w:r w:rsidRPr="002B186E">
        <w:rPr>
          <w:rFonts w:ascii="Arial Narrow" w:hAnsi="Arial Narrow"/>
          <w:szCs w:val="16"/>
        </w:rPr>
        <w:t>Exley</w:t>
      </w:r>
      <w:proofErr w:type="spellEnd"/>
      <w:r w:rsidRPr="002B186E">
        <w:rPr>
          <w:rFonts w:ascii="Arial Narrow" w:hAnsi="Arial Narrow"/>
          <w:szCs w:val="16"/>
        </w:rPr>
        <w:t xml:space="preserve"> C, Field D. Care of people dying with malignant and cardiorespiratory disease in general practice.</w:t>
      </w:r>
      <w:proofErr w:type="gramEnd"/>
      <w:r w:rsidRPr="002B186E">
        <w:rPr>
          <w:rFonts w:ascii="Arial Narrow" w:hAnsi="Arial Narrow"/>
          <w:szCs w:val="16"/>
        </w:rPr>
        <w:t xml:space="preserve"> </w:t>
      </w:r>
      <w:proofErr w:type="gramStart"/>
      <w:r w:rsidRPr="002B186E">
        <w:rPr>
          <w:rFonts w:ascii="Arial Narrow" w:hAnsi="Arial Narrow"/>
          <w:szCs w:val="16"/>
        </w:rPr>
        <w:t xml:space="preserve">Br J Gen </w:t>
      </w:r>
      <w:proofErr w:type="spellStart"/>
      <w:r w:rsidRPr="002B186E">
        <w:rPr>
          <w:rFonts w:ascii="Arial Narrow" w:hAnsi="Arial Narrow"/>
          <w:szCs w:val="16"/>
        </w:rPr>
        <w:t>Pract</w:t>
      </w:r>
      <w:proofErr w:type="spellEnd"/>
      <w:r w:rsidRPr="002B186E">
        <w:rPr>
          <w:rFonts w:ascii="Arial Narrow" w:hAnsi="Arial Narrow"/>
          <w:szCs w:val="16"/>
        </w:rPr>
        <w:t>.</w:t>
      </w:r>
      <w:proofErr w:type="gramEnd"/>
      <w:r w:rsidRPr="002B186E">
        <w:rPr>
          <w:rFonts w:ascii="Arial Narrow" w:hAnsi="Arial Narrow"/>
          <w:szCs w:val="16"/>
        </w:rPr>
        <w:t xml:space="preserve"> 2004</w:t>
      </w:r>
      <w:proofErr w:type="gramStart"/>
      <w:r w:rsidRPr="002B186E">
        <w:rPr>
          <w:rFonts w:ascii="Arial Narrow" w:hAnsi="Arial Narrow"/>
          <w:szCs w:val="16"/>
        </w:rPr>
        <w:t>;14:909</w:t>
      </w:r>
      <w:proofErr w:type="gramEnd"/>
      <w:r w:rsidRPr="002B186E">
        <w:rPr>
          <w:rFonts w:ascii="Arial Narrow" w:hAnsi="Arial Narrow"/>
          <w:szCs w:val="16"/>
        </w:rPr>
        <w:t>–913.</w:t>
      </w:r>
    </w:p>
  </w:footnote>
  <w:footnote w:id="104">
    <w:p w14:paraId="07DFA418"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Mitchell GK, Johnson CE, Thomas K &amp; Murray SA. </w:t>
      </w:r>
      <w:proofErr w:type="gramStart"/>
      <w:r w:rsidRPr="002B186E">
        <w:rPr>
          <w:rFonts w:ascii="Arial Narrow" w:hAnsi="Arial Narrow"/>
          <w:szCs w:val="16"/>
        </w:rPr>
        <w:t>Palliative care beyond that for cancer in Australia.</w:t>
      </w:r>
      <w:proofErr w:type="gramEnd"/>
      <w:r w:rsidRPr="002B186E">
        <w:rPr>
          <w:rFonts w:ascii="Arial Narrow" w:hAnsi="Arial Narrow"/>
          <w:szCs w:val="16"/>
        </w:rPr>
        <w:t xml:space="preserve"> Medical Journal of Australia 2010</w:t>
      </w:r>
      <w:proofErr w:type="gramStart"/>
      <w:r w:rsidRPr="002B186E">
        <w:rPr>
          <w:rFonts w:ascii="Arial Narrow" w:hAnsi="Arial Narrow"/>
          <w:szCs w:val="16"/>
        </w:rPr>
        <w:t>;193</w:t>
      </w:r>
      <w:proofErr w:type="gramEnd"/>
      <w:r w:rsidRPr="002B186E">
        <w:rPr>
          <w:rFonts w:ascii="Arial Narrow" w:hAnsi="Arial Narrow"/>
          <w:szCs w:val="16"/>
        </w:rPr>
        <w:t>(2):124–6.</w:t>
      </w:r>
    </w:p>
  </w:footnote>
  <w:footnote w:id="105">
    <w:p w14:paraId="29A6CE70" w14:textId="77777777" w:rsidR="009C72FC" w:rsidRPr="002B186E" w:rsidRDefault="009C72FC" w:rsidP="0002559B">
      <w:pPr>
        <w:pStyle w:val="FootnoteText"/>
        <w:tabs>
          <w:tab w:val="left" w:pos="426"/>
        </w:tabs>
        <w:jc w:val="both"/>
        <w:rPr>
          <w:rFonts w:ascii="Arial Narrow" w:hAnsi="Arial Narrow" w:cs="Arial"/>
          <w:sz w:val="18"/>
          <w:szCs w:val="18"/>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Waller A, </w:t>
      </w:r>
      <w:proofErr w:type="spellStart"/>
      <w:r w:rsidRPr="002B186E">
        <w:rPr>
          <w:rFonts w:ascii="Arial Narrow" w:hAnsi="Arial Narrow"/>
          <w:szCs w:val="16"/>
        </w:rPr>
        <w:t>Girgis</w:t>
      </w:r>
      <w:proofErr w:type="spellEnd"/>
      <w:r w:rsidRPr="002B186E">
        <w:rPr>
          <w:rFonts w:ascii="Arial Narrow" w:hAnsi="Arial Narrow"/>
          <w:szCs w:val="16"/>
        </w:rPr>
        <w:t xml:space="preserve"> A, Johnson C, Mitchell G, Yates P, </w:t>
      </w:r>
      <w:proofErr w:type="spellStart"/>
      <w:r w:rsidRPr="002B186E">
        <w:rPr>
          <w:rFonts w:ascii="Arial Narrow" w:hAnsi="Arial Narrow"/>
          <w:szCs w:val="16"/>
        </w:rPr>
        <w:t>Kristjanson</w:t>
      </w:r>
      <w:proofErr w:type="spellEnd"/>
      <w:r w:rsidRPr="002B186E">
        <w:rPr>
          <w:rFonts w:ascii="Arial Narrow" w:hAnsi="Arial Narrow"/>
          <w:szCs w:val="16"/>
        </w:rPr>
        <w:t xml:space="preserve"> L, Tattersall M, </w:t>
      </w:r>
      <w:proofErr w:type="spellStart"/>
      <w:r w:rsidRPr="002B186E">
        <w:rPr>
          <w:rFonts w:ascii="Arial Narrow" w:hAnsi="Arial Narrow"/>
          <w:szCs w:val="16"/>
        </w:rPr>
        <w:t>Lecathelinais</w:t>
      </w:r>
      <w:proofErr w:type="spellEnd"/>
      <w:r w:rsidRPr="002B186E">
        <w:rPr>
          <w:rFonts w:ascii="Arial Narrow" w:hAnsi="Arial Narrow"/>
          <w:szCs w:val="16"/>
        </w:rPr>
        <w:t xml:space="preserve"> C, </w:t>
      </w:r>
      <w:proofErr w:type="spellStart"/>
      <w:r w:rsidRPr="002B186E">
        <w:rPr>
          <w:rFonts w:ascii="Arial Narrow" w:hAnsi="Arial Narrow"/>
          <w:szCs w:val="16"/>
        </w:rPr>
        <w:t>Sibbritt</w:t>
      </w:r>
      <w:proofErr w:type="spellEnd"/>
      <w:r w:rsidRPr="002B186E">
        <w:rPr>
          <w:rFonts w:ascii="Arial Narrow" w:hAnsi="Arial Narrow"/>
          <w:szCs w:val="16"/>
        </w:rPr>
        <w:t xml:space="preserve"> D, Kelly B, Gorton E, </w:t>
      </w:r>
      <w:proofErr w:type="spellStart"/>
      <w:r w:rsidRPr="002B186E">
        <w:rPr>
          <w:rFonts w:ascii="Arial Narrow" w:hAnsi="Arial Narrow"/>
          <w:szCs w:val="16"/>
        </w:rPr>
        <w:t>Currow</w:t>
      </w:r>
      <w:proofErr w:type="spellEnd"/>
      <w:r w:rsidRPr="002B186E">
        <w:rPr>
          <w:rFonts w:ascii="Arial Narrow" w:hAnsi="Arial Narrow"/>
          <w:szCs w:val="16"/>
        </w:rPr>
        <w:t xml:space="preserve"> D. Facilitating needs based cancer care for people with a chronic disease: Evaluation of an intervention using a multi-centre interrupted time series design. </w:t>
      </w:r>
      <w:proofErr w:type="gramStart"/>
      <w:r w:rsidRPr="002B186E">
        <w:rPr>
          <w:rFonts w:ascii="Arial Narrow" w:hAnsi="Arial Narrow"/>
          <w:szCs w:val="16"/>
        </w:rPr>
        <w:t xml:space="preserve">BMC </w:t>
      </w:r>
      <w:proofErr w:type="spellStart"/>
      <w:r w:rsidRPr="002B186E">
        <w:rPr>
          <w:rFonts w:ascii="Arial Narrow" w:hAnsi="Arial Narrow"/>
          <w:szCs w:val="16"/>
        </w:rPr>
        <w:t>Palliat</w:t>
      </w:r>
      <w:proofErr w:type="spellEnd"/>
      <w:r w:rsidRPr="002B186E">
        <w:rPr>
          <w:rFonts w:ascii="Arial Narrow" w:hAnsi="Arial Narrow"/>
          <w:szCs w:val="16"/>
        </w:rPr>
        <w:t xml:space="preserve"> Care.</w:t>
      </w:r>
      <w:proofErr w:type="gramEnd"/>
      <w:r w:rsidRPr="002B186E">
        <w:rPr>
          <w:rFonts w:ascii="Arial Narrow" w:hAnsi="Arial Narrow"/>
          <w:szCs w:val="16"/>
        </w:rPr>
        <w:t xml:space="preserve"> 2010 Jan 11</w:t>
      </w:r>
      <w:proofErr w:type="gramStart"/>
      <w:r w:rsidRPr="002B186E">
        <w:rPr>
          <w:rFonts w:ascii="Arial Narrow" w:hAnsi="Arial Narrow"/>
          <w:szCs w:val="16"/>
        </w:rPr>
        <w:t>;9:2</w:t>
      </w:r>
      <w:proofErr w:type="gramEnd"/>
      <w:r w:rsidRPr="002B186E">
        <w:rPr>
          <w:rFonts w:ascii="Arial Narrow" w:hAnsi="Arial Narrow"/>
          <w:szCs w:val="16"/>
        </w:rPr>
        <w:t>.</w:t>
      </w:r>
    </w:p>
  </w:footnote>
  <w:footnote w:id="106">
    <w:p w14:paraId="7F4A6E7C"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r>
      <w:proofErr w:type="spellStart"/>
      <w:r w:rsidRPr="002B186E">
        <w:rPr>
          <w:rFonts w:ascii="Arial Narrow" w:hAnsi="Arial Narrow"/>
          <w:szCs w:val="16"/>
        </w:rPr>
        <w:t>Dahlhaus</w:t>
      </w:r>
      <w:proofErr w:type="spellEnd"/>
      <w:r w:rsidRPr="002B186E">
        <w:rPr>
          <w:rFonts w:ascii="Arial Narrow" w:hAnsi="Arial Narrow"/>
          <w:szCs w:val="16"/>
        </w:rPr>
        <w:t xml:space="preserve"> A, </w:t>
      </w:r>
      <w:proofErr w:type="spellStart"/>
      <w:r w:rsidRPr="002B186E">
        <w:rPr>
          <w:rFonts w:ascii="Arial Narrow" w:hAnsi="Arial Narrow"/>
          <w:szCs w:val="16"/>
        </w:rPr>
        <w:t>Vanneman</w:t>
      </w:r>
      <w:proofErr w:type="spellEnd"/>
      <w:r w:rsidRPr="002B186E">
        <w:rPr>
          <w:rFonts w:ascii="Arial Narrow" w:hAnsi="Arial Narrow"/>
          <w:szCs w:val="16"/>
        </w:rPr>
        <w:t xml:space="preserve"> N, </w:t>
      </w:r>
      <w:proofErr w:type="spellStart"/>
      <w:r w:rsidRPr="002B186E">
        <w:rPr>
          <w:rFonts w:ascii="Arial Narrow" w:hAnsi="Arial Narrow"/>
          <w:szCs w:val="16"/>
        </w:rPr>
        <w:t>Siebenhofer</w:t>
      </w:r>
      <w:proofErr w:type="spellEnd"/>
      <w:r w:rsidRPr="002B186E">
        <w:rPr>
          <w:rFonts w:ascii="Arial Narrow" w:hAnsi="Arial Narrow"/>
          <w:szCs w:val="16"/>
        </w:rPr>
        <w:t xml:space="preserve"> A, </w:t>
      </w:r>
      <w:proofErr w:type="spellStart"/>
      <w:r w:rsidRPr="002B186E">
        <w:rPr>
          <w:rFonts w:ascii="Arial Narrow" w:hAnsi="Arial Narrow"/>
          <w:szCs w:val="16"/>
        </w:rPr>
        <w:t>Brosche</w:t>
      </w:r>
      <w:proofErr w:type="spellEnd"/>
      <w:r w:rsidRPr="002B186E">
        <w:rPr>
          <w:rFonts w:ascii="Arial Narrow" w:hAnsi="Arial Narrow"/>
          <w:szCs w:val="16"/>
        </w:rPr>
        <w:t xml:space="preserve"> M, </w:t>
      </w:r>
      <w:proofErr w:type="spellStart"/>
      <w:r w:rsidRPr="002B186E">
        <w:rPr>
          <w:rFonts w:ascii="Arial Narrow" w:hAnsi="Arial Narrow"/>
          <w:szCs w:val="16"/>
        </w:rPr>
        <w:t>Guethlin</w:t>
      </w:r>
      <w:proofErr w:type="spellEnd"/>
      <w:r w:rsidRPr="002B186E">
        <w:rPr>
          <w:rFonts w:ascii="Arial Narrow" w:hAnsi="Arial Narrow"/>
          <w:szCs w:val="16"/>
        </w:rPr>
        <w:t xml:space="preserve"> C. Involvement of general practitioners in palliative cancer care: a qualitative study. Support Care Cancer. 2013 Dec</w:t>
      </w:r>
      <w:proofErr w:type="gramStart"/>
      <w:r w:rsidRPr="002B186E">
        <w:rPr>
          <w:rFonts w:ascii="Arial Narrow" w:hAnsi="Arial Narrow"/>
          <w:szCs w:val="16"/>
        </w:rPr>
        <w:t>;21</w:t>
      </w:r>
      <w:proofErr w:type="gramEnd"/>
      <w:r w:rsidRPr="002B186E">
        <w:rPr>
          <w:rFonts w:ascii="Arial Narrow" w:hAnsi="Arial Narrow"/>
          <w:szCs w:val="16"/>
        </w:rPr>
        <w:t>(12):3293-300.</w:t>
      </w:r>
    </w:p>
  </w:footnote>
  <w:footnote w:id="107">
    <w:p w14:paraId="657D760B"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Mitchell GK, Del Mar CB, O'Rourke PK, </w:t>
      </w:r>
      <w:proofErr w:type="spellStart"/>
      <w:r w:rsidRPr="002B186E">
        <w:rPr>
          <w:rFonts w:ascii="Arial Narrow" w:hAnsi="Arial Narrow"/>
          <w:szCs w:val="16"/>
        </w:rPr>
        <w:t>Clavarino</w:t>
      </w:r>
      <w:proofErr w:type="spellEnd"/>
      <w:r w:rsidRPr="002B186E">
        <w:rPr>
          <w:rFonts w:ascii="Arial Narrow" w:hAnsi="Arial Narrow"/>
          <w:szCs w:val="16"/>
        </w:rPr>
        <w:t xml:space="preserve"> AM. Do case conferences between general practitioners and specialist palliative care services improve quality of life? </w:t>
      </w:r>
      <w:proofErr w:type="gramStart"/>
      <w:r w:rsidRPr="002B186E">
        <w:rPr>
          <w:rFonts w:ascii="Arial Narrow" w:hAnsi="Arial Narrow"/>
          <w:szCs w:val="16"/>
        </w:rPr>
        <w:t>A randomised controlled trial (ISRCTN 52269003).</w:t>
      </w:r>
      <w:proofErr w:type="gramEnd"/>
      <w:r w:rsidRPr="002B186E">
        <w:rPr>
          <w:rFonts w:ascii="Arial Narrow" w:hAnsi="Arial Narrow"/>
          <w:szCs w:val="16"/>
        </w:rPr>
        <w:t xml:space="preserve"> </w:t>
      </w:r>
      <w:proofErr w:type="spellStart"/>
      <w:r w:rsidRPr="002B186E">
        <w:rPr>
          <w:rFonts w:ascii="Arial Narrow" w:hAnsi="Arial Narrow"/>
          <w:szCs w:val="16"/>
        </w:rPr>
        <w:t>Palliat</w:t>
      </w:r>
      <w:proofErr w:type="spellEnd"/>
      <w:r w:rsidRPr="002B186E">
        <w:rPr>
          <w:rFonts w:ascii="Arial Narrow" w:hAnsi="Arial Narrow"/>
          <w:szCs w:val="16"/>
        </w:rPr>
        <w:t xml:space="preserve"> Med. 2008 Dec</w:t>
      </w:r>
      <w:proofErr w:type="gramStart"/>
      <w:r w:rsidRPr="002B186E">
        <w:rPr>
          <w:rFonts w:ascii="Arial Narrow" w:hAnsi="Arial Narrow"/>
          <w:szCs w:val="16"/>
        </w:rPr>
        <w:t>;22</w:t>
      </w:r>
      <w:proofErr w:type="gramEnd"/>
      <w:r w:rsidRPr="002B186E">
        <w:rPr>
          <w:rFonts w:ascii="Arial Narrow" w:hAnsi="Arial Narrow"/>
          <w:szCs w:val="16"/>
        </w:rPr>
        <w:t>(8):904-12.</w:t>
      </w:r>
    </w:p>
  </w:footnote>
  <w:footnote w:id="108">
    <w:p w14:paraId="19266C86"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Mitchell GK. Primary palliative care - facing twin challenges. </w:t>
      </w:r>
      <w:proofErr w:type="spellStart"/>
      <w:r w:rsidRPr="002B186E">
        <w:rPr>
          <w:rFonts w:ascii="Arial Narrow" w:hAnsi="Arial Narrow"/>
          <w:szCs w:val="16"/>
        </w:rPr>
        <w:t>Aust</w:t>
      </w:r>
      <w:proofErr w:type="spellEnd"/>
      <w:r w:rsidRPr="002B186E">
        <w:rPr>
          <w:rFonts w:ascii="Arial Narrow" w:hAnsi="Arial Narrow"/>
          <w:szCs w:val="16"/>
        </w:rPr>
        <w:t xml:space="preserve"> </w:t>
      </w:r>
      <w:proofErr w:type="spellStart"/>
      <w:proofErr w:type="gramStart"/>
      <w:r w:rsidRPr="002B186E">
        <w:rPr>
          <w:rFonts w:ascii="Arial Narrow" w:hAnsi="Arial Narrow"/>
          <w:szCs w:val="16"/>
        </w:rPr>
        <w:t>Fam</w:t>
      </w:r>
      <w:proofErr w:type="spellEnd"/>
      <w:proofErr w:type="gramEnd"/>
      <w:r w:rsidRPr="002B186E">
        <w:rPr>
          <w:rFonts w:ascii="Arial Narrow" w:hAnsi="Arial Narrow"/>
          <w:szCs w:val="16"/>
        </w:rPr>
        <w:t xml:space="preserve"> Physician. 2011 Jul</w:t>
      </w:r>
      <w:proofErr w:type="gramStart"/>
      <w:r w:rsidRPr="002B186E">
        <w:rPr>
          <w:rFonts w:ascii="Arial Narrow" w:hAnsi="Arial Narrow"/>
          <w:szCs w:val="16"/>
        </w:rPr>
        <w:t>;40</w:t>
      </w:r>
      <w:proofErr w:type="gramEnd"/>
      <w:r w:rsidRPr="002B186E">
        <w:rPr>
          <w:rFonts w:ascii="Arial Narrow" w:hAnsi="Arial Narrow"/>
          <w:szCs w:val="16"/>
        </w:rPr>
        <w:t>(7):517-8.</w:t>
      </w:r>
    </w:p>
  </w:footnote>
  <w:footnote w:id="109">
    <w:p w14:paraId="721E1310"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vertAlign w:val="superscript"/>
        </w:rPr>
        <w:t xml:space="preserve"> </w:t>
      </w:r>
      <w:r w:rsidRPr="002B186E">
        <w:rPr>
          <w:rFonts w:ascii="Arial Narrow" w:hAnsi="Arial Narrow"/>
          <w:szCs w:val="16"/>
          <w:vertAlign w:val="superscript"/>
        </w:rPr>
        <w:tab/>
      </w:r>
      <w:r w:rsidRPr="002B186E">
        <w:rPr>
          <w:rFonts w:ascii="Arial Narrow" w:hAnsi="Arial Narrow"/>
          <w:szCs w:val="16"/>
        </w:rPr>
        <w:t xml:space="preserve">Rhee J, </w:t>
      </w:r>
      <w:proofErr w:type="spellStart"/>
      <w:r w:rsidRPr="002B186E">
        <w:rPr>
          <w:rFonts w:ascii="Arial Narrow" w:hAnsi="Arial Narrow"/>
          <w:szCs w:val="16"/>
        </w:rPr>
        <w:t>Zwar</w:t>
      </w:r>
      <w:proofErr w:type="spellEnd"/>
      <w:r w:rsidRPr="002B186E">
        <w:rPr>
          <w:rFonts w:ascii="Arial Narrow" w:hAnsi="Arial Narrow"/>
          <w:szCs w:val="16"/>
        </w:rPr>
        <w:t xml:space="preserve"> N, </w:t>
      </w:r>
      <w:proofErr w:type="spellStart"/>
      <w:r w:rsidRPr="002B186E">
        <w:rPr>
          <w:rFonts w:ascii="Arial Narrow" w:hAnsi="Arial Narrow"/>
          <w:szCs w:val="16"/>
        </w:rPr>
        <w:t>Vagholkar</w:t>
      </w:r>
      <w:proofErr w:type="spellEnd"/>
      <w:r w:rsidRPr="002B186E">
        <w:rPr>
          <w:rFonts w:ascii="Arial Narrow" w:hAnsi="Arial Narrow"/>
          <w:szCs w:val="16"/>
        </w:rPr>
        <w:t xml:space="preserve"> S, Dennis S, Broadbent A, Mitchell G. Attitudes and barriers to involvement in palliative care by Australian urban general practitioners. J Pall Med 2008</w:t>
      </w:r>
      <w:proofErr w:type="gramStart"/>
      <w:r w:rsidRPr="002B186E">
        <w:rPr>
          <w:rFonts w:ascii="Arial Narrow" w:hAnsi="Arial Narrow"/>
          <w:szCs w:val="16"/>
        </w:rPr>
        <w:t>;11:980</w:t>
      </w:r>
      <w:proofErr w:type="gramEnd"/>
      <w:r w:rsidRPr="002B186E">
        <w:rPr>
          <w:rFonts w:ascii="Arial Narrow" w:hAnsi="Arial Narrow"/>
          <w:szCs w:val="16"/>
        </w:rPr>
        <w:t>–5.</w:t>
      </w:r>
    </w:p>
  </w:footnote>
  <w:footnote w:id="110">
    <w:p w14:paraId="06CE4A79"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ab/>
        <w:t xml:space="preserve">Johnson CE, </w:t>
      </w:r>
      <w:proofErr w:type="spellStart"/>
      <w:r w:rsidRPr="002B186E">
        <w:rPr>
          <w:rFonts w:ascii="Arial Narrow" w:hAnsi="Arial Narrow"/>
          <w:szCs w:val="16"/>
        </w:rPr>
        <w:t>Lizama</w:t>
      </w:r>
      <w:proofErr w:type="spellEnd"/>
      <w:r w:rsidRPr="002B186E">
        <w:rPr>
          <w:rFonts w:ascii="Arial Narrow" w:hAnsi="Arial Narrow"/>
          <w:szCs w:val="16"/>
        </w:rPr>
        <w:t xml:space="preserve"> N, </w:t>
      </w:r>
      <w:proofErr w:type="spellStart"/>
      <w:r w:rsidRPr="002B186E">
        <w:rPr>
          <w:rFonts w:ascii="Arial Narrow" w:hAnsi="Arial Narrow"/>
          <w:szCs w:val="16"/>
        </w:rPr>
        <w:t>Garg</w:t>
      </w:r>
      <w:proofErr w:type="spellEnd"/>
      <w:r w:rsidRPr="002B186E">
        <w:rPr>
          <w:rFonts w:ascii="Arial Narrow" w:hAnsi="Arial Narrow"/>
          <w:szCs w:val="16"/>
        </w:rPr>
        <w:t xml:space="preserve"> N, Ghosh M, Emery J, Saunders C. Australian general practitioners' preferences for managing the care of people diagnosed with cancer. </w:t>
      </w:r>
      <w:proofErr w:type="gramStart"/>
      <w:r w:rsidRPr="002B186E">
        <w:rPr>
          <w:rFonts w:ascii="Arial Narrow" w:hAnsi="Arial Narrow"/>
          <w:szCs w:val="16"/>
        </w:rPr>
        <w:t xml:space="preserve">Asia Pac J </w:t>
      </w:r>
      <w:proofErr w:type="spellStart"/>
      <w:r w:rsidRPr="002B186E">
        <w:rPr>
          <w:rFonts w:ascii="Arial Narrow" w:hAnsi="Arial Narrow"/>
          <w:szCs w:val="16"/>
        </w:rPr>
        <w:t>Clin</w:t>
      </w:r>
      <w:proofErr w:type="spellEnd"/>
      <w:r w:rsidRPr="002B186E">
        <w:rPr>
          <w:rFonts w:ascii="Arial Narrow" w:hAnsi="Arial Narrow"/>
          <w:szCs w:val="16"/>
        </w:rPr>
        <w:t xml:space="preserve"> </w:t>
      </w:r>
      <w:proofErr w:type="spellStart"/>
      <w:r w:rsidRPr="002B186E">
        <w:rPr>
          <w:rFonts w:ascii="Arial Narrow" w:hAnsi="Arial Narrow"/>
          <w:szCs w:val="16"/>
        </w:rPr>
        <w:t>Oncol</w:t>
      </w:r>
      <w:proofErr w:type="spellEnd"/>
      <w:r w:rsidRPr="002B186E">
        <w:rPr>
          <w:rFonts w:ascii="Arial Narrow" w:hAnsi="Arial Narrow"/>
          <w:szCs w:val="16"/>
        </w:rPr>
        <w:t>.</w:t>
      </w:r>
      <w:proofErr w:type="gramEnd"/>
      <w:r w:rsidRPr="002B186E">
        <w:rPr>
          <w:rFonts w:ascii="Arial Narrow" w:hAnsi="Arial Narrow"/>
          <w:szCs w:val="16"/>
        </w:rPr>
        <w:t xml:space="preserve"> </w:t>
      </w:r>
      <w:proofErr w:type="gramStart"/>
      <w:r w:rsidRPr="002B186E">
        <w:rPr>
          <w:rFonts w:ascii="Arial Narrow" w:hAnsi="Arial Narrow"/>
          <w:szCs w:val="16"/>
        </w:rPr>
        <w:t>2012 Dec 26.</w:t>
      </w:r>
      <w:proofErr w:type="gramEnd"/>
    </w:p>
  </w:footnote>
  <w:footnote w:id="111">
    <w:p w14:paraId="330BA899" w14:textId="77777777" w:rsidR="009C72FC" w:rsidRPr="009319E0" w:rsidRDefault="009C72FC" w:rsidP="0002559B">
      <w:pPr>
        <w:pStyle w:val="FootnoteText"/>
        <w:tabs>
          <w:tab w:val="left" w:pos="426"/>
        </w:tabs>
        <w:jc w:val="both"/>
        <w:rPr>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 xml:space="preserve">Barclay S, Todd C, Grande G, </w:t>
      </w:r>
      <w:proofErr w:type="spellStart"/>
      <w:r w:rsidRPr="002B186E">
        <w:rPr>
          <w:rFonts w:ascii="Arial Narrow" w:hAnsi="Arial Narrow"/>
          <w:szCs w:val="16"/>
        </w:rPr>
        <w:t>Lipscombe</w:t>
      </w:r>
      <w:proofErr w:type="spellEnd"/>
      <w:r w:rsidRPr="002B186E">
        <w:rPr>
          <w:rFonts w:ascii="Arial Narrow" w:hAnsi="Arial Narrow"/>
          <w:szCs w:val="16"/>
        </w:rPr>
        <w:t xml:space="preserve"> J. How common is medical training in palliative care? </w:t>
      </w:r>
      <w:proofErr w:type="gramStart"/>
      <w:r w:rsidRPr="002B186E">
        <w:rPr>
          <w:rFonts w:ascii="Arial Narrow" w:hAnsi="Arial Narrow"/>
          <w:szCs w:val="16"/>
        </w:rPr>
        <w:t>A postal survey of general practitioners.</w:t>
      </w:r>
      <w:proofErr w:type="gramEnd"/>
      <w:r w:rsidRPr="002B186E">
        <w:rPr>
          <w:rFonts w:ascii="Arial Narrow" w:hAnsi="Arial Narrow"/>
          <w:szCs w:val="16"/>
        </w:rPr>
        <w:t xml:space="preserve"> </w:t>
      </w:r>
      <w:proofErr w:type="gramStart"/>
      <w:r w:rsidRPr="002B186E">
        <w:rPr>
          <w:rFonts w:ascii="Arial Narrow" w:hAnsi="Arial Narrow"/>
          <w:szCs w:val="16"/>
        </w:rPr>
        <w:t xml:space="preserve">Br J Gen </w:t>
      </w:r>
      <w:proofErr w:type="spellStart"/>
      <w:r w:rsidRPr="002B186E">
        <w:rPr>
          <w:rFonts w:ascii="Arial Narrow" w:hAnsi="Arial Narrow"/>
          <w:szCs w:val="16"/>
        </w:rPr>
        <w:t>Pract</w:t>
      </w:r>
      <w:proofErr w:type="spellEnd"/>
      <w:r w:rsidRPr="002B186E">
        <w:rPr>
          <w:rFonts w:ascii="Arial Narrow" w:hAnsi="Arial Narrow"/>
          <w:szCs w:val="16"/>
        </w:rPr>
        <w:t>.</w:t>
      </w:r>
      <w:proofErr w:type="gramEnd"/>
      <w:r w:rsidRPr="002B186E">
        <w:rPr>
          <w:rFonts w:ascii="Arial Narrow" w:hAnsi="Arial Narrow"/>
          <w:szCs w:val="16"/>
        </w:rPr>
        <w:t xml:space="preserve"> 1997 Dec</w:t>
      </w:r>
      <w:proofErr w:type="gramStart"/>
      <w:r w:rsidRPr="002B186E">
        <w:rPr>
          <w:rFonts w:ascii="Arial Narrow" w:hAnsi="Arial Narrow"/>
          <w:szCs w:val="16"/>
        </w:rPr>
        <w:t>;47</w:t>
      </w:r>
      <w:proofErr w:type="gramEnd"/>
      <w:r w:rsidRPr="002B186E">
        <w:rPr>
          <w:rFonts w:ascii="Arial Narrow" w:hAnsi="Arial Narrow"/>
          <w:szCs w:val="16"/>
        </w:rPr>
        <w:t>(425):800-4.</w:t>
      </w:r>
    </w:p>
  </w:footnote>
  <w:footnote w:id="112">
    <w:p w14:paraId="614FC89A"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r>
      <w:proofErr w:type="gramStart"/>
      <w:r w:rsidRPr="002B186E">
        <w:rPr>
          <w:rFonts w:ascii="Arial Narrow" w:hAnsi="Arial Narrow"/>
          <w:szCs w:val="16"/>
        </w:rPr>
        <w:t xml:space="preserve">Groot MM, </w:t>
      </w:r>
      <w:proofErr w:type="spellStart"/>
      <w:r w:rsidRPr="002B186E">
        <w:rPr>
          <w:rFonts w:ascii="Arial Narrow" w:hAnsi="Arial Narrow"/>
          <w:szCs w:val="16"/>
        </w:rPr>
        <w:t>Vernooij-Dassen</w:t>
      </w:r>
      <w:proofErr w:type="spellEnd"/>
      <w:r w:rsidRPr="002B186E">
        <w:rPr>
          <w:rFonts w:ascii="Arial Narrow" w:hAnsi="Arial Narrow"/>
          <w:szCs w:val="16"/>
        </w:rPr>
        <w:t xml:space="preserve"> MJ, </w:t>
      </w:r>
      <w:proofErr w:type="spellStart"/>
      <w:r w:rsidRPr="002B186E">
        <w:rPr>
          <w:rFonts w:ascii="Arial Narrow" w:hAnsi="Arial Narrow"/>
          <w:szCs w:val="16"/>
        </w:rPr>
        <w:t>Crul</w:t>
      </w:r>
      <w:proofErr w:type="spellEnd"/>
      <w:r w:rsidRPr="002B186E">
        <w:rPr>
          <w:rFonts w:ascii="Arial Narrow" w:hAnsi="Arial Narrow"/>
          <w:szCs w:val="16"/>
        </w:rPr>
        <w:t xml:space="preserve"> BJ, </w:t>
      </w:r>
      <w:proofErr w:type="spellStart"/>
      <w:r w:rsidRPr="002B186E">
        <w:rPr>
          <w:rFonts w:ascii="Arial Narrow" w:hAnsi="Arial Narrow"/>
          <w:szCs w:val="16"/>
        </w:rPr>
        <w:t>Grol</w:t>
      </w:r>
      <w:proofErr w:type="spellEnd"/>
      <w:r w:rsidRPr="002B186E">
        <w:rPr>
          <w:rFonts w:ascii="Arial Narrow" w:hAnsi="Arial Narrow"/>
          <w:szCs w:val="16"/>
        </w:rPr>
        <w:t xml:space="preserve"> RP.</w:t>
      </w:r>
      <w:proofErr w:type="gramEnd"/>
      <w:r w:rsidRPr="002B186E">
        <w:rPr>
          <w:rFonts w:ascii="Arial Narrow" w:hAnsi="Arial Narrow"/>
          <w:szCs w:val="16"/>
        </w:rPr>
        <w:t xml:space="preserve"> General practitioners (GPs) and palliative care: perceived tasks and barriers in daily practice. </w:t>
      </w:r>
      <w:proofErr w:type="spellStart"/>
      <w:r w:rsidRPr="002B186E">
        <w:rPr>
          <w:rFonts w:ascii="Arial Narrow" w:hAnsi="Arial Narrow"/>
          <w:szCs w:val="16"/>
        </w:rPr>
        <w:t>Palliat</w:t>
      </w:r>
      <w:proofErr w:type="spellEnd"/>
      <w:r w:rsidRPr="002B186E">
        <w:rPr>
          <w:rFonts w:ascii="Arial Narrow" w:hAnsi="Arial Narrow"/>
          <w:szCs w:val="16"/>
        </w:rPr>
        <w:t xml:space="preserve"> Med. 2005 Mar</w:t>
      </w:r>
      <w:proofErr w:type="gramStart"/>
      <w:r w:rsidRPr="002B186E">
        <w:rPr>
          <w:rFonts w:ascii="Arial Narrow" w:hAnsi="Arial Narrow"/>
          <w:szCs w:val="16"/>
        </w:rPr>
        <w:t>;19</w:t>
      </w:r>
      <w:proofErr w:type="gramEnd"/>
      <w:r w:rsidRPr="002B186E">
        <w:rPr>
          <w:rFonts w:ascii="Arial Narrow" w:hAnsi="Arial Narrow"/>
          <w:szCs w:val="16"/>
        </w:rPr>
        <w:t>(2):111-8.</w:t>
      </w:r>
    </w:p>
  </w:footnote>
  <w:footnote w:id="113">
    <w:p w14:paraId="4CCF9FAD"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vertAlign w:val="superscript"/>
        </w:rPr>
        <w:t xml:space="preserve"> </w:t>
      </w:r>
      <w:r w:rsidRPr="002B186E">
        <w:rPr>
          <w:rFonts w:ascii="Arial Narrow" w:hAnsi="Arial Narrow"/>
          <w:szCs w:val="16"/>
        </w:rPr>
        <w:tab/>
        <w:t>ibid</w:t>
      </w:r>
    </w:p>
  </w:footnote>
  <w:footnote w:id="114">
    <w:p w14:paraId="542D809F"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vertAlign w:val="superscript"/>
        </w:rPr>
        <w:t xml:space="preserve"> </w:t>
      </w:r>
      <w:r w:rsidRPr="002B186E">
        <w:rPr>
          <w:rFonts w:ascii="Arial Narrow" w:hAnsi="Arial Narrow"/>
          <w:szCs w:val="16"/>
        </w:rPr>
        <w:tab/>
        <w:t>Rhee et al 2008</w:t>
      </w:r>
    </w:p>
  </w:footnote>
  <w:footnote w:id="115">
    <w:p w14:paraId="70AC2641"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ibid</w:t>
      </w:r>
    </w:p>
  </w:footnote>
  <w:footnote w:id="116">
    <w:p w14:paraId="17448B4B" w14:textId="77777777" w:rsidR="009C72FC" w:rsidRPr="002B186E" w:rsidRDefault="009C72FC" w:rsidP="0002559B">
      <w:pPr>
        <w:pStyle w:val="FootnoteText"/>
        <w:tabs>
          <w:tab w:val="left" w:pos="426"/>
        </w:tabs>
        <w:jc w:val="both"/>
        <w:rPr>
          <w:rFonts w:ascii="Arial Narrow" w:hAnsi="Arial Narrow"/>
          <w:szCs w:val="16"/>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ibid</w:t>
      </w:r>
    </w:p>
  </w:footnote>
  <w:footnote w:id="117">
    <w:p w14:paraId="3BA08381" w14:textId="77777777" w:rsidR="009C72FC" w:rsidRPr="002B186E" w:rsidRDefault="009C72FC" w:rsidP="0002559B">
      <w:pPr>
        <w:pStyle w:val="FootnoteText"/>
        <w:tabs>
          <w:tab w:val="left" w:pos="426"/>
        </w:tabs>
        <w:jc w:val="both"/>
        <w:rPr>
          <w:rFonts w:ascii="Arial Narrow" w:hAnsi="Arial Narrow" w:cs="Arial"/>
          <w:sz w:val="18"/>
          <w:szCs w:val="18"/>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Rhee et al 2008</w:t>
      </w:r>
    </w:p>
  </w:footnote>
  <w:footnote w:id="118">
    <w:p w14:paraId="17E1BBBD" w14:textId="77777777" w:rsidR="009C72FC" w:rsidRPr="002B186E" w:rsidRDefault="009C72FC" w:rsidP="0002559B">
      <w:pPr>
        <w:pStyle w:val="FootnoteText"/>
        <w:tabs>
          <w:tab w:val="left" w:pos="426"/>
        </w:tabs>
        <w:jc w:val="both"/>
        <w:rPr>
          <w:rFonts w:ascii="Arial Narrow" w:hAnsi="Arial Narrow" w:cs="Arial"/>
          <w:sz w:val="18"/>
          <w:szCs w:val="18"/>
        </w:rPr>
      </w:pPr>
      <w:r w:rsidRPr="002B186E">
        <w:rPr>
          <w:rFonts w:ascii="Arial Narrow" w:hAnsi="Arial Narrow"/>
          <w:szCs w:val="16"/>
          <w:vertAlign w:val="superscript"/>
        </w:rPr>
        <w:footnoteRef/>
      </w:r>
      <w:r w:rsidRPr="002B186E">
        <w:rPr>
          <w:rFonts w:ascii="Arial Narrow" w:hAnsi="Arial Narrow"/>
          <w:szCs w:val="16"/>
        </w:rPr>
        <w:t xml:space="preserve"> </w:t>
      </w:r>
      <w:r w:rsidRPr="002B186E">
        <w:rPr>
          <w:rFonts w:ascii="Arial Narrow" w:hAnsi="Arial Narrow"/>
          <w:szCs w:val="16"/>
        </w:rPr>
        <w:tab/>
        <w:t>ibid</w:t>
      </w:r>
    </w:p>
  </w:footnote>
  <w:footnote w:id="119">
    <w:p w14:paraId="49EC0D43" w14:textId="77777777" w:rsidR="009C72FC" w:rsidRPr="002B186E" w:rsidRDefault="009C72FC" w:rsidP="0002559B">
      <w:pPr>
        <w:pStyle w:val="FootnoteText"/>
        <w:jc w:val="both"/>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rPr>
        <w:tab/>
      </w:r>
      <w:proofErr w:type="gramStart"/>
      <w:r w:rsidRPr="002B186E">
        <w:rPr>
          <w:rFonts w:ascii="Arial Narrow" w:hAnsi="Arial Narrow"/>
          <w:lang w:val="en-US"/>
        </w:rPr>
        <w:t>Australian Medical Council (2005) p.26.</w:t>
      </w:r>
      <w:proofErr w:type="gramEnd"/>
    </w:p>
  </w:footnote>
  <w:footnote w:id="120">
    <w:p w14:paraId="7FC5A7BD" w14:textId="77777777" w:rsidR="009C72FC" w:rsidRPr="005A591A" w:rsidRDefault="009C72FC" w:rsidP="0002559B">
      <w:pPr>
        <w:pStyle w:val="FootnoteText"/>
        <w:jc w:val="both"/>
        <w:rPr>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r>
      <w:proofErr w:type="gramStart"/>
      <w:r w:rsidRPr="002B186E">
        <w:rPr>
          <w:rFonts w:ascii="Arial Narrow" w:hAnsi="Arial Narrow"/>
          <w:lang w:val="en-US"/>
        </w:rPr>
        <w:t>Ibid p.27.</w:t>
      </w:r>
      <w:proofErr w:type="gramEnd"/>
    </w:p>
  </w:footnote>
  <w:footnote w:id="121">
    <w:p w14:paraId="5CC10D25" w14:textId="3C3A52BA" w:rsidR="009C72FC" w:rsidRPr="002B186E" w:rsidRDefault="009C72FC" w:rsidP="0002559B">
      <w:pPr>
        <w:pStyle w:val="FootnoteText"/>
        <w:jc w:val="both"/>
        <w:rPr>
          <w:rFonts w:ascii="Arial Narrow" w:hAnsi="Arial Narrow"/>
          <w:lang w:val="en-US"/>
        </w:rPr>
      </w:pPr>
      <w:r w:rsidRPr="002B186E">
        <w:rPr>
          <w:rFonts w:ascii="Arial Narrow" w:hAnsi="Arial Narrow"/>
          <w:vertAlign w:val="superscript"/>
        </w:rPr>
        <w:footnoteRef/>
      </w:r>
      <w:r w:rsidRPr="002B186E">
        <w:rPr>
          <w:rFonts w:ascii="Arial Narrow" w:hAnsi="Arial Narrow"/>
          <w:vertAlign w:val="superscript"/>
          <w:lang w:val="en-US"/>
        </w:rPr>
        <w:t>.</w:t>
      </w:r>
      <w:r w:rsidRPr="002B186E">
        <w:rPr>
          <w:rFonts w:ascii="Arial Narrow" w:hAnsi="Arial Narrow"/>
          <w:vertAlign w:val="superscript"/>
          <w:lang w:val="en-US"/>
        </w:rPr>
        <w:tab/>
      </w:r>
      <w:r w:rsidRPr="002B186E">
        <w:rPr>
          <w:rFonts w:ascii="Arial Narrow" w:hAnsi="Arial Narrow"/>
          <w:lang w:val="en-US"/>
        </w:rPr>
        <w:t>Identified from current registration data supplied by the Australasian Chapter of Palliative Medicine (July 2013). Eligible fellows were those aged 65 years of age or younger and registered to practice in Australia.</w:t>
      </w:r>
    </w:p>
  </w:footnote>
  <w:footnote w:id="122">
    <w:p w14:paraId="75223EA6" w14:textId="38A2DAB9" w:rsidR="009C72FC" w:rsidRPr="002B186E" w:rsidRDefault="009C72FC" w:rsidP="0002559B">
      <w:pPr>
        <w:pStyle w:val="FootnoteText"/>
        <w:jc w:val="both"/>
        <w:rPr>
          <w:rFonts w:ascii="Arial Narrow" w:hAnsi="Arial Narrow"/>
          <w:lang w:val="en-US"/>
        </w:rPr>
      </w:pPr>
      <w:r w:rsidRPr="002B186E">
        <w:rPr>
          <w:rFonts w:ascii="Arial Narrow" w:hAnsi="Arial Narrow"/>
          <w:vertAlign w:val="superscript"/>
        </w:rPr>
        <w:footnoteRef/>
      </w:r>
      <w:r w:rsidRPr="002B186E">
        <w:rPr>
          <w:rFonts w:ascii="Arial Narrow" w:hAnsi="Arial Narrow"/>
          <w:vertAlign w:val="superscript"/>
          <w:lang w:val="en-US"/>
        </w:rPr>
        <w:t>.</w:t>
      </w:r>
      <w:r w:rsidRPr="002B186E">
        <w:rPr>
          <w:rFonts w:ascii="Arial Narrow" w:hAnsi="Arial Narrow"/>
          <w:lang w:val="en-US"/>
        </w:rPr>
        <w:tab/>
      </w:r>
      <w:proofErr w:type="gramStart"/>
      <w:r w:rsidRPr="002B186E">
        <w:rPr>
          <w:rFonts w:ascii="Arial Narrow" w:hAnsi="Arial Narrow"/>
          <w:lang w:val="en-US"/>
        </w:rPr>
        <w:t>As at July 2013.</w:t>
      </w:r>
      <w:proofErr w:type="gramEnd"/>
      <w:r w:rsidRPr="002B186E">
        <w:rPr>
          <w:rFonts w:ascii="Arial Narrow" w:hAnsi="Arial Narrow"/>
          <w:lang w:val="en-US"/>
        </w:rPr>
        <w:t xml:space="preserve"> Note: Data obtained from </w:t>
      </w:r>
      <w:proofErr w:type="spellStart"/>
      <w:r w:rsidRPr="002B186E">
        <w:rPr>
          <w:rFonts w:ascii="Arial Narrow" w:hAnsi="Arial Narrow"/>
          <w:lang w:val="en-US"/>
        </w:rPr>
        <w:t>AChPM</w:t>
      </w:r>
      <w:proofErr w:type="spellEnd"/>
      <w:r w:rsidRPr="002B186E">
        <w:rPr>
          <w:rFonts w:ascii="Arial Narrow" w:hAnsi="Arial Narrow"/>
          <w:lang w:val="en-US"/>
        </w:rPr>
        <w:t xml:space="preserve">; thus 100% (n=216) are </w:t>
      </w:r>
      <w:proofErr w:type="spellStart"/>
      <w:r w:rsidRPr="002B186E">
        <w:rPr>
          <w:rFonts w:ascii="Arial Narrow" w:hAnsi="Arial Narrow"/>
          <w:lang w:val="en-US"/>
        </w:rPr>
        <w:t>FAChPM</w:t>
      </w:r>
      <w:proofErr w:type="spellEnd"/>
      <w:r w:rsidRPr="002B186E">
        <w:rPr>
          <w:rFonts w:ascii="Arial Narrow" w:hAnsi="Arial Narrow"/>
          <w:lang w:val="en-US"/>
        </w:rPr>
        <w:t xml:space="preserve">, 78 of those with a </w:t>
      </w:r>
      <w:proofErr w:type="spellStart"/>
      <w:r w:rsidRPr="002B186E">
        <w:rPr>
          <w:rFonts w:ascii="Arial Narrow" w:hAnsi="Arial Narrow"/>
          <w:lang w:val="en-US"/>
        </w:rPr>
        <w:t>FAChPM</w:t>
      </w:r>
      <w:proofErr w:type="spellEnd"/>
      <w:r w:rsidRPr="002B186E">
        <w:rPr>
          <w:rFonts w:ascii="Arial Narrow" w:hAnsi="Arial Narrow"/>
          <w:lang w:val="en-US"/>
        </w:rPr>
        <w:t xml:space="preserve"> also have a FRACP ((78/216) x 100 = 36%) etc.</w:t>
      </w:r>
    </w:p>
  </w:footnote>
  <w:footnote w:id="123">
    <w:p w14:paraId="301FBD68" w14:textId="3DF548EB" w:rsidR="009C72FC" w:rsidRPr="002B186E" w:rsidRDefault="009C72FC" w:rsidP="0002559B">
      <w:pPr>
        <w:pStyle w:val="FootnoteText"/>
        <w:jc w:val="both"/>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According to Chapter data other fellowships include the Australian College of Rural and Remote Medicine (2), Australian Faculty of Public Health Medicine (2), Faculty of Pain Medicine (2), Australasian Faculty of Rehabilitation Medicine (1), New Zealand College of General Practice (1), Royal Australian and New Zealand College of Radiology (1) and Royal College of Physicians (1)</w:t>
      </w:r>
    </w:p>
  </w:footnote>
  <w:footnote w:id="124">
    <w:p w14:paraId="14842C53" w14:textId="77777777" w:rsidR="009C72FC" w:rsidRPr="001A2BE6" w:rsidRDefault="009C72FC" w:rsidP="0002559B">
      <w:pPr>
        <w:pStyle w:val="FootnoteText"/>
        <w:jc w:val="both"/>
        <w:rPr>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lang w:val="en-US"/>
        </w:rPr>
        <w:tab/>
        <w:t>MBS item 3005, 3018,110, or 132.</w:t>
      </w:r>
    </w:p>
  </w:footnote>
  <w:footnote w:id="125">
    <w:p w14:paraId="0DFD6581" w14:textId="26C49A48" w:rsidR="009C72FC" w:rsidRPr="002B186E" w:rsidRDefault="009C72FC">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vertAlign w:val="superscript"/>
        </w:rPr>
        <w:tab/>
      </w:r>
      <w:r w:rsidRPr="002B186E">
        <w:rPr>
          <w:rFonts w:ascii="Arial Narrow" w:hAnsi="Arial Narrow"/>
        </w:rPr>
        <w:t>Palliative Care (Items 3005 and 3018), Palliative Care + Physician (Items 110 and 132)</w:t>
      </w:r>
    </w:p>
  </w:footnote>
  <w:footnote w:id="126">
    <w:p w14:paraId="6AA5E6BF" w14:textId="54C1636F" w:rsidR="009C72FC" w:rsidRPr="002B186E" w:rsidRDefault="009C72FC">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rPr>
        <w:tab/>
        <w:t>Includes palliative care specialists who are also co-registered as physicians and relates to Items 110 and 132</w:t>
      </w:r>
    </w:p>
  </w:footnote>
  <w:footnote w:id="127">
    <w:p w14:paraId="6CA61D16" w14:textId="17CA54BC" w:rsidR="009C72FC" w:rsidRPr="002B186E" w:rsidRDefault="009C72FC">
      <w:pPr>
        <w:pStyle w:val="FootnoteText"/>
        <w:rPr>
          <w:rFonts w:ascii="Arial Narrow" w:hAnsi="Arial Narrow"/>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rPr>
        <w:tab/>
        <w:t>Home/RACF visits refer to items 3018/3023; Prolonged consultations refer to items 3005/110/132: Long consultations refer to items 3010/116/133: Standard and short consultations refer to GP item numbers (e.g., 23)</w:t>
      </w:r>
    </w:p>
  </w:footnote>
  <w:footnote w:id="128">
    <w:p w14:paraId="5CA238E4" w14:textId="1A4CDF77" w:rsidR="009C72FC" w:rsidRPr="002B186E" w:rsidRDefault="009C72FC">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vertAlign w:val="superscript"/>
        </w:rPr>
        <w:tab/>
      </w:r>
      <w:r w:rsidRPr="002B186E">
        <w:rPr>
          <w:rFonts w:ascii="Arial Narrow" w:hAnsi="Arial Narrow"/>
        </w:rPr>
        <w:t>Data presented in this table (and all future tables relating to modelling) is based upon a linear projection of the three years of obtained MBS data – in order to forecast/estimate the likely future demand for services (from 2013 to 2015).</w:t>
      </w:r>
    </w:p>
  </w:footnote>
  <w:footnote w:id="129">
    <w:p w14:paraId="5BFB6C93" w14:textId="0F8040F9" w:rsidR="009C72FC" w:rsidRPr="002B186E" w:rsidRDefault="009C72FC">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rPr>
        <w:tab/>
        <w:t>Please note that modelling is on actual (average) patterns of service delivery claims (which are a mixture of items billed at 75% and 85%).</w:t>
      </w:r>
    </w:p>
  </w:footnote>
  <w:footnote w:id="130">
    <w:p w14:paraId="02670905" w14:textId="24E4BB8C" w:rsidR="009C72FC" w:rsidRPr="002B186E" w:rsidRDefault="009C72FC" w:rsidP="00366B52">
      <w:pPr>
        <w:pStyle w:val="FootnoteText"/>
        <w:rPr>
          <w:rFonts w:ascii="Arial Narrow" w:hAnsi="Arial Narrow"/>
        </w:rPr>
      </w:pPr>
      <w:r w:rsidRPr="002B186E">
        <w:rPr>
          <w:rFonts w:ascii="Arial Narrow" w:hAnsi="Arial Narrow"/>
          <w:vertAlign w:val="superscript"/>
        </w:rPr>
        <w:footnoteRef/>
      </w:r>
      <w:r w:rsidRPr="002B186E">
        <w:rPr>
          <w:rFonts w:ascii="Arial Narrow" w:hAnsi="Arial Narrow"/>
          <w:vertAlign w:val="superscript"/>
        </w:rPr>
        <w:t>.</w:t>
      </w:r>
      <w:r w:rsidRPr="002B186E">
        <w:rPr>
          <w:rFonts w:ascii="Arial Narrow" w:hAnsi="Arial Narrow"/>
          <w:vertAlign w:val="superscript"/>
        </w:rPr>
        <w:tab/>
      </w:r>
      <w:r w:rsidRPr="002B186E">
        <w:rPr>
          <w:rFonts w:ascii="Arial Narrow" w:hAnsi="Arial Narrow"/>
        </w:rPr>
        <w:t>Please note that modelling is on actual (average) patterns of service delivery claims (which are a mixture of items billed at 75% and 85%).</w:t>
      </w:r>
    </w:p>
  </w:footnote>
  <w:footnote w:id="131">
    <w:p w14:paraId="2DA52A58" w14:textId="77777777" w:rsidR="009C72FC" w:rsidRPr="002B186E" w:rsidRDefault="009C72FC" w:rsidP="004263C1">
      <w:pPr>
        <w:pStyle w:val="FootnoteText"/>
        <w:rPr>
          <w:rFonts w:ascii="Arial Narrow" w:hAnsi="Arial Narrow"/>
          <w:lang w:val="en-US"/>
        </w:rPr>
      </w:pPr>
      <w:r w:rsidRPr="002B186E">
        <w:rPr>
          <w:rStyle w:val="FootnoteReference"/>
          <w:rFonts w:ascii="Arial Narrow" w:hAnsi="Arial Narrow"/>
        </w:rPr>
        <w:footnoteRef/>
      </w:r>
      <w:r w:rsidRPr="002B186E">
        <w:rPr>
          <w:rFonts w:ascii="Arial Narrow" w:hAnsi="Arial Narrow"/>
        </w:rPr>
        <w:t xml:space="preserve"> </w:t>
      </w:r>
      <w:r w:rsidRPr="002B186E">
        <w:rPr>
          <w:rFonts w:ascii="Arial Narrow" w:hAnsi="Arial Narrow"/>
        </w:rPr>
        <w:tab/>
      </w:r>
      <w:r w:rsidRPr="002B186E">
        <w:rPr>
          <w:rFonts w:ascii="Arial Narrow" w:hAnsi="Arial Narrow"/>
          <w:lang w:val="en-US"/>
        </w:rPr>
        <w:t>This means that the actions are independent but not mutually exclusive.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29E57" w14:textId="0BF9D917" w:rsidR="009C72FC" w:rsidRPr="000926B1" w:rsidRDefault="009C72FC" w:rsidP="00795F0C">
    <w:pPr>
      <w:pStyle w:val="Header"/>
      <w:tabs>
        <w:tab w:val="clear" w:pos="4320"/>
        <w:tab w:val="clear" w:pos="8640"/>
      </w:tabs>
      <w:ind w:right="-200"/>
      <w:rPr>
        <w:lang w:val="fr-FR"/>
      </w:rPr>
    </w:pPr>
    <w:r>
      <w:rPr>
        <w:noProof/>
        <w:lang w:eastAsia="en-AU"/>
      </w:rPr>
      <w:drawing>
        <wp:inline distT="0" distB="0" distL="0" distR="0" wp14:anchorId="0B09F1EB" wp14:editId="17927E71">
          <wp:extent cx="2233930" cy="731520"/>
          <wp:effectExtent l="0" t="0" r="0" b="0"/>
          <wp:docPr id="12" name="Picture 2" descr="ASPEX_Logo_final-horizontal" title="Aspex Logo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X_Logo_final-horizontal"/>
                  <pic:cNvPicPr>
                    <a:picLocks noChangeAspect="1" noChangeArrowheads="1"/>
                  </pic:cNvPicPr>
                </pic:nvPicPr>
                <pic:blipFill>
                  <a:blip r:embed="rId1">
                    <a:extLst>
                      <a:ext uri="{28A0092B-C50C-407E-A947-70E740481C1C}">
                        <a14:useLocalDpi xmlns:a14="http://schemas.microsoft.com/office/drawing/2010/main" val="0"/>
                      </a:ext>
                    </a:extLst>
                  </a:blip>
                  <a:srcRect l="3043" t="13725"/>
                  <a:stretch>
                    <a:fillRect/>
                  </a:stretch>
                </pic:blipFill>
                <pic:spPr bwMode="auto">
                  <a:xfrm>
                    <a:off x="0" y="0"/>
                    <a:ext cx="2233930" cy="731520"/>
                  </a:xfrm>
                  <a:prstGeom prst="rect">
                    <a:avLst/>
                  </a:prstGeom>
                  <a:noFill/>
                  <a:ln w="9525">
                    <a:noFill/>
                    <a:miter lim="800000"/>
                    <a:headEnd/>
                    <a:tailEnd/>
                  </a:ln>
                </pic:spPr>
              </pic:pic>
            </a:graphicData>
          </a:graphic>
        </wp:inline>
      </w:drawing>
    </w:r>
    <w:r w:rsidRPr="00B26622">
      <w:rPr>
        <w:noProof/>
        <w:sz w:val="18"/>
        <w:szCs w:val="18"/>
        <w:lang w:eastAsia="en-AU"/>
      </w:rPr>
      <mc:AlternateContent>
        <mc:Choice Requires="wps">
          <w:drawing>
            <wp:inline distT="0" distB="0" distL="0" distR="0" wp14:anchorId="4FB34935" wp14:editId="7F06267D">
              <wp:extent cx="3017716" cy="695960"/>
              <wp:effectExtent l="0" t="0" r="0" b="8890"/>
              <wp:docPr id="15" name="Text Box 15" title="Report Header"/>
              <wp:cNvGraphicFramePr/>
              <a:graphic xmlns:a="http://schemas.openxmlformats.org/drawingml/2006/main">
                <a:graphicData uri="http://schemas.microsoft.com/office/word/2010/wordprocessingShape">
                  <wps:wsp>
                    <wps:cNvSpPr txBox="1"/>
                    <wps:spPr>
                      <a:xfrm>
                        <a:off x="0" y="0"/>
                        <a:ext cx="3017716" cy="6959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EFD4B7" w14:textId="77777777" w:rsidR="009C72FC" w:rsidRPr="00B26622" w:rsidRDefault="009C72FC" w:rsidP="00830379">
                          <w:pPr>
                            <w:spacing w:before="100" w:beforeAutospacing="1" w:after="0" w:line="240" w:lineRule="auto"/>
                            <w:jc w:val="right"/>
                            <w:rPr>
                              <w:sz w:val="18"/>
                              <w:szCs w:val="18"/>
                            </w:rPr>
                          </w:pPr>
                          <w:r w:rsidRPr="00B26622">
                            <w:rPr>
                              <w:sz w:val="18"/>
                              <w:szCs w:val="18"/>
                            </w:rPr>
                            <w:t>The Australian Government Department of Health</w:t>
                          </w:r>
                        </w:p>
                        <w:p w14:paraId="54C05A94" w14:textId="55D1F0D1" w:rsidR="009C72FC" w:rsidRPr="00B26622" w:rsidRDefault="009C72FC" w:rsidP="00830379">
                          <w:pPr>
                            <w:spacing w:before="0" w:after="0" w:line="240" w:lineRule="auto"/>
                            <w:jc w:val="right"/>
                            <w:rPr>
                              <w:sz w:val="18"/>
                              <w:szCs w:val="18"/>
                            </w:rPr>
                          </w:pPr>
                          <w:r w:rsidRPr="00B26622">
                            <w:rPr>
                              <w:sz w:val="18"/>
                              <w:szCs w:val="18"/>
                            </w:rPr>
                            <w:t xml:space="preserve">Analysis of proposed MBS items for </w:t>
                          </w:r>
                          <w:r>
                            <w:rPr>
                              <w:sz w:val="18"/>
                              <w:szCs w:val="18"/>
                            </w:rPr>
                            <w:t>palliative medicine</w:t>
                          </w:r>
                        </w:p>
                        <w:p w14:paraId="725FC165" w14:textId="295CAD56" w:rsidR="009C72FC" w:rsidRPr="00B26622" w:rsidRDefault="009C72FC" w:rsidP="00830379">
                          <w:pPr>
                            <w:spacing w:before="0" w:after="0" w:line="240" w:lineRule="auto"/>
                            <w:jc w:val="right"/>
                            <w:rPr>
                              <w:sz w:val="18"/>
                              <w:szCs w:val="18"/>
                            </w:rPr>
                          </w:pPr>
                          <w:r>
                            <w:rPr>
                              <w:sz w:val="18"/>
                              <w:szCs w:val="18"/>
                            </w:rPr>
                            <w:t>Final</w:t>
                          </w:r>
                          <w:r w:rsidRPr="00B26622">
                            <w:rPr>
                              <w:sz w:val="18"/>
                              <w:szCs w:val="18"/>
                            </w:rPr>
                            <w:t xml:space="preserve"> Report</w:t>
                          </w:r>
                        </w:p>
                        <w:p w14:paraId="5E8B3387" w14:textId="22EC5F61" w:rsidR="009C72FC" w:rsidRPr="00B26622" w:rsidRDefault="009C72FC" w:rsidP="00830379">
                          <w:pPr>
                            <w:spacing w:before="0" w:after="0" w:line="240" w:lineRule="auto"/>
                            <w:jc w:val="right"/>
                          </w:pPr>
                          <w:r>
                            <w:rPr>
                              <w:sz w:val="18"/>
                              <w:szCs w:val="18"/>
                            </w:rPr>
                            <w:t>11 March</w:t>
                          </w:r>
                          <w:r w:rsidRPr="00B26622">
                            <w:rPr>
                              <w:sz w:val="18"/>
                              <w:szCs w:val="18"/>
                            </w:rPr>
                            <w:t xml:space="preserve"> 201</w:t>
                          </w: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26" type="#_x0000_t202" alt="Title: Report Header" style="width:237.6pt;height: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" filled="f" stroked="f">
              <v:textbox>
                <w:txbxContent>
                  <w:p w14:paraId="5DEFD4B7" w14:textId="77777777" w:rsidR="00795F0C" w:rsidRPr="00B26622" w:rsidRDefault="00795F0C" w:rsidP="00830379">
                    <w:pPr>
                      <w:spacing w:before="100" w:beforeAutospacing="1" w:after="0" w:line="240" w:lineRule="auto"/>
                      <w:jc w:val="right"/>
                      <w:rPr>
                        <w:sz w:val="18"/>
                        <w:szCs w:val="18"/>
                      </w:rPr>
                    </w:pPr>
                    <w:r w:rsidRPr="00B26622">
                      <w:rPr>
                        <w:sz w:val="18"/>
                        <w:szCs w:val="18"/>
                      </w:rPr>
                      <w:t>The Australian Government Department of Health</w:t>
                    </w:r>
                  </w:p>
                  <w:p w14:paraId="54C05A94" w14:textId="55D1F0D1" w:rsidR="00795F0C" w:rsidRPr="00B26622" w:rsidRDefault="00795F0C" w:rsidP="00830379">
                    <w:pPr>
                      <w:spacing w:before="0" w:after="0" w:line="240" w:lineRule="auto"/>
                      <w:jc w:val="right"/>
                      <w:rPr>
                        <w:sz w:val="18"/>
                        <w:szCs w:val="18"/>
                      </w:rPr>
                    </w:pPr>
                    <w:r w:rsidRPr="00B26622">
                      <w:rPr>
                        <w:sz w:val="18"/>
                        <w:szCs w:val="18"/>
                      </w:rPr>
                      <w:t xml:space="preserve">Analysis of proposed MBS items for </w:t>
                    </w:r>
                    <w:r>
                      <w:rPr>
                        <w:sz w:val="18"/>
                        <w:szCs w:val="18"/>
                      </w:rPr>
                      <w:t>palliative medicine</w:t>
                    </w:r>
                  </w:p>
                  <w:p w14:paraId="725FC165" w14:textId="295CAD56" w:rsidR="00795F0C" w:rsidRPr="00B26622" w:rsidRDefault="00795F0C" w:rsidP="00830379">
                    <w:pPr>
                      <w:spacing w:before="0" w:after="0" w:line="240" w:lineRule="auto"/>
                      <w:jc w:val="right"/>
                      <w:rPr>
                        <w:sz w:val="18"/>
                        <w:szCs w:val="18"/>
                      </w:rPr>
                    </w:pPr>
                    <w:r>
                      <w:rPr>
                        <w:sz w:val="18"/>
                        <w:szCs w:val="18"/>
                      </w:rPr>
                      <w:t>Final</w:t>
                    </w:r>
                    <w:r w:rsidRPr="00B26622">
                      <w:rPr>
                        <w:sz w:val="18"/>
                        <w:szCs w:val="18"/>
                      </w:rPr>
                      <w:t xml:space="preserve"> Report</w:t>
                    </w:r>
                  </w:p>
                  <w:p w14:paraId="5E8B3387" w14:textId="22EC5F61" w:rsidR="00795F0C" w:rsidRPr="00B26622" w:rsidRDefault="00795F0C" w:rsidP="00830379">
                    <w:pPr>
                      <w:spacing w:before="0" w:after="0" w:line="240" w:lineRule="auto"/>
                      <w:jc w:val="right"/>
                    </w:pPr>
                    <w:r>
                      <w:rPr>
                        <w:sz w:val="18"/>
                        <w:szCs w:val="18"/>
                      </w:rPr>
                      <w:t>11 March</w:t>
                    </w:r>
                    <w:r w:rsidRPr="00B26622">
                      <w:rPr>
                        <w:sz w:val="18"/>
                        <w:szCs w:val="18"/>
                      </w:rPr>
                      <w:t xml:space="preserve"> 201</w:t>
                    </w:r>
                    <w:r>
                      <w:rPr>
                        <w:sz w:val="18"/>
                        <w:szCs w:val="18"/>
                      </w:rPr>
                      <w:t>4</w:t>
                    </w:r>
                  </w:p>
                </w:txbxContent>
              </v:textbox>
              <w10:anchorlock/>
            </v:shape>
          </w:pict>
        </mc:Fallback>
      </mc:AlternateContent>
    </w:r>
    <w:r>
      <w:rPr>
        <w:lang w:val="fr-F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49086" w14:textId="0899BEB4" w:rsidR="009C72FC" w:rsidRDefault="009C72FC" w:rsidP="00C145E5">
    <w:pPr>
      <w:pStyle w:val="Header"/>
      <w:jc w:val="center"/>
    </w:pPr>
    <w:r>
      <w:rPr>
        <w:noProof/>
        <w:lang w:eastAsia="en-AU"/>
      </w:rPr>
      <w:drawing>
        <wp:inline distT="0" distB="0" distL="0" distR="0" wp14:anchorId="3DB28CD0" wp14:editId="0D35A36F">
          <wp:extent cx="2000250" cy="1609725"/>
          <wp:effectExtent l="0" t="0" r="0" b="9525"/>
          <wp:docPr id="13" name="Picture 4" descr="ASPEX_Logo.png" title="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X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3582"/>
    <w:multiLevelType w:val="hybridMultilevel"/>
    <w:tmpl w:val="EB1E5B60"/>
    <w:lvl w:ilvl="0" w:tplc="0E22B188">
      <w:start w:val="1"/>
      <w:numFmt w:val="bullet"/>
      <w:lvlText w:val="•"/>
      <w:lvlJc w:val="left"/>
      <w:pPr>
        <w:tabs>
          <w:tab w:val="num" w:pos="720"/>
        </w:tabs>
        <w:ind w:left="720" w:hanging="360"/>
      </w:pPr>
      <w:rPr>
        <w:rFonts w:ascii="Times" w:hAnsi="Times" w:hint="default"/>
      </w:rPr>
    </w:lvl>
    <w:lvl w:ilvl="1" w:tplc="1F22A492">
      <w:numFmt w:val="none"/>
      <w:lvlText w:val=""/>
      <w:lvlJc w:val="left"/>
      <w:pPr>
        <w:tabs>
          <w:tab w:val="num" w:pos="360"/>
        </w:tabs>
      </w:pPr>
    </w:lvl>
    <w:lvl w:ilvl="2" w:tplc="FCC005C6" w:tentative="1">
      <w:start w:val="1"/>
      <w:numFmt w:val="bullet"/>
      <w:lvlText w:val="•"/>
      <w:lvlJc w:val="left"/>
      <w:pPr>
        <w:tabs>
          <w:tab w:val="num" w:pos="2160"/>
        </w:tabs>
        <w:ind w:left="2160" w:hanging="360"/>
      </w:pPr>
      <w:rPr>
        <w:rFonts w:ascii="Times" w:hAnsi="Times" w:hint="default"/>
      </w:rPr>
    </w:lvl>
    <w:lvl w:ilvl="3" w:tplc="DBEC80E4" w:tentative="1">
      <w:start w:val="1"/>
      <w:numFmt w:val="bullet"/>
      <w:lvlText w:val="•"/>
      <w:lvlJc w:val="left"/>
      <w:pPr>
        <w:tabs>
          <w:tab w:val="num" w:pos="2880"/>
        </w:tabs>
        <w:ind w:left="2880" w:hanging="360"/>
      </w:pPr>
      <w:rPr>
        <w:rFonts w:ascii="Times" w:hAnsi="Times" w:hint="default"/>
      </w:rPr>
    </w:lvl>
    <w:lvl w:ilvl="4" w:tplc="11D6BF44" w:tentative="1">
      <w:start w:val="1"/>
      <w:numFmt w:val="bullet"/>
      <w:lvlText w:val="•"/>
      <w:lvlJc w:val="left"/>
      <w:pPr>
        <w:tabs>
          <w:tab w:val="num" w:pos="3600"/>
        </w:tabs>
        <w:ind w:left="3600" w:hanging="360"/>
      </w:pPr>
      <w:rPr>
        <w:rFonts w:ascii="Times" w:hAnsi="Times" w:hint="default"/>
      </w:rPr>
    </w:lvl>
    <w:lvl w:ilvl="5" w:tplc="39A622E6" w:tentative="1">
      <w:start w:val="1"/>
      <w:numFmt w:val="bullet"/>
      <w:lvlText w:val="•"/>
      <w:lvlJc w:val="left"/>
      <w:pPr>
        <w:tabs>
          <w:tab w:val="num" w:pos="4320"/>
        </w:tabs>
        <w:ind w:left="4320" w:hanging="360"/>
      </w:pPr>
      <w:rPr>
        <w:rFonts w:ascii="Times" w:hAnsi="Times" w:hint="default"/>
      </w:rPr>
    </w:lvl>
    <w:lvl w:ilvl="6" w:tplc="1E58638A" w:tentative="1">
      <w:start w:val="1"/>
      <w:numFmt w:val="bullet"/>
      <w:lvlText w:val="•"/>
      <w:lvlJc w:val="left"/>
      <w:pPr>
        <w:tabs>
          <w:tab w:val="num" w:pos="5040"/>
        </w:tabs>
        <w:ind w:left="5040" w:hanging="360"/>
      </w:pPr>
      <w:rPr>
        <w:rFonts w:ascii="Times" w:hAnsi="Times" w:hint="default"/>
      </w:rPr>
    </w:lvl>
    <w:lvl w:ilvl="7" w:tplc="05025FF6" w:tentative="1">
      <w:start w:val="1"/>
      <w:numFmt w:val="bullet"/>
      <w:lvlText w:val="•"/>
      <w:lvlJc w:val="left"/>
      <w:pPr>
        <w:tabs>
          <w:tab w:val="num" w:pos="5760"/>
        </w:tabs>
        <w:ind w:left="5760" w:hanging="360"/>
      </w:pPr>
      <w:rPr>
        <w:rFonts w:ascii="Times" w:hAnsi="Times" w:hint="default"/>
      </w:rPr>
    </w:lvl>
    <w:lvl w:ilvl="8" w:tplc="DECCEC04" w:tentative="1">
      <w:start w:val="1"/>
      <w:numFmt w:val="bullet"/>
      <w:lvlText w:val="•"/>
      <w:lvlJc w:val="left"/>
      <w:pPr>
        <w:tabs>
          <w:tab w:val="num" w:pos="6480"/>
        </w:tabs>
        <w:ind w:left="6480" w:hanging="360"/>
      </w:pPr>
      <w:rPr>
        <w:rFonts w:ascii="Times" w:hAnsi="Times" w:hint="default"/>
      </w:rPr>
    </w:lvl>
  </w:abstractNum>
  <w:abstractNum w:abstractNumId="1">
    <w:nsid w:val="07381021"/>
    <w:multiLevelType w:val="hybridMultilevel"/>
    <w:tmpl w:val="DB26BE6C"/>
    <w:lvl w:ilvl="0" w:tplc="AC62BE54">
      <w:start w:val="1"/>
      <w:numFmt w:val="decimal"/>
      <w:pStyle w:val="AspexTableNumberedBullets"/>
      <w:lvlText w:val="%1."/>
      <w:lvlJc w:val="left"/>
      <w:pPr>
        <w:ind w:left="284" w:hanging="284"/>
      </w:pPr>
      <w:rPr>
        <w:rFonts w:hint="default"/>
        <w:color w:val="3B98D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F5392"/>
    <w:multiLevelType w:val="multilevel"/>
    <w:tmpl w:val="C998434E"/>
    <w:styleLink w:val="AspexTableText-NarrowBulletList"/>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 w:ilvl="1">
      <w:start w:val="1"/>
      <w:numFmt w:val="bullet"/>
      <w:pStyle w:val="AspexTableText-NarrowBullet2"/>
      <w:lvlText w:val=""/>
      <w:lvlJc w:val="left"/>
      <w:pPr>
        <w:tabs>
          <w:tab w:val="num" w:pos="567"/>
        </w:tabs>
        <w:ind w:left="567" w:hanging="283"/>
      </w:pPr>
      <w:rPr>
        <w:rFonts w:ascii="Webdings" w:hAnsi="Webdings" w:hint="default"/>
        <w:color w:val="3B98D3"/>
      </w:rPr>
    </w:lvl>
    <w:lvl w:ilvl="2">
      <w:start w:val="1"/>
      <w:numFmt w:val="bullet"/>
      <w:pStyle w:val="AspexTableText-NarrowBullet3"/>
      <w:lvlText w:val=""/>
      <w:lvlJc w:val="left"/>
      <w:pPr>
        <w:tabs>
          <w:tab w:val="num" w:pos="1418"/>
        </w:tabs>
        <w:ind w:left="1418" w:hanging="567"/>
      </w:pPr>
      <w:rPr>
        <w:rFonts w:ascii="Symbol" w:hAnsi="Symbol" w:hint="default"/>
        <w:color w:val="3B98D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1506B2F"/>
    <w:multiLevelType w:val="hybridMultilevel"/>
    <w:tmpl w:val="7BA4D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37CE8"/>
    <w:multiLevelType w:val="hybridMultilevel"/>
    <w:tmpl w:val="6A98E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778E9"/>
    <w:multiLevelType w:val="multilevel"/>
    <w:tmpl w:val="53DEF270"/>
    <w:styleLink w:val="AspexBulletList"/>
    <w:lvl w:ilvl="0">
      <w:start w:val="1"/>
      <w:numFmt w:val="bullet"/>
      <w:lvlText w:val=""/>
      <w:lvlJc w:val="left"/>
      <w:pPr>
        <w:tabs>
          <w:tab w:val="num" w:pos="340"/>
        </w:tabs>
        <w:ind w:left="340" w:hanging="340"/>
      </w:pPr>
      <w:rPr>
        <w:rFonts w:ascii="Wingdings" w:hAnsi="Wingdings" w:hint="default"/>
        <w:color w:val="3B98D3"/>
        <w:sz w:val="26"/>
      </w:rPr>
    </w:lvl>
    <w:lvl w:ilvl="1">
      <w:start w:val="1"/>
      <w:numFmt w:val="bullet"/>
      <w:lvlText w:val=""/>
      <w:lvlJc w:val="left"/>
      <w:pPr>
        <w:tabs>
          <w:tab w:val="num" w:pos="284"/>
        </w:tabs>
        <w:ind w:left="284" w:firstLine="0"/>
      </w:pPr>
      <w:rPr>
        <w:rFonts w:ascii="Webdings" w:hAnsi="Webdings" w:hint="default"/>
        <w:color w:val="3B98D3"/>
      </w:rPr>
    </w:lvl>
    <w:lvl w:ilvl="2">
      <w:start w:val="1"/>
      <w:numFmt w:val="bullet"/>
      <w:lvlText w:val=""/>
      <w:lvlJc w:val="left"/>
      <w:pPr>
        <w:tabs>
          <w:tab w:val="num" w:pos="1021"/>
        </w:tabs>
        <w:ind w:left="1021" w:hanging="341"/>
      </w:pPr>
      <w:rPr>
        <w:rFonts w:ascii="Symbol" w:hAnsi="Symbol" w:hint="default"/>
        <w:color w:val="3B98D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95F10B2"/>
    <w:multiLevelType w:val="hybridMultilevel"/>
    <w:tmpl w:val="73027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C527D"/>
    <w:multiLevelType w:val="hybridMultilevel"/>
    <w:tmpl w:val="AC68A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9661E"/>
    <w:multiLevelType w:val="multilevel"/>
    <w:tmpl w:val="AFDAB9E2"/>
    <w:name w:val="Aspex Appendix"/>
    <w:lvl w:ilvl="0">
      <w:start w:val="1"/>
      <w:numFmt w:val="decimal"/>
      <w:pStyle w:val="AspexAppendixlevel1"/>
      <w:lvlText w:val="Appendix %1"/>
      <w:lvlJc w:val="left"/>
      <w:pPr>
        <w:tabs>
          <w:tab w:val="num" w:pos="964"/>
        </w:tabs>
        <w:ind w:left="964" w:hanging="839"/>
      </w:pPr>
      <w:rPr>
        <w:rFonts w:hint="default"/>
      </w:rPr>
    </w:lvl>
    <w:lvl w:ilvl="1">
      <w:start w:val="1"/>
      <w:numFmt w:val="decimal"/>
      <w:pStyle w:val="AspexAppendixLevel2"/>
      <w:lvlText w:val="%1.%2"/>
      <w:lvlJc w:val="left"/>
      <w:pPr>
        <w:ind w:left="964" w:hanging="964"/>
      </w:pPr>
      <w:rPr>
        <w:rFonts w:hint="default"/>
      </w:rPr>
    </w:lvl>
    <w:lvl w:ilvl="2">
      <w:start w:val="1"/>
      <w:numFmt w:val="decimal"/>
      <w:pStyle w:val="AspexAppendixLevel3"/>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4FC2082"/>
    <w:multiLevelType w:val="multilevel"/>
    <w:tmpl w:val="7A824B30"/>
    <w:name w:val="AspexBullets"/>
    <w:lvl w:ilvl="0">
      <w:start w:val="1"/>
      <w:numFmt w:val="bullet"/>
      <w:pStyle w:val="AspexBullet1"/>
      <w:lvlText w:val=""/>
      <w:lvlJc w:val="left"/>
      <w:pPr>
        <w:tabs>
          <w:tab w:val="num" w:pos="1060"/>
        </w:tabs>
        <w:ind w:left="284" w:hanging="284"/>
      </w:pPr>
      <w:rPr>
        <w:rFonts w:ascii="Wingdings" w:hAnsi="Wingdings" w:hint="default"/>
        <w:color w:val="3B98D3"/>
        <w:sz w:val="26"/>
      </w:rPr>
    </w:lvl>
    <w:lvl w:ilvl="1">
      <w:start w:val="1"/>
      <w:numFmt w:val="bullet"/>
      <w:pStyle w:val="AspexBullet2"/>
      <w:lvlText w:val=""/>
      <w:lvlJc w:val="left"/>
      <w:pPr>
        <w:tabs>
          <w:tab w:val="num" w:pos="1060"/>
        </w:tabs>
        <w:ind w:left="567" w:hanging="340"/>
      </w:pPr>
      <w:rPr>
        <w:rFonts w:ascii="Webdings" w:hAnsi="Webdings" w:hint="default"/>
        <w:color w:val="3B98D3"/>
      </w:rPr>
    </w:lvl>
    <w:lvl w:ilvl="2">
      <w:start w:val="1"/>
      <w:numFmt w:val="bullet"/>
      <w:pStyle w:val="AspexBullet3"/>
      <w:lvlText w:val=""/>
      <w:lvlJc w:val="left"/>
      <w:pPr>
        <w:tabs>
          <w:tab w:val="num" w:pos="1741"/>
        </w:tabs>
        <w:ind w:left="851" w:hanging="284"/>
      </w:pPr>
      <w:rPr>
        <w:rFonts w:ascii="Symbol" w:hAnsi="Symbol" w:hint="default"/>
        <w:color w:val="3B98D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nsid w:val="300E32F7"/>
    <w:multiLevelType w:val="hybridMultilevel"/>
    <w:tmpl w:val="585AC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422CEA"/>
    <w:multiLevelType w:val="hybridMultilevel"/>
    <w:tmpl w:val="A9721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3B60EA"/>
    <w:multiLevelType w:val="multilevel"/>
    <w:tmpl w:val="B6B49D84"/>
    <w:lvl w:ilvl="0">
      <w:start w:val="1"/>
      <w:numFmt w:val="decimal"/>
      <w:pStyle w:val="Heading1"/>
      <w:lvlText w:val=" %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lvlText w:val="%1.%2.%3.%4"/>
      <w:lvlJc w:val="left"/>
      <w:pPr>
        <w:tabs>
          <w:tab w:val="num" w:pos="984"/>
        </w:tabs>
        <w:ind w:left="907" w:hanging="907"/>
      </w:pPr>
      <w:rPr>
        <w:rFonts w:hint="default"/>
      </w:rPr>
    </w:lvl>
    <w:lvl w:ilvl="4">
      <w:start w:val="1"/>
      <w:numFmt w:val="decimal"/>
      <w:lvlText w:val="%1.%2.%3.%4.%5"/>
      <w:lvlJc w:val="left"/>
      <w:pPr>
        <w:tabs>
          <w:tab w:val="num" w:pos="1972"/>
        </w:tabs>
        <w:ind w:left="1972" w:hanging="1008"/>
      </w:pPr>
      <w:rPr>
        <w:rFonts w:hint="default"/>
      </w:rPr>
    </w:lvl>
    <w:lvl w:ilvl="5">
      <w:start w:val="1"/>
      <w:numFmt w:val="decimal"/>
      <w:lvlText w:val="%1.%2.%3.%4.%5.%6"/>
      <w:lvlJc w:val="left"/>
      <w:pPr>
        <w:tabs>
          <w:tab w:val="num" w:pos="2116"/>
        </w:tabs>
        <w:ind w:left="2116" w:hanging="1152"/>
      </w:pPr>
      <w:rPr>
        <w:rFonts w:hint="default"/>
      </w:rPr>
    </w:lvl>
    <w:lvl w:ilvl="6">
      <w:start w:val="1"/>
      <w:numFmt w:val="decimal"/>
      <w:lvlText w:val="%1.%2.%3.%4.%5.%6.%7"/>
      <w:lvlJc w:val="left"/>
      <w:pPr>
        <w:tabs>
          <w:tab w:val="num" w:pos="2260"/>
        </w:tabs>
        <w:ind w:left="2260" w:hanging="1296"/>
      </w:pPr>
      <w:rPr>
        <w:rFonts w:hint="default"/>
      </w:rPr>
    </w:lvl>
    <w:lvl w:ilvl="7">
      <w:start w:val="1"/>
      <w:numFmt w:val="decimal"/>
      <w:lvlText w:val="%1.%2.%3.%4.%5.%6.%7.%8"/>
      <w:lvlJc w:val="left"/>
      <w:pPr>
        <w:tabs>
          <w:tab w:val="num" w:pos="2404"/>
        </w:tabs>
        <w:ind w:left="2404" w:hanging="1440"/>
      </w:pPr>
      <w:rPr>
        <w:rFonts w:hint="default"/>
      </w:rPr>
    </w:lvl>
    <w:lvl w:ilvl="8">
      <w:start w:val="1"/>
      <w:numFmt w:val="decimal"/>
      <w:lvlText w:val="%1.%2.%3.%4.%5.%6.%7.%8.%9"/>
      <w:lvlJc w:val="left"/>
      <w:pPr>
        <w:tabs>
          <w:tab w:val="num" w:pos="2548"/>
        </w:tabs>
        <w:ind w:left="2548" w:hanging="1584"/>
      </w:pPr>
      <w:rPr>
        <w:rFonts w:hint="default"/>
      </w:rPr>
    </w:lvl>
  </w:abstractNum>
  <w:abstractNum w:abstractNumId="13">
    <w:nsid w:val="4B9D067E"/>
    <w:multiLevelType w:val="hybridMultilevel"/>
    <w:tmpl w:val="1A7C88D4"/>
    <w:lvl w:ilvl="0" w:tplc="B61CBEA2">
      <w:start w:val="1"/>
      <w:numFmt w:val="bullet"/>
      <w:pStyle w:val="AspexTableText-Bullet"/>
      <w:lvlText w:val=""/>
      <w:lvlJc w:val="left"/>
      <w:pPr>
        <w:ind w:left="1440" w:hanging="360"/>
      </w:pPr>
      <w:rPr>
        <w:rFonts w:ascii="Wingdings" w:hAnsi="Wingdings" w:hint="default"/>
        <w:color w:val="3B98D3"/>
        <w:position w:val="-2"/>
        <w:sz w:val="32"/>
      </w:rPr>
    </w:lvl>
    <w:lvl w:ilvl="1" w:tplc="B6569434">
      <w:start w:val="1"/>
      <w:numFmt w:val="bullet"/>
      <w:lvlText w:val="o"/>
      <w:lvlJc w:val="left"/>
      <w:pPr>
        <w:ind w:left="1440" w:hanging="360"/>
      </w:pPr>
      <w:rPr>
        <w:rFonts w:ascii="Courier New" w:hAnsi="Courier New" w:hint="default"/>
      </w:rPr>
    </w:lvl>
    <w:lvl w:ilvl="2" w:tplc="376EBEF2" w:tentative="1">
      <w:start w:val="1"/>
      <w:numFmt w:val="bullet"/>
      <w:lvlText w:val=""/>
      <w:lvlJc w:val="left"/>
      <w:pPr>
        <w:ind w:left="2160" w:hanging="360"/>
      </w:pPr>
      <w:rPr>
        <w:rFonts w:ascii="Wingdings" w:hAnsi="Wingdings" w:hint="default"/>
      </w:rPr>
    </w:lvl>
    <w:lvl w:ilvl="3" w:tplc="E6200D5A" w:tentative="1">
      <w:start w:val="1"/>
      <w:numFmt w:val="bullet"/>
      <w:lvlText w:val=""/>
      <w:lvlJc w:val="left"/>
      <w:pPr>
        <w:ind w:left="2880" w:hanging="360"/>
      </w:pPr>
      <w:rPr>
        <w:rFonts w:ascii="Symbol" w:hAnsi="Symbol" w:hint="default"/>
      </w:rPr>
    </w:lvl>
    <w:lvl w:ilvl="4" w:tplc="81202BB2" w:tentative="1">
      <w:start w:val="1"/>
      <w:numFmt w:val="bullet"/>
      <w:lvlText w:val="o"/>
      <w:lvlJc w:val="left"/>
      <w:pPr>
        <w:ind w:left="3600" w:hanging="360"/>
      </w:pPr>
      <w:rPr>
        <w:rFonts w:ascii="Courier New" w:hAnsi="Courier New" w:hint="default"/>
      </w:rPr>
    </w:lvl>
    <w:lvl w:ilvl="5" w:tplc="C7E4047E" w:tentative="1">
      <w:start w:val="1"/>
      <w:numFmt w:val="bullet"/>
      <w:lvlText w:val=""/>
      <w:lvlJc w:val="left"/>
      <w:pPr>
        <w:ind w:left="4320" w:hanging="360"/>
      </w:pPr>
      <w:rPr>
        <w:rFonts w:ascii="Wingdings" w:hAnsi="Wingdings" w:hint="default"/>
      </w:rPr>
    </w:lvl>
    <w:lvl w:ilvl="6" w:tplc="CC0C9DE8" w:tentative="1">
      <w:start w:val="1"/>
      <w:numFmt w:val="bullet"/>
      <w:lvlText w:val=""/>
      <w:lvlJc w:val="left"/>
      <w:pPr>
        <w:ind w:left="5040" w:hanging="360"/>
      </w:pPr>
      <w:rPr>
        <w:rFonts w:ascii="Symbol" w:hAnsi="Symbol" w:hint="default"/>
      </w:rPr>
    </w:lvl>
    <w:lvl w:ilvl="7" w:tplc="49FCD154" w:tentative="1">
      <w:start w:val="1"/>
      <w:numFmt w:val="bullet"/>
      <w:lvlText w:val="o"/>
      <w:lvlJc w:val="left"/>
      <w:pPr>
        <w:ind w:left="5760" w:hanging="360"/>
      </w:pPr>
      <w:rPr>
        <w:rFonts w:ascii="Courier New" w:hAnsi="Courier New" w:hint="default"/>
      </w:rPr>
    </w:lvl>
    <w:lvl w:ilvl="8" w:tplc="4456E31E" w:tentative="1">
      <w:start w:val="1"/>
      <w:numFmt w:val="bullet"/>
      <w:lvlText w:val=""/>
      <w:lvlJc w:val="left"/>
      <w:pPr>
        <w:ind w:left="6480" w:hanging="360"/>
      </w:pPr>
      <w:rPr>
        <w:rFonts w:ascii="Wingdings" w:hAnsi="Wingdings" w:hint="default"/>
      </w:rPr>
    </w:lvl>
  </w:abstractNum>
  <w:abstractNum w:abstractNumId="14">
    <w:nsid w:val="54A57D57"/>
    <w:multiLevelType w:val="hybridMultilevel"/>
    <w:tmpl w:val="67B06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673F66"/>
    <w:multiLevelType w:val="hybridMultilevel"/>
    <w:tmpl w:val="DF54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0F34C1"/>
    <w:multiLevelType w:val="multilevel"/>
    <w:tmpl w:val="B6B49D84"/>
    <w:lvl w:ilvl="0">
      <w:start w:val="1"/>
      <w:numFmt w:val="decimal"/>
      <w:lvlText w:val=" %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984"/>
        </w:tabs>
        <w:ind w:left="907" w:hanging="907"/>
      </w:pPr>
      <w:rPr>
        <w:rFonts w:hint="default"/>
      </w:rPr>
    </w:lvl>
    <w:lvl w:ilvl="4">
      <w:start w:val="1"/>
      <w:numFmt w:val="decimal"/>
      <w:lvlText w:val="%1.%2.%3.%4.%5"/>
      <w:lvlJc w:val="left"/>
      <w:pPr>
        <w:tabs>
          <w:tab w:val="num" w:pos="1972"/>
        </w:tabs>
        <w:ind w:left="1972" w:hanging="1008"/>
      </w:pPr>
      <w:rPr>
        <w:rFonts w:hint="default"/>
      </w:rPr>
    </w:lvl>
    <w:lvl w:ilvl="5">
      <w:start w:val="1"/>
      <w:numFmt w:val="decimal"/>
      <w:lvlText w:val="%1.%2.%3.%4.%5.%6"/>
      <w:lvlJc w:val="left"/>
      <w:pPr>
        <w:tabs>
          <w:tab w:val="num" w:pos="2116"/>
        </w:tabs>
        <w:ind w:left="2116" w:hanging="1152"/>
      </w:pPr>
      <w:rPr>
        <w:rFonts w:hint="default"/>
      </w:rPr>
    </w:lvl>
    <w:lvl w:ilvl="6">
      <w:start w:val="1"/>
      <w:numFmt w:val="decimal"/>
      <w:lvlText w:val="%1.%2.%3.%4.%5.%6.%7"/>
      <w:lvlJc w:val="left"/>
      <w:pPr>
        <w:tabs>
          <w:tab w:val="num" w:pos="2260"/>
        </w:tabs>
        <w:ind w:left="2260" w:hanging="1296"/>
      </w:pPr>
      <w:rPr>
        <w:rFonts w:hint="default"/>
      </w:rPr>
    </w:lvl>
    <w:lvl w:ilvl="7">
      <w:start w:val="1"/>
      <w:numFmt w:val="decimal"/>
      <w:lvlText w:val="%1.%2.%3.%4.%5.%6.%7.%8"/>
      <w:lvlJc w:val="left"/>
      <w:pPr>
        <w:tabs>
          <w:tab w:val="num" w:pos="2404"/>
        </w:tabs>
        <w:ind w:left="2404" w:hanging="1440"/>
      </w:pPr>
      <w:rPr>
        <w:rFonts w:hint="default"/>
      </w:rPr>
    </w:lvl>
    <w:lvl w:ilvl="8">
      <w:start w:val="1"/>
      <w:numFmt w:val="decimal"/>
      <w:lvlText w:val="%1.%2.%3.%4.%5.%6.%7.%8.%9"/>
      <w:lvlJc w:val="left"/>
      <w:pPr>
        <w:tabs>
          <w:tab w:val="num" w:pos="2548"/>
        </w:tabs>
        <w:ind w:left="2548" w:hanging="1584"/>
      </w:pPr>
      <w:rPr>
        <w:rFonts w:hint="default"/>
      </w:rPr>
    </w:lvl>
  </w:abstractNum>
  <w:abstractNum w:abstractNumId="17">
    <w:nsid w:val="72C94F76"/>
    <w:multiLevelType w:val="multilevel"/>
    <w:tmpl w:val="C998434E"/>
    <w:numStyleLink w:val="AspexTableText-NarrowBulletList"/>
  </w:abstractNum>
  <w:abstractNum w:abstractNumId="18">
    <w:nsid w:val="7AC416AA"/>
    <w:multiLevelType w:val="multilevel"/>
    <w:tmpl w:val="46743E7E"/>
    <w:styleLink w:val="AspexnumberedbulletList"/>
    <w:lvl w:ilvl="0">
      <w:start w:val="1"/>
      <w:numFmt w:val="decimal"/>
      <w:pStyle w:val="AspexNumberedbullet1"/>
      <w:lvlText w:val="%1."/>
      <w:lvlJc w:val="left"/>
      <w:pPr>
        <w:tabs>
          <w:tab w:val="num" w:pos="340"/>
        </w:tabs>
        <w:ind w:left="340" w:hanging="340"/>
      </w:pPr>
      <w:rPr>
        <w:rFonts w:hint="default"/>
      </w:rPr>
    </w:lvl>
    <w:lvl w:ilvl="1">
      <w:start w:val="1"/>
      <w:numFmt w:val="lowerLetter"/>
      <w:pStyle w:val="AspexNumberedBullet2"/>
      <w:lvlText w:val="%2."/>
      <w:lvlJc w:val="left"/>
      <w:pPr>
        <w:tabs>
          <w:tab w:val="num" w:pos="397"/>
        </w:tabs>
        <w:ind w:left="680" w:hanging="340"/>
      </w:pPr>
      <w:rPr>
        <w:rFonts w:hint="default"/>
      </w:rPr>
    </w:lvl>
    <w:lvl w:ilvl="2">
      <w:start w:val="1"/>
      <w:numFmt w:val="lowerRoman"/>
      <w:pStyle w:val="AspexNumberedBullet3"/>
      <w:lvlText w:val="%3."/>
      <w:lvlJc w:val="left"/>
      <w:pPr>
        <w:tabs>
          <w:tab w:val="num" w:pos="964"/>
        </w:tabs>
        <w:ind w:left="964" w:hanging="284"/>
      </w:pPr>
      <w:rPr>
        <w:rFonts w:hint="default"/>
      </w:rPr>
    </w:lvl>
    <w:lvl w:ilvl="3">
      <w:start w:val="1"/>
      <w:numFmt w:val="none"/>
      <w:lvlText w:val="%4."/>
      <w:lvlJc w:val="left"/>
      <w:pPr>
        <w:tabs>
          <w:tab w:val="num" w:pos="1021"/>
        </w:tabs>
        <w:ind w:left="1021"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
    <w:lvlOverride w:ilvl="0">
      <w:startOverride w:val="1"/>
    </w:lvlOverride>
  </w:num>
  <w:num w:numId="3">
    <w:abstractNumId w:val="2"/>
  </w:num>
  <w:num w:numId="4">
    <w:abstractNumId w:val="12"/>
  </w:num>
  <w:num w:numId="5">
    <w:abstractNumId w:val="18"/>
  </w:num>
  <w:num w:numId="6">
    <w:abstractNumId w:val="18"/>
  </w:num>
  <w:num w:numId="7">
    <w:abstractNumId w:val="9"/>
  </w:num>
  <w:num w:numId="8">
    <w:abstractNumId w:val="13"/>
  </w:num>
  <w:num w:numId="9">
    <w:abstractNumId w:val="17"/>
    <w:lvlOverride w:ilvl="0">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Override>
    <w:lvlOverride w:ilvl="1">
      <w:lvl w:ilvl="1">
        <w:start w:val="1"/>
        <w:numFmt w:val="bullet"/>
        <w:pStyle w:val="AspexTableText-NarrowBullet2"/>
        <w:lvlText w:val=""/>
        <w:lvlJc w:val="left"/>
        <w:pPr>
          <w:tabs>
            <w:tab w:val="num" w:pos="567"/>
          </w:tabs>
          <w:ind w:left="567" w:hanging="283"/>
        </w:pPr>
        <w:rPr>
          <w:rFonts w:ascii="Webdings" w:hAnsi="Webdings" w:hint="default"/>
          <w:color w:val="3B98D3"/>
        </w:rPr>
      </w:lvl>
    </w:lvlOverride>
    <w:lvlOverride w:ilvl="2">
      <w:lvl w:ilvl="2">
        <w:start w:val="1"/>
        <w:numFmt w:val="bullet"/>
        <w:pStyle w:val="AspexTableText-NarrowBullet3"/>
        <w:lvlText w:val=""/>
        <w:lvlJc w:val="left"/>
        <w:pPr>
          <w:tabs>
            <w:tab w:val="num" w:pos="1418"/>
          </w:tabs>
          <w:ind w:left="1418" w:hanging="567"/>
        </w:pPr>
        <w:rPr>
          <w:rFonts w:ascii="Symbol" w:hAnsi="Symbol" w:hint="default"/>
          <w:color w:val="3B98D3"/>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abstractNumId w:val="8"/>
  </w:num>
  <w:num w:numId="11">
    <w:abstractNumId w:val="17"/>
    <w:lvlOverride w:ilvl="0">
      <w:lvl w:ilvl="0">
        <w:start w:val="1"/>
        <w:numFmt w:val="bullet"/>
        <w:pStyle w:val="AspexTableText-NarrowBullet"/>
        <w:lvlText w:val=""/>
        <w:lvlJc w:val="left"/>
        <w:pPr>
          <w:tabs>
            <w:tab w:val="num" w:pos="994"/>
          </w:tabs>
          <w:ind w:left="994" w:hanging="284"/>
        </w:pPr>
        <w:rPr>
          <w:rFonts w:ascii="Wingdings" w:hAnsi="Wingdings" w:hint="default"/>
          <w:color w:val="3B98D3"/>
          <w:sz w:val="20"/>
        </w:rPr>
      </w:lvl>
    </w:lvlOverride>
    <w:lvlOverride w:ilvl="1">
      <w:lvl w:ilvl="1">
        <w:start w:val="1"/>
        <w:numFmt w:val="bullet"/>
        <w:pStyle w:val="AspexTableText-NarrowBullet2"/>
        <w:lvlText w:val=""/>
        <w:lvlJc w:val="left"/>
        <w:pPr>
          <w:tabs>
            <w:tab w:val="num" w:pos="1277"/>
          </w:tabs>
          <w:ind w:left="1277" w:hanging="283"/>
        </w:pPr>
        <w:rPr>
          <w:rFonts w:ascii="Webdings" w:hAnsi="Webdings" w:hint="default"/>
          <w:color w:val="3B98D3"/>
        </w:rPr>
      </w:lvl>
    </w:lvlOverride>
    <w:lvlOverride w:ilvl="2">
      <w:lvl w:ilvl="2">
        <w:start w:val="1"/>
        <w:numFmt w:val="bullet"/>
        <w:pStyle w:val="AspexTableText-NarrowBullet3"/>
        <w:lvlText w:val=""/>
        <w:lvlJc w:val="left"/>
        <w:pPr>
          <w:tabs>
            <w:tab w:val="num" w:pos="2128"/>
          </w:tabs>
          <w:ind w:left="2128" w:hanging="567"/>
        </w:pPr>
        <w:rPr>
          <w:rFonts w:ascii="Symbol" w:hAnsi="Symbol" w:hint="default"/>
          <w:color w:val="3B98D3"/>
        </w:rPr>
      </w:lvl>
    </w:lvlOverride>
    <w:lvlOverride w:ilvl="3">
      <w:lvl w:ilvl="3">
        <w:start w:val="1"/>
        <w:numFmt w:val="bullet"/>
        <w:lvlText w:val=""/>
        <w:lvlJc w:val="left"/>
        <w:pPr>
          <w:ind w:left="3590" w:hanging="360"/>
        </w:pPr>
        <w:rPr>
          <w:rFonts w:ascii="Symbol" w:hAnsi="Symbol" w:hint="default"/>
        </w:rPr>
      </w:lvl>
    </w:lvlOverride>
    <w:lvlOverride w:ilvl="4">
      <w:lvl w:ilvl="4">
        <w:start w:val="1"/>
        <w:numFmt w:val="bullet"/>
        <w:lvlText w:val="o"/>
        <w:lvlJc w:val="left"/>
        <w:pPr>
          <w:ind w:left="4310" w:hanging="360"/>
        </w:pPr>
        <w:rPr>
          <w:rFonts w:ascii="Courier New" w:hAnsi="Courier New" w:hint="default"/>
        </w:rPr>
      </w:lvl>
    </w:lvlOverride>
    <w:lvlOverride w:ilvl="5">
      <w:lvl w:ilvl="5">
        <w:start w:val="1"/>
        <w:numFmt w:val="bullet"/>
        <w:lvlText w:val=""/>
        <w:lvlJc w:val="left"/>
        <w:pPr>
          <w:ind w:left="5030" w:hanging="360"/>
        </w:pPr>
        <w:rPr>
          <w:rFonts w:ascii="Wingdings" w:hAnsi="Wingdings" w:hint="default"/>
        </w:rPr>
      </w:lvl>
    </w:lvlOverride>
    <w:lvlOverride w:ilvl="6">
      <w:lvl w:ilvl="6">
        <w:start w:val="1"/>
        <w:numFmt w:val="bullet"/>
        <w:lvlText w:val=""/>
        <w:lvlJc w:val="left"/>
        <w:pPr>
          <w:ind w:left="5750" w:hanging="360"/>
        </w:pPr>
        <w:rPr>
          <w:rFonts w:ascii="Symbol" w:hAnsi="Symbol" w:hint="default"/>
        </w:rPr>
      </w:lvl>
    </w:lvlOverride>
    <w:lvlOverride w:ilvl="7">
      <w:lvl w:ilvl="7">
        <w:start w:val="1"/>
        <w:numFmt w:val="bullet"/>
        <w:lvlText w:val="o"/>
        <w:lvlJc w:val="left"/>
        <w:pPr>
          <w:ind w:left="6470" w:hanging="360"/>
        </w:pPr>
        <w:rPr>
          <w:rFonts w:ascii="Courier New" w:hAnsi="Courier New" w:hint="default"/>
        </w:rPr>
      </w:lvl>
    </w:lvlOverride>
    <w:lvlOverride w:ilvl="8">
      <w:lvl w:ilvl="8">
        <w:start w:val="1"/>
        <w:numFmt w:val="bullet"/>
        <w:lvlText w:val=""/>
        <w:lvlJc w:val="left"/>
        <w:pPr>
          <w:ind w:left="7190" w:hanging="360"/>
        </w:pPr>
        <w:rPr>
          <w:rFonts w:ascii="Wingdings" w:hAnsi="Wingdings" w:hint="default"/>
        </w:rPr>
      </w:lvl>
    </w:lvlOverride>
  </w:num>
  <w:num w:numId="12">
    <w:abstractNumId w:val="17"/>
    <w:lvlOverride w:ilvl="0">
      <w:lvl w:ilvl="0">
        <w:start w:val="1"/>
        <w:numFmt w:val="bullet"/>
        <w:pStyle w:val="AspexTableText-NarrowBullet"/>
        <w:lvlText w:val=""/>
        <w:lvlJc w:val="left"/>
        <w:pPr>
          <w:tabs>
            <w:tab w:val="num" w:pos="284"/>
          </w:tabs>
          <w:ind w:left="284" w:hanging="284"/>
        </w:pPr>
        <w:rPr>
          <w:rFonts w:ascii="Wingdings" w:hAnsi="Wingdings" w:hint="default"/>
          <w:color w:val="3B98D3"/>
          <w:sz w:val="20"/>
        </w:rPr>
      </w:lvl>
    </w:lvlOverride>
    <w:lvlOverride w:ilvl="1">
      <w:lvl w:ilvl="1">
        <w:start w:val="1"/>
        <w:numFmt w:val="bullet"/>
        <w:pStyle w:val="AspexTableText-NarrowBullet2"/>
        <w:lvlText w:val=""/>
        <w:lvlJc w:val="left"/>
        <w:pPr>
          <w:tabs>
            <w:tab w:val="num" w:pos="567"/>
          </w:tabs>
          <w:ind w:left="567" w:hanging="283"/>
        </w:pPr>
        <w:rPr>
          <w:rFonts w:ascii="Webdings" w:hAnsi="Webdings" w:hint="default"/>
          <w:color w:val="3B98D3"/>
        </w:rPr>
      </w:lvl>
    </w:lvlOverride>
    <w:lvlOverride w:ilvl="2">
      <w:lvl w:ilvl="2">
        <w:start w:val="1"/>
        <w:numFmt w:val="bullet"/>
        <w:pStyle w:val="AspexTableText-NarrowBullet3"/>
        <w:lvlText w:val=""/>
        <w:lvlJc w:val="left"/>
        <w:pPr>
          <w:tabs>
            <w:tab w:val="num" w:pos="1418"/>
          </w:tabs>
          <w:ind w:left="1418" w:hanging="567"/>
        </w:pPr>
        <w:rPr>
          <w:rFonts w:ascii="Symbol" w:hAnsi="Symbol" w:hint="default"/>
          <w:color w:val="3B98D3"/>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abstractNumId w:val="16"/>
  </w:num>
  <w:num w:numId="14">
    <w:abstractNumId w:val="1"/>
  </w:num>
  <w:num w:numId="15">
    <w:abstractNumId w:val="0"/>
  </w:num>
  <w:num w:numId="16">
    <w:abstractNumId w:val="12"/>
  </w:num>
  <w:num w:numId="17">
    <w:abstractNumId w:val="10"/>
  </w:num>
  <w:num w:numId="18">
    <w:abstractNumId w:val="7"/>
  </w:num>
  <w:num w:numId="19">
    <w:abstractNumId w:val="11"/>
  </w:num>
  <w:num w:numId="20">
    <w:abstractNumId w:val="4"/>
  </w:num>
  <w:num w:numId="21">
    <w:abstractNumId w:val="6"/>
  </w:num>
  <w:num w:numId="22">
    <w:abstractNumId w:val="15"/>
  </w:num>
  <w:num w:numId="23">
    <w:abstractNumId w:val="1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issa Freeman">
    <w15:presenceInfo w15:providerId="AD" w15:userId="S-1-5-21-3369681501-2255413876-525253529-1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83F"/>
    <w:rsid w:val="00000FFA"/>
    <w:rsid w:val="000108D5"/>
    <w:rsid w:val="000121B0"/>
    <w:rsid w:val="00012AF6"/>
    <w:rsid w:val="00013932"/>
    <w:rsid w:val="00016067"/>
    <w:rsid w:val="00016C6F"/>
    <w:rsid w:val="00017754"/>
    <w:rsid w:val="00024C1B"/>
    <w:rsid w:val="0002559B"/>
    <w:rsid w:val="00025CA5"/>
    <w:rsid w:val="0003280D"/>
    <w:rsid w:val="0003306C"/>
    <w:rsid w:val="000405E4"/>
    <w:rsid w:val="00050912"/>
    <w:rsid w:val="00053EB8"/>
    <w:rsid w:val="00061C1B"/>
    <w:rsid w:val="00064963"/>
    <w:rsid w:val="000678CE"/>
    <w:rsid w:val="000735EB"/>
    <w:rsid w:val="00073D7F"/>
    <w:rsid w:val="0008030F"/>
    <w:rsid w:val="00080964"/>
    <w:rsid w:val="00091200"/>
    <w:rsid w:val="00091248"/>
    <w:rsid w:val="00091817"/>
    <w:rsid w:val="000926B1"/>
    <w:rsid w:val="00092A3B"/>
    <w:rsid w:val="00095ACD"/>
    <w:rsid w:val="000A2786"/>
    <w:rsid w:val="000A32D0"/>
    <w:rsid w:val="000B470D"/>
    <w:rsid w:val="000C2746"/>
    <w:rsid w:val="000C283D"/>
    <w:rsid w:val="000D2503"/>
    <w:rsid w:val="000D5025"/>
    <w:rsid w:val="000D6F71"/>
    <w:rsid w:val="000E1751"/>
    <w:rsid w:val="000E64B1"/>
    <w:rsid w:val="000E65C1"/>
    <w:rsid w:val="000E693D"/>
    <w:rsid w:val="000F1832"/>
    <w:rsid w:val="001020CC"/>
    <w:rsid w:val="001032C8"/>
    <w:rsid w:val="0010563A"/>
    <w:rsid w:val="00106CD9"/>
    <w:rsid w:val="00114814"/>
    <w:rsid w:val="00122CBE"/>
    <w:rsid w:val="00125415"/>
    <w:rsid w:val="00125729"/>
    <w:rsid w:val="00130567"/>
    <w:rsid w:val="00131084"/>
    <w:rsid w:val="00136FA0"/>
    <w:rsid w:val="001372A3"/>
    <w:rsid w:val="00140753"/>
    <w:rsid w:val="0014099F"/>
    <w:rsid w:val="001427B6"/>
    <w:rsid w:val="00151A3B"/>
    <w:rsid w:val="00152501"/>
    <w:rsid w:val="00152F38"/>
    <w:rsid w:val="00153850"/>
    <w:rsid w:val="00155225"/>
    <w:rsid w:val="00156062"/>
    <w:rsid w:val="00160425"/>
    <w:rsid w:val="00160C17"/>
    <w:rsid w:val="00161C23"/>
    <w:rsid w:val="001653AE"/>
    <w:rsid w:val="001732CF"/>
    <w:rsid w:val="001736BE"/>
    <w:rsid w:val="00174C8E"/>
    <w:rsid w:val="00175613"/>
    <w:rsid w:val="0017710F"/>
    <w:rsid w:val="00181B93"/>
    <w:rsid w:val="00182CA1"/>
    <w:rsid w:val="00184320"/>
    <w:rsid w:val="00185433"/>
    <w:rsid w:val="00186B8B"/>
    <w:rsid w:val="00191D95"/>
    <w:rsid w:val="001940FA"/>
    <w:rsid w:val="001962DB"/>
    <w:rsid w:val="001A071B"/>
    <w:rsid w:val="001A2113"/>
    <w:rsid w:val="001A29D3"/>
    <w:rsid w:val="001A2FB1"/>
    <w:rsid w:val="001A4A11"/>
    <w:rsid w:val="001A657B"/>
    <w:rsid w:val="001A77BE"/>
    <w:rsid w:val="001A79D2"/>
    <w:rsid w:val="001B1401"/>
    <w:rsid w:val="001B4B5C"/>
    <w:rsid w:val="001B5B90"/>
    <w:rsid w:val="001B7C47"/>
    <w:rsid w:val="001B7CEB"/>
    <w:rsid w:val="001B7E02"/>
    <w:rsid w:val="001C0F55"/>
    <w:rsid w:val="001C1681"/>
    <w:rsid w:val="001C58A3"/>
    <w:rsid w:val="001D06A9"/>
    <w:rsid w:val="001D3F3A"/>
    <w:rsid w:val="001E2E0D"/>
    <w:rsid w:val="001E762A"/>
    <w:rsid w:val="001F259D"/>
    <w:rsid w:val="001F3D50"/>
    <w:rsid w:val="001F5B8B"/>
    <w:rsid w:val="00201487"/>
    <w:rsid w:val="00203080"/>
    <w:rsid w:val="00203310"/>
    <w:rsid w:val="002167FD"/>
    <w:rsid w:val="00220DCF"/>
    <w:rsid w:val="0022486B"/>
    <w:rsid w:val="0023371A"/>
    <w:rsid w:val="00235DD9"/>
    <w:rsid w:val="0023648D"/>
    <w:rsid w:val="0024209A"/>
    <w:rsid w:val="0024578D"/>
    <w:rsid w:val="00245A32"/>
    <w:rsid w:val="00250DC7"/>
    <w:rsid w:val="002510A5"/>
    <w:rsid w:val="00252AF5"/>
    <w:rsid w:val="00254808"/>
    <w:rsid w:val="00254DB2"/>
    <w:rsid w:val="00254EA0"/>
    <w:rsid w:val="00257B86"/>
    <w:rsid w:val="00263E64"/>
    <w:rsid w:val="0026689F"/>
    <w:rsid w:val="00266AA0"/>
    <w:rsid w:val="00272D2C"/>
    <w:rsid w:val="00273A95"/>
    <w:rsid w:val="00277878"/>
    <w:rsid w:val="00282AE3"/>
    <w:rsid w:val="0028556E"/>
    <w:rsid w:val="00287F5A"/>
    <w:rsid w:val="00290567"/>
    <w:rsid w:val="00292432"/>
    <w:rsid w:val="002930C2"/>
    <w:rsid w:val="00295AF1"/>
    <w:rsid w:val="002A051D"/>
    <w:rsid w:val="002A0B5F"/>
    <w:rsid w:val="002A1951"/>
    <w:rsid w:val="002A2727"/>
    <w:rsid w:val="002A3320"/>
    <w:rsid w:val="002A3DC0"/>
    <w:rsid w:val="002A4543"/>
    <w:rsid w:val="002A504E"/>
    <w:rsid w:val="002A5ADF"/>
    <w:rsid w:val="002A6C76"/>
    <w:rsid w:val="002B186E"/>
    <w:rsid w:val="002B332C"/>
    <w:rsid w:val="002C0CA3"/>
    <w:rsid w:val="002C2AEA"/>
    <w:rsid w:val="002C2D03"/>
    <w:rsid w:val="002C4063"/>
    <w:rsid w:val="002C4DBD"/>
    <w:rsid w:val="002D541B"/>
    <w:rsid w:val="002E265E"/>
    <w:rsid w:val="002E329F"/>
    <w:rsid w:val="002E6E59"/>
    <w:rsid w:val="002F0B82"/>
    <w:rsid w:val="002F5A05"/>
    <w:rsid w:val="002F6A84"/>
    <w:rsid w:val="002F6BFC"/>
    <w:rsid w:val="002F6DB3"/>
    <w:rsid w:val="002F7AA0"/>
    <w:rsid w:val="003008F2"/>
    <w:rsid w:val="003070E8"/>
    <w:rsid w:val="00310041"/>
    <w:rsid w:val="00311534"/>
    <w:rsid w:val="003115AE"/>
    <w:rsid w:val="00311B28"/>
    <w:rsid w:val="00311FBB"/>
    <w:rsid w:val="00323C3B"/>
    <w:rsid w:val="0032548B"/>
    <w:rsid w:val="00325CC8"/>
    <w:rsid w:val="00336D2C"/>
    <w:rsid w:val="00341104"/>
    <w:rsid w:val="00342064"/>
    <w:rsid w:val="00342351"/>
    <w:rsid w:val="00345565"/>
    <w:rsid w:val="0034677F"/>
    <w:rsid w:val="0035169D"/>
    <w:rsid w:val="00353236"/>
    <w:rsid w:val="003548FA"/>
    <w:rsid w:val="00361F12"/>
    <w:rsid w:val="0036349B"/>
    <w:rsid w:val="00366B1B"/>
    <w:rsid w:val="00366B52"/>
    <w:rsid w:val="00366C11"/>
    <w:rsid w:val="00377B70"/>
    <w:rsid w:val="00384CAB"/>
    <w:rsid w:val="00390FC0"/>
    <w:rsid w:val="0039120C"/>
    <w:rsid w:val="00391218"/>
    <w:rsid w:val="003939CF"/>
    <w:rsid w:val="003A07F5"/>
    <w:rsid w:val="003A323C"/>
    <w:rsid w:val="003A76B8"/>
    <w:rsid w:val="003B04C3"/>
    <w:rsid w:val="003B174C"/>
    <w:rsid w:val="003B179D"/>
    <w:rsid w:val="003B3049"/>
    <w:rsid w:val="003C7577"/>
    <w:rsid w:val="003D18C8"/>
    <w:rsid w:val="003D7575"/>
    <w:rsid w:val="003E025F"/>
    <w:rsid w:val="003E4ED2"/>
    <w:rsid w:val="003F066E"/>
    <w:rsid w:val="003F09AF"/>
    <w:rsid w:val="003F2673"/>
    <w:rsid w:val="003F34EC"/>
    <w:rsid w:val="003F3568"/>
    <w:rsid w:val="003F4BEC"/>
    <w:rsid w:val="003F4C5D"/>
    <w:rsid w:val="003F4E14"/>
    <w:rsid w:val="003F510A"/>
    <w:rsid w:val="003F568E"/>
    <w:rsid w:val="003F603C"/>
    <w:rsid w:val="003F6467"/>
    <w:rsid w:val="003F76C2"/>
    <w:rsid w:val="004035A8"/>
    <w:rsid w:val="00405448"/>
    <w:rsid w:val="004056C5"/>
    <w:rsid w:val="0040657D"/>
    <w:rsid w:val="004071B7"/>
    <w:rsid w:val="00407B0B"/>
    <w:rsid w:val="00407C32"/>
    <w:rsid w:val="00411DD8"/>
    <w:rsid w:val="00413F31"/>
    <w:rsid w:val="00414B41"/>
    <w:rsid w:val="004161E1"/>
    <w:rsid w:val="00420D58"/>
    <w:rsid w:val="004219C8"/>
    <w:rsid w:val="00422B86"/>
    <w:rsid w:val="004231A9"/>
    <w:rsid w:val="00424191"/>
    <w:rsid w:val="00424406"/>
    <w:rsid w:val="004252B9"/>
    <w:rsid w:val="004263C1"/>
    <w:rsid w:val="00431850"/>
    <w:rsid w:val="00435B52"/>
    <w:rsid w:val="00437CCB"/>
    <w:rsid w:val="004407E1"/>
    <w:rsid w:val="00442325"/>
    <w:rsid w:val="0044552C"/>
    <w:rsid w:val="00450A1E"/>
    <w:rsid w:val="004521A2"/>
    <w:rsid w:val="00454F5B"/>
    <w:rsid w:val="00455A1F"/>
    <w:rsid w:val="00461D35"/>
    <w:rsid w:val="00463568"/>
    <w:rsid w:val="004635AC"/>
    <w:rsid w:val="004728FD"/>
    <w:rsid w:val="004734BB"/>
    <w:rsid w:val="004829D8"/>
    <w:rsid w:val="00490286"/>
    <w:rsid w:val="004924FE"/>
    <w:rsid w:val="00492B55"/>
    <w:rsid w:val="00494441"/>
    <w:rsid w:val="00497411"/>
    <w:rsid w:val="00497F35"/>
    <w:rsid w:val="004A047A"/>
    <w:rsid w:val="004A0B5F"/>
    <w:rsid w:val="004A1D51"/>
    <w:rsid w:val="004A3978"/>
    <w:rsid w:val="004B1BEB"/>
    <w:rsid w:val="004B25EC"/>
    <w:rsid w:val="004B484C"/>
    <w:rsid w:val="004B4CB5"/>
    <w:rsid w:val="004B7306"/>
    <w:rsid w:val="004C2B36"/>
    <w:rsid w:val="004C3A0B"/>
    <w:rsid w:val="004C467E"/>
    <w:rsid w:val="004C7008"/>
    <w:rsid w:val="004D39C9"/>
    <w:rsid w:val="004D4CFF"/>
    <w:rsid w:val="004D5603"/>
    <w:rsid w:val="004D7599"/>
    <w:rsid w:val="004E0D50"/>
    <w:rsid w:val="004E238C"/>
    <w:rsid w:val="004E58AF"/>
    <w:rsid w:val="005075E2"/>
    <w:rsid w:val="00507E0C"/>
    <w:rsid w:val="00511163"/>
    <w:rsid w:val="0051234D"/>
    <w:rsid w:val="00515BFC"/>
    <w:rsid w:val="00521C09"/>
    <w:rsid w:val="00521F86"/>
    <w:rsid w:val="00525142"/>
    <w:rsid w:val="00525464"/>
    <w:rsid w:val="0052681A"/>
    <w:rsid w:val="00527344"/>
    <w:rsid w:val="00532242"/>
    <w:rsid w:val="0053395D"/>
    <w:rsid w:val="00534C3F"/>
    <w:rsid w:val="00537720"/>
    <w:rsid w:val="00543548"/>
    <w:rsid w:val="00543B97"/>
    <w:rsid w:val="00547115"/>
    <w:rsid w:val="0054755A"/>
    <w:rsid w:val="00550623"/>
    <w:rsid w:val="005557F6"/>
    <w:rsid w:val="00556A1B"/>
    <w:rsid w:val="00557B5E"/>
    <w:rsid w:val="005605C6"/>
    <w:rsid w:val="0056103F"/>
    <w:rsid w:val="0056198B"/>
    <w:rsid w:val="005637B8"/>
    <w:rsid w:val="005676E8"/>
    <w:rsid w:val="00573175"/>
    <w:rsid w:val="00574926"/>
    <w:rsid w:val="0057688E"/>
    <w:rsid w:val="00583ACB"/>
    <w:rsid w:val="0058583D"/>
    <w:rsid w:val="00586F91"/>
    <w:rsid w:val="00593F7C"/>
    <w:rsid w:val="005A1398"/>
    <w:rsid w:val="005A54E7"/>
    <w:rsid w:val="005A591A"/>
    <w:rsid w:val="005A5C59"/>
    <w:rsid w:val="005A6E2F"/>
    <w:rsid w:val="005A710F"/>
    <w:rsid w:val="005A76D6"/>
    <w:rsid w:val="005B29A5"/>
    <w:rsid w:val="005B7A94"/>
    <w:rsid w:val="005C3CDD"/>
    <w:rsid w:val="005C4BA9"/>
    <w:rsid w:val="005C6203"/>
    <w:rsid w:val="005C6565"/>
    <w:rsid w:val="005C7123"/>
    <w:rsid w:val="005D0526"/>
    <w:rsid w:val="005D19EE"/>
    <w:rsid w:val="005D2191"/>
    <w:rsid w:val="005D2D4E"/>
    <w:rsid w:val="005D6B90"/>
    <w:rsid w:val="005E11F7"/>
    <w:rsid w:val="005E24E0"/>
    <w:rsid w:val="005E3C0B"/>
    <w:rsid w:val="005E4E78"/>
    <w:rsid w:val="005E62C0"/>
    <w:rsid w:val="005E67C6"/>
    <w:rsid w:val="005E70C6"/>
    <w:rsid w:val="005F3DD9"/>
    <w:rsid w:val="005F42E1"/>
    <w:rsid w:val="005F4C6A"/>
    <w:rsid w:val="006015F9"/>
    <w:rsid w:val="00601B38"/>
    <w:rsid w:val="00605B16"/>
    <w:rsid w:val="006131D9"/>
    <w:rsid w:val="00614855"/>
    <w:rsid w:val="006162EC"/>
    <w:rsid w:val="00616E28"/>
    <w:rsid w:val="00616F73"/>
    <w:rsid w:val="006177C5"/>
    <w:rsid w:val="0062057F"/>
    <w:rsid w:val="006206B3"/>
    <w:rsid w:val="00621A71"/>
    <w:rsid w:val="00623ED1"/>
    <w:rsid w:val="006310FD"/>
    <w:rsid w:val="00631D2E"/>
    <w:rsid w:val="00631D43"/>
    <w:rsid w:val="0063267A"/>
    <w:rsid w:val="0063472B"/>
    <w:rsid w:val="00635B85"/>
    <w:rsid w:val="00636096"/>
    <w:rsid w:val="00645988"/>
    <w:rsid w:val="006463E5"/>
    <w:rsid w:val="006478D9"/>
    <w:rsid w:val="006540D8"/>
    <w:rsid w:val="00657078"/>
    <w:rsid w:val="00657BB1"/>
    <w:rsid w:val="00657ED0"/>
    <w:rsid w:val="006609FA"/>
    <w:rsid w:val="00663771"/>
    <w:rsid w:val="00664216"/>
    <w:rsid w:val="00666A04"/>
    <w:rsid w:val="00670B48"/>
    <w:rsid w:val="00671C6A"/>
    <w:rsid w:val="00672B64"/>
    <w:rsid w:val="00675776"/>
    <w:rsid w:val="0067691B"/>
    <w:rsid w:val="00677F43"/>
    <w:rsid w:val="00681624"/>
    <w:rsid w:val="00684BBC"/>
    <w:rsid w:val="00684C37"/>
    <w:rsid w:val="0068600A"/>
    <w:rsid w:val="00691386"/>
    <w:rsid w:val="00691C2E"/>
    <w:rsid w:val="00692E52"/>
    <w:rsid w:val="006961C9"/>
    <w:rsid w:val="0069639B"/>
    <w:rsid w:val="00696AA7"/>
    <w:rsid w:val="006A0BEA"/>
    <w:rsid w:val="006A1B6B"/>
    <w:rsid w:val="006A2990"/>
    <w:rsid w:val="006A58C9"/>
    <w:rsid w:val="006A5B49"/>
    <w:rsid w:val="006A6E52"/>
    <w:rsid w:val="006B2E47"/>
    <w:rsid w:val="006B3E1F"/>
    <w:rsid w:val="006B5F90"/>
    <w:rsid w:val="006C0D1C"/>
    <w:rsid w:val="006C6BCF"/>
    <w:rsid w:val="006D18E1"/>
    <w:rsid w:val="006D224D"/>
    <w:rsid w:val="006D23AB"/>
    <w:rsid w:val="006D254E"/>
    <w:rsid w:val="006D3B0C"/>
    <w:rsid w:val="006D4C5F"/>
    <w:rsid w:val="006D793A"/>
    <w:rsid w:val="006E0FBB"/>
    <w:rsid w:val="006E1133"/>
    <w:rsid w:val="006E253A"/>
    <w:rsid w:val="006E56B3"/>
    <w:rsid w:val="006E5E15"/>
    <w:rsid w:val="006E6D2C"/>
    <w:rsid w:val="0070149D"/>
    <w:rsid w:val="007051AD"/>
    <w:rsid w:val="00710213"/>
    <w:rsid w:val="00711653"/>
    <w:rsid w:val="00714685"/>
    <w:rsid w:val="0071542D"/>
    <w:rsid w:val="00717E03"/>
    <w:rsid w:val="00721588"/>
    <w:rsid w:val="00722901"/>
    <w:rsid w:val="00722ED7"/>
    <w:rsid w:val="0072627C"/>
    <w:rsid w:val="00726609"/>
    <w:rsid w:val="00727769"/>
    <w:rsid w:val="00734189"/>
    <w:rsid w:val="00734B70"/>
    <w:rsid w:val="00734EBC"/>
    <w:rsid w:val="0073588A"/>
    <w:rsid w:val="00742024"/>
    <w:rsid w:val="007435A5"/>
    <w:rsid w:val="007479AD"/>
    <w:rsid w:val="007553E5"/>
    <w:rsid w:val="0076130E"/>
    <w:rsid w:val="00761E89"/>
    <w:rsid w:val="00762833"/>
    <w:rsid w:val="0076327C"/>
    <w:rsid w:val="00764991"/>
    <w:rsid w:val="0077099B"/>
    <w:rsid w:val="00770BCB"/>
    <w:rsid w:val="007713B2"/>
    <w:rsid w:val="0077427B"/>
    <w:rsid w:val="00777585"/>
    <w:rsid w:val="007845BC"/>
    <w:rsid w:val="00785567"/>
    <w:rsid w:val="00786491"/>
    <w:rsid w:val="007905EB"/>
    <w:rsid w:val="00791715"/>
    <w:rsid w:val="00795F0C"/>
    <w:rsid w:val="007975C2"/>
    <w:rsid w:val="007A2853"/>
    <w:rsid w:val="007B0F30"/>
    <w:rsid w:val="007B3C22"/>
    <w:rsid w:val="007B67A2"/>
    <w:rsid w:val="007C0488"/>
    <w:rsid w:val="007C25FF"/>
    <w:rsid w:val="007C3C57"/>
    <w:rsid w:val="007D2C26"/>
    <w:rsid w:val="007D38D3"/>
    <w:rsid w:val="007E4979"/>
    <w:rsid w:val="007E6E74"/>
    <w:rsid w:val="007F3465"/>
    <w:rsid w:val="007F47AB"/>
    <w:rsid w:val="007F54BB"/>
    <w:rsid w:val="007F789B"/>
    <w:rsid w:val="00800416"/>
    <w:rsid w:val="008005B3"/>
    <w:rsid w:val="00800B4B"/>
    <w:rsid w:val="00800C8D"/>
    <w:rsid w:val="00803173"/>
    <w:rsid w:val="00804F73"/>
    <w:rsid w:val="0080768E"/>
    <w:rsid w:val="00811645"/>
    <w:rsid w:val="0081173A"/>
    <w:rsid w:val="00811FD6"/>
    <w:rsid w:val="008136D4"/>
    <w:rsid w:val="00814306"/>
    <w:rsid w:val="00814349"/>
    <w:rsid w:val="00814826"/>
    <w:rsid w:val="00814915"/>
    <w:rsid w:val="008158DB"/>
    <w:rsid w:val="0081672C"/>
    <w:rsid w:val="00820A50"/>
    <w:rsid w:val="00822D29"/>
    <w:rsid w:val="00824AB7"/>
    <w:rsid w:val="0082611F"/>
    <w:rsid w:val="00830379"/>
    <w:rsid w:val="0083287D"/>
    <w:rsid w:val="00833086"/>
    <w:rsid w:val="00833638"/>
    <w:rsid w:val="00833B6C"/>
    <w:rsid w:val="00836AA4"/>
    <w:rsid w:val="00845266"/>
    <w:rsid w:val="008528B8"/>
    <w:rsid w:val="008531D5"/>
    <w:rsid w:val="00856788"/>
    <w:rsid w:val="00862D08"/>
    <w:rsid w:val="00863091"/>
    <w:rsid w:val="008648FF"/>
    <w:rsid w:val="008658A8"/>
    <w:rsid w:val="008660D0"/>
    <w:rsid w:val="008665E9"/>
    <w:rsid w:val="00871609"/>
    <w:rsid w:val="00873929"/>
    <w:rsid w:val="008757A5"/>
    <w:rsid w:val="0087762A"/>
    <w:rsid w:val="00877BBE"/>
    <w:rsid w:val="008805B3"/>
    <w:rsid w:val="0088199A"/>
    <w:rsid w:val="00881A99"/>
    <w:rsid w:val="008829B5"/>
    <w:rsid w:val="00886F4E"/>
    <w:rsid w:val="00887248"/>
    <w:rsid w:val="0089010C"/>
    <w:rsid w:val="0089486E"/>
    <w:rsid w:val="0089619C"/>
    <w:rsid w:val="008A7A9F"/>
    <w:rsid w:val="008B0C39"/>
    <w:rsid w:val="008B5B83"/>
    <w:rsid w:val="008B6CB2"/>
    <w:rsid w:val="008B79DF"/>
    <w:rsid w:val="008C0840"/>
    <w:rsid w:val="008C20CC"/>
    <w:rsid w:val="008C3BE3"/>
    <w:rsid w:val="008C58E5"/>
    <w:rsid w:val="008D15A7"/>
    <w:rsid w:val="008D1D72"/>
    <w:rsid w:val="008E0062"/>
    <w:rsid w:val="008E17AE"/>
    <w:rsid w:val="008E352C"/>
    <w:rsid w:val="008E5728"/>
    <w:rsid w:val="008F5144"/>
    <w:rsid w:val="008F52CD"/>
    <w:rsid w:val="0090008C"/>
    <w:rsid w:val="00900CFA"/>
    <w:rsid w:val="0090218C"/>
    <w:rsid w:val="00902784"/>
    <w:rsid w:val="009027B4"/>
    <w:rsid w:val="00904123"/>
    <w:rsid w:val="009041E2"/>
    <w:rsid w:val="00913824"/>
    <w:rsid w:val="009170D4"/>
    <w:rsid w:val="009218A4"/>
    <w:rsid w:val="00927467"/>
    <w:rsid w:val="0093248D"/>
    <w:rsid w:val="00937B1C"/>
    <w:rsid w:val="00941099"/>
    <w:rsid w:val="00941A9A"/>
    <w:rsid w:val="00942D1F"/>
    <w:rsid w:val="00953D74"/>
    <w:rsid w:val="0095649B"/>
    <w:rsid w:val="009606BD"/>
    <w:rsid w:val="009647F0"/>
    <w:rsid w:val="009709E8"/>
    <w:rsid w:val="009737C9"/>
    <w:rsid w:val="00976EFB"/>
    <w:rsid w:val="0097744E"/>
    <w:rsid w:val="0098746C"/>
    <w:rsid w:val="00992E30"/>
    <w:rsid w:val="00995447"/>
    <w:rsid w:val="00995A57"/>
    <w:rsid w:val="00997D88"/>
    <w:rsid w:val="009A1707"/>
    <w:rsid w:val="009A2C1C"/>
    <w:rsid w:val="009A6C62"/>
    <w:rsid w:val="009B56BF"/>
    <w:rsid w:val="009B7CA6"/>
    <w:rsid w:val="009C1C85"/>
    <w:rsid w:val="009C2677"/>
    <w:rsid w:val="009C3C50"/>
    <w:rsid w:val="009C525E"/>
    <w:rsid w:val="009C5566"/>
    <w:rsid w:val="009C5C55"/>
    <w:rsid w:val="009C72FC"/>
    <w:rsid w:val="009C795F"/>
    <w:rsid w:val="009D19C1"/>
    <w:rsid w:val="009D20E1"/>
    <w:rsid w:val="009E0134"/>
    <w:rsid w:val="009E1C48"/>
    <w:rsid w:val="009E39FD"/>
    <w:rsid w:val="009E3BF2"/>
    <w:rsid w:val="009E454E"/>
    <w:rsid w:val="009E5BA6"/>
    <w:rsid w:val="009F0355"/>
    <w:rsid w:val="009F0B96"/>
    <w:rsid w:val="009F42F9"/>
    <w:rsid w:val="009F6E94"/>
    <w:rsid w:val="009F7D7B"/>
    <w:rsid w:val="00A0294C"/>
    <w:rsid w:val="00A04331"/>
    <w:rsid w:val="00A077F0"/>
    <w:rsid w:val="00A103C3"/>
    <w:rsid w:val="00A11F9F"/>
    <w:rsid w:val="00A16328"/>
    <w:rsid w:val="00A22CFC"/>
    <w:rsid w:val="00A24995"/>
    <w:rsid w:val="00A313EE"/>
    <w:rsid w:val="00A31A6F"/>
    <w:rsid w:val="00A31E56"/>
    <w:rsid w:val="00A31FC7"/>
    <w:rsid w:val="00A32A27"/>
    <w:rsid w:val="00A36533"/>
    <w:rsid w:val="00A41032"/>
    <w:rsid w:val="00A47688"/>
    <w:rsid w:val="00A5004F"/>
    <w:rsid w:val="00A50DE6"/>
    <w:rsid w:val="00A52EAD"/>
    <w:rsid w:val="00A53C08"/>
    <w:rsid w:val="00A56571"/>
    <w:rsid w:val="00A619D4"/>
    <w:rsid w:val="00A632EE"/>
    <w:rsid w:val="00A634B0"/>
    <w:rsid w:val="00A66B66"/>
    <w:rsid w:val="00A70364"/>
    <w:rsid w:val="00A70699"/>
    <w:rsid w:val="00A821CD"/>
    <w:rsid w:val="00A92787"/>
    <w:rsid w:val="00A928C4"/>
    <w:rsid w:val="00A9382F"/>
    <w:rsid w:val="00A97D55"/>
    <w:rsid w:val="00AA4C5C"/>
    <w:rsid w:val="00AB4D72"/>
    <w:rsid w:val="00AB5A6A"/>
    <w:rsid w:val="00AB64A4"/>
    <w:rsid w:val="00AB6E33"/>
    <w:rsid w:val="00AB706E"/>
    <w:rsid w:val="00AB7416"/>
    <w:rsid w:val="00AC43CC"/>
    <w:rsid w:val="00AC5F1C"/>
    <w:rsid w:val="00AC6827"/>
    <w:rsid w:val="00AC7AB2"/>
    <w:rsid w:val="00AD0281"/>
    <w:rsid w:val="00AD40B5"/>
    <w:rsid w:val="00AD7978"/>
    <w:rsid w:val="00AE2BBE"/>
    <w:rsid w:val="00AE3430"/>
    <w:rsid w:val="00AF03E3"/>
    <w:rsid w:val="00AF4150"/>
    <w:rsid w:val="00AF4AA7"/>
    <w:rsid w:val="00AF6CAF"/>
    <w:rsid w:val="00AF711F"/>
    <w:rsid w:val="00B01619"/>
    <w:rsid w:val="00B02C83"/>
    <w:rsid w:val="00B03F9A"/>
    <w:rsid w:val="00B075DC"/>
    <w:rsid w:val="00B11C11"/>
    <w:rsid w:val="00B201D8"/>
    <w:rsid w:val="00B2435E"/>
    <w:rsid w:val="00B26622"/>
    <w:rsid w:val="00B306BD"/>
    <w:rsid w:val="00B32975"/>
    <w:rsid w:val="00B337EB"/>
    <w:rsid w:val="00B40503"/>
    <w:rsid w:val="00B42A87"/>
    <w:rsid w:val="00B43AD8"/>
    <w:rsid w:val="00B447C8"/>
    <w:rsid w:val="00B45789"/>
    <w:rsid w:val="00B477DD"/>
    <w:rsid w:val="00B53145"/>
    <w:rsid w:val="00B5513A"/>
    <w:rsid w:val="00B553C3"/>
    <w:rsid w:val="00B56D91"/>
    <w:rsid w:val="00B57B31"/>
    <w:rsid w:val="00B60FF0"/>
    <w:rsid w:val="00B61D58"/>
    <w:rsid w:val="00B71B9B"/>
    <w:rsid w:val="00B74A87"/>
    <w:rsid w:val="00B75211"/>
    <w:rsid w:val="00B85F19"/>
    <w:rsid w:val="00B8732D"/>
    <w:rsid w:val="00B909B5"/>
    <w:rsid w:val="00B91A80"/>
    <w:rsid w:val="00B921F2"/>
    <w:rsid w:val="00B93ECB"/>
    <w:rsid w:val="00B97BA8"/>
    <w:rsid w:val="00BB107D"/>
    <w:rsid w:val="00BB5C70"/>
    <w:rsid w:val="00BB6675"/>
    <w:rsid w:val="00BB79C7"/>
    <w:rsid w:val="00BB7E1A"/>
    <w:rsid w:val="00BC2DA2"/>
    <w:rsid w:val="00BC2E4B"/>
    <w:rsid w:val="00BC3F4C"/>
    <w:rsid w:val="00BC783F"/>
    <w:rsid w:val="00BD1773"/>
    <w:rsid w:val="00BE084B"/>
    <w:rsid w:val="00BE77A3"/>
    <w:rsid w:val="00BF0AC3"/>
    <w:rsid w:val="00BF0CAC"/>
    <w:rsid w:val="00C000B9"/>
    <w:rsid w:val="00C0548D"/>
    <w:rsid w:val="00C06428"/>
    <w:rsid w:val="00C06E7F"/>
    <w:rsid w:val="00C11DB3"/>
    <w:rsid w:val="00C12CC0"/>
    <w:rsid w:val="00C13A74"/>
    <w:rsid w:val="00C145E5"/>
    <w:rsid w:val="00C21055"/>
    <w:rsid w:val="00C2203B"/>
    <w:rsid w:val="00C22E2F"/>
    <w:rsid w:val="00C231DB"/>
    <w:rsid w:val="00C23BF5"/>
    <w:rsid w:val="00C24541"/>
    <w:rsid w:val="00C245FB"/>
    <w:rsid w:val="00C3179E"/>
    <w:rsid w:val="00C43C62"/>
    <w:rsid w:val="00C43D2F"/>
    <w:rsid w:val="00C448E4"/>
    <w:rsid w:val="00C44B33"/>
    <w:rsid w:val="00C478FE"/>
    <w:rsid w:val="00C5388D"/>
    <w:rsid w:val="00C55BD2"/>
    <w:rsid w:val="00C61EBF"/>
    <w:rsid w:val="00C62E99"/>
    <w:rsid w:val="00C62FBB"/>
    <w:rsid w:val="00C668F4"/>
    <w:rsid w:val="00C6718A"/>
    <w:rsid w:val="00C718E1"/>
    <w:rsid w:val="00C73301"/>
    <w:rsid w:val="00C74DD3"/>
    <w:rsid w:val="00C77590"/>
    <w:rsid w:val="00C775BC"/>
    <w:rsid w:val="00C814A3"/>
    <w:rsid w:val="00C8389B"/>
    <w:rsid w:val="00C840F4"/>
    <w:rsid w:val="00C8473C"/>
    <w:rsid w:val="00C85633"/>
    <w:rsid w:val="00C87E5F"/>
    <w:rsid w:val="00CA0730"/>
    <w:rsid w:val="00CA33B3"/>
    <w:rsid w:val="00CA377D"/>
    <w:rsid w:val="00CA72C1"/>
    <w:rsid w:val="00CB47CE"/>
    <w:rsid w:val="00CB67AC"/>
    <w:rsid w:val="00CC2D55"/>
    <w:rsid w:val="00CD2D61"/>
    <w:rsid w:val="00CD586F"/>
    <w:rsid w:val="00CD7356"/>
    <w:rsid w:val="00CE13BB"/>
    <w:rsid w:val="00CE24BC"/>
    <w:rsid w:val="00CE520B"/>
    <w:rsid w:val="00CE52AE"/>
    <w:rsid w:val="00CE5B2B"/>
    <w:rsid w:val="00CE7E0C"/>
    <w:rsid w:val="00CF40E8"/>
    <w:rsid w:val="00CF709A"/>
    <w:rsid w:val="00D00F6E"/>
    <w:rsid w:val="00D03BCA"/>
    <w:rsid w:val="00D044B2"/>
    <w:rsid w:val="00D05CCA"/>
    <w:rsid w:val="00D110F9"/>
    <w:rsid w:val="00D11EC6"/>
    <w:rsid w:val="00D150AC"/>
    <w:rsid w:val="00D17E28"/>
    <w:rsid w:val="00D17FB7"/>
    <w:rsid w:val="00D21F54"/>
    <w:rsid w:val="00D22D57"/>
    <w:rsid w:val="00D2438F"/>
    <w:rsid w:val="00D27387"/>
    <w:rsid w:val="00D30323"/>
    <w:rsid w:val="00D338E2"/>
    <w:rsid w:val="00D36D6C"/>
    <w:rsid w:val="00D42FE0"/>
    <w:rsid w:val="00D437AB"/>
    <w:rsid w:val="00D43B3A"/>
    <w:rsid w:val="00D504DD"/>
    <w:rsid w:val="00D513CF"/>
    <w:rsid w:val="00D535BE"/>
    <w:rsid w:val="00D5439D"/>
    <w:rsid w:val="00D54E36"/>
    <w:rsid w:val="00D55EEE"/>
    <w:rsid w:val="00D606FC"/>
    <w:rsid w:val="00D61705"/>
    <w:rsid w:val="00D62356"/>
    <w:rsid w:val="00D702DE"/>
    <w:rsid w:val="00D7172E"/>
    <w:rsid w:val="00D72A26"/>
    <w:rsid w:val="00D740F8"/>
    <w:rsid w:val="00D752F4"/>
    <w:rsid w:val="00D7572B"/>
    <w:rsid w:val="00D75EA9"/>
    <w:rsid w:val="00D7792F"/>
    <w:rsid w:val="00D84DB0"/>
    <w:rsid w:val="00D85115"/>
    <w:rsid w:val="00D922F7"/>
    <w:rsid w:val="00D9395C"/>
    <w:rsid w:val="00D93AA2"/>
    <w:rsid w:val="00D95BE8"/>
    <w:rsid w:val="00D96F80"/>
    <w:rsid w:val="00DA1AF1"/>
    <w:rsid w:val="00DB50F0"/>
    <w:rsid w:val="00DB58A1"/>
    <w:rsid w:val="00DB698D"/>
    <w:rsid w:val="00DB6B86"/>
    <w:rsid w:val="00DC0B5C"/>
    <w:rsid w:val="00DC4CF1"/>
    <w:rsid w:val="00DC6794"/>
    <w:rsid w:val="00DD5C88"/>
    <w:rsid w:val="00DD676E"/>
    <w:rsid w:val="00DE67D1"/>
    <w:rsid w:val="00DE6E93"/>
    <w:rsid w:val="00DF30C6"/>
    <w:rsid w:val="00DF3B78"/>
    <w:rsid w:val="00DF4FBF"/>
    <w:rsid w:val="00DF7AA5"/>
    <w:rsid w:val="00E00CD1"/>
    <w:rsid w:val="00E00CFB"/>
    <w:rsid w:val="00E01221"/>
    <w:rsid w:val="00E05AB9"/>
    <w:rsid w:val="00E06FEE"/>
    <w:rsid w:val="00E105AE"/>
    <w:rsid w:val="00E10A15"/>
    <w:rsid w:val="00E165E0"/>
    <w:rsid w:val="00E16A90"/>
    <w:rsid w:val="00E17606"/>
    <w:rsid w:val="00E230BD"/>
    <w:rsid w:val="00E23735"/>
    <w:rsid w:val="00E23D7D"/>
    <w:rsid w:val="00E24A46"/>
    <w:rsid w:val="00E2576A"/>
    <w:rsid w:val="00E25E28"/>
    <w:rsid w:val="00E30289"/>
    <w:rsid w:val="00E331ED"/>
    <w:rsid w:val="00E345F6"/>
    <w:rsid w:val="00E35161"/>
    <w:rsid w:val="00E37F02"/>
    <w:rsid w:val="00E45475"/>
    <w:rsid w:val="00E45CD1"/>
    <w:rsid w:val="00E47378"/>
    <w:rsid w:val="00E4737F"/>
    <w:rsid w:val="00E50933"/>
    <w:rsid w:val="00E50F30"/>
    <w:rsid w:val="00E52F93"/>
    <w:rsid w:val="00E52FE2"/>
    <w:rsid w:val="00E56191"/>
    <w:rsid w:val="00E56461"/>
    <w:rsid w:val="00E57437"/>
    <w:rsid w:val="00E601B7"/>
    <w:rsid w:val="00E63093"/>
    <w:rsid w:val="00E63686"/>
    <w:rsid w:val="00E64279"/>
    <w:rsid w:val="00E70452"/>
    <w:rsid w:val="00E72BCE"/>
    <w:rsid w:val="00E736BB"/>
    <w:rsid w:val="00E739BE"/>
    <w:rsid w:val="00E74933"/>
    <w:rsid w:val="00E75F17"/>
    <w:rsid w:val="00E7628A"/>
    <w:rsid w:val="00E877EA"/>
    <w:rsid w:val="00EA5C0B"/>
    <w:rsid w:val="00EA761C"/>
    <w:rsid w:val="00EB31A1"/>
    <w:rsid w:val="00EB6679"/>
    <w:rsid w:val="00ED60F4"/>
    <w:rsid w:val="00EE08AB"/>
    <w:rsid w:val="00EE2040"/>
    <w:rsid w:val="00EF0DF5"/>
    <w:rsid w:val="00EF3452"/>
    <w:rsid w:val="00EF5C8E"/>
    <w:rsid w:val="00EF6B28"/>
    <w:rsid w:val="00F03ED2"/>
    <w:rsid w:val="00F04899"/>
    <w:rsid w:val="00F0773D"/>
    <w:rsid w:val="00F102A2"/>
    <w:rsid w:val="00F12D2A"/>
    <w:rsid w:val="00F1312F"/>
    <w:rsid w:val="00F13F03"/>
    <w:rsid w:val="00F176FC"/>
    <w:rsid w:val="00F17D25"/>
    <w:rsid w:val="00F21650"/>
    <w:rsid w:val="00F22AD1"/>
    <w:rsid w:val="00F239A9"/>
    <w:rsid w:val="00F23EAC"/>
    <w:rsid w:val="00F258A2"/>
    <w:rsid w:val="00F27644"/>
    <w:rsid w:val="00F3301B"/>
    <w:rsid w:val="00F343C7"/>
    <w:rsid w:val="00F53B37"/>
    <w:rsid w:val="00F540EA"/>
    <w:rsid w:val="00F55206"/>
    <w:rsid w:val="00F56DB6"/>
    <w:rsid w:val="00F6046C"/>
    <w:rsid w:val="00F614D6"/>
    <w:rsid w:val="00F614DD"/>
    <w:rsid w:val="00F66BE1"/>
    <w:rsid w:val="00F67F50"/>
    <w:rsid w:val="00F70268"/>
    <w:rsid w:val="00F7287C"/>
    <w:rsid w:val="00F81FAF"/>
    <w:rsid w:val="00F849D7"/>
    <w:rsid w:val="00F85E44"/>
    <w:rsid w:val="00F86829"/>
    <w:rsid w:val="00F874A0"/>
    <w:rsid w:val="00F929FC"/>
    <w:rsid w:val="00F95325"/>
    <w:rsid w:val="00FA3CFD"/>
    <w:rsid w:val="00FA4789"/>
    <w:rsid w:val="00FA5085"/>
    <w:rsid w:val="00FA528D"/>
    <w:rsid w:val="00FA5461"/>
    <w:rsid w:val="00FB15A9"/>
    <w:rsid w:val="00FB4F04"/>
    <w:rsid w:val="00FB5EAC"/>
    <w:rsid w:val="00FB6967"/>
    <w:rsid w:val="00FB75FA"/>
    <w:rsid w:val="00FC4F49"/>
    <w:rsid w:val="00FC5965"/>
    <w:rsid w:val="00FC68E1"/>
    <w:rsid w:val="00FC7EF9"/>
    <w:rsid w:val="00FD133C"/>
    <w:rsid w:val="00FD1EAC"/>
    <w:rsid w:val="00FD2636"/>
    <w:rsid w:val="00FD30FA"/>
    <w:rsid w:val="00FD4E17"/>
    <w:rsid w:val="00FD4F67"/>
    <w:rsid w:val="00FD6F03"/>
    <w:rsid w:val="00FE43F6"/>
    <w:rsid w:val="00FE4685"/>
    <w:rsid w:val="00FE5CA6"/>
    <w:rsid w:val="00FE6035"/>
    <w:rsid w:val="00FE6CB4"/>
    <w:rsid w:val="00FF19B1"/>
    <w:rsid w:val="00FF38D4"/>
    <w:rsid w:val="00FF4D71"/>
    <w:rsid w:val="00FF7355"/>
    <w:rsid w:val="00FF7BF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5ED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lsdException w:name="footer" w:uiPriority="99"/>
    <w:lsdException w:name="caption" w:uiPriority="99" w:qFormat="1"/>
    <w:lsdException w:name="table of figures" w:uiPriority="99"/>
    <w:lsdException w:name="footnote reference"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4"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qFormat/>
    <w:rsid w:val="00550623"/>
    <w:pPr>
      <w:pageBreakBefore/>
      <w:numPr>
        <w:numId w:val="4"/>
      </w:numPr>
      <w:pBdr>
        <w:bottom w:val="single" w:sz="24" w:space="1" w:color="3B98D3"/>
      </w:pBdr>
      <w:shd w:val="clear" w:color="auto" w:fill="3B98D3"/>
      <w:spacing w:before="0" w:line="500" w:lineRule="exact"/>
      <w:outlineLvl w:val="0"/>
    </w:pPr>
    <w:rPr>
      <w:color w:val="FFFFFF"/>
      <w:sz w:val="32"/>
    </w:rPr>
  </w:style>
  <w:style w:type="paragraph" w:styleId="Heading2">
    <w:name w:val="heading 2"/>
    <w:next w:val="AspexBodyStandard"/>
    <w:link w:val="Heading2Char"/>
    <w:qFormat/>
    <w:rsid w:val="008F6AFE"/>
    <w:pPr>
      <w:keepNext/>
      <w:numPr>
        <w:ilvl w:val="1"/>
        <w:numId w:val="4"/>
      </w:numPr>
      <w:spacing w:before="480" w:after="240" w:line="320" w:lineRule="exact"/>
      <w:outlineLvl w:val="1"/>
    </w:pPr>
    <w:rPr>
      <w:b/>
      <w:color w:val="000000"/>
      <w:sz w:val="28"/>
      <w:lang w:eastAsia="en-US"/>
    </w:rPr>
  </w:style>
  <w:style w:type="paragraph" w:styleId="Heading3">
    <w:name w:val="heading 3"/>
    <w:basedOn w:val="Heading4"/>
    <w:next w:val="AspexBodyStandard"/>
    <w:link w:val="Heading3Char"/>
    <w:qFormat/>
    <w:rsid w:val="008F6AFE"/>
    <w:pPr>
      <w:numPr>
        <w:ilvl w:val="2"/>
        <w:numId w:val="4"/>
      </w:numPr>
      <w:spacing w:after="160"/>
      <w:outlineLvl w:val="2"/>
    </w:pPr>
    <w:rPr>
      <w:b w:val="0"/>
      <w:caps/>
      <w:color w:val="000000"/>
    </w:rPr>
  </w:style>
  <w:style w:type="paragraph" w:styleId="Heading4">
    <w:name w:val="heading 4"/>
    <w:next w:val="AspexBodyStandard"/>
    <w:link w:val="Heading4Char"/>
    <w:qFormat/>
    <w:rsid w:val="006463E5"/>
    <w:pPr>
      <w:spacing w:before="360" w:after="120" w:line="280" w:lineRule="exact"/>
      <w:outlineLvl w:val="3"/>
    </w:pPr>
    <w:rPr>
      <w:b/>
      <w:sz w:val="22"/>
      <w:lang w:eastAsia="en-US"/>
    </w:rPr>
  </w:style>
  <w:style w:type="paragraph" w:styleId="Heading5">
    <w:name w:val="heading 5"/>
    <w:basedOn w:val="Heading4"/>
    <w:next w:val="AspexBodyStandard"/>
    <w:link w:val="Heading5Char"/>
    <w:qFormat/>
    <w:rsid w:val="008F6AFE"/>
    <w:pPr>
      <w:outlineLvl w:val="4"/>
    </w:pPr>
    <w:rPr>
      <w:rFonts w:ascii="Arial Bold" w:hAnsi="Arial Bold"/>
      <w:i/>
    </w:rPr>
  </w:style>
  <w:style w:type="paragraph" w:styleId="Heading6">
    <w:name w:val="heading 6"/>
    <w:basedOn w:val="Normal"/>
    <w:next w:val="Normal"/>
    <w:link w:val="Heading6Char"/>
    <w:uiPriority w:val="99"/>
    <w:qFormat/>
    <w:rsid w:val="002372B3"/>
    <w:pPr>
      <w:outlineLvl w:val="5"/>
    </w:pPr>
  </w:style>
  <w:style w:type="paragraph" w:styleId="Heading7">
    <w:name w:val="heading 7"/>
    <w:basedOn w:val="Normal"/>
    <w:next w:val="Normal"/>
    <w:link w:val="Heading7Char"/>
    <w:uiPriority w:val="99"/>
    <w:qFormat/>
    <w:rsid w:val="002372B3"/>
    <w:pPr>
      <w:outlineLvl w:val="6"/>
    </w:pPr>
  </w:style>
  <w:style w:type="paragraph" w:styleId="Heading8">
    <w:name w:val="heading 8"/>
    <w:basedOn w:val="Normal"/>
    <w:next w:val="Normal"/>
    <w:link w:val="Heading8Char"/>
    <w:uiPriority w:val="99"/>
    <w:qFormat/>
    <w:rsid w:val="002372B3"/>
    <w:pPr>
      <w:outlineLvl w:val="7"/>
    </w:pPr>
  </w:style>
  <w:style w:type="paragraph" w:styleId="Heading9">
    <w:name w:val="heading 9"/>
    <w:basedOn w:val="Normal"/>
    <w:next w:val="Normal"/>
    <w:link w:val="Heading9Char"/>
    <w:uiPriority w:val="99"/>
    <w:qFormat/>
    <w:rsid w:val="002372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6C0D1C"/>
    <w:pPr>
      <w:spacing w:before="240" w:after="120"/>
      <w:jc w:val="both"/>
    </w:pPr>
    <w:rPr>
      <w:sz w:val="22"/>
      <w:lang w:eastAsia="en-US"/>
    </w:rPr>
  </w:style>
  <w:style w:type="paragraph" w:customStyle="1" w:styleId="AspexNumberedbullet1">
    <w:name w:val="Aspex Numbered bullet 1"/>
    <w:basedOn w:val="AspexBodyStandard"/>
    <w:uiPriority w:val="1"/>
    <w:qFormat/>
    <w:rsid w:val="006E5E15"/>
    <w:pPr>
      <w:numPr>
        <w:numId w:val="6"/>
      </w:numPr>
      <w:spacing w:before="120"/>
    </w:pPr>
  </w:style>
  <w:style w:type="paragraph" w:customStyle="1" w:styleId="AspexBullet1">
    <w:name w:val="Aspex Bullet 1"/>
    <w:basedOn w:val="AspexBodyStandard"/>
    <w:uiPriority w:val="1"/>
    <w:qFormat/>
    <w:rsid w:val="006C0D1C"/>
    <w:pPr>
      <w:numPr>
        <w:numId w:val="7"/>
      </w:numPr>
      <w:spacing w:before="120"/>
    </w:pPr>
  </w:style>
  <w:style w:type="paragraph" w:customStyle="1" w:styleId="AspexBullet2">
    <w:name w:val="Aspex Bullet 2"/>
    <w:basedOn w:val="AspexBodyStandard"/>
    <w:uiPriority w:val="1"/>
    <w:qFormat/>
    <w:rsid w:val="007051AD"/>
    <w:pPr>
      <w:numPr>
        <w:ilvl w:val="1"/>
        <w:numId w:val="7"/>
      </w:numPr>
      <w:spacing w:before="120" w:after="60"/>
    </w:pPr>
  </w:style>
  <w:style w:type="paragraph" w:customStyle="1" w:styleId="AspexBullet3">
    <w:name w:val="Aspex Bullet 3"/>
    <w:basedOn w:val="AspexBodyStandard"/>
    <w:uiPriority w:val="1"/>
    <w:qFormat/>
    <w:rsid w:val="007051AD"/>
    <w:pPr>
      <w:numPr>
        <w:ilvl w:val="2"/>
        <w:numId w:val="7"/>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numPr>
        <w:ilvl w:val="0"/>
        <w:numId w:val="0"/>
      </w:numPr>
    </w:pPr>
  </w:style>
  <w:style w:type="paragraph" w:customStyle="1" w:styleId="AspexNumberedBullet2">
    <w:name w:val="Aspex Numbered Bullet 2"/>
    <w:basedOn w:val="AspexBodyStandard"/>
    <w:uiPriority w:val="1"/>
    <w:qFormat/>
    <w:rsid w:val="00A634B0"/>
    <w:pPr>
      <w:numPr>
        <w:ilvl w:val="1"/>
        <w:numId w:val="6"/>
      </w:numPr>
      <w:spacing w:before="60" w:after="60"/>
    </w:pPr>
  </w:style>
  <w:style w:type="paragraph" w:customStyle="1" w:styleId="AspexNumberedBullet3">
    <w:name w:val="Aspex Numbered Bullet 3"/>
    <w:basedOn w:val="AspexBodyStandard"/>
    <w:uiPriority w:val="1"/>
    <w:qFormat/>
    <w:rsid w:val="00137B19"/>
    <w:pPr>
      <w:numPr>
        <w:ilvl w:val="2"/>
        <w:numId w:val="6"/>
      </w:numPr>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9F7D7B"/>
    <w:pPr>
      <w:tabs>
        <w:tab w:val="left" w:pos="1418"/>
      </w:tabs>
      <w:spacing w:before="240" w:after="6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uiPriority w:val="99"/>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3008F2"/>
    <w:rPr>
      <w:color w:val="FFFFFF"/>
      <w:sz w:val="32"/>
      <w:shd w:val="clear" w:color="auto" w:fill="3B98D3"/>
      <w:lang w:eastAsia="en-US"/>
    </w:rPr>
  </w:style>
  <w:style w:type="character" w:customStyle="1" w:styleId="Heading2Char">
    <w:name w:val="Heading 2 Char"/>
    <w:basedOn w:val="DefaultParagraphFont"/>
    <w:link w:val="Heading2"/>
    <w:rsid w:val="003008F2"/>
    <w:rPr>
      <w:b/>
      <w:color w:val="000000"/>
      <w:sz w:val="28"/>
      <w:lang w:eastAsia="en-US"/>
    </w:rPr>
  </w:style>
  <w:style w:type="character" w:customStyle="1" w:styleId="Heading5Char">
    <w:name w:val="Heading 5 Char"/>
    <w:basedOn w:val="DefaultParagraphFont"/>
    <w:link w:val="Heading5"/>
    <w:rsid w:val="006463E5"/>
    <w:rPr>
      <w:rFonts w:ascii="Arial Bold" w:hAnsi="Arial Bold" w:cs="Times New Roman"/>
      <w:b/>
      <w:i/>
      <w:szCs w:val="20"/>
    </w:rPr>
  </w:style>
  <w:style w:type="character" w:customStyle="1" w:styleId="Heading4Char">
    <w:name w:val="Heading 4 Char"/>
    <w:basedOn w:val="DefaultParagraphFont"/>
    <w:link w:val="Heading4"/>
    <w:rsid w:val="006463E5"/>
    <w:rPr>
      <w:b/>
      <w:sz w:val="22"/>
      <w:lang w:val="en-AU" w:eastAsia="en-US" w:bidi="ar-SA"/>
    </w:rPr>
  </w:style>
  <w:style w:type="character" w:customStyle="1" w:styleId="Heading3Char">
    <w:name w:val="Heading 3 Char"/>
    <w:basedOn w:val="DefaultParagraphFont"/>
    <w:link w:val="Heading3"/>
    <w:rsid w:val="003008F2"/>
    <w:rPr>
      <w:caps/>
      <w:color w:val="000000"/>
      <w:sz w:val="22"/>
      <w:lang w:eastAsia="en-US"/>
    </w:rPr>
  </w:style>
  <w:style w:type="character" w:customStyle="1" w:styleId="Heading6Char">
    <w:name w:val="Heading 6 Char"/>
    <w:basedOn w:val="DefaultParagraphFont"/>
    <w:link w:val="Heading6"/>
    <w:uiPriority w:val="99"/>
    <w:semiHidden/>
    <w:rsid w:val="009218A4"/>
    <w:rPr>
      <w:rFonts w:ascii="Arial" w:hAnsi="Arial" w:cs="Times New Roman"/>
      <w:szCs w:val="20"/>
    </w:rPr>
  </w:style>
  <w:style w:type="character" w:customStyle="1" w:styleId="Heading7Char">
    <w:name w:val="Heading 7 Char"/>
    <w:basedOn w:val="DefaultParagraphFont"/>
    <w:link w:val="Heading7"/>
    <w:uiPriority w:val="99"/>
    <w:semiHidden/>
    <w:rsid w:val="009218A4"/>
    <w:rPr>
      <w:rFonts w:ascii="Arial" w:hAnsi="Arial" w:cs="Times New Roman"/>
      <w:szCs w:val="20"/>
    </w:rPr>
  </w:style>
  <w:style w:type="character" w:customStyle="1" w:styleId="Heading8Char">
    <w:name w:val="Heading 8 Char"/>
    <w:basedOn w:val="DefaultParagraphFont"/>
    <w:link w:val="Heading8"/>
    <w:uiPriority w:val="99"/>
    <w:semiHidden/>
    <w:rsid w:val="009218A4"/>
    <w:rPr>
      <w:rFonts w:ascii="Arial" w:hAnsi="Arial" w:cs="Times New Roman"/>
      <w:szCs w:val="20"/>
    </w:rPr>
  </w:style>
  <w:style w:type="character" w:customStyle="1" w:styleId="Heading9Char">
    <w:name w:val="Heading 9 Char"/>
    <w:basedOn w:val="DefaultParagraphFont"/>
    <w:link w:val="Heading9"/>
    <w:uiPriority w:val="99"/>
    <w:semiHidden/>
    <w:rsid w:val="009218A4"/>
    <w:rPr>
      <w:rFonts w:ascii="Arial" w:hAnsi="Arial" w:cs="Times New Roman"/>
      <w:szCs w:val="20"/>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rPr>
  </w:style>
  <w:style w:type="paragraph" w:styleId="TOC2">
    <w:name w:val="toc 2"/>
    <w:basedOn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6C0D1C"/>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99"/>
    <w:qFormat/>
    <w:rsid w:val="002372B3"/>
    <w:pPr>
      <w:ind w:left="720"/>
      <w:contextualSpacing/>
    </w:pPr>
  </w:style>
  <w:style w:type="paragraph" w:customStyle="1" w:styleId="AspexTableText-NarrowBullet">
    <w:name w:val="Aspex Table Text - Narrow Bullet"/>
    <w:basedOn w:val="Normal"/>
    <w:qFormat/>
    <w:rsid w:val="00F81FAF"/>
    <w:pPr>
      <w:numPr>
        <w:numId w:val="9"/>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8"/>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10"/>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10"/>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9"/>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9"/>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10"/>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table" w:customStyle="1" w:styleId="AspexTable12">
    <w:name w:val="Aspex Table 12"/>
    <w:basedOn w:val="TableNormal"/>
    <w:qFormat/>
    <w:rsid w:val="008E352C"/>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character" w:customStyle="1" w:styleId="lblsubtitle2">
    <w:name w:val="lblsubtitle2"/>
    <w:basedOn w:val="DefaultParagraphFont"/>
    <w:rsid w:val="00257B86"/>
  </w:style>
  <w:style w:type="paragraph" w:styleId="NormalWeb">
    <w:name w:val="Normal (Web)"/>
    <w:basedOn w:val="Normal"/>
    <w:uiPriority w:val="99"/>
    <w:unhideWhenUsed/>
    <w:rsid w:val="00257B86"/>
    <w:pPr>
      <w:spacing w:before="100" w:beforeAutospacing="1" w:after="100" w:afterAutospacing="1" w:line="240" w:lineRule="auto"/>
    </w:pPr>
    <w:rPr>
      <w:rFonts w:ascii="Times New Roman" w:hAnsi="Times New Roman"/>
      <w:color w:val="000000"/>
      <w:sz w:val="24"/>
      <w:lang w:eastAsia="en-AU"/>
    </w:rPr>
  </w:style>
  <w:style w:type="character" w:customStyle="1" w:styleId="ref-journal">
    <w:name w:val="ref-journal"/>
    <w:basedOn w:val="DefaultParagraphFont"/>
    <w:rsid w:val="00257B86"/>
  </w:style>
  <w:style w:type="character" w:customStyle="1" w:styleId="mixed-citation">
    <w:name w:val="mixed-citation"/>
    <w:rsid w:val="00257B86"/>
  </w:style>
  <w:style w:type="character" w:customStyle="1" w:styleId="st">
    <w:name w:val="st"/>
    <w:basedOn w:val="DefaultParagraphFont"/>
    <w:rsid w:val="00257B86"/>
  </w:style>
  <w:style w:type="character" w:styleId="Strong">
    <w:name w:val="Strong"/>
    <w:basedOn w:val="DefaultParagraphFont"/>
    <w:uiPriority w:val="22"/>
    <w:qFormat/>
    <w:rsid w:val="00257B86"/>
    <w:rPr>
      <w:b/>
      <w:bCs/>
    </w:rPr>
  </w:style>
  <w:style w:type="table" w:customStyle="1" w:styleId="AspexTable11">
    <w:name w:val="Aspex Table 11"/>
    <w:basedOn w:val="TableNormal"/>
    <w:qFormat/>
    <w:rsid w:val="00257B86"/>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character" w:styleId="IntenseEmphasis">
    <w:name w:val="Intense Emphasis"/>
    <w:basedOn w:val="DefaultParagraphFont"/>
    <w:uiPriority w:val="21"/>
    <w:qFormat/>
    <w:rsid w:val="00EE2040"/>
    <w:rPr>
      <w:b/>
      <w:bCs/>
      <w:i/>
      <w:iCs/>
      <w:color w:val="4F81BD" w:themeColor="accent1"/>
      <w:sz w:val="22"/>
      <w:szCs w:val="22"/>
    </w:rPr>
  </w:style>
  <w:style w:type="paragraph" w:customStyle="1" w:styleId="xl63">
    <w:name w:val="xl63"/>
    <w:basedOn w:val="Normal"/>
    <w:rsid w:val="008528B8"/>
    <w:pPr>
      <w:spacing w:before="100" w:beforeAutospacing="1" w:after="100" w:afterAutospacing="1" w:line="240" w:lineRule="auto"/>
    </w:pPr>
    <w:rPr>
      <w:rFonts w:ascii="Times" w:hAnsi="Times"/>
      <w:b/>
      <w:bCs/>
      <w:sz w:val="20"/>
    </w:rPr>
  </w:style>
  <w:style w:type="paragraph" w:customStyle="1" w:styleId="xl64">
    <w:name w:val="xl64"/>
    <w:basedOn w:val="Normal"/>
    <w:rsid w:val="008528B8"/>
    <w:pPr>
      <w:spacing w:before="100" w:beforeAutospacing="1" w:after="100" w:afterAutospacing="1" w:line="240" w:lineRule="auto"/>
    </w:pPr>
    <w:rPr>
      <w:rFonts w:ascii="Times" w:hAnsi="Times"/>
      <w:b/>
      <w:bCs/>
      <w:sz w:val="20"/>
    </w:rPr>
  </w:style>
  <w:style w:type="paragraph" w:customStyle="1" w:styleId="xl65">
    <w:name w:val="xl65"/>
    <w:basedOn w:val="Normal"/>
    <w:rsid w:val="008528B8"/>
    <w:pPr>
      <w:spacing w:before="100" w:beforeAutospacing="1" w:after="100" w:afterAutospacing="1" w:line="240" w:lineRule="auto"/>
    </w:pPr>
    <w:rPr>
      <w:rFonts w:ascii="Times" w:hAnsi="Times"/>
      <w:sz w:val="20"/>
    </w:rPr>
  </w:style>
  <w:style w:type="paragraph" w:customStyle="1" w:styleId="xl66">
    <w:name w:val="xl66"/>
    <w:basedOn w:val="Normal"/>
    <w:rsid w:val="008528B8"/>
    <w:pPr>
      <w:spacing w:before="100" w:beforeAutospacing="1" w:after="100" w:afterAutospacing="1" w:line="240" w:lineRule="auto"/>
      <w:jc w:val="center"/>
    </w:pPr>
    <w:rPr>
      <w:rFonts w:ascii="Times" w:hAnsi="Times"/>
      <w:sz w:val="20"/>
    </w:rPr>
  </w:style>
  <w:style w:type="paragraph" w:customStyle="1" w:styleId="xl67">
    <w:name w:val="xl67"/>
    <w:basedOn w:val="Normal"/>
    <w:rsid w:val="008528B8"/>
    <w:pPr>
      <w:spacing w:before="100" w:beforeAutospacing="1" w:after="100" w:afterAutospacing="1" w:line="240" w:lineRule="auto"/>
      <w:jc w:val="center"/>
    </w:pPr>
    <w:rPr>
      <w:rFonts w:ascii="Times" w:hAnsi="Times"/>
      <w:sz w:val="20"/>
    </w:rPr>
  </w:style>
  <w:style w:type="paragraph" w:customStyle="1" w:styleId="xl68">
    <w:name w:val="xl68"/>
    <w:basedOn w:val="Normal"/>
    <w:rsid w:val="008528B8"/>
    <w:pPr>
      <w:spacing w:before="100" w:beforeAutospacing="1" w:after="100" w:afterAutospacing="1" w:line="240" w:lineRule="auto"/>
      <w:jc w:val="center"/>
    </w:pPr>
    <w:rPr>
      <w:rFonts w:ascii="Times" w:hAnsi="Times"/>
      <w:b/>
      <w:bCs/>
      <w:sz w:val="20"/>
    </w:rPr>
  </w:style>
  <w:style w:type="paragraph" w:customStyle="1" w:styleId="xl69">
    <w:name w:val="xl69"/>
    <w:basedOn w:val="Normal"/>
    <w:rsid w:val="008528B8"/>
    <w:pPr>
      <w:spacing w:before="100" w:beforeAutospacing="1" w:after="100" w:afterAutospacing="1" w:line="240" w:lineRule="auto"/>
      <w:jc w:val="center"/>
    </w:pPr>
    <w:rPr>
      <w:rFonts w:ascii="Times" w:hAnsi="Times"/>
      <w:sz w:val="20"/>
    </w:rPr>
  </w:style>
  <w:style w:type="paragraph" w:customStyle="1" w:styleId="xl70">
    <w:name w:val="xl70"/>
    <w:basedOn w:val="Normal"/>
    <w:rsid w:val="008528B8"/>
    <w:pPr>
      <w:spacing w:before="100" w:beforeAutospacing="1" w:after="100" w:afterAutospacing="1" w:line="240" w:lineRule="auto"/>
    </w:pPr>
    <w:rPr>
      <w:rFonts w:cs="Arial"/>
      <w:sz w:val="32"/>
      <w:szCs w:val="32"/>
    </w:rPr>
  </w:style>
  <w:style w:type="paragraph" w:customStyle="1" w:styleId="xl71">
    <w:name w:val="xl71"/>
    <w:basedOn w:val="Normal"/>
    <w:rsid w:val="008528B8"/>
    <w:pPr>
      <w:spacing w:before="100" w:beforeAutospacing="1" w:after="100" w:afterAutospacing="1" w:line="240" w:lineRule="auto"/>
    </w:pPr>
    <w:rPr>
      <w:rFonts w:cs="Arial"/>
      <w:szCs w:val="22"/>
    </w:rPr>
  </w:style>
  <w:style w:type="paragraph" w:customStyle="1" w:styleId="xl72">
    <w:name w:val="xl72"/>
    <w:basedOn w:val="Normal"/>
    <w:rsid w:val="008528B8"/>
    <w:pPr>
      <w:spacing w:before="100" w:beforeAutospacing="1" w:after="100" w:afterAutospacing="1" w:line="240" w:lineRule="auto"/>
      <w:jc w:val="center"/>
    </w:pPr>
    <w:rPr>
      <w:rFonts w:ascii="Times" w:hAnsi="Times"/>
      <w:sz w:val="20"/>
    </w:rPr>
  </w:style>
  <w:style w:type="paragraph" w:customStyle="1" w:styleId="xl73">
    <w:name w:val="xl73"/>
    <w:basedOn w:val="Normal"/>
    <w:rsid w:val="008528B8"/>
    <w:pPr>
      <w:spacing w:before="100" w:beforeAutospacing="1" w:after="100" w:afterAutospacing="1" w:line="240" w:lineRule="auto"/>
      <w:jc w:val="center"/>
    </w:pPr>
    <w:rPr>
      <w:rFonts w:ascii="Times" w:hAnsi="Times"/>
      <w:b/>
      <w:bCs/>
      <w:sz w:val="20"/>
    </w:rPr>
  </w:style>
  <w:style w:type="paragraph" w:customStyle="1" w:styleId="xl74">
    <w:name w:val="xl74"/>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75">
    <w:name w:val="xl75"/>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76">
    <w:name w:val="xl76"/>
    <w:basedOn w:val="Normal"/>
    <w:rsid w:val="008528B8"/>
    <w:pPr>
      <w:spacing w:before="100" w:beforeAutospacing="1" w:after="100" w:afterAutospacing="1" w:line="240" w:lineRule="auto"/>
    </w:pPr>
    <w:rPr>
      <w:rFonts w:ascii="Times" w:hAnsi="Times"/>
      <w:sz w:val="20"/>
    </w:rPr>
  </w:style>
  <w:style w:type="paragraph" w:customStyle="1" w:styleId="xl77">
    <w:name w:val="xl77"/>
    <w:basedOn w:val="Normal"/>
    <w:rsid w:val="008528B8"/>
    <w:pPr>
      <w:spacing w:before="100" w:beforeAutospacing="1" w:after="100" w:afterAutospacing="1" w:line="240" w:lineRule="auto"/>
      <w:textAlignment w:val="top"/>
    </w:pPr>
    <w:rPr>
      <w:rFonts w:ascii="Times" w:hAnsi="Times"/>
      <w:sz w:val="20"/>
    </w:rPr>
  </w:style>
  <w:style w:type="paragraph" w:customStyle="1" w:styleId="xl78">
    <w:name w:val="xl78"/>
    <w:basedOn w:val="Normal"/>
    <w:rsid w:val="008528B8"/>
    <w:pPr>
      <w:spacing w:before="100" w:beforeAutospacing="1" w:after="100" w:afterAutospacing="1" w:line="240" w:lineRule="auto"/>
      <w:textAlignment w:val="top"/>
    </w:pPr>
    <w:rPr>
      <w:rFonts w:ascii="Times" w:hAnsi="Times"/>
      <w:b/>
      <w:bCs/>
      <w:sz w:val="20"/>
    </w:rPr>
  </w:style>
  <w:style w:type="paragraph" w:customStyle="1" w:styleId="xl79">
    <w:name w:val="xl79"/>
    <w:basedOn w:val="Normal"/>
    <w:rsid w:val="008528B8"/>
    <w:pPr>
      <w:spacing w:before="100" w:beforeAutospacing="1" w:after="100" w:afterAutospacing="1" w:line="240" w:lineRule="auto"/>
      <w:jc w:val="center"/>
      <w:textAlignment w:val="top"/>
    </w:pPr>
    <w:rPr>
      <w:rFonts w:ascii="Times" w:hAnsi="Times"/>
      <w:b/>
      <w:bCs/>
      <w:sz w:val="20"/>
    </w:rPr>
  </w:style>
  <w:style w:type="paragraph" w:customStyle="1" w:styleId="xl80">
    <w:name w:val="xl80"/>
    <w:basedOn w:val="Normal"/>
    <w:rsid w:val="008528B8"/>
    <w:pPr>
      <w:spacing w:before="100" w:beforeAutospacing="1" w:after="100" w:afterAutospacing="1" w:line="240" w:lineRule="auto"/>
      <w:jc w:val="center"/>
      <w:textAlignment w:val="top"/>
    </w:pPr>
    <w:rPr>
      <w:rFonts w:ascii="Times" w:hAnsi="Times"/>
      <w:sz w:val="20"/>
    </w:rPr>
  </w:style>
  <w:style w:type="paragraph" w:customStyle="1" w:styleId="xl81">
    <w:name w:val="xl81"/>
    <w:basedOn w:val="Normal"/>
    <w:rsid w:val="008528B8"/>
    <w:pPr>
      <w:spacing w:before="100" w:beforeAutospacing="1" w:after="100" w:afterAutospacing="1" w:line="240" w:lineRule="auto"/>
      <w:jc w:val="center"/>
    </w:pPr>
    <w:rPr>
      <w:rFonts w:cs="Arial"/>
      <w:szCs w:val="22"/>
    </w:rPr>
  </w:style>
  <w:style w:type="paragraph" w:customStyle="1" w:styleId="xl82">
    <w:name w:val="xl82"/>
    <w:basedOn w:val="Normal"/>
    <w:rsid w:val="008528B8"/>
    <w:pPr>
      <w:spacing w:before="100" w:beforeAutospacing="1" w:after="100" w:afterAutospacing="1" w:line="240" w:lineRule="auto"/>
      <w:jc w:val="center"/>
    </w:pPr>
    <w:rPr>
      <w:rFonts w:cs="Arial"/>
      <w:szCs w:val="22"/>
    </w:rPr>
  </w:style>
  <w:style w:type="paragraph" w:customStyle="1" w:styleId="xl83">
    <w:name w:val="xl83"/>
    <w:basedOn w:val="Normal"/>
    <w:rsid w:val="008528B8"/>
    <w:pPr>
      <w:spacing w:before="100" w:beforeAutospacing="1" w:after="100" w:afterAutospacing="1" w:line="240" w:lineRule="auto"/>
      <w:jc w:val="center"/>
    </w:pPr>
    <w:rPr>
      <w:rFonts w:cs="Arial"/>
      <w:szCs w:val="22"/>
    </w:rPr>
  </w:style>
  <w:style w:type="paragraph" w:customStyle="1" w:styleId="xl84">
    <w:name w:val="xl84"/>
    <w:basedOn w:val="Normal"/>
    <w:rsid w:val="008528B8"/>
    <w:pPr>
      <w:spacing w:before="100" w:beforeAutospacing="1" w:after="100" w:afterAutospacing="1" w:line="240" w:lineRule="auto"/>
    </w:pPr>
    <w:rPr>
      <w:rFonts w:ascii="Times" w:hAnsi="Times"/>
      <w:b/>
      <w:bCs/>
      <w:sz w:val="24"/>
    </w:rPr>
  </w:style>
  <w:style w:type="paragraph" w:customStyle="1" w:styleId="xl85">
    <w:name w:val="xl85"/>
    <w:basedOn w:val="Normal"/>
    <w:rsid w:val="008528B8"/>
    <w:pPr>
      <w:spacing w:before="100" w:beforeAutospacing="1" w:after="100" w:afterAutospacing="1" w:line="240" w:lineRule="auto"/>
    </w:pPr>
    <w:rPr>
      <w:rFonts w:cs="Arial"/>
      <w:color w:val="8497B0"/>
      <w:sz w:val="32"/>
      <w:szCs w:val="32"/>
    </w:rPr>
  </w:style>
  <w:style w:type="paragraph" w:customStyle="1" w:styleId="xl86">
    <w:name w:val="xl86"/>
    <w:basedOn w:val="Normal"/>
    <w:rsid w:val="008528B8"/>
    <w:pPr>
      <w:spacing w:before="100" w:beforeAutospacing="1" w:after="100" w:afterAutospacing="1" w:line="240" w:lineRule="auto"/>
      <w:jc w:val="center"/>
    </w:pPr>
    <w:rPr>
      <w:rFonts w:ascii="Times" w:hAnsi="Times"/>
      <w:b/>
      <w:bCs/>
      <w:sz w:val="20"/>
    </w:rPr>
  </w:style>
  <w:style w:type="paragraph" w:customStyle="1" w:styleId="xl87">
    <w:name w:val="xl87"/>
    <w:basedOn w:val="Normal"/>
    <w:rsid w:val="008528B8"/>
    <w:pPr>
      <w:spacing w:before="100" w:beforeAutospacing="1" w:after="100" w:afterAutospacing="1" w:line="240" w:lineRule="auto"/>
      <w:jc w:val="center"/>
    </w:pPr>
    <w:rPr>
      <w:rFonts w:ascii="Times" w:hAnsi="Times"/>
      <w:sz w:val="20"/>
    </w:rPr>
  </w:style>
  <w:style w:type="paragraph" w:customStyle="1" w:styleId="xl88">
    <w:name w:val="xl88"/>
    <w:basedOn w:val="Normal"/>
    <w:rsid w:val="008528B8"/>
    <w:pPr>
      <w:spacing w:before="100" w:beforeAutospacing="1" w:after="100" w:afterAutospacing="1" w:line="240" w:lineRule="auto"/>
      <w:jc w:val="center"/>
    </w:pPr>
    <w:rPr>
      <w:rFonts w:ascii="Times" w:hAnsi="Times"/>
      <w:sz w:val="20"/>
    </w:rPr>
  </w:style>
  <w:style w:type="paragraph" w:customStyle="1" w:styleId="xl89">
    <w:name w:val="xl89"/>
    <w:basedOn w:val="Normal"/>
    <w:rsid w:val="008528B8"/>
    <w:pPr>
      <w:spacing w:before="100" w:beforeAutospacing="1" w:after="100" w:afterAutospacing="1" w:line="240" w:lineRule="auto"/>
      <w:jc w:val="center"/>
    </w:pPr>
    <w:rPr>
      <w:rFonts w:ascii="Times" w:hAnsi="Times"/>
      <w:b/>
      <w:bCs/>
      <w:sz w:val="20"/>
    </w:rPr>
  </w:style>
  <w:style w:type="paragraph" w:customStyle="1" w:styleId="xl90">
    <w:name w:val="xl90"/>
    <w:basedOn w:val="Normal"/>
    <w:rsid w:val="008528B8"/>
    <w:pPr>
      <w:spacing w:before="100" w:beforeAutospacing="1" w:after="100" w:afterAutospacing="1" w:line="240" w:lineRule="auto"/>
      <w:jc w:val="center"/>
    </w:pPr>
    <w:rPr>
      <w:rFonts w:ascii="Times" w:hAnsi="Times"/>
      <w:b/>
      <w:bCs/>
      <w:sz w:val="20"/>
    </w:rPr>
  </w:style>
  <w:style w:type="paragraph" w:customStyle="1" w:styleId="xl91">
    <w:name w:val="xl91"/>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92">
    <w:name w:val="xl92"/>
    <w:basedOn w:val="Normal"/>
    <w:rsid w:val="008528B8"/>
    <w:pPr>
      <w:spacing w:before="100" w:beforeAutospacing="1" w:after="100" w:afterAutospacing="1" w:line="240" w:lineRule="auto"/>
    </w:pPr>
    <w:rPr>
      <w:rFonts w:cs="Arial"/>
      <w:color w:val="FF0000"/>
      <w:szCs w:val="22"/>
    </w:rPr>
  </w:style>
  <w:style w:type="paragraph" w:customStyle="1" w:styleId="xl93">
    <w:name w:val="xl93"/>
    <w:basedOn w:val="Normal"/>
    <w:rsid w:val="008528B8"/>
    <w:pPr>
      <w:spacing w:before="100" w:beforeAutospacing="1" w:after="100" w:afterAutospacing="1" w:line="240" w:lineRule="auto"/>
    </w:pPr>
    <w:rPr>
      <w:rFonts w:cs="Arial"/>
      <w:color w:val="8497B0"/>
      <w:sz w:val="32"/>
      <w:szCs w:val="32"/>
    </w:rPr>
  </w:style>
  <w:style w:type="paragraph" w:customStyle="1" w:styleId="xl94">
    <w:name w:val="xl94"/>
    <w:basedOn w:val="Normal"/>
    <w:rsid w:val="008528B8"/>
    <w:pPr>
      <w:spacing w:before="100" w:beforeAutospacing="1" w:after="100" w:afterAutospacing="1" w:line="240" w:lineRule="auto"/>
      <w:jc w:val="center"/>
    </w:pPr>
    <w:rPr>
      <w:rFonts w:cs="Arial"/>
      <w:color w:val="FF0000"/>
      <w:szCs w:val="22"/>
    </w:rPr>
  </w:style>
  <w:style w:type="paragraph" w:customStyle="1" w:styleId="xl95">
    <w:name w:val="xl95"/>
    <w:basedOn w:val="Normal"/>
    <w:rsid w:val="008528B8"/>
    <w:pPr>
      <w:spacing w:before="100" w:beforeAutospacing="1" w:after="100" w:afterAutospacing="1" w:line="240" w:lineRule="auto"/>
      <w:jc w:val="center"/>
    </w:pPr>
    <w:rPr>
      <w:rFonts w:cs="Arial"/>
      <w:i/>
      <w:iCs/>
      <w:color w:val="808080"/>
      <w:sz w:val="20"/>
    </w:rPr>
  </w:style>
  <w:style w:type="paragraph" w:customStyle="1" w:styleId="xl96">
    <w:name w:val="xl96"/>
    <w:basedOn w:val="Normal"/>
    <w:rsid w:val="008528B8"/>
    <w:pPr>
      <w:spacing w:before="100" w:beforeAutospacing="1" w:after="100" w:afterAutospacing="1" w:line="240" w:lineRule="auto"/>
      <w:jc w:val="center"/>
    </w:pPr>
    <w:rPr>
      <w:rFonts w:cs="Arial"/>
      <w:color w:val="FF0000"/>
      <w:sz w:val="20"/>
    </w:rPr>
  </w:style>
  <w:style w:type="paragraph" w:customStyle="1" w:styleId="xl97">
    <w:name w:val="xl97"/>
    <w:basedOn w:val="Normal"/>
    <w:rsid w:val="008528B8"/>
    <w:pPr>
      <w:spacing w:before="100" w:beforeAutospacing="1" w:after="100" w:afterAutospacing="1" w:line="240" w:lineRule="auto"/>
      <w:textAlignment w:val="center"/>
    </w:pPr>
    <w:rPr>
      <w:rFonts w:ascii="Arial Narrow" w:hAnsi="Arial Narrow"/>
      <w:i/>
      <w:iCs/>
      <w:color w:val="FF0000"/>
      <w:sz w:val="20"/>
    </w:rPr>
  </w:style>
  <w:style w:type="paragraph" w:customStyle="1" w:styleId="xl98">
    <w:name w:val="xl98"/>
    <w:basedOn w:val="Normal"/>
    <w:rsid w:val="008528B8"/>
    <w:pPr>
      <w:spacing w:before="100" w:beforeAutospacing="1" w:after="100" w:afterAutospacing="1" w:line="240" w:lineRule="auto"/>
      <w:textAlignment w:val="center"/>
    </w:pPr>
    <w:rPr>
      <w:rFonts w:ascii="Arial Narrow" w:hAnsi="Arial Narrow"/>
      <w:b/>
      <w:bCs/>
      <w:color w:val="FF0000"/>
      <w:sz w:val="20"/>
    </w:rPr>
  </w:style>
  <w:style w:type="paragraph" w:customStyle="1" w:styleId="xl99">
    <w:name w:val="xl99"/>
    <w:basedOn w:val="Normal"/>
    <w:rsid w:val="008528B8"/>
    <w:pPr>
      <w:spacing w:before="100" w:beforeAutospacing="1" w:after="100" w:afterAutospacing="1" w:line="240" w:lineRule="auto"/>
      <w:jc w:val="center"/>
    </w:pPr>
    <w:rPr>
      <w:rFonts w:cs="Arial"/>
      <w:i/>
      <w:iCs/>
      <w:color w:val="FF0000"/>
      <w:sz w:val="20"/>
    </w:rPr>
  </w:style>
  <w:style w:type="paragraph" w:customStyle="1" w:styleId="xl100">
    <w:name w:val="xl100"/>
    <w:basedOn w:val="Normal"/>
    <w:rsid w:val="008528B8"/>
    <w:pPr>
      <w:spacing w:before="100" w:beforeAutospacing="1" w:after="100" w:afterAutospacing="1" w:line="240" w:lineRule="auto"/>
      <w:jc w:val="center"/>
    </w:pPr>
    <w:rPr>
      <w:rFonts w:ascii="Times" w:hAnsi="Times"/>
      <w:b/>
      <w:bCs/>
      <w:sz w:val="24"/>
    </w:rPr>
  </w:style>
  <w:style w:type="paragraph" w:customStyle="1" w:styleId="xl101">
    <w:name w:val="xl101"/>
    <w:basedOn w:val="Normal"/>
    <w:rsid w:val="008528B8"/>
    <w:pPr>
      <w:spacing w:before="100" w:beforeAutospacing="1" w:after="100" w:afterAutospacing="1" w:line="240" w:lineRule="auto"/>
      <w:jc w:val="center"/>
    </w:pPr>
    <w:rPr>
      <w:rFonts w:cs="Arial"/>
      <w:i/>
      <w:iCs/>
      <w:color w:val="A6A6A6"/>
      <w:sz w:val="20"/>
    </w:rPr>
  </w:style>
  <w:style w:type="paragraph" w:customStyle="1" w:styleId="xl102">
    <w:name w:val="xl102"/>
    <w:basedOn w:val="Normal"/>
    <w:rsid w:val="008528B8"/>
    <w:pPr>
      <w:spacing w:before="100" w:beforeAutospacing="1" w:after="100" w:afterAutospacing="1" w:line="240" w:lineRule="auto"/>
    </w:pPr>
    <w:rPr>
      <w:rFonts w:ascii="Times" w:hAnsi="Times"/>
      <w:b/>
      <w:bCs/>
      <w:sz w:val="24"/>
    </w:rPr>
  </w:style>
  <w:style w:type="paragraph" w:styleId="IntenseQuote">
    <w:name w:val="Intense Quote"/>
    <w:basedOn w:val="Normal"/>
    <w:next w:val="Normal"/>
    <w:link w:val="IntenseQuoteChar"/>
    <w:uiPriority w:val="30"/>
    <w:qFormat/>
    <w:rsid w:val="00D96F80"/>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D96F80"/>
    <w:rPr>
      <w:b/>
      <w:bCs/>
      <w:i/>
      <w:iCs/>
      <w:color w:val="4F81BD" w:themeColor="accent1"/>
      <w:sz w:val="22"/>
      <w:szCs w:val="24"/>
      <w:lang w:eastAsia="en-US"/>
    </w:rPr>
  </w:style>
  <w:style w:type="paragraph" w:styleId="Revision">
    <w:name w:val="Revision"/>
    <w:hidden/>
    <w:uiPriority w:val="99"/>
    <w:semiHidden/>
    <w:rsid w:val="008158DB"/>
    <w:rPr>
      <w:sz w:val="22"/>
      <w:lang w:eastAsia="en-US"/>
    </w:rPr>
  </w:style>
  <w:style w:type="character" w:customStyle="1" w:styleId="apple-converted-space">
    <w:name w:val="apple-converted-space"/>
    <w:basedOn w:val="DefaultParagraphFont"/>
    <w:rsid w:val="005C6203"/>
  </w:style>
  <w:style w:type="character" w:styleId="CommentReference">
    <w:name w:val="annotation reference"/>
    <w:basedOn w:val="DefaultParagraphFont"/>
    <w:semiHidden/>
    <w:rsid w:val="00EF3452"/>
    <w:rPr>
      <w:sz w:val="18"/>
      <w:szCs w:val="18"/>
    </w:rPr>
  </w:style>
  <w:style w:type="paragraph" w:styleId="CommentText">
    <w:name w:val="annotation text"/>
    <w:basedOn w:val="Normal"/>
    <w:link w:val="CommentTextChar"/>
    <w:semiHidden/>
    <w:rsid w:val="00EF3452"/>
    <w:pPr>
      <w:spacing w:line="240" w:lineRule="auto"/>
    </w:pPr>
    <w:rPr>
      <w:sz w:val="24"/>
    </w:rPr>
  </w:style>
  <w:style w:type="character" w:customStyle="1" w:styleId="CommentTextChar">
    <w:name w:val="Comment Text Char"/>
    <w:basedOn w:val="DefaultParagraphFont"/>
    <w:link w:val="CommentText"/>
    <w:semiHidden/>
    <w:rsid w:val="00EF3452"/>
    <w:rPr>
      <w:lang w:eastAsia="en-US"/>
    </w:rPr>
  </w:style>
  <w:style w:type="paragraph" w:styleId="CommentSubject">
    <w:name w:val="annotation subject"/>
    <w:basedOn w:val="CommentText"/>
    <w:next w:val="CommentText"/>
    <w:link w:val="CommentSubjectChar"/>
    <w:semiHidden/>
    <w:rsid w:val="00EF3452"/>
    <w:rPr>
      <w:b/>
      <w:bCs/>
      <w:sz w:val="20"/>
      <w:szCs w:val="20"/>
    </w:rPr>
  </w:style>
  <w:style w:type="character" w:customStyle="1" w:styleId="CommentSubjectChar">
    <w:name w:val="Comment Subject Char"/>
    <w:basedOn w:val="CommentTextChar"/>
    <w:link w:val="CommentSubject"/>
    <w:semiHidden/>
    <w:rsid w:val="00EF3452"/>
    <w:rPr>
      <w:b/>
      <w:bCs/>
      <w:sz w:val="20"/>
      <w:szCs w:val="20"/>
      <w:lang w:eastAsia="en-US"/>
    </w:rPr>
  </w:style>
  <w:style w:type="paragraph" w:styleId="DocumentMap">
    <w:name w:val="Document Map"/>
    <w:basedOn w:val="Normal"/>
    <w:link w:val="DocumentMapChar"/>
    <w:semiHidden/>
    <w:rsid w:val="00377B70"/>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377B70"/>
    <w:rPr>
      <w:rFonts w:ascii="Lucida Grande" w:hAnsi="Lucida Grande" w:cs="Lucida Grand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lsdException w:name="footer" w:uiPriority="99"/>
    <w:lsdException w:name="caption" w:uiPriority="99" w:qFormat="1"/>
    <w:lsdException w:name="table of figures" w:uiPriority="99"/>
    <w:lsdException w:name="footnote reference" w:uiPriority="99"/>
    <w:lsdException w:name="List Number" w:unhideWhenUsed="0"/>
    <w:lsdException w:name="List 4" w:unhideWhenUsed="0"/>
    <w:lsdException w:name="List 5" w:unhideWhenUsed="0"/>
    <w:lsdException w:name="Title" w:semiHidden="0" w:unhideWhenUsed="0" w:qFormat="1"/>
    <w:lsdException w:name="Subtitle" w:unhideWhenUsed="0" w:qFormat="1"/>
    <w:lsdException w:name="Salutation" w:unhideWhenUsed="0"/>
    <w:lsdException w:name="Date" w:unhideWhenUsed="0"/>
    <w:lsdException w:name="Body Text First Indent"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4"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AspexBodyStandard"/>
    <w:qFormat/>
    <w:rsid w:val="00CD2D61"/>
    <w:pPr>
      <w:spacing w:before="120" w:after="240" w:line="260" w:lineRule="atLeast"/>
    </w:pPr>
    <w:rPr>
      <w:sz w:val="22"/>
      <w:lang w:eastAsia="en-US"/>
    </w:rPr>
  </w:style>
  <w:style w:type="paragraph" w:styleId="Heading1">
    <w:name w:val="heading 1"/>
    <w:basedOn w:val="Normal"/>
    <w:next w:val="AspexBodyStandard"/>
    <w:link w:val="Heading1Char"/>
    <w:qFormat/>
    <w:rsid w:val="00550623"/>
    <w:pPr>
      <w:pageBreakBefore/>
      <w:numPr>
        <w:numId w:val="4"/>
      </w:numPr>
      <w:pBdr>
        <w:bottom w:val="single" w:sz="24" w:space="1" w:color="3B98D3"/>
      </w:pBdr>
      <w:shd w:val="clear" w:color="auto" w:fill="3B98D3"/>
      <w:spacing w:before="0" w:line="500" w:lineRule="exact"/>
      <w:outlineLvl w:val="0"/>
    </w:pPr>
    <w:rPr>
      <w:color w:val="FFFFFF"/>
      <w:sz w:val="32"/>
    </w:rPr>
  </w:style>
  <w:style w:type="paragraph" w:styleId="Heading2">
    <w:name w:val="heading 2"/>
    <w:next w:val="AspexBodyStandard"/>
    <w:link w:val="Heading2Char"/>
    <w:qFormat/>
    <w:rsid w:val="008F6AFE"/>
    <w:pPr>
      <w:keepNext/>
      <w:numPr>
        <w:ilvl w:val="1"/>
        <w:numId w:val="4"/>
      </w:numPr>
      <w:spacing w:before="480" w:after="240" w:line="320" w:lineRule="exact"/>
      <w:outlineLvl w:val="1"/>
    </w:pPr>
    <w:rPr>
      <w:b/>
      <w:color w:val="000000"/>
      <w:sz w:val="28"/>
      <w:lang w:eastAsia="en-US"/>
    </w:rPr>
  </w:style>
  <w:style w:type="paragraph" w:styleId="Heading3">
    <w:name w:val="heading 3"/>
    <w:basedOn w:val="Heading4"/>
    <w:next w:val="AspexBodyStandard"/>
    <w:link w:val="Heading3Char"/>
    <w:qFormat/>
    <w:rsid w:val="008F6AFE"/>
    <w:pPr>
      <w:numPr>
        <w:ilvl w:val="2"/>
        <w:numId w:val="4"/>
      </w:numPr>
      <w:spacing w:after="160"/>
      <w:outlineLvl w:val="2"/>
    </w:pPr>
    <w:rPr>
      <w:b w:val="0"/>
      <w:caps/>
      <w:color w:val="000000"/>
    </w:rPr>
  </w:style>
  <w:style w:type="paragraph" w:styleId="Heading4">
    <w:name w:val="heading 4"/>
    <w:next w:val="AspexBodyStandard"/>
    <w:link w:val="Heading4Char"/>
    <w:qFormat/>
    <w:rsid w:val="006463E5"/>
    <w:pPr>
      <w:spacing w:before="360" w:after="120" w:line="280" w:lineRule="exact"/>
      <w:outlineLvl w:val="3"/>
    </w:pPr>
    <w:rPr>
      <w:b/>
      <w:sz w:val="22"/>
      <w:lang w:eastAsia="en-US"/>
    </w:rPr>
  </w:style>
  <w:style w:type="paragraph" w:styleId="Heading5">
    <w:name w:val="heading 5"/>
    <w:basedOn w:val="Heading4"/>
    <w:next w:val="AspexBodyStandard"/>
    <w:link w:val="Heading5Char"/>
    <w:qFormat/>
    <w:rsid w:val="008F6AFE"/>
    <w:pPr>
      <w:outlineLvl w:val="4"/>
    </w:pPr>
    <w:rPr>
      <w:rFonts w:ascii="Arial Bold" w:hAnsi="Arial Bold"/>
      <w:i/>
    </w:rPr>
  </w:style>
  <w:style w:type="paragraph" w:styleId="Heading6">
    <w:name w:val="heading 6"/>
    <w:basedOn w:val="Normal"/>
    <w:next w:val="Normal"/>
    <w:link w:val="Heading6Char"/>
    <w:uiPriority w:val="99"/>
    <w:qFormat/>
    <w:rsid w:val="002372B3"/>
    <w:pPr>
      <w:outlineLvl w:val="5"/>
    </w:pPr>
  </w:style>
  <w:style w:type="paragraph" w:styleId="Heading7">
    <w:name w:val="heading 7"/>
    <w:basedOn w:val="Normal"/>
    <w:next w:val="Normal"/>
    <w:link w:val="Heading7Char"/>
    <w:uiPriority w:val="99"/>
    <w:qFormat/>
    <w:rsid w:val="002372B3"/>
    <w:pPr>
      <w:outlineLvl w:val="6"/>
    </w:pPr>
  </w:style>
  <w:style w:type="paragraph" w:styleId="Heading8">
    <w:name w:val="heading 8"/>
    <w:basedOn w:val="Normal"/>
    <w:next w:val="Normal"/>
    <w:link w:val="Heading8Char"/>
    <w:uiPriority w:val="99"/>
    <w:qFormat/>
    <w:rsid w:val="002372B3"/>
    <w:pPr>
      <w:outlineLvl w:val="7"/>
    </w:pPr>
  </w:style>
  <w:style w:type="paragraph" w:styleId="Heading9">
    <w:name w:val="heading 9"/>
    <w:basedOn w:val="Normal"/>
    <w:next w:val="Normal"/>
    <w:link w:val="Heading9Char"/>
    <w:uiPriority w:val="99"/>
    <w:qFormat/>
    <w:rsid w:val="002372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5">
    <w:name w:val="toc 5"/>
    <w:basedOn w:val="Normal"/>
    <w:next w:val="Normal"/>
    <w:semiHidden/>
    <w:rsid w:val="002372B3"/>
    <w:pPr>
      <w:ind w:left="880"/>
    </w:pPr>
  </w:style>
  <w:style w:type="paragraph" w:customStyle="1" w:styleId="AspexBodyStandard">
    <w:name w:val="Aspex Body Standard"/>
    <w:link w:val="AspexBodyStandardChar"/>
    <w:qFormat/>
    <w:rsid w:val="006C0D1C"/>
    <w:pPr>
      <w:spacing w:before="240" w:after="120"/>
      <w:jc w:val="both"/>
    </w:pPr>
    <w:rPr>
      <w:sz w:val="22"/>
      <w:lang w:eastAsia="en-US"/>
    </w:rPr>
  </w:style>
  <w:style w:type="paragraph" w:customStyle="1" w:styleId="AspexNumberedbullet1">
    <w:name w:val="Aspex Numbered bullet 1"/>
    <w:basedOn w:val="AspexBodyStandard"/>
    <w:uiPriority w:val="1"/>
    <w:qFormat/>
    <w:rsid w:val="006E5E15"/>
    <w:pPr>
      <w:numPr>
        <w:numId w:val="6"/>
      </w:numPr>
      <w:spacing w:before="120"/>
    </w:pPr>
  </w:style>
  <w:style w:type="paragraph" w:customStyle="1" w:styleId="AspexBullet1">
    <w:name w:val="Aspex Bullet 1"/>
    <w:basedOn w:val="AspexBodyStandard"/>
    <w:uiPriority w:val="1"/>
    <w:qFormat/>
    <w:rsid w:val="006C0D1C"/>
    <w:pPr>
      <w:numPr>
        <w:numId w:val="7"/>
      </w:numPr>
      <w:spacing w:before="120"/>
    </w:pPr>
  </w:style>
  <w:style w:type="paragraph" w:customStyle="1" w:styleId="AspexBullet2">
    <w:name w:val="Aspex Bullet 2"/>
    <w:basedOn w:val="AspexBodyStandard"/>
    <w:uiPriority w:val="1"/>
    <w:qFormat/>
    <w:rsid w:val="007051AD"/>
    <w:pPr>
      <w:numPr>
        <w:ilvl w:val="1"/>
        <w:numId w:val="7"/>
      </w:numPr>
      <w:spacing w:before="120" w:after="60"/>
    </w:pPr>
  </w:style>
  <w:style w:type="paragraph" w:customStyle="1" w:styleId="AspexBullet3">
    <w:name w:val="Aspex Bullet 3"/>
    <w:basedOn w:val="AspexBodyStandard"/>
    <w:uiPriority w:val="1"/>
    <w:qFormat/>
    <w:rsid w:val="007051AD"/>
    <w:pPr>
      <w:numPr>
        <w:ilvl w:val="2"/>
        <w:numId w:val="7"/>
      </w:numPr>
      <w:spacing w:before="60" w:after="60"/>
    </w:pPr>
  </w:style>
  <w:style w:type="paragraph" w:styleId="FootnoteText">
    <w:name w:val="footnote text"/>
    <w:basedOn w:val="AspexBodyStandard"/>
    <w:link w:val="FootnoteTextChar"/>
    <w:semiHidden/>
    <w:rsid w:val="00B8732D"/>
    <w:pPr>
      <w:spacing w:before="0" w:after="0"/>
      <w:ind w:left="426" w:hanging="426"/>
      <w:jc w:val="left"/>
    </w:pPr>
    <w:rPr>
      <w:sz w:val="16"/>
    </w:rPr>
  </w:style>
  <w:style w:type="character" w:customStyle="1" w:styleId="FootnoteTextChar">
    <w:name w:val="Footnote Text Char"/>
    <w:basedOn w:val="DefaultParagraphFont"/>
    <w:link w:val="FootnoteText"/>
    <w:semiHidden/>
    <w:rsid w:val="00B8732D"/>
    <w:rPr>
      <w:rFonts w:cs="Times New Roman"/>
      <w:sz w:val="16"/>
      <w:szCs w:val="20"/>
    </w:rPr>
  </w:style>
  <w:style w:type="paragraph" w:customStyle="1" w:styleId="AspexAbbreviationsheading">
    <w:name w:val="Aspex Abbreviations heading"/>
    <w:basedOn w:val="Heading2"/>
    <w:next w:val="AspexBodyStandard"/>
    <w:uiPriority w:val="3"/>
    <w:rsid w:val="00550623"/>
    <w:pPr>
      <w:pageBreakBefore/>
      <w:numPr>
        <w:ilvl w:val="0"/>
        <w:numId w:val="0"/>
      </w:numPr>
    </w:pPr>
  </w:style>
  <w:style w:type="paragraph" w:customStyle="1" w:styleId="AspexNumberedBullet2">
    <w:name w:val="Aspex Numbered Bullet 2"/>
    <w:basedOn w:val="AspexBodyStandard"/>
    <w:uiPriority w:val="1"/>
    <w:qFormat/>
    <w:rsid w:val="00A634B0"/>
    <w:pPr>
      <w:numPr>
        <w:ilvl w:val="1"/>
        <w:numId w:val="6"/>
      </w:numPr>
      <w:spacing w:before="60" w:after="60"/>
    </w:pPr>
  </w:style>
  <w:style w:type="paragraph" w:customStyle="1" w:styleId="AspexNumberedBullet3">
    <w:name w:val="Aspex Numbered Bullet 3"/>
    <w:basedOn w:val="AspexBodyStandard"/>
    <w:uiPriority w:val="1"/>
    <w:qFormat/>
    <w:rsid w:val="00137B19"/>
    <w:pPr>
      <w:numPr>
        <w:ilvl w:val="2"/>
        <w:numId w:val="6"/>
      </w:numPr>
    </w:pPr>
  </w:style>
  <w:style w:type="table" w:customStyle="1" w:styleId="AspexTable1">
    <w:name w:val="Aspex Table 1"/>
    <w:basedOn w:val="TableNormal"/>
    <w:qFormat/>
    <w:rsid w:val="00B8732D"/>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table" w:customStyle="1" w:styleId="AspexTable2">
    <w:name w:val="Aspex Table 2"/>
    <w:basedOn w:val="TableNormal"/>
    <w:qFormat/>
    <w:rsid w:val="00B8732D"/>
    <w:pPr>
      <w:spacing w:line="260" w:lineRule="atLeast"/>
    </w:pPr>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val="0"/>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spexTable3">
    <w:name w:val="Aspex Table 3"/>
    <w:basedOn w:val="TableNormal"/>
    <w:qFormat/>
    <w:rsid w:val="00497F35"/>
    <w:pPr>
      <w:spacing w:before="60" w:after="60"/>
    </w:pPr>
    <w:tblPr>
      <w:tblStyleRowBandSize w:val="1"/>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0" w:beforeAutospacing="0" w:afterLines="0" w:afterAutospacing="0"/>
      </w:pPr>
      <w:rPr>
        <w:rFonts w:ascii="Arial" w:hAnsi="Arial"/>
        <w:b/>
        <w:i w:val="0"/>
        <w:caps/>
        <w:smallCaps w:val="0"/>
        <w:color w:val="D9D9D9"/>
        <w:sz w:val="20"/>
      </w:rPr>
      <w:tblPr/>
      <w:tcPr>
        <w:tcBorders>
          <w:top w:val="single" w:sz="2" w:space="0" w:color="000000"/>
          <w:left w:val="single" w:sz="2" w:space="0" w:color="000000"/>
          <w:bottom w:val="nil"/>
          <w:right w:val="single" w:sz="2" w:space="0" w:color="000000"/>
          <w:insideH w:val="nil"/>
          <w:insideV w:val="single" w:sz="2" w:space="0" w:color="000000"/>
          <w:tl2br w:val="nil"/>
          <w:tr2bl w:val="nil"/>
        </w:tcBorders>
        <w:shd w:val="clear" w:color="auto" w:fill="3B98D3"/>
      </w:tcPr>
    </w:tblStylePr>
    <w:tblStylePr w:type="band2Horz">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E6E6E6"/>
      </w:tcPr>
    </w:tblStylePr>
  </w:style>
  <w:style w:type="paragraph" w:customStyle="1" w:styleId="AspexTableHeadertext">
    <w:name w:val="Aspex Table Header text"/>
    <w:uiPriority w:val="1"/>
    <w:qFormat/>
    <w:rsid w:val="002372B3"/>
    <w:pPr>
      <w:spacing w:beforeLines="60" w:afterLines="60"/>
    </w:pPr>
    <w:rPr>
      <w:bCs/>
      <w:snapToGrid w:val="0"/>
      <w:color w:val="D9D9D9"/>
      <w:szCs w:val="22"/>
      <w:lang w:eastAsia="en-US"/>
    </w:rPr>
  </w:style>
  <w:style w:type="paragraph" w:customStyle="1" w:styleId="AspexTableHeadertext-Narrow">
    <w:name w:val="Aspex Table Header text - Narrow"/>
    <w:basedOn w:val="AspexTableHeadertext"/>
    <w:uiPriority w:val="1"/>
    <w:qFormat/>
    <w:rsid w:val="002372B3"/>
    <w:pPr>
      <w:spacing w:before="144" w:after="144"/>
    </w:pPr>
    <w:rPr>
      <w:rFonts w:ascii="Arial Narrow" w:hAnsi="Arial Narrow"/>
    </w:rPr>
  </w:style>
  <w:style w:type="paragraph" w:customStyle="1" w:styleId="AspexTableNumberedbullets0">
    <w:name w:val="Aspex Table Numbered bullets"/>
    <w:basedOn w:val="Normal"/>
    <w:autoRedefine/>
    <w:uiPriority w:val="1"/>
    <w:qFormat/>
    <w:rsid w:val="002372B3"/>
    <w:pPr>
      <w:spacing w:line="240" w:lineRule="auto"/>
      <w:ind w:left="284" w:right="284" w:hanging="284"/>
      <w:jc w:val="both"/>
    </w:pPr>
  </w:style>
  <w:style w:type="paragraph" w:customStyle="1" w:styleId="AspexTableText">
    <w:name w:val="Aspex Table Text"/>
    <w:basedOn w:val="AspexBodyStandard"/>
    <w:uiPriority w:val="1"/>
    <w:qFormat/>
    <w:rsid w:val="00F81FAF"/>
    <w:pPr>
      <w:spacing w:before="60" w:after="60"/>
      <w:jc w:val="left"/>
    </w:pPr>
    <w:rPr>
      <w:sz w:val="20"/>
    </w:rPr>
  </w:style>
  <w:style w:type="paragraph" w:customStyle="1" w:styleId="AspexTableText-Narrow">
    <w:name w:val="Aspex Table Text - Narrow"/>
    <w:uiPriority w:val="1"/>
    <w:qFormat/>
    <w:rsid w:val="00F81FAF"/>
    <w:pPr>
      <w:spacing w:before="60" w:after="60"/>
    </w:pPr>
    <w:rPr>
      <w:rFonts w:ascii="Arial Narrow" w:hAnsi="Arial Narrow"/>
      <w:lang w:eastAsia="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AspexBodyStandard"/>
    <w:uiPriority w:val="99"/>
    <w:qFormat/>
    <w:rsid w:val="009F7D7B"/>
    <w:pPr>
      <w:tabs>
        <w:tab w:val="left" w:pos="1418"/>
      </w:tabs>
      <w:spacing w:before="240" w:after="60"/>
      <w:ind w:left="1418" w:hanging="1418"/>
    </w:pPr>
    <w:rPr>
      <w:b/>
      <w:bCs/>
    </w:rPr>
  </w:style>
  <w:style w:type="character" w:styleId="Emphasis">
    <w:name w:val="Emphasis"/>
    <w:qFormat/>
    <w:rsid w:val="002372B3"/>
    <w:rPr>
      <w:i/>
    </w:rPr>
  </w:style>
  <w:style w:type="character" w:styleId="FollowedHyperlink">
    <w:name w:val="FollowedHyperlink"/>
    <w:basedOn w:val="DefaultParagraphFont"/>
    <w:uiPriority w:val="99"/>
    <w:semiHidden/>
    <w:rsid w:val="002372B3"/>
    <w:rPr>
      <w:rFonts w:ascii="Arial" w:hAnsi="Arial"/>
      <w:color w:val="800080"/>
      <w:u w:val="single"/>
    </w:rPr>
  </w:style>
  <w:style w:type="paragraph" w:styleId="Footer">
    <w:name w:val="footer"/>
    <w:basedOn w:val="Normal"/>
    <w:link w:val="FooterChar"/>
    <w:uiPriority w:val="99"/>
    <w:rsid w:val="00E230BD"/>
    <w:pPr>
      <w:tabs>
        <w:tab w:val="right" w:pos="8222"/>
      </w:tabs>
      <w:spacing w:before="0" w:after="0"/>
      <w:jc w:val="right"/>
    </w:pPr>
    <w:rPr>
      <w:color w:val="595959"/>
      <w:sz w:val="18"/>
    </w:rPr>
  </w:style>
  <w:style w:type="character" w:customStyle="1" w:styleId="FooterChar">
    <w:name w:val="Footer Char"/>
    <w:basedOn w:val="DefaultParagraphFont"/>
    <w:link w:val="Footer"/>
    <w:uiPriority w:val="99"/>
    <w:rsid w:val="00E230BD"/>
    <w:rPr>
      <w:rFonts w:ascii="Arial" w:hAnsi="Arial" w:cs="Times New Roman"/>
      <w:color w:val="595959"/>
      <w:sz w:val="18"/>
      <w:szCs w:val="20"/>
    </w:rPr>
  </w:style>
  <w:style w:type="character" w:styleId="FootnoteReference">
    <w:name w:val="footnote reference"/>
    <w:basedOn w:val="DefaultParagraphFont"/>
    <w:uiPriority w:val="99"/>
    <w:semiHidden/>
    <w:rsid w:val="002372B3"/>
    <w:rPr>
      <w:rFonts w:ascii="Arial" w:hAnsi="Arial"/>
      <w:vertAlign w:val="superscript"/>
    </w:rPr>
  </w:style>
  <w:style w:type="paragraph" w:styleId="Header">
    <w:name w:val="header"/>
    <w:basedOn w:val="Normal"/>
    <w:link w:val="HeaderChar"/>
    <w:semiHidden/>
    <w:rsid w:val="002372B3"/>
    <w:pPr>
      <w:tabs>
        <w:tab w:val="center" w:pos="4320"/>
        <w:tab w:val="right" w:pos="8640"/>
      </w:tabs>
      <w:spacing w:before="0" w:line="240" w:lineRule="auto"/>
    </w:pPr>
  </w:style>
  <w:style w:type="character" w:customStyle="1" w:styleId="HeaderChar">
    <w:name w:val="Header Char"/>
    <w:basedOn w:val="DefaultParagraphFont"/>
    <w:link w:val="Header"/>
    <w:semiHidden/>
    <w:rsid w:val="009218A4"/>
    <w:rPr>
      <w:rFonts w:ascii="Arial" w:hAnsi="Arial" w:cs="Times New Roman"/>
      <w:szCs w:val="20"/>
    </w:rPr>
  </w:style>
  <w:style w:type="character" w:styleId="Hyperlink">
    <w:name w:val="Hyperlink"/>
    <w:basedOn w:val="DefaultParagraphFont"/>
    <w:uiPriority w:val="99"/>
    <w:rsid w:val="002372B3"/>
    <w:rPr>
      <w:rFonts w:ascii="Arial" w:hAnsi="Arial" w:cs="Arial"/>
      <w:sz w:val="22"/>
      <w:szCs w:val="22"/>
    </w:rPr>
  </w:style>
  <w:style w:type="character" w:styleId="PageNumber">
    <w:name w:val="page number"/>
    <w:basedOn w:val="DefaultParagraphFont"/>
    <w:semiHidden/>
    <w:rsid w:val="002372B3"/>
    <w:rPr>
      <w:rFonts w:ascii="Arial" w:hAnsi="Arial"/>
      <w:sz w:val="22"/>
    </w:rPr>
  </w:style>
  <w:style w:type="character" w:customStyle="1" w:styleId="Heading1Char">
    <w:name w:val="Heading 1 Char"/>
    <w:basedOn w:val="DefaultParagraphFont"/>
    <w:link w:val="Heading1"/>
    <w:rsid w:val="003008F2"/>
    <w:rPr>
      <w:color w:val="FFFFFF"/>
      <w:sz w:val="32"/>
      <w:shd w:val="clear" w:color="auto" w:fill="3B98D3"/>
      <w:lang w:eastAsia="en-US"/>
    </w:rPr>
  </w:style>
  <w:style w:type="character" w:customStyle="1" w:styleId="Heading2Char">
    <w:name w:val="Heading 2 Char"/>
    <w:basedOn w:val="DefaultParagraphFont"/>
    <w:link w:val="Heading2"/>
    <w:rsid w:val="003008F2"/>
    <w:rPr>
      <w:b/>
      <w:color w:val="000000"/>
      <w:sz w:val="28"/>
      <w:lang w:eastAsia="en-US"/>
    </w:rPr>
  </w:style>
  <w:style w:type="character" w:customStyle="1" w:styleId="Heading5Char">
    <w:name w:val="Heading 5 Char"/>
    <w:basedOn w:val="DefaultParagraphFont"/>
    <w:link w:val="Heading5"/>
    <w:rsid w:val="006463E5"/>
    <w:rPr>
      <w:rFonts w:ascii="Arial Bold" w:hAnsi="Arial Bold" w:cs="Times New Roman"/>
      <w:b/>
      <w:i/>
      <w:szCs w:val="20"/>
    </w:rPr>
  </w:style>
  <w:style w:type="character" w:customStyle="1" w:styleId="Heading4Char">
    <w:name w:val="Heading 4 Char"/>
    <w:basedOn w:val="DefaultParagraphFont"/>
    <w:link w:val="Heading4"/>
    <w:rsid w:val="006463E5"/>
    <w:rPr>
      <w:b/>
      <w:sz w:val="22"/>
      <w:lang w:val="en-AU" w:eastAsia="en-US" w:bidi="ar-SA"/>
    </w:rPr>
  </w:style>
  <w:style w:type="character" w:customStyle="1" w:styleId="Heading3Char">
    <w:name w:val="Heading 3 Char"/>
    <w:basedOn w:val="DefaultParagraphFont"/>
    <w:link w:val="Heading3"/>
    <w:rsid w:val="003008F2"/>
    <w:rPr>
      <w:caps/>
      <w:color w:val="000000"/>
      <w:sz w:val="22"/>
      <w:lang w:eastAsia="en-US"/>
    </w:rPr>
  </w:style>
  <w:style w:type="character" w:customStyle="1" w:styleId="Heading6Char">
    <w:name w:val="Heading 6 Char"/>
    <w:basedOn w:val="DefaultParagraphFont"/>
    <w:link w:val="Heading6"/>
    <w:uiPriority w:val="99"/>
    <w:semiHidden/>
    <w:rsid w:val="009218A4"/>
    <w:rPr>
      <w:rFonts w:ascii="Arial" w:hAnsi="Arial" w:cs="Times New Roman"/>
      <w:szCs w:val="20"/>
    </w:rPr>
  </w:style>
  <w:style w:type="character" w:customStyle="1" w:styleId="Heading7Char">
    <w:name w:val="Heading 7 Char"/>
    <w:basedOn w:val="DefaultParagraphFont"/>
    <w:link w:val="Heading7"/>
    <w:uiPriority w:val="99"/>
    <w:semiHidden/>
    <w:rsid w:val="009218A4"/>
    <w:rPr>
      <w:rFonts w:ascii="Arial" w:hAnsi="Arial" w:cs="Times New Roman"/>
      <w:szCs w:val="20"/>
    </w:rPr>
  </w:style>
  <w:style w:type="character" w:customStyle="1" w:styleId="Heading8Char">
    <w:name w:val="Heading 8 Char"/>
    <w:basedOn w:val="DefaultParagraphFont"/>
    <w:link w:val="Heading8"/>
    <w:uiPriority w:val="99"/>
    <w:semiHidden/>
    <w:rsid w:val="009218A4"/>
    <w:rPr>
      <w:rFonts w:ascii="Arial" w:hAnsi="Arial" w:cs="Times New Roman"/>
      <w:szCs w:val="20"/>
    </w:rPr>
  </w:style>
  <w:style w:type="character" w:customStyle="1" w:styleId="Heading9Char">
    <w:name w:val="Heading 9 Char"/>
    <w:basedOn w:val="DefaultParagraphFont"/>
    <w:link w:val="Heading9"/>
    <w:uiPriority w:val="99"/>
    <w:semiHidden/>
    <w:rsid w:val="009218A4"/>
    <w:rPr>
      <w:rFonts w:ascii="Arial" w:hAnsi="Arial" w:cs="Times New Roman"/>
      <w:szCs w:val="20"/>
    </w:rPr>
  </w:style>
  <w:style w:type="paragraph" w:styleId="Quote">
    <w:name w:val="Quote"/>
    <w:basedOn w:val="Normal"/>
    <w:next w:val="Normal"/>
    <w:link w:val="QuoteChar"/>
    <w:semiHidden/>
    <w:qFormat/>
    <w:rsid w:val="002372B3"/>
    <w:pPr>
      <w:spacing w:after="200"/>
      <w:ind w:left="567"/>
    </w:pPr>
    <w:rPr>
      <w:i/>
      <w:iCs/>
      <w:color w:val="000000"/>
      <w:sz w:val="20"/>
    </w:rPr>
  </w:style>
  <w:style w:type="character" w:customStyle="1" w:styleId="QuoteChar">
    <w:name w:val="Quote Char"/>
    <w:basedOn w:val="DefaultParagraphFont"/>
    <w:link w:val="Quote"/>
    <w:semiHidden/>
    <w:rsid w:val="00CD2D61"/>
    <w:rPr>
      <w:i/>
      <w:iCs/>
      <w:color w:val="000000"/>
      <w:lang w:eastAsia="en-US"/>
    </w:rPr>
  </w:style>
  <w:style w:type="table" w:styleId="TableGrid">
    <w:name w:val="Table Grid"/>
    <w:basedOn w:val="TableNormal"/>
    <w:rsid w:val="002372B3"/>
    <w:rPr>
      <w:rFonts w:ascii="Tms Rmn" w:hAnsi="Tms R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rFonts w:ascii="Arial" w:hAnsi="Arial"/>
        <w:sz w:val="20"/>
      </w:rPr>
    </w:tblStylePr>
  </w:style>
  <w:style w:type="paragraph" w:styleId="TableofFigures">
    <w:name w:val="table of figures"/>
    <w:basedOn w:val="AspexBodyStandard"/>
    <w:next w:val="AspexBodyStandard"/>
    <w:uiPriority w:val="99"/>
    <w:rsid w:val="002372B3"/>
    <w:pPr>
      <w:tabs>
        <w:tab w:val="left" w:leader="dot" w:pos="8051"/>
      </w:tabs>
      <w:spacing w:line="280" w:lineRule="atLeast"/>
      <w:ind w:left="851" w:right="1418" w:hanging="851"/>
      <w:jc w:val="left"/>
    </w:pPr>
    <w:rPr>
      <w:noProof/>
      <w:color w:val="595959"/>
    </w:rPr>
  </w:style>
  <w:style w:type="paragraph" w:styleId="TOC1">
    <w:name w:val="toc 1"/>
    <w:basedOn w:val="AspexBodyStandard"/>
    <w:uiPriority w:val="39"/>
    <w:qFormat/>
    <w:rsid w:val="00836AA4"/>
    <w:pPr>
      <w:tabs>
        <w:tab w:val="left" w:pos="567"/>
        <w:tab w:val="left" w:leader="dot" w:pos="8108"/>
      </w:tabs>
      <w:spacing w:before="260"/>
      <w:ind w:left="567" w:right="1191" w:hanging="567"/>
      <w:jc w:val="left"/>
    </w:pPr>
    <w:rPr>
      <w:noProof/>
      <w:sz w:val="24"/>
    </w:rPr>
  </w:style>
  <w:style w:type="paragraph" w:styleId="TOC2">
    <w:name w:val="toc 2"/>
    <w:basedOn w:val="TOC1"/>
    <w:uiPriority w:val="39"/>
    <w:qFormat/>
    <w:rsid w:val="00836AA4"/>
    <w:pPr>
      <w:spacing w:before="0"/>
      <w:ind w:firstLine="0"/>
    </w:pPr>
    <w:rPr>
      <w:color w:val="595959"/>
    </w:rPr>
  </w:style>
  <w:style w:type="paragraph" w:styleId="TOC3">
    <w:name w:val="toc 3"/>
    <w:basedOn w:val="TOC2"/>
    <w:uiPriority w:val="39"/>
    <w:rsid w:val="002372B3"/>
    <w:pPr>
      <w:tabs>
        <w:tab w:val="left" w:pos="1418"/>
      </w:tabs>
    </w:pPr>
    <w:rPr>
      <w:sz w:val="22"/>
    </w:rPr>
  </w:style>
  <w:style w:type="paragraph" w:styleId="TOC4">
    <w:name w:val="toc 4"/>
    <w:basedOn w:val="TOC3"/>
    <w:semiHidden/>
    <w:rsid w:val="002372B3"/>
  </w:style>
  <w:style w:type="paragraph" w:styleId="TOCHeading">
    <w:name w:val="TOC Heading"/>
    <w:next w:val="AspexBodyStandard"/>
    <w:uiPriority w:val="39"/>
    <w:qFormat/>
    <w:rsid w:val="002372B3"/>
    <w:pPr>
      <w:keepNext/>
      <w:keepLines/>
      <w:spacing w:before="280" w:after="240"/>
    </w:pPr>
    <w:rPr>
      <w:bCs/>
      <w:caps/>
      <w:color w:val="3B98D3"/>
      <w:sz w:val="28"/>
      <w:szCs w:val="28"/>
      <w:lang w:val="en-US" w:eastAsia="en-US"/>
    </w:rPr>
  </w:style>
  <w:style w:type="character" w:customStyle="1" w:styleId="AspexBodyStandardChar">
    <w:name w:val="Aspex Body Standard Char"/>
    <w:basedOn w:val="DefaultParagraphFont"/>
    <w:link w:val="AspexBodyStandard"/>
    <w:rsid w:val="006C0D1C"/>
    <w:rPr>
      <w:sz w:val="22"/>
      <w:lang w:eastAsia="en-US"/>
    </w:rPr>
  </w:style>
  <w:style w:type="paragraph" w:styleId="BalloonText">
    <w:name w:val="Balloon Text"/>
    <w:basedOn w:val="Normal"/>
    <w:link w:val="BalloonTextChar"/>
    <w:semiHidden/>
    <w:unhideWhenUsed/>
    <w:rsid w:val="002420D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420D1"/>
    <w:rPr>
      <w:rFonts w:ascii="Tahoma" w:hAnsi="Tahoma" w:cs="Tahoma"/>
      <w:sz w:val="16"/>
      <w:szCs w:val="16"/>
    </w:rPr>
  </w:style>
  <w:style w:type="paragraph" w:styleId="PlainText">
    <w:name w:val="Plain Text"/>
    <w:basedOn w:val="Normal"/>
    <w:link w:val="PlainTextChar"/>
    <w:uiPriority w:val="99"/>
    <w:semiHidden/>
    <w:unhideWhenUsed/>
    <w:rsid w:val="002372B3"/>
    <w:pPr>
      <w:spacing w:before="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E04128"/>
    <w:rPr>
      <w:rFonts w:ascii="Consolas" w:eastAsia="Calibri" w:hAnsi="Consolas"/>
      <w:sz w:val="21"/>
      <w:szCs w:val="21"/>
    </w:rPr>
  </w:style>
  <w:style w:type="numbering" w:customStyle="1" w:styleId="AspexBulletList">
    <w:name w:val="Aspex Bullet List"/>
    <w:basedOn w:val="NoList"/>
    <w:rsid w:val="002372B3"/>
    <w:pPr>
      <w:numPr>
        <w:numId w:val="1"/>
      </w:numPr>
    </w:pPr>
  </w:style>
  <w:style w:type="paragraph" w:customStyle="1" w:styleId="header-details">
    <w:name w:val="header-details"/>
    <w:semiHidden/>
    <w:qFormat/>
    <w:rsid w:val="002372B3"/>
    <w:pPr>
      <w:spacing w:before="120"/>
      <w:jc w:val="right"/>
    </w:pPr>
    <w:rPr>
      <w:noProof/>
      <w:sz w:val="18"/>
      <w:lang w:val="en-US" w:eastAsia="en-US"/>
    </w:rPr>
  </w:style>
  <w:style w:type="paragraph" w:styleId="ListParagraph">
    <w:name w:val="List Paragraph"/>
    <w:basedOn w:val="Normal"/>
    <w:uiPriority w:val="99"/>
    <w:qFormat/>
    <w:rsid w:val="002372B3"/>
    <w:pPr>
      <w:ind w:left="720"/>
      <w:contextualSpacing/>
    </w:pPr>
  </w:style>
  <w:style w:type="paragraph" w:customStyle="1" w:styleId="AspexTableText-NarrowBullet">
    <w:name w:val="Aspex Table Text - Narrow Bullet"/>
    <w:basedOn w:val="Normal"/>
    <w:qFormat/>
    <w:rsid w:val="00F81FAF"/>
    <w:pPr>
      <w:numPr>
        <w:numId w:val="9"/>
      </w:numPr>
      <w:spacing w:before="0" w:after="60" w:line="240" w:lineRule="auto"/>
    </w:pPr>
    <w:rPr>
      <w:rFonts w:ascii="Arial Narrow" w:hAnsi="Arial Narrow"/>
      <w:sz w:val="20"/>
    </w:rPr>
  </w:style>
  <w:style w:type="paragraph" w:customStyle="1" w:styleId="AspexTableText-Bullet">
    <w:name w:val="Aspex Table Text - Bullet"/>
    <w:basedOn w:val="Normal"/>
    <w:uiPriority w:val="1"/>
    <w:qFormat/>
    <w:rsid w:val="00F81FAF"/>
    <w:pPr>
      <w:numPr>
        <w:numId w:val="8"/>
      </w:numPr>
      <w:spacing w:before="0" w:after="60" w:line="240" w:lineRule="auto"/>
    </w:pPr>
    <w:rPr>
      <w:sz w:val="20"/>
    </w:rPr>
  </w:style>
  <w:style w:type="paragraph" w:styleId="TOC6">
    <w:name w:val="toc 6"/>
    <w:basedOn w:val="Normal"/>
    <w:next w:val="Normal"/>
    <w:semiHidden/>
    <w:rsid w:val="002372B3"/>
    <w:pPr>
      <w:ind w:left="1100"/>
    </w:pPr>
  </w:style>
  <w:style w:type="paragraph" w:styleId="TOC7">
    <w:name w:val="toc 7"/>
    <w:basedOn w:val="Normal"/>
    <w:next w:val="Normal"/>
    <w:semiHidden/>
    <w:rsid w:val="002372B3"/>
    <w:pPr>
      <w:ind w:left="1320"/>
    </w:pPr>
  </w:style>
  <w:style w:type="paragraph" w:styleId="TOC8">
    <w:name w:val="toc 8"/>
    <w:basedOn w:val="Normal"/>
    <w:next w:val="Normal"/>
    <w:semiHidden/>
    <w:rsid w:val="002372B3"/>
    <w:pPr>
      <w:ind w:left="1540"/>
    </w:pPr>
  </w:style>
  <w:style w:type="paragraph" w:styleId="TOC9">
    <w:name w:val="toc 9"/>
    <w:basedOn w:val="Normal"/>
    <w:next w:val="Normal"/>
    <w:semiHidden/>
    <w:rsid w:val="002372B3"/>
    <w:pPr>
      <w:ind w:left="1760"/>
    </w:pPr>
  </w:style>
  <w:style w:type="paragraph" w:customStyle="1" w:styleId="AspexAppendixlevel1">
    <w:name w:val="Aspex Appendix level 1"/>
    <w:next w:val="AspexBodyStandard"/>
    <w:uiPriority w:val="2"/>
    <w:qFormat/>
    <w:rsid w:val="00550623"/>
    <w:pPr>
      <w:pageBreakBefore/>
      <w:numPr>
        <w:numId w:val="10"/>
      </w:numPr>
      <w:pBdr>
        <w:left w:val="single" w:sz="24" w:space="4" w:color="3B98D3"/>
        <w:bottom w:val="single" w:sz="24" w:space="1" w:color="3B98D3"/>
      </w:pBdr>
      <w:shd w:val="clear" w:color="auto" w:fill="3B98D3"/>
      <w:spacing w:before="360" w:after="240" w:line="500" w:lineRule="exact"/>
    </w:pPr>
    <w:rPr>
      <w:color w:val="FFFFFF"/>
      <w:sz w:val="32"/>
      <w:lang w:eastAsia="en-US"/>
    </w:rPr>
  </w:style>
  <w:style w:type="paragraph" w:customStyle="1" w:styleId="AspexAppendixLevel2">
    <w:name w:val="Aspex Appendix Level 2"/>
    <w:next w:val="AspexBodyStandard"/>
    <w:uiPriority w:val="2"/>
    <w:qFormat/>
    <w:rsid w:val="00CF6C19"/>
    <w:pPr>
      <w:numPr>
        <w:ilvl w:val="1"/>
        <w:numId w:val="10"/>
      </w:numPr>
      <w:spacing w:before="480" w:after="240"/>
    </w:pPr>
    <w:rPr>
      <w:b/>
      <w:color w:val="000000"/>
      <w:sz w:val="28"/>
      <w:lang w:eastAsia="en-US"/>
    </w:rPr>
  </w:style>
  <w:style w:type="paragraph" w:customStyle="1" w:styleId="AspexClientname">
    <w:name w:val="Aspex Client name"/>
    <w:basedOn w:val="Normal"/>
    <w:uiPriority w:val="3"/>
    <w:qFormat/>
    <w:rsid w:val="002372B3"/>
    <w:pPr>
      <w:ind w:left="-170"/>
      <w:jc w:val="center"/>
    </w:pPr>
    <w:rPr>
      <w:sz w:val="36"/>
      <w:szCs w:val="36"/>
    </w:rPr>
  </w:style>
  <w:style w:type="table" w:customStyle="1" w:styleId="Aspexhilightbox">
    <w:name w:val="Aspex hilight box"/>
    <w:basedOn w:val="TableGrid"/>
    <w:qFormat/>
    <w:rsid w:val="00095ACD"/>
    <w:pPr>
      <w:spacing w:before="60" w:after="60"/>
      <w:ind w:left="567" w:right="567"/>
      <w:jc w:val="center"/>
    </w:pPr>
    <w:rPr>
      <w:rFonts w:ascii="Arial" w:hAnsi="Arial"/>
      <w:color w:val="3B98D3"/>
      <w:sz w:val="22"/>
    </w:rPr>
    <w:tblPr>
      <w:jc w:val="center"/>
      <w:tblInd w:w="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108" w:type="dxa"/>
        <w:bottom w:w="57" w:type="dxa"/>
        <w:right w:w="108" w:type="dxa"/>
      </w:tblCellMar>
    </w:tblPr>
    <w:trPr>
      <w:jc w:val="center"/>
    </w:trPr>
    <w:tcPr>
      <w:shd w:val="clear" w:color="auto" w:fill="E6E6E6"/>
      <w:vAlign w:val="center"/>
    </w:tcPr>
    <w:tblStylePr w:type="firstRow">
      <w:pPr>
        <w:wordWrap/>
        <w:jc w:val="center"/>
      </w:pPr>
      <w:rPr>
        <w:rFonts w:ascii="Arial" w:hAnsi="Arial"/>
        <w:sz w:val="20"/>
      </w:rPr>
    </w:tblStylePr>
  </w:style>
  <w:style w:type="numbering" w:customStyle="1" w:styleId="AspexnumberedbulletList">
    <w:name w:val="Aspex numbered bullet List"/>
    <w:basedOn w:val="NoList"/>
    <w:rsid w:val="0037711B"/>
    <w:pPr>
      <w:numPr>
        <w:numId w:val="5"/>
      </w:numPr>
    </w:pPr>
  </w:style>
  <w:style w:type="paragraph" w:customStyle="1" w:styleId="AspexPrelimHeading">
    <w:name w:val="Aspex Prelim Heading"/>
    <w:next w:val="AspexBodyStandard"/>
    <w:uiPriority w:val="3"/>
    <w:qFormat/>
    <w:rsid w:val="002372B3"/>
    <w:pPr>
      <w:spacing w:before="120" w:after="80" w:line="400" w:lineRule="exact"/>
    </w:pPr>
    <w:rPr>
      <w:b/>
      <w:color w:val="7F7F7F"/>
      <w:lang w:eastAsia="en-US"/>
    </w:rPr>
  </w:style>
  <w:style w:type="paragraph" w:customStyle="1" w:styleId="AspexPrelimtext">
    <w:name w:val="Aspex Prelim text"/>
    <w:basedOn w:val="AspexBodyStandard"/>
    <w:uiPriority w:val="3"/>
    <w:qFormat/>
    <w:rsid w:val="002372B3"/>
    <w:rPr>
      <w:color w:val="7F7F7F"/>
      <w:sz w:val="18"/>
    </w:rPr>
  </w:style>
  <w:style w:type="table" w:customStyle="1" w:styleId="AspexTable4">
    <w:name w:val="Aspex Table 4"/>
    <w:basedOn w:val="AspexTable2"/>
    <w:qFormat/>
    <w:rsid w:val="00B8732D"/>
    <w:tblPr>
      <w:tblStyleRowBandSize w:val="1"/>
      <w:tblCellSpacing w:w="20" w:type="dxa"/>
      <w:tblInd w:w="113" w:type="dxa"/>
      <w:tblBorders>
        <w:top w:val="single" w:sz="2" w:space="0" w:color="FFFFFF"/>
        <w:left w:val="single" w:sz="2" w:space="0" w:color="FFFFFF"/>
        <w:bottom w:val="single" w:sz="2" w:space="0" w:color="FFFFFF"/>
        <w:right w:val="single" w:sz="2" w:space="0" w:color="FFFFFF"/>
      </w:tblBorders>
      <w:tblCellMar>
        <w:top w:w="28" w:type="dxa"/>
        <w:left w:w="108" w:type="dxa"/>
        <w:bottom w:w="28" w:type="dxa"/>
        <w:right w:w="108" w:type="dxa"/>
      </w:tblCellMar>
    </w:tblPr>
    <w:trPr>
      <w:tblCellSpacing w:w="20" w:type="dxa"/>
    </w:trPr>
    <w:tcPr>
      <w:shd w:val="clear" w:color="auto" w:fill="E6E6E6"/>
    </w:tcPr>
    <w:tblStylePr w:type="firstRow">
      <w:pPr>
        <w:wordWrap/>
        <w:spacing w:beforeLines="60" w:beforeAutospacing="0" w:afterLines="60" w:afterAutospacing="0"/>
        <w:ind w:firstLineChars="0" w:firstLine="0"/>
      </w:pPr>
      <w:rPr>
        <w:rFonts w:ascii="Arial" w:hAnsi="Arial"/>
        <w:b/>
        <w:i w:val="0"/>
        <w:caps/>
        <w:smallCaps w:val="0"/>
        <w:color w:val="FFFFFF"/>
        <w:sz w:val="20"/>
      </w:rPr>
      <w:tblPr/>
      <w:tcPr>
        <w:tcBorders>
          <w:top w:val="nil"/>
          <w:left w:val="nil"/>
          <w:bottom w:val="nil"/>
          <w:right w:val="nil"/>
          <w:insideH w:val="nil"/>
          <w:insideV w:val="nil"/>
          <w:tl2br w:val="nil"/>
          <w:tr2bl w:val="nil"/>
        </w:tcBorders>
        <w:shd w:val="clear" w:color="000080" w:fill="3B98D3"/>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Arial Narrow" w:hAnsi="Arial Narrow"/>
        <w:b/>
        <w:bCs/>
        <w:i w:val="0"/>
        <w:caps/>
        <w:smallCaps w:val="0"/>
        <w:color w:val="FFFFFF"/>
        <w:sz w:val="20"/>
      </w:rPr>
      <w:tblPr/>
      <w:tcPr>
        <w:tcBorders>
          <w:tl2br w:val="none" w:sz="0" w:space="0" w:color="auto"/>
          <w:tr2bl w:val="none" w:sz="0" w:space="0" w:color="auto"/>
        </w:tcBorders>
        <w:shd w:val="clear" w:color="auto" w:fill="3B98D3"/>
      </w:tcPr>
    </w:tblStylePr>
    <w:tblStylePr w:type="lastCol">
      <w:tblPr/>
      <w:tcPr>
        <w:shd w:val="clear" w:color="auto" w:fill="D9D9D9"/>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spexTableNumberedBullets">
    <w:name w:val="Aspex Table Numbered Bullets"/>
    <w:basedOn w:val="Normal"/>
    <w:autoRedefine/>
    <w:uiPriority w:val="1"/>
    <w:qFormat/>
    <w:rsid w:val="002372B3"/>
    <w:pPr>
      <w:numPr>
        <w:numId w:val="2"/>
      </w:numPr>
      <w:spacing w:line="240" w:lineRule="auto"/>
      <w:ind w:right="284"/>
      <w:jc w:val="both"/>
    </w:pPr>
  </w:style>
  <w:style w:type="paragraph" w:customStyle="1" w:styleId="AspexTableText-NarrowBullet2">
    <w:name w:val="Aspex Table Text - Narrow Bullet 2"/>
    <w:basedOn w:val="Normal"/>
    <w:qFormat/>
    <w:rsid w:val="00F81FAF"/>
    <w:pPr>
      <w:numPr>
        <w:ilvl w:val="1"/>
        <w:numId w:val="9"/>
      </w:numPr>
      <w:spacing w:before="60" w:after="60" w:line="240" w:lineRule="auto"/>
    </w:pPr>
    <w:rPr>
      <w:rFonts w:ascii="Arial Narrow" w:hAnsi="Arial Narrow"/>
      <w:sz w:val="20"/>
    </w:rPr>
  </w:style>
  <w:style w:type="paragraph" w:customStyle="1" w:styleId="AspexTableText-NarrowBullet3">
    <w:name w:val="Aspex Table Text - Narrow Bullet 3"/>
    <w:basedOn w:val="Normal"/>
    <w:qFormat/>
    <w:rsid w:val="00F81FAF"/>
    <w:pPr>
      <w:numPr>
        <w:ilvl w:val="2"/>
        <w:numId w:val="9"/>
      </w:numPr>
      <w:spacing w:before="60" w:after="60" w:line="240" w:lineRule="auto"/>
    </w:pPr>
    <w:rPr>
      <w:rFonts w:ascii="Arial Narrow" w:hAnsi="Arial Narrow"/>
      <w:sz w:val="20"/>
    </w:rPr>
  </w:style>
  <w:style w:type="numbering" w:customStyle="1" w:styleId="AspexTableText-NarrowBulletList">
    <w:name w:val="Aspex Table Text - Narrow Bullet List"/>
    <w:basedOn w:val="NoList"/>
    <w:rsid w:val="002372B3"/>
    <w:pPr>
      <w:numPr>
        <w:numId w:val="3"/>
      </w:numPr>
    </w:pPr>
  </w:style>
  <w:style w:type="paragraph" w:customStyle="1" w:styleId="Default">
    <w:name w:val="Default"/>
    <w:basedOn w:val="AspexBodyStandard"/>
    <w:next w:val="AspexBodyStandard"/>
    <w:semiHidden/>
    <w:rsid w:val="002372B3"/>
  </w:style>
  <w:style w:type="table" w:styleId="MediumGrid1-Accent1">
    <w:name w:val="Medium Grid 1 Accent 1"/>
    <w:basedOn w:val="TableNormal"/>
    <w:uiPriority w:val="67"/>
    <w:rsid w:val="00845266"/>
    <w:rPr>
      <w:rFonts w:eastAsia="Calibri"/>
      <w:lang w:val="en-US"/>
    </w:rPr>
    <w:tblPr>
      <w:tblStyleRowBandSize w:val="1"/>
      <w:tblStyleColBandSize w:val="1"/>
      <w:tblInd w:w="0" w:type="dxa"/>
      <w:tblBorders>
        <w:top w:val="single" w:sz="8" w:space="0" w:color="C3C3C3"/>
        <w:left w:val="single" w:sz="8" w:space="0" w:color="C3C3C3"/>
        <w:bottom w:val="single" w:sz="8" w:space="0" w:color="C3C3C3"/>
        <w:right w:val="single" w:sz="8" w:space="0" w:color="C3C3C3"/>
        <w:insideH w:val="single" w:sz="8" w:space="0" w:color="C3C3C3"/>
        <w:insideV w:val="single" w:sz="8" w:space="0" w:color="C3C3C3"/>
      </w:tblBorders>
      <w:tblCellMar>
        <w:top w:w="0" w:type="dxa"/>
        <w:left w:w="108" w:type="dxa"/>
        <w:bottom w:w="0" w:type="dxa"/>
        <w:right w:w="108" w:type="dxa"/>
      </w:tblCellMar>
    </w:tblPr>
    <w:tcPr>
      <w:shd w:val="clear" w:color="auto" w:fill="EBEBEB"/>
    </w:tcPr>
    <w:tblStylePr w:type="firstRow">
      <w:rPr>
        <w:b/>
        <w:bCs/>
      </w:rPr>
    </w:tblStylePr>
    <w:tblStylePr w:type="lastRow">
      <w:rPr>
        <w:b/>
        <w:bCs/>
      </w:rPr>
      <w:tblPr/>
      <w:tcPr>
        <w:tcBorders>
          <w:top w:val="single" w:sz="18" w:space="0" w:color="C3C3C3"/>
        </w:tcBorders>
      </w:tcPr>
    </w:tblStylePr>
    <w:tblStylePr w:type="firstCol">
      <w:rPr>
        <w:b/>
        <w:bCs/>
      </w:rPr>
    </w:tblStylePr>
    <w:tblStylePr w:type="lastCol">
      <w:rPr>
        <w:b/>
        <w:bCs/>
      </w:rPr>
    </w:tblStylePr>
    <w:tblStylePr w:type="band1Vert">
      <w:tblPr/>
      <w:tcPr>
        <w:shd w:val="clear" w:color="auto" w:fill="D7D7D7"/>
      </w:tcPr>
    </w:tblStylePr>
    <w:tblStylePr w:type="band1Horz">
      <w:tblPr/>
      <w:tcPr>
        <w:shd w:val="clear" w:color="auto" w:fill="D7D7D7"/>
      </w:tcPr>
    </w:tblStylePr>
  </w:style>
  <w:style w:type="paragraph" w:customStyle="1" w:styleId="AspexReportTitle">
    <w:name w:val="Aspex Report Title"/>
    <w:next w:val="AspexVersion"/>
    <w:uiPriority w:val="3"/>
    <w:qFormat/>
    <w:rsid w:val="00836AA4"/>
    <w:pPr>
      <w:spacing w:before="120" w:after="240"/>
      <w:ind w:left="567"/>
      <w:jc w:val="center"/>
    </w:pPr>
    <w:rPr>
      <w:sz w:val="52"/>
      <w:szCs w:val="52"/>
      <w:lang w:eastAsia="en-US"/>
    </w:rPr>
  </w:style>
  <w:style w:type="paragraph" w:customStyle="1" w:styleId="AspexVersion">
    <w:name w:val="Aspex Version"/>
    <w:next w:val="AspexDate"/>
    <w:uiPriority w:val="3"/>
    <w:qFormat/>
    <w:rsid w:val="006478D9"/>
    <w:pPr>
      <w:spacing w:before="120" w:after="240"/>
      <w:ind w:left="567"/>
      <w:jc w:val="center"/>
    </w:pPr>
    <w:rPr>
      <w:sz w:val="36"/>
      <w:szCs w:val="36"/>
      <w:lang w:eastAsia="en-US"/>
    </w:rPr>
  </w:style>
  <w:style w:type="paragraph" w:customStyle="1" w:styleId="AspexDate">
    <w:name w:val="Aspex Date"/>
    <w:uiPriority w:val="3"/>
    <w:qFormat/>
    <w:rsid w:val="006478D9"/>
    <w:pPr>
      <w:spacing w:before="120" w:after="240"/>
      <w:ind w:left="567"/>
      <w:jc w:val="center"/>
    </w:pPr>
    <w:rPr>
      <w:sz w:val="22"/>
      <w:lang w:eastAsia="en-US"/>
    </w:rPr>
  </w:style>
  <w:style w:type="character" w:styleId="PlaceholderText">
    <w:name w:val="Placeholder Text"/>
    <w:basedOn w:val="DefaultParagraphFont"/>
    <w:uiPriority w:val="4"/>
    <w:rsid w:val="00152F38"/>
    <w:rPr>
      <w:color w:val="808080"/>
    </w:rPr>
  </w:style>
  <w:style w:type="paragraph" w:customStyle="1" w:styleId="AspexAbbreviations">
    <w:name w:val="Aspex Abbreviations"/>
    <w:uiPriority w:val="3"/>
    <w:rsid w:val="00A66B66"/>
    <w:pPr>
      <w:tabs>
        <w:tab w:val="left" w:pos="1418"/>
      </w:tabs>
      <w:spacing w:before="120" w:after="240"/>
    </w:pPr>
    <w:rPr>
      <w:sz w:val="22"/>
      <w:lang w:eastAsia="en-US"/>
    </w:rPr>
  </w:style>
  <w:style w:type="paragraph" w:customStyle="1" w:styleId="AspexHighlightText">
    <w:name w:val="Aspex Highlight Text"/>
    <w:qFormat/>
    <w:rsid w:val="00586F91"/>
    <w:pPr>
      <w:spacing w:before="120" w:after="240"/>
      <w:ind w:left="567" w:right="567"/>
      <w:jc w:val="center"/>
    </w:pPr>
    <w:rPr>
      <w:color w:val="3B98D3"/>
    </w:rPr>
  </w:style>
  <w:style w:type="paragraph" w:customStyle="1" w:styleId="AspexTOFHeading">
    <w:name w:val="Aspex TOF Heading"/>
    <w:uiPriority w:val="3"/>
    <w:qFormat/>
    <w:rsid w:val="00CE7E0C"/>
    <w:pPr>
      <w:spacing w:before="360" w:after="240"/>
    </w:pPr>
    <w:rPr>
      <w:b/>
      <w:sz w:val="22"/>
      <w:lang w:eastAsia="en-US"/>
    </w:rPr>
  </w:style>
  <w:style w:type="paragraph" w:styleId="EndnoteText">
    <w:name w:val="endnote text"/>
    <w:basedOn w:val="Normal"/>
    <w:link w:val="EndnoteTextChar"/>
    <w:semiHidden/>
    <w:rsid w:val="00811645"/>
    <w:pPr>
      <w:spacing w:before="0" w:after="0" w:line="240" w:lineRule="auto"/>
    </w:pPr>
    <w:rPr>
      <w:sz w:val="20"/>
    </w:rPr>
  </w:style>
  <w:style w:type="character" w:customStyle="1" w:styleId="EndnoteTextChar">
    <w:name w:val="Endnote Text Char"/>
    <w:basedOn w:val="DefaultParagraphFont"/>
    <w:link w:val="EndnoteText"/>
    <w:semiHidden/>
    <w:rsid w:val="00811645"/>
    <w:rPr>
      <w:rFonts w:cs="Times New Roman"/>
      <w:sz w:val="20"/>
      <w:szCs w:val="20"/>
    </w:rPr>
  </w:style>
  <w:style w:type="character" w:styleId="EndnoteReference">
    <w:name w:val="endnote reference"/>
    <w:basedOn w:val="DefaultParagraphFont"/>
    <w:semiHidden/>
    <w:rsid w:val="00811645"/>
    <w:rPr>
      <w:vertAlign w:val="superscript"/>
    </w:rPr>
  </w:style>
  <w:style w:type="paragraph" w:customStyle="1" w:styleId="AspexClientName0">
    <w:name w:val="Aspex Client Name"/>
    <w:basedOn w:val="AspexReportTitle"/>
    <w:uiPriority w:val="4"/>
    <w:qFormat/>
    <w:rsid w:val="00836AA4"/>
    <w:rPr>
      <w:sz w:val="36"/>
    </w:rPr>
  </w:style>
  <w:style w:type="paragraph" w:customStyle="1" w:styleId="AspexAppendixLevel3">
    <w:name w:val="Aspex Appendix Level 3"/>
    <w:uiPriority w:val="2"/>
    <w:qFormat/>
    <w:rsid w:val="0052681A"/>
    <w:pPr>
      <w:numPr>
        <w:ilvl w:val="2"/>
        <w:numId w:val="10"/>
      </w:numPr>
      <w:spacing w:before="360" w:after="160" w:line="280" w:lineRule="exact"/>
    </w:pPr>
    <w:rPr>
      <w:sz w:val="22"/>
      <w:lang w:eastAsia="en-US"/>
    </w:rPr>
  </w:style>
  <w:style w:type="paragraph" w:customStyle="1" w:styleId="AspexAppendixLevel4">
    <w:name w:val="Aspex Appendix Level 4"/>
    <w:uiPriority w:val="2"/>
    <w:qFormat/>
    <w:rsid w:val="0052681A"/>
    <w:pPr>
      <w:spacing w:before="360" w:after="120" w:line="280" w:lineRule="exact"/>
    </w:pPr>
    <w:rPr>
      <w:b/>
      <w:sz w:val="22"/>
      <w:lang w:eastAsia="en-US"/>
    </w:rPr>
  </w:style>
  <w:style w:type="table" w:customStyle="1" w:styleId="AspexTable12">
    <w:name w:val="Aspex Table 12"/>
    <w:basedOn w:val="TableNormal"/>
    <w:qFormat/>
    <w:rsid w:val="008E352C"/>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character" w:customStyle="1" w:styleId="lblsubtitle2">
    <w:name w:val="lblsubtitle2"/>
    <w:basedOn w:val="DefaultParagraphFont"/>
    <w:rsid w:val="00257B86"/>
  </w:style>
  <w:style w:type="paragraph" w:styleId="NormalWeb">
    <w:name w:val="Normal (Web)"/>
    <w:basedOn w:val="Normal"/>
    <w:uiPriority w:val="99"/>
    <w:unhideWhenUsed/>
    <w:rsid w:val="00257B86"/>
    <w:pPr>
      <w:spacing w:before="100" w:beforeAutospacing="1" w:after="100" w:afterAutospacing="1" w:line="240" w:lineRule="auto"/>
    </w:pPr>
    <w:rPr>
      <w:rFonts w:ascii="Times New Roman" w:hAnsi="Times New Roman"/>
      <w:color w:val="000000"/>
      <w:sz w:val="24"/>
      <w:lang w:eastAsia="en-AU"/>
    </w:rPr>
  </w:style>
  <w:style w:type="character" w:customStyle="1" w:styleId="ref-journal">
    <w:name w:val="ref-journal"/>
    <w:basedOn w:val="DefaultParagraphFont"/>
    <w:rsid w:val="00257B86"/>
  </w:style>
  <w:style w:type="character" w:customStyle="1" w:styleId="mixed-citation">
    <w:name w:val="mixed-citation"/>
    <w:rsid w:val="00257B86"/>
  </w:style>
  <w:style w:type="character" w:customStyle="1" w:styleId="st">
    <w:name w:val="st"/>
    <w:basedOn w:val="DefaultParagraphFont"/>
    <w:rsid w:val="00257B86"/>
  </w:style>
  <w:style w:type="character" w:styleId="Strong">
    <w:name w:val="Strong"/>
    <w:basedOn w:val="DefaultParagraphFont"/>
    <w:uiPriority w:val="22"/>
    <w:qFormat/>
    <w:rsid w:val="00257B86"/>
    <w:rPr>
      <w:b/>
      <w:bCs/>
    </w:rPr>
  </w:style>
  <w:style w:type="table" w:customStyle="1" w:styleId="AspexTable11">
    <w:name w:val="Aspex Table 11"/>
    <w:basedOn w:val="TableNormal"/>
    <w:qFormat/>
    <w:rsid w:val="00257B86"/>
    <w:pPr>
      <w:spacing w:line="260" w:lineRule="atLeast"/>
    </w:pPr>
    <w:tblPr>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108" w:type="dxa"/>
        <w:bottom w:w="28" w:type="dxa"/>
        <w:right w:w="108" w:type="dxa"/>
      </w:tblCellMar>
    </w:tblPr>
    <w:tblStylePr w:type="firstRow">
      <w:pPr>
        <w:wordWrap/>
        <w:spacing w:beforeLines="60" w:beforeAutospacing="0" w:afterLines="60" w:afterAutospacing="0"/>
        <w:ind w:leftChars="0" w:left="0"/>
      </w:pPr>
      <w:rPr>
        <w:rFonts w:ascii="Arial" w:hAnsi="Arial"/>
        <w:b/>
        <w:i w:val="0"/>
        <w:caps/>
        <w:smallCaps w:val="0"/>
        <w:color w:val="D9D9D9"/>
        <w:sz w:val="20"/>
        <w:u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character" w:styleId="IntenseEmphasis">
    <w:name w:val="Intense Emphasis"/>
    <w:basedOn w:val="DefaultParagraphFont"/>
    <w:uiPriority w:val="21"/>
    <w:qFormat/>
    <w:rsid w:val="00EE2040"/>
    <w:rPr>
      <w:b/>
      <w:bCs/>
      <w:i/>
      <w:iCs/>
      <w:color w:val="4F81BD" w:themeColor="accent1"/>
      <w:sz w:val="22"/>
      <w:szCs w:val="22"/>
    </w:rPr>
  </w:style>
  <w:style w:type="paragraph" w:customStyle="1" w:styleId="xl63">
    <w:name w:val="xl63"/>
    <w:basedOn w:val="Normal"/>
    <w:rsid w:val="008528B8"/>
    <w:pPr>
      <w:spacing w:before="100" w:beforeAutospacing="1" w:after="100" w:afterAutospacing="1" w:line="240" w:lineRule="auto"/>
    </w:pPr>
    <w:rPr>
      <w:rFonts w:ascii="Times" w:hAnsi="Times"/>
      <w:b/>
      <w:bCs/>
      <w:sz w:val="20"/>
    </w:rPr>
  </w:style>
  <w:style w:type="paragraph" w:customStyle="1" w:styleId="xl64">
    <w:name w:val="xl64"/>
    <w:basedOn w:val="Normal"/>
    <w:rsid w:val="008528B8"/>
    <w:pPr>
      <w:spacing w:before="100" w:beforeAutospacing="1" w:after="100" w:afterAutospacing="1" w:line="240" w:lineRule="auto"/>
    </w:pPr>
    <w:rPr>
      <w:rFonts w:ascii="Times" w:hAnsi="Times"/>
      <w:b/>
      <w:bCs/>
      <w:sz w:val="20"/>
    </w:rPr>
  </w:style>
  <w:style w:type="paragraph" w:customStyle="1" w:styleId="xl65">
    <w:name w:val="xl65"/>
    <w:basedOn w:val="Normal"/>
    <w:rsid w:val="008528B8"/>
    <w:pPr>
      <w:spacing w:before="100" w:beforeAutospacing="1" w:after="100" w:afterAutospacing="1" w:line="240" w:lineRule="auto"/>
    </w:pPr>
    <w:rPr>
      <w:rFonts w:ascii="Times" w:hAnsi="Times"/>
      <w:sz w:val="20"/>
    </w:rPr>
  </w:style>
  <w:style w:type="paragraph" w:customStyle="1" w:styleId="xl66">
    <w:name w:val="xl66"/>
    <w:basedOn w:val="Normal"/>
    <w:rsid w:val="008528B8"/>
    <w:pPr>
      <w:spacing w:before="100" w:beforeAutospacing="1" w:after="100" w:afterAutospacing="1" w:line="240" w:lineRule="auto"/>
      <w:jc w:val="center"/>
    </w:pPr>
    <w:rPr>
      <w:rFonts w:ascii="Times" w:hAnsi="Times"/>
      <w:sz w:val="20"/>
    </w:rPr>
  </w:style>
  <w:style w:type="paragraph" w:customStyle="1" w:styleId="xl67">
    <w:name w:val="xl67"/>
    <w:basedOn w:val="Normal"/>
    <w:rsid w:val="008528B8"/>
    <w:pPr>
      <w:spacing w:before="100" w:beforeAutospacing="1" w:after="100" w:afterAutospacing="1" w:line="240" w:lineRule="auto"/>
      <w:jc w:val="center"/>
    </w:pPr>
    <w:rPr>
      <w:rFonts w:ascii="Times" w:hAnsi="Times"/>
      <w:sz w:val="20"/>
    </w:rPr>
  </w:style>
  <w:style w:type="paragraph" w:customStyle="1" w:styleId="xl68">
    <w:name w:val="xl68"/>
    <w:basedOn w:val="Normal"/>
    <w:rsid w:val="008528B8"/>
    <w:pPr>
      <w:spacing w:before="100" w:beforeAutospacing="1" w:after="100" w:afterAutospacing="1" w:line="240" w:lineRule="auto"/>
      <w:jc w:val="center"/>
    </w:pPr>
    <w:rPr>
      <w:rFonts w:ascii="Times" w:hAnsi="Times"/>
      <w:b/>
      <w:bCs/>
      <w:sz w:val="20"/>
    </w:rPr>
  </w:style>
  <w:style w:type="paragraph" w:customStyle="1" w:styleId="xl69">
    <w:name w:val="xl69"/>
    <w:basedOn w:val="Normal"/>
    <w:rsid w:val="008528B8"/>
    <w:pPr>
      <w:spacing w:before="100" w:beforeAutospacing="1" w:after="100" w:afterAutospacing="1" w:line="240" w:lineRule="auto"/>
      <w:jc w:val="center"/>
    </w:pPr>
    <w:rPr>
      <w:rFonts w:ascii="Times" w:hAnsi="Times"/>
      <w:sz w:val="20"/>
    </w:rPr>
  </w:style>
  <w:style w:type="paragraph" w:customStyle="1" w:styleId="xl70">
    <w:name w:val="xl70"/>
    <w:basedOn w:val="Normal"/>
    <w:rsid w:val="008528B8"/>
    <w:pPr>
      <w:spacing w:before="100" w:beforeAutospacing="1" w:after="100" w:afterAutospacing="1" w:line="240" w:lineRule="auto"/>
    </w:pPr>
    <w:rPr>
      <w:rFonts w:cs="Arial"/>
      <w:sz w:val="32"/>
      <w:szCs w:val="32"/>
    </w:rPr>
  </w:style>
  <w:style w:type="paragraph" w:customStyle="1" w:styleId="xl71">
    <w:name w:val="xl71"/>
    <w:basedOn w:val="Normal"/>
    <w:rsid w:val="008528B8"/>
    <w:pPr>
      <w:spacing w:before="100" w:beforeAutospacing="1" w:after="100" w:afterAutospacing="1" w:line="240" w:lineRule="auto"/>
    </w:pPr>
    <w:rPr>
      <w:rFonts w:cs="Arial"/>
      <w:szCs w:val="22"/>
    </w:rPr>
  </w:style>
  <w:style w:type="paragraph" w:customStyle="1" w:styleId="xl72">
    <w:name w:val="xl72"/>
    <w:basedOn w:val="Normal"/>
    <w:rsid w:val="008528B8"/>
    <w:pPr>
      <w:spacing w:before="100" w:beforeAutospacing="1" w:after="100" w:afterAutospacing="1" w:line="240" w:lineRule="auto"/>
      <w:jc w:val="center"/>
    </w:pPr>
    <w:rPr>
      <w:rFonts w:ascii="Times" w:hAnsi="Times"/>
      <w:sz w:val="20"/>
    </w:rPr>
  </w:style>
  <w:style w:type="paragraph" w:customStyle="1" w:styleId="xl73">
    <w:name w:val="xl73"/>
    <w:basedOn w:val="Normal"/>
    <w:rsid w:val="008528B8"/>
    <w:pPr>
      <w:spacing w:before="100" w:beforeAutospacing="1" w:after="100" w:afterAutospacing="1" w:line="240" w:lineRule="auto"/>
      <w:jc w:val="center"/>
    </w:pPr>
    <w:rPr>
      <w:rFonts w:ascii="Times" w:hAnsi="Times"/>
      <w:b/>
      <w:bCs/>
      <w:sz w:val="20"/>
    </w:rPr>
  </w:style>
  <w:style w:type="paragraph" w:customStyle="1" w:styleId="xl74">
    <w:name w:val="xl74"/>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75">
    <w:name w:val="xl75"/>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76">
    <w:name w:val="xl76"/>
    <w:basedOn w:val="Normal"/>
    <w:rsid w:val="008528B8"/>
    <w:pPr>
      <w:spacing w:before="100" w:beforeAutospacing="1" w:after="100" w:afterAutospacing="1" w:line="240" w:lineRule="auto"/>
    </w:pPr>
    <w:rPr>
      <w:rFonts w:ascii="Times" w:hAnsi="Times"/>
      <w:sz w:val="20"/>
    </w:rPr>
  </w:style>
  <w:style w:type="paragraph" w:customStyle="1" w:styleId="xl77">
    <w:name w:val="xl77"/>
    <w:basedOn w:val="Normal"/>
    <w:rsid w:val="008528B8"/>
    <w:pPr>
      <w:spacing w:before="100" w:beforeAutospacing="1" w:after="100" w:afterAutospacing="1" w:line="240" w:lineRule="auto"/>
      <w:textAlignment w:val="top"/>
    </w:pPr>
    <w:rPr>
      <w:rFonts w:ascii="Times" w:hAnsi="Times"/>
      <w:sz w:val="20"/>
    </w:rPr>
  </w:style>
  <w:style w:type="paragraph" w:customStyle="1" w:styleId="xl78">
    <w:name w:val="xl78"/>
    <w:basedOn w:val="Normal"/>
    <w:rsid w:val="008528B8"/>
    <w:pPr>
      <w:spacing w:before="100" w:beforeAutospacing="1" w:after="100" w:afterAutospacing="1" w:line="240" w:lineRule="auto"/>
      <w:textAlignment w:val="top"/>
    </w:pPr>
    <w:rPr>
      <w:rFonts w:ascii="Times" w:hAnsi="Times"/>
      <w:b/>
      <w:bCs/>
      <w:sz w:val="20"/>
    </w:rPr>
  </w:style>
  <w:style w:type="paragraph" w:customStyle="1" w:styleId="xl79">
    <w:name w:val="xl79"/>
    <w:basedOn w:val="Normal"/>
    <w:rsid w:val="008528B8"/>
    <w:pPr>
      <w:spacing w:before="100" w:beforeAutospacing="1" w:after="100" w:afterAutospacing="1" w:line="240" w:lineRule="auto"/>
      <w:jc w:val="center"/>
      <w:textAlignment w:val="top"/>
    </w:pPr>
    <w:rPr>
      <w:rFonts w:ascii="Times" w:hAnsi="Times"/>
      <w:b/>
      <w:bCs/>
      <w:sz w:val="20"/>
    </w:rPr>
  </w:style>
  <w:style w:type="paragraph" w:customStyle="1" w:styleId="xl80">
    <w:name w:val="xl80"/>
    <w:basedOn w:val="Normal"/>
    <w:rsid w:val="008528B8"/>
    <w:pPr>
      <w:spacing w:before="100" w:beforeAutospacing="1" w:after="100" w:afterAutospacing="1" w:line="240" w:lineRule="auto"/>
      <w:jc w:val="center"/>
      <w:textAlignment w:val="top"/>
    </w:pPr>
    <w:rPr>
      <w:rFonts w:ascii="Times" w:hAnsi="Times"/>
      <w:sz w:val="20"/>
    </w:rPr>
  </w:style>
  <w:style w:type="paragraph" w:customStyle="1" w:styleId="xl81">
    <w:name w:val="xl81"/>
    <w:basedOn w:val="Normal"/>
    <w:rsid w:val="008528B8"/>
    <w:pPr>
      <w:spacing w:before="100" w:beforeAutospacing="1" w:after="100" w:afterAutospacing="1" w:line="240" w:lineRule="auto"/>
      <w:jc w:val="center"/>
    </w:pPr>
    <w:rPr>
      <w:rFonts w:cs="Arial"/>
      <w:szCs w:val="22"/>
    </w:rPr>
  </w:style>
  <w:style w:type="paragraph" w:customStyle="1" w:styleId="xl82">
    <w:name w:val="xl82"/>
    <w:basedOn w:val="Normal"/>
    <w:rsid w:val="008528B8"/>
    <w:pPr>
      <w:spacing w:before="100" w:beforeAutospacing="1" w:after="100" w:afterAutospacing="1" w:line="240" w:lineRule="auto"/>
      <w:jc w:val="center"/>
    </w:pPr>
    <w:rPr>
      <w:rFonts w:cs="Arial"/>
      <w:szCs w:val="22"/>
    </w:rPr>
  </w:style>
  <w:style w:type="paragraph" w:customStyle="1" w:styleId="xl83">
    <w:name w:val="xl83"/>
    <w:basedOn w:val="Normal"/>
    <w:rsid w:val="008528B8"/>
    <w:pPr>
      <w:spacing w:before="100" w:beforeAutospacing="1" w:after="100" w:afterAutospacing="1" w:line="240" w:lineRule="auto"/>
      <w:jc w:val="center"/>
    </w:pPr>
    <w:rPr>
      <w:rFonts w:cs="Arial"/>
      <w:szCs w:val="22"/>
    </w:rPr>
  </w:style>
  <w:style w:type="paragraph" w:customStyle="1" w:styleId="xl84">
    <w:name w:val="xl84"/>
    <w:basedOn w:val="Normal"/>
    <w:rsid w:val="008528B8"/>
    <w:pPr>
      <w:spacing w:before="100" w:beforeAutospacing="1" w:after="100" w:afterAutospacing="1" w:line="240" w:lineRule="auto"/>
    </w:pPr>
    <w:rPr>
      <w:rFonts w:ascii="Times" w:hAnsi="Times"/>
      <w:b/>
      <w:bCs/>
      <w:sz w:val="24"/>
    </w:rPr>
  </w:style>
  <w:style w:type="paragraph" w:customStyle="1" w:styleId="xl85">
    <w:name w:val="xl85"/>
    <w:basedOn w:val="Normal"/>
    <w:rsid w:val="008528B8"/>
    <w:pPr>
      <w:spacing w:before="100" w:beforeAutospacing="1" w:after="100" w:afterAutospacing="1" w:line="240" w:lineRule="auto"/>
    </w:pPr>
    <w:rPr>
      <w:rFonts w:cs="Arial"/>
      <w:color w:val="8497B0"/>
      <w:sz w:val="32"/>
      <w:szCs w:val="32"/>
    </w:rPr>
  </w:style>
  <w:style w:type="paragraph" w:customStyle="1" w:styleId="xl86">
    <w:name w:val="xl86"/>
    <w:basedOn w:val="Normal"/>
    <w:rsid w:val="008528B8"/>
    <w:pPr>
      <w:spacing w:before="100" w:beforeAutospacing="1" w:after="100" w:afterAutospacing="1" w:line="240" w:lineRule="auto"/>
      <w:jc w:val="center"/>
    </w:pPr>
    <w:rPr>
      <w:rFonts w:ascii="Times" w:hAnsi="Times"/>
      <w:b/>
      <w:bCs/>
      <w:sz w:val="20"/>
    </w:rPr>
  </w:style>
  <w:style w:type="paragraph" w:customStyle="1" w:styleId="xl87">
    <w:name w:val="xl87"/>
    <w:basedOn w:val="Normal"/>
    <w:rsid w:val="008528B8"/>
    <w:pPr>
      <w:spacing w:before="100" w:beforeAutospacing="1" w:after="100" w:afterAutospacing="1" w:line="240" w:lineRule="auto"/>
      <w:jc w:val="center"/>
    </w:pPr>
    <w:rPr>
      <w:rFonts w:ascii="Times" w:hAnsi="Times"/>
      <w:sz w:val="20"/>
    </w:rPr>
  </w:style>
  <w:style w:type="paragraph" w:customStyle="1" w:styleId="xl88">
    <w:name w:val="xl88"/>
    <w:basedOn w:val="Normal"/>
    <w:rsid w:val="008528B8"/>
    <w:pPr>
      <w:spacing w:before="100" w:beforeAutospacing="1" w:after="100" w:afterAutospacing="1" w:line="240" w:lineRule="auto"/>
      <w:jc w:val="center"/>
    </w:pPr>
    <w:rPr>
      <w:rFonts w:ascii="Times" w:hAnsi="Times"/>
      <w:sz w:val="20"/>
    </w:rPr>
  </w:style>
  <w:style w:type="paragraph" w:customStyle="1" w:styleId="xl89">
    <w:name w:val="xl89"/>
    <w:basedOn w:val="Normal"/>
    <w:rsid w:val="008528B8"/>
    <w:pPr>
      <w:spacing w:before="100" w:beforeAutospacing="1" w:after="100" w:afterAutospacing="1" w:line="240" w:lineRule="auto"/>
      <w:jc w:val="center"/>
    </w:pPr>
    <w:rPr>
      <w:rFonts w:ascii="Times" w:hAnsi="Times"/>
      <w:b/>
      <w:bCs/>
      <w:sz w:val="20"/>
    </w:rPr>
  </w:style>
  <w:style w:type="paragraph" w:customStyle="1" w:styleId="xl90">
    <w:name w:val="xl90"/>
    <w:basedOn w:val="Normal"/>
    <w:rsid w:val="008528B8"/>
    <w:pPr>
      <w:spacing w:before="100" w:beforeAutospacing="1" w:after="100" w:afterAutospacing="1" w:line="240" w:lineRule="auto"/>
      <w:jc w:val="center"/>
    </w:pPr>
    <w:rPr>
      <w:rFonts w:ascii="Times" w:hAnsi="Times"/>
      <w:b/>
      <w:bCs/>
      <w:sz w:val="20"/>
    </w:rPr>
  </w:style>
  <w:style w:type="paragraph" w:customStyle="1" w:styleId="xl91">
    <w:name w:val="xl91"/>
    <w:basedOn w:val="Normal"/>
    <w:rsid w:val="008528B8"/>
    <w:pPr>
      <w:spacing w:before="100" w:beforeAutospacing="1" w:after="100" w:afterAutospacing="1" w:line="240" w:lineRule="auto"/>
      <w:jc w:val="center"/>
    </w:pPr>
    <w:rPr>
      <w:rFonts w:cs="Arial"/>
      <w:b/>
      <w:bCs/>
      <w:i/>
      <w:iCs/>
      <w:color w:val="FF0000"/>
      <w:sz w:val="20"/>
    </w:rPr>
  </w:style>
  <w:style w:type="paragraph" w:customStyle="1" w:styleId="xl92">
    <w:name w:val="xl92"/>
    <w:basedOn w:val="Normal"/>
    <w:rsid w:val="008528B8"/>
    <w:pPr>
      <w:spacing w:before="100" w:beforeAutospacing="1" w:after="100" w:afterAutospacing="1" w:line="240" w:lineRule="auto"/>
    </w:pPr>
    <w:rPr>
      <w:rFonts w:cs="Arial"/>
      <w:color w:val="FF0000"/>
      <w:szCs w:val="22"/>
    </w:rPr>
  </w:style>
  <w:style w:type="paragraph" w:customStyle="1" w:styleId="xl93">
    <w:name w:val="xl93"/>
    <w:basedOn w:val="Normal"/>
    <w:rsid w:val="008528B8"/>
    <w:pPr>
      <w:spacing w:before="100" w:beforeAutospacing="1" w:after="100" w:afterAutospacing="1" w:line="240" w:lineRule="auto"/>
    </w:pPr>
    <w:rPr>
      <w:rFonts w:cs="Arial"/>
      <w:color w:val="8497B0"/>
      <w:sz w:val="32"/>
      <w:szCs w:val="32"/>
    </w:rPr>
  </w:style>
  <w:style w:type="paragraph" w:customStyle="1" w:styleId="xl94">
    <w:name w:val="xl94"/>
    <w:basedOn w:val="Normal"/>
    <w:rsid w:val="008528B8"/>
    <w:pPr>
      <w:spacing w:before="100" w:beforeAutospacing="1" w:after="100" w:afterAutospacing="1" w:line="240" w:lineRule="auto"/>
      <w:jc w:val="center"/>
    </w:pPr>
    <w:rPr>
      <w:rFonts w:cs="Arial"/>
      <w:color w:val="FF0000"/>
      <w:szCs w:val="22"/>
    </w:rPr>
  </w:style>
  <w:style w:type="paragraph" w:customStyle="1" w:styleId="xl95">
    <w:name w:val="xl95"/>
    <w:basedOn w:val="Normal"/>
    <w:rsid w:val="008528B8"/>
    <w:pPr>
      <w:spacing w:before="100" w:beforeAutospacing="1" w:after="100" w:afterAutospacing="1" w:line="240" w:lineRule="auto"/>
      <w:jc w:val="center"/>
    </w:pPr>
    <w:rPr>
      <w:rFonts w:cs="Arial"/>
      <w:i/>
      <w:iCs/>
      <w:color w:val="808080"/>
      <w:sz w:val="20"/>
    </w:rPr>
  </w:style>
  <w:style w:type="paragraph" w:customStyle="1" w:styleId="xl96">
    <w:name w:val="xl96"/>
    <w:basedOn w:val="Normal"/>
    <w:rsid w:val="008528B8"/>
    <w:pPr>
      <w:spacing w:before="100" w:beforeAutospacing="1" w:after="100" w:afterAutospacing="1" w:line="240" w:lineRule="auto"/>
      <w:jc w:val="center"/>
    </w:pPr>
    <w:rPr>
      <w:rFonts w:cs="Arial"/>
      <w:color w:val="FF0000"/>
      <w:sz w:val="20"/>
    </w:rPr>
  </w:style>
  <w:style w:type="paragraph" w:customStyle="1" w:styleId="xl97">
    <w:name w:val="xl97"/>
    <w:basedOn w:val="Normal"/>
    <w:rsid w:val="008528B8"/>
    <w:pPr>
      <w:spacing w:before="100" w:beforeAutospacing="1" w:after="100" w:afterAutospacing="1" w:line="240" w:lineRule="auto"/>
      <w:textAlignment w:val="center"/>
    </w:pPr>
    <w:rPr>
      <w:rFonts w:ascii="Arial Narrow" w:hAnsi="Arial Narrow"/>
      <w:i/>
      <w:iCs/>
      <w:color w:val="FF0000"/>
      <w:sz w:val="20"/>
    </w:rPr>
  </w:style>
  <w:style w:type="paragraph" w:customStyle="1" w:styleId="xl98">
    <w:name w:val="xl98"/>
    <w:basedOn w:val="Normal"/>
    <w:rsid w:val="008528B8"/>
    <w:pPr>
      <w:spacing w:before="100" w:beforeAutospacing="1" w:after="100" w:afterAutospacing="1" w:line="240" w:lineRule="auto"/>
      <w:textAlignment w:val="center"/>
    </w:pPr>
    <w:rPr>
      <w:rFonts w:ascii="Arial Narrow" w:hAnsi="Arial Narrow"/>
      <w:b/>
      <w:bCs/>
      <w:color w:val="FF0000"/>
      <w:sz w:val="20"/>
    </w:rPr>
  </w:style>
  <w:style w:type="paragraph" w:customStyle="1" w:styleId="xl99">
    <w:name w:val="xl99"/>
    <w:basedOn w:val="Normal"/>
    <w:rsid w:val="008528B8"/>
    <w:pPr>
      <w:spacing w:before="100" w:beforeAutospacing="1" w:after="100" w:afterAutospacing="1" w:line="240" w:lineRule="auto"/>
      <w:jc w:val="center"/>
    </w:pPr>
    <w:rPr>
      <w:rFonts w:cs="Arial"/>
      <w:i/>
      <w:iCs/>
      <w:color w:val="FF0000"/>
      <w:sz w:val="20"/>
    </w:rPr>
  </w:style>
  <w:style w:type="paragraph" w:customStyle="1" w:styleId="xl100">
    <w:name w:val="xl100"/>
    <w:basedOn w:val="Normal"/>
    <w:rsid w:val="008528B8"/>
    <w:pPr>
      <w:spacing w:before="100" w:beforeAutospacing="1" w:after="100" w:afterAutospacing="1" w:line="240" w:lineRule="auto"/>
      <w:jc w:val="center"/>
    </w:pPr>
    <w:rPr>
      <w:rFonts w:ascii="Times" w:hAnsi="Times"/>
      <w:b/>
      <w:bCs/>
      <w:sz w:val="24"/>
    </w:rPr>
  </w:style>
  <w:style w:type="paragraph" w:customStyle="1" w:styleId="xl101">
    <w:name w:val="xl101"/>
    <w:basedOn w:val="Normal"/>
    <w:rsid w:val="008528B8"/>
    <w:pPr>
      <w:spacing w:before="100" w:beforeAutospacing="1" w:after="100" w:afterAutospacing="1" w:line="240" w:lineRule="auto"/>
      <w:jc w:val="center"/>
    </w:pPr>
    <w:rPr>
      <w:rFonts w:cs="Arial"/>
      <w:i/>
      <w:iCs/>
      <w:color w:val="A6A6A6"/>
      <w:sz w:val="20"/>
    </w:rPr>
  </w:style>
  <w:style w:type="paragraph" w:customStyle="1" w:styleId="xl102">
    <w:name w:val="xl102"/>
    <w:basedOn w:val="Normal"/>
    <w:rsid w:val="008528B8"/>
    <w:pPr>
      <w:spacing w:before="100" w:beforeAutospacing="1" w:after="100" w:afterAutospacing="1" w:line="240" w:lineRule="auto"/>
    </w:pPr>
    <w:rPr>
      <w:rFonts w:ascii="Times" w:hAnsi="Times"/>
      <w:b/>
      <w:bCs/>
      <w:sz w:val="24"/>
    </w:rPr>
  </w:style>
  <w:style w:type="paragraph" w:styleId="IntenseQuote">
    <w:name w:val="Intense Quote"/>
    <w:basedOn w:val="Normal"/>
    <w:next w:val="Normal"/>
    <w:link w:val="IntenseQuoteChar"/>
    <w:uiPriority w:val="30"/>
    <w:qFormat/>
    <w:rsid w:val="00D96F80"/>
    <w:pPr>
      <w:pBdr>
        <w:bottom w:val="single" w:sz="4" w:space="4" w:color="4F81BD" w:themeColor="accent1"/>
      </w:pBdr>
      <w:spacing w:before="360" w:after="280"/>
      <w:ind w:left="936" w:right="936"/>
      <w:jc w:val="both"/>
    </w:pPr>
    <w:rPr>
      <w:b/>
      <w:bCs/>
      <w:i/>
      <w:iCs/>
      <w:color w:val="4F81BD" w:themeColor="accent1"/>
    </w:rPr>
  </w:style>
  <w:style w:type="character" w:customStyle="1" w:styleId="IntenseQuoteChar">
    <w:name w:val="Intense Quote Char"/>
    <w:basedOn w:val="DefaultParagraphFont"/>
    <w:link w:val="IntenseQuote"/>
    <w:uiPriority w:val="30"/>
    <w:rsid w:val="00D96F80"/>
    <w:rPr>
      <w:b/>
      <w:bCs/>
      <w:i/>
      <w:iCs/>
      <w:color w:val="4F81BD" w:themeColor="accent1"/>
      <w:sz w:val="22"/>
      <w:szCs w:val="24"/>
      <w:lang w:eastAsia="en-US"/>
    </w:rPr>
  </w:style>
  <w:style w:type="paragraph" w:styleId="Revision">
    <w:name w:val="Revision"/>
    <w:hidden/>
    <w:uiPriority w:val="99"/>
    <w:semiHidden/>
    <w:rsid w:val="008158DB"/>
    <w:rPr>
      <w:sz w:val="22"/>
      <w:lang w:eastAsia="en-US"/>
    </w:rPr>
  </w:style>
  <w:style w:type="character" w:customStyle="1" w:styleId="apple-converted-space">
    <w:name w:val="apple-converted-space"/>
    <w:basedOn w:val="DefaultParagraphFont"/>
    <w:rsid w:val="005C6203"/>
  </w:style>
  <w:style w:type="character" w:styleId="CommentReference">
    <w:name w:val="annotation reference"/>
    <w:basedOn w:val="DefaultParagraphFont"/>
    <w:semiHidden/>
    <w:rsid w:val="00EF3452"/>
    <w:rPr>
      <w:sz w:val="18"/>
      <w:szCs w:val="18"/>
    </w:rPr>
  </w:style>
  <w:style w:type="paragraph" w:styleId="CommentText">
    <w:name w:val="annotation text"/>
    <w:basedOn w:val="Normal"/>
    <w:link w:val="CommentTextChar"/>
    <w:semiHidden/>
    <w:rsid w:val="00EF3452"/>
    <w:pPr>
      <w:spacing w:line="240" w:lineRule="auto"/>
    </w:pPr>
    <w:rPr>
      <w:sz w:val="24"/>
    </w:rPr>
  </w:style>
  <w:style w:type="character" w:customStyle="1" w:styleId="CommentTextChar">
    <w:name w:val="Comment Text Char"/>
    <w:basedOn w:val="DefaultParagraphFont"/>
    <w:link w:val="CommentText"/>
    <w:semiHidden/>
    <w:rsid w:val="00EF3452"/>
    <w:rPr>
      <w:lang w:eastAsia="en-US"/>
    </w:rPr>
  </w:style>
  <w:style w:type="paragraph" w:styleId="CommentSubject">
    <w:name w:val="annotation subject"/>
    <w:basedOn w:val="CommentText"/>
    <w:next w:val="CommentText"/>
    <w:link w:val="CommentSubjectChar"/>
    <w:semiHidden/>
    <w:rsid w:val="00EF3452"/>
    <w:rPr>
      <w:b/>
      <w:bCs/>
      <w:sz w:val="20"/>
      <w:szCs w:val="20"/>
    </w:rPr>
  </w:style>
  <w:style w:type="character" w:customStyle="1" w:styleId="CommentSubjectChar">
    <w:name w:val="Comment Subject Char"/>
    <w:basedOn w:val="CommentTextChar"/>
    <w:link w:val="CommentSubject"/>
    <w:semiHidden/>
    <w:rsid w:val="00EF3452"/>
    <w:rPr>
      <w:b/>
      <w:bCs/>
      <w:sz w:val="20"/>
      <w:szCs w:val="20"/>
      <w:lang w:eastAsia="en-US"/>
    </w:rPr>
  </w:style>
  <w:style w:type="paragraph" w:styleId="DocumentMap">
    <w:name w:val="Document Map"/>
    <w:basedOn w:val="Normal"/>
    <w:link w:val="DocumentMapChar"/>
    <w:semiHidden/>
    <w:rsid w:val="00377B70"/>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377B70"/>
    <w:rPr>
      <w:rFonts w:ascii="Lucida Grande" w:hAnsi="Lucida Grande" w:cs="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4336">
      <w:bodyDiv w:val="1"/>
      <w:marLeft w:val="0"/>
      <w:marRight w:val="0"/>
      <w:marTop w:val="0"/>
      <w:marBottom w:val="0"/>
      <w:divBdr>
        <w:top w:val="none" w:sz="0" w:space="0" w:color="auto"/>
        <w:left w:val="none" w:sz="0" w:space="0" w:color="auto"/>
        <w:bottom w:val="none" w:sz="0" w:space="0" w:color="auto"/>
        <w:right w:val="none" w:sz="0" w:space="0" w:color="auto"/>
      </w:divBdr>
    </w:div>
    <w:div w:id="144124733">
      <w:bodyDiv w:val="1"/>
      <w:marLeft w:val="0"/>
      <w:marRight w:val="0"/>
      <w:marTop w:val="0"/>
      <w:marBottom w:val="0"/>
      <w:divBdr>
        <w:top w:val="none" w:sz="0" w:space="0" w:color="auto"/>
        <w:left w:val="none" w:sz="0" w:space="0" w:color="auto"/>
        <w:bottom w:val="none" w:sz="0" w:space="0" w:color="auto"/>
        <w:right w:val="none" w:sz="0" w:space="0" w:color="auto"/>
      </w:divBdr>
    </w:div>
    <w:div w:id="180750061">
      <w:bodyDiv w:val="1"/>
      <w:marLeft w:val="0"/>
      <w:marRight w:val="0"/>
      <w:marTop w:val="0"/>
      <w:marBottom w:val="0"/>
      <w:divBdr>
        <w:top w:val="none" w:sz="0" w:space="0" w:color="auto"/>
        <w:left w:val="none" w:sz="0" w:space="0" w:color="auto"/>
        <w:bottom w:val="none" w:sz="0" w:space="0" w:color="auto"/>
        <w:right w:val="none" w:sz="0" w:space="0" w:color="auto"/>
      </w:divBdr>
    </w:div>
    <w:div w:id="285233761">
      <w:bodyDiv w:val="1"/>
      <w:marLeft w:val="0"/>
      <w:marRight w:val="0"/>
      <w:marTop w:val="0"/>
      <w:marBottom w:val="0"/>
      <w:divBdr>
        <w:top w:val="none" w:sz="0" w:space="0" w:color="auto"/>
        <w:left w:val="none" w:sz="0" w:space="0" w:color="auto"/>
        <w:bottom w:val="none" w:sz="0" w:space="0" w:color="auto"/>
        <w:right w:val="none" w:sz="0" w:space="0" w:color="auto"/>
      </w:divBdr>
    </w:div>
    <w:div w:id="455148599">
      <w:bodyDiv w:val="1"/>
      <w:marLeft w:val="0"/>
      <w:marRight w:val="0"/>
      <w:marTop w:val="0"/>
      <w:marBottom w:val="0"/>
      <w:divBdr>
        <w:top w:val="none" w:sz="0" w:space="0" w:color="auto"/>
        <w:left w:val="none" w:sz="0" w:space="0" w:color="auto"/>
        <w:bottom w:val="none" w:sz="0" w:space="0" w:color="auto"/>
        <w:right w:val="none" w:sz="0" w:space="0" w:color="auto"/>
      </w:divBdr>
    </w:div>
    <w:div w:id="460684918">
      <w:bodyDiv w:val="1"/>
      <w:marLeft w:val="0"/>
      <w:marRight w:val="0"/>
      <w:marTop w:val="0"/>
      <w:marBottom w:val="0"/>
      <w:divBdr>
        <w:top w:val="none" w:sz="0" w:space="0" w:color="auto"/>
        <w:left w:val="none" w:sz="0" w:space="0" w:color="auto"/>
        <w:bottom w:val="none" w:sz="0" w:space="0" w:color="auto"/>
        <w:right w:val="none" w:sz="0" w:space="0" w:color="auto"/>
      </w:divBdr>
    </w:div>
    <w:div w:id="507062094">
      <w:bodyDiv w:val="1"/>
      <w:marLeft w:val="0"/>
      <w:marRight w:val="0"/>
      <w:marTop w:val="0"/>
      <w:marBottom w:val="0"/>
      <w:divBdr>
        <w:top w:val="none" w:sz="0" w:space="0" w:color="auto"/>
        <w:left w:val="none" w:sz="0" w:space="0" w:color="auto"/>
        <w:bottom w:val="none" w:sz="0" w:space="0" w:color="auto"/>
        <w:right w:val="none" w:sz="0" w:space="0" w:color="auto"/>
      </w:divBdr>
    </w:div>
    <w:div w:id="571433557">
      <w:bodyDiv w:val="1"/>
      <w:marLeft w:val="0"/>
      <w:marRight w:val="0"/>
      <w:marTop w:val="0"/>
      <w:marBottom w:val="0"/>
      <w:divBdr>
        <w:top w:val="none" w:sz="0" w:space="0" w:color="auto"/>
        <w:left w:val="none" w:sz="0" w:space="0" w:color="auto"/>
        <w:bottom w:val="none" w:sz="0" w:space="0" w:color="auto"/>
        <w:right w:val="none" w:sz="0" w:space="0" w:color="auto"/>
      </w:divBdr>
    </w:div>
    <w:div w:id="674386306">
      <w:bodyDiv w:val="1"/>
      <w:marLeft w:val="0"/>
      <w:marRight w:val="0"/>
      <w:marTop w:val="0"/>
      <w:marBottom w:val="0"/>
      <w:divBdr>
        <w:top w:val="none" w:sz="0" w:space="0" w:color="auto"/>
        <w:left w:val="none" w:sz="0" w:space="0" w:color="auto"/>
        <w:bottom w:val="none" w:sz="0" w:space="0" w:color="auto"/>
        <w:right w:val="none" w:sz="0" w:space="0" w:color="auto"/>
      </w:divBdr>
    </w:div>
    <w:div w:id="682054260">
      <w:bodyDiv w:val="1"/>
      <w:marLeft w:val="0"/>
      <w:marRight w:val="0"/>
      <w:marTop w:val="0"/>
      <w:marBottom w:val="0"/>
      <w:divBdr>
        <w:top w:val="none" w:sz="0" w:space="0" w:color="auto"/>
        <w:left w:val="none" w:sz="0" w:space="0" w:color="auto"/>
        <w:bottom w:val="none" w:sz="0" w:space="0" w:color="auto"/>
        <w:right w:val="none" w:sz="0" w:space="0" w:color="auto"/>
      </w:divBdr>
    </w:div>
    <w:div w:id="799809418">
      <w:bodyDiv w:val="1"/>
      <w:marLeft w:val="0"/>
      <w:marRight w:val="0"/>
      <w:marTop w:val="0"/>
      <w:marBottom w:val="0"/>
      <w:divBdr>
        <w:top w:val="none" w:sz="0" w:space="0" w:color="auto"/>
        <w:left w:val="none" w:sz="0" w:space="0" w:color="auto"/>
        <w:bottom w:val="none" w:sz="0" w:space="0" w:color="auto"/>
        <w:right w:val="none" w:sz="0" w:space="0" w:color="auto"/>
      </w:divBdr>
    </w:div>
    <w:div w:id="823549339">
      <w:bodyDiv w:val="1"/>
      <w:marLeft w:val="0"/>
      <w:marRight w:val="0"/>
      <w:marTop w:val="0"/>
      <w:marBottom w:val="0"/>
      <w:divBdr>
        <w:top w:val="none" w:sz="0" w:space="0" w:color="auto"/>
        <w:left w:val="none" w:sz="0" w:space="0" w:color="auto"/>
        <w:bottom w:val="none" w:sz="0" w:space="0" w:color="auto"/>
        <w:right w:val="none" w:sz="0" w:space="0" w:color="auto"/>
      </w:divBdr>
    </w:div>
    <w:div w:id="942767581">
      <w:bodyDiv w:val="1"/>
      <w:marLeft w:val="0"/>
      <w:marRight w:val="0"/>
      <w:marTop w:val="0"/>
      <w:marBottom w:val="0"/>
      <w:divBdr>
        <w:top w:val="none" w:sz="0" w:space="0" w:color="auto"/>
        <w:left w:val="none" w:sz="0" w:space="0" w:color="auto"/>
        <w:bottom w:val="none" w:sz="0" w:space="0" w:color="auto"/>
        <w:right w:val="none" w:sz="0" w:space="0" w:color="auto"/>
      </w:divBdr>
    </w:div>
    <w:div w:id="1099060832">
      <w:bodyDiv w:val="1"/>
      <w:marLeft w:val="0"/>
      <w:marRight w:val="0"/>
      <w:marTop w:val="0"/>
      <w:marBottom w:val="0"/>
      <w:divBdr>
        <w:top w:val="none" w:sz="0" w:space="0" w:color="auto"/>
        <w:left w:val="none" w:sz="0" w:space="0" w:color="auto"/>
        <w:bottom w:val="none" w:sz="0" w:space="0" w:color="auto"/>
        <w:right w:val="none" w:sz="0" w:space="0" w:color="auto"/>
      </w:divBdr>
    </w:div>
    <w:div w:id="1207715051">
      <w:bodyDiv w:val="1"/>
      <w:marLeft w:val="0"/>
      <w:marRight w:val="0"/>
      <w:marTop w:val="0"/>
      <w:marBottom w:val="0"/>
      <w:divBdr>
        <w:top w:val="none" w:sz="0" w:space="0" w:color="auto"/>
        <w:left w:val="none" w:sz="0" w:space="0" w:color="auto"/>
        <w:bottom w:val="none" w:sz="0" w:space="0" w:color="auto"/>
        <w:right w:val="none" w:sz="0" w:space="0" w:color="auto"/>
      </w:divBdr>
    </w:div>
    <w:div w:id="1214077932">
      <w:bodyDiv w:val="1"/>
      <w:marLeft w:val="0"/>
      <w:marRight w:val="0"/>
      <w:marTop w:val="0"/>
      <w:marBottom w:val="0"/>
      <w:divBdr>
        <w:top w:val="none" w:sz="0" w:space="0" w:color="auto"/>
        <w:left w:val="none" w:sz="0" w:space="0" w:color="auto"/>
        <w:bottom w:val="none" w:sz="0" w:space="0" w:color="auto"/>
        <w:right w:val="none" w:sz="0" w:space="0" w:color="auto"/>
      </w:divBdr>
    </w:div>
    <w:div w:id="1230769963">
      <w:bodyDiv w:val="1"/>
      <w:marLeft w:val="0"/>
      <w:marRight w:val="0"/>
      <w:marTop w:val="0"/>
      <w:marBottom w:val="0"/>
      <w:divBdr>
        <w:top w:val="none" w:sz="0" w:space="0" w:color="auto"/>
        <w:left w:val="none" w:sz="0" w:space="0" w:color="auto"/>
        <w:bottom w:val="none" w:sz="0" w:space="0" w:color="auto"/>
        <w:right w:val="none" w:sz="0" w:space="0" w:color="auto"/>
      </w:divBdr>
    </w:div>
    <w:div w:id="1318531465">
      <w:bodyDiv w:val="1"/>
      <w:marLeft w:val="0"/>
      <w:marRight w:val="0"/>
      <w:marTop w:val="0"/>
      <w:marBottom w:val="0"/>
      <w:divBdr>
        <w:top w:val="none" w:sz="0" w:space="0" w:color="auto"/>
        <w:left w:val="none" w:sz="0" w:space="0" w:color="auto"/>
        <w:bottom w:val="none" w:sz="0" w:space="0" w:color="auto"/>
        <w:right w:val="none" w:sz="0" w:space="0" w:color="auto"/>
      </w:divBdr>
    </w:div>
    <w:div w:id="1344089206">
      <w:bodyDiv w:val="1"/>
      <w:marLeft w:val="0"/>
      <w:marRight w:val="0"/>
      <w:marTop w:val="0"/>
      <w:marBottom w:val="0"/>
      <w:divBdr>
        <w:top w:val="none" w:sz="0" w:space="0" w:color="auto"/>
        <w:left w:val="none" w:sz="0" w:space="0" w:color="auto"/>
        <w:bottom w:val="none" w:sz="0" w:space="0" w:color="auto"/>
        <w:right w:val="none" w:sz="0" w:space="0" w:color="auto"/>
      </w:divBdr>
      <w:divsChild>
        <w:div w:id="222184417">
          <w:marLeft w:val="1166"/>
          <w:marRight w:val="0"/>
          <w:marTop w:val="0"/>
          <w:marBottom w:val="0"/>
          <w:divBdr>
            <w:top w:val="none" w:sz="0" w:space="0" w:color="auto"/>
            <w:left w:val="none" w:sz="0" w:space="0" w:color="auto"/>
            <w:bottom w:val="none" w:sz="0" w:space="0" w:color="auto"/>
            <w:right w:val="none" w:sz="0" w:space="0" w:color="auto"/>
          </w:divBdr>
        </w:div>
        <w:div w:id="441189456">
          <w:marLeft w:val="1166"/>
          <w:marRight w:val="0"/>
          <w:marTop w:val="0"/>
          <w:marBottom w:val="0"/>
          <w:divBdr>
            <w:top w:val="none" w:sz="0" w:space="0" w:color="auto"/>
            <w:left w:val="none" w:sz="0" w:space="0" w:color="auto"/>
            <w:bottom w:val="none" w:sz="0" w:space="0" w:color="auto"/>
            <w:right w:val="none" w:sz="0" w:space="0" w:color="auto"/>
          </w:divBdr>
        </w:div>
        <w:div w:id="794906597">
          <w:marLeft w:val="547"/>
          <w:marRight w:val="0"/>
          <w:marTop w:val="0"/>
          <w:marBottom w:val="0"/>
          <w:divBdr>
            <w:top w:val="none" w:sz="0" w:space="0" w:color="auto"/>
            <w:left w:val="none" w:sz="0" w:space="0" w:color="auto"/>
            <w:bottom w:val="none" w:sz="0" w:space="0" w:color="auto"/>
            <w:right w:val="none" w:sz="0" w:space="0" w:color="auto"/>
          </w:divBdr>
        </w:div>
        <w:div w:id="899093334">
          <w:marLeft w:val="1166"/>
          <w:marRight w:val="0"/>
          <w:marTop w:val="0"/>
          <w:marBottom w:val="0"/>
          <w:divBdr>
            <w:top w:val="none" w:sz="0" w:space="0" w:color="auto"/>
            <w:left w:val="none" w:sz="0" w:space="0" w:color="auto"/>
            <w:bottom w:val="none" w:sz="0" w:space="0" w:color="auto"/>
            <w:right w:val="none" w:sz="0" w:space="0" w:color="auto"/>
          </w:divBdr>
        </w:div>
        <w:div w:id="1800537807">
          <w:marLeft w:val="1166"/>
          <w:marRight w:val="0"/>
          <w:marTop w:val="0"/>
          <w:marBottom w:val="0"/>
          <w:divBdr>
            <w:top w:val="none" w:sz="0" w:space="0" w:color="auto"/>
            <w:left w:val="none" w:sz="0" w:space="0" w:color="auto"/>
            <w:bottom w:val="none" w:sz="0" w:space="0" w:color="auto"/>
            <w:right w:val="none" w:sz="0" w:space="0" w:color="auto"/>
          </w:divBdr>
        </w:div>
      </w:divsChild>
    </w:div>
    <w:div w:id="1352100220">
      <w:bodyDiv w:val="1"/>
      <w:marLeft w:val="0"/>
      <w:marRight w:val="0"/>
      <w:marTop w:val="0"/>
      <w:marBottom w:val="0"/>
      <w:divBdr>
        <w:top w:val="none" w:sz="0" w:space="0" w:color="auto"/>
        <w:left w:val="none" w:sz="0" w:space="0" w:color="auto"/>
        <w:bottom w:val="none" w:sz="0" w:space="0" w:color="auto"/>
        <w:right w:val="none" w:sz="0" w:space="0" w:color="auto"/>
      </w:divBdr>
    </w:div>
    <w:div w:id="1463499670">
      <w:bodyDiv w:val="1"/>
      <w:marLeft w:val="0"/>
      <w:marRight w:val="0"/>
      <w:marTop w:val="0"/>
      <w:marBottom w:val="0"/>
      <w:divBdr>
        <w:top w:val="none" w:sz="0" w:space="0" w:color="auto"/>
        <w:left w:val="none" w:sz="0" w:space="0" w:color="auto"/>
        <w:bottom w:val="none" w:sz="0" w:space="0" w:color="auto"/>
        <w:right w:val="none" w:sz="0" w:space="0" w:color="auto"/>
      </w:divBdr>
    </w:div>
    <w:div w:id="1468624107">
      <w:bodyDiv w:val="1"/>
      <w:marLeft w:val="0"/>
      <w:marRight w:val="0"/>
      <w:marTop w:val="0"/>
      <w:marBottom w:val="0"/>
      <w:divBdr>
        <w:top w:val="none" w:sz="0" w:space="0" w:color="auto"/>
        <w:left w:val="none" w:sz="0" w:space="0" w:color="auto"/>
        <w:bottom w:val="none" w:sz="0" w:space="0" w:color="auto"/>
        <w:right w:val="none" w:sz="0" w:space="0" w:color="auto"/>
      </w:divBdr>
    </w:div>
    <w:div w:id="1738554406">
      <w:bodyDiv w:val="1"/>
      <w:marLeft w:val="0"/>
      <w:marRight w:val="0"/>
      <w:marTop w:val="0"/>
      <w:marBottom w:val="0"/>
      <w:divBdr>
        <w:top w:val="none" w:sz="0" w:space="0" w:color="auto"/>
        <w:left w:val="none" w:sz="0" w:space="0" w:color="auto"/>
        <w:bottom w:val="none" w:sz="0" w:space="0" w:color="auto"/>
        <w:right w:val="none" w:sz="0" w:space="0" w:color="auto"/>
      </w:divBdr>
    </w:div>
    <w:div w:id="1761216389">
      <w:bodyDiv w:val="1"/>
      <w:marLeft w:val="0"/>
      <w:marRight w:val="0"/>
      <w:marTop w:val="0"/>
      <w:marBottom w:val="0"/>
      <w:divBdr>
        <w:top w:val="none" w:sz="0" w:space="0" w:color="auto"/>
        <w:left w:val="none" w:sz="0" w:space="0" w:color="auto"/>
        <w:bottom w:val="none" w:sz="0" w:space="0" w:color="auto"/>
        <w:right w:val="none" w:sz="0" w:space="0" w:color="auto"/>
      </w:divBdr>
    </w:div>
    <w:div w:id="1844541374">
      <w:bodyDiv w:val="1"/>
      <w:marLeft w:val="0"/>
      <w:marRight w:val="0"/>
      <w:marTop w:val="0"/>
      <w:marBottom w:val="0"/>
      <w:divBdr>
        <w:top w:val="none" w:sz="0" w:space="0" w:color="auto"/>
        <w:left w:val="none" w:sz="0" w:space="0" w:color="auto"/>
        <w:bottom w:val="none" w:sz="0" w:space="0" w:color="auto"/>
        <w:right w:val="none" w:sz="0" w:space="0" w:color="auto"/>
      </w:divBdr>
    </w:div>
    <w:div w:id="1887058400">
      <w:bodyDiv w:val="1"/>
      <w:marLeft w:val="0"/>
      <w:marRight w:val="0"/>
      <w:marTop w:val="0"/>
      <w:marBottom w:val="0"/>
      <w:divBdr>
        <w:top w:val="none" w:sz="0" w:space="0" w:color="auto"/>
        <w:left w:val="none" w:sz="0" w:space="0" w:color="auto"/>
        <w:bottom w:val="none" w:sz="0" w:space="0" w:color="auto"/>
        <w:right w:val="none" w:sz="0" w:space="0" w:color="auto"/>
      </w:divBdr>
    </w:div>
    <w:div w:id="1906528213">
      <w:bodyDiv w:val="1"/>
      <w:marLeft w:val="0"/>
      <w:marRight w:val="0"/>
      <w:marTop w:val="0"/>
      <w:marBottom w:val="0"/>
      <w:divBdr>
        <w:top w:val="none" w:sz="0" w:space="0" w:color="auto"/>
        <w:left w:val="none" w:sz="0" w:space="0" w:color="auto"/>
        <w:bottom w:val="none" w:sz="0" w:space="0" w:color="auto"/>
        <w:right w:val="none" w:sz="0" w:space="0" w:color="auto"/>
      </w:divBdr>
    </w:div>
    <w:div w:id="1928684319">
      <w:bodyDiv w:val="1"/>
      <w:marLeft w:val="0"/>
      <w:marRight w:val="0"/>
      <w:marTop w:val="0"/>
      <w:marBottom w:val="0"/>
      <w:divBdr>
        <w:top w:val="none" w:sz="0" w:space="0" w:color="auto"/>
        <w:left w:val="none" w:sz="0" w:space="0" w:color="auto"/>
        <w:bottom w:val="none" w:sz="0" w:space="0" w:color="auto"/>
        <w:right w:val="none" w:sz="0" w:space="0" w:color="auto"/>
      </w:divBdr>
    </w:div>
    <w:div w:id="2061204878">
      <w:bodyDiv w:val="1"/>
      <w:marLeft w:val="0"/>
      <w:marRight w:val="0"/>
      <w:marTop w:val="0"/>
      <w:marBottom w:val="0"/>
      <w:divBdr>
        <w:top w:val="none" w:sz="0" w:space="0" w:color="auto"/>
        <w:left w:val="none" w:sz="0" w:space="0" w:color="auto"/>
        <w:bottom w:val="none" w:sz="0" w:space="0" w:color="auto"/>
        <w:right w:val="none" w:sz="0" w:space="0" w:color="auto"/>
      </w:divBdr>
    </w:div>
    <w:div w:id="2069910568">
      <w:bodyDiv w:val="1"/>
      <w:marLeft w:val="0"/>
      <w:marRight w:val="0"/>
      <w:marTop w:val="0"/>
      <w:marBottom w:val="0"/>
      <w:divBdr>
        <w:top w:val="none" w:sz="0" w:space="0" w:color="auto"/>
        <w:left w:val="none" w:sz="0" w:space="0" w:color="auto"/>
        <w:bottom w:val="none" w:sz="0" w:space="0" w:color="auto"/>
        <w:right w:val="none" w:sz="0" w:space="0" w:color="auto"/>
      </w:divBdr>
    </w:div>
    <w:div w:id="2101557149">
      <w:bodyDiv w:val="1"/>
      <w:marLeft w:val="0"/>
      <w:marRight w:val="0"/>
      <w:marTop w:val="0"/>
      <w:marBottom w:val="0"/>
      <w:divBdr>
        <w:top w:val="none" w:sz="0" w:space="0" w:color="auto"/>
        <w:left w:val="none" w:sz="0" w:space="0" w:color="auto"/>
        <w:bottom w:val="none" w:sz="0" w:space="0" w:color="auto"/>
        <w:right w:val="none" w:sz="0" w:space="0" w:color="auto"/>
      </w:divBdr>
    </w:div>
    <w:div w:id="214526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diagramQuickStyle" Target="diagrams/quickStyle2.xml"/><Relationship Id="rId68" Type="http://schemas.openxmlformats.org/officeDocument/2006/relationships/diagramLayout" Target="diagrams/layout3.xml"/><Relationship Id="rId76" Type="http://schemas.openxmlformats.org/officeDocument/2006/relationships/image" Target="media/image47.emf"/><Relationship Id="rId84" Type="http://schemas.openxmlformats.org/officeDocument/2006/relationships/image" Target="media/image55.emf"/><Relationship Id="rId89" Type="http://schemas.openxmlformats.org/officeDocument/2006/relationships/image" Target="media/image60.png"/><Relationship Id="rId97"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3.xml"/><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emf"/><Relationship Id="rId11" Type="http://schemas.openxmlformats.org/officeDocument/2006/relationships/hyperlink" Target="http://www.msac.gov.au/" TargetMode="Externa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diagramQuickStyle" Target="diagrams/quickStyle1.xml"/><Relationship Id="rId66" Type="http://schemas.openxmlformats.org/officeDocument/2006/relationships/image" Target="media/image42.emf"/><Relationship Id="rId74" Type="http://schemas.openxmlformats.org/officeDocument/2006/relationships/image" Target="media/image45.png"/><Relationship Id="rId79" Type="http://schemas.openxmlformats.org/officeDocument/2006/relationships/image" Target="media/image50.emf"/><Relationship Id="rId87"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diagramData" Target="diagrams/data2.xml"/><Relationship Id="rId82" Type="http://schemas.openxmlformats.org/officeDocument/2006/relationships/image" Target="media/image53.emf"/><Relationship Id="rId90" Type="http://schemas.openxmlformats.org/officeDocument/2006/relationships/image" Target="media/image61.png"/><Relationship Id="rId95" Type="http://schemas.openxmlformats.org/officeDocument/2006/relationships/hyperlink" Target="http://www.anzspm.org.au/c/anzspm?a=sendfile&amp;ft=p&amp;fid=1320262441&amp;sid=" TargetMode="External"/><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diagramQuickStyle" Target="diagrams/quickStyle3.xml"/><Relationship Id="rId77"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6.emf"/><Relationship Id="rId93" Type="http://schemas.openxmlformats.org/officeDocument/2006/relationships/image" Target="media/image64.png"/><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diagramColors" Target="diagrams/colors1.xml"/><Relationship Id="rId67" Type="http://schemas.openxmlformats.org/officeDocument/2006/relationships/diagramData" Target="diagrams/data3.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diagramLayout" Target="diagrams/layout2.xml"/><Relationship Id="rId70" Type="http://schemas.openxmlformats.org/officeDocument/2006/relationships/diagramColors" Target="diagrams/colors3.xml"/><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diagramLayout" Target="diagrams/layout1.xml"/><Relationship Id="rId10" Type="http://schemas.openxmlformats.org/officeDocument/2006/relationships/hyperlink" Target="mailto:copyright@health.gov.au" TargetMode="Externa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microsoft.com/office/2007/relationships/diagramDrawing" Target="diagrams/drawing1.xml"/><Relationship Id="rId65" Type="http://schemas.microsoft.com/office/2007/relationships/diagramDrawing" Target="diagrams/drawing2.xml"/><Relationship Id="rId73" Type="http://schemas.openxmlformats.org/officeDocument/2006/relationships/image" Target="media/image44.png"/><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png"/><Relationship Id="rId94"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www.anzspm.org.au/c/anzspm?a=sendfile&amp;ft=p&amp;fid=1320262441&amp;s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D89CE507-51E1-5841-A3A5-2F6D16AAB54A}">
      <dgm:prSet phldrT="[Text]" custT="1"/>
      <dgm:spPr/>
      <dgm:t>
        <a:bodyPr/>
        <a:lstStyle/>
        <a:p>
          <a:pPr algn="ctr"/>
          <a:r>
            <a:rPr lang="en-US" sz="1100" b="1"/>
            <a:t>2 x Referred Items for patient assessment from EITHER</a:t>
          </a:r>
        </a:p>
      </dgm:t>
    </dgm:pt>
    <dgm:pt modelId="{D971A121-AFF0-F84B-BFEA-DBD96902DA12}" type="parTrans" cxnId="{4CB901BB-6029-4D4A-A480-A759D1DA34ED}">
      <dgm:prSet/>
      <dgm:spPr/>
      <dgm:t>
        <a:bodyPr/>
        <a:lstStyle/>
        <a:p>
          <a:pPr algn="ctr"/>
          <a:endParaRPr lang="en-US" sz="1100"/>
        </a:p>
      </dgm:t>
    </dgm:pt>
    <dgm:pt modelId="{3CF9AFE8-21D5-3E4D-B3B3-AA8F0F7C096E}" type="sibTrans" cxnId="{4CB901BB-6029-4D4A-A480-A759D1DA34ED}">
      <dgm:prSet/>
      <dgm:spPr/>
      <dgm:t>
        <a:bodyPr/>
        <a:lstStyle/>
        <a:p>
          <a:pPr algn="ctr"/>
          <a:endParaRPr lang="en-US" sz="1100"/>
        </a:p>
      </dgm:t>
    </dgm:pt>
    <dgm:pt modelId="{75D8344C-38E1-F447-9538-B473EE28F794}">
      <dgm:prSet phldrT="[Text]" custT="1"/>
      <dgm:spPr/>
      <dgm:t>
        <a:bodyPr/>
        <a:lstStyle/>
        <a:p>
          <a:pPr algn="ctr"/>
          <a:r>
            <a:rPr lang="en-US" sz="1100" b="1"/>
            <a:t>1 Complex treatment and management plan</a:t>
          </a:r>
        </a:p>
      </dgm:t>
    </dgm:pt>
    <dgm:pt modelId="{279CCF87-C7AA-2C4F-BA2A-F3BFB3B33C99}" type="parTrans" cxnId="{E5122C78-8A64-4D48-A37B-033AAF0354B0}">
      <dgm:prSet/>
      <dgm:spPr/>
      <dgm:t>
        <a:bodyPr/>
        <a:lstStyle/>
        <a:p>
          <a:endParaRPr lang="en-US" sz="1100"/>
        </a:p>
      </dgm:t>
    </dgm:pt>
    <dgm:pt modelId="{24E7FD05-8A17-4C4C-A737-CA12855583EA}" type="sibTrans" cxnId="{E5122C78-8A64-4D48-A37B-033AAF0354B0}">
      <dgm:prSet/>
      <dgm:spPr/>
      <dgm:t>
        <a:bodyPr/>
        <a:lstStyle/>
        <a:p>
          <a:endParaRPr lang="en-US" sz="1100"/>
        </a:p>
      </dgm:t>
    </dgm:pt>
    <dgm:pt modelId="{58F215C3-AE08-224B-B5B0-091CD4EBE934}">
      <dgm:prSet phldrT="[Text]" custT="1"/>
      <dgm:spPr/>
      <dgm:t>
        <a:bodyPr/>
        <a:lstStyle/>
        <a:p>
          <a:pPr algn="ctr"/>
          <a:r>
            <a:rPr lang="en-US" sz="1100" b="1"/>
            <a:t>AND 1 (existing) professional attendance item</a:t>
          </a:r>
        </a:p>
      </dgm:t>
    </dgm:pt>
    <dgm:pt modelId="{26EB3FEA-BE8F-A041-9529-6570CD25090E}" type="parTrans" cxnId="{C398556F-B872-4447-9AF0-B9F325DAFB77}">
      <dgm:prSet/>
      <dgm:spPr/>
      <dgm:t>
        <a:bodyPr/>
        <a:lstStyle/>
        <a:p>
          <a:endParaRPr lang="en-US" sz="1100"/>
        </a:p>
      </dgm:t>
    </dgm:pt>
    <dgm:pt modelId="{89203A16-76B6-F547-BFBD-3C090C039229}" type="sibTrans" cxnId="{C398556F-B872-4447-9AF0-B9F325DAFB77}">
      <dgm:prSet/>
      <dgm:spPr/>
      <dgm:t>
        <a:bodyPr/>
        <a:lstStyle/>
        <a:p>
          <a:endParaRPr lang="en-US" sz="1100"/>
        </a:p>
      </dgm:t>
    </dgm:pt>
    <dgm:pt modelId="{C9D4F622-BE34-4C47-B440-7959993B2959}">
      <dgm:prSet phldrT="[Text]" custT="1"/>
      <dgm:spPr/>
      <dgm:t>
        <a:bodyPr/>
        <a:lstStyle/>
        <a:p>
          <a:pPr algn="ctr">
            <a:lnSpc>
              <a:spcPct val="100000"/>
            </a:lnSpc>
            <a:spcAft>
              <a:spcPts val="0"/>
            </a:spcAft>
          </a:pPr>
          <a:r>
            <a:rPr lang="en-US" sz="1100" b="0" i="1"/>
            <a:t>1 x MBS 3005</a:t>
          </a:r>
        </a:p>
        <a:p>
          <a:pPr algn="ctr">
            <a:lnSpc>
              <a:spcPct val="100000"/>
            </a:lnSpc>
            <a:spcAft>
              <a:spcPts val="0"/>
            </a:spcAft>
          </a:pPr>
          <a:r>
            <a:rPr lang="en-US" sz="1100" b="0" i="1"/>
            <a:t>($150.90)</a:t>
          </a:r>
        </a:p>
        <a:p>
          <a:pPr algn="ctr">
            <a:lnSpc>
              <a:spcPct val="100000"/>
            </a:lnSpc>
            <a:spcAft>
              <a:spcPts val="0"/>
            </a:spcAft>
          </a:pPr>
          <a:r>
            <a:rPr lang="en-US" sz="800" b="0" i="1"/>
            <a:t>85% ($128.30)</a:t>
          </a:r>
        </a:p>
        <a:p>
          <a:pPr algn="ctr">
            <a:lnSpc>
              <a:spcPct val="100000"/>
            </a:lnSpc>
            <a:spcAft>
              <a:spcPts val="0"/>
            </a:spcAft>
          </a:pPr>
          <a:r>
            <a:rPr lang="en-US" sz="800" b="0" i="1"/>
            <a:t>75% (113.20)</a:t>
          </a:r>
        </a:p>
      </dgm:t>
    </dgm:pt>
    <dgm:pt modelId="{5830E825-8BFA-4A42-BFB6-3699C1194CBA}" type="parTrans" cxnId="{6F57B1C1-79AE-3048-BEA7-7B6766F0AFCE}">
      <dgm:prSet/>
      <dgm:spPr/>
      <dgm:t>
        <a:bodyPr/>
        <a:lstStyle/>
        <a:p>
          <a:endParaRPr lang="en-US" sz="1100"/>
        </a:p>
      </dgm:t>
    </dgm:pt>
    <dgm:pt modelId="{A78B22ED-F3A6-734D-891B-21DA42BE1013}" type="sibTrans" cxnId="{6F57B1C1-79AE-3048-BEA7-7B6766F0AFCE}">
      <dgm:prSet/>
      <dgm:spPr/>
      <dgm:t>
        <a:bodyPr/>
        <a:lstStyle/>
        <a:p>
          <a:endParaRPr lang="en-US" sz="1100"/>
        </a:p>
      </dgm:t>
    </dgm:pt>
    <dgm:pt modelId="{CF490BD8-133C-7E4C-9E22-33C3D8CB4CFD}">
      <dgm:prSet phldrT="[Text]" custT="1"/>
      <dgm:spPr/>
      <dgm:t>
        <a:bodyPr/>
        <a:lstStyle/>
        <a:p>
          <a:pPr algn="ctr">
            <a:lnSpc>
              <a:spcPct val="100000"/>
            </a:lnSpc>
            <a:spcAft>
              <a:spcPts val="0"/>
            </a:spcAft>
          </a:pPr>
          <a:r>
            <a:rPr lang="en-US" sz="1100" b="0" i="1"/>
            <a:t>1 x MBS 132 </a:t>
          </a:r>
        </a:p>
        <a:p>
          <a:pPr algn="ctr">
            <a:lnSpc>
              <a:spcPct val="100000"/>
            </a:lnSpc>
            <a:spcAft>
              <a:spcPts val="0"/>
            </a:spcAft>
          </a:pPr>
          <a:r>
            <a:rPr lang="en-US" sz="1100" b="0" i="1"/>
            <a:t>($263.90)</a:t>
          </a:r>
        </a:p>
        <a:p>
          <a:pPr algn="ctr">
            <a:lnSpc>
              <a:spcPct val="100000"/>
            </a:lnSpc>
            <a:spcAft>
              <a:spcPts val="0"/>
            </a:spcAft>
          </a:pPr>
          <a:r>
            <a:rPr lang="en-US" sz="800" b="0" i="1" baseline="0"/>
            <a:t>85% ($224.35)</a:t>
          </a:r>
        </a:p>
        <a:p>
          <a:pPr algn="ctr">
            <a:lnSpc>
              <a:spcPct val="100000"/>
            </a:lnSpc>
            <a:spcAft>
              <a:spcPts val="0"/>
            </a:spcAft>
          </a:pPr>
          <a:r>
            <a:rPr lang="en-US" sz="800" b="0" i="1" baseline="0"/>
            <a:t>75% (197.95)</a:t>
          </a:r>
        </a:p>
      </dgm:t>
    </dgm:pt>
    <dgm:pt modelId="{9B8718AE-76F6-3345-86F8-A1A694C3B80D}" type="parTrans" cxnId="{CB16F8B7-B203-004E-A9A5-9BBCE32CFE3D}">
      <dgm:prSet/>
      <dgm:spPr/>
      <dgm:t>
        <a:bodyPr/>
        <a:lstStyle/>
        <a:p>
          <a:endParaRPr lang="en-US" sz="1100"/>
        </a:p>
      </dgm:t>
    </dgm:pt>
    <dgm:pt modelId="{24A8DC6E-C9B5-9249-99EE-4991FB3F728A}" type="sibTrans" cxnId="{CB16F8B7-B203-004E-A9A5-9BBCE32CFE3D}">
      <dgm:prSet/>
      <dgm:spPr/>
      <dgm:t>
        <a:bodyPr/>
        <a:lstStyle/>
        <a:p>
          <a:endParaRPr lang="en-US" sz="1100"/>
        </a:p>
      </dgm:t>
    </dgm:pt>
    <dgm:pt modelId="{09212EB0-91FC-B84A-BA1D-DFA44908B318}">
      <dgm:prSet phldrT="[Text]" custT="1"/>
      <dgm:spPr/>
      <dgm:t>
        <a:bodyPr/>
        <a:lstStyle/>
        <a:p>
          <a:pPr algn="ctr"/>
          <a:r>
            <a:rPr lang="en-US" sz="1100" b="1" i="1" u="none">
              <a:solidFill>
                <a:srgbClr val="FF0000"/>
              </a:solidFill>
            </a:rPr>
            <a:t>OR</a:t>
          </a:r>
          <a:r>
            <a:rPr lang="en-US" sz="1100" b="1" i="0"/>
            <a:t> </a:t>
          </a:r>
          <a:r>
            <a:rPr lang="en-US" sz="1100" b="1" i="0">
              <a:solidFill>
                <a:srgbClr val="7F7F7F"/>
              </a:solidFill>
            </a:rPr>
            <a:t>No complex treatment and management planning </a:t>
          </a:r>
          <a:r>
            <a:rPr lang="en-US" sz="1100" b="1" i="0">
              <a:solidFill>
                <a:schemeClr val="tx1"/>
              </a:solidFill>
            </a:rPr>
            <a:t>2 x (existing) professional attendances</a:t>
          </a:r>
        </a:p>
      </dgm:t>
    </dgm:pt>
    <dgm:pt modelId="{E321D8F6-19F5-F747-B840-BD514ECA9464}" type="parTrans" cxnId="{E4B326D4-77DD-6045-9BC4-B353FB8461C3}">
      <dgm:prSet/>
      <dgm:spPr/>
      <dgm:t>
        <a:bodyPr/>
        <a:lstStyle/>
        <a:p>
          <a:endParaRPr lang="en-US"/>
        </a:p>
      </dgm:t>
    </dgm:pt>
    <dgm:pt modelId="{EB6AD21D-9CC3-5B4A-AB0F-F1497F06B764}" type="sibTrans" cxnId="{E4B326D4-77DD-6045-9BC4-B353FB8461C3}">
      <dgm:prSet/>
      <dgm:spPr/>
      <dgm:t>
        <a:bodyPr/>
        <a:lstStyle/>
        <a:p>
          <a:endParaRPr lang="en-US"/>
        </a:p>
      </dgm:t>
    </dgm:pt>
    <dgm:pt modelId="{6523A319-B4A0-0241-88CD-A60CA6EDBC13}">
      <dgm:prSet phldrT="[Text]" custT="1"/>
      <dgm:spPr/>
      <dgm:t>
        <a:bodyPr/>
        <a:lstStyle/>
        <a:p>
          <a:pPr algn="ctr">
            <a:lnSpc>
              <a:spcPct val="100000"/>
            </a:lnSpc>
            <a:spcAft>
              <a:spcPts val="0"/>
            </a:spcAft>
          </a:pPr>
          <a:r>
            <a:rPr lang="en-US" sz="1100" b="0" i="1">
              <a:solidFill>
                <a:srgbClr val="7F7F7F"/>
              </a:solidFill>
            </a:rPr>
            <a:t>2 x MBS 3005</a:t>
          </a:r>
        </a:p>
        <a:p>
          <a:pPr algn="ctr">
            <a:lnSpc>
              <a:spcPct val="100000"/>
            </a:lnSpc>
            <a:spcAft>
              <a:spcPts val="0"/>
            </a:spcAft>
          </a:pPr>
          <a:r>
            <a:rPr lang="en-US" sz="1100" b="0" i="1">
              <a:solidFill>
                <a:srgbClr val="7F7F7F"/>
              </a:solidFill>
            </a:rPr>
            <a:t>($150.90)</a:t>
          </a:r>
        </a:p>
        <a:p>
          <a:pPr algn="ctr">
            <a:lnSpc>
              <a:spcPct val="100000"/>
            </a:lnSpc>
            <a:spcAft>
              <a:spcPts val="0"/>
            </a:spcAft>
          </a:pPr>
          <a:r>
            <a:rPr lang="en-US" sz="800" b="0" i="1"/>
            <a:t>85% ($128.30)</a:t>
          </a:r>
        </a:p>
        <a:p>
          <a:pPr algn="ctr">
            <a:lnSpc>
              <a:spcPct val="100000"/>
            </a:lnSpc>
            <a:spcAft>
              <a:spcPts val="0"/>
            </a:spcAft>
          </a:pPr>
          <a:r>
            <a:rPr lang="en-US" sz="800" b="0" i="1">
              <a:solidFill>
                <a:sysClr val="windowText" lastClr="000000"/>
              </a:solidFill>
            </a:rPr>
            <a:t>75% ($113.20)</a:t>
          </a:r>
          <a:endParaRPr lang="en-US" sz="800" b="0" i="0">
            <a:solidFill>
              <a:sysClr val="windowText" lastClr="000000"/>
            </a:solidFill>
          </a:endParaRPr>
        </a:p>
      </dgm:t>
    </dgm:pt>
    <dgm:pt modelId="{F6285724-50BD-4E46-9C3F-8460D606B25D}" type="parTrans" cxnId="{D63F7199-8B30-7245-9F4E-96BDACF6D2D9}">
      <dgm:prSet/>
      <dgm:spPr/>
      <dgm:t>
        <a:bodyPr/>
        <a:lstStyle/>
        <a:p>
          <a:endParaRPr lang="en-US"/>
        </a:p>
      </dgm:t>
    </dgm:pt>
    <dgm:pt modelId="{B8A961A7-119B-204B-B348-7F51FAE0B844}" type="sibTrans" cxnId="{D63F7199-8B30-7245-9F4E-96BDACF6D2D9}">
      <dgm:prSet/>
      <dgm:spPr/>
      <dgm:t>
        <a:bodyPr/>
        <a:lstStyle/>
        <a:p>
          <a:endParaRPr lang="en-US"/>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7092FAB6-76D4-944C-93D6-719C195D4A91}" type="pres">
      <dgm:prSet presAssocID="{D89CE507-51E1-5841-A3A5-2F6D16AAB54A}" presName="hierRoot1" presStyleCnt="0"/>
      <dgm:spPr/>
    </dgm:pt>
    <dgm:pt modelId="{214C517B-ADAA-BB40-952E-2968FBF0D0F8}" type="pres">
      <dgm:prSet presAssocID="{D89CE507-51E1-5841-A3A5-2F6D16AAB54A}" presName="composite" presStyleCnt="0"/>
      <dgm:spPr/>
    </dgm:pt>
    <dgm:pt modelId="{8A6BEEC9-1343-4F4B-8EB6-9ED18D585908}" type="pres">
      <dgm:prSet presAssocID="{D89CE507-51E1-5841-A3A5-2F6D16AAB54A}" presName="background" presStyleLbl="node0" presStyleIdx="0" presStyleCnt="1"/>
      <dgm:spPr/>
    </dgm:pt>
    <dgm:pt modelId="{2AE4C5FB-99FD-3746-A426-8B7B82B0ECF8}" type="pres">
      <dgm:prSet presAssocID="{D89CE507-51E1-5841-A3A5-2F6D16AAB54A}" presName="text" presStyleLbl="fgAcc0" presStyleIdx="0" presStyleCnt="1" custScaleX="222868">
        <dgm:presLayoutVars>
          <dgm:chPref val="3"/>
        </dgm:presLayoutVars>
      </dgm:prSet>
      <dgm:spPr/>
      <dgm:t>
        <a:bodyPr/>
        <a:lstStyle/>
        <a:p>
          <a:endParaRPr lang="en-US"/>
        </a:p>
      </dgm:t>
    </dgm:pt>
    <dgm:pt modelId="{66CAB671-81C6-384D-9BE1-7F71F6216632}" type="pres">
      <dgm:prSet presAssocID="{D89CE507-51E1-5841-A3A5-2F6D16AAB54A}" presName="hierChild2" presStyleCnt="0"/>
      <dgm:spPr/>
    </dgm:pt>
    <dgm:pt modelId="{39A2D233-EEF1-D249-9E6A-BA4BC5AE6323}" type="pres">
      <dgm:prSet presAssocID="{279CCF87-C7AA-2C4F-BA2A-F3BFB3B33C99}" presName="Name10" presStyleLbl="parChTrans1D2" presStyleIdx="0" presStyleCnt="3" custSzX="969793"/>
      <dgm:spPr/>
      <dgm:t>
        <a:bodyPr/>
        <a:lstStyle/>
        <a:p>
          <a:endParaRPr lang="en-US"/>
        </a:p>
      </dgm:t>
    </dgm:pt>
    <dgm:pt modelId="{E1A30828-CA73-6042-9590-E54A0F325F84}" type="pres">
      <dgm:prSet presAssocID="{75D8344C-38E1-F447-9538-B473EE28F794}" presName="hierRoot2" presStyleCnt="0"/>
      <dgm:spPr/>
    </dgm:pt>
    <dgm:pt modelId="{20532BD9-893C-FF4E-B128-577FFF7D4791}" type="pres">
      <dgm:prSet presAssocID="{75D8344C-38E1-F447-9538-B473EE28F794}" presName="composite2" presStyleCnt="0"/>
      <dgm:spPr/>
    </dgm:pt>
    <dgm:pt modelId="{B6247777-C52F-2A4D-B35E-65A25504D12A}" type="pres">
      <dgm:prSet presAssocID="{75D8344C-38E1-F447-9538-B473EE28F794}" presName="background2" presStyleLbl="node2" presStyleIdx="0" presStyleCnt="3"/>
      <dgm:spPr/>
    </dgm:pt>
    <dgm:pt modelId="{CCCCF486-59F8-D745-9825-46D66E0AEB8B}" type="pres">
      <dgm:prSet presAssocID="{75D8344C-38E1-F447-9538-B473EE28F794}" presName="text2" presStyleLbl="fgAcc2" presStyleIdx="0" presStyleCnt="3" custScaleX="223165" custScaleY="129408">
        <dgm:presLayoutVars>
          <dgm:chPref val="3"/>
        </dgm:presLayoutVars>
      </dgm:prSet>
      <dgm:spPr/>
      <dgm:t>
        <a:bodyPr/>
        <a:lstStyle/>
        <a:p>
          <a:endParaRPr lang="en-US"/>
        </a:p>
      </dgm:t>
    </dgm:pt>
    <dgm:pt modelId="{D08FE098-1381-964D-9C44-5C58F37F1DBC}" type="pres">
      <dgm:prSet presAssocID="{75D8344C-38E1-F447-9538-B473EE28F794}" presName="hierChild3" presStyleCnt="0"/>
      <dgm:spPr/>
    </dgm:pt>
    <dgm:pt modelId="{EC70C8AB-C671-4448-8321-706CAAC5F716}" type="pres">
      <dgm:prSet presAssocID="{9B8718AE-76F6-3345-86F8-A1A694C3B80D}" presName="Name17" presStyleLbl="parChTrans1D3" presStyleIdx="0" presStyleCnt="3" custSzX="117805"/>
      <dgm:spPr/>
      <dgm:t>
        <a:bodyPr/>
        <a:lstStyle/>
        <a:p>
          <a:endParaRPr lang="en-US"/>
        </a:p>
      </dgm:t>
    </dgm:pt>
    <dgm:pt modelId="{372A44FB-32B3-4941-9C5F-56698AFF12EC}" type="pres">
      <dgm:prSet presAssocID="{CF490BD8-133C-7E4C-9E22-33C3D8CB4CFD}" presName="hierRoot3" presStyleCnt="0"/>
      <dgm:spPr/>
    </dgm:pt>
    <dgm:pt modelId="{6E206DCD-8776-234B-9BD6-CA47B0B5AC03}" type="pres">
      <dgm:prSet presAssocID="{CF490BD8-133C-7E4C-9E22-33C3D8CB4CFD}" presName="composite3" presStyleCnt="0"/>
      <dgm:spPr/>
    </dgm:pt>
    <dgm:pt modelId="{7D031A81-3C79-E24E-9B61-A667317C7378}" type="pres">
      <dgm:prSet presAssocID="{CF490BD8-133C-7E4C-9E22-33C3D8CB4CFD}" presName="background3" presStyleLbl="node3" presStyleIdx="0" presStyleCnt="3"/>
      <dgm:spPr/>
    </dgm:pt>
    <dgm:pt modelId="{D231145B-628B-7145-B228-E5144462EFD2}" type="pres">
      <dgm:prSet presAssocID="{CF490BD8-133C-7E4C-9E22-33C3D8CB4CFD}" presName="text3" presStyleLbl="fgAcc3" presStyleIdx="0" presStyleCnt="3" custScaleX="219130" custScaleY="129408" custLinFactNeighborY="1">
        <dgm:presLayoutVars>
          <dgm:chPref val="3"/>
        </dgm:presLayoutVars>
      </dgm:prSet>
      <dgm:spPr/>
      <dgm:t>
        <a:bodyPr/>
        <a:lstStyle/>
        <a:p>
          <a:endParaRPr lang="en-US"/>
        </a:p>
      </dgm:t>
    </dgm:pt>
    <dgm:pt modelId="{25ACC479-740B-A840-B52C-A7A9316DE7A9}" type="pres">
      <dgm:prSet presAssocID="{CF490BD8-133C-7E4C-9E22-33C3D8CB4CFD}" presName="hierChild4" presStyleCnt="0"/>
      <dgm:spPr/>
    </dgm:pt>
    <dgm:pt modelId="{4A924054-80EA-A449-9724-38342A2168F5}" type="pres">
      <dgm:prSet presAssocID="{26EB3FEA-BE8F-A041-9529-6570CD25090E}" presName="Name10" presStyleLbl="parChTrans1D2" presStyleIdx="1" presStyleCnt="3" custSzX="969793"/>
      <dgm:spPr/>
      <dgm:t>
        <a:bodyPr/>
        <a:lstStyle/>
        <a:p>
          <a:endParaRPr lang="en-US"/>
        </a:p>
      </dgm:t>
    </dgm:pt>
    <dgm:pt modelId="{32E89013-3275-7A49-9D22-06234CE17495}" type="pres">
      <dgm:prSet presAssocID="{58F215C3-AE08-224B-B5B0-091CD4EBE934}" presName="hierRoot2" presStyleCnt="0"/>
      <dgm:spPr/>
    </dgm:pt>
    <dgm:pt modelId="{A0D28733-4F5F-D842-BF7A-E85F528DAABE}" type="pres">
      <dgm:prSet presAssocID="{58F215C3-AE08-224B-B5B0-091CD4EBE934}" presName="composite2" presStyleCnt="0"/>
      <dgm:spPr/>
    </dgm:pt>
    <dgm:pt modelId="{97A62F18-7A00-374E-8986-EDAC22F48AD6}" type="pres">
      <dgm:prSet presAssocID="{58F215C3-AE08-224B-B5B0-091CD4EBE934}" presName="background2" presStyleLbl="node2" presStyleIdx="1" presStyleCnt="3"/>
      <dgm:spPr/>
    </dgm:pt>
    <dgm:pt modelId="{DEE312E0-BF0E-2544-BF55-126502F3871B}" type="pres">
      <dgm:prSet presAssocID="{58F215C3-AE08-224B-B5B0-091CD4EBE934}" presName="text2" presStyleLbl="fgAcc2" presStyleIdx="1" presStyleCnt="3" custScaleX="223165" custScaleY="129408">
        <dgm:presLayoutVars>
          <dgm:chPref val="3"/>
        </dgm:presLayoutVars>
      </dgm:prSet>
      <dgm:spPr/>
      <dgm:t>
        <a:bodyPr/>
        <a:lstStyle/>
        <a:p>
          <a:endParaRPr lang="en-US"/>
        </a:p>
      </dgm:t>
    </dgm:pt>
    <dgm:pt modelId="{F8D2C834-B2B7-9B4C-93AC-7E33AF4EC4B8}" type="pres">
      <dgm:prSet presAssocID="{58F215C3-AE08-224B-B5B0-091CD4EBE934}" presName="hierChild3" presStyleCnt="0"/>
      <dgm:spPr/>
    </dgm:pt>
    <dgm:pt modelId="{98F67FA6-9FB1-5B43-B86A-7EEEA41F71AC}" type="pres">
      <dgm:prSet presAssocID="{5830E825-8BFA-4A42-BFB6-3699C1194CBA}" presName="Name17" presStyleLbl="parChTrans1D3" presStyleIdx="1" presStyleCnt="3" custSzX="117805"/>
      <dgm:spPr/>
      <dgm:t>
        <a:bodyPr/>
        <a:lstStyle/>
        <a:p>
          <a:endParaRPr lang="en-US"/>
        </a:p>
      </dgm:t>
    </dgm:pt>
    <dgm:pt modelId="{76E67972-EC17-B045-B855-711F7A301CCA}" type="pres">
      <dgm:prSet presAssocID="{C9D4F622-BE34-4C47-B440-7959993B2959}" presName="hierRoot3" presStyleCnt="0"/>
      <dgm:spPr/>
    </dgm:pt>
    <dgm:pt modelId="{5968D43B-8206-EB41-B144-34F49AABF1E5}" type="pres">
      <dgm:prSet presAssocID="{C9D4F622-BE34-4C47-B440-7959993B2959}" presName="composite3" presStyleCnt="0"/>
      <dgm:spPr/>
    </dgm:pt>
    <dgm:pt modelId="{E7AFA2AB-AD42-3849-B252-C1049F268CFA}" type="pres">
      <dgm:prSet presAssocID="{C9D4F622-BE34-4C47-B440-7959993B2959}" presName="background3" presStyleLbl="node3" presStyleIdx="1" presStyleCnt="3"/>
      <dgm:spPr/>
    </dgm:pt>
    <dgm:pt modelId="{EA36CA82-5AD9-0D41-AC08-7586BB839B98}" type="pres">
      <dgm:prSet presAssocID="{C9D4F622-BE34-4C47-B440-7959993B2959}" presName="text3" presStyleLbl="fgAcc3" presStyleIdx="1" presStyleCnt="3" custScaleX="219130" custScaleY="129408">
        <dgm:presLayoutVars>
          <dgm:chPref val="3"/>
        </dgm:presLayoutVars>
      </dgm:prSet>
      <dgm:spPr/>
      <dgm:t>
        <a:bodyPr/>
        <a:lstStyle/>
        <a:p>
          <a:endParaRPr lang="en-US"/>
        </a:p>
      </dgm:t>
    </dgm:pt>
    <dgm:pt modelId="{4607584D-6DA2-3F4F-9885-1F1474CFFF2D}" type="pres">
      <dgm:prSet presAssocID="{C9D4F622-BE34-4C47-B440-7959993B2959}" presName="hierChild4" presStyleCnt="0"/>
      <dgm:spPr/>
    </dgm:pt>
    <dgm:pt modelId="{77BC5945-E818-B344-8506-B95295C26F38}" type="pres">
      <dgm:prSet presAssocID="{E321D8F6-19F5-F747-B840-BD514ECA9464}" presName="Name10" presStyleLbl="parChTrans1D2" presStyleIdx="2" presStyleCnt="3"/>
      <dgm:spPr/>
      <dgm:t>
        <a:bodyPr/>
        <a:lstStyle/>
        <a:p>
          <a:endParaRPr lang="en-US"/>
        </a:p>
      </dgm:t>
    </dgm:pt>
    <dgm:pt modelId="{9875E1F7-9699-D540-BD83-3B9441465458}" type="pres">
      <dgm:prSet presAssocID="{09212EB0-91FC-B84A-BA1D-DFA44908B318}" presName="hierRoot2" presStyleCnt="0"/>
      <dgm:spPr/>
    </dgm:pt>
    <dgm:pt modelId="{BB0B1423-C468-3E40-B13B-7C3CB21BF4DA}" type="pres">
      <dgm:prSet presAssocID="{09212EB0-91FC-B84A-BA1D-DFA44908B318}" presName="composite2" presStyleCnt="0"/>
      <dgm:spPr/>
    </dgm:pt>
    <dgm:pt modelId="{B4B30BAE-4B4F-E04D-8A40-4735F4449F4E}" type="pres">
      <dgm:prSet presAssocID="{09212EB0-91FC-B84A-BA1D-DFA44908B318}" presName="background2" presStyleLbl="node2" presStyleIdx="2" presStyleCnt="3"/>
      <dgm:spPr/>
    </dgm:pt>
    <dgm:pt modelId="{1E34DCFA-A85C-EB41-B84B-E188D718DF2F}" type="pres">
      <dgm:prSet presAssocID="{09212EB0-91FC-B84A-BA1D-DFA44908B318}" presName="text2" presStyleLbl="fgAcc2" presStyleIdx="2" presStyleCnt="3" custScaleX="223165" custScaleY="129408">
        <dgm:presLayoutVars>
          <dgm:chPref val="3"/>
        </dgm:presLayoutVars>
      </dgm:prSet>
      <dgm:spPr/>
      <dgm:t>
        <a:bodyPr/>
        <a:lstStyle/>
        <a:p>
          <a:endParaRPr lang="en-US"/>
        </a:p>
      </dgm:t>
    </dgm:pt>
    <dgm:pt modelId="{1D5DBF7B-3A1C-034E-AB55-01A1E4BD361F}" type="pres">
      <dgm:prSet presAssocID="{09212EB0-91FC-B84A-BA1D-DFA44908B318}" presName="hierChild3" presStyleCnt="0"/>
      <dgm:spPr/>
    </dgm:pt>
    <dgm:pt modelId="{0BE35406-CADA-1247-8D9B-DB1E49B01D90}" type="pres">
      <dgm:prSet presAssocID="{F6285724-50BD-4E46-9C3F-8460D606B25D}" presName="Name17" presStyleLbl="parChTrans1D3" presStyleIdx="2" presStyleCnt="3"/>
      <dgm:spPr/>
      <dgm:t>
        <a:bodyPr/>
        <a:lstStyle/>
        <a:p>
          <a:endParaRPr lang="en-US"/>
        </a:p>
      </dgm:t>
    </dgm:pt>
    <dgm:pt modelId="{19BB108E-B2DA-7940-93DC-B38EB401B57B}" type="pres">
      <dgm:prSet presAssocID="{6523A319-B4A0-0241-88CD-A60CA6EDBC13}" presName="hierRoot3" presStyleCnt="0"/>
      <dgm:spPr/>
    </dgm:pt>
    <dgm:pt modelId="{5BDF9F77-8202-014F-B80A-856C731FBEF3}" type="pres">
      <dgm:prSet presAssocID="{6523A319-B4A0-0241-88CD-A60CA6EDBC13}" presName="composite3" presStyleCnt="0"/>
      <dgm:spPr/>
    </dgm:pt>
    <dgm:pt modelId="{FA8A2077-348A-E84D-9CB3-EAC7D4FC1A25}" type="pres">
      <dgm:prSet presAssocID="{6523A319-B4A0-0241-88CD-A60CA6EDBC13}" presName="background3" presStyleLbl="node3" presStyleIdx="2" presStyleCnt="3"/>
      <dgm:spPr/>
    </dgm:pt>
    <dgm:pt modelId="{8C57F56C-0010-5A40-BF36-8E4725E51055}" type="pres">
      <dgm:prSet presAssocID="{6523A319-B4A0-0241-88CD-A60CA6EDBC13}" presName="text3" presStyleLbl="fgAcc3" presStyleIdx="2" presStyleCnt="3" custScaleX="219130" custScaleY="129408">
        <dgm:presLayoutVars>
          <dgm:chPref val="3"/>
        </dgm:presLayoutVars>
      </dgm:prSet>
      <dgm:spPr/>
      <dgm:t>
        <a:bodyPr/>
        <a:lstStyle/>
        <a:p>
          <a:endParaRPr lang="en-US"/>
        </a:p>
      </dgm:t>
    </dgm:pt>
    <dgm:pt modelId="{2216C363-6A59-9148-B114-F3336F2696F3}" type="pres">
      <dgm:prSet presAssocID="{6523A319-B4A0-0241-88CD-A60CA6EDBC13}" presName="hierChild4" presStyleCnt="0"/>
      <dgm:spPr/>
    </dgm:pt>
  </dgm:ptLst>
  <dgm:cxnLst>
    <dgm:cxn modelId="{D63F7199-8B30-7245-9F4E-96BDACF6D2D9}" srcId="{09212EB0-91FC-B84A-BA1D-DFA44908B318}" destId="{6523A319-B4A0-0241-88CD-A60CA6EDBC13}" srcOrd="0" destOrd="0" parTransId="{F6285724-50BD-4E46-9C3F-8460D606B25D}" sibTransId="{B8A961A7-119B-204B-B348-7F51FAE0B844}"/>
    <dgm:cxn modelId="{4E644C97-490D-42AD-B79B-0A21AFBAFB0C}" type="presOf" srcId="{CF490BD8-133C-7E4C-9E22-33C3D8CB4CFD}" destId="{D231145B-628B-7145-B228-E5144462EFD2}" srcOrd="0" destOrd="0" presId="urn:microsoft.com/office/officeart/2005/8/layout/hierarchy1"/>
    <dgm:cxn modelId="{4CB901BB-6029-4D4A-A480-A759D1DA34ED}" srcId="{42E6C4B5-8A56-514D-9D10-12F50465C01E}" destId="{D89CE507-51E1-5841-A3A5-2F6D16AAB54A}" srcOrd="0" destOrd="0" parTransId="{D971A121-AFF0-F84B-BFEA-DBD96902DA12}" sibTransId="{3CF9AFE8-21D5-3E4D-B3B3-AA8F0F7C096E}"/>
    <dgm:cxn modelId="{409A0E85-2C49-46E1-BDB5-BD05819E53C5}" type="presOf" srcId="{6523A319-B4A0-0241-88CD-A60CA6EDBC13}" destId="{8C57F56C-0010-5A40-BF36-8E4725E51055}" srcOrd="0" destOrd="0" presId="urn:microsoft.com/office/officeart/2005/8/layout/hierarchy1"/>
    <dgm:cxn modelId="{E5122C78-8A64-4D48-A37B-033AAF0354B0}" srcId="{D89CE507-51E1-5841-A3A5-2F6D16AAB54A}" destId="{75D8344C-38E1-F447-9538-B473EE28F794}" srcOrd="0" destOrd="0" parTransId="{279CCF87-C7AA-2C4F-BA2A-F3BFB3B33C99}" sibTransId="{24E7FD05-8A17-4C4C-A737-CA12855583EA}"/>
    <dgm:cxn modelId="{6F57B1C1-79AE-3048-BEA7-7B6766F0AFCE}" srcId="{58F215C3-AE08-224B-B5B0-091CD4EBE934}" destId="{C9D4F622-BE34-4C47-B440-7959993B2959}" srcOrd="0" destOrd="0" parTransId="{5830E825-8BFA-4A42-BFB6-3699C1194CBA}" sibTransId="{A78B22ED-F3A6-734D-891B-21DA42BE1013}"/>
    <dgm:cxn modelId="{0FA1A060-4D26-4E17-B5FB-1E808368FF29}" type="presOf" srcId="{5830E825-8BFA-4A42-BFB6-3699C1194CBA}" destId="{98F67FA6-9FB1-5B43-B86A-7EEEA41F71AC}" srcOrd="0" destOrd="0" presId="urn:microsoft.com/office/officeart/2005/8/layout/hierarchy1"/>
    <dgm:cxn modelId="{49A0EC02-D3AC-4CF7-B71C-8A44D5C9C5FB}" type="presOf" srcId="{75D8344C-38E1-F447-9538-B473EE28F794}" destId="{CCCCF486-59F8-D745-9825-46D66E0AEB8B}" srcOrd="0" destOrd="0" presId="urn:microsoft.com/office/officeart/2005/8/layout/hierarchy1"/>
    <dgm:cxn modelId="{3F8416D5-208B-4313-9977-527E8D918DFC}" type="presOf" srcId="{42E6C4B5-8A56-514D-9D10-12F50465C01E}" destId="{1223D048-6377-0849-A74E-A44C69F627A7}" srcOrd="0" destOrd="0" presId="urn:microsoft.com/office/officeart/2005/8/layout/hierarchy1"/>
    <dgm:cxn modelId="{F9386492-B9A5-4CFB-BE59-B2A0B06C6258}" type="presOf" srcId="{E321D8F6-19F5-F747-B840-BD514ECA9464}" destId="{77BC5945-E818-B344-8506-B95295C26F38}" srcOrd="0" destOrd="0" presId="urn:microsoft.com/office/officeart/2005/8/layout/hierarchy1"/>
    <dgm:cxn modelId="{CB16F8B7-B203-004E-A9A5-9BBCE32CFE3D}" srcId="{75D8344C-38E1-F447-9538-B473EE28F794}" destId="{CF490BD8-133C-7E4C-9E22-33C3D8CB4CFD}" srcOrd="0" destOrd="0" parTransId="{9B8718AE-76F6-3345-86F8-A1A694C3B80D}" sibTransId="{24A8DC6E-C9B5-9249-99EE-4991FB3F728A}"/>
    <dgm:cxn modelId="{830A3548-1779-40B7-BD77-4BD7C4CCF70F}" type="presOf" srcId="{09212EB0-91FC-B84A-BA1D-DFA44908B318}" destId="{1E34DCFA-A85C-EB41-B84B-E188D718DF2F}" srcOrd="0" destOrd="0" presId="urn:microsoft.com/office/officeart/2005/8/layout/hierarchy1"/>
    <dgm:cxn modelId="{CF60499E-FDA1-4EF8-946C-088857EB8920}" type="presOf" srcId="{279CCF87-C7AA-2C4F-BA2A-F3BFB3B33C99}" destId="{39A2D233-EEF1-D249-9E6A-BA4BC5AE6323}" srcOrd="0" destOrd="0" presId="urn:microsoft.com/office/officeart/2005/8/layout/hierarchy1"/>
    <dgm:cxn modelId="{5DD364EB-DA4A-4485-8BE2-EAECE1A3C608}" type="presOf" srcId="{C9D4F622-BE34-4C47-B440-7959993B2959}" destId="{EA36CA82-5AD9-0D41-AC08-7586BB839B98}" srcOrd="0" destOrd="0" presId="urn:microsoft.com/office/officeart/2005/8/layout/hierarchy1"/>
    <dgm:cxn modelId="{C398556F-B872-4447-9AF0-B9F325DAFB77}" srcId="{D89CE507-51E1-5841-A3A5-2F6D16AAB54A}" destId="{58F215C3-AE08-224B-B5B0-091CD4EBE934}" srcOrd="1" destOrd="0" parTransId="{26EB3FEA-BE8F-A041-9529-6570CD25090E}" sibTransId="{89203A16-76B6-F547-BFBD-3C090C039229}"/>
    <dgm:cxn modelId="{0B751818-A04D-499A-AC43-9EFDF41D187F}" type="presOf" srcId="{F6285724-50BD-4E46-9C3F-8460D606B25D}" destId="{0BE35406-CADA-1247-8D9B-DB1E49B01D90}" srcOrd="0" destOrd="0" presId="urn:microsoft.com/office/officeart/2005/8/layout/hierarchy1"/>
    <dgm:cxn modelId="{E4B326D4-77DD-6045-9BC4-B353FB8461C3}" srcId="{D89CE507-51E1-5841-A3A5-2F6D16AAB54A}" destId="{09212EB0-91FC-B84A-BA1D-DFA44908B318}" srcOrd="2" destOrd="0" parTransId="{E321D8F6-19F5-F747-B840-BD514ECA9464}" sibTransId="{EB6AD21D-9CC3-5B4A-AB0F-F1497F06B764}"/>
    <dgm:cxn modelId="{4925B04A-13D8-4982-9E93-1A2CF76859AB}" type="presOf" srcId="{D89CE507-51E1-5841-A3A5-2F6D16AAB54A}" destId="{2AE4C5FB-99FD-3746-A426-8B7B82B0ECF8}" srcOrd="0" destOrd="0" presId="urn:microsoft.com/office/officeart/2005/8/layout/hierarchy1"/>
    <dgm:cxn modelId="{E11C5C54-3111-4030-8B13-4497D7390E74}" type="presOf" srcId="{58F215C3-AE08-224B-B5B0-091CD4EBE934}" destId="{DEE312E0-BF0E-2544-BF55-126502F3871B}" srcOrd="0" destOrd="0" presId="urn:microsoft.com/office/officeart/2005/8/layout/hierarchy1"/>
    <dgm:cxn modelId="{537EED11-BEE9-4580-819F-00287C3A093E}" type="presOf" srcId="{9B8718AE-76F6-3345-86F8-A1A694C3B80D}" destId="{EC70C8AB-C671-4448-8321-706CAAC5F716}" srcOrd="0" destOrd="0" presId="urn:microsoft.com/office/officeart/2005/8/layout/hierarchy1"/>
    <dgm:cxn modelId="{5E19CF7A-10F8-4261-8C7F-FD9EC8214FEA}" type="presOf" srcId="{26EB3FEA-BE8F-A041-9529-6570CD25090E}" destId="{4A924054-80EA-A449-9724-38342A2168F5}" srcOrd="0" destOrd="0" presId="urn:microsoft.com/office/officeart/2005/8/layout/hierarchy1"/>
    <dgm:cxn modelId="{122903BD-659F-4877-9800-51B9FFA6C5D7}" type="presParOf" srcId="{1223D048-6377-0849-A74E-A44C69F627A7}" destId="{7092FAB6-76D4-944C-93D6-719C195D4A91}" srcOrd="0" destOrd="0" presId="urn:microsoft.com/office/officeart/2005/8/layout/hierarchy1"/>
    <dgm:cxn modelId="{EDA8D918-C27E-4A96-B8AE-CF45845C4CF4}" type="presParOf" srcId="{7092FAB6-76D4-944C-93D6-719C195D4A91}" destId="{214C517B-ADAA-BB40-952E-2968FBF0D0F8}" srcOrd="0" destOrd="0" presId="urn:microsoft.com/office/officeart/2005/8/layout/hierarchy1"/>
    <dgm:cxn modelId="{63D66A7C-4FA4-4F7C-B9E2-0DA487A9E5C4}" type="presParOf" srcId="{214C517B-ADAA-BB40-952E-2968FBF0D0F8}" destId="{8A6BEEC9-1343-4F4B-8EB6-9ED18D585908}" srcOrd="0" destOrd="0" presId="urn:microsoft.com/office/officeart/2005/8/layout/hierarchy1"/>
    <dgm:cxn modelId="{26479E61-14F0-412B-85FB-D9AF6070A5F5}" type="presParOf" srcId="{214C517B-ADAA-BB40-952E-2968FBF0D0F8}" destId="{2AE4C5FB-99FD-3746-A426-8B7B82B0ECF8}" srcOrd="1" destOrd="0" presId="urn:microsoft.com/office/officeart/2005/8/layout/hierarchy1"/>
    <dgm:cxn modelId="{F2E620D4-E9DA-42AF-B755-BBB5C6A511B4}" type="presParOf" srcId="{7092FAB6-76D4-944C-93D6-719C195D4A91}" destId="{66CAB671-81C6-384D-9BE1-7F71F6216632}" srcOrd="1" destOrd="0" presId="urn:microsoft.com/office/officeart/2005/8/layout/hierarchy1"/>
    <dgm:cxn modelId="{12E87C93-D816-499E-8841-74BD634FDD5A}" type="presParOf" srcId="{66CAB671-81C6-384D-9BE1-7F71F6216632}" destId="{39A2D233-EEF1-D249-9E6A-BA4BC5AE6323}" srcOrd="0" destOrd="0" presId="urn:microsoft.com/office/officeart/2005/8/layout/hierarchy1"/>
    <dgm:cxn modelId="{C74ECA4A-219E-4718-AD10-921ECFB47FE7}" type="presParOf" srcId="{66CAB671-81C6-384D-9BE1-7F71F6216632}" destId="{E1A30828-CA73-6042-9590-E54A0F325F84}" srcOrd="1" destOrd="0" presId="urn:microsoft.com/office/officeart/2005/8/layout/hierarchy1"/>
    <dgm:cxn modelId="{DE948F82-5114-476F-99EB-AE9687A081FD}" type="presParOf" srcId="{E1A30828-CA73-6042-9590-E54A0F325F84}" destId="{20532BD9-893C-FF4E-B128-577FFF7D4791}" srcOrd="0" destOrd="0" presId="urn:microsoft.com/office/officeart/2005/8/layout/hierarchy1"/>
    <dgm:cxn modelId="{E4FF49AA-4E58-4A66-B16A-860B82BFEA80}" type="presParOf" srcId="{20532BD9-893C-FF4E-B128-577FFF7D4791}" destId="{B6247777-C52F-2A4D-B35E-65A25504D12A}" srcOrd="0" destOrd="0" presId="urn:microsoft.com/office/officeart/2005/8/layout/hierarchy1"/>
    <dgm:cxn modelId="{0CBEEC89-D70F-46C5-BD8E-C9F254660B43}" type="presParOf" srcId="{20532BD9-893C-FF4E-B128-577FFF7D4791}" destId="{CCCCF486-59F8-D745-9825-46D66E0AEB8B}" srcOrd="1" destOrd="0" presId="urn:microsoft.com/office/officeart/2005/8/layout/hierarchy1"/>
    <dgm:cxn modelId="{9DE52AFB-54B7-4333-BC90-CCDCBC1E584F}" type="presParOf" srcId="{E1A30828-CA73-6042-9590-E54A0F325F84}" destId="{D08FE098-1381-964D-9C44-5C58F37F1DBC}" srcOrd="1" destOrd="0" presId="urn:microsoft.com/office/officeart/2005/8/layout/hierarchy1"/>
    <dgm:cxn modelId="{D3BB3D39-F5C8-4501-B807-E300E2E61B7F}" type="presParOf" srcId="{D08FE098-1381-964D-9C44-5C58F37F1DBC}" destId="{EC70C8AB-C671-4448-8321-706CAAC5F716}" srcOrd="0" destOrd="0" presId="urn:microsoft.com/office/officeart/2005/8/layout/hierarchy1"/>
    <dgm:cxn modelId="{80EDECEF-3388-47E9-A2BE-A038CEAEEDE8}" type="presParOf" srcId="{D08FE098-1381-964D-9C44-5C58F37F1DBC}" destId="{372A44FB-32B3-4941-9C5F-56698AFF12EC}" srcOrd="1" destOrd="0" presId="urn:microsoft.com/office/officeart/2005/8/layout/hierarchy1"/>
    <dgm:cxn modelId="{1D38A21E-647D-48C0-80FF-51D13E77D557}" type="presParOf" srcId="{372A44FB-32B3-4941-9C5F-56698AFF12EC}" destId="{6E206DCD-8776-234B-9BD6-CA47B0B5AC03}" srcOrd="0" destOrd="0" presId="urn:microsoft.com/office/officeart/2005/8/layout/hierarchy1"/>
    <dgm:cxn modelId="{E3097B81-95D3-47B4-A2AB-344F4A3CB03D}" type="presParOf" srcId="{6E206DCD-8776-234B-9BD6-CA47B0B5AC03}" destId="{7D031A81-3C79-E24E-9B61-A667317C7378}" srcOrd="0" destOrd="0" presId="urn:microsoft.com/office/officeart/2005/8/layout/hierarchy1"/>
    <dgm:cxn modelId="{ED338A51-A0C1-4307-AE21-12A6AE106747}" type="presParOf" srcId="{6E206DCD-8776-234B-9BD6-CA47B0B5AC03}" destId="{D231145B-628B-7145-B228-E5144462EFD2}" srcOrd="1" destOrd="0" presId="urn:microsoft.com/office/officeart/2005/8/layout/hierarchy1"/>
    <dgm:cxn modelId="{2FD9CE70-15BE-496E-AB77-03431828A7BA}" type="presParOf" srcId="{372A44FB-32B3-4941-9C5F-56698AFF12EC}" destId="{25ACC479-740B-A840-B52C-A7A9316DE7A9}" srcOrd="1" destOrd="0" presId="urn:microsoft.com/office/officeart/2005/8/layout/hierarchy1"/>
    <dgm:cxn modelId="{3D2B03C7-530B-4B5C-BCCE-8DD25969B47C}" type="presParOf" srcId="{66CAB671-81C6-384D-9BE1-7F71F6216632}" destId="{4A924054-80EA-A449-9724-38342A2168F5}" srcOrd="2" destOrd="0" presId="urn:microsoft.com/office/officeart/2005/8/layout/hierarchy1"/>
    <dgm:cxn modelId="{75A4A047-46E7-4815-B2DD-DCCC3FFA1B94}" type="presParOf" srcId="{66CAB671-81C6-384D-9BE1-7F71F6216632}" destId="{32E89013-3275-7A49-9D22-06234CE17495}" srcOrd="3" destOrd="0" presId="urn:microsoft.com/office/officeart/2005/8/layout/hierarchy1"/>
    <dgm:cxn modelId="{8C7A79F9-66F4-48C7-958B-259A51D20857}" type="presParOf" srcId="{32E89013-3275-7A49-9D22-06234CE17495}" destId="{A0D28733-4F5F-D842-BF7A-E85F528DAABE}" srcOrd="0" destOrd="0" presId="urn:microsoft.com/office/officeart/2005/8/layout/hierarchy1"/>
    <dgm:cxn modelId="{333A5682-0A10-485C-B3B7-64830168C041}" type="presParOf" srcId="{A0D28733-4F5F-D842-BF7A-E85F528DAABE}" destId="{97A62F18-7A00-374E-8986-EDAC22F48AD6}" srcOrd="0" destOrd="0" presId="urn:microsoft.com/office/officeart/2005/8/layout/hierarchy1"/>
    <dgm:cxn modelId="{EE4B296F-61B6-4791-B27D-FDB5A751AF2C}" type="presParOf" srcId="{A0D28733-4F5F-D842-BF7A-E85F528DAABE}" destId="{DEE312E0-BF0E-2544-BF55-126502F3871B}" srcOrd="1" destOrd="0" presId="urn:microsoft.com/office/officeart/2005/8/layout/hierarchy1"/>
    <dgm:cxn modelId="{10279B2B-BF59-4DE4-B940-F89BAAFE9437}" type="presParOf" srcId="{32E89013-3275-7A49-9D22-06234CE17495}" destId="{F8D2C834-B2B7-9B4C-93AC-7E33AF4EC4B8}" srcOrd="1" destOrd="0" presId="urn:microsoft.com/office/officeart/2005/8/layout/hierarchy1"/>
    <dgm:cxn modelId="{E5488509-0BD3-402A-98EC-1DE90838731E}" type="presParOf" srcId="{F8D2C834-B2B7-9B4C-93AC-7E33AF4EC4B8}" destId="{98F67FA6-9FB1-5B43-B86A-7EEEA41F71AC}" srcOrd="0" destOrd="0" presId="urn:microsoft.com/office/officeart/2005/8/layout/hierarchy1"/>
    <dgm:cxn modelId="{D4D36BCF-CDC6-4D48-A514-88562F7A5191}" type="presParOf" srcId="{F8D2C834-B2B7-9B4C-93AC-7E33AF4EC4B8}" destId="{76E67972-EC17-B045-B855-711F7A301CCA}" srcOrd="1" destOrd="0" presId="urn:microsoft.com/office/officeart/2005/8/layout/hierarchy1"/>
    <dgm:cxn modelId="{63C9816E-1F88-4143-9987-ED86E26A59BF}" type="presParOf" srcId="{76E67972-EC17-B045-B855-711F7A301CCA}" destId="{5968D43B-8206-EB41-B144-34F49AABF1E5}" srcOrd="0" destOrd="0" presId="urn:microsoft.com/office/officeart/2005/8/layout/hierarchy1"/>
    <dgm:cxn modelId="{7F68A5B9-B40E-4785-9665-EF0B922B62CC}" type="presParOf" srcId="{5968D43B-8206-EB41-B144-34F49AABF1E5}" destId="{E7AFA2AB-AD42-3849-B252-C1049F268CFA}" srcOrd="0" destOrd="0" presId="urn:microsoft.com/office/officeart/2005/8/layout/hierarchy1"/>
    <dgm:cxn modelId="{34188519-9B13-436E-AFB6-61C01AAF2A66}" type="presParOf" srcId="{5968D43B-8206-EB41-B144-34F49AABF1E5}" destId="{EA36CA82-5AD9-0D41-AC08-7586BB839B98}" srcOrd="1" destOrd="0" presId="urn:microsoft.com/office/officeart/2005/8/layout/hierarchy1"/>
    <dgm:cxn modelId="{1A2ED528-FDD9-4D9D-9D1C-EE3487D79964}" type="presParOf" srcId="{76E67972-EC17-B045-B855-711F7A301CCA}" destId="{4607584D-6DA2-3F4F-9885-1F1474CFFF2D}" srcOrd="1" destOrd="0" presId="urn:microsoft.com/office/officeart/2005/8/layout/hierarchy1"/>
    <dgm:cxn modelId="{BC0F08AE-F2DC-4D03-A81B-638070A8C299}" type="presParOf" srcId="{66CAB671-81C6-384D-9BE1-7F71F6216632}" destId="{77BC5945-E818-B344-8506-B95295C26F38}" srcOrd="4" destOrd="0" presId="urn:microsoft.com/office/officeart/2005/8/layout/hierarchy1"/>
    <dgm:cxn modelId="{B30D1301-BA79-4FEA-827C-55C383436415}" type="presParOf" srcId="{66CAB671-81C6-384D-9BE1-7F71F6216632}" destId="{9875E1F7-9699-D540-BD83-3B9441465458}" srcOrd="5" destOrd="0" presId="urn:microsoft.com/office/officeart/2005/8/layout/hierarchy1"/>
    <dgm:cxn modelId="{3465F6CD-CF04-4EE5-B7F5-763C1C3BDDAA}" type="presParOf" srcId="{9875E1F7-9699-D540-BD83-3B9441465458}" destId="{BB0B1423-C468-3E40-B13B-7C3CB21BF4DA}" srcOrd="0" destOrd="0" presId="urn:microsoft.com/office/officeart/2005/8/layout/hierarchy1"/>
    <dgm:cxn modelId="{241E963A-931C-40B5-968E-132C198E8866}" type="presParOf" srcId="{BB0B1423-C468-3E40-B13B-7C3CB21BF4DA}" destId="{B4B30BAE-4B4F-E04D-8A40-4735F4449F4E}" srcOrd="0" destOrd="0" presId="urn:microsoft.com/office/officeart/2005/8/layout/hierarchy1"/>
    <dgm:cxn modelId="{1480E489-2102-4000-B2B3-B3950306722E}" type="presParOf" srcId="{BB0B1423-C468-3E40-B13B-7C3CB21BF4DA}" destId="{1E34DCFA-A85C-EB41-B84B-E188D718DF2F}" srcOrd="1" destOrd="0" presId="urn:microsoft.com/office/officeart/2005/8/layout/hierarchy1"/>
    <dgm:cxn modelId="{8AF78E04-A7F0-4377-92DF-A3E983271D87}" type="presParOf" srcId="{9875E1F7-9699-D540-BD83-3B9441465458}" destId="{1D5DBF7B-3A1C-034E-AB55-01A1E4BD361F}" srcOrd="1" destOrd="0" presId="urn:microsoft.com/office/officeart/2005/8/layout/hierarchy1"/>
    <dgm:cxn modelId="{3A9F5AE7-F360-4058-8396-07D64C12C19D}" type="presParOf" srcId="{1D5DBF7B-3A1C-034E-AB55-01A1E4BD361F}" destId="{0BE35406-CADA-1247-8D9B-DB1E49B01D90}" srcOrd="0" destOrd="0" presId="urn:microsoft.com/office/officeart/2005/8/layout/hierarchy1"/>
    <dgm:cxn modelId="{847AD69C-C43D-44AA-AD1F-1F432E283A38}" type="presParOf" srcId="{1D5DBF7B-3A1C-034E-AB55-01A1E4BD361F}" destId="{19BB108E-B2DA-7940-93DC-B38EB401B57B}" srcOrd="1" destOrd="0" presId="urn:microsoft.com/office/officeart/2005/8/layout/hierarchy1"/>
    <dgm:cxn modelId="{77B301FE-9359-4449-A7B5-5D6F603DB6F2}" type="presParOf" srcId="{19BB108E-B2DA-7940-93DC-B38EB401B57B}" destId="{5BDF9F77-8202-014F-B80A-856C731FBEF3}" srcOrd="0" destOrd="0" presId="urn:microsoft.com/office/officeart/2005/8/layout/hierarchy1"/>
    <dgm:cxn modelId="{093D121F-4F8F-4D96-96B2-1BB6D0DCCAAB}" type="presParOf" srcId="{5BDF9F77-8202-014F-B80A-856C731FBEF3}" destId="{FA8A2077-348A-E84D-9CB3-EAC7D4FC1A25}" srcOrd="0" destOrd="0" presId="urn:microsoft.com/office/officeart/2005/8/layout/hierarchy1"/>
    <dgm:cxn modelId="{F6D8C07E-1E61-4B4B-821C-4C0E21AA1D65}" type="presParOf" srcId="{5BDF9F77-8202-014F-B80A-856C731FBEF3}" destId="{8C57F56C-0010-5A40-BF36-8E4725E51055}" srcOrd="1" destOrd="0" presId="urn:microsoft.com/office/officeart/2005/8/layout/hierarchy1"/>
    <dgm:cxn modelId="{8E260C9D-016D-487D-B585-90DA6CC8333C}" type="presParOf" srcId="{19BB108E-B2DA-7940-93DC-B38EB401B57B}" destId="{2216C363-6A59-9148-B114-F3336F2696F3}"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Option 2: Referred Items for  2 x Time Tiered Assessments </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0-20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20-40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40-60mins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60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pPr>
            <a:lnSpc>
              <a:spcPct val="100000"/>
            </a:lnSpc>
            <a:spcAft>
              <a:spcPts val="0"/>
            </a:spcAft>
          </a:pPr>
          <a:r>
            <a:rPr lang="en-US" sz="1100" i="1"/>
            <a:t>MBS 104 ($85.55)</a:t>
          </a:r>
        </a:p>
        <a:p>
          <a:pPr>
            <a:lnSpc>
              <a:spcPct val="100000"/>
            </a:lnSpc>
            <a:spcAft>
              <a:spcPts val="0"/>
            </a:spcAft>
          </a:pPr>
          <a:r>
            <a:rPr lang="en-US" sz="800" i="1"/>
            <a:t>85% ($72.75)</a:t>
          </a:r>
        </a:p>
        <a:p>
          <a:pPr>
            <a:lnSpc>
              <a:spcPct val="100000"/>
            </a:lnSpc>
            <a:spcAft>
              <a:spcPts val="0"/>
            </a:spcAft>
          </a:pPr>
          <a:r>
            <a:rPr lang="en-US" sz="800" i="1"/>
            <a:t>75% ($64.20)</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pPr>
            <a:lnSpc>
              <a:spcPct val="100000"/>
            </a:lnSpc>
            <a:spcAft>
              <a:spcPts val="0"/>
            </a:spcAft>
          </a:pPr>
          <a:r>
            <a:rPr lang="en-US" sz="1100" i="1"/>
            <a:t>MBS 3005 ($150.90)</a:t>
          </a:r>
        </a:p>
        <a:p>
          <a:pPr>
            <a:lnSpc>
              <a:spcPct val="100000"/>
            </a:lnSpc>
            <a:spcAft>
              <a:spcPts val="0"/>
            </a:spcAft>
          </a:pPr>
          <a:r>
            <a:rPr lang="en-US" sz="800" b="0" i="1"/>
            <a:t>85% ($128.30)</a:t>
          </a:r>
        </a:p>
        <a:p>
          <a:pPr>
            <a:lnSpc>
              <a:spcPct val="100000"/>
            </a:lnSpc>
            <a:spcAft>
              <a:spcPts val="0"/>
            </a:spcAft>
          </a:pPr>
          <a:r>
            <a:rPr lang="en-US" sz="800" b="0" i="1"/>
            <a:t>75% ($113.20)</a:t>
          </a:r>
          <a:endParaRPr lang="en-US" sz="800" i="1"/>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pPr>
            <a:lnSpc>
              <a:spcPct val="100000"/>
            </a:lnSpc>
            <a:spcAft>
              <a:spcPts val="0"/>
            </a:spcAft>
          </a:pPr>
          <a:r>
            <a:rPr lang="en-US" sz="1100" b="1" i="1"/>
            <a:t>New Item ($207.40)</a:t>
          </a:r>
        </a:p>
        <a:p>
          <a:pPr>
            <a:lnSpc>
              <a:spcPct val="100000"/>
            </a:lnSpc>
            <a:spcAft>
              <a:spcPts val="0"/>
            </a:spcAft>
          </a:pPr>
          <a:r>
            <a:rPr lang="en-US" sz="800" b="1" i="1"/>
            <a:t>85% ($176.30)</a:t>
          </a:r>
        </a:p>
        <a:p>
          <a:pPr>
            <a:lnSpc>
              <a:spcPct val="100000"/>
            </a:lnSpc>
            <a:spcAft>
              <a:spcPts val="0"/>
            </a:spcAft>
          </a:pPr>
          <a:r>
            <a:rPr lang="en-US" sz="800" b="1" i="1"/>
            <a:t>$75% ($155.55)</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pPr>
            <a:lnSpc>
              <a:spcPct val="100000"/>
            </a:lnSpc>
            <a:spcAft>
              <a:spcPts val="0"/>
            </a:spcAft>
          </a:pPr>
          <a:r>
            <a:rPr lang="en-US" sz="1100" i="1"/>
            <a:t>MBS 132 ($263.90)</a:t>
          </a:r>
        </a:p>
        <a:p>
          <a:pPr>
            <a:lnSpc>
              <a:spcPct val="100000"/>
            </a:lnSpc>
            <a:spcAft>
              <a:spcPts val="0"/>
            </a:spcAft>
          </a:pPr>
          <a:r>
            <a:rPr lang="en-US" sz="800" i="1"/>
            <a:t>85% $(224.35)</a:t>
          </a:r>
        </a:p>
        <a:p>
          <a:pPr>
            <a:lnSpc>
              <a:spcPct val="100000"/>
            </a:lnSpc>
            <a:spcAft>
              <a:spcPts val="0"/>
            </a:spcAft>
          </a:pPr>
          <a:r>
            <a:rPr lang="en-US" sz="800" i="1"/>
            <a:t>75% ($197.95)</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custScaleX="212288">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184FE9F4-7118-43C0-8F3F-765F80F2FA62}" type="presOf" srcId="{6D2FF0AE-09F2-3B4F-8898-E83E0E959B53}" destId="{4435B795-5104-6F4A-8C6E-2A14B1B46FD7}" srcOrd="0" destOrd="0" presId="urn:microsoft.com/office/officeart/2005/8/layout/hierarchy1"/>
    <dgm:cxn modelId="{83859D62-DA71-4225-B94F-34F79FA8F178}" type="presOf" srcId="{753D11A2-4524-7B47-8908-CBAE3F618FF3}" destId="{7EB04D44-ED91-8646-BCBE-3ED3306A03AD}" srcOrd="0" destOrd="0" presId="urn:microsoft.com/office/officeart/2005/8/layout/hierarchy1"/>
    <dgm:cxn modelId="{CD5A147E-0A3C-4C8E-A89D-3F293BF23220}" type="presOf" srcId="{1B681A8F-A554-1F44-BADD-518AA499E287}" destId="{BD5CF76E-544D-E04C-BB86-76DDAD6F7AB3}" srcOrd="0" destOrd="0" presId="urn:microsoft.com/office/officeart/2005/8/layout/hierarchy1"/>
    <dgm:cxn modelId="{3923410B-8BBF-4451-BB2A-F75BA18D1DE8}" type="presOf" srcId="{646840C6-9D22-0940-94F4-BFE459C48682}" destId="{CA9133C5-0C81-194A-B4FC-B30436310F7C}" srcOrd="0" destOrd="0" presId="urn:microsoft.com/office/officeart/2005/8/layout/hierarchy1"/>
    <dgm:cxn modelId="{1823519D-A677-4DE5-9437-C1A3D617C6B3}" type="presOf" srcId="{5AFFFC75-E306-A448-8ABD-18D9F8D6D3B9}" destId="{158E4AD8-3313-1D47-B7CA-87E116655F38}" srcOrd="0" destOrd="0" presId="urn:microsoft.com/office/officeart/2005/8/layout/hierarchy1"/>
    <dgm:cxn modelId="{74B02596-ED6E-4308-AE3A-06D525DB2D7C}" type="presOf" srcId="{A0416ECC-4A2A-1E45-B785-9209F187AC5C}" destId="{D4F4F276-AFD8-4247-8DC4-B4ACD3AC0C75}"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B7123672-55DE-41DD-8D73-E2A0ADECF523}" type="presOf" srcId="{D2DCA103-7A15-E541-8977-D49EBF5D392A}" destId="{0B45D9A2-4E18-634A-B70B-8ECBE0DC0AE6}"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004BCFB3-616B-FA40-BED8-9BD36B2DAB0D}" srcId="{68AB0310-AB85-8B45-9D41-620E4C594CB9}" destId="{BA4C6AE5-90E4-6F4B-AC3A-2BA1DBBDA93C}" srcOrd="0" destOrd="0" parTransId="{5AFFFC75-E306-A448-8ABD-18D9F8D6D3B9}" sibTransId="{6FC22C72-1DB9-B84F-AA76-96D45910536C}"/>
    <dgm:cxn modelId="{80818DB8-3DF2-4BD6-9DD5-3F3ED150E74D}" type="presOf" srcId="{438CBF3B-D0F4-9D48-A142-5F2D9150F864}" destId="{55508F5B-3B84-EF48-82B5-9D2C53F782BF}" srcOrd="0" destOrd="0" presId="urn:microsoft.com/office/officeart/2005/8/layout/hierarchy1"/>
    <dgm:cxn modelId="{CF97266C-C60C-428B-89CE-B10706934596}" type="presOf" srcId="{3E507491-2711-B94A-A1E9-461017E29ECB}" destId="{53AE8375-F2A8-764C-BA20-CDF18A3A8521}" srcOrd="0" destOrd="0" presId="urn:microsoft.com/office/officeart/2005/8/layout/hierarchy1"/>
    <dgm:cxn modelId="{96F649A7-E312-4D5D-BD7B-FEDC99F10367}" type="presOf" srcId="{42E6C4B5-8A56-514D-9D10-12F50465C01E}" destId="{1223D048-6377-0849-A74E-A44C69F627A7}" srcOrd="0" destOrd="0" presId="urn:microsoft.com/office/officeart/2005/8/layout/hierarchy1"/>
    <dgm:cxn modelId="{AE3E8256-6607-4F8A-A85A-3E2299859538}" type="presOf" srcId="{865DB265-2376-DB44-9068-8D396FBC6DA7}" destId="{21A2662A-6AE3-1E4F-B5C1-E62D06573556}"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851BCC4E-98D0-474D-8446-DE2C6D37E69B}" type="presOf" srcId="{F678D22A-E410-B44E-A48B-1A84784FE659}" destId="{0C3384DB-4E62-1343-9B29-EA318FB39799}"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59037764-C6D4-4925-9F16-0205FAB75573}" type="presOf" srcId="{D667295C-1BF9-CA4C-89FE-8067C2D1C6D9}" destId="{259E6A64-F5A9-594E-A4DE-04EA642F0B2C}" srcOrd="0" destOrd="0" presId="urn:microsoft.com/office/officeart/2005/8/layout/hierarchy1"/>
    <dgm:cxn modelId="{DC379C1E-F8D0-4781-992A-AFFB659FA7DE}" type="presOf" srcId="{BA4C6AE5-90E4-6F4B-AC3A-2BA1DBBDA93C}" destId="{A859854A-8142-9B40-8B3A-52E11BDD75A4}"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D97498A0-2266-FF40-91F3-B6BE55EDB390}" srcId="{68FDA15D-0887-2443-A357-BD07E2464A58}" destId="{865DB265-2376-DB44-9068-8D396FBC6DA7}" srcOrd="3" destOrd="0" parTransId="{38A69577-B504-8043-B614-00033C4667ED}" sibTransId="{F8E931C3-303A-2342-BE12-B6D4426BF06B}"/>
    <dgm:cxn modelId="{931B591C-EBFB-457A-A9F8-3756DB4743C2}" type="presOf" srcId="{68FDA15D-0887-2443-A357-BD07E2464A58}" destId="{7527AFBF-24BC-6048-8CA6-468956327B51}" srcOrd="0" destOrd="0" presId="urn:microsoft.com/office/officeart/2005/8/layout/hierarchy1"/>
    <dgm:cxn modelId="{C6F2516A-2516-4119-A4C8-008EFA0EBAB3}" type="presOf" srcId="{38A69577-B504-8043-B614-00033C4667ED}" destId="{5DD4A6E5-30D2-BC48-82EF-44AB6345F29B}" srcOrd="0" destOrd="0" presId="urn:microsoft.com/office/officeart/2005/8/layout/hierarchy1"/>
    <dgm:cxn modelId="{9952AC3B-5684-4028-88C4-23847B08C12E}" type="presOf" srcId="{68AB0310-AB85-8B45-9D41-620E4C594CB9}" destId="{53ED3188-B4DA-7A45-BB61-4FA1E01CEE04}" srcOrd="0" destOrd="0" presId="urn:microsoft.com/office/officeart/2005/8/layout/hierarchy1"/>
    <dgm:cxn modelId="{7B7CC8A7-4980-4EFF-A0EB-C62CE313ECF5}" type="presOf" srcId="{3D2D4D02-A5C3-494C-AA17-9E741C304F0A}" destId="{721901F3-629C-D545-8A4A-CFEFECBE41BF}"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1D1B3E9C-2E1E-40B4-B85C-5488CB53317D}" type="presParOf" srcId="{1223D048-6377-0849-A74E-A44C69F627A7}" destId="{6BF0587A-F26B-F94E-80BA-9550E9BD1B6C}" srcOrd="0" destOrd="0" presId="urn:microsoft.com/office/officeart/2005/8/layout/hierarchy1"/>
    <dgm:cxn modelId="{20ACFEAF-E547-4C81-8B81-1E09D1AC0706}" type="presParOf" srcId="{6BF0587A-F26B-F94E-80BA-9550E9BD1B6C}" destId="{5CF6D649-3736-C14A-8CE5-DF66A61B1B4F}" srcOrd="0" destOrd="0" presId="urn:microsoft.com/office/officeart/2005/8/layout/hierarchy1"/>
    <dgm:cxn modelId="{D0C0F587-05D5-4752-A21B-BCC9C7C821B2}" type="presParOf" srcId="{5CF6D649-3736-C14A-8CE5-DF66A61B1B4F}" destId="{157D4998-21CF-A248-83EB-0106527C25EC}" srcOrd="0" destOrd="0" presId="urn:microsoft.com/office/officeart/2005/8/layout/hierarchy1"/>
    <dgm:cxn modelId="{C1B78EAA-3468-44F9-BC43-13211AD93F3C}" type="presParOf" srcId="{5CF6D649-3736-C14A-8CE5-DF66A61B1B4F}" destId="{7527AFBF-24BC-6048-8CA6-468956327B51}" srcOrd="1" destOrd="0" presId="urn:microsoft.com/office/officeart/2005/8/layout/hierarchy1"/>
    <dgm:cxn modelId="{7B33776A-946F-4430-8592-97CDA6030467}" type="presParOf" srcId="{6BF0587A-F26B-F94E-80BA-9550E9BD1B6C}" destId="{39F965AE-B422-8447-9BA9-FC4015A2122A}" srcOrd="1" destOrd="0" presId="urn:microsoft.com/office/officeart/2005/8/layout/hierarchy1"/>
    <dgm:cxn modelId="{ED4A4A22-6086-4F89-86AA-641B5D721CF7}" type="presParOf" srcId="{39F965AE-B422-8447-9BA9-FC4015A2122A}" destId="{BD5CF76E-544D-E04C-BB86-76DDAD6F7AB3}" srcOrd="0" destOrd="0" presId="urn:microsoft.com/office/officeart/2005/8/layout/hierarchy1"/>
    <dgm:cxn modelId="{971857BD-FE71-423C-8C37-37D0286F976B}" type="presParOf" srcId="{39F965AE-B422-8447-9BA9-FC4015A2122A}" destId="{A51BDB54-F392-CB48-88B5-BF4D5FF8F3AE}" srcOrd="1" destOrd="0" presId="urn:microsoft.com/office/officeart/2005/8/layout/hierarchy1"/>
    <dgm:cxn modelId="{5C486C79-13E6-495B-9199-F3E598202F08}" type="presParOf" srcId="{A51BDB54-F392-CB48-88B5-BF4D5FF8F3AE}" destId="{A8AA713F-4182-2646-8D59-439D40ED64C9}" srcOrd="0" destOrd="0" presId="urn:microsoft.com/office/officeart/2005/8/layout/hierarchy1"/>
    <dgm:cxn modelId="{C14EDADC-BD49-4DA4-9826-E5DADFDB96AE}" type="presParOf" srcId="{A8AA713F-4182-2646-8D59-439D40ED64C9}" destId="{54A8B529-F9E3-4141-8DC9-99339199C884}" srcOrd="0" destOrd="0" presId="urn:microsoft.com/office/officeart/2005/8/layout/hierarchy1"/>
    <dgm:cxn modelId="{CCD10359-07ED-4277-AB28-4867C4E927B2}" type="presParOf" srcId="{A8AA713F-4182-2646-8D59-439D40ED64C9}" destId="{4435B795-5104-6F4A-8C6E-2A14B1B46FD7}" srcOrd="1" destOrd="0" presId="urn:microsoft.com/office/officeart/2005/8/layout/hierarchy1"/>
    <dgm:cxn modelId="{A8E4AAF1-55CB-45CD-9322-E85AA386E1A1}" type="presParOf" srcId="{A51BDB54-F392-CB48-88B5-BF4D5FF8F3AE}" destId="{8BD5E129-C5BB-164C-9FF5-228278421498}" srcOrd="1" destOrd="0" presId="urn:microsoft.com/office/officeart/2005/8/layout/hierarchy1"/>
    <dgm:cxn modelId="{31D7AD78-A956-4899-8C6E-CF48D7E7A1A0}" type="presParOf" srcId="{8BD5E129-C5BB-164C-9FF5-228278421498}" destId="{53AE8375-F2A8-764C-BA20-CDF18A3A8521}" srcOrd="0" destOrd="0" presId="urn:microsoft.com/office/officeart/2005/8/layout/hierarchy1"/>
    <dgm:cxn modelId="{AAAD6165-EA8B-42BD-A7FA-C500C9AF5DE9}" type="presParOf" srcId="{8BD5E129-C5BB-164C-9FF5-228278421498}" destId="{EEFD2779-1B03-4243-8B58-BDFAB6E93AB1}" srcOrd="1" destOrd="0" presId="urn:microsoft.com/office/officeart/2005/8/layout/hierarchy1"/>
    <dgm:cxn modelId="{B4809C47-7358-452D-95A5-71A9BF4AE30A}" type="presParOf" srcId="{EEFD2779-1B03-4243-8B58-BDFAB6E93AB1}" destId="{8CB8A041-395B-5543-AB2E-7DA6CCEB4966}" srcOrd="0" destOrd="0" presId="urn:microsoft.com/office/officeart/2005/8/layout/hierarchy1"/>
    <dgm:cxn modelId="{54FBA919-9E74-4C58-AD5C-EF7C656D27FF}" type="presParOf" srcId="{8CB8A041-395B-5543-AB2E-7DA6CCEB4966}" destId="{3240397F-0654-6F4E-864F-1CFB9BF37823}" srcOrd="0" destOrd="0" presId="urn:microsoft.com/office/officeart/2005/8/layout/hierarchy1"/>
    <dgm:cxn modelId="{8482401E-887F-477F-BE2B-F2897139F485}" type="presParOf" srcId="{8CB8A041-395B-5543-AB2E-7DA6CCEB4966}" destId="{0B45D9A2-4E18-634A-B70B-8ECBE0DC0AE6}" srcOrd="1" destOrd="0" presId="urn:microsoft.com/office/officeart/2005/8/layout/hierarchy1"/>
    <dgm:cxn modelId="{CD231C67-4C42-4EB3-9EC3-414093125083}" type="presParOf" srcId="{EEFD2779-1B03-4243-8B58-BDFAB6E93AB1}" destId="{AA360262-F3A2-8447-952A-460D4F0F1CAE}" srcOrd="1" destOrd="0" presId="urn:microsoft.com/office/officeart/2005/8/layout/hierarchy1"/>
    <dgm:cxn modelId="{3889A700-C204-4356-A94D-502A57109F22}" type="presParOf" srcId="{39F965AE-B422-8447-9BA9-FC4015A2122A}" destId="{7EB04D44-ED91-8646-BCBE-3ED3306A03AD}" srcOrd="2" destOrd="0" presId="urn:microsoft.com/office/officeart/2005/8/layout/hierarchy1"/>
    <dgm:cxn modelId="{EAA1D834-22D8-43C8-89E0-7ECF5F71D2D8}" type="presParOf" srcId="{39F965AE-B422-8447-9BA9-FC4015A2122A}" destId="{AC89B61D-711B-A64F-AB19-6B7CCC25AE55}" srcOrd="3" destOrd="0" presId="urn:microsoft.com/office/officeart/2005/8/layout/hierarchy1"/>
    <dgm:cxn modelId="{94D4BBF0-12CA-42D7-918B-36DCF068316C}" type="presParOf" srcId="{AC89B61D-711B-A64F-AB19-6B7CCC25AE55}" destId="{E2AB0108-79C5-AE45-B6D3-776B3E26AFE6}" srcOrd="0" destOrd="0" presId="urn:microsoft.com/office/officeart/2005/8/layout/hierarchy1"/>
    <dgm:cxn modelId="{406D9892-A657-44B0-B6DF-5B32BBD4552D}" type="presParOf" srcId="{E2AB0108-79C5-AE45-B6D3-776B3E26AFE6}" destId="{48D7D30C-AB11-D946-8AEC-FD9B2A504183}" srcOrd="0" destOrd="0" presId="urn:microsoft.com/office/officeart/2005/8/layout/hierarchy1"/>
    <dgm:cxn modelId="{70E0C4F5-1229-40B5-8CAE-E9C24A036C20}" type="presParOf" srcId="{E2AB0108-79C5-AE45-B6D3-776B3E26AFE6}" destId="{721901F3-629C-D545-8A4A-CFEFECBE41BF}" srcOrd="1" destOrd="0" presId="urn:microsoft.com/office/officeart/2005/8/layout/hierarchy1"/>
    <dgm:cxn modelId="{6061D738-1A07-4927-8EAC-AB7E581F05B1}" type="presParOf" srcId="{AC89B61D-711B-A64F-AB19-6B7CCC25AE55}" destId="{01243898-A714-C948-9E12-68D3E20AB882}" srcOrd="1" destOrd="0" presId="urn:microsoft.com/office/officeart/2005/8/layout/hierarchy1"/>
    <dgm:cxn modelId="{5A19FD89-5036-4192-B584-6B81BA5F55FF}" type="presParOf" srcId="{01243898-A714-C948-9E12-68D3E20AB882}" destId="{D4F4F276-AFD8-4247-8DC4-B4ACD3AC0C75}" srcOrd="0" destOrd="0" presId="urn:microsoft.com/office/officeart/2005/8/layout/hierarchy1"/>
    <dgm:cxn modelId="{351B62BA-6675-462E-8935-872F7C3BB3DC}" type="presParOf" srcId="{01243898-A714-C948-9E12-68D3E20AB882}" destId="{8225C9A2-E441-6E4C-92BC-572F9C84CE19}" srcOrd="1" destOrd="0" presId="urn:microsoft.com/office/officeart/2005/8/layout/hierarchy1"/>
    <dgm:cxn modelId="{C2954869-4E1A-4C91-9158-875281E442B3}" type="presParOf" srcId="{8225C9A2-E441-6E4C-92BC-572F9C84CE19}" destId="{080163C8-52EB-204F-939F-477A90FEFD5F}" srcOrd="0" destOrd="0" presId="urn:microsoft.com/office/officeart/2005/8/layout/hierarchy1"/>
    <dgm:cxn modelId="{375DB25A-2FB8-4A3D-8025-556AF448DD9C}" type="presParOf" srcId="{080163C8-52EB-204F-939F-477A90FEFD5F}" destId="{9166D8F7-1B4C-E041-81E9-30CF31DF6B1C}" srcOrd="0" destOrd="0" presId="urn:microsoft.com/office/officeart/2005/8/layout/hierarchy1"/>
    <dgm:cxn modelId="{D1583D4D-7BCE-49BB-A234-8BD7CCEC8DAF}" type="presParOf" srcId="{080163C8-52EB-204F-939F-477A90FEFD5F}" destId="{0C3384DB-4E62-1343-9B29-EA318FB39799}" srcOrd="1" destOrd="0" presId="urn:microsoft.com/office/officeart/2005/8/layout/hierarchy1"/>
    <dgm:cxn modelId="{8CC6C3C2-3F00-48F1-A65A-EF8F0EB328AD}" type="presParOf" srcId="{8225C9A2-E441-6E4C-92BC-572F9C84CE19}" destId="{336BB470-F2D1-5B46-AF15-3611975B4FEB}" srcOrd="1" destOrd="0" presId="urn:microsoft.com/office/officeart/2005/8/layout/hierarchy1"/>
    <dgm:cxn modelId="{AE6A98EE-6491-49D5-82E8-BD21DD2E22CE}" type="presParOf" srcId="{39F965AE-B422-8447-9BA9-FC4015A2122A}" destId="{55508F5B-3B84-EF48-82B5-9D2C53F782BF}" srcOrd="4" destOrd="0" presId="urn:microsoft.com/office/officeart/2005/8/layout/hierarchy1"/>
    <dgm:cxn modelId="{D8872ACF-F8D1-487C-9B89-BAA8487C7B86}" type="presParOf" srcId="{39F965AE-B422-8447-9BA9-FC4015A2122A}" destId="{3F418DB2-B20B-7D44-A7EC-C64F53ECEB97}" srcOrd="5" destOrd="0" presId="urn:microsoft.com/office/officeart/2005/8/layout/hierarchy1"/>
    <dgm:cxn modelId="{5A5BC421-75B9-4664-988A-8AB7EE2E65A3}" type="presParOf" srcId="{3F418DB2-B20B-7D44-A7EC-C64F53ECEB97}" destId="{DFC25FED-44BA-BB40-B97F-63549EDCF6DD}" srcOrd="0" destOrd="0" presId="urn:microsoft.com/office/officeart/2005/8/layout/hierarchy1"/>
    <dgm:cxn modelId="{29D6F75A-F2A5-45E6-87C5-8F63832FD27F}" type="presParOf" srcId="{DFC25FED-44BA-BB40-B97F-63549EDCF6DD}" destId="{24560018-146F-0341-BCE4-266F61ACA491}" srcOrd="0" destOrd="0" presId="urn:microsoft.com/office/officeart/2005/8/layout/hierarchy1"/>
    <dgm:cxn modelId="{D4A36FCD-B4C2-4A2E-BB5A-EAC50E25478A}" type="presParOf" srcId="{DFC25FED-44BA-BB40-B97F-63549EDCF6DD}" destId="{53ED3188-B4DA-7A45-BB61-4FA1E01CEE04}" srcOrd="1" destOrd="0" presId="urn:microsoft.com/office/officeart/2005/8/layout/hierarchy1"/>
    <dgm:cxn modelId="{835874ED-3DD8-413E-B369-85CD11FC9F18}" type="presParOf" srcId="{3F418DB2-B20B-7D44-A7EC-C64F53ECEB97}" destId="{44C857B0-4564-104C-974B-CACC3D3843F2}" srcOrd="1" destOrd="0" presId="urn:microsoft.com/office/officeart/2005/8/layout/hierarchy1"/>
    <dgm:cxn modelId="{595151EF-B13A-46FA-8AC2-052DF9B08D73}" type="presParOf" srcId="{44C857B0-4564-104C-974B-CACC3D3843F2}" destId="{158E4AD8-3313-1D47-B7CA-87E116655F38}" srcOrd="0" destOrd="0" presId="urn:microsoft.com/office/officeart/2005/8/layout/hierarchy1"/>
    <dgm:cxn modelId="{14862B38-7FF7-4576-B09D-997133A3B9AD}" type="presParOf" srcId="{44C857B0-4564-104C-974B-CACC3D3843F2}" destId="{FADE98E4-877F-824E-8BEE-4F00578F1996}" srcOrd="1" destOrd="0" presId="urn:microsoft.com/office/officeart/2005/8/layout/hierarchy1"/>
    <dgm:cxn modelId="{8F0DC216-9A7D-417F-80C8-F485C32ADE10}" type="presParOf" srcId="{FADE98E4-877F-824E-8BEE-4F00578F1996}" destId="{0B9EB50A-EC87-FB4E-950F-D3E7B3E32EF8}" srcOrd="0" destOrd="0" presId="urn:microsoft.com/office/officeart/2005/8/layout/hierarchy1"/>
    <dgm:cxn modelId="{52AF9A3A-9992-47DF-BC72-CDC3ED1B901F}" type="presParOf" srcId="{0B9EB50A-EC87-FB4E-950F-D3E7B3E32EF8}" destId="{978489A2-8BF7-9848-A9AC-08BA76F88668}" srcOrd="0" destOrd="0" presId="urn:microsoft.com/office/officeart/2005/8/layout/hierarchy1"/>
    <dgm:cxn modelId="{E079793B-1968-4A21-BDE9-06BF8E85BEC6}" type="presParOf" srcId="{0B9EB50A-EC87-FB4E-950F-D3E7B3E32EF8}" destId="{A859854A-8142-9B40-8B3A-52E11BDD75A4}" srcOrd="1" destOrd="0" presId="urn:microsoft.com/office/officeart/2005/8/layout/hierarchy1"/>
    <dgm:cxn modelId="{83845DE3-E884-4772-8CEC-001C40F8AB62}" type="presParOf" srcId="{FADE98E4-877F-824E-8BEE-4F00578F1996}" destId="{FA23B74A-3CD7-4442-B1CC-DC6348B08F59}" srcOrd="1" destOrd="0" presId="urn:microsoft.com/office/officeart/2005/8/layout/hierarchy1"/>
    <dgm:cxn modelId="{0E152674-4AE7-4F27-95BB-6F57CD6ED5EC}" type="presParOf" srcId="{39F965AE-B422-8447-9BA9-FC4015A2122A}" destId="{5DD4A6E5-30D2-BC48-82EF-44AB6345F29B}" srcOrd="6" destOrd="0" presId="urn:microsoft.com/office/officeart/2005/8/layout/hierarchy1"/>
    <dgm:cxn modelId="{2FC47830-B7F8-4BEF-B7F6-E8487659E694}" type="presParOf" srcId="{39F965AE-B422-8447-9BA9-FC4015A2122A}" destId="{BCCFF5D7-617E-1D4C-BF22-78FC77D967A1}" srcOrd="7" destOrd="0" presId="urn:microsoft.com/office/officeart/2005/8/layout/hierarchy1"/>
    <dgm:cxn modelId="{2CDB6A5E-51B3-43A4-8AD7-F9877DC33A6E}" type="presParOf" srcId="{BCCFF5D7-617E-1D4C-BF22-78FC77D967A1}" destId="{6DBF0123-4E23-6C41-A78B-B7BBE67D8E28}" srcOrd="0" destOrd="0" presId="urn:microsoft.com/office/officeart/2005/8/layout/hierarchy1"/>
    <dgm:cxn modelId="{29768EC3-F884-43F8-A4FD-7E21BEF9495B}" type="presParOf" srcId="{6DBF0123-4E23-6C41-A78B-B7BBE67D8E28}" destId="{DC1DF888-6604-404C-9DB0-E21688DA45A4}" srcOrd="0" destOrd="0" presId="urn:microsoft.com/office/officeart/2005/8/layout/hierarchy1"/>
    <dgm:cxn modelId="{6F71595E-C297-4A35-A51E-FD468BD6A43A}" type="presParOf" srcId="{6DBF0123-4E23-6C41-A78B-B7BBE67D8E28}" destId="{21A2662A-6AE3-1E4F-B5C1-E62D06573556}" srcOrd="1" destOrd="0" presId="urn:microsoft.com/office/officeart/2005/8/layout/hierarchy1"/>
    <dgm:cxn modelId="{F694873B-A83E-4DFC-B1DB-6E92AA5D40C6}" type="presParOf" srcId="{BCCFF5D7-617E-1D4C-BF22-78FC77D967A1}" destId="{8EA1F0CC-2698-684A-BE71-C2C7FDE7D656}" srcOrd="1" destOrd="0" presId="urn:microsoft.com/office/officeart/2005/8/layout/hierarchy1"/>
    <dgm:cxn modelId="{6EC97CE7-E121-4A5E-B09E-A0056A5AC8C2}" type="presParOf" srcId="{8EA1F0CC-2698-684A-BE71-C2C7FDE7D656}" destId="{CA9133C5-0C81-194A-B4FC-B30436310F7C}" srcOrd="0" destOrd="0" presId="urn:microsoft.com/office/officeart/2005/8/layout/hierarchy1"/>
    <dgm:cxn modelId="{77F10993-9D6F-4561-B870-ED501E730D68}" type="presParOf" srcId="{8EA1F0CC-2698-684A-BE71-C2C7FDE7D656}" destId="{5E76053C-F5B1-874C-B7DA-073E93D3FDCF}" srcOrd="1" destOrd="0" presId="urn:microsoft.com/office/officeart/2005/8/layout/hierarchy1"/>
    <dgm:cxn modelId="{A3C10C9C-F914-4A12-AB68-8714CC8AFB4E}" type="presParOf" srcId="{5E76053C-F5B1-874C-B7DA-073E93D3FDCF}" destId="{69A108B0-3048-D643-B46D-C8A50E5927D5}" srcOrd="0" destOrd="0" presId="urn:microsoft.com/office/officeart/2005/8/layout/hierarchy1"/>
    <dgm:cxn modelId="{0A22E418-0C30-446E-AB9F-92AD0CF5950D}" type="presParOf" srcId="{69A108B0-3048-D643-B46D-C8A50E5927D5}" destId="{B8C5050B-80C8-CB42-9832-486811727B59}" srcOrd="0" destOrd="0" presId="urn:microsoft.com/office/officeart/2005/8/layout/hierarchy1"/>
    <dgm:cxn modelId="{63788D7E-F4A9-48B9-AAC5-7482B8B7B719}" type="presParOf" srcId="{69A108B0-3048-D643-B46D-C8A50E5927D5}" destId="{259E6A64-F5A9-594E-A4DE-04EA642F0B2C}" srcOrd="1" destOrd="0" presId="urn:microsoft.com/office/officeart/2005/8/layout/hierarchy1"/>
    <dgm:cxn modelId="{812B0E56-976C-4E8F-80CD-74EE09133D0B}"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E6C4B5-8A56-514D-9D10-12F50465C01E}" type="doc">
      <dgm:prSet loTypeId="urn:microsoft.com/office/officeart/2005/8/layout/hierarchy1" loCatId="" qsTypeId="urn:microsoft.com/office/officeart/2005/8/quickstyle/simple4" qsCatId="simple" csTypeId="urn:microsoft.com/office/officeart/2005/8/colors/accent1_3" csCatId="accent1" phldr="1"/>
      <dgm:spPr/>
      <dgm:t>
        <a:bodyPr/>
        <a:lstStyle/>
        <a:p>
          <a:endParaRPr lang="en-US"/>
        </a:p>
      </dgm:t>
    </dgm:pt>
    <dgm:pt modelId="{68FDA15D-0887-2443-A357-BD07E2464A58}">
      <dgm:prSet phldrT="[Text]" custT="1"/>
      <dgm:spPr/>
      <dgm:t>
        <a:bodyPr/>
        <a:lstStyle/>
        <a:p>
          <a:r>
            <a:rPr lang="en-US" sz="1100" b="1"/>
            <a:t>Option 2: Referred Item All Subsequent Time Tiered Attendances</a:t>
          </a:r>
        </a:p>
      </dgm:t>
    </dgm:pt>
    <dgm:pt modelId="{2CC59307-EFC1-3E41-9FED-F69EED576899}" type="parTrans" cxnId="{CB6ABF6C-019D-144E-986F-9899D31F1193}">
      <dgm:prSet/>
      <dgm:spPr/>
      <dgm:t>
        <a:bodyPr/>
        <a:lstStyle/>
        <a:p>
          <a:endParaRPr lang="en-US" sz="1100"/>
        </a:p>
      </dgm:t>
    </dgm:pt>
    <dgm:pt modelId="{936BC09F-10A8-5F4E-B523-6DF3571782A4}" type="sibTrans" cxnId="{CB6ABF6C-019D-144E-986F-9899D31F1193}">
      <dgm:prSet/>
      <dgm:spPr/>
      <dgm:t>
        <a:bodyPr/>
        <a:lstStyle/>
        <a:p>
          <a:endParaRPr lang="en-US" sz="1100"/>
        </a:p>
      </dgm:t>
    </dgm:pt>
    <dgm:pt modelId="{6D2FF0AE-09F2-3B4F-8898-E83E0E959B53}">
      <dgm:prSet phldrT="[Text]" custT="1"/>
      <dgm:spPr/>
      <dgm:t>
        <a:bodyPr/>
        <a:lstStyle/>
        <a:p>
          <a:r>
            <a:rPr lang="en-US" sz="1100" b="1"/>
            <a:t>0-20 mins</a:t>
          </a:r>
        </a:p>
      </dgm:t>
    </dgm:pt>
    <dgm:pt modelId="{1B681A8F-A554-1F44-BADD-518AA499E287}" type="parTrans" cxnId="{F7E5F7A3-9E41-2345-9E03-13E93E2D009F}">
      <dgm:prSet/>
      <dgm:spPr/>
      <dgm:t>
        <a:bodyPr/>
        <a:lstStyle/>
        <a:p>
          <a:endParaRPr lang="en-US" sz="1100"/>
        </a:p>
      </dgm:t>
    </dgm:pt>
    <dgm:pt modelId="{08A2C5CA-1BDC-A34B-989F-D07222DCBB12}" type="sibTrans" cxnId="{F7E5F7A3-9E41-2345-9E03-13E93E2D009F}">
      <dgm:prSet/>
      <dgm:spPr/>
      <dgm:t>
        <a:bodyPr/>
        <a:lstStyle/>
        <a:p>
          <a:endParaRPr lang="en-US" sz="1100"/>
        </a:p>
      </dgm:t>
    </dgm:pt>
    <dgm:pt modelId="{3D2D4D02-A5C3-494C-AA17-9E741C304F0A}">
      <dgm:prSet phldrT="[Text]" custT="1"/>
      <dgm:spPr/>
      <dgm:t>
        <a:bodyPr/>
        <a:lstStyle/>
        <a:p>
          <a:r>
            <a:rPr lang="en-US" sz="1100" b="1"/>
            <a:t>20-40 mins</a:t>
          </a:r>
        </a:p>
      </dgm:t>
    </dgm:pt>
    <dgm:pt modelId="{753D11A2-4524-7B47-8908-CBAE3F618FF3}" type="parTrans" cxnId="{E7277451-6F21-5244-B955-07DC47A1AE22}">
      <dgm:prSet/>
      <dgm:spPr/>
      <dgm:t>
        <a:bodyPr/>
        <a:lstStyle/>
        <a:p>
          <a:endParaRPr lang="en-US" sz="1100"/>
        </a:p>
      </dgm:t>
    </dgm:pt>
    <dgm:pt modelId="{EC748F1D-AD16-2449-99F5-527CC00A62C5}" type="sibTrans" cxnId="{E7277451-6F21-5244-B955-07DC47A1AE22}">
      <dgm:prSet/>
      <dgm:spPr/>
      <dgm:t>
        <a:bodyPr/>
        <a:lstStyle/>
        <a:p>
          <a:endParaRPr lang="en-US" sz="1100"/>
        </a:p>
      </dgm:t>
    </dgm:pt>
    <dgm:pt modelId="{68AB0310-AB85-8B45-9D41-620E4C594CB9}">
      <dgm:prSet phldrT="[Text]" custT="1"/>
      <dgm:spPr/>
      <dgm:t>
        <a:bodyPr/>
        <a:lstStyle/>
        <a:p>
          <a:r>
            <a:rPr lang="en-US" sz="1100" b="1"/>
            <a:t>40-60mins</a:t>
          </a:r>
        </a:p>
      </dgm:t>
    </dgm:pt>
    <dgm:pt modelId="{438CBF3B-D0F4-9D48-A142-5F2D9150F864}" type="parTrans" cxnId="{A6C33D4A-E7BE-894C-B668-16EE86CD664B}">
      <dgm:prSet/>
      <dgm:spPr/>
      <dgm:t>
        <a:bodyPr/>
        <a:lstStyle/>
        <a:p>
          <a:endParaRPr lang="en-US" sz="1100"/>
        </a:p>
      </dgm:t>
    </dgm:pt>
    <dgm:pt modelId="{24EA5C2C-3B86-4447-B442-14CF2CCF0332}" type="sibTrans" cxnId="{A6C33D4A-E7BE-894C-B668-16EE86CD664B}">
      <dgm:prSet/>
      <dgm:spPr/>
      <dgm:t>
        <a:bodyPr/>
        <a:lstStyle/>
        <a:p>
          <a:endParaRPr lang="en-US" sz="1100"/>
        </a:p>
      </dgm:t>
    </dgm:pt>
    <dgm:pt modelId="{865DB265-2376-DB44-9068-8D396FBC6DA7}">
      <dgm:prSet phldrT="[Text]" custT="1"/>
      <dgm:spPr/>
      <dgm:t>
        <a:bodyPr/>
        <a:lstStyle/>
        <a:p>
          <a:r>
            <a:rPr lang="en-US" sz="1100" b="1"/>
            <a:t>60 mins +</a:t>
          </a:r>
        </a:p>
      </dgm:t>
    </dgm:pt>
    <dgm:pt modelId="{38A69577-B504-8043-B614-00033C4667ED}" type="parTrans" cxnId="{D97498A0-2266-FF40-91F3-B6BE55EDB390}">
      <dgm:prSet/>
      <dgm:spPr/>
      <dgm:t>
        <a:bodyPr/>
        <a:lstStyle/>
        <a:p>
          <a:endParaRPr lang="en-US" sz="1100"/>
        </a:p>
      </dgm:t>
    </dgm:pt>
    <dgm:pt modelId="{F8E931C3-303A-2342-BE12-B6D4426BF06B}" type="sibTrans" cxnId="{D97498A0-2266-FF40-91F3-B6BE55EDB390}">
      <dgm:prSet/>
      <dgm:spPr/>
      <dgm:t>
        <a:bodyPr/>
        <a:lstStyle/>
        <a:p>
          <a:endParaRPr lang="en-US" sz="1100"/>
        </a:p>
      </dgm:t>
    </dgm:pt>
    <dgm:pt modelId="{D2DCA103-7A15-E541-8977-D49EBF5D392A}">
      <dgm:prSet phldrT="[Text]" custT="1"/>
      <dgm:spPr/>
      <dgm:t>
        <a:bodyPr/>
        <a:lstStyle/>
        <a:p>
          <a:pPr>
            <a:spcAft>
              <a:spcPts val="0"/>
            </a:spcAft>
          </a:pPr>
          <a:r>
            <a:rPr lang="en-US" sz="1100" i="1"/>
            <a:t>MBS 105 ($43.00)</a:t>
          </a:r>
        </a:p>
        <a:p>
          <a:pPr>
            <a:spcAft>
              <a:spcPts val="0"/>
            </a:spcAft>
          </a:pPr>
          <a:r>
            <a:rPr lang="en-US" sz="800" i="1"/>
            <a:t>85% ($36.55)</a:t>
          </a:r>
        </a:p>
        <a:p>
          <a:pPr>
            <a:spcAft>
              <a:spcPts val="0"/>
            </a:spcAft>
          </a:pPr>
          <a:r>
            <a:rPr lang="en-US" sz="800" i="1"/>
            <a:t>75% (32.55)</a:t>
          </a:r>
        </a:p>
      </dgm:t>
    </dgm:pt>
    <dgm:pt modelId="{3E507491-2711-B94A-A1E9-461017E29ECB}" type="parTrans" cxnId="{51CB5848-4493-6241-ACA2-18B8C79CC465}">
      <dgm:prSet/>
      <dgm:spPr/>
      <dgm:t>
        <a:bodyPr/>
        <a:lstStyle/>
        <a:p>
          <a:endParaRPr lang="en-US" sz="1100"/>
        </a:p>
      </dgm:t>
    </dgm:pt>
    <dgm:pt modelId="{75494C60-AE7C-F040-9E1A-86278EAD1EE7}" type="sibTrans" cxnId="{51CB5848-4493-6241-ACA2-18B8C79CC465}">
      <dgm:prSet/>
      <dgm:spPr/>
      <dgm:t>
        <a:bodyPr/>
        <a:lstStyle/>
        <a:p>
          <a:endParaRPr lang="en-US" sz="1100"/>
        </a:p>
      </dgm:t>
    </dgm:pt>
    <dgm:pt modelId="{F678D22A-E410-B44E-A48B-1A84784FE659}">
      <dgm:prSet phldrT="[Text]" custT="1"/>
      <dgm:spPr/>
      <dgm:t>
        <a:bodyPr/>
        <a:lstStyle/>
        <a:p>
          <a:pPr>
            <a:spcAft>
              <a:spcPts val="0"/>
            </a:spcAft>
          </a:pPr>
          <a:r>
            <a:rPr lang="en-US" sz="1100" i="1"/>
            <a:t>MBS 3010 ($75.50)</a:t>
          </a:r>
        </a:p>
        <a:p>
          <a:pPr>
            <a:spcAft>
              <a:spcPts val="0"/>
            </a:spcAft>
          </a:pPr>
          <a:r>
            <a:rPr lang="en-US" sz="800" i="1"/>
            <a:t>85% ($64.20)</a:t>
          </a:r>
        </a:p>
        <a:p>
          <a:pPr>
            <a:spcAft>
              <a:spcPts val="0"/>
            </a:spcAft>
          </a:pPr>
          <a:r>
            <a:rPr lang="en-US" sz="800" i="1"/>
            <a:t>75% ($56.65)</a:t>
          </a:r>
        </a:p>
      </dgm:t>
    </dgm:pt>
    <dgm:pt modelId="{A0416ECC-4A2A-1E45-B785-9209F187AC5C}" type="parTrans" cxnId="{0224C635-C58D-5143-9153-DA302C191A81}">
      <dgm:prSet/>
      <dgm:spPr/>
      <dgm:t>
        <a:bodyPr/>
        <a:lstStyle/>
        <a:p>
          <a:endParaRPr lang="en-US" sz="1100"/>
        </a:p>
      </dgm:t>
    </dgm:pt>
    <dgm:pt modelId="{C9DE0A3D-5B2E-A940-A111-D11D4E220410}" type="sibTrans" cxnId="{0224C635-C58D-5143-9153-DA302C191A81}">
      <dgm:prSet/>
      <dgm:spPr/>
      <dgm:t>
        <a:bodyPr/>
        <a:lstStyle/>
        <a:p>
          <a:endParaRPr lang="en-US" sz="1100"/>
        </a:p>
      </dgm:t>
    </dgm:pt>
    <dgm:pt modelId="{BA4C6AE5-90E4-6F4B-AC3A-2BA1DBBDA93C}">
      <dgm:prSet phldrT="[Text]" custT="1"/>
      <dgm:spPr/>
      <dgm:t>
        <a:bodyPr/>
        <a:lstStyle/>
        <a:p>
          <a:pPr>
            <a:spcAft>
              <a:spcPts val="0"/>
            </a:spcAft>
          </a:pPr>
          <a:r>
            <a:rPr lang="en-US" sz="1100" b="1" i="1"/>
            <a:t>New Item ($103.80)</a:t>
          </a:r>
        </a:p>
        <a:p>
          <a:pPr>
            <a:spcAft>
              <a:spcPts val="0"/>
            </a:spcAft>
          </a:pPr>
          <a:r>
            <a:rPr lang="en-US" sz="800" i="1"/>
            <a:t>85% ($88.25)</a:t>
          </a:r>
        </a:p>
        <a:p>
          <a:pPr>
            <a:spcAft>
              <a:spcPts val="0"/>
            </a:spcAft>
          </a:pPr>
          <a:r>
            <a:rPr lang="en-US" sz="800" b="0" i="1"/>
            <a:t>75% ($77.85)</a:t>
          </a:r>
        </a:p>
      </dgm:t>
    </dgm:pt>
    <dgm:pt modelId="{5AFFFC75-E306-A448-8ABD-18D9F8D6D3B9}" type="parTrans" cxnId="{004BCFB3-616B-FA40-BED8-9BD36B2DAB0D}">
      <dgm:prSet/>
      <dgm:spPr/>
      <dgm:t>
        <a:bodyPr/>
        <a:lstStyle/>
        <a:p>
          <a:endParaRPr lang="en-US" sz="1100"/>
        </a:p>
      </dgm:t>
    </dgm:pt>
    <dgm:pt modelId="{6FC22C72-1DB9-B84F-AA76-96D45910536C}" type="sibTrans" cxnId="{004BCFB3-616B-FA40-BED8-9BD36B2DAB0D}">
      <dgm:prSet/>
      <dgm:spPr/>
      <dgm:t>
        <a:bodyPr/>
        <a:lstStyle/>
        <a:p>
          <a:endParaRPr lang="en-US" sz="1100"/>
        </a:p>
      </dgm:t>
    </dgm:pt>
    <dgm:pt modelId="{D667295C-1BF9-CA4C-89FE-8067C2D1C6D9}">
      <dgm:prSet phldrT="[Text]" custT="1"/>
      <dgm:spPr/>
      <dgm:t>
        <a:bodyPr/>
        <a:lstStyle/>
        <a:p>
          <a:pPr>
            <a:spcAft>
              <a:spcPts val="0"/>
            </a:spcAft>
          </a:pPr>
          <a:r>
            <a:rPr lang="en-US" sz="1100" i="1"/>
            <a:t>MBS 133 ($132.10)</a:t>
          </a:r>
        </a:p>
        <a:p>
          <a:pPr>
            <a:spcAft>
              <a:spcPts val="0"/>
            </a:spcAft>
          </a:pPr>
          <a:r>
            <a:rPr lang="en-US" sz="800" i="1"/>
            <a:t>85% ($112.30)</a:t>
          </a:r>
        </a:p>
        <a:p>
          <a:pPr>
            <a:spcAft>
              <a:spcPts val="0"/>
            </a:spcAft>
          </a:pPr>
          <a:r>
            <a:rPr lang="en-US" sz="800" i="1"/>
            <a:t>75% ($99.10)</a:t>
          </a:r>
        </a:p>
      </dgm:t>
    </dgm:pt>
    <dgm:pt modelId="{646840C6-9D22-0940-94F4-BFE459C48682}" type="parTrans" cxnId="{38A11014-D2BE-1A45-A490-3A4D118DBAD0}">
      <dgm:prSet/>
      <dgm:spPr/>
      <dgm:t>
        <a:bodyPr/>
        <a:lstStyle/>
        <a:p>
          <a:endParaRPr lang="en-US" sz="1100"/>
        </a:p>
      </dgm:t>
    </dgm:pt>
    <dgm:pt modelId="{34CD74AD-E99B-D34E-9054-03EC226A45FE}" type="sibTrans" cxnId="{38A11014-D2BE-1A45-A490-3A4D118DBAD0}">
      <dgm:prSet/>
      <dgm:spPr/>
      <dgm:t>
        <a:bodyPr/>
        <a:lstStyle/>
        <a:p>
          <a:endParaRPr lang="en-US" sz="1100"/>
        </a:p>
      </dgm:t>
    </dgm:pt>
    <dgm:pt modelId="{1223D048-6377-0849-A74E-A44C69F627A7}" type="pres">
      <dgm:prSet presAssocID="{42E6C4B5-8A56-514D-9D10-12F50465C01E}" presName="hierChild1" presStyleCnt="0">
        <dgm:presLayoutVars>
          <dgm:chPref val="1"/>
          <dgm:dir/>
          <dgm:animOne val="branch"/>
          <dgm:animLvl val="lvl"/>
          <dgm:resizeHandles/>
        </dgm:presLayoutVars>
      </dgm:prSet>
      <dgm:spPr/>
      <dgm:t>
        <a:bodyPr/>
        <a:lstStyle/>
        <a:p>
          <a:endParaRPr lang="en-US"/>
        </a:p>
      </dgm:t>
    </dgm:pt>
    <dgm:pt modelId="{6BF0587A-F26B-F94E-80BA-9550E9BD1B6C}" type="pres">
      <dgm:prSet presAssocID="{68FDA15D-0887-2443-A357-BD07E2464A58}" presName="hierRoot1" presStyleCnt="0"/>
      <dgm:spPr/>
    </dgm:pt>
    <dgm:pt modelId="{5CF6D649-3736-C14A-8CE5-DF66A61B1B4F}" type="pres">
      <dgm:prSet presAssocID="{68FDA15D-0887-2443-A357-BD07E2464A58}" presName="composite" presStyleCnt="0"/>
      <dgm:spPr/>
    </dgm:pt>
    <dgm:pt modelId="{157D4998-21CF-A248-83EB-0106527C25EC}" type="pres">
      <dgm:prSet presAssocID="{68FDA15D-0887-2443-A357-BD07E2464A58}" presName="background" presStyleLbl="node0" presStyleIdx="0" presStyleCnt="1"/>
      <dgm:spPr/>
    </dgm:pt>
    <dgm:pt modelId="{7527AFBF-24BC-6048-8CA6-468956327B51}" type="pres">
      <dgm:prSet presAssocID="{68FDA15D-0887-2443-A357-BD07E2464A58}" presName="text" presStyleLbl="fgAcc0" presStyleIdx="0" presStyleCnt="1" custScaleX="212288">
        <dgm:presLayoutVars>
          <dgm:chPref val="3"/>
        </dgm:presLayoutVars>
      </dgm:prSet>
      <dgm:spPr/>
      <dgm:t>
        <a:bodyPr/>
        <a:lstStyle/>
        <a:p>
          <a:endParaRPr lang="en-US"/>
        </a:p>
      </dgm:t>
    </dgm:pt>
    <dgm:pt modelId="{39F965AE-B422-8447-9BA9-FC4015A2122A}" type="pres">
      <dgm:prSet presAssocID="{68FDA15D-0887-2443-A357-BD07E2464A58}" presName="hierChild2" presStyleCnt="0"/>
      <dgm:spPr/>
    </dgm:pt>
    <dgm:pt modelId="{BD5CF76E-544D-E04C-BB86-76DDAD6F7AB3}" type="pres">
      <dgm:prSet presAssocID="{1B681A8F-A554-1F44-BADD-518AA499E287}" presName="Name10" presStyleLbl="parChTrans1D2" presStyleIdx="0" presStyleCnt="4"/>
      <dgm:spPr/>
      <dgm:t>
        <a:bodyPr/>
        <a:lstStyle/>
        <a:p>
          <a:endParaRPr lang="en-US"/>
        </a:p>
      </dgm:t>
    </dgm:pt>
    <dgm:pt modelId="{A51BDB54-F392-CB48-88B5-BF4D5FF8F3AE}" type="pres">
      <dgm:prSet presAssocID="{6D2FF0AE-09F2-3B4F-8898-E83E0E959B53}" presName="hierRoot2" presStyleCnt="0"/>
      <dgm:spPr/>
    </dgm:pt>
    <dgm:pt modelId="{A8AA713F-4182-2646-8D59-439D40ED64C9}" type="pres">
      <dgm:prSet presAssocID="{6D2FF0AE-09F2-3B4F-8898-E83E0E959B53}" presName="composite2" presStyleCnt="0"/>
      <dgm:spPr/>
    </dgm:pt>
    <dgm:pt modelId="{54A8B529-F9E3-4141-8DC9-99339199C884}" type="pres">
      <dgm:prSet presAssocID="{6D2FF0AE-09F2-3B4F-8898-E83E0E959B53}" presName="background2" presStyleLbl="node2" presStyleIdx="0" presStyleCnt="4"/>
      <dgm:spPr/>
    </dgm:pt>
    <dgm:pt modelId="{4435B795-5104-6F4A-8C6E-2A14B1B46FD7}" type="pres">
      <dgm:prSet presAssocID="{6D2FF0AE-09F2-3B4F-8898-E83E0E959B53}" presName="text2" presStyleLbl="fgAcc2" presStyleIdx="0" presStyleCnt="4">
        <dgm:presLayoutVars>
          <dgm:chPref val="3"/>
        </dgm:presLayoutVars>
      </dgm:prSet>
      <dgm:spPr/>
      <dgm:t>
        <a:bodyPr/>
        <a:lstStyle/>
        <a:p>
          <a:endParaRPr lang="en-US"/>
        </a:p>
      </dgm:t>
    </dgm:pt>
    <dgm:pt modelId="{8BD5E129-C5BB-164C-9FF5-228278421498}" type="pres">
      <dgm:prSet presAssocID="{6D2FF0AE-09F2-3B4F-8898-E83E0E959B53}" presName="hierChild3" presStyleCnt="0"/>
      <dgm:spPr/>
    </dgm:pt>
    <dgm:pt modelId="{53AE8375-F2A8-764C-BA20-CDF18A3A8521}" type="pres">
      <dgm:prSet presAssocID="{3E507491-2711-B94A-A1E9-461017E29ECB}" presName="Name17" presStyleLbl="parChTrans1D3" presStyleIdx="0" presStyleCnt="4"/>
      <dgm:spPr/>
      <dgm:t>
        <a:bodyPr/>
        <a:lstStyle/>
        <a:p>
          <a:endParaRPr lang="en-US"/>
        </a:p>
      </dgm:t>
    </dgm:pt>
    <dgm:pt modelId="{EEFD2779-1B03-4243-8B58-BDFAB6E93AB1}" type="pres">
      <dgm:prSet presAssocID="{D2DCA103-7A15-E541-8977-D49EBF5D392A}" presName="hierRoot3" presStyleCnt="0"/>
      <dgm:spPr/>
    </dgm:pt>
    <dgm:pt modelId="{8CB8A041-395B-5543-AB2E-7DA6CCEB4966}" type="pres">
      <dgm:prSet presAssocID="{D2DCA103-7A15-E541-8977-D49EBF5D392A}" presName="composite3" presStyleCnt="0"/>
      <dgm:spPr/>
    </dgm:pt>
    <dgm:pt modelId="{3240397F-0654-6F4E-864F-1CFB9BF37823}" type="pres">
      <dgm:prSet presAssocID="{D2DCA103-7A15-E541-8977-D49EBF5D392A}" presName="background3" presStyleLbl="node3" presStyleIdx="0" presStyleCnt="4"/>
      <dgm:spPr/>
    </dgm:pt>
    <dgm:pt modelId="{0B45D9A2-4E18-634A-B70B-8ECBE0DC0AE6}" type="pres">
      <dgm:prSet presAssocID="{D2DCA103-7A15-E541-8977-D49EBF5D392A}" presName="text3" presStyleLbl="fgAcc3" presStyleIdx="0" presStyleCnt="4">
        <dgm:presLayoutVars>
          <dgm:chPref val="3"/>
        </dgm:presLayoutVars>
      </dgm:prSet>
      <dgm:spPr/>
      <dgm:t>
        <a:bodyPr/>
        <a:lstStyle/>
        <a:p>
          <a:endParaRPr lang="en-US"/>
        </a:p>
      </dgm:t>
    </dgm:pt>
    <dgm:pt modelId="{AA360262-F3A2-8447-952A-460D4F0F1CAE}" type="pres">
      <dgm:prSet presAssocID="{D2DCA103-7A15-E541-8977-D49EBF5D392A}" presName="hierChild4" presStyleCnt="0"/>
      <dgm:spPr/>
    </dgm:pt>
    <dgm:pt modelId="{7EB04D44-ED91-8646-BCBE-3ED3306A03AD}" type="pres">
      <dgm:prSet presAssocID="{753D11A2-4524-7B47-8908-CBAE3F618FF3}" presName="Name10" presStyleLbl="parChTrans1D2" presStyleIdx="1" presStyleCnt="4"/>
      <dgm:spPr/>
      <dgm:t>
        <a:bodyPr/>
        <a:lstStyle/>
        <a:p>
          <a:endParaRPr lang="en-US"/>
        </a:p>
      </dgm:t>
    </dgm:pt>
    <dgm:pt modelId="{AC89B61D-711B-A64F-AB19-6B7CCC25AE55}" type="pres">
      <dgm:prSet presAssocID="{3D2D4D02-A5C3-494C-AA17-9E741C304F0A}" presName="hierRoot2" presStyleCnt="0"/>
      <dgm:spPr/>
    </dgm:pt>
    <dgm:pt modelId="{E2AB0108-79C5-AE45-B6D3-776B3E26AFE6}" type="pres">
      <dgm:prSet presAssocID="{3D2D4D02-A5C3-494C-AA17-9E741C304F0A}" presName="composite2" presStyleCnt="0"/>
      <dgm:spPr/>
    </dgm:pt>
    <dgm:pt modelId="{48D7D30C-AB11-D946-8AEC-FD9B2A504183}" type="pres">
      <dgm:prSet presAssocID="{3D2D4D02-A5C3-494C-AA17-9E741C304F0A}" presName="background2" presStyleLbl="node2" presStyleIdx="1" presStyleCnt="4"/>
      <dgm:spPr/>
    </dgm:pt>
    <dgm:pt modelId="{721901F3-629C-D545-8A4A-CFEFECBE41BF}" type="pres">
      <dgm:prSet presAssocID="{3D2D4D02-A5C3-494C-AA17-9E741C304F0A}" presName="text2" presStyleLbl="fgAcc2" presStyleIdx="1" presStyleCnt="4">
        <dgm:presLayoutVars>
          <dgm:chPref val="3"/>
        </dgm:presLayoutVars>
      </dgm:prSet>
      <dgm:spPr/>
      <dgm:t>
        <a:bodyPr/>
        <a:lstStyle/>
        <a:p>
          <a:endParaRPr lang="en-US"/>
        </a:p>
      </dgm:t>
    </dgm:pt>
    <dgm:pt modelId="{01243898-A714-C948-9E12-68D3E20AB882}" type="pres">
      <dgm:prSet presAssocID="{3D2D4D02-A5C3-494C-AA17-9E741C304F0A}" presName="hierChild3" presStyleCnt="0"/>
      <dgm:spPr/>
    </dgm:pt>
    <dgm:pt modelId="{D4F4F276-AFD8-4247-8DC4-B4ACD3AC0C75}" type="pres">
      <dgm:prSet presAssocID="{A0416ECC-4A2A-1E45-B785-9209F187AC5C}" presName="Name17" presStyleLbl="parChTrans1D3" presStyleIdx="1" presStyleCnt="4"/>
      <dgm:spPr/>
      <dgm:t>
        <a:bodyPr/>
        <a:lstStyle/>
        <a:p>
          <a:endParaRPr lang="en-US"/>
        </a:p>
      </dgm:t>
    </dgm:pt>
    <dgm:pt modelId="{8225C9A2-E441-6E4C-92BC-572F9C84CE19}" type="pres">
      <dgm:prSet presAssocID="{F678D22A-E410-B44E-A48B-1A84784FE659}" presName="hierRoot3" presStyleCnt="0"/>
      <dgm:spPr/>
    </dgm:pt>
    <dgm:pt modelId="{080163C8-52EB-204F-939F-477A90FEFD5F}" type="pres">
      <dgm:prSet presAssocID="{F678D22A-E410-B44E-A48B-1A84784FE659}" presName="composite3" presStyleCnt="0"/>
      <dgm:spPr/>
    </dgm:pt>
    <dgm:pt modelId="{9166D8F7-1B4C-E041-81E9-30CF31DF6B1C}" type="pres">
      <dgm:prSet presAssocID="{F678D22A-E410-B44E-A48B-1A84784FE659}" presName="background3" presStyleLbl="node3" presStyleIdx="1" presStyleCnt="4"/>
      <dgm:spPr/>
    </dgm:pt>
    <dgm:pt modelId="{0C3384DB-4E62-1343-9B29-EA318FB39799}" type="pres">
      <dgm:prSet presAssocID="{F678D22A-E410-B44E-A48B-1A84784FE659}" presName="text3" presStyleLbl="fgAcc3" presStyleIdx="1" presStyleCnt="4">
        <dgm:presLayoutVars>
          <dgm:chPref val="3"/>
        </dgm:presLayoutVars>
      </dgm:prSet>
      <dgm:spPr/>
      <dgm:t>
        <a:bodyPr/>
        <a:lstStyle/>
        <a:p>
          <a:endParaRPr lang="en-US"/>
        </a:p>
      </dgm:t>
    </dgm:pt>
    <dgm:pt modelId="{336BB470-F2D1-5B46-AF15-3611975B4FEB}" type="pres">
      <dgm:prSet presAssocID="{F678D22A-E410-B44E-A48B-1A84784FE659}" presName="hierChild4" presStyleCnt="0"/>
      <dgm:spPr/>
    </dgm:pt>
    <dgm:pt modelId="{55508F5B-3B84-EF48-82B5-9D2C53F782BF}" type="pres">
      <dgm:prSet presAssocID="{438CBF3B-D0F4-9D48-A142-5F2D9150F864}" presName="Name10" presStyleLbl="parChTrans1D2" presStyleIdx="2" presStyleCnt="4"/>
      <dgm:spPr/>
      <dgm:t>
        <a:bodyPr/>
        <a:lstStyle/>
        <a:p>
          <a:endParaRPr lang="en-US"/>
        </a:p>
      </dgm:t>
    </dgm:pt>
    <dgm:pt modelId="{3F418DB2-B20B-7D44-A7EC-C64F53ECEB97}" type="pres">
      <dgm:prSet presAssocID="{68AB0310-AB85-8B45-9D41-620E4C594CB9}" presName="hierRoot2" presStyleCnt="0"/>
      <dgm:spPr/>
    </dgm:pt>
    <dgm:pt modelId="{DFC25FED-44BA-BB40-B97F-63549EDCF6DD}" type="pres">
      <dgm:prSet presAssocID="{68AB0310-AB85-8B45-9D41-620E4C594CB9}" presName="composite2" presStyleCnt="0"/>
      <dgm:spPr/>
    </dgm:pt>
    <dgm:pt modelId="{24560018-146F-0341-BCE4-266F61ACA491}" type="pres">
      <dgm:prSet presAssocID="{68AB0310-AB85-8B45-9D41-620E4C594CB9}" presName="background2" presStyleLbl="node2" presStyleIdx="2" presStyleCnt="4"/>
      <dgm:spPr/>
    </dgm:pt>
    <dgm:pt modelId="{53ED3188-B4DA-7A45-BB61-4FA1E01CEE04}" type="pres">
      <dgm:prSet presAssocID="{68AB0310-AB85-8B45-9D41-620E4C594CB9}" presName="text2" presStyleLbl="fgAcc2" presStyleIdx="2" presStyleCnt="4">
        <dgm:presLayoutVars>
          <dgm:chPref val="3"/>
        </dgm:presLayoutVars>
      </dgm:prSet>
      <dgm:spPr/>
      <dgm:t>
        <a:bodyPr/>
        <a:lstStyle/>
        <a:p>
          <a:endParaRPr lang="en-US"/>
        </a:p>
      </dgm:t>
    </dgm:pt>
    <dgm:pt modelId="{44C857B0-4564-104C-974B-CACC3D3843F2}" type="pres">
      <dgm:prSet presAssocID="{68AB0310-AB85-8B45-9D41-620E4C594CB9}" presName="hierChild3" presStyleCnt="0"/>
      <dgm:spPr/>
    </dgm:pt>
    <dgm:pt modelId="{158E4AD8-3313-1D47-B7CA-87E116655F38}" type="pres">
      <dgm:prSet presAssocID="{5AFFFC75-E306-A448-8ABD-18D9F8D6D3B9}" presName="Name17" presStyleLbl="parChTrans1D3" presStyleIdx="2" presStyleCnt="4"/>
      <dgm:spPr/>
      <dgm:t>
        <a:bodyPr/>
        <a:lstStyle/>
        <a:p>
          <a:endParaRPr lang="en-US"/>
        </a:p>
      </dgm:t>
    </dgm:pt>
    <dgm:pt modelId="{FADE98E4-877F-824E-8BEE-4F00578F1996}" type="pres">
      <dgm:prSet presAssocID="{BA4C6AE5-90E4-6F4B-AC3A-2BA1DBBDA93C}" presName="hierRoot3" presStyleCnt="0"/>
      <dgm:spPr/>
    </dgm:pt>
    <dgm:pt modelId="{0B9EB50A-EC87-FB4E-950F-D3E7B3E32EF8}" type="pres">
      <dgm:prSet presAssocID="{BA4C6AE5-90E4-6F4B-AC3A-2BA1DBBDA93C}" presName="composite3" presStyleCnt="0"/>
      <dgm:spPr/>
    </dgm:pt>
    <dgm:pt modelId="{978489A2-8BF7-9848-A9AC-08BA76F88668}" type="pres">
      <dgm:prSet presAssocID="{BA4C6AE5-90E4-6F4B-AC3A-2BA1DBBDA93C}" presName="background3" presStyleLbl="node3" presStyleIdx="2" presStyleCnt="4"/>
      <dgm:spPr/>
    </dgm:pt>
    <dgm:pt modelId="{A859854A-8142-9B40-8B3A-52E11BDD75A4}" type="pres">
      <dgm:prSet presAssocID="{BA4C6AE5-90E4-6F4B-AC3A-2BA1DBBDA93C}" presName="text3" presStyleLbl="fgAcc3" presStyleIdx="2" presStyleCnt="4" custLinFactNeighborX="1863" custLinFactNeighborY="-2933">
        <dgm:presLayoutVars>
          <dgm:chPref val="3"/>
        </dgm:presLayoutVars>
      </dgm:prSet>
      <dgm:spPr/>
      <dgm:t>
        <a:bodyPr/>
        <a:lstStyle/>
        <a:p>
          <a:endParaRPr lang="en-US"/>
        </a:p>
      </dgm:t>
    </dgm:pt>
    <dgm:pt modelId="{FA23B74A-3CD7-4442-B1CC-DC6348B08F59}" type="pres">
      <dgm:prSet presAssocID="{BA4C6AE5-90E4-6F4B-AC3A-2BA1DBBDA93C}" presName="hierChild4" presStyleCnt="0"/>
      <dgm:spPr/>
    </dgm:pt>
    <dgm:pt modelId="{5DD4A6E5-30D2-BC48-82EF-44AB6345F29B}" type="pres">
      <dgm:prSet presAssocID="{38A69577-B504-8043-B614-00033C4667ED}" presName="Name10" presStyleLbl="parChTrans1D2" presStyleIdx="3" presStyleCnt="4"/>
      <dgm:spPr/>
      <dgm:t>
        <a:bodyPr/>
        <a:lstStyle/>
        <a:p>
          <a:endParaRPr lang="en-US"/>
        </a:p>
      </dgm:t>
    </dgm:pt>
    <dgm:pt modelId="{BCCFF5D7-617E-1D4C-BF22-78FC77D967A1}" type="pres">
      <dgm:prSet presAssocID="{865DB265-2376-DB44-9068-8D396FBC6DA7}" presName="hierRoot2" presStyleCnt="0"/>
      <dgm:spPr/>
    </dgm:pt>
    <dgm:pt modelId="{6DBF0123-4E23-6C41-A78B-B7BBE67D8E28}" type="pres">
      <dgm:prSet presAssocID="{865DB265-2376-DB44-9068-8D396FBC6DA7}" presName="composite2" presStyleCnt="0"/>
      <dgm:spPr/>
    </dgm:pt>
    <dgm:pt modelId="{DC1DF888-6604-404C-9DB0-E21688DA45A4}" type="pres">
      <dgm:prSet presAssocID="{865DB265-2376-DB44-9068-8D396FBC6DA7}" presName="background2" presStyleLbl="node2" presStyleIdx="3" presStyleCnt="4"/>
      <dgm:spPr/>
    </dgm:pt>
    <dgm:pt modelId="{21A2662A-6AE3-1E4F-B5C1-E62D06573556}" type="pres">
      <dgm:prSet presAssocID="{865DB265-2376-DB44-9068-8D396FBC6DA7}" presName="text2" presStyleLbl="fgAcc2" presStyleIdx="3" presStyleCnt="4">
        <dgm:presLayoutVars>
          <dgm:chPref val="3"/>
        </dgm:presLayoutVars>
      </dgm:prSet>
      <dgm:spPr/>
      <dgm:t>
        <a:bodyPr/>
        <a:lstStyle/>
        <a:p>
          <a:endParaRPr lang="en-US"/>
        </a:p>
      </dgm:t>
    </dgm:pt>
    <dgm:pt modelId="{8EA1F0CC-2698-684A-BE71-C2C7FDE7D656}" type="pres">
      <dgm:prSet presAssocID="{865DB265-2376-DB44-9068-8D396FBC6DA7}" presName="hierChild3" presStyleCnt="0"/>
      <dgm:spPr/>
    </dgm:pt>
    <dgm:pt modelId="{CA9133C5-0C81-194A-B4FC-B30436310F7C}" type="pres">
      <dgm:prSet presAssocID="{646840C6-9D22-0940-94F4-BFE459C48682}" presName="Name17" presStyleLbl="parChTrans1D3" presStyleIdx="3" presStyleCnt="4"/>
      <dgm:spPr/>
      <dgm:t>
        <a:bodyPr/>
        <a:lstStyle/>
        <a:p>
          <a:endParaRPr lang="en-US"/>
        </a:p>
      </dgm:t>
    </dgm:pt>
    <dgm:pt modelId="{5E76053C-F5B1-874C-B7DA-073E93D3FDCF}" type="pres">
      <dgm:prSet presAssocID="{D667295C-1BF9-CA4C-89FE-8067C2D1C6D9}" presName="hierRoot3" presStyleCnt="0"/>
      <dgm:spPr/>
    </dgm:pt>
    <dgm:pt modelId="{69A108B0-3048-D643-B46D-C8A50E5927D5}" type="pres">
      <dgm:prSet presAssocID="{D667295C-1BF9-CA4C-89FE-8067C2D1C6D9}" presName="composite3" presStyleCnt="0"/>
      <dgm:spPr/>
    </dgm:pt>
    <dgm:pt modelId="{B8C5050B-80C8-CB42-9832-486811727B59}" type="pres">
      <dgm:prSet presAssocID="{D667295C-1BF9-CA4C-89FE-8067C2D1C6D9}" presName="background3" presStyleLbl="node3" presStyleIdx="3" presStyleCnt="4"/>
      <dgm:spPr/>
    </dgm:pt>
    <dgm:pt modelId="{259E6A64-F5A9-594E-A4DE-04EA642F0B2C}" type="pres">
      <dgm:prSet presAssocID="{D667295C-1BF9-CA4C-89FE-8067C2D1C6D9}" presName="text3" presStyleLbl="fgAcc3" presStyleIdx="3" presStyleCnt="4">
        <dgm:presLayoutVars>
          <dgm:chPref val="3"/>
        </dgm:presLayoutVars>
      </dgm:prSet>
      <dgm:spPr/>
      <dgm:t>
        <a:bodyPr/>
        <a:lstStyle/>
        <a:p>
          <a:endParaRPr lang="en-US"/>
        </a:p>
      </dgm:t>
    </dgm:pt>
    <dgm:pt modelId="{F2DCACEB-F27B-8F44-9DEE-94166A8189AA}" type="pres">
      <dgm:prSet presAssocID="{D667295C-1BF9-CA4C-89FE-8067C2D1C6D9}" presName="hierChild4" presStyleCnt="0"/>
      <dgm:spPr/>
    </dgm:pt>
  </dgm:ptLst>
  <dgm:cxnLst>
    <dgm:cxn modelId="{12C6AB8C-5391-4551-94D7-4914CCE21F5F}" type="presOf" srcId="{42E6C4B5-8A56-514D-9D10-12F50465C01E}" destId="{1223D048-6377-0849-A74E-A44C69F627A7}" srcOrd="0" destOrd="0" presId="urn:microsoft.com/office/officeart/2005/8/layout/hierarchy1"/>
    <dgm:cxn modelId="{DD6C083D-4A20-4991-96BF-F0DD26F38333}" type="presOf" srcId="{68AB0310-AB85-8B45-9D41-620E4C594CB9}" destId="{53ED3188-B4DA-7A45-BB61-4FA1E01CEE04}" srcOrd="0" destOrd="0" presId="urn:microsoft.com/office/officeart/2005/8/layout/hierarchy1"/>
    <dgm:cxn modelId="{51CB5848-4493-6241-ACA2-18B8C79CC465}" srcId="{6D2FF0AE-09F2-3B4F-8898-E83E0E959B53}" destId="{D2DCA103-7A15-E541-8977-D49EBF5D392A}" srcOrd="0" destOrd="0" parTransId="{3E507491-2711-B94A-A1E9-461017E29ECB}" sibTransId="{75494C60-AE7C-F040-9E1A-86278EAD1EE7}"/>
    <dgm:cxn modelId="{E7277451-6F21-5244-B955-07DC47A1AE22}" srcId="{68FDA15D-0887-2443-A357-BD07E2464A58}" destId="{3D2D4D02-A5C3-494C-AA17-9E741C304F0A}" srcOrd="1" destOrd="0" parTransId="{753D11A2-4524-7B47-8908-CBAE3F618FF3}" sibTransId="{EC748F1D-AD16-2449-99F5-527CC00A62C5}"/>
    <dgm:cxn modelId="{9DC91D44-96DE-4DD6-B8AF-1AB229BA1426}" type="presOf" srcId="{BA4C6AE5-90E4-6F4B-AC3A-2BA1DBBDA93C}" destId="{A859854A-8142-9B40-8B3A-52E11BDD75A4}" srcOrd="0" destOrd="0" presId="urn:microsoft.com/office/officeart/2005/8/layout/hierarchy1"/>
    <dgm:cxn modelId="{BE73C277-B953-4A8C-81E8-9CD0077B3C0F}" type="presOf" srcId="{68FDA15D-0887-2443-A357-BD07E2464A58}" destId="{7527AFBF-24BC-6048-8CA6-468956327B51}" srcOrd="0" destOrd="0" presId="urn:microsoft.com/office/officeart/2005/8/layout/hierarchy1"/>
    <dgm:cxn modelId="{723DA3C3-9C21-4C56-90D3-C49AC040ADC9}" type="presOf" srcId="{3E507491-2711-B94A-A1E9-461017E29ECB}" destId="{53AE8375-F2A8-764C-BA20-CDF18A3A8521}" srcOrd="0" destOrd="0" presId="urn:microsoft.com/office/officeart/2005/8/layout/hierarchy1"/>
    <dgm:cxn modelId="{F7E5F7A3-9E41-2345-9E03-13E93E2D009F}" srcId="{68FDA15D-0887-2443-A357-BD07E2464A58}" destId="{6D2FF0AE-09F2-3B4F-8898-E83E0E959B53}" srcOrd="0" destOrd="0" parTransId="{1B681A8F-A554-1F44-BADD-518AA499E287}" sibTransId="{08A2C5CA-1BDC-A34B-989F-D07222DCBB12}"/>
    <dgm:cxn modelId="{004BCFB3-616B-FA40-BED8-9BD36B2DAB0D}" srcId="{68AB0310-AB85-8B45-9D41-620E4C594CB9}" destId="{BA4C6AE5-90E4-6F4B-AC3A-2BA1DBBDA93C}" srcOrd="0" destOrd="0" parTransId="{5AFFFC75-E306-A448-8ABD-18D9F8D6D3B9}" sibTransId="{6FC22C72-1DB9-B84F-AA76-96D45910536C}"/>
    <dgm:cxn modelId="{9F69F9FE-EDAA-4954-9181-444CF8190C2C}" type="presOf" srcId="{D667295C-1BF9-CA4C-89FE-8067C2D1C6D9}" destId="{259E6A64-F5A9-594E-A4DE-04EA642F0B2C}" srcOrd="0" destOrd="0" presId="urn:microsoft.com/office/officeart/2005/8/layout/hierarchy1"/>
    <dgm:cxn modelId="{0224C635-C58D-5143-9153-DA302C191A81}" srcId="{3D2D4D02-A5C3-494C-AA17-9E741C304F0A}" destId="{F678D22A-E410-B44E-A48B-1A84784FE659}" srcOrd="0" destOrd="0" parTransId="{A0416ECC-4A2A-1E45-B785-9209F187AC5C}" sibTransId="{C9DE0A3D-5B2E-A940-A111-D11D4E220410}"/>
    <dgm:cxn modelId="{187580A9-A310-48F1-85B0-93DFD6C97755}" type="presOf" srcId="{38A69577-B504-8043-B614-00033C4667ED}" destId="{5DD4A6E5-30D2-BC48-82EF-44AB6345F29B}" srcOrd="0" destOrd="0" presId="urn:microsoft.com/office/officeart/2005/8/layout/hierarchy1"/>
    <dgm:cxn modelId="{B909D31E-1CD7-4AEA-B456-2E9A6A7B7550}" type="presOf" srcId="{1B681A8F-A554-1F44-BADD-518AA499E287}" destId="{BD5CF76E-544D-E04C-BB86-76DDAD6F7AB3}" srcOrd="0" destOrd="0" presId="urn:microsoft.com/office/officeart/2005/8/layout/hierarchy1"/>
    <dgm:cxn modelId="{9C7A46B1-4190-43F2-BC0A-E6D5D2B00346}" type="presOf" srcId="{6D2FF0AE-09F2-3B4F-8898-E83E0E959B53}" destId="{4435B795-5104-6F4A-8C6E-2A14B1B46FD7}" srcOrd="0" destOrd="0" presId="urn:microsoft.com/office/officeart/2005/8/layout/hierarchy1"/>
    <dgm:cxn modelId="{5F2BDC24-79D8-4120-B3B2-409422BA3879}" type="presOf" srcId="{865DB265-2376-DB44-9068-8D396FBC6DA7}" destId="{21A2662A-6AE3-1E4F-B5C1-E62D06573556}" srcOrd="0" destOrd="0" presId="urn:microsoft.com/office/officeart/2005/8/layout/hierarchy1"/>
    <dgm:cxn modelId="{A6C33D4A-E7BE-894C-B668-16EE86CD664B}" srcId="{68FDA15D-0887-2443-A357-BD07E2464A58}" destId="{68AB0310-AB85-8B45-9D41-620E4C594CB9}" srcOrd="2" destOrd="0" parTransId="{438CBF3B-D0F4-9D48-A142-5F2D9150F864}" sibTransId="{24EA5C2C-3B86-4447-B442-14CF2CCF0332}"/>
    <dgm:cxn modelId="{6A633443-9C7B-4109-BFF3-A6A7DEE94F3B}" type="presOf" srcId="{D2DCA103-7A15-E541-8977-D49EBF5D392A}" destId="{0B45D9A2-4E18-634A-B70B-8ECBE0DC0AE6}" srcOrd="0" destOrd="0" presId="urn:microsoft.com/office/officeart/2005/8/layout/hierarchy1"/>
    <dgm:cxn modelId="{030AFB78-14DD-4696-A603-F6BF7343B680}" type="presOf" srcId="{A0416ECC-4A2A-1E45-B785-9209F187AC5C}" destId="{D4F4F276-AFD8-4247-8DC4-B4ACD3AC0C75}" srcOrd="0" destOrd="0" presId="urn:microsoft.com/office/officeart/2005/8/layout/hierarchy1"/>
    <dgm:cxn modelId="{38A11014-D2BE-1A45-A490-3A4D118DBAD0}" srcId="{865DB265-2376-DB44-9068-8D396FBC6DA7}" destId="{D667295C-1BF9-CA4C-89FE-8067C2D1C6D9}" srcOrd="0" destOrd="0" parTransId="{646840C6-9D22-0940-94F4-BFE459C48682}" sibTransId="{34CD74AD-E99B-D34E-9054-03EC226A45FE}"/>
    <dgm:cxn modelId="{CB1EE26B-C02A-4458-A6F5-394193E25DA9}" type="presOf" srcId="{3D2D4D02-A5C3-494C-AA17-9E741C304F0A}" destId="{721901F3-629C-D545-8A4A-CFEFECBE41BF}" srcOrd="0" destOrd="0" presId="urn:microsoft.com/office/officeart/2005/8/layout/hierarchy1"/>
    <dgm:cxn modelId="{D97498A0-2266-FF40-91F3-B6BE55EDB390}" srcId="{68FDA15D-0887-2443-A357-BD07E2464A58}" destId="{865DB265-2376-DB44-9068-8D396FBC6DA7}" srcOrd="3" destOrd="0" parTransId="{38A69577-B504-8043-B614-00033C4667ED}" sibTransId="{F8E931C3-303A-2342-BE12-B6D4426BF06B}"/>
    <dgm:cxn modelId="{07FBC32F-90F4-4BE2-B81A-BE26326B72F6}" type="presOf" srcId="{646840C6-9D22-0940-94F4-BFE459C48682}" destId="{CA9133C5-0C81-194A-B4FC-B30436310F7C}" srcOrd="0" destOrd="0" presId="urn:microsoft.com/office/officeart/2005/8/layout/hierarchy1"/>
    <dgm:cxn modelId="{51473E4A-EBCC-492A-A209-4108E68AA0D9}" type="presOf" srcId="{753D11A2-4524-7B47-8908-CBAE3F618FF3}" destId="{7EB04D44-ED91-8646-BCBE-3ED3306A03AD}" srcOrd="0" destOrd="0" presId="urn:microsoft.com/office/officeart/2005/8/layout/hierarchy1"/>
    <dgm:cxn modelId="{E90D160D-97C5-4BFC-B01F-9FEA9878D9A2}" type="presOf" srcId="{F678D22A-E410-B44E-A48B-1A84784FE659}" destId="{0C3384DB-4E62-1343-9B29-EA318FB39799}" srcOrd="0" destOrd="0" presId="urn:microsoft.com/office/officeart/2005/8/layout/hierarchy1"/>
    <dgm:cxn modelId="{0C5029DC-DCC3-44CF-AB4A-08C1E192A001}" type="presOf" srcId="{438CBF3B-D0F4-9D48-A142-5F2D9150F864}" destId="{55508F5B-3B84-EF48-82B5-9D2C53F782BF}" srcOrd="0" destOrd="0" presId="urn:microsoft.com/office/officeart/2005/8/layout/hierarchy1"/>
    <dgm:cxn modelId="{CB6ABF6C-019D-144E-986F-9899D31F1193}" srcId="{42E6C4B5-8A56-514D-9D10-12F50465C01E}" destId="{68FDA15D-0887-2443-A357-BD07E2464A58}" srcOrd="0" destOrd="0" parTransId="{2CC59307-EFC1-3E41-9FED-F69EED576899}" sibTransId="{936BC09F-10A8-5F4E-B523-6DF3571782A4}"/>
    <dgm:cxn modelId="{3E961379-0B6A-4AF2-8969-ED1CB1376BED}" type="presOf" srcId="{5AFFFC75-E306-A448-8ABD-18D9F8D6D3B9}" destId="{158E4AD8-3313-1D47-B7CA-87E116655F38}" srcOrd="0" destOrd="0" presId="urn:microsoft.com/office/officeart/2005/8/layout/hierarchy1"/>
    <dgm:cxn modelId="{B894964B-F82D-4357-8D0A-9B75DA0A8C8A}" type="presParOf" srcId="{1223D048-6377-0849-A74E-A44C69F627A7}" destId="{6BF0587A-F26B-F94E-80BA-9550E9BD1B6C}" srcOrd="0" destOrd="0" presId="urn:microsoft.com/office/officeart/2005/8/layout/hierarchy1"/>
    <dgm:cxn modelId="{E5C6119F-79DD-4924-9CE3-7F458B6CA5B3}" type="presParOf" srcId="{6BF0587A-F26B-F94E-80BA-9550E9BD1B6C}" destId="{5CF6D649-3736-C14A-8CE5-DF66A61B1B4F}" srcOrd="0" destOrd="0" presId="urn:microsoft.com/office/officeart/2005/8/layout/hierarchy1"/>
    <dgm:cxn modelId="{11E91607-5E7D-4C13-8B98-E63456FE0974}" type="presParOf" srcId="{5CF6D649-3736-C14A-8CE5-DF66A61B1B4F}" destId="{157D4998-21CF-A248-83EB-0106527C25EC}" srcOrd="0" destOrd="0" presId="urn:microsoft.com/office/officeart/2005/8/layout/hierarchy1"/>
    <dgm:cxn modelId="{8BE841E5-1B23-43E5-BE63-E466BD44BB9A}" type="presParOf" srcId="{5CF6D649-3736-C14A-8CE5-DF66A61B1B4F}" destId="{7527AFBF-24BC-6048-8CA6-468956327B51}" srcOrd="1" destOrd="0" presId="urn:microsoft.com/office/officeart/2005/8/layout/hierarchy1"/>
    <dgm:cxn modelId="{BED05854-1861-45AC-B9BE-FAAF996B4574}" type="presParOf" srcId="{6BF0587A-F26B-F94E-80BA-9550E9BD1B6C}" destId="{39F965AE-B422-8447-9BA9-FC4015A2122A}" srcOrd="1" destOrd="0" presId="urn:microsoft.com/office/officeart/2005/8/layout/hierarchy1"/>
    <dgm:cxn modelId="{38EF32DC-BBA3-41AE-B540-1C325F16F96A}" type="presParOf" srcId="{39F965AE-B422-8447-9BA9-FC4015A2122A}" destId="{BD5CF76E-544D-E04C-BB86-76DDAD6F7AB3}" srcOrd="0" destOrd="0" presId="urn:microsoft.com/office/officeart/2005/8/layout/hierarchy1"/>
    <dgm:cxn modelId="{BC35B122-57F8-4FF3-BED3-00D67002C146}" type="presParOf" srcId="{39F965AE-B422-8447-9BA9-FC4015A2122A}" destId="{A51BDB54-F392-CB48-88B5-BF4D5FF8F3AE}" srcOrd="1" destOrd="0" presId="urn:microsoft.com/office/officeart/2005/8/layout/hierarchy1"/>
    <dgm:cxn modelId="{ABBB08EA-1374-41EB-9418-CA2EA3B7CDC2}" type="presParOf" srcId="{A51BDB54-F392-CB48-88B5-BF4D5FF8F3AE}" destId="{A8AA713F-4182-2646-8D59-439D40ED64C9}" srcOrd="0" destOrd="0" presId="urn:microsoft.com/office/officeart/2005/8/layout/hierarchy1"/>
    <dgm:cxn modelId="{6CF212C1-B02C-420B-8067-825B3E7E930F}" type="presParOf" srcId="{A8AA713F-4182-2646-8D59-439D40ED64C9}" destId="{54A8B529-F9E3-4141-8DC9-99339199C884}" srcOrd="0" destOrd="0" presId="urn:microsoft.com/office/officeart/2005/8/layout/hierarchy1"/>
    <dgm:cxn modelId="{6FE11D92-3B83-4875-8AD6-76DE44DBB16B}" type="presParOf" srcId="{A8AA713F-4182-2646-8D59-439D40ED64C9}" destId="{4435B795-5104-6F4A-8C6E-2A14B1B46FD7}" srcOrd="1" destOrd="0" presId="urn:microsoft.com/office/officeart/2005/8/layout/hierarchy1"/>
    <dgm:cxn modelId="{124D75B9-CF56-4014-B182-6B8B112184F8}" type="presParOf" srcId="{A51BDB54-F392-CB48-88B5-BF4D5FF8F3AE}" destId="{8BD5E129-C5BB-164C-9FF5-228278421498}" srcOrd="1" destOrd="0" presId="urn:microsoft.com/office/officeart/2005/8/layout/hierarchy1"/>
    <dgm:cxn modelId="{DC351366-4B5E-432F-9807-CC7EBD49BCBA}" type="presParOf" srcId="{8BD5E129-C5BB-164C-9FF5-228278421498}" destId="{53AE8375-F2A8-764C-BA20-CDF18A3A8521}" srcOrd="0" destOrd="0" presId="urn:microsoft.com/office/officeart/2005/8/layout/hierarchy1"/>
    <dgm:cxn modelId="{E624D42E-F611-4B17-B351-AB0FED32E87D}" type="presParOf" srcId="{8BD5E129-C5BB-164C-9FF5-228278421498}" destId="{EEFD2779-1B03-4243-8B58-BDFAB6E93AB1}" srcOrd="1" destOrd="0" presId="urn:microsoft.com/office/officeart/2005/8/layout/hierarchy1"/>
    <dgm:cxn modelId="{2201D27C-C27D-442E-B2BC-91D1752BD22F}" type="presParOf" srcId="{EEFD2779-1B03-4243-8B58-BDFAB6E93AB1}" destId="{8CB8A041-395B-5543-AB2E-7DA6CCEB4966}" srcOrd="0" destOrd="0" presId="urn:microsoft.com/office/officeart/2005/8/layout/hierarchy1"/>
    <dgm:cxn modelId="{E5742BAA-BC3D-4930-8DC4-309D78204FE7}" type="presParOf" srcId="{8CB8A041-395B-5543-AB2E-7DA6CCEB4966}" destId="{3240397F-0654-6F4E-864F-1CFB9BF37823}" srcOrd="0" destOrd="0" presId="urn:microsoft.com/office/officeart/2005/8/layout/hierarchy1"/>
    <dgm:cxn modelId="{CA1F8E44-364D-41B2-A850-ED8265AF9881}" type="presParOf" srcId="{8CB8A041-395B-5543-AB2E-7DA6CCEB4966}" destId="{0B45D9A2-4E18-634A-B70B-8ECBE0DC0AE6}" srcOrd="1" destOrd="0" presId="urn:microsoft.com/office/officeart/2005/8/layout/hierarchy1"/>
    <dgm:cxn modelId="{F298E8CB-39C4-43D4-BB15-8687E7CE1FC1}" type="presParOf" srcId="{EEFD2779-1B03-4243-8B58-BDFAB6E93AB1}" destId="{AA360262-F3A2-8447-952A-460D4F0F1CAE}" srcOrd="1" destOrd="0" presId="urn:microsoft.com/office/officeart/2005/8/layout/hierarchy1"/>
    <dgm:cxn modelId="{370D2BEF-937C-4C46-8C3E-64FC80838238}" type="presParOf" srcId="{39F965AE-B422-8447-9BA9-FC4015A2122A}" destId="{7EB04D44-ED91-8646-BCBE-3ED3306A03AD}" srcOrd="2" destOrd="0" presId="urn:microsoft.com/office/officeart/2005/8/layout/hierarchy1"/>
    <dgm:cxn modelId="{7BE65FDA-602B-42BA-84BB-F6855AD95C1A}" type="presParOf" srcId="{39F965AE-B422-8447-9BA9-FC4015A2122A}" destId="{AC89B61D-711B-A64F-AB19-6B7CCC25AE55}" srcOrd="3" destOrd="0" presId="urn:microsoft.com/office/officeart/2005/8/layout/hierarchy1"/>
    <dgm:cxn modelId="{95117CC5-11BE-4F9B-8362-9F5DFFBBF1BD}" type="presParOf" srcId="{AC89B61D-711B-A64F-AB19-6B7CCC25AE55}" destId="{E2AB0108-79C5-AE45-B6D3-776B3E26AFE6}" srcOrd="0" destOrd="0" presId="urn:microsoft.com/office/officeart/2005/8/layout/hierarchy1"/>
    <dgm:cxn modelId="{4BFB5B57-4E7B-4C2B-87CD-514438E57C6F}" type="presParOf" srcId="{E2AB0108-79C5-AE45-B6D3-776B3E26AFE6}" destId="{48D7D30C-AB11-D946-8AEC-FD9B2A504183}" srcOrd="0" destOrd="0" presId="urn:microsoft.com/office/officeart/2005/8/layout/hierarchy1"/>
    <dgm:cxn modelId="{B1129658-10CE-4563-91C2-BABF1CAB1559}" type="presParOf" srcId="{E2AB0108-79C5-AE45-B6D3-776B3E26AFE6}" destId="{721901F3-629C-D545-8A4A-CFEFECBE41BF}" srcOrd="1" destOrd="0" presId="urn:microsoft.com/office/officeart/2005/8/layout/hierarchy1"/>
    <dgm:cxn modelId="{4E42E164-5797-4993-A5C5-87D196E37FD7}" type="presParOf" srcId="{AC89B61D-711B-A64F-AB19-6B7CCC25AE55}" destId="{01243898-A714-C948-9E12-68D3E20AB882}" srcOrd="1" destOrd="0" presId="urn:microsoft.com/office/officeart/2005/8/layout/hierarchy1"/>
    <dgm:cxn modelId="{825A93CC-134C-4427-857C-34F0EAB67AA4}" type="presParOf" srcId="{01243898-A714-C948-9E12-68D3E20AB882}" destId="{D4F4F276-AFD8-4247-8DC4-B4ACD3AC0C75}" srcOrd="0" destOrd="0" presId="urn:microsoft.com/office/officeart/2005/8/layout/hierarchy1"/>
    <dgm:cxn modelId="{8A8FCE10-D0E4-4DE9-A547-75FE598F22D7}" type="presParOf" srcId="{01243898-A714-C948-9E12-68D3E20AB882}" destId="{8225C9A2-E441-6E4C-92BC-572F9C84CE19}" srcOrd="1" destOrd="0" presId="urn:microsoft.com/office/officeart/2005/8/layout/hierarchy1"/>
    <dgm:cxn modelId="{D95EBB26-F2AF-4BC6-BD6C-62144D33263F}" type="presParOf" srcId="{8225C9A2-E441-6E4C-92BC-572F9C84CE19}" destId="{080163C8-52EB-204F-939F-477A90FEFD5F}" srcOrd="0" destOrd="0" presId="urn:microsoft.com/office/officeart/2005/8/layout/hierarchy1"/>
    <dgm:cxn modelId="{38BB1DEE-707B-4D1C-A336-5993AE6A0798}" type="presParOf" srcId="{080163C8-52EB-204F-939F-477A90FEFD5F}" destId="{9166D8F7-1B4C-E041-81E9-30CF31DF6B1C}" srcOrd="0" destOrd="0" presId="urn:microsoft.com/office/officeart/2005/8/layout/hierarchy1"/>
    <dgm:cxn modelId="{C8AEC383-316D-4FAE-8F55-64EFF25F6188}" type="presParOf" srcId="{080163C8-52EB-204F-939F-477A90FEFD5F}" destId="{0C3384DB-4E62-1343-9B29-EA318FB39799}" srcOrd="1" destOrd="0" presId="urn:microsoft.com/office/officeart/2005/8/layout/hierarchy1"/>
    <dgm:cxn modelId="{DDFF17F7-C28C-4CE1-918E-374DF419632D}" type="presParOf" srcId="{8225C9A2-E441-6E4C-92BC-572F9C84CE19}" destId="{336BB470-F2D1-5B46-AF15-3611975B4FEB}" srcOrd="1" destOrd="0" presId="urn:microsoft.com/office/officeart/2005/8/layout/hierarchy1"/>
    <dgm:cxn modelId="{FA234583-A6CC-4CC0-8057-B0420A412861}" type="presParOf" srcId="{39F965AE-B422-8447-9BA9-FC4015A2122A}" destId="{55508F5B-3B84-EF48-82B5-9D2C53F782BF}" srcOrd="4" destOrd="0" presId="urn:microsoft.com/office/officeart/2005/8/layout/hierarchy1"/>
    <dgm:cxn modelId="{AFEB2498-F0CF-4FD9-8C4C-8BEE01771207}" type="presParOf" srcId="{39F965AE-B422-8447-9BA9-FC4015A2122A}" destId="{3F418DB2-B20B-7D44-A7EC-C64F53ECEB97}" srcOrd="5" destOrd="0" presId="urn:microsoft.com/office/officeart/2005/8/layout/hierarchy1"/>
    <dgm:cxn modelId="{7F7BFBD6-927D-4422-8BA1-2BC61087056D}" type="presParOf" srcId="{3F418DB2-B20B-7D44-A7EC-C64F53ECEB97}" destId="{DFC25FED-44BA-BB40-B97F-63549EDCF6DD}" srcOrd="0" destOrd="0" presId="urn:microsoft.com/office/officeart/2005/8/layout/hierarchy1"/>
    <dgm:cxn modelId="{5E54D406-23F7-4E8D-B864-9A3B833A4346}" type="presParOf" srcId="{DFC25FED-44BA-BB40-B97F-63549EDCF6DD}" destId="{24560018-146F-0341-BCE4-266F61ACA491}" srcOrd="0" destOrd="0" presId="urn:microsoft.com/office/officeart/2005/8/layout/hierarchy1"/>
    <dgm:cxn modelId="{8AF955CE-42B0-4E67-90C3-D06EC46307CC}" type="presParOf" srcId="{DFC25FED-44BA-BB40-B97F-63549EDCF6DD}" destId="{53ED3188-B4DA-7A45-BB61-4FA1E01CEE04}" srcOrd="1" destOrd="0" presId="urn:microsoft.com/office/officeart/2005/8/layout/hierarchy1"/>
    <dgm:cxn modelId="{27AEB7D4-013E-4674-AB2B-6D6BB0F8F6DE}" type="presParOf" srcId="{3F418DB2-B20B-7D44-A7EC-C64F53ECEB97}" destId="{44C857B0-4564-104C-974B-CACC3D3843F2}" srcOrd="1" destOrd="0" presId="urn:microsoft.com/office/officeart/2005/8/layout/hierarchy1"/>
    <dgm:cxn modelId="{1156CC55-35C2-47C5-9290-B23E91E6DEC9}" type="presParOf" srcId="{44C857B0-4564-104C-974B-CACC3D3843F2}" destId="{158E4AD8-3313-1D47-B7CA-87E116655F38}" srcOrd="0" destOrd="0" presId="urn:microsoft.com/office/officeart/2005/8/layout/hierarchy1"/>
    <dgm:cxn modelId="{039B748E-883F-4B3D-91F4-277BB6543C36}" type="presParOf" srcId="{44C857B0-4564-104C-974B-CACC3D3843F2}" destId="{FADE98E4-877F-824E-8BEE-4F00578F1996}" srcOrd="1" destOrd="0" presId="urn:microsoft.com/office/officeart/2005/8/layout/hierarchy1"/>
    <dgm:cxn modelId="{A95924B6-6C0A-4AD8-B87B-538E7950FE8C}" type="presParOf" srcId="{FADE98E4-877F-824E-8BEE-4F00578F1996}" destId="{0B9EB50A-EC87-FB4E-950F-D3E7B3E32EF8}" srcOrd="0" destOrd="0" presId="urn:microsoft.com/office/officeart/2005/8/layout/hierarchy1"/>
    <dgm:cxn modelId="{170E34CC-1009-4832-B086-4214C64C5822}" type="presParOf" srcId="{0B9EB50A-EC87-FB4E-950F-D3E7B3E32EF8}" destId="{978489A2-8BF7-9848-A9AC-08BA76F88668}" srcOrd="0" destOrd="0" presId="urn:microsoft.com/office/officeart/2005/8/layout/hierarchy1"/>
    <dgm:cxn modelId="{6AA9F1C3-23ED-46C1-BBD3-4EC37EA5EF3F}" type="presParOf" srcId="{0B9EB50A-EC87-FB4E-950F-D3E7B3E32EF8}" destId="{A859854A-8142-9B40-8B3A-52E11BDD75A4}" srcOrd="1" destOrd="0" presId="urn:microsoft.com/office/officeart/2005/8/layout/hierarchy1"/>
    <dgm:cxn modelId="{04BC41AA-991E-4A39-9FE9-9F8B63941D00}" type="presParOf" srcId="{FADE98E4-877F-824E-8BEE-4F00578F1996}" destId="{FA23B74A-3CD7-4442-B1CC-DC6348B08F59}" srcOrd="1" destOrd="0" presId="urn:microsoft.com/office/officeart/2005/8/layout/hierarchy1"/>
    <dgm:cxn modelId="{D66E94AA-7B1E-49DC-8869-99A12CB6CBA8}" type="presParOf" srcId="{39F965AE-B422-8447-9BA9-FC4015A2122A}" destId="{5DD4A6E5-30D2-BC48-82EF-44AB6345F29B}" srcOrd="6" destOrd="0" presId="urn:microsoft.com/office/officeart/2005/8/layout/hierarchy1"/>
    <dgm:cxn modelId="{F200D963-E799-4163-91A8-925EA646844F}" type="presParOf" srcId="{39F965AE-B422-8447-9BA9-FC4015A2122A}" destId="{BCCFF5D7-617E-1D4C-BF22-78FC77D967A1}" srcOrd="7" destOrd="0" presId="urn:microsoft.com/office/officeart/2005/8/layout/hierarchy1"/>
    <dgm:cxn modelId="{38B3D565-936A-426F-A717-816F7C04278D}" type="presParOf" srcId="{BCCFF5D7-617E-1D4C-BF22-78FC77D967A1}" destId="{6DBF0123-4E23-6C41-A78B-B7BBE67D8E28}" srcOrd="0" destOrd="0" presId="urn:microsoft.com/office/officeart/2005/8/layout/hierarchy1"/>
    <dgm:cxn modelId="{952C49CC-1286-45D0-81CC-3D72A7999296}" type="presParOf" srcId="{6DBF0123-4E23-6C41-A78B-B7BBE67D8E28}" destId="{DC1DF888-6604-404C-9DB0-E21688DA45A4}" srcOrd="0" destOrd="0" presId="urn:microsoft.com/office/officeart/2005/8/layout/hierarchy1"/>
    <dgm:cxn modelId="{BBE983AC-7A9A-49B4-B374-B8F5C2DE4ADD}" type="presParOf" srcId="{6DBF0123-4E23-6C41-A78B-B7BBE67D8E28}" destId="{21A2662A-6AE3-1E4F-B5C1-E62D06573556}" srcOrd="1" destOrd="0" presId="urn:microsoft.com/office/officeart/2005/8/layout/hierarchy1"/>
    <dgm:cxn modelId="{DA01E903-F148-49D1-BA2D-B846A2B72094}" type="presParOf" srcId="{BCCFF5D7-617E-1D4C-BF22-78FC77D967A1}" destId="{8EA1F0CC-2698-684A-BE71-C2C7FDE7D656}" srcOrd="1" destOrd="0" presId="urn:microsoft.com/office/officeart/2005/8/layout/hierarchy1"/>
    <dgm:cxn modelId="{ECB7224E-1CBF-467A-803C-A16B70E27537}" type="presParOf" srcId="{8EA1F0CC-2698-684A-BE71-C2C7FDE7D656}" destId="{CA9133C5-0C81-194A-B4FC-B30436310F7C}" srcOrd="0" destOrd="0" presId="urn:microsoft.com/office/officeart/2005/8/layout/hierarchy1"/>
    <dgm:cxn modelId="{06AAE397-D24B-408B-8DD1-C4A90728E436}" type="presParOf" srcId="{8EA1F0CC-2698-684A-BE71-C2C7FDE7D656}" destId="{5E76053C-F5B1-874C-B7DA-073E93D3FDCF}" srcOrd="1" destOrd="0" presId="urn:microsoft.com/office/officeart/2005/8/layout/hierarchy1"/>
    <dgm:cxn modelId="{E86F5E45-5384-4B9A-997F-829249DD0C27}" type="presParOf" srcId="{5E76053C-F5B1-874C-B7DA-073E93D3FDCF}" destId="{69A108B0-3048-D643-B46D-C8A50E5927D5}" srcOrd="0" destOrd="0" presId="urn:microsoft.com/office/officeart/2005/8/layout/hierarchy1"/>
    <dgm:cxn modelId="{8B1D9F20-943A-4554-A056-EAD62473DE95}" type="presParOf" srcId="{69A108B0-3048-D643-B46D-C8A50E5927D5}" destId="{B8C5050B-80C8-CB42-9832-486811727B59}" srcOrd="0" destOrd="0" presId="urn:microsoft.com/office/officeart/2005/8/layout/hierarchy1"/>
    <dgm:cxn modelId="{177085B6-8E9A-47D0-B4BF-5573EB1837A2}" type="presParOf" srcId="{69A108B0-3048-D643-B46D-C8A50E5927D5}" destId="{259E6A64-F5A9-594E-A4DE-04EA642F0B2C}" srcOrd="1" destOrd="0" presId="urn:microsoft.com/office/officeart/2005/8/layout/hierarchy1"/>
    <dgm:cxn modelId="{B3D244CC-3630-4042-B7B8-695CAC47A46F}" type="presParOf" srcId="{5E76053C-F5B1-874C-B7DA-073E93D3FDCF}" destId="{F2DCACEB-F27B-8F44-9DEE-94166A8189AA}"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35406-CADA-1247-8D9B-DB1E49B01D90}">
      <dsp:nvSpPr>
        <dsp:cNvPr id="0" name=""/>
        <dsp:cNvSpPr/>
      </dsp:nvSpPr>
      <dsp:spPr>
        <a:xfrm>
          <a:off x="4707470" y="1408237"/>
          <a:ext cx="91440" cy="229343"/>
        </a:xfrm>
        <a:custGeom>
          <a:avLst/>
          <a:gdLst/>
          <a:ahLst/>
          <a:cxnLst/>
          <a:rect l="0" t="0" r="0" b="0"/>
          <a:pathLst>
            <a:path>
              <a:moveTo>
                <a:pt x="45720" y="0"/>
              </a:moveTo>
              <a:lnTo>
                <a:pt x="45720" y="22934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7BC5945-E818-B344-8506-B95295C26F38}">
      <dsp:nvSpPr>
        <dsp:cNvPr id="0" name=""/>
        <dsp:cNvSpPr/>
      </dsp:nvSpPr>
      <dsp:spPr>
        <a:xfrm>
          <a:off x="2818135" y="530892"/>
          <a:ext cx="1935055" cy="229343"/>
        </a:xfrm>
        <a:custGeom>
          <a:avLst/>
          <a:gdLst/>
          <a:ahLst/>
          <a:cxnLst/>
          <a:rect l="0" t="0" r="0" b="0"/>
          <a:pathLst>
            <a:path>
              <a:moveTo>
                <a:pt x="0" y="0"/>
              </a:moveTo>
              <a:lnTo>
                <a:pt x="0" y="156290"/>
              </a:lnTo>
              <a:lnTo>
                <a:pt x="1935055" y="156290"/>
              </a:lnTo>
              <a:lnTo>
                <a:pt x="1935055" y="22934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F67FA6-9FB1-5B43-B86A-7EEEA41F71AC}">
      <dsp:nvSpPr>
        <dsp:cNvPr id="0" name=""/>
        <dsp:cNvSpPr/>
      </dsp:nvSpPr>
      <dsp:spPr>
        <a:xfrm>
          <a:off x="2772415" y="1408237"/>
          <a:ext cx="91440" cy="229343"/>
        </a:xfrm>
        <a:custGeom>
          <a:avLst/>
          <a:gdLst/>
          <a:ahLst/>
          <a:cxnLst/>
          <a:rect l="0" t="0" r="0" b="0"/>
          <a:pathLst>
            <a:path>
              <a:moveTo>
                <a:pt x="45720" y="0"/>
              </a:moveTo>
              <a:lnTo>
                <a:pt x="45720" y="229343"/>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924054-80EA-A449-9724-38342A2168F5}">
      <dsp:nvSpPr>
        <dsp:cNvPr id="0" name=""/>
        <dsp:cNvSpPr/>
      </dsp:nvSpPr>
      <dsp:spPr>
        <a:xfrm>
          <a:off x="2772415" y="530892"/>
          <a:ext cx="91440" cy="229343"/>
        </a:xfrm>
        <a:custGeom>
          <a:avLst/>
          <a:gdLst/>
          <a:ahLst/>
          <a:cxnLst/>
          <a:rect l="0" t="0" r="0" b="0"/>
          <a:pathLst>
            <a:path>
              <a:moveTo>
                <a:pt x="45720" y="0"/>
              </a:moveTo>
              <a:lnTo>
                <a:pt x="45720" y="22934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70C8AB-C671-4448-8321-706CAAC5F716}">
      <dsp:nvSpPr>
        <dsp:cNvPr id="0" name=""/>
        <dsp:cNvSpPr/>
      </dsp:nvSpPr>
      <dsp:spPr>
        <a:xfrm>
          <a:off x="837360" y="1408237"/>
          <a:ext cx="91440" cy="229348"/>
        </a:xfrm>
        <a:custGeom>
          <a:avLst/>
          <a:gdLst/>
          <a:ahLst/>
          <a:cxnLst/>
          <a:rect l="0" t="0" r="0" b="0"/>
          <a:pathLst>
            <a:path>
              <a:moveTo>
                <a:pt x="45720" y="0"/>
              </a:moveTo>
              <a:lnTo>
                <a:pt x="45720" y="22934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A2D233-EEF1-D249-9E6A-BA4BC5AE6323}">
      <dsp:nvSpPr>
        <dsp:cNvPr id="0" name=""/>
        <dsp:cNvSpPr/>
      </dsp:nvSpPr>
      <dsp:spPr>
        <a:xfrm>
          <a:off x="883080" y="530892"/>
          <a:ext cx="1935055" cy="229343"/>
        </a:xfrm>
        <a:custGeom>
          <a:avLst/>
          <a:gdLst/>
          <a:ahLst/>
          <a:cxnLst/>
          <a:rect l="0" t="0" r="0" b="0"/>
          <a:pathLst>
            <a:path>
              <a:moveTo>
                <a:pt x="1935055" y="0"/>
              </a:moveTo>
              <a:lnTo>
                <a:pt x="1935055" y="156290"/>
              </a:lnTo>
              <a:lnTo>
                <a:pt x="0" y="156290"/>
              </a:lnTo>
              <a:lnTo>
                <a:pt x="0" y="229343"/>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6BEEC9-1343-4F4B-8EB6-9ED18D585908}">
      <dsp:nvSpPr>
        <dsp:cNvPr id="0" name=""/>
        <dsp:cNvSpPr/>
      </dsp:nvSpPr>
      <dsp:spPr>
        <a:xfrm>
          <a:off x="1939398" y="30148"/>
          <a:ext cx="1757474" cy="500743"/>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AE4C5FB-99FD-3746-A426-8B7B82B0ECF8}">
      <dsp:nvSpPr>
        <dsp:cNvPr id="0" name=""/>
        <dsp:cNvSpPr/>
      </dsp:nvSpPr>
      <dsp:spPr>
        <a:xfrm>
          <a:off x="2027017" y="113387"/>
          <a:ext cx="1757474" cy="500743"/>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 x Referred Items for patient assessment from EITHER</a:t>
          </a:r>
        </a:p>
      </dsp:txBody>
      <dsp:txXfrm>
        <a:off x="2041683" y="128053"/>
        <a:ext cx="1728142" cy="471411"/>
      </dsp:txXfrm>
    </dsp:sp>
    <dsp:sp modelId="{B6247777-C52F-2A4D-B35E-65A25504D12A}">
      <dsp:nvSpPr>
        <dsp:cNvPr id="0" name=""/>
        <dsp:cNvSpPr/>
      </dsp:nvSpPr>
      <dsp:spPr>
        <a:xfrm>
          <a:off x="3171" y="760235"/>
          <a:ext cx="1759816" cy="6480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CCF486-59F8-D745-9825-46D66E0AEB8B}">
      <dsp:nvSpPr>
        <dsp:cNvPr id="0" name=""/>
        <dsp:cNvSpPr/>
      </dsp:nvSpPr>
      <dsp:spPr>
        <a:xfrm>
          <a:off x="90791" y="843473"/>
          <a:ext cx="1759816"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1 Complex treatment and management plan</a:t>
          </a:r>
        </a:p>
      </dsp:txBody>
      <dsp:txXfrm>
        <a:off x="109770" y="862452"/>
        <a:ext cx="1721858" cy="610043"/>
      </dsp:txXfrm>
    </dsp:sp>
    <dsp:sp modelId="{7D031A81-3C79-E24E-9B61-A667317C7378}">
      <dsp:nvSpPr>
        <dsp:cNvPr id="0" name=""/>
        <dsp:cNvSpPr/>
      </dsp:nvSpPr>
      <dsp:spPr>
        <a:xfrm>
          <a:off x="19081" y="1637585"/>
          <a:ext cx="1727997" cy="6480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231145B-628B-7145-B228-E5144462EFD2}">
      <dsp:nvSpPr>
        <dsp:cNvPr id="0" name=""/>
        <dsp:cNvSpPr/>
      </dsp:nvSpPr>
      <dsp:spPr>
        <a:xfrm>
          <a:off x="106700" y="1720823"/>
          <a:ext cx="1727997"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0" i="1" kern="1200"/>
            <a:t>1 x MBS 132 </a:t>
          </a:r>
        </a:p>
        <a:p>
          <a:pPr lvl="0" algn="ctr" defTabSz="488950">
            <a:lnSpc>
              <a:spcPct val="100000"/>
            </a:lnSpc>
            <a:spcBef>
              <a:spcPct val="0"/>
            </a:spcBef>
            <a:spcAft>
              <a:spcPts val="0"/>
            </a:spcAft>
          </a:pPr>
          <a:r>
            <a:rPr lang="en-US" sz="1100" b="0" i="1" kern="1200"/>
            <a:t>($263.90)</a:t>
          </a:r>
        </a:p>
        <a:p>
          <a:pPr lvl="0" algn="ctr" defTabSz="488950">
            <a:lnSpc>
              <a:spcPct val="100000"/>
            </a:lnSpc>
            <a:spcBef>
              <a:spcPct val="0"/>
            </a:spcBef>
            <a:spcAft>
              <a:spcPts val="0"/>
            </a:spcAft>
          </a:pPr>
          <a:r>
            <a:rPr lang="en-US" sz="800" b="0" i="1" kern="1200" baseline="0"/>
            <a:t>85% ($224.35)</a:t>
          </a:r>
        </a:p>
        <a:p>
          <a:pPr lvl="0" algn="ctr" defTabSz="488950">
            <a:lnSpc>
              <a:spcPct val="100000"/>
            </a:lnSpc>
            <a:spcBef>
              <a:spcPct val="0"/>
            </a:spcBef>
            <a:spcAft>
              <a:spcPts val="0"/>
            </a:spcAft>
          </a:pPr>
          <a:r>
            <a:rPr lang="en-US" sz="800" b="0" i="1" kern="1200" baseline="0"/>
            <a:t>75% (197.95)</a:t>
          </a:r>
        </a:p>
      </dsp:txBody>
      <dsp:txXfrm>
        <a:off x="125679" y="1739802"/>
        <a:ext cx="1690039" cy="610043"/>
      </dsp:txXfrm>
    </dsp:sp>
    <dsp:sp modelId="{97A62F18-7A00-374E-8986-EDAC22F48AD6}">
      <dsp:nvSpPr>
        <dsp:cNvPr id="0" name=""/>
        <dsp:cNvSpPr/>
      </dsp:nvSpPr>
      <dsp:spPr>
        <a:xfrm>
          <a:off x="1938227" y="760235"/>
          <a:ext cx="1759816" cy="6480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EE312E0-BF0E-2544-BF55-126502F3871B}">
      <dsp:nvSpPr>
        <dsp:cNvPr id="0" name=""/>
        <dsp:cNvSpPr/>
      </dsp:nvSpPr>
      <dsp:spPr>
        <a:xfrm>
          <a:off x="2025846" y="843473"/>
          <a:ext cx="1759816"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AND 1 (existing) professional attendance item</a:t>
          </a:r>
        </a:p>
      </dsp:txBody>
      <dsp:txXfrm>
        <a:off x="2044825" y="862452"/>
        <a:ext cx="1721858" cy="610043"/>
      </dsp:txXfrm>
    </dsp:sp>
    <dsp:sp modelId="{E7AFA2AB-AD42-3849-B252-C1049F268CFA}">
      <dsp:nvSpPr>
        <dsp:cNvPr id="0" name=""/>
        <dsp:cNvSpPr/>
      </dsp:nvSpPr>
      <dsp:spPr>
        <a:xfrm>
          <a:off x="1954136" y="1637580"/>
          <a:ext cx="1727997" cy="6480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A36CA82-5AD9-0D41-AC08-7586BB839B98}">
      <dsp:nvSpPr>
        <dsp:cNvPr id="0" name=""/>
        <dsp:cNvSpPr/>
      </dsp:nvSpPr>
      <dsp:spPr>
        <a:xfrm>
          <a:off x="2041755" y="1720818"/>
          <a:ext cx="1727997"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0" i="1" kern="1200"/>
            <a:t>1 x MBS 3005</a:t>
          </a:r>
        </a:p>
        <a:p>
          <a:pPr lvl="0" algn="ctr" defTabSz="488950">
            <a:lnSpc>
              <a:spcPct val="100000"/>
            </a:lnSpc>
            <a:spcBef>
              <a:spcPct val="0"/>
            </a:spcBef>
            <a:spcAft>
              <a:spcPts val="0"/>
            </a:spcAft>
          </a:pPr>
          <a:r>
            <a:rPr lang="en-US" sz="1100" b="0" i="1" kern="1200"/>
            <a:t>($150.90)</a:t>
          </a:r>
        </a:p>
        <a:p>
          <a:pPr lvl="0" algn="ctr" defTabSz="488950">
            <a:lnSpc>
              <a:spcPct val="100000"/>
            </a:lnSpc>
            <a:spcBef>
              <a:spcPct val="0"/>
            </a:spcBef>
            <a:spcAft>
              <a:spcPts val="0"/>
            </a:spcAft>
          </a:pPr>
          <a:r>
            <a:rPr lang="en-US" sz="800" b="0" i="1" kern="1200"/>
            <a:t>85% ($128.30)</a:t>
          </a:r>
        </a:p>
        <a:p>
          <a:pPr lvl="0" algn="ctr" defTabSz="488950">
            <a:lnSpc>
              <a:spcPct val="100000"/>
            </a:lnSpc>
            <a:spcBef>
              <a:spcPct val="0"/>
            </a:spcBef>
            <a:spcAft>
              <a:spcPts val="0"/>
            </a:spcAft>
          </a:pPr>
          <a:r>
            <a:rPr lang="en-US" sz="800" b="0" i="1" kern="1200"/>
            <a:t>75% (113.20)</a:t>
          </a:r>
        </a:p>
      </dsp:txBody>
      <dsp:txXfrm>
        <a:off x="2060734" y="1739797"/>
        <a:ext cx="1690039" cy="610043"/>
      </dsp:txXfrm>
    </dsp:sp>
    <dsp:sp modelId="{B4B30BAE-4B4F-E04D-8A40-4735F4449F4E}">
      <dsp:nvSpPr>
        <dsp:cNvPr id="0" name=""/>
        <dsp:cNvSpPr/>
      </dsp:nvSpPr>
      <dsp:spPr>
        <a:xfrm>
          <a:off x="3873282" y="760235"/>
          <a:ext cx="1759816" cy="64800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E34DCFA-A85C-EB41-B84B-E188D718DF2F}">
      <dsp:nvSpPr>
        <dsp:cNvPr id="0" name=""/>
        <dsp:cNvSpPr/>
      </dsp:nvSpPr>
      <dsp:spPr>
        <a:xfrm>
          <a:off x="3960901" y="843473"/>
          <a:ext cx="1759816"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i="1" u="none" kern="1200">
              <a:solidFill>
                <a:srgbClr val="FF0000"/>
              </a:solidFill>
            </a:rPr>
            <a:t>OR</a:t>
          </a:r>
          <a:r>
            <a:rPr lang="en-US" sz="1100" b="1" i="0" kern="1200"/>
            <a:t> </a:t>
          </a:r>
          <a:r>
            <a:rPr lang="en-US" sz="1100" b="1" i="0" kern="1200">
              <a:solidFill>
                <a:srgbClr val="7F7F7F"/>
              </a:solidFill>
            </a:rPr>
            <a:t>No complex treatment and management planning </a:t>
          </a:r>
          <a:r>
            <a:rPr lang="en-US" sz="1100" b="1" i="0" kern="1200">
              <a:solidFill>
                <a:schemeClr val="tx1"/>
              </a:solidFill>
            </a:rPr>
            <a:t>2 x (existing) professional attendances</a:t>
          </a:r>
        </a:p>
      </dsp:txBody>
      <dsp:txXfrm>
        <a:off x="3979880" y="862452"/>
        <a:ext cx="1721858" cy="610043"/>
      </dsp:txXfrm>
    </dsp:sp>
    <dsp:sp modelId="{FA8A2077-348A-E84D-9CB3-EAC7D4FC1A25}">
      <dsp:nvSpPr>
        <dsp:cNvPr id="0" name=""/>
        <dsp:cNvSpPr/>
      </dsp:nvSpPr>
      <dsp:spPr>
        <a:xfrm>
          <a:off x="3889191" y="1637580"/>
          <a:ext cx="1727997" cy="64800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C57F56C-0010-5A40-BF36-8E4725E51055}">
      <dsp:nvSpPr>
        <dsp:cNvPr id="0" name=""/>
        <dsp:cNvSpPr/>
      </dsp:nvSpPr>
      <dsp:spPr>
        <a:xfrm>
          <a:off x="3976810" y="1720818"/>
          <a:ext cx="1727997" cy="64800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0" i="1" kern="1200">
              <a:solidFill>
                <a:srgbClr val="7F7F7F"/>
              </a:solidFill>
            </a:rPr>
            <a:t>2 x MBS 3005</a:t>
          </a:r>
        </a:p>
        <a:p>
          <a:pPr lvl="0" algn="ctr" defTabSz="488950">
            <a:lnSpc>
              <a:spcPct val="100000"/>
            </a:lnSpc>
            <a:spcBef>
              <a:spcPct val="0"/>
            </a:spcBef>
            <a:spcAft>
              <a:spcPts val="0"/>
            </a:spcAft>
          </a:pPr>
          <a:r>
            <a:rPr lang="en-US" sz="1100" b="0" i="1" kern="1200">
              <a:solidFill>
                <a:srgbClr val="7F7F7F"/>
              </a:solidFill>
            </a:rPr>
            <a:t>($150.90)</a:t>
          </a:r>
        </a:p>
        <a:p>
          <a:pPr lvl="0" algn="ctr" defTabSz="488950">
            <a:lnSpc>
              <a:spcPct val="100000"/>
            </a:lnSpc>
            <a:spcBef>
              <a:spcPct val="0"/>
            </a:spcBef>
            <a:spcAft>
              <a:spcPts val="0"/>
            </a:spcAft>
          </a:pPr>
          <a:r>
            <a:rPr lang="en-US" sz="800" b="0" i="1" kern="1200"/>
            <a:t>85% ($128.30)</a:t>
          </a:r>
        </a:p>
        <a:p>
          <a:pPr lvl="0" algn="ctr" defTabSz="488950">
            <a:lnSpc>
              <a:spcPct val="100000"/>
            </a:lnSpc>
            <a:spcBef>
              <a:spcPct val="0"/>
            </a:spcBef>
            <a:spcAft>
              <a:spcPts val="0"/>
            </a:spcAft>
          </a:pPr>
          <a:r>
            <a:rPr lang="en-US" sz="800" b="0" i="1" kern="1200">
              <a:solidFill>
                <a:sysClr val="windowText" lastClr="000000"/>
              </a:solidFill>
            </a:rPr>
            <a:t>75% ($113.20)</a:t>
          </a:r>
          <a:endParaRPr lang="en-US" sz="800" b="0" i="0" kern="1200">
            <a:solidFill>
              <a:sysClr val="windowText" lastClr="000000"/>
            </a:solidFill>
          </a:endParaRPr>
        </a:p>
      </dsp:txBody>
      <dsp:txXfrm>
        <a:off x="3995789" y="1739797"/>
        <a:ext cx="1690039" cy="6100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848747" y="1785201"/>
          <a:ext cx="91440" cy="332498"/>
        </a:xfrm>
        <a:custGeom>
          <a:avLst/>
          <a:gdLst/>
          <a:ahLst/>
          <a:cxnLst/>
          <a:rect l="0" t="0" r="0" b="0"/>
          <a:pathLst>
            <a:path>
              <a:moveTo>
                <a:pt x="45720" y="0"/>
              </a:moveTo>
              <a:lnTo>
                <a:pt x="45720" y="33249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798485" y="726730"/>
          <a:ext cx="2095981" cy="332498"/>
        </a:xfrm>
        <a:custGeom>
          <a:avLst/>
          <a:gdLst/>
          <a:ahLst/>
          <a:cxnLst/>
          <a:rect l="0" t="0" r="0" b="0"/>
          <a:pathLst>
            <a:path>
              <a:moveTo>
                <a:pt x="0" y="0"/>
              </a:moveTo>
              <a:lnTo>
                <a:pt x="0" y="226588"/>
              </a:lnTo>
              <a:lnTo>
                <a:pt x="2095981" y="226588"/>
              </a:lnTo>
              <a:lnTo>
                <a:pt x="2095981" y="33249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451425" y="1785201"/>
          <a:ext cx="91440" cy="332498"/>
        </a:xfrm>
        <a:custGeom>
          <a:avLst/>
          <a:gdLst/>
          <a:ahLst/>
          <a:cxnLst/>
          <a:rect l="0" t="0" r="0" b="0"/>
          <a:pathLst>
            <a:path>
              <a:moveTo>
                <a:pt x="45720" y="0"/>
              </a:moveTo>
              <a:lnTo>
                <a:pt x="45720" y="33249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798485" y="726730"/>
          <a:ext cx="698660" cy="332498"/>
        </a:xfrm>
        <a:custGeom>
          <a:avLst/>
          <a:gdLst/>
          <a:ahLst/>
          <a:cxnLst/>
          <a:rect l="0" t="0" r="0" b="0"/>
          <a:pathLst>
            <a:path>
              <a:moveTo>
                <a:pt x="0" y="0"/>
              </a:moveTo>
              <a:lnTo>
                <a:pt x="0" y="226588"/>
              </a:lnTo>
              <a:lnTo>
                <a:pt x="698660" y="226588"/>
              </a:lnTo>
              <a:lnTo>
                <a:pt x="698660" y="33249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2054104" y="1785201"/>
          <a:ext cx="91440" cy="332498"/>
        </a:xfrm>
        <a:custGeom>
          <a:avLst/>
          <a:gdLst/>
          <a:ahLst/>
          <a:cxnLst/>
          <a:rect l="0" t="0" r="0" b="0"/>
          <a:pathLst>
            <a:path>
              <a:moveTo>
                <a:pt x="45720" y="0"/>
              </a:moveTo>
              <a:lnTo>
                <a:pt x="45720" y="33249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2099824" y="726730"/>
          <a:ext cx="698660" cy="332498"/>
        </a:xfrm>
        <a:custGeom>
          <a:avLst/>
          <a:gdLst/>
          <a:ahLst/>
          <a:cxnLst/>
          <a:rect l="0" t="0" r="0" b="0"/>
          <a:pathLst>
            <a:path>
              <a:moveTo>
                <a:pt x="698660" y="0"/>
              </a:moveTo>
              <a:lnTo>
                <a:pt x="698660" y="226588"/>
              </a:lnTo>
              <a:lnTo>
                <a:pt x="0" y="226588"/>
              </a:lnTo>
              <a:lnTo>
                <a:pt x="0" y="33249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656783" y="1785201"/>
          <a:ext cx="91440" cy="332498"/>
        </a:xfrm>
        <a:custGeom>
          <a:avLst/>
          <a:gdLst/>
          <a:ahLst/>
          <a:cxnLst/>
          <a:rect l="0" t="0" r="0" b="0"/>
          <a:pathLst>
            <a:path>
              <a:moveTo>
                <a:pt x="45720" y="0"/>
              </a:moveTo>
              <a:lnTo>
                <a:pt x="45720" y="332498"/>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702503" y="726730"/>
          <a:ext cx="2095981" cy="332498"/>
        </a:xfrm>
        <a:custGeom>
          <a:avLst/>
          <a:gdLst/>
          <a:ahLst/>
          <a:cxnLst/>
          <a:rect l="0" t="0" r="0" b="0"/>
          <a:pathLst>
            <a:path>
              <a:moveTo>
                <a:pt x="2095981" y="0"/>
              </a:moveTo>
              <a:lnTo>
                <a:pt x="2095981" y="226588"/>
              </a:lnTo>
              <a:lnTo>
                <a:pt x="0" y="226588"/>
              </a:lnTo>
              <a:lnTo>
                <a:pt x="0" y="332498"/>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584980" y="758"/>
          <a:ext cx="2427009" cy="725971"/>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1712009" y="121436"/>
          <a:ext cx="2427009" cy="725971"/>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2: Referred Items for  2 x Time Tiered Assessments </a:t>
          </a:r>
        </a:p>
      </dsp:txBody>
      <dsp:txXfrm>
        <a:off x="1733272" y="142699"/>
        <a:ext cx="2384483" cy="683445"/>
      </dsp:txXfrm>
    </dsp:sp>
    <dsp:sp modelId="{54A8B529-F9E3-4141-8DC9-99339199C884}">
      <dsp:nvSpPr>
        <dsp:cNvPr id="0" name=""/>
        <dsp:cNvSpPr/>
      </dsp:nvSpPr>
      <dsp:spPr>
        <a:xfrm>
          <a:off x="130872" y="1059229"/>
          <a:ext cx="1143262" cy="72597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257901" y="1179907"/>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0-20 mins</a:t>
          </a:r>
        </a:p>
      </dsp:txBody>
      <dsp:txXfrm>
        <a:off x="279164" y="1201170"/>
        <a:ext cx="1100736" cy="683445"/>
      </dsp:txXfrm>
    </dsp:sp>
    <dsp:sp modelId="{3240397F-0654-6F4E-864F-1CFB9BF37823}">
      <dsp:nvSpPr>
        <dsp:cNvPr id="0" name=""/>
        <dsp:cNvSpPr/>
      </dsp:nvSpPr>
      <dsp:spPr>
        <a:xfrm>
          <a:off x="130872" y="2117700"/>
          <a:ext cx="1143262" cy="72597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257901" y="2238378"/>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i="1" kern="1200"/>
            <a:t>MBS 104 ($85.55)</a:t>
          </a:r>
        </a:p>
        <a:p>
          <a:pPr lvl="0" algn="ctr" defTabSz="488950">
            <a:lnSpc>
              <a:spcPct val="100000"/>
            </a:lnSpc>
            <a:spcBef>
              <a:spcPct val="0"/>
            </a:spcBef>
            <a:spcAft>
              <a:spcPts val="0"/>
            </a:spcAft>
          </a:pPr>
          <a:r>
            <a:rPr lang="en-US" sz="800" i="1" kern="1200"/>
            <a:t>85% ($72.75)</a:t>
          </a:r>
        </a:p>
        <a:p>
          <a:pPr lvl="0" algn="ctr" defTabSz="488950">
            <a:lnSpc>
              <a:spcPct val="100000"/>
            </a:lnSpc>
            <a:spcBef>
              <a:spcPct val="0"/>
            </a:spcBef>
            <a:spcAft>
              <a:spcPts val="0"/>
            </a:spcAft>
          </a:pPr>
          <a:r>
            <a:rPr lang="en-US" sz="800" i="1" kern="1200"/>
            <a:t>75% ($64.20)</a:t>
          </a:r>
        </a:p>
      </dsp:txBody>
      <dsp:txXfrm>
        <a:off x="279164" y="2259641"/>
        <a:ext cx="1100736" cy="683445"/>
      </dsp:txXfrm>
    </dsp:sp>
    <dsp:sp modelId="{48D7D30C-AB11-D946-8AEC-FD9B2A504183}">
      <dsp:nvSpPr>
        <dsp:cNvPr id="0" name=""/>
        <dsp:cNvSpPr/>
      </dsp:nvSpPr>
      <dsp:spPr>
        <a:xfrm>
          <a:off x="1528193" y="1059229"/>
          <a:ext cx="1143262" cy="72597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655222" y="1179907"/>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20-40 mins</a:t>
          </a:r>
        </a:p>
      </dsp:txBody>
      <dsp:txXfrm>
        <a:off x="1676485" y="1201170"/>
        <a:ext cx="1100736" cy="683445"/>
      </dsp:txXfrm>
    </dsp:sp>
    <dsp:sp modelId="{9166D8F7-1B4C-E041-81E9-30CF31DF6B1C}">
      <dsp:nvSpPr>
        <dsp:cNvPr id="0" name=""/>
        <dsp:cNvSpPr/>
      </dsp:nvSpPr>
      <dsp:spPr>
        <a:xfrm>
          <a:off x="1528193" y="2117700"/>
          <a:ext cx="1143262" cy="72597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655222" y="2238378"/>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i="1" kern="1200"/>
            <a:t>MBS 3005 ($150.90)</a:t>
          </a:r>
        </a:p>
        <a:p>
          <a:pPr lvl="0" algn="ctr" defTabSz="488950">
            <a:lnSpc>
              <a:spcPct val="100000"/>
            </a:lnSpc>
            <a:spcBef>
              <a:spcPct val="0"/>
            </a:spcBef>
            <a:spcAft>
              <a:spcPts val="0"/>
            </a:spcAft>
          </a:pPr>
          <a:r>
            <a:rPr lang="en-US" sz="800" b="0" i="1" kern="1200"/>
            <a:t>85% ($128.30)</a:t>
          </a:r>
        </a:p>
        <a:p>
          <a:pPr lvl="0" algn="ctr" defTabSz="488950">
            <a:lnSpc>
              <a:spcPct val="100000"/>
            </a:lnSpc>
            <a:spcBef>
              <a:spcPct val="0"/>
            </a:spcBef>
            <a:spcAft>
              <a:spcPts val="0"/>
            </a:spcAft>
          </a:pPr>
          <a:r>
            <a:rPr lang="en-US" sz="800" b="0" i="1" kern="1200"/>
            <a:t>75% ($113.20)</a:t>
          </a:r>
          <a:endParaRPr lang="en-US" sz="800" i="1" kern="1200"/>
        </a:p>
      </dsp:txBody>
      <dsp:txXfrm>
        <a:off x="1676485" y="2259641"/>
        <a:ext cx="1100736" cy="683445"/>
      </dsp:txXfrm>
    </dsp:sp>
    <dsp:sp modelId="{24560018-146F-0341-BCE4-266F61ACA491}">
      <dsp:nvSpPr>
        <dsp:cNvPr id="0" name=""/>
        <dsp:cNvSpPr/>
      </dsp:nvSpPr>
      <dsp:spPr>
        <a:xfrm>
          <a:off x="2925514" y="1059229"/>
          <a:ext cx="1143262" cy="72597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3052543" y="1179907"/>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40-60mins</a:t>
          </a:r>
        </a:p>
      </dsp:txBody>
      <dsp:txXfrm>
        <a:off x="3073806" y="1201170"/>
        <a:ext cx="1100736" cy="683445"/>
      </dsp:txXfrm>
    </dsp:sp>
    <dsp:sp modelId="{978489A2-8BF7-9848-A9AC-08BA76F88668}">
      <dsp:nvSpPr>
        <dsp:cNvPr id="0" name=""/>
        <dsp:cNvSpPr/>
      </dsp:nvSpPr>
      <dsp:spPr>
        <a:xfrm>
          <a:off x="2925514" y="2117700"/>
          <a:ext cx="1143262" cy="72597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3052543" y="2238378"/>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i="1" kern="1200"/>
            <a:t>New Item ($207.40)</a:t>
          </a:r>
        </a:p>
        <a:p>
          <a:pPr lvl="0" algn="ctr" defTabSz="488950">
            <a:lnSpc>
              <a:spcPct val="100000"/>
            </a:lnSpc>
            <a:spcBef>
              <a:spcPct val="0"/>
            </a:spcBef>
            <a:spcAft>
              <a:spcPts val="0"/>
            </a:spcAft>
          </a:pPr>
          <a:r>
            <a:rPr lang="en-US" sz="800" b="1" i="1" kern="1200"/>
            <a:t>85% ($176.30)</a:t>
          </a:r>
        </a:p>
        <a:p>
          <a:pPr lvl="0" algn="ctr" defTabSz="488950">
            <a:lnSpc>
              <a:spcPct val="100000"/>
            </a:lnSpc>
            <a:spcBef>
              <a:spcPct val="0"/>
            </a:spcBef>
            <a:spcAft>
              <a:spcPts val="0"/>
            </a:spcAft>
          </a:pPr>
          <a:r>
            <a:rPr lang="en-US" sz="800" b="1" i="1" kern="1200"/>
            <a:t>$75% ($155.55)</a:t>
          </a:r>
        </a:p>
      </dsp:txBody>
      <dsp:txXfrm>
        <a:off x="3073806" y="2259641"/>
        <a:ext cx="1100736" cy="683445"/>
      </dsp:txXfrm>
    </dsp:sp>
    <dsp:sp modelId="{DC1DF888-6604-404C-9DB0-E21688DA45A4}">
      <dsp:nvSpPr>
        <dsp:cNvPr id="0" name=""/>
        <dsp:cNvSpPr/>
      </dsp:nvSpPr>
      <dsp:spPr>
        <a:xfrm>
          <a:off x="4322835" y="1059229"/>
          <a:ext cx="1143262" cy="725971"/>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449864" y="1179907"/>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60 mins +</a:t>
          </a:r>
        </a:p>
      </dsp:txBody>
      <dsp:txXfrm>
        <a:off x="4471127" y="1201170"/>
        <a:ext cx="1100736" cy="683445"/>
      </dsp:txXfrm>
    </dsp:sp>
    <dsp:sp modelId="{B8C5050B-80C8-CB42-9832-486811727B59}">
      <dsp:nvSpPr>
        <dsp:cNvPr id="0" name=""/>
        <dsp:cNvSpPr/>
      </dsp:nvSpPr>
      <dsp:spPr>
        <a:xfrm>
          <a:off x="4322835" y="2117700"/>
          <a:ext cx="1143262" cy="725971"/>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449864" y="2238378"/>
          <a:ext cx="1143262" cy="725971"/>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i="1" kern="1200"/>
            <a:t>MBS 132 ($263.90)</a:t>
          </a:r>
        </a:p>
        <a:p>
          <a:pPr lvl="0" algn="ctr" defTabSz="488950">
            <a:lnSpc>
              <a:spcPct val="100000"/>
            </a:lnSpc>
            <a:spcBef>
              <a:spcPct val="0"/>
            </a:spcBef>
            <a:spcAft>
              <a:spcPts val="0"/>
            </a:spcAft>
          </a:pPr>
          <a:r>
            <a:rPr lang="en-US" sz="800" i="1" kern="1200"/>
            <a:t>85% $(224.35)</a:t>
          </a:r>
        </a:p>
        <a:p>
          <a:pPr lvl="0" algn="ctr" defTabSz="488950">
            <a:lnSpc>
              <a:spcPct val="100000"/>
            </a:lnSpc>
            <a:spcBef>
              <a:spcPct val="0"/>
            </a:spcBef>
            <a:spcAft>
              <a:spcPts val="0"/>
            </a:spcAft>
          </a:pPr>
          <a:r>
            <a:rPr lang="en-US" sz="800" i="1" kern="1200"/>
            <a:t>75% ($197.95)</a:t>
          </a:r>
        </a:p>
      </dsp:txBody>
      <dsp:txXfrm>
        <a:off x="4471127" y="2259641"/>
        <a:ext cx="1100736" cy="6834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133C5-0C81-194A-B4FC-B30436310F7C}">
      <dsp:nvSpPr>
        <dsp:cNvPr id="0" name=""/>
        <dsp:cNvSpPr/>
      </dsp:nvSpPr>
      <dsp:spPr>
        <a:xfrm>
          <a:off x="4720201" y="1687417"/>
          <a:ext cx="91440" cy="314414"/>
        </a:xfrm>
        <a:custGeom>
          <a:avLst/>
          <a:gdLst/>
          <a:ahLst/>
          <a:cxnLst/>
          <a:rect l="0" t="0" r="0" b="0"/>
          <a:pathLst>
            <a:path>
              <a:moveTo>
                <a:pt x="45720" y="0"/>
              </a:moveTo>
              <a:lnTo>
                <a:pt x="45720" y="31441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D4A6E5-30D2-BC48-82EF-44AB6345F29B}">
      <dsp:nvSpPr>
        <dsp:cNvPr id="0" name=""/>
        <dsp:cNvSpPr/>
      </dsp:nvSpPr>
      <dsp:spPr>
        <a:xfrm>
          <a:off x="2783939" y="686516"/>
          <a:ext cx="1981981" cy="314414"/>
        </a:xfrm>
        <a:custGeom>
          <a:avLst/>
          <a:gdLst/>
          <a:ahLst/>
          <a:cxnLst/>
          <a:rect l="0" t="0" r="0" b="0"/>
          <a:pathLst>
            <a:path>
              <a:moveTo>
                <a:pt x="0" y="0"/>
              </a:moveTo>
              <a:lnTo>
                <a:pt x="0" y="214264"/>
              </a:lnTo>
              <a:lnTo>
                <a:pt x="1981981" y="214264"/>
              </a:lnTo>
              <a:lnTo>
                <a:pt x="1981981" y="31441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8E4AD8-3313-1D47-B7CA-87E116655F38}">
      <dsp:nvSpPr>
        <dsp:cNvPr id="0" name=""/>
        <dsp:cNvSpPr/>
      </dsp:nvSpPr>
      <dsp:spPr>
        <a:xfrm>
          <a:off x="3398880" y="1687417"/>
          <a:ext cx="91440" cy="294279"/>
        </a:xfrm>
        <a:custGeom>
          <a:avLst/>
          <a:gdLst/>
          <a:ahLst/>
          <a:cxnLst/>
          <a:rect l="0" t="0" r="0" b="0"/>
          <a:pathLst>
            <a:path>
              <a:moveTo>
                <a:pt x="45720" y="0"/>
              </a:moveTo>
              <a:lnTo>
                <a:pt x="45720" y="194129"/>
              </a:lnTo>
              <a:lnTo>
                <a:pt x="65860" y="194129"/>
              </a:lnTo>
              <a:lnTo>
                <a:pt x="65860" y="294279"/>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508F5B-3B84-EF48-82B5-9D2C53F782BF}">
      <dsp:nvSpPr>
        <dsp:cNvPr id="0" name=""/>
        <dsp:cNvSpPr/>
      </dsp:nvSpPr>
      <dsp:spPr>
        <a:xfrm>
          <a:off x="2783939" y="686516"/>
          <a:ext cx="660660" cy="314414"/>
        </a:xfrm>
        <a:custGeom>
          <a:avLst/>
          <a:gdLst/>
          <a:ahLst/>
          <a:cxnLst/>
          <a:rect l="0" t="0" r="0" b="0"/>
          <a:pathLst>
            <a:path>
              <a:moveTo>
                <a:pt x="0" y="0"/>
              </a:moveTo>
              <a:lnTo>
                <a:pt x="0" y="214264"/>
              </a:lnTo>
              <a:lnTo>
                <a:pt x="660660" y="214264"/>
              </a:lnTo>
              <a:lnTo>
                <a:pt x="660660" y="31441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F4F276-AFD8-4247-8DC4-B4ACD3AC0C75}">
      <dsp:nvSpPr>
        <dsp:cNvPr id="0" name=""/>
        <dsp:cNvSpPr/>
      </dsp:nvSpPr>
      <dsp:spPr>
        <a:xfrm>
          <a:off x="2077559" y="1687417"/>
          <a:ext cx="91440" cy="314414"/>
        </a:xfrm>
        <a:custGeom>
          <a:avLst/>
          <a:gdLst/>
          <a:ahLst/>
          <a:cxnLst/>
          <a:rect l="0" t="0" r="0" b="0"/>
          <a:pathLst>
            <a:path>
              <a:moveTo>
                <a:pt x="45720" y="0"/>
              </a:moveTo>
              <a:lnTo>
                <a:pt x="45720" y="31441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B04D44-ED91-8646-BCBE-3ED3306A03AD}">
      <dsp:nvSpPr>
        <dsp:cNvPr id="0" name=""/>
        <dsp:cNvSpPr/>
      </dsp:nvSpPr>
      <dsp:spPr>
        <a:xfrm>
          <a:off x="2123279" y="686516"/>
          <a:ext cx="660660" cy="314414"/>
        </a:xfrm>
        <a:custGeom>
          <a:avLst/>
          <a:gdLst/>
          <a:ahLst/>
          <a:cxnLst/>
          <a:rect l="0" t="0" r="0" b="0"/>
          <a:pathLst>
            <a:path>
              <a:moveTo>
                <a:pt x="660660" y="0"/>
              </a:moveTo>
              <a:lnTo>
                <a:pt x="660660" y="214264"/>
              </a:lnTo>
              <a:lnTo>
                <a:pt x="0" y="214264"/>
              </a:lnTo>
              <a:lnTo>
                <a:pt x="0" y="31441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AE8375-F2A8-764C-BA20-CDF18A3A8521}">
      <dsp:nvSpPr>
        <dsp:cNvPr id="0" name=""/>
        <dsp:cNvSpPr/>
      </dsp:nvSpPr>
      <dsp:spPr>
        <a:xfrm>
          <a:off x="756238" y="1687417"/>
          <a:ext cx="91440" cy="314414"/>
        </a:xfrm>
        <a:custGeom>
          <a:avLst/>
          <a:gdLst/>
          <a:ahLst/>
          <a:cxnLst/>
          <a:rect l="0" t="0" r="0" b="0"/>
          <a:pathLst>
            <a:path>
              <a:moveTo>
                <a:pt x="45720" y="0"/>
              </a:moveTo>
              <a:lnTo>
                <a:pt x="45720" y="314414"/>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5CF76E-544D-E04C-BB86-76DDAD6F7AB3}">
      <dsp:nvSpPr>
        <dsp:cNvPr id="0" name=""/>
        <dsp:cNvSpPr/>
      </dsp:nvSpPr>
      <dsp:spPr>
        <a:xfrm>
          <a:off x="801958" y="686516"/>
          <a:ext cx="1981981" cy="314414"/>
        </a:xfrm>
        <a:custGeom>
          <a:avLst/>
          <a:gdLst/>
          <a:ahLst/>
          <a:cxnLst/>
          <a:rect l="0" t="0" r="0" b="0"/>
          <a:pathLst>
            <a:path>
              <a:moveTo>
                <a:pt x="1981981" y="0"/>
              </a:moveTo>
              <a:lnTo>
                <a:pt x="1981981" y="214264"/>
              </a:lnTo>
              <a:lnTo>
                <a:pt x="0" y="214264"/>
              </a:lnTo>
              <a:lnTo>
                <a:pt x="0" y="314414"/>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7D4998-21CF-A248-83EB-0106527C25EC}">
      <dsp:nvSpPr>
        <dsp:cNvPr id="0" name=""/>
        <dsp:cNvSpPr/>
      </dsp:nvSpPr>
      <dsp:spPr>
        <a:xfrm>
          <a:off x="1636437" y="29"/>
          <a:ext cx="2295005" cy="686486"/>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27AFBF-24BC-6048-8CA6-468956327B51}">
      <dsp:nvSpPr>
        <dsp:cNvPr id="0" name=""/>
        <dsp:cNvSpPr/>
      </dsp:nvSpPr>
      <dsp:spPr>
        <a:xfrm>
          <a:off x="1756557" y="114143"/>
          <a:ext cx="2295005" cy="686486"/>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Option 2: Referred Item All Subsequent Time Tiered Attendances</a:t>
          </a:r>
        </a:p>
      </dsp:txBody>
      <dsp:txXfrm>
        <a:off x="1776663" y="134249"/>
        <a:ext cx="2254793" cy="646274"/>
      </dsp:txXfrm>
    </dsp:sp>
    <dsp:sp modelId="{54A8B529-F9E3-4141-8DC9-99339199C884}">
      <dsp:nvSpPr>
        <dsp:cNvPr id="0" name=""/>
        <dsp:cNvSpPr/>
      </dsp:nvSpPr>
      <dsp:spPr>
        <a:xfrm>
          <a:off x="261417" y="1000930"/>
          <a:ext cx="1081081" cy="68648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435B795-5104-6F4A-8C6E-2A14B1B46FD7}">
      <dsp:nvSpPr>
        <dsp:cNvPr id="0" name=""/>
        <dsp:cNvSpPr/>
      </dsp:nvSpPr>
      <dsp:spPr>
        <a:xfrm>
          <a:off x="381537" y="1115044"/>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0-20 mins</a:t>
          </a:r>
        </a:p>
      </dsp:txBody>
      <dsp:txXfrm>
        <a:off x="401643" y="1135150"/>
        <a:ext cx="1040869" cy="646274"/>
      </dsp:txXfrm>
    </dsp:sp>
    <dsp:sp modelId="{3240397F-0654-6F4E-864F-1CFB9BF37823}">
      <dsp:nvSpPr>
        <dsp:cNvPr id="0" name=""/>
        <dsp:cNvSpPr/>
      </dsp:nvSpPr>
      <dsp:spPr>
        <a:xfrm>
          <a:off x="261417" y="2001831"/>
          <a:ext cx="1081081" cy="68648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B45D9A2-4E18-634A-B70B-8ECBE0DC0AE6}">
      <dsp:nvSpPr>
        <dsp:cNvPr id="0" name=""/>
        <dsp:cNvSpPr/>
      </dsp:nvSpPr>
      <dsp:spPr>
        <a:xfrm>
          <a:off x="381537" y="2115945"/>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i="1" kern="1200"/>
            <a:t>MBS 105 ($43.00)</a:t>
          </a:r>
        </a:p>
        <a:p>
          <a:pPr lvl="0" algn="ctr" defTabSz="488950">
            <a:lnSpc>
              <a:spcPct val="90000"/>
            </a:lnSpc>
            <a:spcBef>
              <a:spcPct val="0"/>
            </a:spcBef>
            <a:spcAft>
              <a:spcPts val="0"/>
            </a:spcAft>
          </a:pPr>
          <a:r>
            <a:rPr lang="en-US" sz="800" i="1" kern="1200"/>
            <a:t>85% ($36.55)</a:t>
          </a:r>
        </a:p>
        <a:p>
          <a:pPr lvl="0" algn="ctr" defTabSz="488950">
            <a:lnSpc>
              <a:spcPct val="90000"/>
            </a:lnSpc>
            <a:spcBef>
              <a:spcPct val="0"/>
            </a:spcBef>
            <a:spcAft>
              <a:spcPts val="0"/>
            </a:spcAft>
          </a:pPr>
          <a:r>
            <a:rPr lang="en-US" sz="800" i="1" kern="1200"/>
            <a:t>75% (32.55)</a:t>
          </a:r>
        </a:p>
      </dsp:txBody>
      <dsp:txXfrm>
        <a:off x="401643" y="2136051"/>
        <a:ext cx="1040869" cy="646274"/>
      </dsp:txXfrm>
    </dsp:sp>
    <dsp:sp modelId="{48D7D30C-AB11-D946-8AEC-FD9B2A504183}">
      <dsp:nvSpPr>
        <dsp:cNvPr id="0" name=""/>
        <dsp:cNvSpPr/>
      </dsp:nvSpPr>
      <dsp:spPr>
        <a:xfrm>
          <a:off x="1582738" y="1000930"/>
          <a:ext cx="1081081" cy="68648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1901F3-629C-D545-8A4A-CFEFECBE41BF}">
      <dsp:nvSpPr>
        <dsp:cNvPr id="0" name=""/>
        <dsp:cNvSpPr/>
      </dsp:nvSpPr>
      <dsp:spPr>
        <a:xfrm>
          <a:off x="1702858" y="1115044"/>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20-40 mins</a:t>
          </a:r>
        </a:p>
      </dsp:txBody>
      <dsp:txXfrm>
        <a:off x="1722964" y="1135150"/>
        <a:ext cx="1040869" cy="646274"/>
      </dsp:txXfrm>
    </dsp:sp>
    <dsp:sp modelId="{9166D8F7-1B4C-E041-81E9-30CF31DF6B1C}">
      <dsp:nvSpPr>
        <dsp:cNvPr id="0" name=""/>
        <dsp:cNvSpPr/>
      </dsp:nvSpPr>
      <dsp:spPr>
        <a:xfrm>
          <a:off x="1582738" y="2001831"/>
          <a:ext cx="1081081" cy="68648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C3384DB-4E62-1343-9B29-EA318FB39799}">
      <dsp:nvSpPr>
        <dsp:cNvPr id="0" name=""/>
        <dsp:cNvSpPr/>
      </dsp:nvSpPr>
      <dsp:spPr>
        <a:xfrm>
          <a:off x="1702858" y="2115945"/>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i="1" kern="1200"/>
            <a:t>MBS 3010 ($75.50)</a:t>
          </a:r>
        </a:p>
        <a:p>
          <a:pPr lvl="0" algn="ctr" defTabSz="488950">
            <a:lnSpc>
              <a:spcPct val="90000"/>
            </a:lnSpc>
            <a:spcBef>
              <a:spcPct val="0"/>
            </a:spcBef>
            <a:spcAft>
              <a:spcPts val="0"/>
            </a:spcAft>
          </a:pPr>
          <a:r>
            <a:rPr lang="en-US" sz="800" i="1" kern="1200"/>
            <a:t>85% ($64.20)</a:t>
          </a:r>
        </a:p>
        <a:p>
          <a:pPr lvl="0" algn="ctr" defTabSz="488950">
            <a:lnSpc>
              <a:spcPct val="90000"/>
            </a:lnSpc>
            <a:spcBef>
              <a:spcPct val="0"/>
            </a:spcBef>
            <a:spcAft>
              <a:spcPts val="0"/>
            </a:spcAft>
          </a:pPr>
          <a:r>
            <a:rPr lang="en-US" sz="800" i="1" kern="1200"/>
            <a:t>75% ($56.65)</a:t>
          </a:r>
        </a:p>
      </dsp:txBody>
      <dsp:txXfrm>
        <a:off x="1722964" y="2136051"/>
        <a:ext cx="1040869" cy="646274"/>
      </dsp:txXfrm>
    </dsp:sp>
    <dsp:sp modelId="{24560018-146F-0341-BCE4-266F61ACA491}">
      <dsp:nvSpPr>
        <dsp:cNvPr id="0" name=""/>
        <dsp:cNvSpPr/>
      </dsp:nvSpPr>
      <dsp:spPr>
        <a:xfrm>
          <a:off x="2904060" y="1000930"/>
          <a:ext cx="1081081" cy="68648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3ED3188-B4DA-7A45-BB61-4FA1E01CEE04}">
      <dsp:nvSpPr>
        <dsp:cNvPr id="0" name=""/>
        <dsp:cNvSpPr/>
      </dsp:nvSpPr>
      <dsp:spPr>
        <a:xfrm>
          <a:off x="3024180" y="1115044"/>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40-60mins</a:t>
          </a:r>
        </a:p>
      </dsp:txBody>
      <dsp:txXfrm>
        <a:off x="3044286" y="1135150"/>
        <a:ext cx="1040869" cy="646274"/>
      </dsp:txXfrm>
    </dsp:sp>
    <dsp:sp modelId="{978489A2-8BF7-9848-A9AC-08BA76F88668}">
      <dsp:nvSpPr>
        <dsp:cNvPr id="0" name=""/>
        <dsp:cNvSpPr/>
      </dsp:nvSpPr>
      <dsp:spPr>
        <a:xfrm>
          <a:off x="2924200" y="1981696"/>
          <a:ext cx="1081081" cy="68648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859854A-8142-9B40-8B3A-52E11BDD75A4}">
      <dsp:nvSpPr>
        <dsp:cNvPr id="0" name=""/>
        <dsp:cNvSpPr/>
      </dsp:nvSpPr>
      <dsp:spPr>
        <a:xfrm>
          <a:off x="3044320" y="2095811"/>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b="1" i="1" kern="1200"/>
            <a:t>New Item ($103.80)</a:t>
          </a:r>
        </a:p>
        <a:p>
          <a:pPr lvl="0" algn="ctr" defTabSz="488950">
            <a:lnSpc>
              <a:spcPct val="90000"/>
            </a:lnSpc>
            <a:spcBef>
              <a:spcPct val="0"/>
            </a:spcBef>
            <a:spcAft>
              <a:spcPts val="0"/>
            </a:spcAft>
          </a:pPr>
          <a:r>
            <a:rPr lang="en-US" sz="800" i="1" kern="1200"/>
            <a:t>85% ($88.25)</a:t>
          </a:r>
        </a:p>
        <a:p>
          <a:pPr lvl="0" algn="ctr" defTabSz="488950">
            <a:lnSpc>
              <a:spcPct val="90000"/>
            </a:lnSpc>
            <a:spcBef>
              <a:spcPct val="0"/>
            </a:spcBef>
            <a:spcAft>
              <a:spcPts val="0"/>
            </a:spcAft>
          </a:pPr>
          <a:r>
            <a:rPr lang="en-US" sz="800" b="0" i="1" kern="1200"/>
            <a:t>75% ($77.85)</a:t>
          </a:r>
        </a:p>
      </dsp:txBody>
      <dsp:txXfrm>
        <a:off x="3064426" y="2115917"/>
        <a:ext cx="1040869" cy="646274"/>
      </dsp:txXfrm>
    </dsp:sp>
    <dsp:sp modelId="{DC1DF888-6604-404C-9DB0-E21688DA45A4}">
      <dsp:nvSpPr>
        <dsp:cNvPr id="0" name=""/>
        <dsp:cNvSpPr/>
      </dsp:nvSpPr>
      <dsp:spPr>
        <a:xfrm>
          <a:off x="4225381" y="1000930"/>
          <a:ext cx="1081081" cy="686486"/>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A2662A-6AE3-1E4F-B5C1-E62D06573556}">
      <dsp:nvSpPr>
        <dsp:cNvPr id="0" name=""/>
        <dsp:cNvSpPr/>
      </dsp:nvSpPr>
      <dsp:spPr>
        <a:xfrm>
          <a:off x="4345501" y="1115044"/>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60 mins +</a:t>
          </a:r>
        </a:p>
      </dsp:txBody>
      <dsp:txXfrm>
        <a:off x="4365607" y="1135150"/>
        <a:ext cx="1040869" cy="646274"/>
      </dsp:txXfrm>
    </dsp:sp>
    <dsp:sp modelId="{B8C5050B-80C8-CB42-9832-486811727B59}">
      <dsp:nvSpPr>
        <dsp:cNvPr id="0" name=""/>
        <dsp:cNvSpPr/>
      </dsp:nvSpPr>
      <dsp:spPr>
        <a:xfrm>
          <a:off x="4225381" y="2001831"/>
          <a:ext cx="1081081" cy="686486"/>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E6A64-F5A9-594E-A4DE-04EA642F0B2C}">
      <dsp:nvSpPr>
        <dsp:cNvPr id="0" name=""/>
        <dsp:cNvSpPr/>
      </dsp:nvSpPr>
      <dsp:spPr>
        <a:xfrm>
          <a:off x="4345501" y="2115945"/>
          <a:ext cx="1081081" cy="686486"/>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i="1" kern="1200"/>
            <a:t>MBS 133 ($132.10)</a:t>
          </a:r>
        </a:p>
        <a:p>
          <a:pPr lvl="0" algn="ctr" defTabSz="488950">
            <a:lnSpc>
              <a:spcPct val="90000"/>
            </a:lnSpc>
            <a:spcBef>
              <a:spcPct val="0"/>
            </a:spcBef>
            <a:spcAft>
              <a:spcPts val="0"/>
            </a:spcAft>
          </a:pPr>
          <a:r>
            <a:rPr lang="en-US" sz="800" i="1" kern="1200"/>
            <a:t>85% ($112.30)</a:t>
          </a:r>
        </a:p>
        <a:p>
          <a:pPr lvl="0" algn="ctr" defTabSz="488950">
            <a:lnSpc>
              <a:spcPct val="90000"/>
            </a:lnSpc>
            <a:spcBef>
              <a:spcPct val="0"/>
            </a:spcBef>
            <a:spcAft>
              <a:spcPts val="0"/>
            </a:spcAft>
          </a:pPr>
          <a:r>
            <a:rPr lang="en-US" sz="800" i="1" kern="1200"/>
            <a:t>75% ($99.10)</a:t>
          </a:r>
        </a:p>
      </dsp:txBody>
      <dsp:txXfrm>
        <a:off x="4365607" y="2136051"/>
        <a:ext cx="1040869" cy="6462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D8593-BC3B-4268-B370-4333E447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125</Pages>
  <Words>34914</Words>
  <Characters>199010</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Aspex Consulting Report</vt:lpstr>
    </vt:vector>
  </TitlesOfParts>
  <Company>Aspex Consulting</Company>
  <LinksUpToDate>false</LinksUpToDate>
  <CharactersWithSpaces>233458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Aspex Consulting Report</dc:title>
  <dc:subject>Aspex Consulting Report</dc:subject>
  <dc:creator>Sabrina Stow</dc:creator>
  <cp:lastModifiedBy>McCandless Sean</cp:lastModifiedBy>
  <cp:revision>2</cp:revision>
  <cp:lastPrinted>2014-05-29T01:14:00Z</cp:lastPrinted>
  <dcterms:created xsi:type="dcterms:W3CDTF">2014-05-29T06:26:00Z</dcterms:created>
  <dcterms:modified xsi:type="dcterms:W3CDTF">2014-05-29T06:26:00Z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ReportTitle">
    <vt:lpwstr>Analysis of proposed MBS Items for Palliative Medicine</vt:lpwstr>
  </property>
  <property fmtid="{D5CDD505-2E9C-101B-9397-08002B2CF9AE}" pid="3" name="xClient">
    <vt:lpwstr>Department of Health and Ageing</vt:lpwstr>
  </property>
  <property fmtid="{D5CDD505-2E9C-101B-9397-08002B2CF9AE}" pid="4" name="xDate">
    <vt:lpwstr>11 March 2014</vt:lpwstr>
  </property>
  <property fmtid="{D5CDD505-2E9C-101B-9397-08002B2CF9AE}" pid="5" name="xProject">
    <vt:lpwstr>Analysis of proposed MBS Items for Palliative Medicine</vt:lpwstr>
  </property>
  <property fmtid="{D5CDD505-2E9C-101B-9397-08002B2CF9AE}" pid="6" name="xDoc">
    <vt:lpwstr>PM - Draft Report</vt:lpwstr>
  </property>
  <property fmtid="{D5CDD505-2E9C-101B-9397-08002B2CF9AE}" pid="7" name="xDisc">
    <vt:lpwstr/>
  </property>
  <property fmtid="{D5CDD505-2E9C-101B-9397-08002B2CF9AE}" pid="8" name="xAck">
    <vt:lpwstr/>
  </property>
  <property fmtid="{D5CDD505-2E9C-101B-9397-08002B2CF9AE}" pid="9" name="xVersion">
    <vt:lpwstr>Draft Report</vt:lpwstr>
  </property>
  <property fmtid="{D5CDD505-2E9C-101B-9397-08002B2CF9AE}" pid="10" name="xChapter">
    <vt:lpwstr>Y</vt:lpwstr>
  </property>
  <property fmtid="{D5CDD505-2E9C-101B-9397-08002B2CF9AE}" pid="11" name="DMSDOCTYPE">
    <vt:lpwstr/>
  </property>
  <property fmtid="{D5CDD505-2E9C-101B-9397-08002B2CF9AE}" pid="12" name="DraftType">
    <vt:lpwstr/>
  </property>
  <property fmtid="{D5CDD505-2E9C-101B-9397-08002B2CF9AE}" pid="13" name="WPLUSServerName">
    <vt:lpwstr/>
  </property>
  <property fmtid="{D5CDD505-2E9C-101B-9397-08002B2CF9AE}" pid="14" name="WPLUSDataBaseName">
    <vt:lpwstr/>
  </property>
  <property fmtid="{D5CDD505-2E9C-101B-9397-08002B2CF9AE}" pid="15" name="WPLUSDocumentUNID">
    <vt:lpwstr/>
  </property>
  <property fmtid="{D5CDD505-2E9C-101B-9397-08002B2CF9AE}" pid="16" name="NeverSavedToNT">
    <vt:lpwstr/>
  </property>
</Properties>
</file>