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9DB85" w14:textId="77777777" w:rsidR="0044715D" w:rsidRPr="00323092" w:rsidRDefault="0044715D" w:rsidP="0044715D">
      <w:pPr>
        <w:spacing w:before="120" w:after="120" w:line="312" w:lineRule="auto"/>
        <w:jc w:val="center"/>
      </w:pPr>
      <w:bookmarkStart w:id="0" w:name="_Hlk75426300"/>
      <w:bookmarkStart w:id="1" w:name="_Toc403747457"/>
      <w:bookmarkStart w:id="2" w:name="_Toc412039297"/>
      <w:bookmarkEnd w:id="0"/>
      <w:r w:rsidRPr="008D5584">
        <w:rPr>
          <w:b/>
          <w:noProof/>
          <w:lang w:eastAsia="en-AU"/>
        </w:rPr>
        <w:drawing>
          <wp:inline distT="0" distB="0" distL="0" distR="0" wp14:anchorId="20166E0B" wp14:editId="178865BA">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B773C68" w14:textId="0B7024BD" w:rsidR="00303C94" w:rsidRPr="00F007D7" w:rsidRDefault="00BB3446" w:rsidP="00F007D7">
      <w:pPr>
        <w:spacing w:before="840" w:after="960"/>
        <w:jc w:val="center"/>
        <w:rPr>
          <w:rFonts w:cs="Calibri"/>
          <w:b/>
          <w:bCs/>
          <w:color w:val="000000"/>
          <w:sz w:val="72"/>
          <w:szCs w:val="72"/>
          <w:lang w:val="en-US" w:eastAsia="en-AU"/>
        </w:rPr>
      </w:pPr>
      <w:r>
        <w:rPr>
          <w:rFonts w:cs="Calibri"/>
          <w:b/>
          <w:bCs/>
          <w:color w:val="000000"/>
          <w:sz w:val="72"/>
          <w:szCs w:val="72"/>
          <w:lang w:val="en-US" w:eastAsia="en-AU"/>
        </w:rPr>
        <w:t>Ratified</w:t>
      </w:r>
      <w:r>
        <w:rPr>
          <w:rFonts w:cs="Calibri"/>
          <w:b/>
          <w:bCs/>
          <w:color w:val="000000"/>
          <w:sz w:val="72"/>
          <w:szCs w:val="72"/>
          <w:lang w:val="en-US" w:eastAsia="en-AU"/>
        </w:rPr>
        <w:br/>
        <w:t>PICO Confirmation</w:t>
      </w:r>
    </w:p>
    <w:p w14:paraId="18553960" w14:textId="2E728039" w:rsidR="0044715D" w:rsidRDefault="005F4D2F" w:rsidP="00A601AC">
      <w:pPr>
        <w:pStyle w:val="Heading10"/>
        <w:jc w:val="center"/>
        <w:rPr>
          <w:sz w:val="48"/>
          <w:szCs w:val="48"/>
        </w:rPr>
      </w:pPr>
      <w:r>
        <w:rPr>
          <w:sz w:val="48"/>
          <w:szCs w:val="48"/>
        </w:rPr>
        <w:t xml:space="preserve">Application </w:t>
      </w:r>
      <w:r w:rsidR="0075030C">
        <w:rPr>
          <w:sz w:val="48"/>
          <w:szCs w:val="48"/>
        </w:rPr>
        <w:t>1634</w:t>
      </w:r>
    </w:p>
    <w:p w14:paraId="5E9E953D" w14:textId="435A67BF" w:rsidR="00F007D7" w:rsidRPr="00714938" w:rsidRDefault="0075030C" w:rsidP="00714938">
      <w:pPr>
        <w:pStyle w:val="Heading10"/>
        <w:tabs>
          <w:tab w:val="left" w:pos="5613"/>
        </w:tabs>
        <w:jc w:val="center"/>
        <w:rPr>
          <w:color w:val="548DD4"/>
          <w:sz w:val="48"/>
          <w:szCs w:val="48"/>
        </w:rPr>
      </w:pPr>
      <w:r w:rsidRPr="0075030C">
        <w:rPr>
          <w:color w:val="548DD4"/>
          <w:sz w:val="48"/>
          <w:szCs w:val="48"/>
        </w:rPr>
        <w:t xml:space="preserve">Comprehensive genomic profiling of </w:t>
      </w:r>
      <w:r w:rsidR="0028014E">
        <w:rPr>
          <w:color w:val="548DD4"/>
          <w:sz w:val="48"/>
          <w:szCs w:val="48"/>
        </w:rPr>
        <w:t xml:space="preserve">non-squamous </w:t>
      </w:r>
      <w:r w:rsidRPr="0075030C">
        <w:rPr>
          <w:color w:val="548DD4"/>
          <w:sz w:val="48"/>
          <w:szCs w:val="48"/>
        </w:rPr>
        <w:t>non-small cell lung cancer tumour tissue specimens using next generation sequencing assays</w:t>
      </w:r>
    </w:p>
    <w:p w14:paraId="21A77940" w14:textId="03B16682" w:rsidR="007E7E23" w:rsidRPr="00F007D7" w:rsidRDefault="007E7E23" w:rsidP="00F007D7">
      <w:pPr>
        <w:pStyle w:val="ListParagraph"/>
        <w:numPr>
          <w:ilvl w:val="0"/>
          <w:numId w:val="20"/>
        </w:numPr>
        <w:spacing w:before="180"/>
      </w:pPr>
      <w:r w:rsidRPr="00F007D7">
        <w:rPr>
          <w:sz w:val="20"/>
          <w:szCs w:val="20"/>
        </w:rPr>
        <w:br w:type="page"/>
      </w:r>
    </w:p>
    <w:p w14:paraId="354250C9" w14:textId="17DF6BEA" w:rsidR="0044715D" w:rsidRPr="009A29B7" w:rsidRDefault="0044715D" w:rsidP="009A29B7">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1"/>
      <w:bookmarkEnd w:id="2"/>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criteria"/>
        <w:tblDescription w:val="Table showing the summary of the Population, intervention, comparator and outcomes proposed to be addressed in the applicant developed assessment report"/>
      </w:tblPr>
      <w:tblGrid>
        <w:gridCol w:w="1265"/>
        <w:gridCol w:w="7746"/>
      </w:tblGrid>
      <w:tr w:rsidR="0044715D" w:rsidRPr="00084393" w14:paraId="19945B04" w14:textId="77777777" w:rsidTr="00963418">
        <w:trPr>
          <w:tblHeader/>
        </w:trPr>
        <w:tc>
          <w:tcPr>
            <w:tcW w:w="702" w:type="pct"/>
            <w:tcBorders>
              <w:top w:val="single" w:sz="8" w:space="0" w:color="auto"/>
              <w:bottom w:val="single" w:sz="8" w:space="0" w:color="auto"/>
              <w:right w:val="single" w:sz="4" w:space="0" w:color="auto"/>
            </w:tcBorders>
            <w:shd w:val="clear" w:color="auto" w:fill="D9D9D9"/>
          </w:tcPr>
          <w:p w14:paraId="4C22026A" w14:textId="77777777" w:rsidR="0044715D" w:rsidRPr="00084393" w:rsidRDefault="00A84A56" w:rsidP="009E1892">
            <w:pPr>
              <w:pStyle w:val="TableHeading"/>
            </w:pPr>
            <w:r>
              <w:t>Component</w:t>
            </w:r>
          </w:p>
        </w:tc>
        <w:tc>
          <w:tcPr>
            <w:tcW w:w="4298" w:type="pct"/>
            <w:tcBorders>
              <w:top w:val="single" w:sz="4" w:space="0" w:color="auto"/>
              <w:left w:val="single" w:sz="4" w:space="0" w:color="auto"/>
              <w:bottom w:val="single" w:sz="4" w:space="0" w:color="auto"/>
              <w:right w:val="single" w:sz="4" w:space="0" w:color="auto"/>
            </w:tcBorders>
            <w:shd w:val="clear" w:color="auto" w:fill="D9D9D9"/>
          </w:tcPr>
          <w:p w14:paraId="4FC37CB7" w14:textId="77777777" w:rsidR="0044715D" w:rsidRPr="00084393" w:rsidRDefault="0044715D" w:rsidP="009E1892">
            <w:pPr>
              <w:pStyle w:val="TableHeading"/>
            </w:pPr>
            <w:r>
              <w:t>Description</w:t>
            </w:r>
          </w:p>
        </w:tc>
      </w:tr>
      <w:tr w:rsidR="0044715D" w:rsidRPr="00084393" w14:paraId="668D3ECC" w14:textId="77777777" w:rsidTr="00963418">
        <w:tc>
          <w:tcPr>
            <w:tcW w:w="702" w:type="pct"/>
            <w:tcBorders>
              <w:top w:val="single" w:sz="8" w:space="0" w:color="auto"/>
              <w:right w:val="single" w:sz="4" w:space="0" w:color="auto"/>
            </w:tcBorders>
          </w:tcPr>
          <w:p w14:paraId="6B745675" w14:textId="77777777" w:rsidR="0044715D" w:rsidRPr="00084393" w:rsidRDefault="0044715D" w:rsidP="009E1892">
            <w:pPr>
              <w:pStyle w:val="Tabletext"/>
              <w:rPr>
                <w:rFonts w:cs="Arial"/>
              </w:rPr>
            </w:pPr>
            <w:r w:rsidRPr="00084393">
              <w:rPr>
                <w:rFonts w:cs="Arial"/>
              </w:rPr>
              <w:t>Patients</w:t>
            </w:r>
          </w:p>
        </w:tc>
        <w:tc>
          <w:tcPr>
            <w:tcW w:w="4298" w:type="pct"/>
            <w:tcBorders>
              <w:top w:val="single" w:sz="4" w:space="0" w:color="auto"/>
              <w:left w:val="single" w:sz="4" w:space="0" w:color="auto"/>
              <w:bottom w:val="single" w:sz="4" w:space="0" w:color="auto"/>
              <w:right w:val="single" w:sz="4" w:space="0" w:color="auto"/>
            </w:tcBorders>
          </w:tcPr>
          <w:p w14:paraId="6925B492" w14:textId="08A8E861" w:rsidR="0044715D" w:rsidRPr="00882F76" w:rsidRDefault="0075030C" w:rsidP="005631A2">
            <w:pPr>
              <w:pStyle w:val="Tabletext"/>
              <w:rPr>
                <w:u w:val="dotted"/>
              </w:rPr>
            </w:pPr>
            <w:r w:rsidRPr="00882F76">
              <w:rPr>
                <w:rFonts w:cs="Arial"/>
              </w:rPr>
              <w:t xml:space="preserve">Patients with non-squamous (or </w:t>
            </w:r>
            <w:r w:rsidR="007B3691">
              <w:rPr>
                <w:rFonts w:cs="Arial"/>
              </w:rPr>
              <w:t xml:space="preserve">histology </w:t>
            </w:r>
            <w:r w:rsidRPr="00882F76">
              <w:rPr>
                <w:rFonts w:cs="Arial"/>
              </w:rPr>
              <w:t>not otherwise specified) non-small cell lung cancer (NSCLC)</w:t>
            </w:r>
          </w:p>
        </w:tc>
      </w:tr>
      <w:tr w:rsidR="00A84A56" w:rsidRPr="00084393" w14:paraId="0D3D6EBC" w14:textId="77777777" w:rsidTr="00963418">
        <w:tc>
          <w:tcPr>
            <w:tcW w:w="702" w:type="pct"/>
            <w:tcBorders>
              <w:top w:val="single" w:sz="8" w:space="0" w:color="auto"/>
              <w:right w:val="single" w:sz="4" w:space="0" w:color="auto"/>
            </w:tcBorders>
          </w:tcPr>
          <w:p w14:paraId="7A791DF4" w14:textId="783736BE" w:rsidR="00A84A56" w:rsidRPr="00084393" w:rsidRDefault="00F12E59" w:rsidP="00500ECD">
            <w:pPr>
              <w:pStyle w:val="Tabletext"/>
              <w:rPr>
                <w:rFonts w:cs="Arial"/>
              </w:rPr>
            </w:pPr>
            <w:r>
              <w:rPr>
                <w:rFonts w:cs="Arial"/>
              </w:rPr>
              <w:t>Prior tests</w:t>
            </w:r>
          </w:p>
        </w:tc>
        <w:tc>
          <w:tcPr>
            <w:tcW w:w="4298" w:type="pct"/>
            <w:tcBorders>
              <w:top w:val="single" w:sz="4" w:space="0" w:color="auto"/>
              <w:left w:val="single" w:sz="4" w:space="0" w:color="auto"/>
              <w:bottom w:val="single" w:sz="4" w:space="0" w:color="auto"/>
              <w:right w:val="single" w:sz="4" w:space="0" w:color="auto"/>
            </w:tcBorders>
          </w:tcPr>
          <w:p w14:paraId="137F1460" w14:textId="7BF37F14" w:rsidR="00A84A56" w:rsidRPr="00D95C1C" w:rsidRDefault="00D95C1C" w:rsidP="009E1892">
            <w:pPr>
              <w:pStyle w:val="Tabletext"/>
              <w:rPr>
                <w:rFonts w:cs="Arial"/>
              </w:rPr>
            </w:pPr>
            <w:r>
              <w:rPr>
                <w:rFonts w:cs="Arial"/>
              </w:rPr>
              <w:t>D</w:t>
            </w:r>
            <w:r w:rsidRPr="00D95C1C">
              <w:rPr>
                <w:rFonts w:cs="Arial"/>
              </w:rPr>
              <w:t>isea</w:t>
            </w:r>
            <w:r>
              <w:rPr>
                <w:rFonts w:cs="Arial"/>
              </w:rPr>
              <w:t>se staging and histology workup. This is part of routine management and there would be no change</w:t>
            </w:r>
            <w:r w:rsidR="005C0FE7">
              <w:rPr>
                <w:rFonts w:cs="Arial"/>
              </w:rPr>
              <w:t xml:space="preserve"> between the intervention and comparator</w:t>
            </w:r>
          </w:p>
        </w:tc>
      </w:tr>
      <w:tr w:rsidR="00A84A56" w:rsidRPr="00084393" w14:paraId="11EA1C8B" w14:textId="77777777" w:rsidTr="00963418">
        <w:tc>
          <w:tcPr>
            <w:tcW w:w="702" w:type="pct"/>
            <w:tcBorders>
              <w:right w:val="single" w:sz="4" w:space="0" w:color="auto"/>
            </w:tcBorders>
          </w:tcPr>
          <w:p w14:paraId="08CDDD32" w14:textId="77777777" w:rsidR="00A84A56" w:rsidRPr="00084393" w:rsidRDefault="00A84A56" w:rsidP="009E1892">
            <w:pPr>
              <w:pStyle w:val="Tabletext"/>
              <w:rPr>
                <w:rFonts w:cs="Arial"/>
              </w:rPr>
            </w:pPr>
            <w:r w:rsidRPr="00084393">
              <w:rPr>
                <w:rFonts w:cs="Arial"/>
              </w:rPr>
              <w:t>Intervention</w:t>
            </w:r>
          </w:p>
        </w:tc>
        <w:tc>
          <w:tcPr>
            <w:tcW w:w="4298" w:type="pct"/>
            <w:tcBorders>
              <w:top w:val="single" w:sz="4" w:space="0" w:color="auto"/>
              <w:left w:val="single" w:sz="4" w:space="0" w:color="auto"/>
              <w:bottom w:val="single" w:sz="4" w:space="0" w:color="auto"/>
              <w:right w:val="single" w:sz="4" w:space="0" w:color="auto"/>
            </w:tcBorders>
          </w:tcPr>
          <w:p w14:paraId="38398683" w14:textId="7665B43D" w:rsidR="00A84A56" w:rsidRPr="00E71A07" w:rsidRDefault="009B6FAE" w:rsidP="00AF602E">
            <w:pPr>
              <w:pStyle w:val="Tabletext"/>
              <w:rPr>
                <w:rFonts w:cs="Arial"/>
                <w:i/>
              </w:rPr>
            </w:pPr>
            <w:r w:rsidRPr="009B6FAE">
              <w:rPr>
                <w:rFonts w:cs="Arial"/>
              </w:rPr>
              <w:t>Comprehensive genomic profiling (</w:t>
            </w:r>
            <w:r w:rsidR="00AF602E" w:rsidRPr="009B6FAE">
              <w:rPr>
                <w:rFonts w:cs="Arial"/>
              </w:rPr>
              <w:t>C</w:t>
            </w:r>
            <w:r w:rsidR="00AF602E">
              <w:rPr>
                <w:rFonts w:cs="Arial"/>
              </w:rPr>
              <w:t>GP</w:t>
            </w:r>
            <w:r w:rsidRPr="009B6FAE">
              <w:rPr>
                <w:rFonts w:cs="Arial"/>
              </w:rPr>
              <w:t xml:space="preserve">) using a next generation sequencing (NGS) assay to </w:t>
            </w:r>
            <w:r w:rsidR="001A5344">
              <w:rPr>
                <w:rFonts w:cs="Arial"/>
              </w:rPr>
              <w:t xml:space="preserve">simultaneously </w:t>
            </w:r>
            <w:r>
              <w:rPr>
                <w:rFonts w:cs="Arial"/>
              </w:rPr>
              <w:t xml:space="preserve">test for </w:t>
            </w:r>
            <w:r w:rsidR="004D0CBD">
              <w:rPr>
                <w:rFonts w:cs="Arial"/>
              </w:rPr>
              <w:t xml:space="preserve">relevant </w:t>
            </w:r>
            <w:r w:rsidRPr="00263150">
              <w:rPr>
                <w:rFonts w:cs="Arial"/>
              </w:rPr>
              <w:t>variants in the</w:t>
            </w:r>
            <w:r>
              <w:rPr>
                <w:rFonts w:cs="Arial"/>
              </w:rPr>
              <w:t xml:space="preserve"> following genes: </w:t>
            </w:r>
            <w:r w:rsidRPr="00F57034">
              <w:rPr>
                <w:rFonts w:cs="Arial"/>
                <w:i/>
              </w:rPr>
              <w:t>EGFR</w:t>
            </w:r>
            <w:r>
              <w:rPr>
                <w:rFonts w:cs="Arial"/>
              </w:rPr>
              <w:t xml:space="preserve">, </w:t>
            </w:r>
            <w:r w:rsidRPr="00F57034">
              <w:rPr>
                <w:rFonts w:cs="Arial"/>
                <w:i/>
              </w:rPr>
              <w:t>ALK</w:t>
            </w:r>
            <w:r>
              <w:rPr>
                <w:rFonts w:cs="Arial"/>
              </w:rPr>
              <w:t xml:space="preserve">, </w:t>
            </w:r>
            <w:r w:rsidR="001A5344">
              <w:rPr>
                <w:rFonts w:cs="Arial"/>
              </w:rPr>
              <w:t xml:space="preserve">and </w:t>
            </w:r>
            <w:r w:rsidRPr="00F57034">
              <w:rPr>
                <w:rFonts w:cs="Arial"/>
                <w:i/>
              </w:rPr>
              <w:t>ROS1</w:t>
            </w:r>
          </w:p>
        </w:tc>
      </w:tr>
      <w:tr w:rsidR="00A84A56" w:rsidRPr="00084393" w14:paraId="37DAB009" w14:textId="77777777" w:rsidTr="00963418">
        <w:tc>
          <w:tcPr>
            <w:tcW w:w="702" w:type="pct"/>
            <w:tcBorders>
              <w:right w:val="single" w:sz="4" w:space="0" w:color="auto"/>
            </w:tcBorders>
          </w:tcPr>
          <w:p w14:paraId="5D55C8E0" w14:textId="77777777" w:rsidR="00A84A56" w:rsidRPr="00084393" w:rsidRDefault="00A84A56" w:rsidP="009E1892">
            <w:pPr>
              <w:pStyle w:val="Tabletext"/>
              <w:rPr>
                <w:rFonts w:cs="Arial"/>
              </w:rPr>
            </w:pPr>
            <w:r w:rsidRPr="00084393">
              <w:rPr>
                <w:rFonts w:cs="Arial"/>
              </w:rPr>
              <w:t>Comparator</w:t>
            </w:r>
          </w:p>
        </w:tc>
        <w:tc>
          <w:tcPr>
            <w:tcW w:w="4298" w:type="pct"/>
            <w:tcBorders>
              <w:top w:val="single" w:sz="4" w:space="0" w:color="auto"/>
              <w:left w:val="single" w:sz="4" w:space="0" w:color="auto"/>
              <w:bottom w:val="single" w:sz="4" w:space="0" w:color="auto"/>
              <w:right w:val="single" w:sz="4" w:space="0" w:color="auto"/>
            </w:tcBorders>
          </w:tcPr>
          <w:p w14:paraId="0C958687" w14:textId="206A9C40" w:rsidR="00E6032A" w:rsidRPr="00CF5A1D" w:rsidRDefault="004B1E93" w:rsidP="00E6032A">
            <w:pPr>
              <w:pStyle w:val="Tabletext"/>
              <w:rPr>
                <w:rFonts w:cs="Arial"/>
              </w:rPr>
            </w:pPr>
            <w:r>
              <w:rPr>
                <w:rFonts w:cs="Arial"/>
              </w:rPr>
              <w:t>T</w:t>
            </w:r>
            <w:r w:rsidR="009B6FAE" w:rsidRPr="009B6FAE">
              <w:rPr>
                <w:rFonts w:cs="Arial"/>
              </w:rPr>
              <w:t xml:space="preserve">esting for </w:t>
            </w:r>
            <w:r w:rsidR="00963418">
              <w:rPr>
                <w:rFonts w:cs="Arial"/>
              </w:rPr>
              <w:t>activating mutations</w:t>
            </w:r>
            <w:r w:rsidR="00712E6A">
              <w:rPr>
                <w:rFonts w:cs="Arial"/>
              </w:rPr>
              <w:t xml:space="preserve"> in the </w:t>
            </w:r>
            <w:r w:rsidR="009B6FAE" w:rsidRPr="00F57034">
              <w:rPr>
                <w:rFonts w:cs="Arial"/>
                <w:i/>
              </w:rPr>
              <w:t>EGFR</w:t>
            </w:r>
            <w:r w:rsidR="009B6FAE" w:rsidRPr="009B6FAE">
              <w:rPr>
                <w:rFonts w:cs="Arial"/>
              </w:rPr>
              <w:t xml:space="preserve"> </w:t>
            </w:r>
            <w:r w:rsidR="00712E6A">
              <w:rPr>
                <w:rFonts w:cs="Arial"/>
              </w:rPr>
              <w:t>gene</w:t>
            </w:r>
            <w:r w:rsidR="00E6032A">
              <w:rPr>
                <w:rFonts w:cs="Arial"/>
              </w:rPr>
              <w:t>,</w:t>
            </w:r>
            <w:r w:rsidR="001A5344">
              <w:rPr>
                <w:rFonts w:cs="Arial"/>
              </w:rPr>
              <w:t xml:space="preserve"> </w:t>
            </w:r>
            <w:r w:rsidR="00CA10B2" w:rsidRPr="00B60400">
              <w:rPr>
                <w:rFonts w:cs="Arial"/>
              </w:rPr>
              <w:t>ALK</w:t>
            </w:r>
            <w:r w:rsidR="00CA10B2">
              <w:rPr>
                <w:rFonts w:cs="Arial"/>
              </w:rPr>
              <w:t xml:space="preserve"> IHC</w:t>
            </w:r>
            <w:r w:rsidR="00E6032A">
              <w:rPr>
                <w:rFonts w:cs="Arial"/>
              </w:rPr>
              <w:t xml:space="preserve"> and ROS1 IHC, with </w:t>
            </w:r>
            <w:r w:rsidR="00963418">
              <w:rPr>
                <w:rFonts w:cs="Arial"/>
              </w:rPr>
              <w:t>subsequent</w:t>
            </w:r>
            <w:r w:rsidR="00E6032A">
              <w:rPr>
                <w:rFonts w:cs="Arial"/>
              </w:rPr>
              <w:t xml:space="preserve"> </w:t>
            </w:r>
            <w:r w:rsidR="00E6032A">
              <w:rPr>
                <w:rFonts w:cs="Arial"/>
                <w:i/>
              </w:rPr>
              <w:t xml:space="preserve">ALK </w:t>
            </w:r>
            <w:r w:rsidR="00E6032A">
              <w:rPr>
                <w:rFonts w:cs="Arial"/>
              </w:rPr>
              <w:t xml:space="preserve">FISH or </w:t>
            </w:r>
            <w:r w:rsidR="00CF5A1D">
              <w:rPr>
                <w:rFonts w:cs="Arial"/>
                <w:i/>
              </w:rPr>
              <w:t>ROS1</w:t>
            </w:r>
            <w:r w:rsidR="00CF5A1D">
              <w:rPr>
                <w:rFonts w:cs="Arial"/>
              </w:rPr>
              <w:t xml:space="preserve"> FISH as appropriate</w:t>
            </w:r>
          </w:p>
          <w:p w14:paraId="368217E0" w14:textId="0478F5AF" w:rsidR="00A84A56" w:rsidRPr="009B6FAE" w:rsidRDefault="00CA10B2" w:rsidP="00CF5A1D">
            <w:pPr>
              <w:pStyle w:val="Tabletext"/>
              <w:rPr>
                <w:rFonts w:cs="Arial"/>
              </w:rPr>
            </w:pPr>
            <w:r>
              <w:rPr>
                <w:rFonts w:cs="Arial"/>
              </w:rPr>
              <w:t xml:space="preserve"> </w:t>
            </w:r>
          </w:p>
        </w:tc>
      </w:tr>
      <w:tr w:rsidR="00E73C52" w:rsidRPr="00084393" w14:paraId="2F313888" w14:textId="77777777" w:rsidTr="00963418">
        <w:tc>
          <w:tcPr>
            <w:tcW w:w="702" w:type="pct"/>
            <w:tcBorders>
              <w:right w:val="single" w:sz="4" w:space="0" w:color="auto"/>
            </w:tcBorders>
          </w:tcPr>
          <w:p w14:paraId="7B9D2081" w14:textId="261474FA" w:rsidR="00E73C52" w:rsidRPr="00084393" w:rsidRDefault="00E73C52" w:rsidP="00963418">
            <w:pPr>
              <w:pStyle w:val="Tabletext"/>
              <w:rPr>
                <w:rFonts w:cs="Arial"/>
              </w:rPr>
            </w:pPr>
            <w:r>
              <w:rPr>
                <w:rFonts w:cs="Arial"/>
              </w:rPr>
              <w:t>Evidentiary standard</w:t>
            </w:r>
            <w:r w:rsidR="00963418">
              <w:rPr>
                <w:rFonts w:cs="Arial"/>
              </w:rPr>
              <w:t>s</w:t>
            </w:r>
          </w:p>
        </w:tc>
        <w:tc>
          <w:tcPr>
            <w:tcW w:w="4298" w:type="pct"/>
            <w:tcBorders>
              <w:top w:val="single" w:sz="4" w:space="0" w:color="auto"/>
              <w:left w:val="single" w:sz="4" w:space="0" w:color="auto"/>
              <w:bottom w:val="single" w:sz="4" w:space="0" w:color="auto"/>
              <w:right w:val="single" w:sz="4" w:space="0" w:color="auto"/>
            </w:tcBorders>
          </w:tcPr>
          <w:p w14:paraId="70EEBCB9" w14:textId="532F26E6" w:rsidR="00E73C52" w:rsidRPr="002E6705" w:rsidRDefault="00E73C52" w:rsidP="009E1892">
            <w:pPr>
              <w:pStyle w:val="Tabletext"/>
              <w:rPr>
                <w:rFonts w:cs="Arial"/>
              </w:rPr>
            </w:pPr>
            <w:r>
              <w:rPr>
                <w:rFonts w:cs="Arial"/>
                <w:i/>
              </w:rPr>
              <w:t xml:space="preserve">EGFR </w:t>
            </w:r>
            <w:r w:rsidR="00FA78C4">
              <w:rPr>
                <w:rFonts w:cs="Arial"/>
              </w:rPr>
              <w:t>cobas® real time PCR test</w:t>
            </w:r>
          </w:p>
          <w:p w14:paraId="2B79BA14" w14:textId="77283748" w:rsidR="00E73C52" w:rsidRDefault="00E73C52" w:rsidP="009E1892">
            <w:pPr>
              <w:pStyle w:val="Tabletext"/>
              <w:rPr>
                <w:rFonts w:cs="Arial"/>
              </w:rPr>
            </w:pPr>
            <w:r w:rsidRPr="002E6705">
              <w:rPr>
                <w:rFonts w:cs="Arial"/>
                <w:i/>
              </w:rPr>
              <w:t>ALK</w:t>
            </w:r>
            <w:r>
              <w:rPr>
                <w:rFonts w:cs="Arial"/>
              </w:rPr>
              <w:t xml:space="preserve"> FISH</w:t>
            </w:r>
          </w:p>
          <w:p w14:paraId="55F4E63B" w14:textId="1429E6E8" w:rsidR="00E73C52" w:rsidRDefault="00E73C52" w:rsidP="009E1892">
            <w:pPr>
              <w:pStyle w:val="Tabletext"/>
              <w:rPr>
                <w:rFonts w:cs="Arial"/>
              </w:rPr>
            </w:pPr>
            <w:r w:rsidRPr="002E6705">
              <w:rPr>
                <w:rFonts w:cs="Arial"/>
                <w:i/>
              </w:rPr>
              <w:t>ROS1</w:t>
            </w:r>
            <w:r>
              <w:rPr>
                <w:rFonts w:cs="Arial"/>
              </w:rPr>
              <w:t xml:space="preserve"> FISH</w:t>
            </w:r>
          </w:p>
        </w:tc>
      </w:tr>
      <w:tr w:rsidR="00A84A56" w:rsidRPr="00084393" w14:paraId="0FE17110" w14:textId="77777777" w:rsidTr="00963418">
        <w:tc>
          <w:tcPr>
            <w:tcW w:w="702" w:type="pct"/>
            <w:tcBorders>
              <w:right w:val="single" w:sz="4" w:space="0" w:color="auto"/>
            </w:tcBorders>
          </w:tcPr>
          <w:p w14:paraId="5BA023EE" w14:textId="77777777" w:rsidR="00A84A56" w:rsidRPr="00084393" w:rsidRDefault="00A84A56" w:rsidP="009E1892">
            <w:pPr>
              <w:pStyle w:val="Tabletext"/>
              <w:rPr>
                <w:rFonts w:cs="Arial"/>
              </w:rPr>
            </w:pPr>
            <w:r w:rsidRPr="00084393">
              <w:rPr>
                <w:rFonts w:cs="Arial"/>
              </w:rPr>
              <w:t>Outcomes</w:t>
            </w:r>
          </w:p>
        </w:tc>
        <w:tc>
          <w:tcPr>
            <w:tcW w:w="4298" w:type="pct"/>
            <w:tcBorders>
              <w:top w:val="single" w:sz="4" w:space="0" w:color="auto"/>
              <w:left w:val="single" w:sz="4" w:space="0" w:color="auto"/>
              <w:bottom w:val="single" w:sz="4" w:space="0" w:color="auto"/>
              <w:right w:val="single" w:sz="4" w:space="0" w:color="auto"/>
            </w:tcBorders>
          </w:tcPr>
          <w:p w14:paraId="298F596C" w14:textId="6789C86C" w:rsidR="00A84A56" w:rsidRPr="0052787D" w:rsidRDefault="0052787D" w:rsidP="009E1892">
            <w:pPr>
              <w:pStyle w:val="Tabletext"/>
              <w:rPr>
                <w:rFonts w:cs="Arial"/>
                <w:i/>
              </w:rPr>
            </w:pPr>
            <w:r w:rsidRPr="0052787D">
              <w:rPr>
                <w:rFonts w:cs="Arial"/>
                <w:i/>
              </w:rPr>
              <w:t>Test outcomes</w:t>
            </w:r>
          </w:p>
          <w:p w14:paraId="2BDAC3CF" w14:textId="7EF2BC2E" w:rsidR="0052787D" w:rsidRDefault="0052787D" w:rsidP="009E1892">
            <w:pPr>
              <w:pStyle w:val="Tabletext"/>
              <w:rPr>
                <w:rFonts w:cs="Arial"/>
                <w:i/>
              </w:rPr>
            </w:pPr>
            <w:r>
              <w:rPr>
                <w:rFonts w:cs="Arial"/>
                <w:i/>
              </w:rPr>
              <w:t>Efficacy/effectiveness</w:t>
            </w:r>
          </w:p>
          <w:p w14:paraId="2E9DB0EC" w14:textId="26CBC6FC" w:rsidR="00FA78C4" w:rsidRDefault="00AC1807" w:rsidP="009E1892">
            <w:pPr>
              <w:pStyle w:val="Tabletext"/>
              <w:rPr>
                <w:rFonts w:cs="Arial"/>
              </w:rPr>
            </w:pPr>
            <w:r>
              <w:rPr>
                <w:rFonts w:cs="Arial"/>
              </w:rPr>
              <w:t>Positive percent agreement and negative percent agreement of</w:t>
            </w:r>
            <w:r w:rsidR="00FA78C4">
              <w:rPr>
                <w:rFonts w:cs="Arial"/>
              </w:rPr>
              <w:t xml:space="preserve"> NGS assays </w:t>
            </w:r>
            <w:r>
              <w:rPr>
                <w:rFonts w:cs="Arial"/>
              </w:rPr>
              <w:t>against the</w:t>
            </w:r>
            <w:r w:rsidR="00FA78C4">
              <w:rPr>
                <w:rFonts w:cs="Arial"/>
              </w:rPr>
              <w:t xml:space="preserve"> evidentiary standard</w:t>
            </w:r>
            <w:r w:rsidR="00086983">
              <w:rPr>
                <w:rFonts w:cs="Arial"/>
              </w:rPr>
              <w:t>s</w:t>
            </w:r>
          </w:p>
          <w:p w14:paraId="051015B2" w14:textId="5A7085FA" w:rsidR="008D40CF" w:rsidRDefault="008D40CF" w:rsidP="009E1892">
            <w:pPr>
              <w:pStyle w:val="Tabletext"/>
              <w:rPr>
                <w:rFonts w:cs="Arial"/>
              </w:rPr>
            </w:pPr>
            <w:r>
              <w:rPr>
                <w:rFonts w:cs="Arial"/>
              </w:rPr>
              <w:t>Positive predictive value and negative predictive value of NGS assays against the evidentiary standards</w:t>
            </w:r>
          </w:p>
          <w:p w14:paraId="6D2A2548" w14:textId="1E7FEB01" w:rsidR="0052787D" w:rsidRDefault="0052787D" w:rsidP="009E1892">
            <w:pPr>
              <w:pStyle w:val="Tabletext"/>
              <w:rPr>
                <w:rFonts w:cs="Arial"/>
              </w:rPr>
            </w:pPr>
            <w:r>
              <w:rPr>
                <w:rFonts w:cs="Arial"/>
              </w:rPr>
              <w:t xml:space="preserve">Concordance between NGS assays </w:t>
            </w:r>
            <w:r w:rsidR="00410E73">
              <w:rPr>
                <w:rFonts w:cs="Arial"/>
              </w:rPr>
              <w:t>and comparator biomarker assays</w:t>
            </w:r>
          </w:p>
          <w:p w14:paraId="104ABD06" w14:textId="51A7CBB1" w:rsidR="00086983" w:rsidRDefault="00086983" w:rsidP="009E1892">
            <w:pPr>
              <w:pStyle w:val="Tabletext"/>
              <w:rPr>
                <w:rFonts w:cs="Arial"/>
              </w:rPr>
            </w:pPr>
            <w:r>
              <w:rPr>
                <w:rFonts w:cs="Arial"/>
              </w:rPr>
              <w:t>Concordance between FoundationOne CDx and NGS assays expected to be used in Australia</w:t>
            </w:r>
          </w:p>
          <w:p w14:paraId="6A4FE104" w14:textId="1434AC90" w:rsidR="00543026" w:rsidRPr="00963418" w:rsidRDefault="00543026" w:rsidP="009E1892">
            <w:pPr>
              <w:pStyle w:val="Tabletext"/>
              <w:rPr>
                <w:rFonts w:cs="Arial"/>
              </w:rPr>
            </w:pPr>
            <w:r w:rsidRPr="00963418">
              <w:rPr>
                <w:rFonts w:cs="Arial"/>
              </w:rPr>
              <w:t>Test turnaround time</w:t>
            </w:r>
          </w:p>
          <w:p w14:paraId="6D44264E" w14:textId="5B22D07C" w:rsidR="0052787D" w:rsidRPr="0052787D" w:rsidRDefault="0052787D" w:rsidP="009E1892">
            <w:pPr>
              <w:pStyle w:val="Tabletext"/>
              <w:rPr>
                <w:rFonts w:cs="Arial"/>
                <w:i/>
              </w:rPr>
            </w:pPr>
            <w:r w:rsidRPr="0052787D">
              <w:rPr>
                <w:rFonts w:cs="Arial"/>
                <w:i/>
              </w:rPr>
              <w:t>Safety outcomes</w:t>
            </w:r>
          </w:p>
          <w:p w14:paraId="0C886325" w14:textId="0ECC95B6" w:rsidR="0052787D" w:rsidRDefault="00263DB7" w:rsidP="009E1892">
            <w:pPr>
              <w:pStyle w:val="Tabletext"/>
              <w:rPr>
                <w:rFonts w:cs="Arial"/>
              </w:rPr>
            </w:pPr>
            <w:r>
              <w:rPr>
                <w:rFonts w:cs="Arial"/>
              </w:rPr>
              <w:t>R</w:t>
            </w:r>
            <w:r w:rsidR="0052787D">
              <w:rPr>
                <w:rFonts w:cs="Arial"/>
              </w:rPr>
              <w:t>ebiopsy rate</w:t>
            </w:r>
            <w:r w:rsidR="00F536F1">
              <w:rPr>
                <w:rFonts w:cs="Arial"/>
              </w:rPr>
              <w:t xml:space="preserve"> / </w:t>
            </w:r>
            <w:r w:rsidR="00963418">
              <w:rPr>
                <w:rFonts w:cs="Arial"/>
              </w:rPr>
              <w:t>t</w:t>
            </w:r>
            <w:r w:rsidR="00F536F1">
              <w:rPr>
                <w:rFonts w:cs="Arial"/>
              </w:rPr>
              <w:t xml:space="preserve">est failure rate / </w:t>
            </w:r>
            <w:r w:rsidR="00963418">
              <w:rPr>
                <w:rFonts w:cs="Arial"/>
              </w:rPr>
              <w:t>i</w:t>
            </w:r>
            <w:r w:rsidR="00F536F1">
              <w:rPr>
                <w:rFonts w:cs="Arial"/>
              </w:rPr>
              <w:t>nadequate sample rate</w:t>
            </w:r>
            <w:r w:rsidR="00457B3A">
              <w:rPr>
                <w:rFonts w:cs="Arial"/>
              </w:rPr>
              <w:t xml:space="preserve"> (e.g. from an inadequate cytological specimen)</w:t>
            </w:r>
          </w:p>
          <w:p w14:paraId="272627EA" w14:textId="49F3D55E" w:rsidR="0052787D" w:rsidRDefault="00263DB7" w:rsidP="009E1892">
            <w:pPr>
              <w:pStyle w:val="Tabletext"/>
              <w:rPr>
                <w:rFonts w:cs="Arial"/>
              </w:rPr>
            </w:pPr>
            <w:r>
              <w:rPr>
                <w:rFonts w:cs="Arial"/>
              </w:rPr>
              <w:t>H</w:t>
            </w:r>
            <w:r w:rsidR="0052787D">
              <w:rPr>
                <w:rFonts w:cs="Arial"/>
              </w:rPr>
              <w:t>arms from rebiopsy</w:t>
            </w:r>
          </w:p>
          <w:p w14:paraId="43353197" w14:textId="14C66139" w:rsidR="0052787D" w:rsidRPr="002E6705" w:rsidRDefault="0052787D" w:rsidP="009E1892">
            <w:pPr>
              <w:pStyle w:val="Tabletext"/>
              <w:rPr>
                <w:rFonts w:cs="Arial"/>
                <w:i/>
              </w:rPr>
            </w:pPr>
            <w:r w:rsidRPr="002E6705">
              <w:rPr>
                <w:rFonts w:cs="Arial"/>
                <w:i/>
              </w:rPr>
              <w:t>Treatment outcomes</w:t>
            </w:r>
          </w:p>
          <w:p w14:paraId="198C87A0" w14:textId="6A64031C" w:rsidR="00DB3268" w:rsidRPr="002E6705" w:rsidRDefault="00DB3268" w:rsidP="009E1892">
            <w:pPr>
              <w:pStyle w:val="Tabletext"/>
              <w:rPr>
                <w:rFonts w:cs="Arial"/>
                <w:i/>
              </w:rPr>
            </w:pPr>
            <w:r w:rsidRPr="002E6705">
              <w:rPr>
                <w:rFonts w:cs="Arial"/>
                <w:i/>
              </w:rPr>
              <w:t>Effectiveness</w:t>
            </w:r>
          </w:p>
          <w:p w14:paraId="4BD15FEC" w14:textId="4FC6063B" w:rsidR="00F536F1" w:rsidRDefault="00F536F1" w:rsidP="009E1892">
            <w:pPr>
              <w:pStyle w:val="Tabletext"/>
              <w:rPr>
                <w:rFonts w:cs="Arial"/>
              </w:rPr>
            </w:pPr>
            <w:r>
              <w:rPr>
                <w:rFonts w:cs="Arial"/>
              </w:rPr>
              <w:t>Direct health outcomes (survival/mortality)</w:t>
            </w:r>
          </w:p>
          <w:p w14:paraId="08A46662" w14:textId="39EFB803" w:rsidR="00DD175E" w:rsidRDefault="00DD175E" w:rsidP="009E1892">
            <w:pPr>
              <w:pStyle w:val="Tabletext"/>
              <w:rPr>
                <w:rFonts w:cs="Arial"/>
              </w:rPr>
            </w:pPr>
            <w:r>
              <w:rPr>
                <w:rFonts w:cs="Arial"/>
              </w:rPr>
              <w:t>Health outcomes resulting from false positives and false negatives of any of the proposed NGS assays against each of the evidentiary standards</w:t>
            </w:r>
          </w:p>
          <w:p w14:paraId="19D8342C" w14:textId="676EA3C5" w:rsidR="00DB3268" w:rsidRDefault="00263150" w:rsidP="009E1892">
            <w:pPr>
              <w:pStyle w:val="Tabletext"/>
              <w:rPr>
                <w:rFonts w:cs="Arial"/>
              </w:rPr>
            </w:pPr>
            <w:r w:rsidRPr="002E6705">
              <w:rPr>
                <w:rFonts w:cs="Arial"/>
              </w:rPr>
              <w:t>H</w:t>
            </w:r>
            <w:r w:rsidR="00DB3268" w:rsidRPr="002E6705">
              <w:rPr>
                <w:rFonts w:cs="Arial"/>
              </w:rPr>
              <w:t xml:space="preserve">ealth outcome changes based on increase in number of patients eligible for PBS-listed </w:t>
            </w:r>
            <w:r w:rsidR="00F536F1">
              <w:rPr>
                <w:rFonts w:cs="Arial"/>
              </w:rPr>
              <w:t xml:space="preserve">targeted therapies </w:t>
            </w:r>
            <w:r w:rsidR="00DB3268" w:rsidRPr="002E6705">
              <w:rPr>
                <w:rFonts w:cs="Arial"/>
              </w:rPr>
              <w:t>and</w:t>
            </w:r>
            <w:r w:rsidRPr="002E6705">
              <w:rPr>
                <w:rFonts w:cs="Arial"/>
              </w:rPr>
              <w:t>/or</w:t>
            </w:r>
            <w:r w:rsidR="00DB3268" w:rsidRPr="002E6705">
              <w:rPr>
                <w:rFonts w:cs="Arial"/>
              </w:rPr>
              <w:t xml:space="preserve"> earlier </w:t>
            </w:r>
            <w:r w:rsidRPr="002E6705">
              <w:rPr>
                <w:rFonts w:cs="Arial"/>
              </w:rPr>
              <w:t xml:space="preserve">commencement of </w:t>
            </w:r>
            <w:r w:rsidR="00963418">
              <w:rPr>
                <w:rFonts w:cs="Arial"/>
              </w:rPr>
              <w:t>treatment</w:t>
            </w:r>
          </w:p>
          <w:p w14:paraId="585E22CC" w14:textId="28143983" w:rsidR="00DD175E" w:rsidRPr="00963418" w:rsidRDefault="00DD175E" w:rsidP="009E1892">
            <w:pPr>
              <w:pStyle w:val="Tabletext"/>
              <w:rPr>
                <w:rFonts w:cs="Arial"/>
              </w:rPr>
            </w:pPr>
          </w:p>
          <w:p w14:paraId="09379543" w14:textId="58004B09" w:rsidR="00DB3268" w:rsidRPr="00DB3268" w:rsidRDefault="00263150" w:rsidP="009E1892">
            <w:pPr>
              <w:pStyle w:val="Tabletext"/>
              <w:rPr>
                <w:rFonts w:cs="Arial"/>
                <w:i/>
              </w:rPr>
            </w:pPr>
            <w:r>
              <w:rPr>
                <w:rFonts w:cs="Arial"/>
                <w:i/>
              </w:rPr>
              <w:t>Healthcare resources</w:t>
            </w:r>
          </w:p>
          <w:p w14:paraId="117ADA0C" w14:textId="3721476C" w:rsidR="002D3FEE" w:rsidRPr="002D3FEE" w:rsidRDefault="007C7AB1" w:rsidP="009E1892">
            <w:pPr>
              <w:pStyle w:val="Tabletext"/>
              <w:rPr>
                <w:rFonts w:cs="Arial"/>
              </w:rPr>
            </w:pPr>
            <w:r>
              <w:rPr>
                <w:rFonts w:cs="Arial"/>
              </w:rPr>
              <w:t>Cost</w:t>
            </w:r>
          </w:p>
          <w:p w14:paraId="5FD4C5C4" w14:textId="069942D1" w:rsidR="00A84A56" w:rsidRPr="009B6FAE" w:rsidRDefault="00A84A56" w:rsidP="009E1892">
            <w:pPr>
              <w:pStyle w:val="Tabletext"/>
              <w:rPr>
                <w:rFonts w:cs="Arial"/>
              </w:rPr>
            </w:pPr>
            <w:r w:rsidRPr="009B6FAE">
              <w:rPr>
                <w:rFonts w:cs="Arial"/>
              </w:rPr>
              <w:t>Cost-effectiveness</w:t>
            </w:r>
          </w:p>
          <w:p w14:paraId="00B3E193" w14:textId="59C4E630" w:rsidR="00A84A56" w:rsidRPr="009B6FAE" w:rsidRDefault="00500ECD" w:rsidP="00500ECD">
            <w:pPr>
              <w:pStyle w:val="Tabletext"/>
              <w:rPr>
                <w:rFonts w:cs="Arial"/>
              </w:rPr>
            </w:pPr>
            <w:r>
              <w:rPr>
                <w:rFonts w:cs="Arial"/>
              </w:rPr>
              <w:t>Net</w:t>
            </w:r>
            <w:r w:rsidR="00A84A56" w:rsidRPr="009B6FAE">
              <w:rPr>
                <w:rFonts w:cs="Arial"/>
              </w:rPr>
              <w:t xml:space="preserve"> </w:t>
            </w:r>
            <w:r w:rsidR="00F12E59" w:rsidRPr="009B6FAE">
              <w:rPr>
                <w:rFonts w:cs="Arial"/>
              </w:rPr>
              <w:t>Australian G</w:t>
            </w:r>
            <w:r w:rsidR="00A84A56" w:rsidRPr="009B6FAE">
              <w:rPr>
                <w:rFonts w:cs="Arial"/>
              </w:rPr>
              <w:t>overnment healthcare costs</w:t>
            </w:r>
          </w:p>
        </w:tc>
      </w:tr>
    </w:tbl>
    <w:p w14:paraId="5F8DAC81" w14:textId="77777777" w:rsidR="004809B4" w:rsidRDefault="004809B4" w:rsidP="002E6705">
      <w:pPr>
        <w:pStyle w:val="Tablenotes0"/>
      </w:pPr>
      <w:r w:rsidRPr="007C7AB1">
        <w:rPr>
          <w:i/>
        </w:rPr>
        <w:t>ALK</w:t>
      </w:r>
      <w:r>
        <w:t xml:space="preserve"> = </w:t>
      </w:r>
      <w:r w:rsidRPr="00561C5F">
        <w:t>anaplastic lymphoma kinase</w:t>
      </w:r>
      <w:r>
        <w:t xml:space="preserve">; </w:t>
      </w:r>
      <w:r w:rsidRPr="007C7AB1">
        <w:rPr>
          <w:i/>
        </w:rPr>
        <w:t>EGFR</w:t>
      </w:r>
      <w:r>
        <w:t xml:space="preserve"> = epidermal growth factor receptor; FISH = f</w:t>
      </w:r>
      <w:r w:rsidRPr="00561C5F">
        <w:t xml:space="preserve">luorescence </w:t>
      </w:r>
      <w:r w:rsidRPr="007C7AB1">
        <w:rPr>
          <w:i/>
        </w:rPr>
        <w:t>in situ</w:t>
      </w:r>
      <w:r w:rsidRPr="00561C5F">
        <w:t xml:space="preserve"> hybridization</w:t>
      </w:r>
      <w:r>
        <w:t xml:space="preserve">; IHC = immunohistochemistry; </w:t>
      </w:r>
      <w:r w:rsidRPr="007C7AB1">
        <w:rPr>
          <w:i/>
        </w:rPr>
        <w:t>ROS1</w:t>
      </w:r>
      <w:r>
        <w:t xml:space="preserve"> = </w:t>
      </w:r>
      <w:r w:rsidRPr="00561C5F">
        <w:t>ROS proto-oncogene 1</w:t>
      </w:r>
    </w:p>
    <w:p w14:paraId="3093F247" w14:textId="77777777" w:rsidR="00F007D7" w:rsidRPr="00714938" w:rsidRDefault="00F007D7">
      <w:pPr>
        <w:rPr>
          <w:rFonts w:eastAsia="MS Gothic"/>
          <w:b/>
          <w:bCs/>
          <w:i/>
          <w:szCs w:val="26"/>
          <w:u w:val="single"/>
        </w:rPr>
      </w:pPr>
      <w:r w:rsidRPr="00714938">
        <w:rPr>
          <w:rFonts w:eastAsia="MS Gothic"/>
          <w:b/>
          <w:bCs/>
          <w:i/>
          <w:szCs w:val="26"/>
          <w:u w:val="single"/>
        </w:rPr>
        <w:br w:type="page"/>
      </w:r>
    </w:p>
    <w:p w14:paraId="7B4814A7" w14:textId="3EC54279" w:rsidR="007F4E20" w:rsidRPr="00E364F7" w:rsidRDefault="00953ED7">
      <w:pPr>
        <w:rPr>
          <w:rFonts w:eastAsia="MS Gothic"/>
          <w:bCs/>
          <w:color w:val="548DD4"/>
          <w:szCs w:val="26"/>
        </w:rPr>
      </w:pPr>
      <w:r>
        <w:rPr>
          <w:rFonts w:eastAsia="MS Gothic"/>
          <w:b/>
          <w:bCs/>
          <w:i/>
          <w:color w:val="548DD4"/>
          <w:szCs w:val="26"/>
          <w:u w:val="single"/>
        </w:rPr>
        <w:lastRenderedPageBreak/>
        <w:t>PPICO</w:t>
      </w:r>
      <w:r w:rsidR="00E364F7"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w:t>
      </w:r>
      <w:r w:rsidR="00B45971">
        <w:rPr>
          <w:rFonts w:eastAsia="MS Gothic"/>
          <w:b/>
          <w:bCs/>
          <w:i/>
          <w:color w:val="548DD4"/>
          <w:szCs w:val="26"/>
          <w:u w:val="single"/>
        </w:rPr>
        <w:t xml:space="preserve">investigative </w:t>
      </w:r>
      <w:r w:rsidR="00BA63AA">
        <w:rPr>
          <w:rFonts w:eastAsia="MS Gothic"/>
          <w:b/>
          <w:bCs/>
          <w:i/>
          <w:color w:val="548DD4"/>
          <w:szCs w:val="26"/>
          <w:u w:val="single"/>
        </w:rPr>
        <w:t>medical services</w:t>
      </w:r>
    </w:p>
    <w:p w14:paraId="6AAD5B2A" w14:textId="4C37957C" w:rsidR="00F007D7" w:rsidRPr="004B4240" w:rsidRDefault="00896845" w:rsidP="004B4240">
      <w:pPr>
        <w:pStyle w:val="Heading3"/>
        <w:keepNext w:val="0"/>
        <w:keepLines w:val="0"/>
        <w:spacing w:before="0" w:after="200"/>
        <w:rPr>
          <w:rFonts w:ascii="Calibri" w:eastAsia="Calibri" w:hAnsi="Calibri" w:cs="Times New Roman"/>
          <w:b/>
          <w:color w:val="auto"/>
          <w:sz w:val="22"/>
          <w:szCs w:val="22"/>
        </w:rPr>
      </w:pPr>
      <w:r w:rsidRPr="004B4240">
        <w:rPr>
          <w:rFonts w:ascii="Calibri" w:eastAsia="Calibri" w:hAnsi="Calibri" w:cs="Times New Roman"/>
          <w:b/>
          <w:color w:val="auto"/>
          <w:sz w:val="22"/>
          <w:szCs w:val="22"/>
        </w:rPr>
        <w:t>Population</w:t>
      </w:r>
    </w:p>
    <w:p w14:paraId="3F0D24AB" w14:textId="5FD554F7" w:rsidR="008669C1" w:rsidRDefault="008669C1" w:rsidP="002B3338">
      <w:pPr>
        <w:rPr>
          <w:rFonts w:cs="Arial"/>
        </w:rPr>
      </w:pPr>
      <w:r w:rsidRPr="008669C1">
        <w:rPr>
          <w:rFonts w:cs="Arial"/>
        </w:rPr>
        <w:t xml:space="preserve">The population of interest </w:t>
      </w:r>
      <w:r w:rsidR="005631A2">
        <w:rPr>
          <w:rFonts w:cs="Arial"/>
        </w:rPr>
        <w:t xml:space="preserve">for testing comprises </w:t>
      </w:r>
      <w:r w:rsidRPr="008669C1">
        <w:rPr>
          <w:rFonts w:cs="Arial"/>
        </w:rPr>
        <w:t xml:space="preserve">patients with </w:t>
      </w:r>
      <w:r w:rsidRPr="0075030C">
        <w:rPr>
          <w:rFonts w:cs="Arial"/>
        </w:rPr>
        <w:t>non-squamous (or not otherwise specified) non-small cell lung cancer (NSCLC)</w:t>
      </w:r>
      <w:r w:rsidR="009A29B7">
        <w:rPr>
          <w:rFonts w:cs="Arial"/>
        </w:rPr>
        <w:t xml:space="preserve">. </w:t>
      </w:r>
      <w:r w:rsidR="005631A2">
        <w:rPr>
          <w:rFonts w:cs="Arial"/>
        </w:rPr>
        <w:t>When t</w:t>
      </w:r>
      <w:r w:rsidR="009A29B7">
        <w:rPr>
          <w:rFonts w:cs="Arial"/>
        </w:rPr>
        <w:t xml:space="preserve">hese patients </w:t>
      </w:r>
      <w:r w:rsidR="005631A2">
        <w:rPr>
          <w:rFonts w:cs="Arial"/>
        </w:rPr>
        <w:t xml:space="preserve">are also </w:t>
      </w:r>
      <w:r w:rsidR="005631A2" w:rsidRPr="0075030C">
        <w:rPr>
          <w:rFonts w:cs="Arial"/>
        </w:rPr>
        <w:t>stage IIIB (locally advanced) or stage IV (metastatic)</w:t>
      </w:r>
      <w:r w:rsidR="005631A2">
        <w:rPr>
          <w:rFonts w:cs="Arial"/>
        </w:rPr>
        <w:t>, they</w:t>
      </w:r>
      <w:r w:rsidR="005631A2" w:rsidRPr="0075030C">
        <w:rPr>
          <w:rFonts w:cs="Arial"/>
        </w:rPr>
        <w:t xml:space="preserve"> </w:t>
      </w:r>
      <w:r w:rsidR="005631A2">
        <w:rPr>
          <w:rFonts w:cs="Arial"/>
        </w:rPr>
        <w:t>can be</w:t>
      </w:r>
      <w:r w:rsidR="009A29B7">
        <w:rPr>
          <w:rFonts w:cs="Arial"/>
        </w:rPr>
        <w:t xml:space="preserve"> considered for treatment with Pharmaceutical Benefits Scheme (PBS)-listed tyrosine kinase inhibitors (TKIs).</w:t>
      </w:r>
    </w:p>
    <w:p w14:paraId="2F3F4699" w14:textId="16621C2C" w:rsidR="00763FAA" w:rsidRDefault="0028014E" w:rsidP="0028014E">
      <w:r w:rsidRPr="00763FAA">
        <w:rPr>
          <w:i/>
        </w:rPr>
        <w:t>PASC noted that</w:t>
      </w:r>
      <w:r w:rsidR="005F1A38" w:rsidRPr="00763FAA">
        <w:rPr>
          <w:i/>
        </w:rPr>
        <w:t xml:space="preserve">, consistent with the existing </w:t>
      </w:r>
      <w:r w:rsidR="00714938">
        <w:rPr>
          <w:i/>
        </w:rPr>
        <w:t>Medical Benefits Scheme (</w:t>
      </w:r>
      <w:r w:rsidR="005F1A38" w:rsidRPr="00763FAA">
        <w:rPr>
          <w:i/>
        </w:rPr>
        <w:t>MBS</w:t>
      </w:r>
      <w:r w:rsidR="00714938">
        <w:rPr>
          <w:i/>
        </w:rPr>
        <w:t>)</w:t>
      </w:r>
      <w:r w:rsidR="005F1A38" w:rsidRPr="00763FAA">
        <w:rPr>
          <w:i/>
        </w:rPr>
        <w:t xml:space="preserve"> item for EGFR testing,</w:t>
      </w:r>
      <w:r w:rsidRPr="00763FAA">
        <w:rPr>
          <w:i/>
        </w:rPr>
        <w:t xml:space="preserve"> the proposed population for the intervention is not restricted </w:t>
      </w:r>
      <w:r w:rsidR="00524030" w:rsidRPr="00763FAA">
        <w:rPr>
          <w:i/>
        </w:rPr>
        <w:t>by</w:t>
      </w:r>
      <w:r w:rsidRPr="00763FAA">
        <w:rPr>
          <w:i/>
        </w:rPr>
        <w:t xml:space="preserve"> stage of disease</w:t>
      </w:r>
      <w:r w:rsidR="00D73076" w:rsidRPr="00763FAA">
        <w:rPr>
          <w:i/>
        </w:rPr>
        <w:t>.</w:t>
      </w:r>
      <w:r w:rsidR="00D73076">
        <w:t xml:space="preserve"> </w:t>
      </w:r>
    </w:p>
    <w:p w14:paraId="16298217" w14:textId="618465B9" w:rsidR="0028014E" w:rsidRPr="00D54B20" w:rsidRDefault="00D73076" w:rsidP="0028014E">
      <w:r>
        <w:t>M</w:t>
      </w:r>
      <w:r w:rsidR="00594B35">
        <w:t xml:space="preserve">ost patients will progress to having locally advanced or metastatic disease, if they </w:t>
      </w:r>
      <w:r w:rsidR="00524030">
        <w:t>do</w:t>
      </w:r>
      <w:r w:rsidR="00594B35">
        <w:t xml:space="preserve"> not already, at the time of diagnosis</w:t>
      </w:r>
      <w:r>
        <w:t>, so most test results will be relevant to decisions regarding subsequent codependent treatments</w:t>
      </w:r>
      <w:r w:rsidR="00594B35">
        <w:t>.</w:t>
      </w:r>
    </w:p>
    <w:p w14:paraId="597B56D0" w14:textId="51341CBD" w:rsidR="00750918" w:rsidRDefault="0047352D" w:rsidP="002B3338">
      <w:pPr>
        <w:rPr>
          <w:rFonts w:cs="Arial"/>
        </w:rPr>
      </w:pPr>
      <w:r>
        <w:rPr>
          <w:rFonts w:cs="Arial"/>
        </w:rPr>
        <w:t xml:space="preserve">Patients with early stage lung cancer may be managed by surgical resection of the tumour. However, in locally advanced or metastatic cancer where surgical resection </w:t>
      </w:r>
      <w:r w:rsidR="00A965EB">
        <w:rPr>
          <w:rFonts w:cs="Arial"/>
        </w:rPr>
        <w:t xml:space="preserve">is no longer </w:t>
      </w:r>
      <w:r>
        <w:rPr>
          <w:rFonts w:cs="Arial"/>
        </w:rPr>
        <w:t>curative due to the spread of the tumour, systemic therapy is recommended. The choice</w:t>
      </w:r>
      <w:r w:rsidR="0017366F">
        <w:rPr>
          <w:rFonts w:cs="Arial"/>
        </w:rPr>
        <w:t xml:space="preserve"> of</w:t>
      </w:r>
      <w:r>
        <w:rPr>
          <w:rFonts w:cs="Arial"/>
        </w:rPr>
        <w:t xml:space="preserve"> systemic therapy is increasingly being made using identification of the molecular bi</w:t>
      </w:r>
      <w:r w:rsidR="00500ECD">
        <w:rPr>
          <w:rFonts w:cs="Arial"/>
        </w:rPr>
        <w:t>omarkers in a patient’s tumour.</w:t>
      </w:r>
    </w:p>
    <w:p w14:paraId="09EA1466" w14:textId="2E5320F2" w:rsidR="001177DC" w:rsidRPr="009B1586" w:rsidRDefault="001177DC" w:rsidP="002B3338">
      <w:pPr>
        <w:rPr>
          <w:rFonts w:cs="Arial"/>
        </w:rPr>
      </w:pPr>
      <w:r>
        <w:rPr>
          <w:rFonts w:cs="Arial"/>
        </w:rPr>
        <w:t>There are two different methods of estimating the size of the population of interest</w:t>
      </w:r>
      <w:r w:rsidR="005631A2">
        <w:rPr>
          <w:rFonts w:cs="Arial"/>
        </w:rPr>
        <w:t xml:space="preserve"> for testing</w:t>
      </w:r>
      <w:r w:rsidR="009804D3">
        <w:rPr>
          <w:rFonts w:cs="Arial"/>
        </w:rPr>
        <w:t>, which result in similar estimates</w:t>
      </w:r>
      <w:r>
        <w:rPr>
          <w:rFonts w:cs="Arial"/>
        </w:rPr>
        <w:t>. The epidemiology-based approach suggests that of 12,990 new cases of lung cancer diagnosed in Australia in 2020, non-small cell lung cancer accounts for 86.6%</w:t>
      </w:r>
      <w:r w:rsidR="00DD175E">
        <w:rPr>
          <w:rFonts w:cs="Arial"/>
        </w:rPr>
        <w:t xml:space="preserve"> </w:t>
      </w:r>
      <w:r w:rsidR="00DD175E">
        <w:rPr>
          <w:rFonts w:cs="Arial"/>
        </w:rPr>
        <w:fldChar w:fldCharType="begin"/>
      </w:r>
      <w:r w:rsidR="00DD175E">
        <w:rPr>
          <w:rFonts w:cs="Arial"/>
        </w:rPr>
        <w:instrText xml:space="preserve"> ADDIN EN.CITE &lt;EndNote&gt;&lt;Cite&gt;&lt;Author&gt;DoH&lt;/Author&gt;&lt;Year&gt;2019&lt;/Year&gt;&lt;RecNum&gt;1&lt;/RecNum&gt;&lt;DisplayText&gt;(DoH 2019)&lt;/DisplayText&gt;&lt;record&gt;&lt;rec-number&gt;1&lt;/rec-number&gt;&lt;foreign-keys&gt;&lt;key app="EN" db-id="pdttedtfkzdwabesftmp9z9bwz2ps9zs5tx2" timestamp="1604273034"&gt;1&lt;/key&gt;&lt;/foreign-keys&gt;&lt;ref-type name="Hearing"&gt;14&lt;/ref-type&gt;&lt;contributors&gt;&lt;authors&gt;&lt;author&gt;DoH&lt;/author&gt;&lt;/authors&gt;&lt;/contributors&gt;&lt;titles&gt;&lt;title&gt;PD-(L)1 checkpoint inhibitor stakeholder meeting&lt;/title&gt;&lt;secondary-title&gt;Department of Health,&lt;/secondary-title&gt;&lt;/titles&gt;&lt;dates&gt;&lt;year&gt;2019&lt;/year&gt;&lt;/dates&gt;&lt;urls&gt;&lt;/urls&gt;&lt;/record&gt;&lt;/Cite&gt;&lt;/EndNote&gt;</w:instrText>
      </w:r>
      <w:r w:rsidR="00DD175E">
        <w:rPr>
          <w:rFonts w:cs="Arial"/>
        </w:rPr>
        <w:fldChar w:fldCharType="separate"/>
      </w:r>
      <w:r w:rsidR="00DD175E">
        <w:rPr>
          <w:rFonts w:cs="Arial"/>
          <w:noProof/>
        </w:rPr>
        <w:t>(DoH 2019)</w:t>
      </w:r>
      <w:r w:rsidR="00DD175E">
        <w:rPr>
          <w:rFonts w:cs="Arial"/>
        </w:rPr>
        <w:fldChar w:fldCharType="end"/>
      </w:r>
      <w:r>
        <w:rPr>
          <w:rFonts w:cs="Arial"/>
        </w:rPr>
        <w:t>. Therefore, there is an estimated 11,249 incident cases of NSCLC diagnosed in 2020, of which</w:t>
      </w:r>
      <w:r w:rsidR="00750918">
        <w:rPr>
          <w:rFonts w:cs="Arial"/>
        </w:rPr>
        <w:t xml:space="preserve"> 8,696</w:t>
      </w:r>
      <w:r>
        <w:rPr>
          <w:rFonts w:cs="Arial"/>
        </w:rPr>
        <w:t xml:space="preserve"> </w:t>
      </w:r>
      <w:r w:rsidR="00750918">
        <w:rPr>
          <w:rFonts w:cs="Arial"/>
        </w:rPr>
        <w:t>(</w:t>
      </w:r>
      <w:r>
        <w:rPr>
          <w:rFonts w:cs="Arial"/>
        </w:rPr>
        <w:t>77.3%</w:t>
      </w:r>
      <w:r w:rsidR="00750918">
        <w:rPr>
          <w:rFonts w:cs="Arial"/>
        </w:rPr>
        <w:t>)</w:t>
      </w:r>
      <w:r>
        <w:rPr>
          <w:rFonts w:cs="Arial"/>
        </w:rPr>
        <w:t xml:space="preserve"> are stage III or IV </w:t>
      </w:r>
      <w:r w:rsidR="006F36FA">
        <w:rPr>
          <w:rFonts w:cs="Arial"/>
        </w:rPr>
        <w:fldChar w:fldCharType="begin"/>
      </w:r>
      <w:r w:rsidR="006F36FA">
        <w:rPr>
          <w:rFonts w:cs="Arial"/>
        </w:rPr>
        <w:instrText xml:space="preserve"> ADDIN EN.CITE &lt;EndNote&gt;&lt;Cite&gt;&lt;Author&gt;DoH&lt;/Author&gt;&lt;Year&gt;2019&lt;/Year&gt;&lt;RecNum&gt;1&lt;/RecNum&gt;&lt;DisplayText&gt;(DoH 2019)&lt;/DisplayText&gt;&lt;record&gt;&lt;rec-number&gt;1&lt;/rec-number&gt;&lt;foreign-keys&gt;&lt;key app="EN" db-id="pdttedtfkzdwabesftmp9z9bwz2ps9zs5tx2" timestamp="1604273034"&gt;1&lt;/key&gt;&lt;/foreign-keys&gt;&lt;ref-type name="Hearing"&gt;14&lt;/ref-type&gt;&lt;contributors&gt;&lt;authors&gt;&lt;author&gt;DoH&lt;/author&gt;&lt;/authors&gt;&lt;/contributors&gt;&lt;titles&gt;&lt;title&gt;PD-(L)1 checkpoint inhibitor stakeholder meeting&lt;/title&gt;&lt;secondary-title&gt;Department of Health,&lt;/secondary-title&gt;&lt;/titles&gt;&lt;dates&gt;&lt;year&gt;2019&lt;/year&gt;&lt;/dates&gt;&lt;urls&gt;&lt;/urls&gt;&lt;/record&gt;&lt;/Cite&gt;&lt;/EndNote&gt;</w:instrText>
      </w:r>
      <w:r w:rsidR="006F36FA">
        <w:rPr>
          <w:rFonts w:cs="Arial"/>
        </w:rPr>
        <w:fldChar w:fldCharType="separate"/>
      </w:r>
      <w:r w:rsidR="006F36FA">
        <w:rPr>
          <w:rFonts w:cs="Arial"/>
          <w:noProof/>
        </w:rPr>
        <w:t>(DoH 2019)</w:t>
      </w:r>
      <w:r w:rsidR="006F36FA">
        <w:rPr>
          <w:rFonts w:cs="Arial"/>
        </w:rPr>
        <w:fldChar w:fldCharType="end"/>
      </w:r>
      <w:r>
        <w:rPr>
          <w:rFonts w:cs="Arial"/>
        </w:rPr>
        <w:t xml:space="preserve">. </w:t>
      </w:r>
      <w:r w:rsidR="00C71254">
        <w:rPr>
          <w:rFonts w:cs="Arial"/>
        </w:rPr>
        <w:t xml:space="preserve">Of these, assumptions previously accepted by PBAC were that 63.3% of NSCLC patients have an </w:t>
      </w:r>
      <w:r w:rsidR="000C6522">
        <w:rPr>
          <w:rFonts w:cs="Arial"/>
        </w:rPr>
        <w:t>Eastern Cooperative Oncology Group (</w:t>
      </w:r>
      <w:r w:rsidR="00C71254">
        <w:rPr>
          <w:rFonts w:cs="Arial"/>
        </w:rPr>
        <w:t>ECOG</w:t>
      </w:r>
      <w:r w:rsidR="000C6522">
        <w:rPr>
          <w:rFonts w:cs="Arial"/>
        </w:rPr>
        <w:t>)</w:t>
      </w:r>
      <w:r w:rsidR="00C71254">
        <w:rPr>
          <w:rFonts w:cs="Arial"/>
        </w:rPr>
        <w:t xml:space="preserve"> performance score of 0 or 1 and are eligible for PBS-listed treatment, and 85% of patients opt for treatment</w:t>
      </w:r>
      <w:r w:rsidR="00DD175E">
        <w:rPr>
          <w:rFonts w:cs="Arial"/>
        </w:rPr>
        <w:t xml:space="preserve"> </w:t>
      </w:r>
      <w:r w:rsidR="00543026">
        <w:rPr>
          <w:rFonts w:cs="Arial"/>
        </w:rPr>
        <w:fldChar w:fldCharType="begin"/>
      </w:r>
      <w:r w:rsidR="00543026">
        <w:rPr>
          <w:rFonts w:cs="Arial"/>
        </w:rPr>
        <w:instrText xml:space="preserve"> ADDIN EN.CITE &lt;EndNote&gt;&lt;Cite&gt;&lt;Author&gt;DoH&lt;/Author&gt;&lt;Year&gt;2019&lt;/Year&gt;&lt;RecNum&gt;1&lt;/RecNum&gt;&lt;DisplayText&gt;(DoH 2019)&lt;/DisplayText&gt;&lt;record&gt;&lt;rec-number&gt;1&lt;/rec-number&gt;&lt;foreign-keys&gt;&lt;key app="EN" db-id="pdttedtfkzdwabesftmp9z9bwz2ps9zs5tx2" timestamp="1604273034"&gt;1&lt;/key&gt;&lt;/foreign-keys&gt;&lt;ref-type name="Hearing"&gt;14&lt;/ref-type&gt;&lt;contributors&gt;&lt;authors&gt;&lt;author&gt;DoH&lt;/author&gt;&lt;/authors&gt;&lt;/contributors&gt;&lt;titles&gt;&lt;title&gt;PD-(L)1 checkpoint inhibitor stakeholder meeting&lt;/title&gt;&lt;secondary-title&gt;Department of Health,&lt;/secondary-title&gt;&lt;/titles&gt;&lt;dates&gt;&lt;year&gt;2019&lt;/year&gt;&lt;/dates&gt;&lt;urls&gt;&lt;/urls&gt;&lt;/record&gt;&lt;/Cite&gt;&lt;/EndNote&gt;</w:instrText>
      </w:r>
      <w:r w:rsidR="00543026">
        <w:rPr>
          <w:rFonts w:cs="Arial"/>
        </w:rPr>
        <w:fldChar w:fldCharType="separate"/>
      </w:r>
      <w:r w:rsidR="00543026">
        <w:rPr>
          <w:rFonts w:cs="Arial"/>
          <w:noProof/>
        </w:rPr>
        <w:t>(DoH 2019)</w:t>
      </w:r>
      <w:r w:rsidR="00543026">
        <w:rPr>
          <w:rFonts w:cs="Arial"/>
        </w:rPr>
        <w:fldChar w:fldCharType="end"/>
      </w:r>
      <w:r w:rsidR="00543026">
        <w:rPr>
          <w:rFonts w:cs="Arial"/>
        </w:rPr>
        <w:t xml:space="preserve">. </w:t>
      </w:r>
      <w:r w:rsidR="00C71254">
        <w:rPr>
          <w:rFonts w:cs="Arial"/>
        </w:rPr>
        <w:t xml:space="preserve">This results in an estimated </w:t>
      </w:r>
      <w:r w:rsidR="002857B6">
        <w:rPr>
          <w:rFonts w:cs="Arial"/>
        </w:rPr>
        <w:t>4,679 patients for 2020 who would be eligible and potentially b</w:t>
      </w:r>
      <w:r w:rsidR="00965291">
        <w:rPr>
          <w:rFonts w:cs="Arial"/>
        </w:rPr>
        <w:t>e tested for systemic therapy (8</w:t>
      </w:r>
      <w:r w:rsidR="002857B6">
        <w:rPr>
          <w:rFonts w:cs="Arial"/>
        </w:rPr>
        <w:t>,696* 63.3% * 85%)</w:t>
      </w:r>
      <w:r w:rsidR="00500ECD">
        <w:rPr>
          <w:rFonts w:cs="Arial"/>
        </w:rPr>
        <w:t>.</w:t>
      </w:r>
      <w:r w:rsidR="009B1586">
        <w:rPr>
          <w:rFonts w:cs="Arial"/>
        </w:rPr>
        <w:t xml:space="preserve"> This population is relevant for </w:t>
      </w:r>
      <w:r w:rsidR="00D73076">
        <w:rPr>
          <w:rFonts w:cs="Arial"/>
        </w:rPr>
        <w:t xml:space="preserve">aspects of </w:t>
      </w:r>
      <w:r w:rsidR="009B1586">
        <w:rPr>
          <w:rFonts w:cs="Arial"/>
        </w:rPr>
        <w:t xml:space="preserve">the comparator, as confirmatory </w:t>
      </w:r>
      <w:r w:rsidR="004B1E93">
        <w:rPr>
          <w:rFonts w:cs="Arial"/>
        </w:rPr>
        <w:t xml:space="preserve">FISH </w:t>
      </w:r>
      <w:r w:rsidR="009B1586">
        <w:rPr>
          <w:rFonts w:cs="Arial"/>
        </w:rPr>
        <w:t xml:space="preserve">testing for </w:t>
      </w:r>
      <w:r w:rsidR="009B1586">
        <w:rPr>
          <w:rFonts w:cs="Arial"/>
          <w:i/>
        </w:rPr>
        <w:t xml:space="preserve">ALK </w:t>
      </w:r>
      <w:r w:rsidR="009B1586">
        <w:rPr>
          <w:rFonts w:cs="Arial"/>
        </w:rPr>
        <w:t xml:space="preserve">and </w:t>
      </w:r>
      <w:r w:rsidR="009B1586">
        <w:rPr>
          <w:rFonts w:cs="Arial"/>
          <w:i/>
        </w:rPr>
        <w:t>ROS1</w:t>
      </w:r>
      <w:r w:rsidR="009B1586">
        <w:rPr>
          <w:rFonts w:cs="Arial"/>
        </w:rPr>
        <w:t xml:space="preserve"> may only occur at stage III or IV NSCLC.</w:t>
      </w:r>
    </w:p>
    <w:p w14:paraId="302A0F59" w14:textId="373CC8E7" w:rsidR="001177DC" w:rsidRDefault="001177DC" w:rsidP="002B3338">
      <w:pPr>
        <w:rPr>
          <w:rFonts w:cs="Arial"/>
        </w:rPr>
      </w:pPr>
      <w:r>
        <w:rPr>
          <w:rFonts w:cs="Arial"/>
        </w:rPr>
        <w:t>The second method of determining the size of the population, is using the</w:t>
      </w:r>
      <w:r w:rsidR="00750918">
        <w:rPr>
          <w:rFonts w:cs="Arial"/>
        </w:rPr>
        <w:t xml:space="preserve"> market based approach, derived from the </w:t>
      </w:r>
      <w:r>
        <w:rPr>
          <w:rFonts w:cs="Arial"/>
        </w:rPr>
        <w:t xml:space="preserve">number of </w:t>
      </w:r>
      <w:r w:rsidR="00D41106">
        <w:rPr>
          <w:rFonts w:cs="Arial"/>
        </w:rPr>
        <w:t>times that</w:t>
      </w:r>
      <w:r w:rsidR="00E71A07">
        <w:rPr>
          <w:rFonts w:cs="Arial"/>
        </w:rPr>
        <w:t xml:space="preserve"> </w:t>
      </w:r>
      <w:r w:rsidR="00750918" w:rsidRPr="00F57034">
        <w:rPr>
          <w:rFonts w:cs="Arial"/>
          <w:i/>
        </w:rPr>
        <w:t>EGFR</w:t>
      </w:r>
      <w:r w:rsidR="00750918">
        <w:rPr>
          <w:rFonts w:cs="Arial"/>
        </w:rPr>
        <w:t xml:space="preserve"> </w:t>
      </w:r>
      <w:r w:rsidR="00246617">
        <w:rPr>
          <w:rFonts w:cs="Arial"/>
        </w:rPr>
        <w:t>variant</w:t>
      </w:r>
      <w:r w:rsidR="00647D53">
        <w:rPr>
          <w:rFonts w:cs="Arial"/>
        </w:rPr>
        <w:t xml:space="preserve"> </w:t>
      </w:r>
      <w:r w:rsidR="00750918">
        <w:rPr>
          <w:rFonts w:cs="Arial"/>
        </w:rPr>
        <w:t xml:space="preserve">testing </w:t>
      </w:r>
      <w:r w:rsidR="00D41106">
        <w:rPr>
          <w:rFonts w:cs="Arial"/>
        </w:rPr>
        <w:t xml:space="preserve">has been performed using </w:t>
      </w:r>
      <w:r w:rsidR="00750918">
        <w:rPr>
          <w:rFonts w:cs="Arial"/>
        </w:rPr>
        <w:t>MBS item 73337</w:t>
      </w:r>
      <w:r w:rsidR="0017366F">
        <w:rPr>
          <w:rFonts w:cs="Arial"/>
        </w:rPr>
        <w:t xml:space="preserve"> (the first step of the comparative test strategy)</w:t>
      </w:r>
      <w:r w:rsidR="00750918">
        <w:rPr>
          <w:rFonts w:cs="Arial"/>
        </w:rPr>
        <w:t xml:space="preserve">. This </w:t>
      </w:r>
      <w:r w:rsidR="009804D3">
        <w:rPr>
          <w:rFonts w:cs="Arial"/>
        </w:rPr>
        <w:t xml:space="preserve">number </w:t>
      </w:r>
      <w:r w:rsidR="00750918">
        <w:rPr>
          <w:rFonts w:cs="Arial"/>
        </w:rPr>
        <w:t>relies on the tumour being able to be biopsied, and for the patient to be treated within the</w:t>
      </w:r>
      <w:r w:rsidR="00D96067">
        <w:rPr>
          <w:rFonts w:cs="Arial"/>
        </w:rPr>
        <w:t xml:space="preserve"> private healthcare sector</w:t>
      </w:r>
      <w:r w:rsidR="00794F5F">
        <w:rPr>
          <w:rFonts w:cs="Arial"/>
        </w:rPr>
        <w:t xml:space="preserve"> or as a privately funded patient in the public sector</w:t>
      </w:r>
      <w:r w:rsidR="00D96067">
        <w:rPr>
          <w:rFonts w:cs="Arial"/>
        </w:rPr>
        <w:t>. In 2019</w:t>
      </w:r>
      <w:r w:rsidR="009312CB">
        <w:rPr>
          <w:rFonts w:cs="Arial"/>
        </w:rPr>
        <w:t>-</w:t>
      </w:r>
      <w:r w:rsidR="00D96067">
        <w:rPr>
          <w:rFonts w:cs="Arial"/>
        </w:rPr>
        <w:t xml:space="preserve">20, </w:t>
      </w:r>
      <w:r w:rsidR="00D41106">
        <w:rPr>
          <w:rFonts w:cs="Arial"/>
        </w:rPr>
        <w:t xml:space="preserve">there were </w:t>
      </w:r>
      <w:r w:rsidR="009312CB">
        <w:rPr>
          <w:rFonts w:cs="Arial"/>
        </w:rPr>
        <w:t>4,643</w:t>
      </w:r>
      <w:r w:rsidR="00D96067">
        <w:rPr>
          <w:rFonts w:cs="Arial"/>
        </w:rPr>
        <w:t xml:space="preserve"> </w:t>
      </w:r>
      <w:r w:rsidR="009312CB">
        <w:rPr>
          <w:rFonts w:cs="Arial"/>
        </w:rPr>
        <w:t xml:space="preserve">MBS services claimed </w:t>
      </w:r>
      <w:r w:rsidR="009804D3">
        <w:rPr>
          <w:rFonts w:cs="Arial"/>
        </w:rPr>
        <w:t>under MBS item 73337</w:t>
      </w:r>
      <w:r w:rsidR="009312CB">
        <w:rPr>
          <w:rFonts w:cs="Arial"/>
        </w:rPr>
        <w:t xml:space="preserve"> for the testing of </w:t>
      </w:r>
      <w:r w:rsidR="009312CB" w:rsidRPr="00F57034">
        <w:rPr>
          <w:rFonts w:cs="Arial"/>
          <w:i/>
        </w:rPr>
        <w:t>EGFR</w:t>
      </w:r>
      <w:r w:rsidR="009312CB">
        <w:rPr>
          <w:rFonts w:cs="Arial"/>
        </w:rPr>
        <w:t xml:space="preserve"> variants</w:t>
      </w:r>
      <w:r w:rsidR="009804D3">
        <w:rPr>
          <w:rFonts w:cs="Arial"/>
        </w:rPr>
        <w:t>.</w:t>
      </w:r>
      <w:r w:rsidR="00536B47">
        <w:rPr>
          <w:rFonts w:cs="Arial"/>
        </w:rPr>
        <w:t xml:space="preserve"> As some patients may have used the MBS item more than once, the number of patients who were tested </w:t>
      </w:r>
      <w:r w:rsidR="005631A2">
        <w:rPr>
          <w:rFonts w:cs="Arial"/>
        </w:rPr>
        <w:t xml:space="preserve">and billed </w:t>
      </w:r>
      <w:r w:rsidR="00536B47">
        <w:rPr>
          <w:rFonts w:cs="Arial"/>
        </w:rPr>
        <w:t xml:space="preserve">using </w:t>
      </w:r>
      <w:r w:rsidR="005631A2">
        <w:rPr>
          <w:rFonts w:cs="Arial"/>
        </w:rPr>
        <w:t>this MBS item</w:t>
      </w:r>
      <w:r w:rsidR="00536B47">
        <w:rPr>
          <w:rFonts w:cs="Arial"/>
        </w:rPr>
        <w:t xml:space="preserve"> would be slightly fewer than 4,643.</w:t>
      </w:r>
    </w:p>
    <w:p w14:paraId="22C4838F" w14:textId="1ECB2E99" w:rsidR="00865DAD" w:rsidRDefault="00865DAD" w:rsidP="002B3338">
      <w:pPr>
        <w:rPr>
          <w:rFonts w:cs="Arial"/>
        </w:rPr>
      </w:pPr>
      <w:r>
        <w:rPr>
          <w:rFonts w:cs="Arial"/>
        </w:rPr>
        <w:t xml:space="preserve">The frequency of </w:t>
      </w:r>
      <w:r w:rsidRPr="00DC1CB3">
        <w:rPr>
          <w:rFonts w:cs="Arial"/>
          <w:i/>
        </w:rPr>
        <w:t>EGFR</w:t>
      </w:r>
      <w:r>
        <w:rPr>
          <w:rFonts w:cs="Arial"/>
        </w:rPr>
        <w:t xml:space="preserve">, </w:t>
      </w:r>
      <w:r w:rsidRPr="00DC1CB3">
        <w:rPr>
          <w:rFonts w:cs="Arial"/>
          <w:i/>
        </w:rPr>
        <w:t>ALK</w:t>
      </w:r>
      <w:r>
        <w:rPr>
          <w:rFonts w:cs="Arial"/>
        </w:rPr>
        <w:t xml:space="preserve"> and </w:t>
      </w:r>
      <w:r w:rsidRPr="00DC1CB3">
        <w:rPr>
          <w:rFonts w:cs="Arial"/>
          <w:i/>
        </w:rPr>
        <w:t>ROS1</w:t>
      </w:r>
      <w:r>
        <w:rPr>
          <w:rFonts w:cs="Arial"/>
        </w:rPr>
        <w:t xml:space="preserve"> variants (as determined by the evidentiary standards) are reported in </w:t>
      </w:r>
      <w:r>
        <w:rPr>
          <w:rFonts w:cs="Arial"/>
        </w:rPr>
        <w:fldChar w:fldCharType="begin"/>
      </w:r>
      <w:r>
        <w:rPr>
          <w:rFonts w:cs="Arial"/>
        </w:rPr>
        <w:instrText xml:space="preserve"> REF _Ref2608414 \h </w:instrText>
      </w:r>
      <w:r>
        <w:rPr>
          <w:rFonts w:cs="Arial"/>
        </w:rPr>
      </w:r>
      <w:r>
        <w:rPr>
          <w:rFonts w:cs="Arial"/>
        </w:rPr>
        <w:fldChar w:fldCharType="separate"/>
      </w:r>
      <w:r w:rsidR="007D7D37">
        <w:t xml:space="preserve">Table </w:t>
      </w:r>
      <w:r w:rsidR="007D7D37">
        <w:rPr>
          <w:noProof/>
        </w:rPr>
        <w:t>1</w:t>
      </w:r>
      <w:r>
        <w:rPr>
          <w:rFonts w:cs="Arial"/>
        </w:rPr>
        <w:fldChar w:fldCharType="end"/>
      </w:r>
      <w:r>
        <w:rPr>
          <w:rFonts w:cs="Arial"/>
        </w:rPr>
        <w:t>.</w:t>
      </w:r>
    </w:p>
    <w:p w14:paraId="3F5CE16D" w14:textId="34DDA18C" w:rsidR="00865DAD" w:rsidRDefault="00865DAD" w:rsidP="00865DAD">
      <w:pPr>
        <w:pStyle w:val="Caption"/>
        <w:keepLines/>
        <w:rPr>
          <w:lang w:val="en-US"/>
        </w:rPr>
      </w:pPr>
      <w:bookmarkStart w:id="3" w:name="_Ref2608414"/>
      <w:bookmarkStart w:id="4" w:name="_Toc2781269"/>
      <w:r>
        <w:lastRenderedPageBreak/>
        <w:t xml:space="preserve">Table </w:t>
      </w:r>
      <w:r>
        <w:rPr>
          <w:noProof/>
        </w:rPr>
        <w:fldChar w:fldCharType="begin"/>
      </w:r>
      <w:r>
        <w:rPr>
          <w:noProof/>
        </w:rPr>
        <w:instrText xml:space="preserve"> SEQ Table \* ARABIC </w:instrText>
      </w:r>
      <w:r>
        <w:rPr>
          <w:noProof/>
        </w:rPr>
        <w:fldChar w:fldCharType="separate"/>
      </w:r>
      <w:r w:rsidR="007D7D37">
        <w:rPr>
          <w:noProof/>
        </w:rPr>
        <w:t>1</w:t>
      </w:r>
      <w:r>
        <w:rPr>
          <w:noProof/>
        </w:rPr>
        <w:fldChar w:fldCharType="end"/>
      </w:r>
      <w:bookmarkEnd w:id="3"/>
      <w:r>
        <w:tab/>
        <w:t xml:space="preserve">Prevalence of </w:t>
      </w:r>
      <w:r w:rsidRPr="007F786A">
        <w:rPr>
          <w:i/>
        </w:rPr>
        <w:t>EGFR</w:t>
      </w:r>
      <w:r>
        <w:t xml:space="preserve">, </w:t>
      </w:r>
      <w:r w:rsidRPr="00547C61">
        <w:rPr>
          <w:i/>
        </w:rPr>
        <w:t>ALK</w:t>
      </w:r>
      <w:r>
        <w:t xml:space="preserve"> and </w:t>
      </w:r>
      <w:r w:rsidRPr="00547C61">
        <w:rPr>
          <w:i/>
        </w:rPr>
        <w:t>ROS1</w:t>
      </w:r>
      <w:r>
        <w:t xml:space="preserve"> variants in the Australian NSCLC population</w:t>
      </w:r>
      <w:bookmarkEnd w:id="4"/>
    </w:p>
    <w:tbl>
      <w:tblPr>
        <w:tblStyle w:val="TableGrid"/>
        <w:tblW w:w="9067" w:type="dxa"/>
        <w:tblLook w:val="04A0" w:firstRow="1" w:lastRow="0" w:firstColumn="1" w:lastColumn="0" w:noHBand="0" w:noVBand="1"/>
        <w:tblCaption w:val="Prevalence of EGFR, ALK and ROS1 variants in Australian NSCLC population"/>
        <w:tblDescription w:val="Prevalence of EGFR, ALK and ROS1 variants in Australian NSCLC population"/>
      </w:tblPr>
      <w:tblGrid>
        <w:gridCol w:w="3397"/>
        <w:gridCol w:w="1276"/>
        <w:gridCol w:w="4394"/>
      </w:tblGrid>
      <w:tr w:rsidR="00865DAD" w14:paraId="537A540E" w14:textId="77777777" w:rsidTr="000A6A94">
        <w:trPr>
          <w:tblHeader/>
        </w:trPr>
        <w:tc>
          <w:tcPr>
            <w:tcW w:w="3397" w:type="dxa"/>
          </w:tcPr>
          <w:p w14:paraId="6940D894" w14:textId="77777777" w:rsidR="00865DAD" w:rsidRDefault="00865DAD" w:rsidP="008B1BAA">
            <w:pPr>
              <w:pStyle w:val="TableHeading"/>
              <w:keepLines/>
              <w:rPr>
                <w:lang w:val="en-US"/>
              </w:rPr>
            </w:pPr>
            <w:r>
              <w:rPr>
                <w:lang w:val="en-US"/>
              </w:rPr>
              <w:t>Gene alteration</w:t>
            </w:r>
          </w:p>
        </w:tc>
        <w:tc>
          <w:tcPr>
            <w:tcW w:w="1276" w:type="dxa"/>
          </w:tcPr>
          <w:p w14:paraId="77C198A1" w14:textId="77777777" w:rsidR="00865DAD" w:rsidRDefault="00865DAD" w:rsidP="005100B4">
            <w:pPr>
              <w:pStyle w:val="TableHeading"/>
              <w:keepLines/>
              <w:jc w:val="center"/>
              <w:rPr>
                <w:lang w:val="en-US"/>
              </w:rPr>
            </w:pPr>
            <w:r>
              <w:rPr>
                <w:lang w:val="en-US"/>
              </w:rPr>
              <w:t>Prevalence</w:t>
            </w:r>
          </w:p>
        </w:tc>
        <w:tc>
          <w:tcPr>
            <w:tcW w:w="4394" w:type="dxa"/>
          </w:tcPr>
          <w:p w14:paraId="590943C9" w14:textId="77777777" w:rsidR="00865DAD" w:rsidRDefault="00865DAD" w:rsidP="008B1BAA">
            <w:pPr>
              <w:pStyle w:val="TableHeading"/>
              <w:keepLines/>
              <w:rPr>
                <w:lang w:val="en-US"/>
              </w:rPr>
            </w:pPr>
            <w:r>
              <w:rPr>
                <w:lang w:val="en-US"/>
              </w:rPr>
              <w:t>Reference</w:t>
            </w:r>
          </w:p>
        </w:tc>
      </w:tr>
      <w:tr w:rsidR="00865DAD" w14:paraId="7A0021F8" w14:textId="77777777" w:rsidTr="00DC1CB3">
        <w:tc>
          <w:tcPr>
            <w:tcW w:w="3397" w:type="dxa"/>
          </w:tcPr>
          <w:p w14:paraId="16F7755B" w14:textId="2C7386BF" w:rsidR="00865DAD" w:rsidRDefault="00865DAD" w:rsidP="00430101">
            <w:pPr>
              <w:pStyle w:val="Tabletext"/>
              <w:keepNext/>
              <w:keepLines/>
              <w:rPr>
                <w:lang w:val="en-US"/>
              </w:rPr>
            </w:pPr>
            <w:r w:rsidRPr="007F786A">
              <w:rPr>
                <w:i/>
                <w:lang w:val="en-US"/>
              </w:rPr>
              <w:t>EGFR</w:t>
            </w:r>
            <w:r>
              <w:rPr>
                <w:lang w:val="en-US"/>
              </w:rPr>
              <w:t xml:space="preserve"> activating pathological variants</w:t>
            </w:r>
          </w:p>
        </w:tc>
        <w:tc>
          <w:tcPr>
            <w:tcW w:w="1276" w:type="dxa"/>
          </w:tcPr>
          <w:p w14:paraId="2E5DD67D" w14:textId="77777777" w:rsidR="00865DAD" w:rsidRDefault="00865DAD" w:rsidP="005100B4">
            <w:pPr>
              <w:pStyle w:val="Tabletext"/>
              <w:keepNext/>
              <w:keepLines/>
              <w:jc w:val="center"/>
              <w:rPr>
                <w:lang w:val="en-US"/>
              </w:rPr>
            </w:pPr>
            <w:r>
              <w:rPr>
                <w:lang w:val="en-US"/>
              </w:rPr>
              <w:t>15%</w:t>
            </w:r>
          </w:p>
        </w:tc>
        <w:tc>
          <w:tcPr>
            <w:tcW w:w="4394" w:type="dxa"/>
          </w:tcPr>
          <w:p w14:paraId="60FA3640" w14:textId="7309E377" w:rsidR="00865DAD" w:rsidRDefault="00544E1B" w:rsidP="008B1BAA">
            <w:pPr>
              <w:pStyle w:val="Tabletext"/>
              <w:keepNext/>
              <w:keepLines/>
              <w:rPr>
                <w:lang w:val="en-US"/>
              </w:rPr>
            </w:pPr>
            <w:r>
              <w:rPr>
                <w:lang w:val="en-US"/>
              </w:rPr>
              <w:t xml:space="preserve">MSAC application 1161 </w:t>
            </w:r>
            <w:r w:rsidR="00865DAD">
              <w:rPr>
                <w:lang w:val="en-US"/>
              </w:rPr>
              <w:fldChar w:fldCharType="begin"/>
            </w:r>
            <w:r w:rsidR="00865DAD">
              <w:rPr>
                <w:lang w:val="en-US"/>
              </w:rPr>
              <w:instrText xml:space="preserve"> ADDIN EN.CITE &lt;EndNote&gt;&lt;Cite&gt;&lt;Author&gt;MSAC&lt;/Author&gt;&lt;Year&gt;2012&lt;/Year&gt;&lt;RecNum&gt;30&lt;/RecNum&gt;&lt;DisplayText&gt;(MSAC 2012)&lt;/DisplayText&gt;&lt;record&gt;&lt;rec-number&gt;30&lt;/rec-number&gt;&lt;foreign-keys&gt;&lt;key app="EN" db-id="0tprsse9cpp5r3ea5dz5p0xw2pfwvwxpa5a5" timestamp="1551677595"&gt;30&lt;/key&gt;&lt;/foreign-keys&gt;&lt;ref-type name="Report"&gt;27&lt;/ref-type&gt;&lt;contributors&gt;&lt;authors&gt;&lt;author&gt;MSAC&lt;/author&gt;&lt;/authors&gt;&lt;secondary-authors&gt;&lt;author&gt;Medical Servoces Advisory Committee&lt;/author&gt;&lt;/secondary-authors&gt;&lt;/contributors&gt;&lt;titles&gt;&lt;title&gt;App 1161-Final PSD - EGFR testing in NSCLC for gefitinib&lt;/title&gt;&lt;/titles&gt;&lt;dates&gt;&lt;year&gt;2012&lt;/year&gt;&lt;/dates&gt;&lt;urls&gt;&lt;/urls&gt;&lt;/record&gt;&lt;/Cite&gt;&lt;/EndNote&gt;</w:instrText>
            </w:r>
            <w:r w:rsidR="00865DAD">
              <w:rPr>
                <w:lang w:val="en-US"/>
              </w:rPr>
              <w:fldChar w:fldCharType="separate"/>
            </w:r>
            <w:r w:rsidR="00865DAD">
              <w:rPr>
                <w:noProof/>
                <w:lang w:val="en-US"/>
              </w:rPr>
              <w:t>(MSAC 2012)</w:t>
            </w:r>
            <w:r w:rsidR="00865DAD">
              <w:rPr>
                <w:lang w:val="en-US"/>
              </w:rPr>
              <w:fldChar w:fldCharType="end"/>
            </w:r>
          </w:p>
        </w:tc>
      </w:tr>
      <w:tr w:rsidR="00865DAD" w14:paraId="39B69631" w14:textId="77777777" w:rsidTr="00DC1CB3">
        <w:tc>
          <w:tcPr>
            <w:tcW w:w="3397" w:type="dxa"/>
          </w:tcPr>
          <w:p w14:paraId="7224166F" w14:textId="77777777" w:rsidR="00865DAD" w:rsidRDefault="00865DAD" w:rsidP="008B1BAA">
            <w:pPr>
              <w:pStyle w:val="Tabletext"/>
              <w:rPr>
                <w:lang w:val="en-US"/>
              </w:rPr>
            </w:pPr>
            <w:r w:rsidRPr="00EC499B">
              <w:rPr>
                <w:i/>
                <w:lang w:val="en-US"/>
              </w:rPr>
              <w:t>ALK</w:t>
            </w:r>
            <w:r>
              <w:rPr>
                <w:lang w:val="en-US"/>
              </w:rPr>
              <w:t xml:space="preserve"> rearrangements</w:t>
            </w:r>
          </w:p>
        </w:tc>
        <w:tc>
          <w:tcPr>
            <w:tcW w:w="1276" w:type="dxa"/>
          </w:tcPr>
          <w:p w14:paraId="6D7D9D87" w14:textId="77777777" w:rsidR="00865DAD" w:rsidRDefault="00865DAD" w:rsidP="005100B4">
            <w:pPr>
              <w:pStyle w:val="Tabletext"/>
              <w:jc w:val="center"/>
              <w:rPr>
                <w:lang w:val="en-US"/>
              </w:rPr>
            </w:pPr>
            <w:r>
              <w:rPr>
                <w:lang w:val="en-US"/>
              </w:rPr>
              <w:t>3.0%</w:t>
            </w:r>
          </w:p>
        </w:tc>
        <w:tc>
          <w:tcPr>
            <w:tcW w:w="4394" w:type="dxa"/>
          </w:tcPr>
          <w:p w14:paraId="071131F7" w14:textId="6D992446" w:rsidR="00865DAD" w:rsidRDefault="00544E1B" w:rsidP="008B1BAA">
            <w:pPr>
              <w:pStyle w:val="Tabletext"/>
              <w:rPr>
                <w:lang w:val="en-US"/>
              </w:rPr>
            </w:pPr>
            <w:r>
              <w:rPr>
                <w:lang w:val="en-US"/>
              </w:rPr>
              <w:t xml:space="preserve">MSAC application 1250.1 </w:t>
            </w:r>
            <w:r w:rsidR="00865DAD">
              <w:rPr>
                <w:lang w:val="en-US"/>
              </w:rPr>
              <w:fldChar w:fldCharType="begin"/>
            </w:r>
            <w:r w:rsidR="00865DAD">
              <w:rPr>
                <w:lang w:val="en-US"/>
              </w:rPr>
              <w:instrText xml:space="preserve"> ADDIN EN.CITE &lt;EndNote&gt;&lt;Cite&gt;&lt;Author&gt;MSAC&lt;/Author&gt;&lt;Year&gt;2014&lt;/Year&gt;&lt;RecNum&gt;31&lt;/RecNum&gt;&lt;DisplayText&gt;(MSAC 2014)&lt;/DisplayText&gt;&lt;record&gt;&lt;rec-number&gt;31&lt;/rec-number&gt;&lt;foreign-keys&gt;&lt;key app="EN" db-id="0tprsse9cpp5r3ea5dz5p0xw2pfwvwxpa5a5" timestamp="1551677596"&gt;31&lt;/key&gt;&lt;/foreign-keys&gt;&lt;ref-type name="Report"&gt;27&lt;/ref-type&gt;&lt;contributors&gt;&lt;authors&gt;&lt;author&gt;MSAC&lt;/author&gt;&lt;/authors&gt;&lt;secondary-authors&gt;&lt;author&gt;Medical Services Advisory Committee&lt;/author&gt;&lt;/secondary-authors&gt;&lt;/contributors&gt;&lt;titles&gt;&lt;title&gt;App 1250.1-Final PSD - ALK testing for crizotinib&lt;/title&gt;&lt;secondary-title&gt;Public summary document&lt;/secondary-title&gt;&lt;/titles&gt;&lt;dates&gt;&lt;year&gt;2014&lt;/year&gt;&lt;/dates&gt;&lt;urls&gt;&lt;/urls&gt;&lt;/record&gt;&lt;/Cite&gt;&lt;/EndNote&gt;</w:instrText>
            </w:r>
            <w:r w:rsidR="00865DAD">
              <w:rPr>
                <w:lang w:val="en-US"/>
              </w:rPr>
              <w:fldChar w:fldCharType="separate"/>
            </w:r>
            <w:r w:rsidR="00865DAD">
              <w:rPr>
                <w:noProof/>
                <w:lang w:val="en-US"/>
              </w:rPr>
              <w:t>(MSAC 2014)</w:t>
            </w:r>
            <w:r w:rsidR="00865DAD">
              <w:rPr>
                <w:lang w:val="en-US"/>
              </w:rPr>
              <w:fldChar w:fldCharType="end"/>
            </w:r>
          </w:p>
        </w:tc>
      </w:tr>
      <w:tr w:rsidR="00865DAD" w14:paraId="7D717986" w14:textId="77777777" w:rsidTr="00DC1CB3">
        <w:tc>
          <w:tcPr>
            <w:tcW w:w="3397" w:type="dxa"/>
          </w:tcPr>
          <w:p w14:paraId="2CAC97E4" w14:textId="77777777" w:rsidR="00865DAD" w:rsidRDefault="00865DAD" w:rsidP="008B1BAA">
            <w:pPr>
              <w:pStyle w:val="Tabletext"/>
              <w:rPr>
                <w:lang w:val="en-US"/>
              </w:rPr>
            </w:pPr>
            <w:r w:rsidRPr="00EC499B">
              <w:rPr>
                <w:i/>
                <w:lang w:val="en-US"/>
              </w:rPr>
              <w:t>ROS1</w:t>
            </w:r>
            <w:r>
              <w:rPr>
                <w:lang w:val="en-US"/>
              </w:rPr>
              <w:t xml:space="preserve"> rearrangements</w:t>
            </w:r>
          </w:p>
        </w:tc>
        <w:tc>
          <w:tcPr>
            <w:tcW w:w="1276" w:type="dxa"/>
          </w:tcPr>
          <w:p w14:paraId="744BC13E" w14:textId="77777777" w:rsidR="00865DAD" w:rsidRDefault="00865DAD" w:rsidP="005100B4">
            <w:pPr>
              <w:pStyle w:val="Tabletext"/>
              <w:jc w:val="center"/>
              <w:rPr>
                <w:lang w:val="en-US"/>
              </w:rPr>
            </w:pPr>
            <w:r>
              <w:rPr>
                <w:lang w:val="en-US"/>
              </w:rPr>
              <w:t>1.2%</w:t>
            </w:r>
          </w:p>
        </w:tc>
        <w:tc>
          <w:tcPr>
            <w:tcW w:w="4394" w:type="dxa"/>
          </w:tcPr>
          <w:p w14:paraId="1941694D" w14:textId="0F46E10D" w:rsidR="00865DAD" w:rsidRDefault="00544E1B" w:rsidP="008B1BAA">
            <w:pPr>
              <w:pStyle w:val="Tabletext"/>
              <w:rPr>
                <w:lang w:val="en-US"/>
              </w:rPr>
            </w:pPr>
            <w:r>
              <w:rPr>
                <w:lang w:val="en-US"/>
              </w:rPr>
              <w:t xml:space="preserve">MSAC application 1454 </w:t>
            </w:r>
            <w:r w:rsidR="00865DAD">
              <w:rPr>
                <w:lang w:val="en-US"/>
              </w:rPr>
              <w:fldChar w:fldCharType="begin"/>
            </w:r>
            <w:r w:rsidR="00865DAD">
              <w:rPr>
                <w:lang w:val="en-US"/>
              </w:rPr>
              <w:instrText xml:space="preserve"> ADDIN EN.CITE &lt;EndNote&gt;&lt;Cite&gt;&lt;Author&gt;MSAC&lt;/Author&gt;&lt;Year&gt;2018&lt;/Year&gt;&lt;RecNum&gt;32&lt;/RecNum&gt;&lt;DisplayText&gt;(MSAC 2018)&lt;/DisplayText&gt;&lt;record&gt;&lt;rec-number&gt;32&lt;/rec-number&gt;&lt;foreign-keys&gt;&lt;key app="EN" db-id="0tprsse9cpp5r3ea5dz5p0xw2pfwvwxpa5a5" timestamp="1551677596"&gt;32&lt;/key&gt;&lt;/foreign-keys&gt;&lt;ref-type name="Report"&gt;27&lt;/ref-type&gt;&lt;contributors&gt;&lt;authors&gt;&lt;author&gt;MSAC&lt;/author&gt;&lt;/authors&gt;&lt;secondary-authors&gt;&lt;author&gt;Medical Services Advisory Committee&lt;/author&gt;&lt;/secondary-authors&gt;&lt;/contributors&gt;&lt;titles&gt;&lt;title&gt;App 1454-Final PSD - update Jul 2018-1 ROS1 testing for crizotinib&lt;/title&gt;&lt;secondary-title&gt;Public Summary Document&lt;/secondary-title&gt;&lt;/titles&gt;&lt;dates&gt;&lt;year&gt;2018&lt;/year&gt;&lt;/dates&gt;&lt;urls&gt;&lt;/urls&gt;&lt;/record&gt;&lt;/Cite&gt;&lt;/EndNote&gt;</w:instrText>
            </w:r>
            <w:r w:rsidR="00865DAD">
              <w:rPr>
                <w:lang w:val="en-US"/>
              </w:rPr>
              <w:fldChar w:fldCharType="separate"/>
            </w:r>
            <w:r w:rsidR="00865DAD">
              <w:rPr>
                <w:noProof/>
                <w:lang w:val="en-US"/>
              </w:rPr>
              <w:t>(MSAC 2018)</w:t>
            </w:r>
            <w:r w:rsidR="00865DAD">
              <w:rPr>
                <w:lang w:val="en-US"/>
              </w:rPr>
              <w:fldChar w:fldCharType="end"/>
            </w:r>
          </w:p>
        </w:tc>
      </w:tr>
    </w:tbl>
    <w:p w14:paraId="054FFF9F" w14:textId="77777777" w:rsidR="00865DAD" w:rsidRPr="00EC499B" w:rsidRDefault="00865DAD" w:rsidP="00865DAD">
      <w:pPr>
        <w:spacing w:after="60"/>
        <w:rPr>
          <w:rFonts w:ascii="Arial Narrow" w:hAnsi="Arial Narrow"/>
          <w:i/>
          <w:sz w:val="18"/>
          <w:szCs w:val="18"/>
        </w:rPr>
      </w:pPr>
      <w:r w:rsidRPr="00EC499B">
        <w:rPr>
          <w:rFonts w:ascii="Arial Narrow" w:hAnsi="Arial Narrow"/>
          <w:i/>
          <w:sz w:val="18"/>
          <w:szCs w:val="18"/>
        </w:rPr>
        <w:t xml:space="preserve">ALK = </w:t>
      </w:r>
      <w:r w:rsidRPr="005100B4">
        <w:rPr>
          <w:rFonts w:ascii="Arial Narrow" w:hAnsi="Arial Narrow"/>
          <w:sz w:val="18"/>
          <w:szCs w:val="18"/>
        </w:rPr>
        <w:t>anaplastic lymphoma kinase gene</w:t>
      </w:r>
      <w:r w:rsidRPr="00EC499B">
        <w:rPr>
          <w:rFonts w:ascii="Arial Narrow" w:hAnsi="Arial Narrow"/>
          <w:i/>
          <w:sz w:val="18"/>
          <w:szCs w:val="18"/>
        </w:rPr>
        <w:t xml:space="preserve">; </w:t>
      </w:r>
      <w:r w:rsidRPr="007F786A">
        <w:rPr>
          <w:rFonts w:ascii="Arial Narrow" w:hAnsi="Arial Narrow"/>
          <w:i/>
          <w:sz w:val="18"/>
          <w:szCs w:val="18"/>
        </w:rPr>
        <w:t>EGFR</w:t>
      </w:r>
      <w:r w:rsidRPr="00EC499B">
        <w:rPr>
          <w:rFonts w:ascii="Arial Narrow" w:hAnsi="Arial Narrow"/>
          <w:i/>
          <w:sz w:val="18"/>
          <w:szCs w:val="18"/>
        </w:rPr>
        <w:t xml:space="preserve"> = </w:t>
      </w:r>
      <w:r w:rsidRPr="005100B4">
        <w:rPr>
          <w:rFonts w:ascii="Arial Narrow" w:hAnsi="Arial Narrow"/>
          <w:sz w:val="18"/>
          <w:szCs w:val="18"/>
        </w:rPr>
        <w:t>epidermal growth factor receptor</w:t>
      </w:r>
      <w:r w:rsidRPr="00EC499B">
        <w:rPr>
          <w:rFonts w:ascii="Arial Narrow" w:hAnsi="Arial Narrow"/>
          <w:i/>
          <w:sz w:val="18"/>
          <w:szCs w:val="18"/>
        </w:rPr>
        <w:t xml:space="preserve"> </w:t>
      </w:r>
      <w:r w:rsidRPr="005100B4">
        <w:rPr>
          <w:rFonts w:ascii="Arial Narrow" w:hAnsi="Arial Narrow"/>
          <w:sz w:val="18"/>
          <w:szCs w:val="18"/>
        </w:rPr>
        <w:t>gene</w:t>
      </w:r>
      <w:r w:rsidRPr="00EC499B">
        <w:rPr>
          <w:rFonts w:ascii="Arial Narrow" w:hAnsi="Arial Narrow"/>
          <w:i/>
          <w:sz w:val="18"/>
          <w:szCs w:val="18"/>
        </w:rPr>
        <w:t xml:space="preserve">; ROS1 = </w:t>
      </w:r>
      <w:r w:rsidRPr="005100B4">
        <w:rPr>
          <w:rFonts w:ascii="Arial Narrow" w:hAnsi="Arial Narrow"/>
          <w:sz w:val="18"/>
          <w:szCs w:val="18"/>
        </w:rPr>
        <w:t>ROS1 receptor tyrosine kinase</w:t>
      </w:r>
      <w:r w:rsidRPr="00EC499B">
        <w:rPr>
          <w:rFonts w:ascii="Arial Narrow" w:hAnsi="Arial Narrow"/>
          <w:i/>
          <w:sz w:val="18"/>
          <w:szCs w:val="18"/>
        </w:rPr>
        <w:t xml:space="preserve"> </w:t>
      </w:r>
      <w:r w:rsidRPr="005100B4">
        <w:rPr>
          <w:rFonts w:ascii="Arial Narrow" w:hAnsi="Arial Narrow"/>
          <w:sz w:val="18"/>
          <w:szCs w:val="18"/>
        </w:rPr>
        <w:t>gene</w:t>
      </w:r>
    </w:p>
    <w:p w14:paraId="5AA21634" w14:textId="77777777" w:rsidR="00E364F7" w:rsidRDefault="002B3338" w:rsidP="002B3338">
      <w:pPr>
        <w:rPr>
          <w:i/>
        </w:rPr>
      </w:pPr>
      <w:r>
        <w:rPr>
          <w:i/>
          <w:u w:val="single"/>
        </w:rPr>
        <w:t>Rationale</w:t>
      </w:r>
    </w:p>
    <w:p w14:paraId="73ADA509" w14:textId="32601EE4" w:rsidR="001809E6" w:rsidRPr="00500ECD" w:rsidRDefault="005153A4">
      <w:pPr>
        <w:rPr>
          <w:u w:val="dotted"/>
        </w:rPr>
      </w:pPr>
      <w:r>
        <w:rPr>
          <w:rFonts w:cs="Arial"/>
        </w:rPr>
        <w:t xml:space="preserve">Next generation sequencing </w:t>
      </w:r>
      <w:r w:rsidR="00164574">
        <w:rPr>
          <w:rFonts w:cs="Arial"/>
        </w:rPr>
        <w:t xml:space="preserve">(NGS) </w:t>
      </w:r>
      <w:r>
        <w:rPr>
          <w:rFonts w:cs="Arial"/>
        </w:rPr>
        <w:t xml:space="preserve">assays may be used to identify molecular alterations </w:t>
      </w:r>
      <w:r w:rsidR="00544E1B">
        <w:rPr>
          <w:rFonts w:cs="Arial"/>
        </w:rPr>
        <w:t xml:space="preserve">in </w:t>
      </w:r>
      <w:r>
        <w:rPr>
          <w:rFonts w:cs="Arial"/>
        </w:rPr>
        <w:t xml:space="preserve">DNA and RNA from multiple tumour types. </w:t>
      </w:r>
      <w:r w:rsidR="005774BE">
        <w:rPr>
          <w:rFonts w:cs="Arial"/>
        </w:rPr>
        <w:t xml:space="preserve">An alternative population </w:t>
      </w:r>
      <w:r>
        <w:rPr>
          <w:rFonts w:cs="Arial"/>
        </w:rPr>
        <w:t>could therefore have been</w:t>
      </w:r>
      <w:r w:rsidR="0047352D">
        <w:rPr>
          <w:rFonts w:cs="Arial"/>
        </w:rPr>
        <w:t xml:space="preserve"> </w:t>
      </w:r>
      <w:r w:rsidR="005774BE">
        <w:rPr>
          <w:rFonts w:cs="Arial"/>
        </w:rPr>
        <w:t>any patient w</w:t>
      </w:r>
      <w:r w:rsidR="007F68CA">
        <w:rPr>
          <w:rFonts w:cs="Arial"/>
        </w:rPr>
        <w:t>ith a solid tumour</w:t>
      </w:r>
      <w:r w:rsidR="00544E1B">
        <w:rPr>
          <w:rFonts w:cs="Arial"/>
        </w:rPr>
        <w:t xml:space="preserve"> that</w:t>
      </w:r>
      <w:r w:rsidR="007F68CA">
        <w:rPr>
          <w:rFonts w:cs="Arial"/>
        </w:rPr>
        <w:t xml:space="preserve"> could be targeted by </w:t>
      </w:r>
      <w:r w:rsidR="00783078">
        <w:rPr>
          <w:rFonts w:cs="Arial"/>
        </w:rPr>
        <w:t xml:space="preserve">a </w:t>
      </w:r>
      <w:r w:rsidR="007F68CA">
        <w:rPr>
          <w:rFonts w:cs="Arial"/>
        </w:rPr>
        <w:t>PBS-listed drug</w:t>
      </w:r>
      <w:r w:rsidR="0047352D">
        <w:rPr>
          <w:rFonts w:cs="Arial"/>
        </w:rPr>
        <w:t xml:space="preserve"> (i.e. NSCLC, melanoma, breast cancer, colorectal cancer, ovarian cancer, prostate cancer). However, in a meeting held 29 May 2018 with representatives from the Department of Health, it was suggested to the applicants that any MSAC application would benefit from focusing on a discrete population. NSCLC was chosen as an appropriate, high-need discrete patient population as there are multiple biomarker tests associated with the identification of multiple treatments listed on the PBS or under active clinical development.</w:t>
      </w:r>
      <w:r w:rsidR="00164574">
        <w:rPr>
          <w:rFonts w:cs="Arial"/>
        </w:rPr>
        <w:t xml:space="preserve"> The applicants state that the use of an NGS assay outside of the NSCLC population will be the basis of future MSAC applications.</w:t>
      </w:r>
    </w:p>
    <w:p w14:paraId="671805DD" w14:textId="561CC391" w:rsidR="00953ED7" w:rsidRPr="004B4240" w:rsidRDefault="00500ECD" w:rsidP="004B4240">
      <w:pPr>
        <w:pStyle w:val="Heading3"/>
        <w:keepNext w:val="0"/>
        <w:keepLines w:val="0"/>
        <w:spacing w:before="0" w:after="200"/>
        <w:rPr>
          <w:rFonts w:ascii="Calibri" w:eastAsia="Calibri" w:hAnsi="Calibri" w:cs="Times New Roman"/>
          <w:b/>
          <w:color w:val="auto"/>
          <w:sz w:val="22"/>
          <w:szCs w:val="22"/>
        </w:rPr>
      </w:pPr>
      <w:r w:rsidRPr="004B4240">
        <w:rPr>
          <w:rFonts w:ascii="Calibri" w:eastAsia="Calibri" w:hAnsi="Calibri" w:cs="Times New Roman"/>
          <w:b/>
          <w:color w:val="auto"/>
          <w:sz w:val="22"/>
          <w:szCs w:val="22"/>
        </w:rPr>
        <w:t>Prior test</w:t>
      </w:r>
      <w:r w:rsidR="00030E0D" w:rsidRPr="004B4240">
        <w:rPr>
          <w:rFonts w:ascii="Calibri" w:eastAsia="Calibri" w:hAnsi="Calibri" w:cs="Times New Roman"/>
          <w:b/>
          <w:color w:val="auto"/>
          <w:sz w:val="22"/>
          <w:szCs w:val="22"/>
        </w:rPr>
        <w:t>s</w:t>
      </w:r>
    </w:p>
    <w:p w14:paraId="4E4E83BE" w14:textId="5FC9E615" w:rsidR="00914BD8" w:rsidRDefault="007E66CA" w:rsidP="004A187C">
      <w:pPr>
        <w:rPr>
          <w:rFonts w:cs="Arial"/>
        </w:rPr>
      </w:pPr>
      <w:r w:rsidRPr="007E66CA">
        <w:rPr>
          <w:rFonts w:cs="Arial"/>
        </w:rPr>
        <w:t>Prior testing</w:t>
      </w:r>
      <w:r w:rsidR="00292888">
        <w:rPr>
          <w:rFonts w:cs="Arial"/>
        </w:rPr>
        <w:t>, common to</w:t>
      </w:r>
      <w:r w:rsidRPr="007E66CA">
        <w:rPr>
          <w:rFonts w:cs="Arial"/>
        </w:rPr>
        <w:t xml:space="preserve"> the intervention and comparator </w:t>
      </w:r>
      <w:r w:rsidR="00292888">
        <w:rPr>
          <w:rFonts w:cs="Arial"/>
        </w:rPr>
        <w:t>groups</w:t>
      </w:r>
      <w:r w:rsidR="00925073">
        <w:rPr>
          <w:rFonts w:cs="Arial"/>
        </w:rPr>
        <w:t>,</w:t>
      </w:r>
      <w:r w:rsidR="00292888">
        <w:rPr>
          <w:rFonts w:cs="Arial"/>
        </w:rPr>
        <w:t xml:space="preserve"> </w:t>
      </w:r>
      <w:r w:rsidRPr="007E66CA">
        <w:rPr>
          <w:rFonts w:cs="Arial"/>
        </w:rPr>
        <w:t xml:space="preserve">would </w:t>
      </w:r>
      <w:r>
        <w:rPr>
          <w:rFonts w:cs="Arial"/>
        </w:rPr>
        <w:t>be performed to define the population. Guidelines for the management of NSCLC suggest the following procedures: physical examination and assessment of medical history; complete blood count; renal and liver function testing; pathologic evaluation of tumour biopsy specimen to determine histological subtype</w:t>
      </w:r>
      <w:r w:rsidR="00030E0D">
        <w:rPr>
          <w:rFonts w:cs="Arial"/>
        </w:rPr>
        <w:t xml:space="preserve"> (e.g. </w:t>
      </w:r>
      <w:r w:rsidR="00030E0D">
        <w:t>squamous or non-squamous)</w:t>
      </w:r>
      <w:r>
        <w:rPr>
          <w:rFonts w:cs="Arial"/>
        </w:rPr>
        <w:t xml:space="preserve">; contrast-enhanced computed tomography (CT) scan of the chest and upper abdomen; and a potential further </w:t>
      </w:r>
      <w:r w:rsidR="000C6522">
        <w:rPr>
          <w:rFonts w:cs="Arial"/>
        </w:rPr>
        <w:t>fluorodeoxyglucose positron emission tomography (</w:t>
      </w:r>
      <w:r>
        <w:rPr>
          <w:rFonts w:cs="Arial"/>
        </w:rPr>
        <w:t>FDG-PET</w:t>
      </w:r>
      <w:r w:rsidR="000C6522">
        <w:rPr>
          <w:rFonts w:cs="Arial"/>
        </w:rPr>
        <w:t>)</w:t>
      </w:r>
      <w:r>
        <w:rPr>
          <w:rFonts w:cs="Arial"/>
        </w:rPr>
        <w:t xml:space="preserve"> scan if the presence of metastatic disease is suspected after CT scan (equivocal CT scan result). If the patient has locally advanced or metastatic disease unsuitable for conservative management or surgical resection, the use of systemic treatment is recommended. In order to determine eligibility for targeted therapies, molecular testing of the patient’s tumour tissue is </w:t>
      </w:r>
      <w:r w:rsidRPr="000F5E44">
        <w:rPr>
          <w:rFonts w:cs="Arial"/>
        </w:rPr>
        <w:t xml:space="preserve">performed </w:t>
      </w:r>
      <w:r w:rsidR="006F36FA">
        <w:fldChar w:fldCharType="begin">
          <w:fldData xml:space="preserve">PEVuZE5vdGU+PENpdGU+PEF1dGhvcj5OQ0NOPC9BdXRob3I+PFllYXI+MjAxOTwvWWVhcj48UmVj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</w:fldData>
        </w:fldChar>
      </w:r>
      <w:r w:rsidR="006F36FA">
        <w:instrText xml:space="preserve"> ADDIN EN.CITE </w:instrText>
      </w:r>
      <w:r w:rsidR="006F36FA">
        <w:fldChar w:fldCharType="begin">
          <w:fldData xml:space="preserve">PEVuZE5vdGU+PENpdGU+PEF1dGhvcj5OQ0NOPC9BdXRob3I+PFllYXI+MjAxOTwvWWVhcj48UmVj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</w:fldData>
        </w:fldChar>
      </w:r>
      <w:r w:rsidR="006F36FA">
        <w:instrText xml:space="preserve"> ADDIN EN.CITE.DATA </w:instrText>
      </w:r>
      <w:r w:rsidR="006F36FA">
        <w:fldChar w:fldCharType="end"/>
      </w:r>
      <w:r w:rsidR="006F36FA">
        <w:fldChar w:fldCharType="separate"/>
      </w:r>
      <w:r w:rsidR="006F36FA">
        <w:rPr>
          <w:noProof/>
        </w:rPr>
        <w:t>(NCCN 2019; Planchard et al. 2018)</w:t>
      </w:r>
      <w:r w:rsidR="006F36FA">
        <w:fldChar w:fldCharType="end"/>
      </w:r>
      <w:r w:rsidRPr="000F5E44">
        <w:rPr>
          <w:rFonts w:cs="Arial"/>
        </w:rPr>
        <w:t>.</w:t>
      </w:r>
    </w:p>
    <w:p w14:paraId="38B9A46C" w14:textId="067448C6" w:rsidR="00896845" w:rsidRPr="004B4240" w:rsidRDefault="00896845" w:rsidP="004B4240">
      <w:pPr>
        <w:pStyle w:val="Heading3"/>
        <w:keepNext w:val="0"/>
        <w:keepLines w:val="0"/>
        <w:spacing w:before="0" w:after="200"/>
        <w:rPr>
          <w:rFonts w:ascii="Calibri" w:eastAsia="Calibri" w:hAnsi="Calibri" w:cs="Times New Roman"/>
          <w:b/>
          <w:color w:val="auto"/>
          <w:sz w:val="22"/>
          <w:szCs w:val="22"/>
        </w:rPr>
      </w:pPr>
      <w:r w:rsidRPr="004B4240">
        <w:rPr>
          <w:rFonts w:ascii="Calibri" w:eastAsia="Calibri" w:hAnsi="Calibri" w:cs="Times New Roman"/>
          <w:b/>
          <w:color w:val="auto"/>
          <w:sz w:val="22"/>
          <w:szCs w:val="22"/>
        </w:rPr>
        <w:t>Intervention</w:t>
      </w:r>
    </w:p>
    <w:p w14:paraId="2FF4A8A2" w14:textId="77777777" w:rsidR="00C929A4" w:rsidRDefault="00935642" w:rsidP="00870120">
      <w:pPr>
        <w:rPr>
          <w:rFonts w:cs="Arial"/>
        </w:rPr>
      </w:pPr>
      <w:r>
        <w:rPr>
          <w:rFonts w:cs="Arial"/>
        </w:rPr>
        <w:t xml:space="preserve">The intervention is </w:t>
      </w:r>
      <w:r w:rsidR="008F7934">
        <w:rPr>
          <w:rFonts w:cs="Arial"/>
        </w:rPr>
        <w:t>comprehensive genomic profiling (CGP) using a</w:t>
      </w:r>
      <w:r>
        <w:rPr>
          <w:rFonts w:cs="Arial"/>
        </w:rPr>
        <w:t xml:space="preserve">n </w:t>
      </w:r>
      <w:r w:rsidR="00164574" w:rsidRPr="00F65B5E">
        <w:rPr>
          <w:rFonts w:cs="Arial"/>
        </w:rPr>
        <w:t xml:space="preserve">NGS </w:t>
      </w:r>
      <w:r>
        <w:rPr>
          <w:rFonts w:cs="Arial"/>
        </w:rPr>
        <w:t xml:space="preserve">assay to identify molecular alterations </w:t>
      </w:r>
      <w:r w:rsidR="00544E1B">
        <w:rPr>
          <w:rFonts w:cs="Arial"/>
        </w:rPr>
        <w:t xml:space="preserve">in </w:t>
      </w:r>
      <w:r>
        <w:rPr>
          <w:rFonts w:cs="Arial"/>
        </w:rPr>
        <w:t xml:space="preserve">DNA or RNA </w:t>
      </w:r>
      <w:r w:rsidR="00292888">
        <w:rPr>
          <w:rFonts w:cs="Arial"/>
        </w:rPr>
        <w:t xml:space="preserve">arising in a </w:t>
      </w:r>
      <w:r w:rsidR="0068545A">
        <w:rPr>
          <w:rFonts w:cs="Arial"/>
        </w:rPr>
        <w:t xml:space="preserve">tumour </w:t>
      </w:r>
      <w:r w:rsidR="00292888">
        <w:rPr>
          <w:rFonts w:cs="Arial"/>
        </w:rPr>
        <w:t xml:space="preserve">tissue sample </w:t>
      </w:r>
      <w:r w:rsidR="0068545A">
        <w:rPr>
          <w:rFonts w:cs="Arial"/>
        </w:rPr>
        <w:t>in</w:t>
      </w:r>
      <w:r w:rsidR="00292888">
        <w:rPr>
          <w:rFonts w:cs="Arial"/>
        </w:rPr>
        <w:t xml:space="preserve"> </w:t>
      </w:r>
      <w:r>
        <w:rPr>
          <w:rFonts w:cs="Arial"/>
        </w:rPr>
        <w:t xml:space="preserve">patients with NSCLC. </w:t>
      </w:r>
    </w:p>
    <w:p w14:paraId="6B38F7BE" w14:textId="77777777" w:rsidR="00C929A4" w:rsidRDefault="00F3460F" w:rsidP="00870120">
      <w:r w:rsidRPr="00C929A4">
        <w:rPr>
          <w:i/>
        </w:rPr>
        <w:t>PASC advised that cytology specimens should be considered tumour tissue if there is tumour visible on the slide</w:t>
      </w:r>
      <w:r w:rsidR="00412E5A" w:rsidRPr="00C929A4">
        <w:rPr>
          <w:i/>
        </w:rPr>
        <w:t>, and a pathologist confirms there is adequate material available for analysis</w:t>
      </w:r>
      <w:r w:rsidRPr="00C929A4">
        <w:rPr>
          <w:i/>
        </w:rPr>
        <w:t>.</w:t>
      </w:r>
      <w:r>
        <w:t xml:space="preserve"> </w:t>
      </w:r>
    </w:p>
    <w:p w14:paraId="64F839C7" w14:textId="09144F75" w:rsidR="00164574" w:rsidRDefault="006F232F" w:rsidP="00870120">
      <w:pPr>
        <w:rPr>
          <w:rFonts w:cs="Arial"/>
        </w:rPr>
      </w:pPr>
      <w:r>
        <w:rPr>
          <w:rFonts w:cs="Arial"/>
        </w:rPr>
        <w:t>The purpose is to determine suitability for first-line treatments</w:t>
      </w:r>
      <w:r w:rsidR="000068BD">
        <w:rPr>
          <w:rFonts w:cs="Arial"/>
        </w:rPr>
        <w:t xml:space="preserve"> in advanced NSCLC</w:t>
      </w:r>
      <w:r>
        <w:rPr>
          <w:rFonts w:cs="Arial"/>
        </w:rPr>
        <w:t xml:space="preserve">. </w:t>
      </w:r>
      <w:r w:rsidR="0096205F">
        <w:rPr>
          <w:rFonts w:cs="Arial"/>
        </w:rPr>
        <w:t xml:space="preserve">The variants currently ‘clinically actionable’ to be reported on </w:t>
      </w:r>
      <w:r w:rsidR="008B6C40">
        <w:rPr>
          <w:rFonts w:cs="Arial"/>
        </w:rPr>
        <w:t xml:space="preserve">for codependent medicines </w:t>
      </w:r>
      <w:r w:rsidR="0096205F">
        <w:rPr>
          <w:rFonts w:cs="Arial"/>
        </w:rPr>
        <w:t xml:space="preserve">are </w:t>
      </w:r>
      <w:r w:rsidR="0096205F" w:rsidRPr="00F57034">
        <w:rPr>
          <w:rFonts w:cs="Arial"/>
          <w:i/>
        </w:rPr>
        <w:t>EGFR</w:t>
      </w:r>
      <w:r w:rsidR="008B6C40" w:rsidRPr="008B6C40">
        <w:rPr>
          <w:rFonts w:cs="Arial"/>
        </w:rPr>
        <w:t xml:space="preserve"> activating mutations</w:t>
      </w:r>
      <w:r w:rsidR="0096205F">
        <w:rPr>
          <w:rFonts w:cs="Arial"/>
        </w:rPr>
        <w:t>,</w:t>
      </w:r>
      <w:r w:rsidR="008B6C40">
        <w:rPr>
          <w:rFonts w:cs="Arial"/>
        </w:rPr>
        <w:t xml:space="preserve"> and</w:t>
      </w:r>
      <w:r w:rsidR="0096205F">
        <w:rPr>
          <w:rFonts w:cs="Arial"/>
        </w:rPr>
        <w:t xml:space="preserve"> </w:t>
      </w:r>
      <w:r w:rsidR="0096205F" w:rsidRPr="00F57034">
        <w:rPr>
          <w:rFonts w:cs="Arial"/>
          <w:i/>
        </w:rPr>
        <w:t>ALK</w:t>
      </w:r>
      <w:r w:rsidR="0096205F">
        <w:rPr>
          <w:rFonts w:cs="Arial"/>
        </w:rPr>
        <w:t xml:space="preserve"> and </w:t>
      </w:r>
      <w:r w:rsidR="0096205F" w:rsidRPr="00F57034">
        <w:rPr>
          <w:rFonts w:cs="Arial"/>
          <w:i/>
        </w:rPr>
        <w:t>ROS1</w:t>
      </w:r>
      <w:r w:rsidR="00500ECD">
        <w:rPr>
          <w:rFonts w:cs="Arial"/>
        </w:rPr>
        <w:t xml:space="preserve"> </w:t>
      </w:r>
      <w:r w:rsidR="008B6C40">
        <w:rPr>
          <w:rFonts w:cs="Arial"/>
        </w:rPr>
        <w:t>gene rearrangements</w:t>
      </w:r>
      <w:r w:rsidR="00500ECD">
        <w:rPr>
          <w:rFonts w:cs="Arial"/>
        </w:rPr>
        <w:t>.</w:t>
      </w:r>
    </w:p>
    <w:p w14:paraId="7321AA4E" w14:textId="77777777" w:rsidR="00DA2A63" w:rsidRDefault="00DA2A63">
      <w:pPr>
        <w:rPr>
          <w:rFonts w:cs="Arial"/>
        </w:rPr>
      </w:pPr>
      <w:r>
        <w:rPr>
          <w:rFonts w:cs="Arial"/>
        </w:rPr>
        <w:br w:type="page"/>
      </w:r>
    </w:p>
    <w:p w14:paraId="5E66773C" w14:textId="7AB0FE88" w:rsidR="003620E9" w:rsidRDefault="003620E9" w:rsidP="00870120">
      <w:pPr>
        <w:rPr>
          <w:rFonts w:cs="Arial"/>
        </w:rPr>
      </w:pPr>
      <w:r>
        <w:rPr>
          <w:rFonts w:cs="Arial"/>
        </w:rPr>
        <w:lastRenderedPageBreak/>
        <w:t>The steps involved are:</w:t>
      </w:r>
    </w:p>
    <w:p w14:paraId="5293A51D" w14:textId="52F74FD0" w:rsidR="003620E9" w:rsidRDefault="003620E9" w:rsidP="003620E9">
      <w:pPr>
        <w:pStyle w:val="ListParagraph"/>
        <w:numPr>
          <w:ilvl w:val="0"/>
          <w:numId w:val="10"/>
        </w:numPr>
        <w:rPr>
          <w:rFonts w:cs="Arial"/>
        </w:rPr>
      </w:pPr>
      <w:r>
        <w:rPr>
          <w:rFonts w:cs="Arial"/>
        </w:rPr>
        <w:t xml:space="preserve">Isolation of tumour DNA </w:t>
      </w:r>
      <w:r w:rsidR="00544E1B">
        <w:rPr>
          <w:rFonts w:cs="Arial"/>
        </w:rPr>
        <w:t>and</w:t>
      </w:r>
      <w:r w:rsidR="00D92005">
        <w:rPr>
          <w:rFonts w:cs="Arial"/>
        </w:rPr>
        <w:t xml:space="preserve"> RNA </w:t>
      </w:r>
      <w:r>
        <w:rPr>
          <w:rFonts w:cs="Arial"/>
        </w:rPr>
        <w:t>from tumour tissue specimen</w:t>
      </w:r>
    </w:p>
    <w:p w14:paraId="29F9FBF7" w14:textId="15B89E3B" w:rsidR="003620E9" w:rsidRDefault="003620E9" w:rsidP="003620E9">
      <w:pPr>
        <w:pStyle w:val="ListParagraph"/>
        <w:numPr>
          <w:ilvl w:val="0"/>
          <w:numId w:val="10"/>
        </w:numPr>
        <w:rPr>
          <w:rFonts w:cs="Arial"/>
        </w:rPr>
      </w:pPr>
      <w:r>
        <w:rPr>
          <w:rFonts w:cs="Arial"/>
        </w:rPr>
        <w:t>Preparation of sequencing libraries</w:t>
      </w:r>
    </w:p>
    <w:p w14:paraId="2BF94AD5" w14:textId="043C8728" w:rsidR="003620E9" w:rsidRDefault="003620E9" w:rsidP="003620E9">
      <w:pPr>
        <w:pStyle w:val="ListParagraph"/>
        <w:numPr>
          <w:ilvl w:val="0"/>
          <w:numId w:val="10"/>
        </w:numPr>
        <w:rPr>
          <w:rFonts w:cs="Arial"/>
        </w:rPr>
      </w:pPr>
      <w:r>
        <w:rPr>
          <w:rFonts w:cs="Arial"/>
        </w:rPr>
        <w:t>Enrichment of sequencing libraries for genes of interest</w:t>
      </w:r>
    </w:p>
    <w:p w14:paraId="4EF76723" w14:textId="709D881D" w:rsidR="003620E9" w:rsidRDefault="003620E9" w:rsidP="003620E9">
      <w:pPr>
        <w:pStyle w:val="ListParagraph"/>
        <w:numPr>
          <w:ilvl w:val="0"/>
          <w:numId w:val="10"/>
        </w:numPr>
        <w:rPr>
          <w:rFonts w:cs="Arial"/>
        </w:rPr>
      </w:pPr>
      <w:r>
        <w:rPr>
          <w:rFonts w:cs="Arial"/>
        </w:rPr>
        <w:t>Sequencing of enriched libraries</w:t>
      </w:r>
    </w:p>
    <w:p w14:paraId="2119AA0D" w14:textId="6FD3BBFA" w:rsidR="003620E9" w:rsidRDefault="003620E9" w:rsidP="003620E9">
      <w:pPr>
        <w:pStyle w:val="ListParagraph"/>
        <w:numPr>
          <w:ilvl w:val="0"/>
          <w:numId w:val="10"/>
        </w:numPr>
        <w:rPr>
          <w:rFonts w:cs="Arial"/>
        </w:rPr>
      </w:pPr>
      <w:r>
        <w:rPr>
          <w:rFonts w:cs="Arial"/>
        </w:rPr>
        <w:t>Analysis and reportin</w:t>
      </w:r>
      <w:r w:rsidR="00500ECD">
        <w:rPr>
          <w:rFonts w:cs="Arial"/>
        </w:rPr>
        <w:t>g of test results.</w:t>
      </w:r>
    </w:p>
    <w:p w14:paraId="17B32037" w14:textId="34C5F9BF" w:rsidR="00B23F88" w:rsidRDefault="00F7658F" w:rsidP="00B23F88">
      <w:pPr>
        <w:rPr>
          <w:rFonts w:cs="Arial"/>
        </w:rPr>
      </w:pPr>
      <w:r>
        <w:rPr>
          <w:rFonts w:cs="Arial"/>
        </w:rPr>
        <w:t>S</w:t>
      </w:r>
      <w:r w:rsidR="00B23F88">
        <w:rPr>
          <w:rFonts w:cs="Arial"/>
        </w:rPr>
        <w:t xml:space="preserve">ome </w:t>
      </w:r>
      <w:r>
        <w:rPr>
          <w:rFonts w:cs="Arial"/>
        </w:rPr>
        <w:t xml:space="preserve">laboratory components of </w:t>
      </w:r>
      <w:r w:rsidR="00AF602E">
        <w:rPr>
          <w:rFonts w:cs="Arial"/>
        </w:rPr>
        <w:t xml:space="preserve">CGP </w:t>
      </w:r>
      <w:r>
        <w:rPr>
          <w:rFonts w:cs="Arial"/>
        </w:rPr>
        <w:t xml:space="preserve">using NGS assays can be performed on multiple tumour specimens at the same time, benefiting from ‘batch processing’ and/or automation of processing of samples. However, the preparation of a test </w:t>
      </w:r>
      <w:r w:rsidR="00066757">
        <w:rPr>
          <w:rFonts w:cs="Arial"/>
        </w:rPr>
        <w:t>report</w:t>
      </w:r>
      <w:r>
        <w:rPr>
          <w:rFonts w:cs="Arial"/>
        </w:rPr>
        <w:t xml:space="preserve"> outlining the </w:t>
      </w:r>
      <w:r w:rsidR="00066757">
        <w:rPr>
          <w:rFonts w:cs="Arial"/>
        </w:rPr>
        <w:t xml:space="preserve">clinically actionable </w:t>
      </w:r>
      <w:r>
        <w:rPr>
          <w:rFonts w:cs="Arial"/>
        </w:rPr>
        <w:t xml:space="preserve">results must be done </w:t>
      </w:r>
      <w:r w:rsidR="00500ECD">
        <w:rPr>
          <w:rFonts w:cs="Arial"/>
        </w:rPr>
        <w:t>on a per patient basis.</w:t>
      </w:r>
    </w:p>
    <w:p w14:paraId="41C101B2" w14:textId="147254FD" w:rsidR="008F7934" w:rsidRDefault="008F7934" w:rsidP="008F7934">
      <w:pPr>
        <w:rPr>
          <w:rFonts w:cs="Arial"/>
        </w:rPr>
      </w:pPr>
      <w:r>
        <w:rPr>
          <w:rFonts w:cs="Arial"/>
        </w:rPr>
        <w:t>The NGS assay</w:t>
      </w:r>
      <w:r w:rsidR="00412E5A">
        <w:rPr>
          <w:rFonts w:cs="Arial"/>
        </w:rPr>
        <w:t>s proposed in the application</w:t>
      </w:r>
      <w:r>
        <w:rPr>
          <w:rFonts w:cs="Arial"/>
        </w:rPr>
        <w:t xml:space="preserve"> ha</w:t>
      </w:r>
      <w:r w:rsidR="00412E5A">
        <w:rPr>
          <w:rFonts w:cs="Arial"/>
        </w:rPr>
        <w:t>ve</w:t>
      </w:r>
      <w:r>
        <w:rPr>
          <w:rFonts w:cs="Arial"/>
        </w:rPr>
        <w:t xml:space="preserve"> the ability to identify four classes of genomic alterations: base substitutions (single nucleotide variants); insertions and deletions; copy number alterations and gene fusions (rearrangements). </w:t>
      </w:r>
      <w:r w:rsidR="008E2FCD">
        <w:rPr>
          <w:rFonts w:cs="Arial"/>
        </w:rPr>
        <w:t xml:space="preserve">It is also able to provide information on genomic signatures including </w:t>
      </w:r>
      <w:r w:rsidR="00A602D5">
        <w:rPr>
          <w:rFonts w:cs="Arial"/>
        </w:rPr>
        <w:t>tumour mutation bu</w:t>
      </w:r>
      <w:r w:rsidR="008E2FCD">
        <w:rPr>
          <w:rFonts w:cs="Arial"/>
        </w:rPr>
        <w:t>rden (TMB) and mi</w:t>
      </w:r>
      <w:r w:rsidR="00500ECD">
        <w:rPr>
          <w:rFonts w:cs="Arial"/>
        </w:rPr>
        <w:t>crosatellite instability (MSI).</w:t>
      </w:r>
    </w:p>
    <w:p w14:paraId="30CF6D82" w14:textId="77777777" w:rsidR="00763FAA" w:rsidRDefault="00556854" w:rsidP="00B23F88">
      <w:pPr>
        <w:rPr>
          <w:rFonts w:cs="Arial"/>
        </w:rPr>
      </w:pPr>
      <w:r>
        <w:rPr>
          <w:rFonts w:cs="Arial"/>
        </w:rPr>
        <w:t xml:space="preserve">It is proposed that </w:t>
      </w:r>
      <w:r w:rsidR="003805EA">
        <w:rPr>
          <w:rFonts w:cs="Arial"/>
        </w:rPr>
        <w:t xml:space="preserve">any </w:t>
      </w:r>
      <w:r>
        <w:rPr>
          <w:rFonts w:cs="Arial"/>
        </w:rPr>
        <w:t>NGS</w:t>
      </w:r>
      <w:r w:rsidR="003805EA">
        <w:rPr>
          <w:rFonts w:cs="Arial"/>
        </w:rPr>
        <w:t xml:space="preserve"> assay covering the </w:t>
      </w:r>
      <w:r w:rsidR="00292888">
        <w:rPr>
          <w:rFonts w:cs="Arial"/>
        </w:rPr>
        <w:t xml:space="preserve">nominated </w:t>
      </w:r>
      <w:r w:rsidR="003805EA">
        <w:rPr>
          <w:rFonts w:cs="Arial"/>
        </w:rPr>
        <w:t>genes</w:t>
      </w:r>
      <w:r>
        <w:rPr>
          <w:rFonts w:cs="Arial"/>
        </w:rPr>
        <w:t xml:space="preserve"> with appropriate regulatory approval as an </w:t>
      </w:r>
      <w:r w:rsidRPr="00A602D5">
        <w:rPr>
          <w:rFonts w:cs="Arial"/>
          <w:i/>
        </w:rPr>
        <w:t>in vitro</w:t>
      </w:r>
      <w:r>
        <w:rPr>
          <w:rFonts w:cs="Arial"/>
        </w:rPr>
        <w:t xml:space="preserve"> companion diagnostic </w:t>
      </w:r>
      <w:r w:rsidR="000068BD">
        <w:rPr>
          <w:rFonts w:cs="Arial"/>
        </w:rPr>
        <w:t xml:space="preserve">in NSCLC </w:t>
      </w:r>
      <w:r w:rsidR="00EA4292">
        <w:rPr>
          <w:rFonts w:cs="Arial"/>
        </w:rPr>
        <w:t>could be used</w:t>
      </w:r>
      <w:r w:rsidR="003805EA">
        <w:rPr>
          <w:rFonts w:cs="Arial"/>
        </w:rPr>
        <w:t xml:space="preserve"> under the proposed MBS item</w:t>
      </w:r>
      <w:r w:rsidR="00EA4292">
        <w:rPr>
          <w:rFonts w:cs="Arial"/>
        </w:rPr>
        <w:t>. Some of the evidence</w:t>
      </w:r>
      <w:r w:rsidR="003805EA">
        <w:rPr>
          <w:rFonts w:cs="Arial"/>
        </w:rPr>
        <w:t xml:space="preserve"> linking the NGS assay to clinical utility</w:t>
      </w:r>
      <w:r w:rsidR="00EA4292">
        <w:rPr>
          <w:rFonts w:cs="Arial"/>
        </w:rPr>
        <w:t xml:space="preserve"> </w:t>
      </w:r>
      <w:r w:rsidR="00287C6F">
        <w:rPr>
          <w:rFonts w:cs="Arial"/>
        </w:rPr>
        <w:t xml:space="preserve">that </w:t>
      </w:r>
      <w:r w:rsidR="00EA4292">
        <w:rPr>
          <w:rFonts w:cs="Arial"/>
        </w:rPr>
        <w:t>will be provided in the submission is based on the FoundationOne® CDx</w:t>
      </w:r>
      <w:r w:rsidR="00287C6F">
        <w:rPr>
          <w:rFonts w:cs="Arial"/>
        </w:rPr>
        <w:t>,</w:t>
      </w:r>
      <w:r w:rsidR="00EA4292">
        <w:rPr>
          <w:rFonts w:cs="Arial"/>
        </w:rPr>
        <w:t xml:space="preserve"> which </w:t>
      </w:r>
      <w:r w:rsidR="003805EA">
        <w:rPr>
          <w:rFonts w:cs="Arial"/>
        </w:rPr>
        <w:t xml:space="preserve">is not currently </w:t>
      </w:r>
      <w:r w:rsidR="00287C6F">
        <w:rPr>
          <w:rFonts w:cs="Arial"/>
        </w:rPr>
        <w:t xml:space="preserve">used </w:t>
      </w:r>
      <w:r w:rsidR="003805EA">
        <w:rPr>
          <w:rFonts w:cs="Arial"/>
        </w:rPr>
        <w:t xml:space="preserve">in </w:t>
      </w:r>
      <w:r w:rsidR="00281BBA">
        <w:rPr>
          <w:rFonts w:cs="Arial"/>
        </w:rPr>
        <w:t xml:space="preserve">Australia. </w:t>
      </w:r>
      <w:r w:rsidR="003805EA">
        <w:rPr>
          <w:rFonts w:cs="Arial"/>
        </w:rPr>
        <w:t xml:space="preserve">The </w:t>
      </w:r>
      <w:r w:rsidR="00281BBA">
        <w:rPr>
          <w:rFonts w:cs="Arial"/>
        </w:rPr>
        <w:t>Applicant Developed Assessment Report</w:t>
      </w:r>
      <w:r w:rsidR="003805EA">
        <w:rPr>
          <w:rFonts w:cs="Arial"/>
        </w:rPr>
        <w:t xml:space="preserve"> will therefore </w:t>
      </w:r>
      <w:r w:rsidR="00A602D5">
        <w:rPr>
          <w:rFonts w:cs="Arial"/>
        </w:rPr>
        <w:t xml:space="preserve">also </w:t>
      </w:r>
      <w:r w:rsidR="003805EA">
        <w:rPr>
          <w:rFonts w:cs="Arial"/>
        </w:rPr>
        <w:t>need to compare the test performance of assays most likely to be used in Australia against the FoundationOne®</w:t>
      </w:r>
      <w:r w:rsidR="002D632C">
        <w:rPr>
          <w:rFonts w:cs="Arial"/>
        </w:rPr>
        <w:t xml:space="preserve"> CDx</w:t>
      </w:r>
      <w:r w:rsidR="00281BBA">
        <w:rPr>
          <w:rFonts w:cs="Arial"/>
        </w:rPr>
        <w:t>.</w:t>
      </w:r>
      <w:r w:rsidR="003805EA">
        <w:rPr>
          <w:rFonts w:cs="Arial"/>
        </w:rPr>
        <w:t xml:space="preserve"> </w:t>
      </w:r>
      <w:r w:rsidR="006A0D77">
        <w:rPr>
          <w:rFonts w:cs="Arial"/>
        </w:rPr>
        <w:t>The applicants understand that platforms manufactured by Illumina such as NextSeq</w:t>
      </w:r>
      <w:r w:rsidR="00904723">
        <w:rPr>
          <w:rFonts w:cs="Arial"/>
        </w:rPr>
        <w:t>™</w:t>
      </w:r>
      <w:r w:rsidR="006A0D77">
        <w:rPr>
          <w:rFonts w:cs="Arial"/>
        </w:rPr>
        <w:t xml:space="preserve"> 500/550/550Dx instruments are the most commonly used NGS plat</w:t>
      </w:r>
      <w:r w:rsidR="00F819FF">
        <w:rPr>
          <w:rFonts w:cs="Arial"/>
        </w:rPr>
        <w:t>forms in Australian laboratories. Current manufacturers of NGS assays include Roche Diagnosti</w:t>
      </w:r>
      <w:r w:rsidR="00500ECD">
        <w:rPr>
          <w:rFonts w:cs="Arial"/>
        </w:rPr>
        <w:t xml:space="preserve">cs, Illumina and </w:t>
      </w:r>
      <w:r w:rsidR="00500ECD" w:rsidRPr="0086635B">
        <w:rPr>
          <w:rFonts w:cs="Arial"/>
        </w:rPr>
        <w:t>Thermo Fisher.</w:t>
      </w:r>
      <w:r w:rsidR="009B1586" w:rsidRPr="0086635B">
        <w:rPr>
          <w:rFonts w:cs="Arial"/>
        </w:rPr>
        <w:t xml:space="preserve"> </w:t>
      </w:r>
    </w:p>
    <w:p w14:paraId="48A1AC7C" w14:textId="5CDD4C92" w:rsidR="00556854" w:rsidRPr="00763FAA" w:rsidRDefault="0060120B" w:rsidP="00B23F88">
      <w:pPr>
        <w:rPr>
          <w:rFonts w:cs="Arial"/>
          <w:i/>
        </w:rPr>
      </w:pPr>
      <w:r w:rsidRPr="00763FAA">
        <w:rPr>
          <w:i/>
        </w:rPr>
        <w:t xml:space="preserve">PASC </w:t>
      </w:r>
      <w:r w:rsidR="00A602D5" w:rsidRPr="00763FAA">
        <w:rPr>
          <w:i/>
        </w:rPr>
        <w:t xml:space="preserve">sought </w:t>
      </w:r>
      <w:r w:rsidRPr="00763FAA">
        <w:rPr>
          <w:i/>
        </w:rPr>
        <w:t xml:space="preserve">confirmation that the range of </w:t>
      </w:r>
      <w:r w:rsidR="00A602D5" w:rsidRPr="00763FAA">
        <w:rPr>
          <w:i/>
        </w:rPr>
        <w:t xml:space="preserve">genomic profiling </w:t>
      </w:r>
      <w:r w:rsidRPr="00763FAA">
        <w:rPr>
          <w:i/>
        </w:rPr>
        <w:t xml:space="preserve">tests available are capable of </w:t>
      </w:r>
      <w:r w:rsidR="00412E5A" w:rsidRPr="00763FAA">
        <w:rPr>
          <w:i/>
        </w:rPr>
        <w:t xml:space="preserve">detecting ALK and ROS1 gene rearrangements, and </w:t>
      </w:r>
      <w:r w:rsidR="00BF6DE3" w:rsidRPr="00763FAA">
        <w:rPr>
          <w:i/>
        </w:rPr>
        <w:t xml:space="preserve">also of </w:t>
      </w:r>
      <w:r w:rsidR="00691192" w:rsidRPr="00763FAA">
        <w:rPr>
          <w:i/>
        </w:rPr>
        <w:t>differentiating EGFR activating mutations and</w:t>
      </w:r>
      <w:r w:rsidRPr="00763FAA">
        <w:rPr>
          <w:i/>
        </w:rPr>
        <w:t xml:space="preserve"> ALK and ROS1 gene rearrangements</w:t>
      </w:r>
      <w:r w:rsidR="00691192" w:rsidRPr="00763FAA">
        <w:rPr>
          <w:i/>
        </w:rPr>
        <w:t xml:space="preserve"> from other pathogenic variants</w:t>
      </w:r>
      <w:r w:rsidR="00B320C1" w:rsidRPr="00763FAA">
        <w:rPr>
          <w:i/>
        </w:rPr>
        <w:t xml:space="preserve"> of these genes</w:t>
      </w:r>
      <w:r w:rsidRPr="00763FAA">
        <w:rPr>
          <w:i/>
        </w:rPr>
        <w:t>.</w:t>
      </w:r>
    </w:p>
    <w:p w14:paraId="6150A3D6" w14:textId="77777777" w:rsidR="007D7D37" w:rsidRDefault="00556854">
      <w:pPr>
        <w:rPr>
          <w:rFonts w:ascii="Arial Narrow" w:eastAsia="Times New Roman" w:hAnsi="Arial Narrow" w:cs="Tahoma"/>
          <w:b/>
          <w:sz w:val="20"/>
          <w:szCs w:val="20"/>
          <w:lang w:val="en-GB" w:eastAsia="ja-JP"/>
        </w:rPr>
      </w:pPr>
      <w:r>
        <w:rPr>
          <w:rFonts w:cs="Arial"/>
        </w:rPr>
        <w:t>The intervention is proposed to be ‘treatment agnostic’, i.e. the results of the testing may be used to identify patients eligible to access all targeted treatments currently listed on the PBS</w:t>
      </w:r>
      <w:r w:rsidR="00292888">
        <w:rPr>
          <w:rFonts w:cs="Arial"/>
        </w:rPr>
        <w:t xml:space="preserve"> for the treatment of NSCLC</w:t>
      </w:r>
      <w:r>
        <w:rPr>
          <w:rFonts w:cs="Arial"/>
        </w:rPr>
        <w:t xml:space="preserve">. </w:t>
      </w:r>
      <w:r w:rsidR="00357F77">
        <w:rPr>
          <w:rFonts w:cs="Arial"/>
        </w:rPr>
        <w:t>T</w:t>
      </w:r>
      <w:r w:rsidR="000937E2">
        <w:rPr>
          <w:rFonts w:cs="Arial"/>
        </w:rPr>
        <w:t xml:space="preserve">argeted therapies </w:t>
      </w:r>
      <w:r w:rsidR="000937E2" w:rsidRPr="002E6705">
        <w:rPr>
          <w:rFonts w:cs="Arial"/>
        </w:rPr>
        <w:t>currently</w:t>
      </w:r>
      <w:r w:rsidR="000937E2">
        <w:rPr>
          <w:rFonts w:cs="Arial"/>
        </w:rPr>
        <w:t xml:space="preserve"> listed on the PBS </w:t>
      </w:r>
      <w:r w:rsidR="00357F77">
        <w:rPr>
          <w:rFonts w:cs="Arial"/>
        </w:rPr>
        <w:t xml:space="preserve">for patients with locally advanced or metastatic NSCLC </w:t>
      </w:r>
      <w:r w:rsidR="000937E2">
        <w:rPr>
          <w:rFonts w:cs="Arial"/>
        </w:rPr>
        <w:t>are shown below</w:t>
      </w:r>
      <w:r w:rsidR="007F0DBF">
        <w:rPr>
          <w:rFonts w:cs="Arial"/>
        </w:rPr>
        <w:t xml:space="preserve"> in </w:t>
      </w:r>
      <w:r w:rsidR="007F0DBF">
        <w:rPr>
          <w:rFonts w:cs="Arial"/>
        </w:rPr>
        <w:fldChar w:fldCharType="begin"/>
      </w:r>
      <w:r w:rsidR="007F0DBF">
        <w:rPr>
          <w:rFonts w:cs="Arial"/>
        </w:rPr>
        <w:instrText xml:space="preserve"> REF _Ref54003755 \h </w:instrText>
      </w:r>
      <w:r w:rsidR="007F0DBF">
        <w:rPr>
          <w:rFonts w:cs="Arial"/>
        </w:rPr>
      </w:r>
      <w:r w:rsidR="007F0DBF">
        <w:rPr>
          <w:rFonts w:cs="Arial"/>
        </w:rPr>
        <w:fldChar w:fldCharType="separate"/>
      </w:r>
      <w:r w:rsidR="007D7D37">
        <w:br w:type="page"/>
      </w:r>
    </w:p>
    <w:p w14:paraId="1AB60CF1" w14:textId="33A1586E" w:rsidR="00E36361" w:rsidRDefault="007D7D37" w:rsidP="00B23F88">
      <w:pPr>
        <w:rPr>
          <w:rFonts w:cs="Arial"/>
        </w:rPr>
      </w:pPr>
      <w:r>
        <w:lastRenderedPageBreak/>
        <w:t xml:space="preserve">Table </w:t>
      </w:r>
      <w:r>
        <w:rPr>
          <w:noProof/>
        </w:rPr>
        <w:t>2</w:t>
      </w:r>
      <w:r w:rsidR="007F0DBF">
        <w:rPr>
          <w:rFonts w:cs="Arial"/>
        </w:rPr>
        <w:fldChar w:fldCharType="end"/>
      </w:r>
      <w:r w:rsidR="007F0DBF">
        <w:rPr>
          <w:rFonts w:cs="Arial"/>
        </w:rPr>
        <w:t>.</w:t>
      </w:r>
      <w:r w:rsidR="003206E5">
        <w:rPr>
          <w:rFonts w:cs="Arial"/>
        </w:rPr>
        <w:t xml:space="preserve"> It would also be possible to include biomarkers where the detection of a genetic variant indicates that a patient should </w:t>
      </w:r>
      <w:r w:rsidR="003206E5" w:rsidRPr="00DC1CB3">
        <w:rPr>
          <w:rFonts w:cs="Arial"/>
          <w:u w:val="single"/>
        </w:rPr>
        <w:t>not</w:t>
      </w:r>
      <w:r w:rsidR="003206E5">
        <w:rPr>
          <w:rFonts w:cs="Arial"/>
        </w:rPr>
        <w:t xml:space="preserve"> receive a certain </w:t>
      </w:r>
      <w:r w:rsidR="00330D06">
        <w:rPr>
          <w:rFonts w:cs="Arial"/>
        </w:rPr>
        <w:t>treatment</w:t>
      </w:r>
      <w:r w:rsidR="003206E5">
        <w:rPr>
          <w:rFonts w:cs="Arial"/>
        </w:rPr>
        <w:t>.</w:t>
      </w:r>
      <w:r w:rsidR="007F0DBF">
        <w:rPr>
          <w:rFonts w:cs="Arial"/>
        </w:rPr>
        <w:t xml:space="preserve"> Testing for </w:t>
      </w:r>
      <w:r w:rsidR="007F0DBF" w:rsidRPr="00500ECD">
        <w:rPr>
          <w:rFonts w:cs="Arial"/>
          <w:i/>
        </w:rPr>
        <w:t>EGFR</w:t>
      </w:r>
      <w:r w:rsidR="007F0DBF">
        <w:rPr>
          <w:rFonts w:cs="Arial"/>
        </w:rPr>
        <w:t xml:space="preserve"> T790M variants </w:t>
      </w:r>
      <w:r w:rsidR="002356FA">
        <w:rPr>
          <w:rFonts w:cs="Arial"/>
        </w:rPr>
        <w:t xml:space="preserve">(under MBS item 73351) </w:t>
      </w:r>
      <w:r w:rsidR="007F0DBF">
        <w:rPr>
          <w:rFonts w:cs="Arial"/>
        </w:rPr>
        <w:t xml:space="preserve">subsequent to disease progression while on </w:t>
      </w:r>
      <w:r w:rsidR="007F0DBF" w:rsidRPr="00261F33">
        <w:rPr>
          <w:rFonts w:cs="Arial"/>
        </w:rPr>
        <w:t>EGFR</w:t>
      </w:r>
      <w:r w:rsidR="007F0DBF">
        <w:rPr>
          <w:rFonts w:cs="Arial"/>
        </w:rPr>
        <w:t>-targeted therapies would still occur to determine if new resistance-variants develop.</w:t>
      </w:r>
    </w:p>
    <w:p w14:paraId="27E6DE7B" w14:textId="77777777" w:rsidR="00DA2A63" w:rsidRDefault="00DA2A63">
      <w:pPr>
        <w:rPr>
          <w:rFonts w:ascii="Arial Narrow" w:eastAsia="Times New Roman" w:hAnsi="Arial Narrow" w:cs="Tahoma"/>
          <w:b/>
          <w:sz w:val="20"/>
          <w:szCs w:val="20"/>
          <w:lang w:val="en-GB" w:eastAsia="ja-JP"/>
        </w:rPr>
      </w:pPr>
      <w:bookmarkStart w:id="5" w:name="_Ref54003755"/>
      <w:r>
        <w:br w:type="page"/>
      </w:r>
    </w:p>
    <w:p w14:paraId="6DED9F3F" w14:textId="040DD935" w:rsidR="00357F77" w:rsidRDefault="00357F77" w:rsidP="00357F77">
      <w:pPr>
        <w:pStyle w:val="Caption"/>
      </w:pPr>
      <w:r>
        <w:lastRenderedPageBreak/>
        <w:t xml:space="preserve">Table </w:t>
      </w:r>
      <w:r>
        <w:fldChar w:fldCharType="begin"/>
      </w:r>
      <w:r>
        <w:instrText xml:space="preserve"> SEQ Table \* ARABIC </w:instrText>
      </w:r>
      <w:r>
        <w:fldChar w:fldCharType="separate"/>
      </w:r>
      <w:r w:rsidR="007D7D37">
        <w:rPr>
          <w:noProof/>
        </w:rPr>
        <w:t>2</w:t>
      </w:r>
      <w:r>
        <w:fldChar w:fldCharType="end"/>
      </w:r>
      <w:bookmarkEnd w:id="5"/>
      <w:r>
        <w:tab/>
        <w:t xml:space="preserve">List of biomarker-specific therapies currently </w:t>
      </w:r>
      <w:r w:rsidR="00DD3D41">
        <w:t>available through the PBS</w:t>
      </w:r>
    </w:p>
    <w:tbl>
      <w:tblPr>
        <w:tblStyle w:val="TableGrid"/>
        <w:tblW w:w="0" w:type="auto"/>
        <w:tblLook w:val="04A0" w:firstRow="1" w:lastRow="0" w:firstColumn="1" w:lastColumn="0" w:noHBand="0" w:noVBand="1"/>
        <w:tblCaption w:val="List of biomarker specific therapies on the PBS"/>
        <w:tblDescription w:val="List of biomarkers and PBS-listed therapies "/>
      </w:tblPr>
      <w:tblGrid>
        <w:gridCol w:w="2254"/>
        <w:gridCol w:w="2136"/>
        <w:gridCol w:w="2835"/>
        <w:gridCol w:w="1791"/>
      </w:tblGrid>
      <w:tr w:rsidR="000937E2" w:rsidRPr="000F5EB0" w14:paraId="7E19CE5C" w14:textId="77777777" w:rsidTr="002906D4">
        <w:trPr>
          <w:tblHeader/>
        </w:trPr>
        <w:tc>
          <w:tcPr>
            <w:tcW w:w="2254" w:type="dxa"/>
          </w:tcPr>
          <w:p w14:paraId="7DCD8ED7" w14:textId="77777777" w:rsidR="000937E2" w:rsidRPr="000F5EB0" w:rsidRDefault="000937E2" w:rsidP="009E1892">
            <w:pPr>
              <w:pStyle w:val="TableHeading"/>
            </w:pPr>
            <w:r w:rsidRPr="000F5EB0">
              <w:t>Biomarker</w:t>
            </w:r>
          </w:p>
        </w:tc>
        <w:tc>
          <w:tcPr>
            <w:tcW w:w="2136" w:type="dxa"/>
          </w:tcPr>
          <w:p w14:paraId="51EDD1C1" w14:textId="77777777" w:rsidR="000937E2" w:rsidRPr="000F5EB0" w:rsidRDefault="000937E2" w:rsidP="009E1892">
            <w:pPr>
              <w:pStyle w:val="TableHeading"/>
            </w:pPr>
            <w:r w:rsidRPr="000F5EB0">
              <w:t>PBS therapy</w:t>
            </w:r>
          </w:p>
        </w:tc>
        <w:tc>
          <w:tcPr>
            <w:tcW w:w="2835" w:type="dxa"/>
          </w:tcPr>
          <w:p w14:paraId="2B94B880" w14:textId="77777777" w:rsidR="000937E2" w:rsidRPr="000F5EB0" w:rsidRDefault="000937E2" w:rsidP="009E1892">
            <w:pPr>
              <w:pStyle w:val="TableHeading"/>
            </w:pPr>
            <w:r w:rsidRPr="000F5EB0">
              <w:t>PBS code(s)</w:t>
            </w:r>
          </w:p>
        </w:tc>
        <w:tc>
          <w:tcPr>
            <w:tcW w:w="1791" w:type="dxa"/>
          </w:tcPr>
          <w:p w14:paraId="0376C2BF" w14:textId="77777777" w:rsidR="000937E2" w:rsidRPr="000F5EB0" w:rsidRDefault="000937E2" w:rsidP="009E1892">
            <w:pPr>
              <w:pStyle w:val="TableHeading"/>
            </w:pPr>
            <w:r w:rsidRPr="000F5EB0">
              <w:t>Sponsor</w:t>
            </w:r>
          </w:p>
        </w:tc>
      </w:tr>
      <w:tr w:rsidR="00707BB1" w:rsidRPr="000F5EB0" w14:paraId="10E423CF" w14:textId="77777777" w:rsidTr="002906D4">
        <w:tc>
          <w:tcPr>
            <w:tcW w:w="2254" w:type="dxa"/>
            <w:vMerge w:val="restart"/>
            <w:vAlign w:val="center"/>
          </w:tcPr>
          <w:p w14:paraId="3F0E895F" w14:textId="58DF9A6F" w:rsidR="00707BB1" w:rsidRPr="00691192" w:rsidRDefault="00707BB1" w:rsidP="009E1892">
            <w:pPr>
              <w:pStyle w:val="Tabletext"/>
            </w:pPr>
            <w:r w:rsidRPr="00500ECD">
              <w:rPr>
                <w:i/>
              </w:rPr>
              <w:t>EGFR</w:t>
            </w:r>
            <w:r w:rsidR="00691192">
              <w:t xml:space="preserve"> </w:t>
            </w:r>
            <w:r w:rsidR="00691192" w:rsidRPr="00691192">
              <w:t>activating mutation</w:t>
            </w:r>
            <w:r w:rsidR="00691192">
              <w:t xml:space="preserve"> positive</w:t>
            </w:r>
          </w:p>
        </w:tc>
        <w:tc>
          <w:tcPr>
            <w:tcW w:w="2136" w:type="dxa"/>
          </w:tcPr>
          <w:p w14:paraId="2BB8D535" w14:textId="77777777" w:rsidR="00707BB1" w:rsidRPr="000F5EB0" w:rsidRDefault="00707BB1" w:rsidP="009E1892">
            <w:pPr>
              <w:pStyle w:val="Tabletext"/>
            </w:pPr>
            <w:r w:rsidRPr="000F5EB0">
              <w:t>Erlotinib</w:t>
            </w:r>
          </w:p>
        </w:tc>
        <w:tc>
          <w:tcPr>
            <w:tcW w:w="2835" w:type="dxa"/>
          </w:tcPr>
          <w:p w14:paraId="6CD827F8" w14:textId="77777777" w:rsidR="00707BB1" w:rsidRPr="000F5EB0" w:rsidRDefault="00707BB1" w:rsidP="009E1892">
            <w:pPr>
              <w:pStyle w:val="Tabletext"/>
            </w:pPr>
            <w:r w:rsidRPr="000F5EB0">
              <w:t>10014C; 10019H; 10020J; 10025P; 10028T; 11259N; 11260P; 11263T</w:t>
            </w:r>
          </w:p>
        </w:tc>
        <w:tc>
          <w:tcPr>
            <w:tcW w:w="1791" w:type="dxa"/>
          </w:tcPr>
          <w:p w14:paraId="3B824D81" w14:textId="77777777" w:rsidR="00707BB1" w:rsidRPr="000F5EB0" w:rsidRDefault="00707BB1" w:rsidP="009E1892">
            <w:pPr>
              <w:pStyle w:val="Tabletext"/>
            </w:pPr>
            <w:r w:rsidRPr="000F5EB0">
              <w:t>Roche</w:t>
            </w:r>
          </w:p>
        </w:tc>
      </w:tr>
      <w:tr w:rsidR="00707BB1" w:rsidRPr="000F5EB0" w14:paraId="094F4F84" w14:textId="77777777" w:rsidTr="002906D4">
        <w:tc>
          <w:tcPr>
            <w:tcW w:w="2254" w:type="dxa"/>
            <w:vMerge/>
          </w:tcPr>
          <w:p w14:paraId="1B3E7CCA" w14:textId="77777777" w:rsidR="00707BB1" w:rsidRPr="000F5EB0" w:rsidRDefault="00707BB1" w:rsidP="009E1892">
            <w:pPr>
              <w:pStyle w:val="Tabletext"/>
            </w:pPr>
          </w:p>
        </w:tc>
        <w:tc>
          <w:tcPr>
            <w:tcW w:w="2136" w:type="dxa"/>
          </w:tcPr>
          <w:p w14:paraId="47461AE3" w14:textId="77777777" w:rsidR="00707BB1" w:rsidRPr="000F5EB0" w:rsidRDefault="00707BB1" w:rsidP="009E1892">
            <w:pPr>
              <w:pStyle w:val="Tabletext"/>
            </w:pPr>
            <w:r w:rsidRPr="000F5EB0">
              <w:t>Gefitinib</w:t>
            </w:r>
          </w:p>
        </w:tc>
        <w:tc>
          <w:tcPr>
            <w:tcW w:w="2835" w:type="dxa"/>
          </w:tcPr>
          <w:p w14:paraId="67825792" w14:textId="77777777" w:rsidR="00707BB1" w:rsidRPr="000F5EB0" w:rsidRDefault="00707BB1" w:rsidP="009E1892">
            <w:pPr>
              <w:pStyle w:val="Tabletext"/>
            </w:pPr>
            <w:r w:rsidRPr="000F5EB0">
              <w:t>11264W; 8769M</w:t>
            </w:r>
          </w:p>
        </w:tc>
        <w:tc>
          <w:tcPr>
            <w:tcW w:w="1791" w:type="dxa"/>
          </w:tcPr>
          <w:p w14:paraId="0E666577" w14:textId="77777777" w:rsidR="00707BB1" w:rsidRPr="000F5EB0" w:rsidRDefault="00707BB1" w:rsidP="009E1892">
            <w:pPr>
              <w:pStyle w:val="Tabletext"/>
            </w:pPr>
            <w:r w:rsidRPr="000F5EB0">
              <w:t>Astra Zeneca</w:t>
            </w:r>
          </w:p>
        </w:tc>
      </w:tr>
      <w:tr w:rsidR="00707BB1" w:rsidRPr="000F5EB0" w14:paraId="24595B59" w14:textId="77777777" w:rsidTr="002906D4">
        <w:tc>
          <w:tcPr>
            <w:tcW w:w="2254" w:type="dxa"/>
            <w:vMerge/>
          </w:tcPr>
          <w:p w14:paraId="42AA20CB" w14:textId="77777777" w:rsidR="00707BB1" w:rsidRPr="000F5EB0" w:rsidRDefault="00707BB1" w:rsidP="009E1892">
            <w:pPr>
              <w:pStyle w:val="Tabletext"/>
            </w:pPr>
          </w:p>
        </w:tc>
        <w:tc>
          <w:tcPr>
            <w:tcW w:w="2136" w:type="dxa"/>
          </w:tcPr>
          <w:p w14:paraId="13B8DB2C" w14:textId="77777777" w:rsidR="00707BB1" w:rsidRPr="000F5EB0" w:rsidRDefault="00707BB1" w:rsidP="009E1892">
            <w:pPr>
              <w:pStyle w:val="Tabletext"/>
            </w:pPr>
            <w:r w:rsidRPr="000F5EB0">
              <w:t>Afatinib</w:t>
            </w:r>
          </w:p>
        </w:tc>
        <w:tc>
          <w:tcPr>
            <w:tcW w:w="2835" w:type="dxa"/>
          </w:tcPr>
          <w:p w14:paraId="35BCEF24" w14:textId="77777777" w:rsidR="00707BB1" w:rsidRPr="000F5EB0" w:rsidRDefault="00707BB1" w:rsidP="009E1892">
            <w:pPr>
              <w:pStyle w:val="Tabletext"/>
            </w:pPr>
            <w:r w:rsidRPr="000F5EB0">
              <w:t>11329G; 11335N; 11336P; 11341X; 113147F; 11348G; 11359W</w:t>
            </w:r>
          </w:p>
        </w:tc>
        <w:tc>
          <w:tcPr>
            <w:tcW w:w="1791" w:type="dxa"/>
          </w:tcPr>
          <w:p w14:paraId="2C2F0ED9" w14:textId="77777777" w:rsidR="00707BB1" w:rsidRPr="000F5EB0" w:rsidRDefault="00707BB1" w:rsidP="009E1892">
            <w:pPr>
              <w:pStyle w:val="Tabletext"/>
            </w:pPr>
            <w:r w:rsidRPr="000F5EB0">
              <w:t>Boehringer Ingelheim</w:t>
            </w:r>
          </w:p>
        </w:tc>
      </w:tr>
      <w:tr w:rsidR="00707BB1" w:rsidRPr="000F5EB0" w14:paraId="4E1A2792" w14:textId="77777777" w:rsidTr="002906D4">
        <w:tc>
          <w:tcPr>
            <w:tcW w:w="2254" w:type="dxa"/>
            <w:vMerge/>
          </w:tcPr>
          <w:p w14:paraId="7B3AAD49" w14:textId="77777777" w:rsidR="00707BB1" w:rsidRPr="000F5EB0" w:rsidRDefault="00707BB1" w:rsidP="00707BB1">
            <w:pPr>
              <w:pStyle w:val="Tabletext"/>
            </w:pPr>
          </w:p>
        </w:tc>
        <w:tc>
          <w:tcPr>
            <w:tcW w:w="2136" w:type="dxa"/>
          </w:tcPr>
          <w:p w14:paraId="1516C3A8" w14:textId="6995133E" w:rsidR="00707BB1" w:rsidRPr="000F5EB0" w:rsidRDefault="00707BB1" w:rsidP="00707BB1">
            <w:pPr>
              <w:pStyle w:val="Tabletext"/>
            </w:pPr>
            <w:r>
              <w:t>Osimertinib (first-line)</w:t>
            </w:r>
          </w:p>
        </w:tc>
        <w:tc>
          <w:tcPr>
            <w:tcW w:w="2835" w:type="dxa"/>
          </w:tcPr>
          <w:p w14:paraId="255CBA82" w14:textId="42F3D8A3" w:rsidR="00707BB1" w:rsidRPr="000F5EB0" w:rsidRDefault="00336546" w:rsidP="00707BB1">
            <w:pPr>
              <w:pStyle w:val="Tabletext"/>
            </w:pPr>
            <w:r>
              <w:t>Recommended by PBAC</w:t>
            </w:r>
          </w:p>
        </w:tc>
        <w:tc>
          <w:tcPr>
            <w:tcW w:w="1791" w:type="dxa"/>
          </w:tcPr>
          <w:p w14:paraId="716BC2B9" w14:textId="6053E0A4" w:rsidR="00707BB1" w:rsidRPr="000F5EB0" w:rsidRDefault="00707BB1" w:rsidP="00707BB1">
            <w:pPr>
              <w:pStyle w:val="Tabletext"/>
            </w:pPr>
            <w:r>
              <w:t>Astra Zeneca</w:t>
            </w:r>
          </w:p>
        </w:tc>
      </w:tr>
      <w:tr w:rsidR="00707BB1" w:rsidRPr="000F5EB0" w14:paraId="17BEF1DD" w14:textId="77777777" w:rsidTr="002906D4">
        <w:tc>
          <w:tcPr>
            <w:tcW w:w="2254" w:type="dxa"/>
          </w:tcPr>
          <w:p w14:paraId="131227DF" w14:textId="77777777" w:rsidR="00707BB1" w:rsidRPr="000F5EB0" w:rsidRDefault="00707BB1" w:rsidP="00707BB1">
            <w:pPr>
              <w:pStyle w:val="Tabletext"/>
            </w:pPr>
            <w:r w:rsidRPr="00500ECD">
              <w:rPr>
                <w:i/>
              </w:rPr>
              <w:t>EGFR</w:t>
            </w:r>
            <w:r>
              <w:t xml:space="preserve"> T790M mutation positive after prior EGFR targeted treatment</w:t>
            </w:r>
          </w:p>
        </w:tc>
        <w:tc>
          <w:tcPr>
            <w:tcW w:w="2136" w:type="dxa"/>
          </w:tcPr>
          <w:p w14:paraId="3A9054E1" w14:textId="0E7E026C" w:rsidR="00707BB1" w:rsidRPr="000F5EB0" w:rsidRDefault="00707BB1" w:rsidP="00707BB1">
            <w:pPr>
              <w:pStyle w:val="Tabletext"/>
            </w:pPr>
            <w:r>
              <w:t>Osimertinib (second-line)</w:t>
            </w:r>
          </w:p>
        </w:tc>
        <w:tc>
          <w:tcPr>
            <w:tcW w:w="2835" w:type="dxa"/>
          </w:tcPr>
          <w:p w14:paraId="4E14FE6D" w14:textId="77777777" w:rsidR="00707BB1" w:rsidRPr="000F5EB0" w:rsidRDefault="00707BB1" w:rsidP="00707BB1">
            <w:pPr>
              <w:pStyle w:val="Tabletext"/>
            </w:pPr>
            <w:r>
              <w:t>11620N; 11622Q</w:t>
            </w:r>
          </w:p>
        </w:tc>
        <w:tc>
          <w:tcPr>
            <w:tcW w:w="1791" w:type="dxa"/>
          </w:tcPr>
          <w:p w14:paraId="16716867" w14:textId="77777777" w:rsidR="00707BB1" w:rsidRPr="000F5EB0" w:rsidRDefault="00707BB1" w:rsidP="00707BB1">
            <w:pPr>
              <w:pStyle w:val="Tabletext"/>
            </w:pPr>
            <w:r w:rsidRPr="000F5EB0">
              <w:t>Astra Zeneca</w:t>
            </w:r>
          </w:p>
        </w:tc>
      </w:tr>
      <w:tr w:rsidR="00707BB1" w:rsidRPr="000F5EB0" w14:paraId="2767E54F" w14:textId="77777777" w:rsidTr="002906D4">
        <w:tc>
          <w:tcPr>
            <w:tcW w:w="2254" w:type="dxa"/>
            <w:vMerge w:val="restart"/>
            <w:vAlign w:val="center"/>
          </w:tcPr>
          <w:p w14:paraId="135178D7" w14:textId="61A16259" w:rsidR="00707BB1" w:rsidRPr="00691192" w:rsidRDefault="00707BB1" w:rsidP="00707BB1">
            <w:pPr>
              <w:pStyle w:val="Tabletext"/>
            </w:pPr>
            <w:r w:rsidRPr="00691192">
              <w:rPr>
                <w:i/>
              </w:rPr>
              <w:t>ALK</w:t>
            </w:r>
            <w:r w:rsidR="00691192" w:rsidRPr="00691192">
              <w:t xml:space="preserve"> gene rearrangement positive</w:t>
            </w:r>
          </w:p>
        </w:tc>
        <w:tc>
          <w:tcPr>
            <w:tcW w:w="2136" w:type="dxa"/>
          </w:tcPr>
          <w:p w14:paraId="37958382" w14:textId="77777777" w:rsidR="00707BB1" w:rsidRPr="000F5EB0" w:rsidRDefault="00707BB1" w:rsidP="00707BB1">
            <w:pPr>
              <w:pStyle w:val="Tabletext"/>
            </w:pPr>
            <w:r w:rsidRPr="000F5EB0">
              <w:t>Crizotinib</w:t>
            </w:r>
          </w:p>
        </w:tc>
        <w:tc>
          <w:tcPr>
            <w:tcW w:w="2835" w:type="dxa"/>
          </w:tcPr>
          <w:p w14:paraId="7DE2DCED" w14:textId="77777777" w:rsidR="00707BB1" w:rsidRPr="000F5EB0" w:rsidRDefault="00707BB1" w:rsidP="00707BB1">
            <w:pPr>
              <w:pStyle w:val="Tabletext"/>
            </w:pPr>
            <w:r w:rsidRPr="000F5EB0">
              <w:t>10322G; 10323H</w:t>
            </w:r>
          </w:p>
        </w:tc>
        <w:tc>
          <w:tcPr>
            <w:tcW w:w="1791" w:type="dxa"/>
          </w:tcPr>
          <w:p w14:paraId="034273FA" w14:textId="77777777" w:rsidR="00707BB1" w:rsidRPr="000F5EB0" w:rsidRDefault="00707BB1" w:rsidP="00707BB1">
            <w:pPr>
              <w:pStyle w:val="Tabletext"/>
            </w:pPr>
            <w:r w:rsidRPr="000F5EB0">
              <w:t>Pfizer</w:t>
            </w:r>
          </w:p>
        </w:tc>
      </w:tr>
      <w:tr w:rsidR="00707BB1" w:rsidRPr="000F5EB0" w14:paraId="300C8596" w14:textId="77777777" w:rsidTr="002906D4">
        <w:tc>
          <w:tcPr>
            <w:tcW w:w="2254" w:type="dxa"/>
            <w:vMerge/>
          </w:tcPr>
          <w:p w14:paraId="57D4D6F9" w14:textId="77777777" w:rsidR="00707BB1" w:rsidRPr="00691192" w:rsidRDefault="00707BB1" w:rsidP="00707BB1">
            <w:pPr>
              <w:pStyle w:val="Tabletext"/>
            </w:pPr>
          </w:p>
        </w:tc>
        <w:tc>
          <w:tcPr>
            <w:tcW w:w="2136" w:type="dxa"/>
          </w:tcPr>
          <w:p w14:paraId="1B48060C" w14:textId="77777777" w:rsidR="00707BB1" w:rsidRPr="000F5EB0" w:rsidRDefault="00707BB1" w:rsidP="00707BB1">
            <w:pPr>
              <w:pStyle w:val="Tabletext"/>
            </w:pPr>
            <w:r w:rsidRPr="000F5EB0">
              <w:t>Ceritinib</w:t>
            </w:r>
          </w:p>
        </w:tc>
        <w:tc>
          <w:tcPr>
            <w:tcW w:w="2835" w:type="dxa"/>
          </w:tcPr>
          <w:p w14:paraId="351CA9F1" w14:textId="77777777" w:rsidR="00707BB1" w:rsidRPr="000F5EB0" w:rsidRDefault="00707BB1" w:rsidP="00707BB1">
            <w:pPr>
              <w:pStyle w:val="Tabletext"/>
            </w:pPr>
            <w:r w:rsidRPr="000F5EB0">
              <w:t>11056X</w:t>
            </w:r>
          </w:p>
        </w:tc>
        <w:tc>
          <w:tcPr>
            <w:tcW w:w="1791" w:type="dxa"/>
          </w:tcPr>
          <w:p w14:paraId="27B04324" w14:textId="77777777" w:rsidR="00707BB1" w:rsidRPr="000F5EB0" w:rsidRDefault="00707BB1" w:rsidP="00707BB1">
            <w:pPr>
              <w:pStyle w:val="Tabletext"/>
            </w:pPr>
            <w:r w:rsidRPr="000F5EB0">
              <w:t>Novartis</w:t>
            </w:r>
          </w:p>
        </w:tc>
      </w:tr>
      <w:tr w:rsidR="00707BB1" w:rsidRPr="000F5EB0" w14:paraId="6F06C3D9" w14:textId="77777777" w:rsidTr="002906D4">
        <w:tc>
          <w:tcPr>
            <w:tcW w:w="2254" w:type="dxa"/>
            <w:vMerge/>
          </w:tcPr>
          <w:p w14:paraId="6B6D863C" w14:textId="77777777" w:rsidR="00707BB1" w:rsidRPr="00691192" w:rsidRDefault="00707BB1" w:rsidP="00707BB1">
            <w:pPr>
              <w:pStyle w:val="Tabletext"/>
            </w:pPr>
          </w:p>
        </w:tc>
        <w:tc>
          <w:tcPr>
            <w:tcW w:w="2136" w:type="dxa"/>
          </w:tcPr>
          <w:p w14:paraId="63C39538" w14:textId="77777777" w:rsidR="00707BB1" w:rsidRPr="000F5EB0" w:rsidRDefault="00707BB1" w:rsidP="00707BB1">
            <w:pPr>
              <w:pStyle w:val="Tabletext"/>
            </w:pPr>
            <w:r w:rsidRPr="000F5EB0">
              <w:t>Alectinib</w:t>
            </w:r>
          </w:p>
        </w:tc>
        <w:tc>
          <w:tcPr>
            <w:tcW w:w="2835" w:type="dxa"/>
          </w:tcPr>
          <w:p w14:paraId="6140750F" w14:textId="77777777" w:rsidR="00707BB1" w:rsidRPr="000F5EB0" w:rsidRDefault="00707BB1" w:rsidP="00707BB1">
            <w:pPr>
              <w:pStyle w:val="Tabletext"/>
            </w:pPr>
            <w:r w:rsidRPr="000F5EB0">
              <w:t>11226W</w:t>
            </w:r>
          </w:p>
        </w:tc>
        <w:tc>
          <w:tcPr>
            <w:tcW w:w="1791" w:type="dxa"/>
          </w:tcPr>
          <w:p w14:paraId="00D7B9FD" w14:textId="77777777" w:rsidR="00707BB1" w:rsidRPr="000F5EB0" w:rsidRDefault="00707BB1" w:rsidP="00707BB1">
            <w:pPr>
              <w:pStyle w:val="Tabletext"/>
            </w:pPr>
            <w:r w:rsidRPr="000F5EB0">
              <w:t>Roche</w:t>
            </w:r>
          </w:p>
        </w:tc>
      </w:tr>
      <w:tr w:rsidR="00707BB1" w:rsidRPr="000F5EB0" w14:paraId="36C884FA" w14:textId="77777777" w:rsidTr="002906D4">
        <w:tc>
          <w:tcPr>
            <w:tcW w:w="2254" w:type="dxa"/>
            <w:vMerge/>
          </w:tcPr>
          <w:p w14:paraId="64D2BB93" w14:textId="77777777" w:rsidR="00707BB1" w:rsidRPr="00691192" w:rsidRDefault="00707BB1" w:rsidP="00707BB1">
            <w:pPr>
              <w:pStyle w:val="Tabletext"/>
            </w:pPr>
          </w:p>
        </w:tc>
        <w:tc>
          <w:tcPr>
            <w:tcW w:w="2136" w:type="dxa"/>
          </w:tcPr>
          <w:p w14:paraId="0372E500" w14:textId="4F48111D" w:rsidR="00707BB1" w:rsidRPr="000F5EB0" w:rsidRDefault="00707BB1" w:rsidP="00707BB1">
            <w:pPr>
              <w:pStyle w:val="Tabletext"/>
            </w:pPr>
            <w:r>
              <w:t>Brigatinib</w:t>
            </w:r>
          </w:p>
        </w:tc>
        <w:tc>
          <w:tcPr>
            <w:tcW w:w="2835" w:type="dxa"/>
          </w:tcPr>
          <w:p w14:paraId="69C7E85F" w14:textId="0D5B8B13" w:rsidR="00707BB1" w:rsidRPr="000F5EB0" w:rsidRDefault="00707BB1" w:rsidP="00707BB1">
            <w:pPr>
              <w:pStyle w:val="Tabletext"/>
            </w:pPr>
            <w:r>
              <w:t>11980M; 11974F; 11976H; 11984R</w:t>
            </w:r>
          </w:p>
        </w:tc>
        <w:tc>
          <w:tcPr>
            <w:tcW w:w="1791" w:type="dxa"/>
          </w:tcPr>
          <w:p w14:paraId="352A6745" w14:textId="212234F6" w:rsidR="00707BB1" w:rsidRPr="000F5EB0" w:rsidRDefault="00707BB1" w:rsidP="00707BB1">
            <w:pPr>
              <w:pStyle w:val="Tabletext"/>
            </w:pPr>
            <w:r>
              <w:t>Takeda</w:t>
            </w:r>
          </w:p>
        </w:tc>
      </w:tr>
      <w:tr w:rsidR="00707BB1" w:rsidRPr="000F5EB0" w14:paraId="2DA91ECD" w14:textId="77777777" w:rsidTr="002906D4">
        <w:tc>
          <w:tcPr>
            <w:tcW w:w="2254" w:type="dxa"/>
            <w:vMerge/>
          </w:tcPr>
          <w:p w14:paraId="12C329CE" w14:textId="77777777" w:rsidR="00707BB1" w:rsidRPr="00691192" w:rsidRDefault="00707BB1" w:rsidP="00707BB1">
            <w:pPr>
              <w:pStyle w:val="Tabletext"/>
            </w:pPr>
          </w:p>
        </w:tc>
        <w:tc>
          <w:tcPr>
            <w:tcW w:w="2136" w:type="dxa"/>
          </w:tcPr>
          <w:p w14:paraId="6427888B" w14:textId="435516CA" w:rsidR="00707BB1" w:rsidRDefault="00707BB1" w:rsidP="00707BB1">
            <w:pPr>
              <w:pStyle w:val="Tabletext"/>
            </w:pPr>
            <w:r>
              <w:t>Lorlatinib (second-line)</w:t>
            </w:r>
          </w:p>
        </w:tc>
        <w:tc>
          <w:tcPr>
            <w:tcW w:w="2835" w:type="dxa"/>
          </w:tcPr>
          <w:p w14:paraId="5BAE2BFD" w14:textId="3B5A2BFC" w:rsidR="00707BB1" w:rsidRDefault="00707BB1" w:rsidP="00707BB1">
            <w:pPr>
              <w:pStyle w:val="Tabletext"/>
            </w:pPr>
            <w:r>
              <w:t>12096P; 12091J</w:t>
            </w:r>
          </w:p>
        </w:tc>
        <w:tc>
          <w:tcPr>
            <w:tcW w:w="1791" w:type="dxa"/>
          </w:tcPr>
          <w:p w14:paraId="43DA6D8A" w14:textId="76D682DD" w:rsidR="00707BB1" w:rsidRDefault="00707BB1" w:rsidP="00707BB1">
            <w:pPr>
              <w:pStyle w:val="Tabletext"/>
            </w:pPr>
            <w:r>
              <w:t>Pfizer</w:t>
            </w:r>
          </w:p>
        </w:tc>
      </w:tr>
      <w:tr w:rsidR="00707BB1" w:rsidRPr="000F5EB0" w14:paraId="582763EC" w14:textId="77777777" w:rsidTr="002906D4">
        <w:tc>
          <w:tcPr>
            <w:tcW w:w="2254" w:type="dxa"/>
            <w:vMerge w:val="restart"/>
          </w:tcPr>
          <w:p w14:paraId="71944AB9" w14:textId="6B48AE6C" w:rsidR="00707BB1" w:rsidRPr="00691192" w:rsidRDefault="00707BB1" w:rsidP="00707BB1">
            <w:pPr>
              <w:pStyle w:val="Tabletext"/>
            </w:pPr>
            <w:r w:rsidRPr="00691192">
              <w:rPr>
                <w:i/>
              </w:rPr>
              <w:t>ROS1</w:t>
            </w:r>
            <w:r w:rsidR="00691192" w:rsidRPr="00691192">
              <w:t xml:space="preserve"> gene rearrangement positive</w:t>
            </w:r>
          </w:p>
        </w:tc>
        <w:tc>
          <w:tcPr>
            <w:tcW w:w="2136" w:type="dxa"/>
          </w:tcPr>
          <w:p w14:paraId="6103A05A" w14:textId="77777777" w:rsidR="00707BB1" w:rsidRPr="000F5EB0" w:rsidRDefault="00707BB1" w:rsidP="00707BB1">
            <w:pPr>
              <w:pStyle w:val="Tabletext"/>
            </w:pPr>
            <w:r>
              <w:t>Crizotinib</w:t>
            </w:r>
          </w:p>
        </w:tc>
        <w:tc>
          <w:tcPr>
            <w:tcW w:w="2835" w:type="dxa"/>
          </w:tcPr>
          <w:p w14:paraId="632B945B" w14:textId="77777777" w:rsidR="00707BB1" w:rsidRPr="000F5EB0" w:rsidRDefault="00707BB1" w:rsidP="00707BB1">
            <w:pPr>
              <w:pStyle w:val="Tabletext"/>
            </w:pPr>
            <w:r>
              <w:t>11589Y; 11594F</w:t>
            </w:r>
          </w:p>
        </w:tc>
        <w:tc>
          <w:tcPr>
            <w:tcW w:w="1791" w:type="dxa"/>
          </w:tcPr>
          <w:p w14:paraId="19E743F9" w14:textId="77777777" w:rsidR="00707BB1" w:rsidRPr="000F5EB0" w:rsidRDefault="00707BB1" w:rsidP="00707BB1">
            <w:pPr>
              <w:pStyle w:val="Tabletext"/>
            </w:pPr>
            <w:r w:rsidRPr="000F5EB0">
              <w:t>Pfizer</w:t>
            </w:r>
          </w:p>
        </w:tc>
      </w:tr>
      <w:tr w:rsidR="00707BB1" w:rsidRPr="000F5EB0" w14:paraId="3B92A2E8" w14:textId="77777777" w:rsidTr="002906D4">
        <w:tc>
          <w:tcPr>
            <w:tcW w:w="2254" w:type="dxa"/>
            <w:vMerge/>
          </w:tcPr>
          <w:p w14:paraId="495A0B3D" w14:textId="77777777" w:rsidR="00707BB1" w:rsidRDefault="00707BB1" w:rsidP="00707BB1">
            <w:pPr>
              <w:pStyle w:val="Tabletext"/>
            </w:pPr>
          </w:p>
        </w:tc>
        <w:tc>
          <w:tcPr>
            <w:tcW w:w="2136" w:type="dxa"/>
          </w:tcPr>
          <w:p w14:paraId="1E6DED91" w14:textId="6CDE8439" w:rsidR="00707BB1" w:rsidRDefault="00707BB1" w:rsidP="00707BB1">
            <w:pPr>
              <w:pStyle w:val="Tabletext"/>
            </w:pPr>
            <w:r w:rsidRPr="000F5EB0">
              <w:t>Entrectinib</w:t>
            </w:r>
            <w:r>
              <w:rPr>
                <w:vertAlign w:val="superscript"/>
              </w:rPr>
              <w:t>a</w:t>
            </w:r>
          </w:p>
        </w:tc>
        <w:tc>
          <w:tcPr>
            <w:tcW w:w="2835" w:type="dxa"/>
          </w:tcPr>
          <w:p w14:paraId="7A3F954F" w14:textId="1CE32077" w:rsidR="00707BB1" w:rsidRDefault="00707BB1" w:rsidP="00707BB1">
            <w:pPr>
              <w:pStyle w:val="Tabletext"/>
            </w:pPr>
            <w:r>
              <w:t>12092K</w:t>
            </w:r>
          </w:p>
        </w:tc>
        <w:tc>
          <w:tcPr>
            <w:tcW w:w="1791" w:type="dxa"/>
          </w:tcPr>
          <w:p w14:paraId="744FFC65" w14:textId="11ABFFB8" w:rsidR="00707BB1" w:rsidRPr="000F5EB0" w:rsidRDefault="00707BB1" w:rsidP="00707BB1">
            <w:pPr>
              <w:pStyle w:val="Tabletext"/>
            </w:pPr>
            <w:r w:rsidRPr="000F5EB0">
              <w:t>Roche</w:t>
            </w:r>
          </w:p>
        </w:tc>
      </w:tr>
    </w:tbl>
    <w:p w14:paraId="37290DE8" w14:textId="77777777" w:rsidR="007C7AB1" w:rsidRPr="00EC499B" w:rsidRDefault="007C7AB1" w:rsidP="007C7AB1">
      <w:pPr>
        <w:spacing w:after="60"/>
        <w:rPr>
          <w:rFonts w:ascii="Arial Narrow" w:hAnsi="Arial Narrow"/>
          <w:i/>
          <w:sz w:val="18"/>
          <w:szCs w:val="18"/>
        </w:rPr>
      </w:pPr>
      <w:r w:rsidRPr="00EC499B">
        <w:rPr>
          <w:rFonts w:ascii="Arial Narrow" w:hAnsi="Arial Narrow"/>
          <w:i/>
          <w:sz w:val="18"/>
          <w:szCs w:val="18"/>
        </w:rPr>
        <w:t xml:space="preserve">ALK = </w:t>
      </w:r>
      <w:r w:rsidRPr="005100B4">
        <w:rPr>
          <w:rFonts w:ascii="Arial Narrow" w:hAnsi="Arial Narrow"/>
          <w:sz w:val="18"/>
          <w:szCs w:val="18"/>
        </w:rPr>
        <w:t>anaplastic lymphoma kinase gene</w:t>
      </w:r>
      <w:r w:rsidRPr="00EC499B">
        <w:rPr>
          <w:rFonts w:ascii="Arial Narrow" w:hAnsi="Arial Narrow"/>
          <w:i/>
          <w:sz w:val="18"/>
          <w:szCs w:val="18"/>
        </w:rPr>
        <w:t xml:space="preserve">; </w:t>
      </w:r>
      <w:r w:rsidRPr="007F786A">
        <w:rPr>
          <w:rFonts w:ascii="Arial Narrow" w:hAnsi="Arial Narrow"/>
          <w:i/>
          <w:sz w:val="18"/>
          <w:szCs w:val="18"/>
        </w:rPr>
        <w:t>EGFR</w:t>
      </w:r>
      <w:r w:rsidRPr="00EC499B">
        <w:rPr>
          <w:rFonts w:ascii="Arial Narrow" w:hAnsi="Arial Narrow"/>
          <w:i/>
          <w:sz w:val="18"/>
          <w:szCs w:val="18"/>
        </w:rPr>
        <w:t xml:space="preserve"> = </w:t>
      </w:r>
      <w:r w:rsidRPr="005100B4">
        <w:rPr>
          <w:rFonts w:ascii="Arial Narrow" w:hAnsi="Arial Narrow"/>
          <w:sz w:val="18"/>
          <w:szCs w:val="18"/>
        </w:rPr>
        <w:t>epidermal growth factor receptor</w:t>
      </w:r>
      <w:r w:rsidRPr="00EC499B">
        <w:rPr>
          <w:rFonts w:ascii="Arial Narrow" w:hAnsi="Arial Narrow"/>
          <w:i/>
          <w:sz w:val="18"/>
          <w:szCs w:val="18"/>
        </w:rPr>
        <w:t xml:space="preserve"> </w:t>
      </w:r>
      <w:r w:rsidRPr="005100B4">
        <w:rPr>
          <w:rFonts w:ascii="Arial Narrow" w:hAnsi="Arial Narrow"/>
          <w:sz w:val="18"/>
          <w:szCs w:val="18"/>
        </w:rPr>
        <w:t>gene</w:t>
      </w:r>
      <w:r w:rsidRPr="00EC499B">
        <w:rPr>
          <w:rFonts w:ascii="Arial Narrow" w:hAnsi="Arial Narrow"/>
          <w:i/>
          <w:sz w:val="18"/>
          <w:szCs w:val="18"/>
        </w:rPr>
        <w:t xml:space="preserve">; ROS1 = </w:t>
      </w:r>
      <w:r w:rsidRPr="005100B4">
        <w:rPr>
          <w:rFonts w:ascii="Arial Narrow" w:hAnsi="Arial Narrow"/>
          <w:sz w:val="18"/>
          <w:szCs w:val="18"/>
        </w:rPr>
        <w:t>ROS1 receptor tyrosine kinase</w:t>
      </w:r>
      <w:r w:rsidRPr="00EC499B">
        <w:rPr>
          <w:rFonts w:ascii="Arial Narrow" w:hAnsi="Arial Narrow"/>
          <w:i/>
          <w:sz w:val="18"/>
          <w:szCs w:val="18"/>
        </w:rPr>
        <w:t xml:space="preserve"> </w:t>
      </w:r>
      <w:r w:rsidRPr="005100B4">
        <w:rPr>
          <w:rFonts w:ascii="Arial Narrow" w:hAnsi="Arial Narrow"/>
          <w:sz w:val="18"/>
          <w:szCs w:val="18"/>
        </w:rPr>
        <w:t>gene</w:t>
      </w:r>
    </w:p>
    <w:p w14:paraId="6ECB06B7" w14:textId="4A88C051" w:rsidR="000937E2" w:rsidRDefault="006A296A" w:rsidP="00CE3366">
      <w:pPr>
        <w:pStyle w:val="Tablenotes0"/>
        <w:spacing w:after="240"/>
      </w:pPr>
      <w:r>
        <w:t>Source: MSAC 1634 application form page 5</w:t>
      </w:r>
      <w:r w:rsidR="001C2ECF">
        <w:t xml:space="preserve"> (updated with recent PBAC listings)</w:t>
      </w:r>
    </w:p>
    <w:p w14:paraId="0616B944" w14:textId="6B58DA3A" w:rsidR="001C2ECF" w:rsidRDefault="001C2ECF" w:rsidP="00CE3366">
      <w:pPr>
        <w:spacing w:after="240"/>
        <w:rPr>
          <w:rFonts w:cs="Arial"/>
        </w:rPr>
      </w:pPr>
      <w:r>
        <w:rPr>
          <w:rFonts w:cs="Arial"/>
        </w:rPr>
        <w:t>Currently, the PBS</w:t>
      </w:r>
      <w:r w:rsidR="00B76680">
        <w:rPr>
          <w:rFonts w:cs="Arial"/>
        </w:rPr>
        <w:t xml:space="preserve"> </w:t>
      </w:r>
      <w:r>
        <w:rPr>
          <w:rFonts w:cs="Arial"/>
        </w:rPr>
        <w:t xml:space="preserve">restrictions </w:t>
      </w:r>
      <w:r w:rsidR="00EF6EE9">
        <w:rPr>
          <w:rFonts w:cs="Arial"/>
        </w:rPr>
        <w:t xml:space="preserve">for </w:t>
      </w:r>
      <w:r w:rsidR="001C33DB">
        <w:rPr>
          <w:rFonts w:cs="Arial"/>
        </w:rPr>
        <w:t xml:space="preserve">most of </w:t>
      </w:r>
      <w:r w:rsidR="00EF6EE9">
        <w:rPr>
          <w:rFonts w:cs="Arial"/>
        </w:rPr>
        <w:t xml:space="preserve">the therapies targeting </w:t>
      </w:r>
      <w:r w:rsidR="00EF6EE9" w:rsidRPr="00F57034">
        <w:rPr>
          <w:rFonts w:cs="Arial"/>
          <w:i/>
        </w:rPr>
        <w:t>ALK</w:t>
      </w:r>
      <w:r w:rsidR="00EF6EE9">
        <w:rPr>
          <w:rFonts w:cs="Arial"/>
        </w:rPr>
        <w:t xml:space="preserve"> or </w:t>
      </w:r>
      <w:r w:rsidR="00EF6EE9" w:rsidRPr="00F57034">
        <w:rPr>
          <w:rFonts w:cs="Arial"/>
          <w:i/>
        </w:rPr>
        <w:t>ROS1</w:t>
      </w:r>
      <w:r w:rsidR="00EF6EE9">
        <w:rPr>
          <w:rFonts w:cs="Arial"/>
        </w:rPr>
        <w:t xml:space="preserve"> </w:t>
      </w:r>
      <w:r w:rsidR="00D66438">
        <w:rPr>
          <w:rFonts w:cs="Arial"/>
        </w:rPr>
        <w:t xml:space="preserve">gene </w:t>
      </w:r>
      <w:r w:rsidR="00EF6EE9">
        <w:rPr>
          <w:rFonts w:cs="Arial"/>
        </w:rPr>
        <w:t xml:space="preserve">rearrangements </w:t>
      </w:r>
      <w:r w:rsidR="001C33DB">
        <w:rPr>
          <w:rFonts w:cs="Arial"/>
        </w:rPr>
        <w:t xml:space="preserve">(all except </w:t>
      </w:r>
      <w:r w:rsidR="00925073">
        <w:rPr>
          <w:rFonts w:cs="Arial"/>
        </w:rPr>
        <w:t xml:space="preserve">second-line </w:t>
      </w:r>
      <w:r w:rsidR="001C33DB">
        <w:rPr>
          <w:rFonts w:cs="Arial"/>
        </w:rPr>
        <w:t xml:space="preserve">lorlatinib) </w:t>
      </w:r>
      <w:r w:rsidR="00287C6F">
        <w:rPr>
          <w:rFonts w:cs="Arial"/>
        </w:rPr>
        <w:t xml:space="preserve">specify </w:t>
      </w:r>
      <w:r>
        <w:rPr>
          <w:rFonts w:cs="Arial"/>
        </w:rPr>
        <w:t xml:space="preserve">the method of determining the variants in order for the patient to be eligible for the therapeutics (i.e. patients must have evidence of an </w:t>
      </w:r>
      <w:r w:rsidRPr="00F57034">
        <w:rPr>
          <w:rFonts w:cs="Arial"/>
          <w:i/>
        </w:rPr>
        <w:t>ALK</w:t>
      </w:r>
      <w:r>
        <w:rPr>
          <w:rFonts w:cs="Arial"/>
        </w:rPr>
        <w:t xml:space="preserve"> gene rearrangement </w:t>
      </w:r>
      <w:r w:rsidR="00EF6EE9">
        <w:rPr>
          <w:rFonts w:cs="Arial"/>
        </w:rPr>
        <w:t xml:space="preserve">or </w:t>
      </w:r>
      <w:r w:rsidR="00EF6EE9" w:rsidRPr="00F57034">
        <w:rPr>
          <w:rFonts w:cs="Arial"/>
          <w:i/>
        </w:rPr>
        <w:t>ROS1</w:t>
      </w:r>
      <w:r w:rsidR="00EF6EE9">
        <w:rPr>
          <w:rFonts w:cs="Arial"/>
        </w:rPr>
        <w:t xml:space="preserve"> gene rearrangement </w:t>
      </w:r>
      <w:r>
        <w:rPr>
          <w:rFonts w:cs="Arial"/>
        </w:rPr>
        <w:t xml:space="preserve">in tumour material, defined as 15% (or greater) positive cells by fluorescence </w:t>
      </w:r>
      <w:r w:rsidRPr="004D0CBD">
        <w:rPr>
          <w:rFonts w:cs="Arial"/>
          <w:i/>
        </w:rPr>
        <w:t>in situ</w:t>
      </w:r>
      <w:r>
        <w:rPr>
          <w:rFonts w:cs="Arial"/>
        </w:rPr>
        <w:t xml:space="preserve"> hybridisation (FISH) testing</w:t>
      </w:r>
      <w:r w:rsidR="00EF6EE9">
        <w:rPr>
          <w:rFonts w:cs="Arial"/>
        </w:rPr>
        <w:t>)</w:t>
      </w:r>
      <w:r>
        <w:rPr>
          <w:rFonts w:cs="Arial"/>
        </w:rPr>
        <w:t xml:space="preserve">. If the proposed MBS item for CGP is listed on the MBS, revisions to the </w:t>
      </w:r>
      <w:r w:rsidR="001C33DB">
        <w:rPr>
          <w:rFonts w:cs="Arial"/>
        </w:rPr>
        <w:t>restrictions</w:t>
      </w:r>
      <w:r>
        <w:rPr>
          <w:rFonts w:cs="Arial"/>
        </w:rPr>
        <w:t xml:space="preserve"> listed on the PBS would be required</w:t>
      </w:r>
      <w:r w:rsidR="00EF6EE9">
        <w:rPr>
          <w:rFonts w:cs="Arial"/>
        </w:rPr>
        <w:t xml:space="preserve"> to allow for either FISH or NGS</w:t>
      </w:r>
      <w:r w:rsidR="001C33DB">
        <w:rPr>
          <w:rFonts w:cs="Arial"/>
        </w:rPr>
        <w:t xml:space="preserve"> in the criteria for crizotinib, ceritin</w:t>
      </w:r>
      <w:r w:rsidR="00500ECD">
        <w:rPr>
          <w:rFonts w:cs="Arial"/>
        </w:rPr>
        <w:t>ib, alectinib, and entrectinib.</w:t>
      </w:r>
    </w:p>
    <w:p w14:paraId="6934D2F2" w14:textId="2861A002" w:rsidR="009B1586" w:rsidRPr="00A523D3" w:rsidRDefault="0096205F" w:rsidP="00691192">
      <w:pPr>
        <w:rPr>
          <w:rFonts w:cs="Arial"/>
        </w:rPr>
      </w:pPr>
      <w:r>
        <w:rPr>
          <w:rFonts w:cs="Arial"/>
        </w:rPr>
        <w:t xml:space="preserve">Many of the commercially available NGS assays are </w:t>
      </w:r>
      <w:r w:rsidR="00287C6F">
        <w:rPr>
          <w:rFonts w:cs="Arial"/>
        </w:rPr>
        <w:t xml:space="preserve">also </w:t>
      </w:r>
      <w:r>
        <w:rPr>
          <w:rFonts w:cs="Arial"/>
        </w:rPr>
        <w:t xml:space="preserve">able to detect biomarkers such as </w:t>
      </w:r>
      <w:r w:rsidRPr="00F57034">
        <w:rPr>
          <w:rFonts w:cs="Arial"/>
          <w:i/>
        </w:rPr>
        <w:t>BRAF</w:t>
      </w:r>
      <w:r>
        <w:rPr>
          <w:rFonts w:cs="Arial"/>
        </w:rPr>
        <w:t xml:space="preserve">, </w:t>
      </w:r>
      <w:r w:rsidRPr="00F57034">
        <w:rPr>
          <w:rFonts w:cs="Arial"/>
          <w:i/>
        </w:rPr>
        <w:t>RET</w:t>
      </w:r>
      <w:r>
        <w:rPr>
          <w:rFonts w:cs="Arial"/>
        </w:rPr>
        <w:t xml:space="preserve">, </w:t>
      </w:r>
      <w:r w:rsidRPr="00F57034">
        <w:rPr>
          <w:rFonts w:cs="Arial"/>
          <w:i/>
        </w:rPr>
        <w:t>NTRK</w:t>
      </w:r>
      <w:r>
        <w:rPr>
          <w:rFonts w:cs="Arial"/>
        </w:rPr>
        <w:t xml:space="preserve"> </w:t>
      </w:r>
      <w:r w:rsidRPr="00281BBA">
        <w:rPr>
          <w:rFonts w:cs="Arial"/>
        </w:rPr>
        <w:t xml:space="preserve">and </w:t>
      </w:r>
      <w:r w:rsidRPr="00F57034">
        <w:rPr>
          <w:rFonts w:cs="Arial"/>
          <w:i/>
        </w:rPr>
        <w:t>MET</w:t>
      </w:r>
      <w:r w:rsidRPr="00281BBA">
        <w:rPr>
          <w:rFonts w:cs="Arial"/>
        </w:rPr>
        <w:t xml:space="preserve"> using the same tumour tissue and at the same time as</w:t>
      </w:r>
      <w:r w:rsidR="00691192">
        <w:rPr>
          <w:rFonts w:cs="Arial"/>
        </w:rPr>
        <w:t xml:space="preserve"> relevant</w:t>
      </w:r>
      <w:r w:rsidRPr="00281BBA">
        <w:rPr>
          <w:rFonts w:cs="Arial"/>
        </w:rPr>
        <w:t xml:space="preserve"> </w:t>
      </w:r>
      <w:r w:rsidRPr="00F57034">
        <w:rPr>
          <w:rFonts w:cs="Arial"/>
          <w:i/>
        </w:rPr>
        <w:t>EGFR</w:t>
      </w:r>
      <w:r w:rsidRPr="00281BBA">
        <w:rPr>
          <w:rFonts w:cs="Arial"/>
        </w:rPr>
        <w:t xml:space="preserve">, </w:t>
      </w:r>
      <w:r w:rsidRPr="00F57034">
        <w:rPr>
          <w:rFonts w:cs="Arial"/>
          <w:i/>
        </w:rPr>
        <w:t>ALK</w:t>
      </w:r>
      <w:r w:rsidRPr="00281BBA">
        <w:rPr>
          <w:rFonts w:cs="Arial"/>
        </w:rPr>
        <w:t xml:space="preserve"> and </w:t>
      </w:r>
      <w:r w:rsidRPr="00F57034">
        <w:rPr>
          <w:rFonts w:cs="Arial"/>
          <w:i/>
        </w:rPr>
        <w:t>ROS1</w:t>
      </w:r>
      <w:r w:rsidRPr="00281BBA">
        <w:rPr>
          <w:rFonts w:cs="Arial"/>
        </w:rPr>
        <w:t xml:space="preserve"> alterations. The proposed MBS item</w:t>
      </w:r>
      <w:r w:rsidR="00605CEA" w:rsidRPr="00281BBA">
        <w:rPr>
          <w:rFonts w:cs="Arial"/>
        </w:rPr>
        <w:t xml:space="preserve"> </w:t>
      </w:r>
      <w:r w:rsidR="00281BBA" w:rsidRPr="00281BBA">
        <w:rPr>
          <w:rFonts w:cs="Arial"/>
        </w:rPr>
        <w:t xml:space="preserve">descriptor </w:t>
      </w:r>
      <w:r w:rsidR="00287C6F">
        <w:rPr>
          <w:rFonts w:cs="Arial"/>
        </w:rPr>
        <w:t>nominates</w:t>
      </w:r>
      <w:r w:rsidR="00287C6F" w:rsidRPr="00281BBA">
        <w:rPr>
          <w:rFonts w:cs="Arial"/>
        </w:rPr>
        <w:t xml:space="preserve"> </w:t>
      </w:r>
      <w:r w:rsidR="00605CEA" w:rsidRPr="00281BBA">
        <w:rPr>
          <w:rFonts w:cs="Arial"/>
        </w:rPr>
        <w:t xml:space="preserve">the biomarkers </w:t>
      </w:r>
      <w:r w:rsidR="00281BBA" w:rsidRPr="00281BBA">
        <w:rPr>
          <w:rFonts w:cs="Arial"/>
        </w:rPr>
        <w:t>to be reported on, but it is expected that only minor changes w</w:t>
      </w:r>
      <w:r w:rsidR="00691192">
        <w:rPr>
          <w:rFonts w:cs="Arial"/>
        </w:rPr>
        <w:t>ould</w:t>
      </w:r>
      <w:r w:rsidR="00281BBA" w:rsidRPr="00281BBA">
        <w:rPr>
          <w:rFonts w:cs="Arial"/>
        </w:rPr>
        <w:t xml:space="preserve"> be required to amend the descriptor for further biomarkers and </w:t>
      </w:r>
      <w:r w:rsidRPr="00281BBA">
        <w:rPr>
          <w:rFonts w:cs="Arial"/>
        </w:rPr>
        <w:t>targeted therapies under clinical development</w:t>
      </w:r>
      <w:r w:rsidR="00336546">
        <w:rPr>
          <w:rFonts w:cs="Arial"/>
        </w:rPr>
        <w:t>.</w:t>
      </w:r>
    </w:p>
    <w:p w14:paraId="26B5C986" w14:textId="68944EB2" w:rsidR="00C358EC" w:rsidRPr="00632D03" w:rsidRDefault="00C358EC" w:rsidP="00870120">
      <w:pPr>
        <w:rPr>
          <w:i/>
        </w:rPr>
      </w:pPr>
      <w:r w:rsidRPr="00632D03">
        <w:rPr>
          <w:i/>
        </w:rPr>
        <w:t>PASC noted that the applicant</w:t>
      </w:r>
      <w:r w:rsidR="00E65C96" w:rsidRPr="00632D03">
        <w:rPr>
          <w:i/>
        </w:rPr>
        <w:t>s</w:t>
      </w:r>
      <w:r w:rsidRPr="00632D03">
        <w:rPr>
          <w:i/>
        </w:rPr>
        <w:t xml:space="preserve"> foreshadowed that additional biomarkers to be reported on in the near future </w:t>
      </w:r>
      <w:r w:rsidR="00896D1D">
        <w:rPr>
          <w:i/>
        </w:rPr>
        <w:t xml:space="preserve">under the requested MBS item </w:t>
      </w:r>
      <w:r w:rsidRPr="00632D03">
        <w:rPr>
          <w:i/>
        </w:rPr>
        <w:t xml:space="preserve">could include MET exon 14 skipping alterations, and NTRK1, NTRK2, NTRK3 and KRAS G12C variants. PASC advised that, for </w:t>
      </w:r>
      <w:r w:rsidR="00B320C1" w:rsidRPr="00632D03">
        <w:rPr>
          <w:i/>
        </w:rPr>
        <w:t xml:space="preserve">test </w:t>
      </w:r>
      <w:r w:rsidRPr="00632D03">
        <w:rPr>
          <w:i/>
        </w:rPr>
        <w:t>reporting purposes, the evidentiary standard tests in the trials of the related medicines should be used to identify the specific biomarkers in each case.</w:t>
      </w:r>
    </w:p>
    <w:p w14:paraId="0CD34A0D" w14:textId="7527DDEB" w:rsidR="00353E70" w:rsidRPr="00353E70" w:rsidRDefault="0099330E" w:rsidP="00870120">
      <w:r>
        <w:t>Appropriate reimbursement for CGP of</w:t>
      </w:r>
      <w:r w:rsidR="00353E70" w:rsidRPr="00353E70">
        <w:t xml:space="preserve"> patients with NSCLC is not currently listed on the MBS, although </w:t>
      </w:r>
      <w:r>
        <w:t xml:space="preserve">the applicants understand that some small NGS panels are routinely used in clinical practice and claimed under the single gene MBS items (e.g. MBS item 73337 for </w:t>
      </w:r>
      <w:r w:rsidRPr="00F57034">
        <w:rPr>
          <w:i/>
        </w:rPr>
        <w:t>EGFR</w:t>
      </w:r>
      <w:r>
        <w:t xml:space="preserve"> </w:t>
      </w:r>
      <w:r w:rsidR="00246617">
        <w:t>variant</w:t>
      </w:r>
      <w:r w:rsidR="00647D53">
        <w:t xml:space="preserve"> </w:t>
      </w:r>
      <w:r>
        <w:t>testing)</w:t>
      </w:r>
      <w:r w:rsidR="00353E70">
        <w:t>.</w:t>
      </w:r>
    </w:p>
    <w:p w14:paraId="444B8B3B" w14:textId="3BC1B229" w:rsidR="00353E70" w:rsidRDefault="00353E70" w:rsidP="00870120">
      <w:r w:rsidRPr="00353E70">
        <w:lastRenderedPageBreak/>
        <w:t xml:space="preserve">Some lung cancer patients </w:t>
      </w:r>
      <w:r w:rsidR="00853C09">
        <w:t>would currently</w:t>
      </w:r>
      <w:r w:rsidRPr="00353E70">
        <w:t xml:space="preserve"> be having NGS analysis of their tumour </w:t>
      </w:r>
      <w:r w:rsidR="00853C09">
        <w:t xml:space="preserve">in a research setting, </w:t>
      </w:r>
      <w:r w:rsidRPr="00353E70">
        <w:t>under the Australian Genomics Lung Cancer Flagship (using whole exome sequencing and whole genome sequencing)</w:t>
      </w:r>
      <w:r w:rsidR="00E46F8B" w:rsidRPr="00E46F8B">
        <w:t xml:space="preserve"> </w:t>
      </w:r>
      <w:r w:rsidR="006F36FA">
        <w:fldChar w:fldCharType="begin"/>
      </w:r>
      <w:r w:rsidR="006F36FA">
        <w:instrText xml:space="preserve"> ADDIN EN.CITE &lt;EndNote&gt;&lt;Cite ExcludeYear="1"&gt;&lt;Author&gt;Australian Genomics Health Alliance&lt;/Author&gt;&lt;RecNum&gt;5&lt;/RecNum&gt;&lt;DisplayText&gt;(Australian Genomics Health Alliance)&lt;/DisplayText&gt;&lt;record&gt;&lt;rec-number&gt;5&lt;/rec-number&gt;&lt;foreign-keys&gt;&lt;key app="EN" db-id="pdttedtfkzdwabesftmp9z9bwz2ps9zs5tx2" timestamp="1604274815"&gt;5&lt;/key&gt;&lt;/foreign-keys&gt;&lt;ref-type name="Web Page"&gt;12&lt;/ref-type&gt;&lt;contributors&gt;&lt;authors&gt;&lt;author&gt;Australian Genomics Health Alliance,&lt;/author&gt;&lt;/authors&gt;&lt;/contributors&gt;&lt;titles&gt;&lt;/titles&gt;&lt;volume&gt;2020&lt;/volume&gt;&lt;number&gt;2nd November&lt;/number&gt;&lt;dates&gt;&lt;/dates&gt;&lt;urls&gt;&lt;related-urls&gt;&lt;url&gt;https://www.australiangenomics.org.au/our-research/disease-flagships/cancer-flagships/&lt;/url&gt;&lt;/related-urls&gt;&lt;/urls&gt;&lt;/record&gt;&lt;/Cite&gt;&lt;/EndNote&gt;</w:instrText>
      </w:r>
      <w:r w:rsidR="006F36FA">
        <w:fldChar w:fldCharType="separate"/>
      </w:r>
      <w:r w:rsidR="006F36FA">
        <w:rPr>
          <w:noProof/>
        </w:rPr>
        <w:t>(Australian Genomics Health Alliance)</w:t>
      </w:r>
      <w:r w:rsidR="006F36FA">
        <w:fldChar w:fldCharType="end"/>
      </w:r>
      <w:r w:rsidR="00E46F8B">
        <w:t>.</w:t>
      </w:r>
    </w:p>
    <w:p w14:paraId="5124E65D" w14:textId="1CE0602F" w:rsidR="00D8387E" w:rsidRDefault="00D8387E" w:rsidP="00870120">
      <w:r>
        <w:t>The current turnaround time for CGP using a NGS assay between receipt of a patient tumour specimen at the pathology laboratory and availability of results is believed to be 10-12 days, although the applicants acknowledge that the opt</w:t>
      </w:r>
      <w:r w:rsidR="00500ECD">
        <w:t>imal turnaround time is 5 days.</w:t>
      </w:r>
    </w:p>
    <w:p w14:paraId="221FE51E" w14:textId="268D01C2" w:rsidR="00340ACD" w:rsidRDefault="008B1BAA" w:rsidP="00870120">
      <w:r>
        <w:t xml:space="preserve">Pathologist advice provided during the development of MSAC </w:t>
      </w:r>
      <w:r w:rsidR="00287C6F">
        <w:t xml:space="preserve">application </w:t>
      </w:r>
      <w:r>
        <w:t>1495 suggested that the proportion of samples required to be referred to another laboratory for CGP using an NGS would be higher than with the use of the comparator tests (which mos</w:t>
      </w:r>
      <w:r w:rsidR="00AB425B">
        <w:t xml:space="preserve">t laboratories can perform). An </w:t>
      </w:r>
      <w:r w:rsidR="00AB425B" w:rsidRPr="00AD48AA">
        <w:t>additional specimen re</w:t>
      </w:r>
      <w:r w:rsidR="002356FA" w:rsidRPr="00AD48AA">
        <w:t>triev</w:t>
      </w:r>
      <w:r w:rsidR="00AB425B" w:rsidRPr="00AD48AA">
        <w:t>al fee (MBS item 73940</w:t>
      </w:r>
      <w:r w:rsidR="00CE3366" w:rsidRPr="00AD48AA">
        <w:t>,</w:t>
      </w:r>
      <w:r w:rsidR="00AB425B" w:rsidRPr="00AD48AA">
        <w:t xml:space="preserve"> $10.25) would therefore be require</w:t>
      </w:r>
      <w:r w:rsidR="00500ECD" w:rsidRPr="00AD48AA">
        <w:t>d for a proportion of patients.</w:t>
      </w:r>
    </w:p>
    <w:p w14:paraId="55056DA2" w14:textId="1CE33CA6" w:rsidR="00594B35" w:rsidRPr="00632D03" w:rsidRDefault="00594B35" w:rsidP="00E46AEE">
      <w:pPr>
        <w:rPr>
          <w:i/>
        </w:rPr>
      </w:pPr>
      <w:r w:rsidRPr="00632D03">
        <w:rPr>
          <w:i/>
        </w:rPr>
        <w:t xml:space="preserve">PASC </w:t>
      </w:r>
      <w:r w:rsidR="00632D03">
        <w:rPr>
          <w:i/>
        </w:rPr>
        <w:t xml:space="preserve">considered </w:t>
      </w:r>
      <w:r w:rsidRPr="00632D03">
        <w:rPr>
          <w:i/>
        </w:rPr>
        <w:t xml:space="preserve">that equity of access to the </w:t>
      </w:r>
      <w:r w:rsidR="00E80442" w:rsidRPr="00632D03">
        <w:rPr>
          <w:i/>
        </w:rPr>
        <w:t xml:space="preserve">requested </w:t>
      </w:r>
      <w:r w:rsidRPr="00632D03">
        <w:rPr>
          <w:i/>
        </w:rPr>
        <w:t xml:space="preserve">testing and </w:t>
      </w:r>
      <w:r w:rsidR="00E80442" w:rsidRPr="00632D03">
        <w:rPr>
          <w:i/>
        </w:rPr>
        <w:t xml:space="preserve">subsequent </w:t>
      </w:r>
      <w:r w:rsidRPr="00632D03">
        <w:rPr>
          <w:i/>
        </w:rPr>
        <w:t xml:space="preserve">treatment should not </w:t>
      </w:r>
      <w:r w:rsidR="009D63C4" w:rsidRPr="00632D03">
        <w:rPr>
          <w:i/>
        </w:rPr>
        <w:t xml:space="preserve">be </w:t>
      </w:r>
      <w:r w:rsidRPr="00632D03">
        <w:rPr>
          <w:i/>
        </w:rPr>
        <w:t xml:space="preserve">a </w:t>
      </w:r>
      <w:r w:rsidR="00E80442" w:rsidRPr="00632D03">
        <w:rPr>
          <w:i/>
        </w:rPr>
        <w:t xml:space="preserve">particular </w:t>
      </w:r>
      <w:r w:rsidRPr="00632D03">
        <w:rPr>
          <w:i/>
        </w:rPr>
        <w:t>concern.</w:t>
      </w:r>
    </w:p>
    <w:p w14:paraId="0A5FF878" w14:textId="44DD6018" w:rsidR="00914BD8" w:rsidRPr="00763FAA" w:rsidRDefault="00594B35" w:rsidP="00594B35">
      <w:pPr>
        <w:rPr>
          <w:i/>
        </w:rPr>
      </w:pPr>
      <w:r w:rsidRPr="00763FAA">
        <w:rPr>
          <w:i/>
        </w:rPr>
        <w:t>PASC noted that there may initially be capacity issues for laboratories</w:t>
      </w:r>
      <w:r w:rsidR="00E80442" w:rsidRPr="00763FAA">
        <w:rPr>
          <w:i/>
        </w:rPr>
        <w:t xml:space="preserve"> potentially requiring samples to be referred</w:t>
      </w:r>
      <w:r w:rsidRPr="00763FAA">
        <w:rPr>
          <w:i/>
        </w:rPr>
        <w:t>, but laboratory capacity will expand naturally with market forces over the next couple of years.</w:t>
      </w:r>
    </w:p>
    <w:p w14:paraId="33D032AF" w14:textId="77777777" w:rsidR="00E90C71" w:rsidRDefault="007A223F" w:rsidP="00E90C71">
      <w:pPr>
        <w:spacing w:before="120" w:after="120"/>
        <w:rPr>
          <w:i/>
          <w:u w:val="single"/>
        </w:rPr>
      </w:pPr>
      <w:r>
        <w:rPr>
          <w:i/>
          <w:u w:val="single"/>
        </w:rPr>
        <w:t xml:space="preserve">Registration status with </w:t>
      </w:r>
      <w:r w:rsidR="00E90C71">
        <w:rPr>
          <w:i/>
          <w:u w:val="single"/>
        </w:rPr>
        <w:t>the Therapeutic Goods Administration (TGA)</w:t>
      </w:r>
    </w:p>
    <w:p w14:paraId="2A211A38" w14:textId="1AD33620" w:rsidR="007F1297" w:rsidRDefault="002108BA" w:rsidP="00E90C71">
      <w:pPr>
        <w:spacing w:before="120" w:after="120"/>
        <w:rPr>
          <w:szCs w:val="20"/>
        </w:rPr>
      </w:pPr>
      <w:r>
        <w:rPr>
          <w:szCs w:val="20"/>
        </w:rPr>
        <w:t xml:space="preserve">There </w:t>
      </w:r>
      <w:r w:rsidR="00287C6F">
        <w:rPr>
          <w:szCs w:val="20"/>
        </w:rPr>
        <w:t xml:space="preserve">are </w:t>
      </w:r>
      <w:r>
        <w:rPr>
          <w:szCs w:val="20"/>
        </w:rPr>
        <w:t>currently no NGS assay</w:t>
      </w:r>
      <w:r w:rsidR="0068545A">
        <w:rPr>
          <w:szCs w:val="20"/>
        </w:rPr>
        <w:t>s</w:t>
      </w:r>
      <w:r>
        <w:rPr>
          <w:szCs w:val="20"/>
        </w:rPr>
        <w:t xml:space="preserve"> approved by the TGA for the purpose of detecting biomarkers for targeted treatment of patient</w:t>
      </w:r>
      <w:r w:rsidR="00500ECD">
        <w:rPr>
          <w:szCs w:val="20"/>
        </w:rPr>
        <w:t>s with NSCLC.</w:t>
      </w:r>
    </w:p>
    <w:p w14:paraId="61884921" w14:textId="051E63C1" w:rsidR="007A223F" w:rsidRDefault="007A223F" w:rsidP="00870120">
      <w:r>
        <w:rPr>
          <w:szCs w:val="20"/>
        </w:rPr>
        <w:t xml:space="preserve">It is anticipated that the forthcoming </w:t>
      </w:r>
      <w:r w:rsidRPr="002D0D26">
        <w:rPr>
          <w:szCs w:val="20"/>
        </w:rPr>
        <w:t xml:space="preserve">CGP </w:t>
      </w:r>
      <w:r>
        <w:rPr>
          <w:szCs w:val="20"/>
        </w:rPr>
        <w:t>assay</w:t>
      </w:r>
      <w:r w:rsidRPr="002D0D26">
        <w:rPr>
          <w:szCs w:val="20"/>
        </w:rPr>
        <w:t xml:space="preserve"> based on the </w:t>
      </w:r>
      <w:r>
        <w:rPr>
          <w:szCs w:val="20"/>
        </w:rPr>
        <w:t>FoundationOne® CDx</w:t>
      </w:r>
      <w:r w:rsidRPr="002D0D26">
        <w:rPr>
          <w:szCs w:val="20"/>
        </w:rPr>
        <w:t xml:space="preserve"> assay will seek TGA-approval as an </w:t>
      </w:r>
      <w:r w:rsidR="00E90C71">
        <w:rPr>
          <w:i/>
          <w:iCs/>
          <w:szCs w:val="20"/>
        </w:rPr>
        <w:t xml:space="preserve">in </w:t>
      </w:r>
      <w:r w:rsidR="00E90C71" w:rsidRPr="00E90C71">
        <w:rPr>
          <w:i/>
          <w:iCs/>
          <w:szCs w:val="20"/>
        </w:rPr>
        <w:t>vitro</w:t>
      </w:r>
      <w:r w:rsidR="00E90C71">
        <w:rPr>
          <w:szCs w:val="20"/>
        </w:rPr>
        <w:t xml:space="preserve"> Diagnostic (</w:t>
      </w:r>
      <w:r w:rsidR="00E90C71" w:rsidRPr="009E4D4A">
        <w:rPr>
          <w:szCs w:val="20"/>
        </w:rPr>
        <w:t>IVD</w:t>
      </w:r>
      <w:r w:rsidR="00E90C71">
        <w:rPr>
          <w:szCs w:val="20"/>
        </w:rPr>
        <w:t>)</w:t>
      </w:r>
      <w:r w:rsidRPr="002D0D26">
        <w:rPr>
          <w:szCs w:val="20"/>
        </w:rPr>
        <w:t xml:space="preserve"> companion diagnostic with indications consistent with the FDA-approved indications for </w:t>
      </w:r>
      <w:r>
        <w:rPr>
          <w:szCs w:val="20"/>
        </w:rPr>
        <w:t>FoundationOne® CDx.</w:t>
      </w:r>
    </w:p>
    <w:p w14:paraId="41AB53B0" w14:textId="71443106" w:rsidR="007A223F" w:rsidRDefault="007A223F" w:rsidP="00870120">
      <w:pPr>
        <w:rPr>
          <w:rFonts w:cs="Arial"/>
        </w:rPr>
      </w:pPr>
      <w:r>
        <w:rPr>
          <w:rFonts w:cs="Arial"/>
        </w:rPr>
        <w:t>Foundation Medicine and Roche Sequencing Solutions (Roche Diagnostics) are developing a NGS CGP panel based on the FoundationOne® CDx assay that will enable laboratories to perform CGP locally.</w:t>
      </w:r>
    </w:p>
    <w:p w14:paraId="6019B6B7" w14:textId="78A0C715" w:rsidR="00FD1010" w:rsidRPr="00353E70" w:rsidRDefault="00FD1010" w:rsidP="00870120">
      <w:r>
        <w:rPr>
          <w:rFonts w:cs="Arial"/>
        </w:rPr>
        <w:t>There are several NGS assays available in Australia for use in patients with NSCLC, marked as ‘Research Use Only’</w:t>
      </w:r>
      <w:r w:rsidR="00B60544">
        <w:rPr>
          <w:rFonts w:cs="Arial"/>
        </w:rPr>
        <w:t xml:space="preserve"> (RUO)</w:t>
      </w:r>
      <w:r>
        <w:rPr>
          <w:rFonts w:cs="Arial"/>
        </w:rPr>
        <w:t xml:space="preserve">: (AVENIO tumor tissue targeted panel (17 genes), AVENIO tumor tissue expanded panel (77 genes), TruSight Oncology 170 (170 genes) and TruSight Oncology 500 (523 genes from DNA and RNA). </w:t>
      </w:r>
      <w:r w:rsidR="00B60544">
        <w:rPr>
          <w:rFonts w:cs="Arial"/>
        </w:rPr>
        <w:t>The applicants suggest that local laboratories will be able to purchase RUO products from commercial suppliers and develop an IVD test</w:t>
      </w:r>
      <w:r w:rsidR="00AE4A6E">
        <w:rPr>
          <w:rFonts w:cs="Arial"/>
        </w:rPr>
        <w:t xml:space="preserve"> under the framework </w:t>
      </w:r>
      <w:r w:rsidR="00C05F20">
        <w:rPr>
          <w:rFonts w:cs="Arial"/>
        </w:rPr>
        <w:t>of</w:t>
      </w:r>
      <w:r w:rsidR="00AE4A6E">
        <w:rPr>
          <w:rFonts w:cs="Arial"/>
        </w:rPr>
        <w:t xml:space="preserve"> the ‘Requirement for the development of an in-house </w:t>
      </w:r>
      <w:r w:rsidR="00AE4A6E" w:rsidRPr="00A602D5">
        <w:rPr>
          <w:rFonts w:cs="Arial"/>
          <w:i/>
        </w:rPr>
        <w:t>in vitro</w:t>
      </w:r>
      <w:r w:rsidR="00AE4A6E">
        <w:rPr>
          <w:rFonts w:cs="Arial"/>
        </w:rPr>
        <w:t xml:space="preserve"> diagnostic medical devices (IVDs) (Fou</w:t>
      </w:r>
      <w:r w:rsidR="00500ECD">
        <w:rPr>
          <w:rFonts w:cs="Arial"/>
        </w:rPr>
        <w:t>rth Edition 2018)’.</w:t>
      </w:r>
    </w:p>
    <w:p w14:paraId="03C7100E" w14:textId="77777777" w:rsidR="002B3338" w:rsidRDefault="002B3338" w:rsidP="002B3338">
      <w:pPr>
        <w:spacing w:before="120" w:after="120"/>
        <w:rPr>
          <w:i/>
        </w:rPr>
      </w:pPr>
      <w:r>
        <w:rPr>
          <w:i/>
          <w:u w:val="single"/>
        </w:rPr>
        <w:t>Rationale</w:t>
      </w:r>
    </w:p>
    <w:p w14:paraId="5E67B4D9" w14:textId="6FFAAA39" w:rsidR="00056E18" w:rsidRPr="00056E18" w:rsidRDefault="00056E18" w:rsidP="005640CC">
      <w:pPr>
        <w:rPr>
          <w:rFonts w:cs="Arial"/>
        </w:rPr>
      </w:pPr>
      <w:r w:rsidRPr="00925073">
        <w:rPr>
          <w:rFonts w:cs="Arial"/>
          <w:i/>
        </w:rPr>
        <w:t>NTRK</w:t>
      </w:r>
      <w:r>
        <w:rPr>
          <w:rFonts w:cs="Arial"/>
        </w:rPr>
        <w:t xml:space="preserve"> testing of solid tumours to identify patients eligible for larotrectinib and microsatellite instability/DNA mismatch repair (MSI/MMR) testing to identify patients eligible for pembrolizumab may be </w:t>
      </w:r>
      <w:r w:rsidR="00261F33">
        <w:rPr>
          <w:rFonts w:cs="Arial"/>
        </w:rPr>
        <w:t xml:space="preserve">included </w:t>
      </w:r>
      <w:r>
        <w:rPr>
          <w:rFonts w:cs="Arial"/>
        </w:rPr>
        <w:t xml:space="preserve">on some NGS panels, but are considered to be outside the scope of testing patients with NSCLC. </w:t>
      </w:r>
      <w:r w:rsidR="00761D0A">
        <w:rPr>
          <w:rFonts w:cs="Arial"/>
        </w:rPr>
        <w:t xml:space="preserve">The decision not to include </w:t>
      </w:r>
      <w:r w:rsidR="00761D0A" w:rsidRPr="00925073">
        <w:rPr>
          <w:rFonts w:cs="Arial"/>
          <w:i/>
        </w:rPr>
        <w:t>NTRK</w:t>
      </w:r>
      <w:r w:rsidR="00761D0A">
        <w:rPr>
          <w:rFonts w:cs="Arial"/>
        </w:rPr>
        <w:t xml:space="preserve"> fusions is consistent with what has been recommended by the ESMO </w:t>
      </w:r>
      <w:r w:rsidR="0007680C">
        <w:rPr>
          <w:rFonts w:cs="Arial"/>
        </w:rPr>
        <w:t>Precision</w:t>
      </w:r>
      <w:r w:rsidR="00761D0A">
        <w:rPr>
          <w:rFonts w:cs="Arial"/>
        </w:rPr>
        <w:t xml:space="preserve"> Medicine Working group </w:t>
      </w:r>
      <w:r w:rsidR="006F36FA">
        <w:rPr>
          <w:rFonts w:cs="Arial"/>
        </w:rPr>
        <w:fldChar w:fldCharType="begin">
          <w:fldData xml:space="preserve">PEVuZE5vdGU+PENpdGU+PEF1dGhvcj5Nb3NlbGU8L0F1dGhvcj48WWVhcj4yMDIwPC9ZZWFyPjxS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</w:fldData>
        </w:fldChar>
      </w:r>
      <w:r w:rsidR="006F36FA">
        <w:rPr>
          <w:rFonts w:cs="Arial"/>
        </w:rPr>
        <w:instrText xml:space="preserve"> ADDIN EN.CITE </w:instrText>
      </w:r>
      <w:r w:rsidR="006F36FA">
        <w:rPr>
          <w:rFonts w:cs="Arial"/>
        </w:rPr>
        <w:fldChar w:fldCharType="begin">
          <w:fldData xml:space="preserve">PEVuZE5vdGU+PENpdGU+PEF1dGhvcj5Nb3NlbGU8L0F1dGhvcj48WWVhcj4yMDIwPC9ZZWFyPjxS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</w:fldData>
        </w:fldChar>
      </w:r>
      <w:r w:rsidR="006F36FA">
        <w:rPr>
          <w:rFonts w:cs="Arial"/>
        </w:rPr>
        <w:instrText xml:space="preserve"> ADDIN EN.CITE.DATA </w:instrText>
      </w:r>
      <w:r w:rsidR="006F36FA">
        <w:rPr>
          <w:rFonts w:cs="Arial"/>
        </w:rPr>
      </w:r>
      <w:r w:rsidR="006F36FA">
        <w:rPr>
          <w:rFonts w:cs="Arial"/>
        </w:rPr>
        <w:fldChar w:fldCharType="end"/>
      </w:r>
      <w:r w:rsidR="006F36FA">
        <w:rPr>
          <w:rFonts w:cs="Arial"/>
        </w:rPr>
      </w:r>
      <w:r w:rsidR="006F36FA">
        <w:rPr>
          <w:rFonts w:cs="Arial"/>
        </w:rPr>
        <w:fldChar w:fldCharType="separate"/>
      </w:r>
      <w:r w:rsidR="006F36FA">
        <w:rPr>
          <w:rFonts w:cs="Arial"/>
          <w:noProof/>
        </w:rPr>
        <w:t>(Mosele et al. 2020)</w:t>
      </w:r>
      <w:r w:rsidR="006F36FA">
        <w:rPr>
          <w:rFonts w:cs="Arial"/>
        </w:rPr>
        <w:fldChar w:fldCharType="end"/>
      </w:r>
      <w:r w:rsidR="00E46F8B">
        <w:rPr>
          <w:rFonts w:cs="Arial"/>
        </w:rPr>
        <w:t>.</w:t>
      </w:r>
    </w:p>
    <w:p w14:paraId="7EF49CD8" w14:textId="7C5F54E3" w:rsidR="00FF5347" w:rsidRDefault="00022427">
      <w:pPr>
        <w:rPr>
          <w:rFonts w:cs="Arial"/>
        </w:rPr>
      </w:pPr>
      <w:r w:rsidRPr="00022427">
        <w:rPr>
          <w:rFonts w:cs="Arial"/>
        </w:rPr>
        <w:lastRenderedPageBreak/>
        <w:t xml:space="preserve">No mention has been made in the application form of circulating tumour DNA or plasma-based DNA. These would </w:t>
      </w:r>
      <w:r w:rsidR="00467FDA">
        <w:rPr>
          <w:rFonts w:cs="Arial"/>
        </w:rPr>
        <w:t>be considered outside of scope.</w:t>
      </w:r>
    </w:p>
    <w:p w14:paraId="36394C80" w14:textId="40E0E83F" w:rsidR="006F232F" w:rsidRPr="0099330E" w:rsidRDefault="006F232F">
      <w:pPr>
        <w:rPr>
          <w:rFonts w:cs="Arial"/>
        </w:rPr>
      </w:pPr>
      <w:r>
        <w:rPr>
          <w:rFonts w:cs="Arial"/>
        </w:rPr>
        <w:t>Although CGP using a NGS assay may also be performed for the purposes of monitoring of treatment response, this is outside the s</w:t>
      </w:r>
      <w:r w:rsidR="00500ECD">
        <w:rPr>
          <w:rFonts w:cs="Arial"/>
        </w:rPr>
        <w:t>cope of the current assessment.</w:t>
      </w:r>
    </w:p>
    <w:p w14:paraId="09320B20" w14:textId="401DAF34" w:rsidR="00896845" w:rsidRPr="004B4240" w:rsidRDefault="00896845" w:rsidP="004B4240">
      <w:pPr>
        <w:pStyle w:val="Heading3"/>
        <w:keepNext w:val="0"/>
        <w:keepLines w:val="0"/>
        <w:spacing w:before="0" w:after="200"/>
        <w:rPr>
          <w:rFonts w:ascii="Calibri" w:eastAsia="Calibri" w:hAnsi="Calibri" w:cs="Times New Roman"/>
          <w:b/>
          <w:color w:val="auto"/>
          <w:sz w:val="22"/>
          <w:szCs w:val="22"/>
        </w:rPr>
      </w:pPr>
      <w:r w:rsidRPr="004B4240">
        <w:rPr>
          <w:rFonts w:ascii="Calibri" w:eastAsia="Calibri" w:hAnsi="Calibri" w:cs="Times New Roman"/>
          <w:b/>
          <w:color w:val="auto"/>
          <w:sz w:val="22"/>
          <w:szCs w:val="22"/>
        </w:rPr>
        <w:t>Comparator</w:t>
      </w:r>
    </w:p>
    <w:p w14:paraId="0177218B" w14:textId="2C83F16C" w:rsidR="00255E20" w:rsidRDefault="00255E20">
      <w:r w:rsidRPr="00255E20">
        <w:t xml:space="preserve">The comparator to CGP using an NGS assay is the use of sequential testing of biomarkers for targeted therapies for NSCLC using items currently available on the MBS. </w:t>
      </w:r>
      <w:r w:rsidR="00500ECD">
        <w:t>Specifically, this is:</w:t>
      </w:r>
    </w:p>
    <w:p w14:paraId="3F960D01" w14:textId="1C2116BD" w:rsidR="002A257B" w:rsidRPr="002A257B" w:rsidRDefault="002A257B" w:rsidP="002A257B">
      <w:pPr>
        <w:pStyle w:val="ListParagraph"/>
        <w:numPr>
          <w:ilvl w:val="0"/>
          <w:numId w:val="13"/>
        </w:numPr>
        <w:spacing w:before="120" w:after="120" w:line="240" w:lineRule="auto"/>
      </w:pPr>
      <w:r w:rsidRPr="002A257B">
        <w:t xml:space="preserve">Testing of </w:t>
      </w:r>
      <w:r w:rsidRPr="00F57034">
        <w:rPr>
          <w:i/>
        </w:rPr>
        <w:t>EGFR</w:t>
      </w:r>
      <w:r w:rsidRPr="002A257B">
        <w:t xml:space="preserve"> </w:t>
      </w:r>
      <w:r w:rsidR="00462120">
        <w:t xml:space="preserve">activating </w:t>
      </w:r>
      <w:r w:rsidRPr="002A257B">
        <w:t>mutation status</w:t>
      </w:r>
      <w:r w:rsidR="00FC029A">
        <w:t xml:space="preserve"> (MBS item 73337)</w:t>
      </w:r>
    </w:p>
    <w:p w14:paraId="7A7DBA9F" w14:textId="6814F118" w:rsidR="002A257B" w:rsidRPr="000A6CCF" w:rsidRDefault="002A257B" w:rsidP="002A257B">
      <w:pPr>
        <w:pStyle w:val="ListParagraph"/>
        <w:numPr>
          <w:ilvl w:val="0"/>
          <w:numId w:val="13"/>
        </w:numPr>
        <w:spacing w:before="120" w:after="120" w:line="240" w:lineRule="auto"/>
      </w:pPr>
      <w:bookmarkStart w:id="6" w:name="_Hlk75426030"/>
      <w:r w:rsidRPr="002A257B">
        <w:t>Immunohistochemistry</w:t>
      </w:r>
      <w:bookmarkEnd w:id="6"/>
      <w:r w:rsidRPr="002A257B">
        <w:t xml:space="preserve"> </w:t>
      </w:r>
      <w:r w:rsidR="000F5E44">
        <w:t xml:space="preserve">(IHC) </w:t>
      </w:r>
      <w:r w:rsidRPr="002A257B">
        <w:t>testing as triage ALK testing</w:t>
      </w:r>
      <w:r w:rsidR="00BC4AC0">
        <w:t xml:space="preserve"> and triage ROS1 testing</w:t>
      </w:r>
      <w:r w:rsidR="00FC029A">
        <w:t xml:space="preserve"> (</w:t>
      </w:r>
      <w:r w:rsidR="005127FD">
        <w:t xml:space="preserve">most </w:t>
      </w:r>
      <w:r w:rsidR="005127FD" w:rsidRPr="000A6CCF">
        <w:t>likely</w:t>
      </w:r>
      <w:r w:rsidR="008D0784" w:rsidRPr="000A6CCF">
        <w:t xml:space="preserve"> </w:t>
      </w:r>
      <w:r w:rsidR="008D0784" w:rsidRPr="00C929A4">
        <w:t>included under</w:t>
      </w:r>
      <w:r w:rsidR="005127FD" w:rsidRPr="000A6CCF">
        <w:t xml:space="preserve"> </w:t>
      </w:r>
      <w:r w:rsidR="00FC029A" w:rsidRPr="000A6CCF">
        <w:t>MBS item</w:t>
      </w:r>
      <w:r w:rsidR="005127FD" w:rsidRPr="000A6CCF">
        <w:t>s</w:t>
      </w:r>
      <w:r w:rsidR="00FC029A" w:rsidRPr="000A6CCF">
        <w:t xml:space="preserve"> 7284</w:t>
      </w:r>
      <w:r w:rsidR="00BC4AC0" w:rsidRPr="000A6CCF">
        <w:t>7 or 72849</w:t>
      </w:r>
      <w:r w:rsidR="008D0784" w:rsidRPr="000A6CCF">
        <w:t xml:space="preserve"> </w:t>
      </w:r>
      <w:r w:rsidR="008D0784" w:rsidRPr="00C929A4">
        <w:t>at the time of initial diagnosis</w:t>
      </w:r>
      <w:r w:rsidR="00FC029A" w:rsidRPr="000A6CCF">
        <w:t>)</w:t>
      </w:r>
    </w:p>
    <w:p w14:paraId="446D6F1B" w14:textId="5E25F563" w:rsidR="002A257B" w:rsidRPr="002A257B" w:rsidRDefault="002A257B" w:rsidP="002A257B">
      <w:pPr>
        <w:pStyle w:val="ListParagraph"/>
        <w:numPr>
          <w:ilvl w:val="0"/>
          <w:numId w:val="13"/>
        </w:numPr>
        <w:spacing w:before="120" w:after="120" w:line="240" w:lineRule="auto"/>
      </w:pPr>
      <w:r w:rsidRPr="002A257B">
        <w:t xml:space="preserve">Testing of </w:t>
      </w:r>
      <w:r w:rsidRPr="00F57034">
        <w:rPr>
          <w:i/>
        </w:rPr>
        <w:t>ALK</w:t>
      </w:r>
      <w:r w:rsidRPr="002A257B">
        <w:t xml:space="preserve"> gene rearrangement status by FISH</w:t>
      </w:r>
      <w:r w:rsidR="00FC029A">
        <w:t xml:space="preserve"> (MBS item 73341)</w:t>
      </w:r>
    </w:p>
    <w:p w14:paraId="47DB4D57" w14:textId="68443829" w:rsidR="002A257B" w:rsidRPr="002A257B" w:rsidRDefault="002A257B" w:rsidP="002A257B">
      <w:pPr>
        <w:pStyle w:val="ListParagraph"/>
        <w:numPr>
          <w:ilvl w:val="0"/>
          <w:numId w:val="13"/>
        </w:numPr>
        <w:spacing w:before="120" w:after="120" w:line="240" w:lineRule="auto"/>
      </w:pPr>
      <w:r w:rsidRPr="002A257B">
        <w:t xml:space="preserve">Testing of </w:t>
      </w:r>
      <w:r w:rsidRPr="00F57034">
        <w:rPr>
          <w:i/>
        </w:rPr>
        <w:t>ROS1</w:t>
      </w:r>
      <w:r w:rsidRPr="002A257B">
        <w:t xml:space="preserve"> gene rearrangement status by FISH</w:t>
      </w:r>
      <w:r w:rsidR="00FC029A">
        <w:t xml:space="preserve"> (MBS item 73344)</w:t>
      </w:r>
    </w:p>
    <w:p w14:paraId="377D0441" w14:textId="77777777" w:rsidR="00896D1D" w:rsidRPr="00896D1D" w:rsidRDefault="00896D1D" w:rsidP="00896D1D">
      <w:pPr>
        <w:rPr>
          <w:i/>
        </w:rPr>
      </w:pPr>
      <w:r w:rsidRPr="00896D1D">
        <w:rPr>
          <w:i/>
        </w:rPr>
        <w:t>PASC confirmed that the comparator to CGP was separate testing of EGFR for activating mutations, IHC testing for ALK and ROS1, and possible subsequent testing for ALK gene rearrangements and/or ROS1 gene rearrangements using FISH.</w:t>
      </w:r>
    </w:p>
    <w:p w14:paraId="1CD8AE4C" w14:textId="57EEEE3A" w:rsidR="006477A1" w:rsidRDefault="000F5E44" w:rsidP="0086301B">
      <w:r>
        <w:t xml:space="preserve">The clinical management algorithm shown in </w:t>
      </w:r>
      <w:r>
        <w:fldChar w:fldCharType="begin"/>
      </w:r>
      <w:r>
        <w:instrText xml:space="preserve"> REF _Ref54097247 \h </w:instrText>
      </w:r>
      <w:r>
        <w:fldChar w:fldCharType="separate"/>
      </w:r>
      <w:r w:rsidR="007D7D37">
        <w:t xml:space="preserve">Figure </w:t>
      </w:r>
      <w:r w:rsidR="007D7D37">
        <w:rPr>
          <w:noProof/>
        </w:rPr>
        <w:t>1</w:t>
      </w:r>
      <w:r>
        <w:fldChar w:fldCharType="end"/>
      </w:r>
      <w:r>
        <w:t xml:space="preserve"> shows the flow of how the results of the earlier tests influence whether subsequent testing is performed. Currently, patients </w:t>
      </w:r>
      <w:r w:rsidR="005127FD">
        <w:t xml:space="preserve">initially diagnosed with NSCLC </w:t>
      </w:r>
      <w:r>
        <w:t xml:space="preserve">are tested for </w:t>
      </w:r>
      <w:r w:rsidRPr="00F57034">
        <w:rPr>
          <w:i/>
        </w:rPr>
        <w:t>EGFR</w:t>
      </w:r>
      <w:r>
        <w:t xml:space="preserve"> variants </w:t>
      </w:r>
      <w:r w:rsidR="0086301B">
        <w:t xml:space="preserve">and IHC triage testing after </w:t>
      </w:r>
      <w:r w:rsidR="005127FD">
        <w:t xml:space="preserve">exclusion </w:t>
      </w:r>
      <w:r w:rsidR="0086301B">
        <w:t>of squamous NSCLC</w:t>
      </w:r>
      <w:r>
        <w:t>.</w:t>
      </w:r>
    </w:p>
    <w:p w14:paraId="3A7401DA" w14:textId="77777777" w:rsidR="00E1525B" w:rsidRPr="00E1525B" w:rsidRDefault="00E1525B" w:rsidP="00E1525B">
      <w:pPr>
        <w:rPr>
          <w:i/>
        </w:rPr>
      </w:pPr>
      <w:r w:rsidRPr="00E1525B">
        <w:rPr>
          <w:i/>
        </w:rPr>
        <w:t>PASC advised that IHC triage testing for ALK and ROS1 normally occurs at the point of diagnosis, with reference to MBS items 72847 or 72849, although IHC coning rules mean these tests may not attract additional reimbursement.</w:t>
      </w:r>
    </w:p>
    <w:p w14:paraId="4A52CDBF" w14:textId="433DB9BF" w:rsidR="006477A1" w:rsidRDefault="006477A1" w:rsidP="0086301B">
      <w:r>
        <w:t xml:space="preserve">If patients are </w:t>
      </w:r>
      <w:r w:rsidRPr="005127FD">
        <w:rPr>
          <w:i/>
        </w:rPr>
        <w:t>EGFR</w:t>
      </w:r>
      <w:r w:rsidRPr="005127FD">
        <w:t xml:space="preserve"> </w:t>
      </w:r>
      <w:r w:rsidR="005127FD">
        <w:t xml:space="preserve">activating mutation </w:t>
      </w:r>
      <w:r>
        <w:t>negative, but positive</w:t>
      </w:r>
      <w:r w:rsidR="00F21579">
        <w:t xml:space="preserve"> or equivocal</w:t>
      </w:r>
      <w:r>
        <w:t xml:space="preserve"> on ALK IHC triage testing</w:t>
      </w:r>
      <w:r w:rsidR="00A57B20">
        <w:t xml:space="preserve"> (staining intensity score &gt;0)</w:t>
      </w:r>
      <w:r>
        <w:t xml:space="preserve">, they may receive </w:t>
      </w:r>
      <w:r w:rsidRPr="00F57034">
        <w:rPr>
          <w:i/>
        </w:rPr>
        <w:t>ALK</w:t>
      </w:r>
      <w:r>
        <w:t xml:space="preserve"> gene rearrangement confirmatory testing using FISH if/when they have locally advanced or metastatic disease.</w:t>
      </w:r>
    </w:p>
    <w:p w14:paraId="55A4F307" w14:textId="6037B730" w:rsidR="00B4759B" w:rsidRDefault="006477A1" w:rsidP="0086301B">
      <w:r>
        <w:t xml:space="preserve">Likewise, if patients are </w:t>
      </w:r>
      <w:r>
        <w:rPr>
          <w:i/>
        </w:rPr>
        <w:t>EGFR</w:t>
      </w:r>
      <w:r>
        <w:t xml:space="preserve"> variant negative, but positive</w:t>
      </w:r>
      <w:r w:rsidR="00F21579">
        <w:t xml:space="preserve"> or equivocal </w:t>
      </w:r>
      <w:r>
        <w:t>on ROS1 IHC triage testing</w:t>
      </w:r>
      <w:r w:rsidR="00A57B20">
        <w:t xml:space="preserve"> (staining intensity score of 2+ or 3+)</w:t>
      </w:r>
      <w:r>
        <w:t xml:space="preserve">, they may receive </w:t>
      </w:r>
      <w:r w:rsidRPr="00F57034">
        <w:rPr>
          <w:i/>
        </w:rPr>
        <w:t>ROS1</w:t>
      </w:r>
      <w:r>
        <w:t xml:space="preserve"> gene rearrangement confirmatory testing using FISH if/when they have locally advanced or metastatic disease.</w:t>
      </w:r>
    </w:p>
    <w:p w14:paraId="772ABB70" w14:textId="7A05D0DC" w:rsidR="0094667F" w:rsidRDefault="00B4759B" w:rsidP="0086301B">
      <w:r>
        <w:t xml:space="preserve">If patients are not locally advanced or metastatic at the time of diagnosis, then a block retrieval item (MBS item 72860) </w:t>
      </w:r>
      <w:r w:rsidR="000A6CCF" w:rsidRPr="000A6CCF">
        <w:t xml:space="preserve">may </w:t>
      </w:r>
      <w:r w:rsidRPr="000A6CCF">
        <w:t>be required</w:t>
      </w:r>
      <w:r>
        <w:t xml:space="preserve"> </w:t>
      </w:r>
      <w:r w:rsidR="000A6CCF">
        <w:t xml:space="preserve">if referral to an outside laboratory is required </w:t>
      </w:r>
      <w:r>
        <w:t>for the FISH testing.</w:t>
      </w:r>
    </w:p>
    <w:p w14:paraId="21C31489" w14:textId="24162FBB" w:rsidR="000D5517" w:rsidRPr="00500ECD" w:rsidRDefault="000D5517" w:rsidP="000D5517">
      <w:r>
        <w:t xml:space="preserve">The current use of MBS items for sequential testing from MBS statistics is shown in </w:t>
      </w:r>
      <w:r>
        <w:fldChar w:fldCharType="begin"/>
      </w:r>
      <w:r>
        <w:instrText xml:space="preserve"> REF _Ref54168104 \h </w:instrText>
      </w:r>
      <w:r>
        <w:fldChar w:fldCharType="separate"/>
      </w:r>
      <w:r w:rsidR="007D7D37">
        <w:t xml:space="preserve">Table </w:t>
      </w:r>
      <w:r w:rsidR="007D7D37">
        <w:rPr>
          <w:noProof/>
        </w:rPr>
        <w:t>3</w:t>
      </w:r>
      <w:r>
        <w:fldChar w:fldCharType="end"/>
      </w:r>
      <w:r w:rsidR="00500ECD">
        <w:t>.</w:t>
      </w:r>
    </w:p>
    <w:p w14:paraId="3DE38587" w14:textId="77777777" w:rsidR="007D7D37" w:rsidRPr="00EC499B" w:rsidRDefault="0094667F" w:rsidP="007C7AB1">
      <w:pPr>
        <w:spacing w:after="60"/>
        <w:rPr>
          <w:rFonts w:ascii="Arial Narrow" w:hAnsi="Arial Narrow"/>
          <w:i/>
          <w:sz w:val="18"/>
          <w:szCs w:val="18"/>
        </w:rPr>
      </w:pPr>
      <w:r>
        <w:t xml:space="preserve">It is expected that the proposed intervention would likely replace sequential testing of different biomarkers in patients with NSCLC. </w:t>
      </w:r>
      <w:r w:rsidR="00AC5B3B">
        <w:t xml:space="preserve">It is expected that all patients who undergo </w:t>
      </w:r>
      <w:r w:rsidR="00AC5B3B" w:rsidRPr="00944BA4">
        <w:rPr>
          <w:i/>
        </w:rPr>
        <w:t xml:space="preserve">EGFR </w:t>
      </w:r>
      <w:r w:rsidR="00AC5B3B">
        <w:t>testing would also undergo triage testing for ALK and ROS expression, under an IHC item such as 72847 (for 4-6 antibodies) or 72849</w:t>
      </w:r>
      <w:r w:rsidR="00FF7302">
        <w:t xml:space="preserve"> </w:t>
      </w:r>
      <w:r w:rsidR="00AC5B3B">
        <w:t>(for 7-10 antibodies)</w:t>
      </w:r>
      <w:r w:rsidR="00FF7302">
        <w:t xml:space="preserve">. </w:t>
      </w:r>
      <w:r w:rsidR="00101AB8">
        <w:t xml:space="preserve">Only those positive on IHC testing and who progress to being locally advanced or metastatic would be eligible to undergo </w:t>
      </w:r>
      <w:r w:rsidR="00101AB8" w:rsidRPr="00101AB8">
        <w:rPr>
          <w:i/>
        </w:rPr>
        <w:t>ALK</w:t>
      </w:r>
      <w:r w:rsidR="00101AB8">
        <w:rPr>
          <w:i/>
        </w:rPr>
        <w:t xml:space="preserve"> </w:t>
      </w:r>
      <w:r w:rsidR="00101AB8" w:rsidRPr="00944BA4">
        <w:t xml:space="preserve">or </w:t>
      </w:r>
      <w:r w:rsidR="00101AB8">
        <w:rPr>
          <w:i/>
        </w:rPr>
        <w:t xml:space="preserve">ROS1 </w:t>
      </w:r>
      <w:r w:rsidR="00101AB8">
        <w:t>FISH testing</w:t>
      </w:r>
      <w:r w:rsidR="00132209">
        <w:t xml:space="preserve"> (</w:t>
      </w:r>
      <w:r w:rsidR="00132209">
        <w:fldChar w:fldCharType="begin"/>
      </w:r>
      <w:r w:rsidR="00132209">
        <w:instrText xml:space="preserve"> REF _Ref532200124 \h </w:instrText>
      </w:r>
      <w:r w:rsidR="00132209">
        <w:fldChar w:fldCharType="separate"/>
      </w:r>
      <w:r w:rsidR="007D7D37" w:rsidRPr="00EC499B">
        <w:rPr>
          <w:rFonts w:ascii="Arial Narrow" w:hAnsi="Arial Narrow"/>
          <w:i/>
          <w:sz w:val="18"/>
          <w:szCs w:val="18"/>
        </w:rPr>
        <w:t xml:space="preserve">ALK = </w:t>
      </w:r>
      <w:r w:rsidR="007D7D37" w:rsidRPr="005100B4">
        <w:rPr>
          <w:rFonts w:ascii="Arial Narrow" w:hAnsi="Arial Narrow"/>
          <w:sz w:val="18"/>
          <w:szCs w:val="18"/>
        </w:rPr>
        <w:lastRenderedPageBreak/>
        <w:t>anaplastic lymphoma kinase gene</w:t>
      </w:r>
      <w:r w:rsidR="007D7D37" w:rsidRPr="00EC499B">
        <w:rPr>
          <w:rFonts w:ascii="Arial Narrow" w:hAnsi="Arial Narrow"/>
          <w:i/>
          <w:sz w:val="18"/>
          <w:szCs w:val="18"/>
        </w:rPr>
        <w:t xml:space="preserve">; </w:t>
      </w:r>
      <w:r w:rsidR="007D7D37" w:rsidRPr="007F786A">
        <w:rPr>
          <w:rFonts w:ascii="Arial Narrow" w:hAnsi="Arial Narrow"/>
          <w:i/>
          <w:sz w:val="18"/>
          <w:szCs w:val="18"/>
        </w:rPr>
        <w:t>EGFR</w:t>
      </w:r>
      <w:r w:rsidR="007D7D37" w:rsidRPr="00EC499B">
        <w:rPr>
          <w:rFonts w:ascii="Arial Narrow" w:hAnsi="Arial Narrow"/>
          <w:i/>
          <w:sz w:val="18"/>
          <w:szCs w:val="18"/>
        </w:rPr>
        <w:t xml:space="preserve"> = </w:t>
      </w:r>
      <w:r w:rsidR="007D7D37" w:rsidRPr="005100B4">
        <w:rPr>
          <w:rFonts w:ascii="Arial Narrow" w:hAnsi="Arial Narrow"/>
          <w:sz w:val="18"/>
          <w:szCs w:val="18"/>
        </w:rPr>
        <w:t>epidermal growth factor receptor</w:t>
      </w:r>
      <w:r w:rsidR="007D7D37" w:rsidRPr="00EC499B">
        <w:rPr>
          <w:rFonts w:ascii="Arial Narrow" w:hAnsi="Arial Narrow"/>
          <w:i/>
          <w:sz w:val="18"/>
          <w:szCs w:val="18"/>
        </w:rPr>
        <w:t xml:space="preserve"> </w:t>
      </w:r>
      <w:r w:rsidR="007D7D37" w:rsidRPr="005100B4">
        <w:rPr>
          <w:rFonts w:ascii="Arial Narrow" w:hAnsi="Arial Narrow"/>
          <w:sz w:val="18"/>
          <w:szCs w:val="18"/>
        </w:rPr>
        <w:t>gene</w:t>
      </w:r>
      <w:r w:rsidR="007D7D37">
        <w:rPr>
          <w:rFonts w:ascii="Arial Narrow" w:hAnsi="Arial Narrow"/>
          <w:sz w:val="18"/>
          <w:szCs w:val="18"/>
        </w:rPr>
        <w:t xml:space="preserve">; </w:t>
      </w:r>
      <w:r w:rsidR="007D7D37" w:rsidRPr="007C7AB1">
        <w:rPr>
          <w:rFonts w:ascii="Arial Narrow" w:hAnsi="Arial Narrow"/>
          <w:sz w:val="18"/>
          <w:szCs w:val="18"/>
        </w:rPr>
        <w:t xml:space="preserve">FISH = fluorescence </w:t>
      </w:r>
      <w:r w:rsidR="007D7D37" w:rsidRPr="007C7AB1">
        <w:rPr>
          <w:rFonts w:ascii="Arial Narrow" w:hAnsi="Arial Narrow"/>
          <w:i/>
          <w:sz w:val="18"/>
          <w:szCs w:val="18"/>
        </w:rPr>
        <w:t>in situ</w:t>
      </w:r>
      <w:r w:rsidR="007D7D37" w:rsidRPr="007C7AB1">
        <w:rPr>
          <w:rFonts w:ascii="Arial Narrow" w:hAnsi="Arial Narrow"/>
          <w:sz w:val="18"/>
          <w:szCs w:val="18"/>
        </w:rPr>
        <w:t xml:space="preserve"> hybridization; </w:t>
      </w:r>
      <w:r w:rsidR="007D7D37" w:rsidRPr="00EC499B">
        <w:rPr>
          <w:rFonts w:ascii="Arial Narrow" w:hAnsi="Arial Narrow"/>
          <w:i/>
          <w:sz w:val="18"/>
          <w:szCs w:val="18"/>
        </w:rPr>
        <w:t xml:space="preserve">ROS1 = </w:t>
      </w:r>
      <w:r w:rsidR="007D7D37" w:rsidRPr="005100B4">
        <w:rPr>
          <w:rFonts w:ascii="Arial Narrow" w:hAnsi="Arial Narrow"/>
          <w:sz w:val="18"/>
          <w:szCs w:val="18"/>
        </w:rPr>
        <w:t>ROS1 receptor tyrosine kinase</w:t>
      </w:r>
      <w:r w:rsidR="007D7D37" w:rsidRPr="00EC499B">
        <w:rPr>
          <w:rFonts w:ascii="Arial Narrow" w:hAnsi="Arial Narrow"/>
          <w:i/>
          <w:sz w:val="18"/>
          <w:szCs w:val="18"/>
        </w:rPr>
        <w:t xml:space="preserve"> </w:t>
      </w:r>
      <w:r w:rsidR="007D7D37" w:rsidRPr="005100B4">
        <w:rPr>
          <w:rFonts w:ascii="Arial Narrow" w:hAnsi="Arial Narrow"/>
          <w:sz w:val="18"/>
          <w:szCs w:val="18"/>
        </w:rPr>
        <w:t>gene</w:t>
      </w:r>
    </w:p>
    <w:p w14:paraId="437C8D11" w14:textId="2B80BAF5" w:rsidR="00132209" w:rsidRDefault="007D7D37" w:rsidP="00030E0D">
      <w:r>
        <w:t xml:space="preserve">Table </w:t>
      </w:r>
      <w:r>
        <w:rPr>
          <w:noProof/>
        </w:rPr>
        <w:t>4</w:t>
      </w:r>
      <w:r w:rsidR="00132209">
        <w:fldChar w:fldCharType="end"/>
      </w:r>
      <w:r w:rsidR="00132209">
        <w:t>)</w:t>
      </w:r>
      <w:r w:rsidR="00101AB8">
        <w:t>.</w:t>
      </w:r>
    </w:p>
    <w:p w14:paraId="4C4ADF23" w14:textId="77777777" w:rsidR="00763FAA" w:rsidRDefault="00030E0D" w:rsidP="00030E0D">
      <w:r w:rsidRPr="00763FAA">
        <w:rPr>
          <w:i/>
        </w:rPr>
        <w:t xml:space="preserve">PASC considered that the consequences of funding the proposed </w:t>
      </w:r>
      <w:r w:rsidR="00132209" w:rsidRPr="00763FAA">
        <w:rPr>
          <w:i/>
        </w:rPr>
        <w:t xml:space="preserve">comprehensive genomic profiling </w:t>
      </w:r>
      <w:r w:rsidRPr="00763FAA">
        <w:rPr>
          <w:i/>
        </w:rPr>
        <w:t xml:space="preserve">for the costs of </w:t>
      </w:r>
      <w:r w:rsidR="00132209" w:rsidRPr="00763FAA">
        <w:rPr>
          <w:i/>
        </w:rPr>
        <w:t xml:space="preserve">the expected reduced </w:t>
      </w:r>
      <w:r w:rsidRPr="00763FAA">
        <w:rPr>
          <w:i/>
        </w:rPr>
        <w:t xml:space="preserve">IHC </w:t>
      </w:r>
      <w:r w:rsidR="00132209" w:rsidRPr="00763FAA">
        <w:rPr>
          <w:i/>
        </w:rPr>
        <w:t xml:space="preserve">testing </w:t>
      </w:r>
      <w:r w:rsidRPr="00763FAA">
        <w:rPr>
          <w:i/>
        </w:rPr>
        <w:t xml:space="preserve">for ALK and ROS1 would not be straightforward to estimate. </w:t>
      </w:r>
      <w:r w:rsidR="00132209" w:rsidRPr="00763FAA">
        <w:rPr>
          <w:i/>
        </w:rPr>
        <w:t>Although t</w:t>
      </w:r>
      <w:r w:rsidRPr="00763FAA">
        <w:rPr>
          <w:i/>
        </w:rPr>
        <w:t xml:space="preserve">hese IHC items are likely to be eligible for MBS items 72847 or 72849, </w:t>
      </w:r>
      <w:r w:rsidR="00726D5E" w:rsidRPr="00763FAA">
        <w:rPr>
          <w:i/>
        </w:rPr>
        <w:t xml:space="preserve">for many patients tested </w:t>
      </w:r>
      <w:r w:rsidRPr="00763FAA">
        <w:rPr>
          <w:i/>
        </w:rPr>
        <w:t>the</w:t>
      </w:r>
      <w:r w:rsidR="00726D5E" w:rsidRPr="00763FAA">
        <w:rPr>
          <w:i/>
        </w:rPr>
        <w:t>se items</w:t>
      </w:r>
      <w:r w:rsidRPr="00763FAA">
        <w:rPr>
          <w:i/>
        </w:rPr>
        <w:t xml:space="preserve"> may also be coned out </w:t>
      </w:r>
      <w:r w:rsidR="00132209" w:rsidRPr="00763FAA">
        <w:rPr>
          <w:i/>
        </w:rPr>
        <w:t>under MBS rules</w:t>
      </w:r>
      <w:r w:rsidRPr="00763FAA">
        <w:rPr>
          <w:i/>
        </w:rPr>
        <w:t>.</w:t>
      </w:r>
    </w:p>
    <w:p w14:paraId="6B79429A" w14:textId="5B263691" w:rsidR="002A257B" w:rsidRPr="00896D1D" w:rsidRDefault="00030E0D">
      <w:pPr>
        <w:rPr>
          <w:rFonts w:cs="Arial"/>
        </w:rPr>
      </w:pPr>
      <w:r>
        <w:t xml:space="preserve">The consequence might be billing of a cheaper MBS item for fewer </w:t>
      </w:r>
      <w:r w:rsidR="009C383B">
        <w:t xml:space="preserve">IHC </w:t>
      </w:r>
      <w:r>
        <w:t>antibodies (i</w:t>
      </w:r>
      <w:r w:rsidR="002F115C">
        <w:t>.</w:t>
      </w:r>
      <w:r>
        <w:t>e</w:t>
      </w:r>
      <w:r w:rsidR="002F115C">
        <w:t>.</w:t>
      </w:r>
      <w:r>
        <w:t xml:space="preserve"> without the antibodies for ALK or ROS1</w:t>
      </w:r>
      <w:r w:rsidR="00132209">
        <w:t>) if not coned out</w:t>
      </w:r>
      <w:r>
        <w:t xml:space="preserve">, or no cost consequence at all if the IHC item would </w:t>
      </w:r>
      <w:r w:rsidR="00132209">
        <w:t xml:space="preserve">otherwise </w:t>
      </w:r>
      <w:r>
        <w:t>have been coned out.</w:t>
      </w:r>
    </w:p>
    <w:p w14:paraId="0CEA24A4" w14:textId="000D9B9A" w:rsidR="0007680C" w:rsidRDefault="0007680C" w:rsidP="0007680C">
      <w:pPr>
        <w:pStyle w:val="Caption"/>
      </w:pPr>
      <w:bookmarkStart w:id="7" w:name="_Ref54168104"/>
      <w:r>
        <w:t xml:space="preserve">Table </w:t>
      </w:r>
      <w:r>
        <w:fldChar w:fldCharType="begin"/>
      </w:r>
      <w:r>
        <w:instrText xml:space="preserve"> SEQ Table \* ARABIC </w:instrText>
      </w:r>
      <w:r>
        <w:fldChar w:fldCharType="separate"/>
      </w:r>
      <w:r w:rsidR="007D7D37">
        <w:rPr>
          <w:noProof/>
        </w:rPr>
        <w:t>3</w:t>
      </w:r>
      <w:r>
        <w:fldChar w:fldCharType="end"/>
      </w:r>
      <w:bookmarkEnd w:id="7"/>
      <w:r>
        <w:tab/>
        <w:t>MBS statistics</w:t>
      </w:r>
      <w:r w:rsidR="00500ECD">
        <w:t xml:space="preserve"> on use of comparator MBS items</w:t>
      </w:r>
    </w:p>
    <w:tbl>
      <w:tblPr>
        <w:tblStyle w:val="TableGrid"/>
        <w:tblW w:w="5000" w:type="pct"/>
        <w:tblLook w:val="04A0" w:firstRow="1" w:lastRow="0" w:firstColumn="1" w:lastColumn="0" w:noHBand="0" w:noVBand="1"/>
        <w:tblCaption w:val="MBS statistics on currently used items for biomarker determination for NSCLC"/>
        <w:tblDescription w:val="MBS statistics on currently used items for biomarker determination for NSCLC"/>
      </w:tblPr>
      <w:tblGrid>
        <w:gridCol w:w="2795"/>
        <w:gridCol w:w="1556"/>
        <w:gridCol w:w="1556"/>
        <w:gridCol w:w="1556"/>
        <w:gridCol w:w="1553"/>
      </w:tblGrid>
      <w:tr w:rsidR="00A80DF4" w:rsidRPr="004C3181" w14:paraId="0E0093E6" w14:textId="77777777" w:rsidTr="007C7AB1">
        <w:trPr>
          <w:tblHeader/>
        </w:trPr>
        <w:tc>
          <w:tcPr>
            <w:tcW w:w="1550" w:type="pct"/>
          </w:tcPr>
          <w:p w14:paraId="46748F32" w14:textId="77777777" w:rsidR="00A80DF4" w:rsidRPr="00982345" w:rsidRDefault="00A80DF4" w:rsidP="00982345">
            <w:pPr>
              <w:keepNext/>
              <w:keepLines/>
              <w:spacing w:before="40" w:after="40" w:line="276" w:lineRule="auto"/>
              <w:rPr>
                <w:rFonts w:ascii="Arial Narrow" w:hAnsi="Arial Narrow"/>
                <w:b/>
                <w:sz w:val="20"/>
              </w:rPr>
            </w:pPr>
            <w:r w:rsidRPr="00982345">
              <w:rPr>
                <w:rFonts w:ascii="Arial Narrow" w:hAnsi="Arial Narrow"/>
                <w:b/>
                <w:sz w:val="20"/>
              </w:rPr>
              <w:t>MBS item and use</w:t>
            </w:r>
          </w:p>
        </w:tc>
        <w:tc>
          <w:tcPr>
            <w:tcW w:w="863" w:type="pct"/>
          </w:tcPr>
          <w:p w14:paraId="00A6569F" w14:textId="77777777" w:rsidR="00A80DF4" w:rsidRPr="00982345" w:rsidRDefault="00750D20" w:rsidP="00467FDA">
            <w:pPr>
              <w:keepNext/>
              <w:keepLines/>
              <w:spacing w:before="40" w:after="40" w:line="276" w:lineRule="auto"/>
              <w:jc w:val="center"/>
              <w:rPr>
                <w:rFonts w:ascii="Arial Narrow" w:hAnsi="Arial Narrow"/>
                <w:b/>
                <w:sz w:val="20"/>
              </w:rPr>
            </w:pPr>
            <w:r w:rsidRPr="00982345">
              <w:rPr>
                <w:rFonts w:ascii="Arial Narrow" w:hAnsi="Arial Narrow"/>
                <w:b/>
                <w:sz w:val="20"/>
              </w:rPr>
              <w:t>16/17</w:t>
            </w:r>
          </w:p>
        </w:tc>
        <w:tc>
          <w:tcPr>
            <w:tcW w:w="863" w:type="pct"/>
          </w:tcPr>
          <w:p w14:paraId="0855C2FE" w14:textId="77777777" w:rsidR="00A80DF4" w:rsidRPr="00982345" w:rsidRDefault="00750D20" w:rsidP="00467FDA">
            <w:pPr>
              <w:keepNext/>
              <w:keepLines/>
              <w:spacing w:before="40" w:after="40" w:line="276" w:lineRule="auto"/>
              <w:jc w:val="center"/>
              <w:rPr>
                <w:rFonts w:ascii="Arial Narrow" w:hAnsi="Arial Narrow"/>
                <w:b/>
                <w:sz w:val="20"/>
              </w:rPr>
            </w:pPr>
            <w:r w:rsidRPr="00982345">
              <w:rPr>
                <w:rFonts w:ascii="Arial Narrow" w:hAnsi="Arial Narrow"/>
                <w:b/>
                <w:sz w:val="20"/>
              </w:rPr>
              <w:t>17/18</w:t>
            </w:r>
          </w:p>
        </w:tc>
        <w:tc>
          <w:tcPr>
            <w:tcW w:w="863" w:type="pct"/>
          </w:tcPr>
          <w:p w14:paraId="5D264AB6" w14:textId="77777777" w:rsidR="00A80DF4" w:rsidRPr="00982345" w:rsidRDefault="00750D20" w:rsidP="00467FDA">
            <w:pPr>
              <w:keepNext/>
              <w:keepLines/>
              <w:spacing w:before="40" w:after="40" w:line="276" w:lineRule="auto"/>
              <w:jc w:val="center"/>
              <w:rPr>
                <w:rFonts w:ascii="Arial Narrow" w:hAnsi="Arial Narrow"/>
                <w:b/>
                <w:sz w:val="20"/>
              </w:rPr>
            </w:pPr>
            <w:r w:rsidRPr="00982345">
              <w:rPr>
                <w:rFonts w:ascii="Arial Narrow" w:hAnsi="Arial Narrow"/>
                <w:b/>
                <w:sz w:val="20"/>
              </w:rPr>
              <w:t>18/19</w:t>
            </w:r>
          </w:p>
        </w:tc>
        <w:tc>
          <w:tcPr>
            <w:tcW w:w="861" w:type="pct"/>
          </w:tcPr>
          <w:p w14:paraId="210D158D" w14:textId="77777777" w:rsidR="00A80DF4" w:rsidRPr="00982345" w:rsidRDefault="00A80DF4" w:rsidP="00467FDA">
            <w:pPr>
              <w:keepNext/>
              <w:keepLines/>
              <w:spacing w:before="40" w:after="40" w:line="276" w:lineRule="auto"/>
              <w:jc w:val="center"/>
              <w:rPr>
                <w:rFonts w:ascii="Arial Narrow" w:hAnsi="Arial Narrow"/>
                <w:b/>
                <w:sz w:val="20"/>
              </w:rPr>
            </w:pPr>
            <w:r w:rsidRPr="00982345">
              <w:rPr>
                <w:rFonts w:ascii="Arial Narrow" w:hAnsi="Arial Narrow"/>
                <w:b/>
                <w:sz w:val="20"/>
              </w:rPr>
              <w:t>19/20</w:t>
            </w:r>
          </w:p>
        </w:tc>
      </w:tr>
      <w:tr w:rsidR="00A80DF4" w14:paraId="752974F8" w14:textId="77777777" w:rsidTr="007C7AB1">
        <w:tc>
          <w:tcPr>
            <w:tcW w:w="1550" w:type="pct"/>
          </w:tcPr>
          <w:p w14:paraId="47369195" w14:textId="62385C78" w:rsidR="00A80DF4" w:rsidRPr="00982345" w:rsidRDefault="007C7AB1" w:rsidP="00982345">
            <w:pPr>
              <w:keepNext/>
              <w:keepLines/>
              <w:spacing w:before="40" w:after="40" w:line="276" w:lineRule="auto"/>
              <w:rPr>
                <w:rFonts w:ascii="Arial Narrow" w:hAnsi="Arial Narrow"/>
                <w:sz w:val="20"/>
              </w:rPr>
            </w:pPr>
            <w:r>
              <w:rPr>
                <w:rFonts w:ascii="Arial Narrow" w:hAnsi="Arial Narrow"/>
                <w:sz w:val="20"/>
              </w:rPr>
              <w:t xml:space="preserve">MBS item 73337 </w:t>
            </w:r>
            <w:r w:rsidRPr="00944BA4">
              <w:rPr>
                <w:rFonts w:ascii="Arial Narrow" w:hAnsi="Arial Narrow"/>
                <w:i/>
                <w:sz w:val="20"/>
              </w:rPr>
              <w:t>EGFR</w:t>
            </w:r>
          </w:p>
        </w:tc>
        <w:tc>
          <w:tcPr>
            <w:tcW w:w="863" w:type="pct"/>
          </w:tcPr>
          <w:p w14:paraId="137BCF5B"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3,695</w:t>
            </w:r>
          </w:p>
        </w:tc>
        <w:tc>
          <w:tcPr>
            <w:tcW w:w="863" w:type="pct"/>
          </w:tcPr>
          <w:p w14:paraId="0FCEA1D0"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3,912</w:t>
            </w:r>
          </w:p>
        </w:tc>
        <w:tc>
          <w:tcPr>
            <w:tcW w:w="863" w:type="pct"/>
          </w:tcPr>
          <w:p w14:paraId="0522748B"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4,371</w:t>
            </w:r>
          </w:p>
        </w:tc>
        <w:tc>
          <w:tcPr>
            <w:tcW w:w="861" w:type="pct"/>
          </w:tcPr>
          <w:p w14:paraId="15DDB305" w14:textId="2B7246FA" w:rsidR="00A80DF4" w:rsidRPr="00982345" w:rsidRDefault="00750D20" w:rsidP="004D645F">
            <w:pPr>
              <w:keepNext/>
              <w:keepLines/>
              <w:spacing w:before="40" w:after="40" w:line="276" w:lineRule="auto"/>
              <w:jc w:val="center"/>
              <w:rPr>
                <w:rFonts w:ascii="Arial Narrow" w:hAnsi="Arial Narrow"/>
                <w:sz w:val="20"/>
              </w:rPr>
            </w:pPr>
            <w:r w:rsidRPr="00982345">
              <w:rPr>
                <w:rFonts w:ascii="Arial Narrow" w:hAnsi="Arial Narrow"/>
                <w:sz w:val="20"/>
              </w:rPr>
              <w:t>4,</w:t>
            </w:r>
            <w:r w:rsidR="004D645F">
              <w:rPr>
                <w:rFonts w:ascii="Arial Narrow" w:hAnsi="Arial Narrow"/>
                <w:sz w:val="20"/>
              </w:rPr>
              <w:t>643</w:t>
            </w:r>
          </w:p>
        </w:tc>
      </w:tr>
      <w:tr w:rsidR="00A80DF4" w14:paraId="06BA074E" w14:textId="77777777" w:rsidTr="007C7AB1">
        <w:tc>
          <w:tcPr>
            <w:tcW w:w="1550" w:type="pct"/>
          </w:tcPr>
          <w:p w14:paraId="50E811D0" w14:textId="77777777" w:rsidR="00A80DF4" w:rsidRPr="00982345" w:rsidRDefault="00A80DF4" w:rsidP="00982345">
            <w:pPr>
              <w:keepNext/>
              <w:keepLines/>
              <w:spacing w:before="40" w:after="40" w:line="276" w:lineRule="auto"/>
              <w:rPr>
                <w:rFonts w:ascii="Arial Narrow" w:hAnsi="Arial Narrow"/>
                <w:sz w:val="20"/>
              </w:rPr>
            </w:pPr>
            <w:r w:rsidRPr="00982345">
              <w:rPr>
                <w:rFonts w:ascii="Arial Narrow" w:hAnsi="Arial Narrow"/>
                <w:sz w:val="20"/>
              </w:rPr>
              <w:t xml:space="preserve">MBS item 73341 </w:t>
            </w:r>
            <w:r w:rsidRPr="00944BA4">
              <w:rPr>
                <w:rFonts w:ascii="Arial Narrow" w:hAnsi="Arial Narrow"/>
                <w:i/>
                <w:sz w:val="20"/>
              </w:rPr>
              <w:t>ALK</w:t>
            </w:r>
            <w:r w:rsidRPr="00982345">
              <w:rPr>
                <w:rFonts w:ascii="Arial Narrow" w:hAnsi="Arial Narrow"/>
                <w:sz w:val="20"/>
              </w:rPr>
              <w:t xml:space="preserve"> FISH</w:t>
            </w:r>
          </w:p>
        </w:tc>
        <w:tc>
          <w:tcPr>
            <w:tcW w:w="863" w:type="pct"/>
          </w:tcPr>
          <w:p w14:paraId="72004A4D"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258</w:t>
            </w:r>
          </w:p>
        </w:tc>
        <w:tc>
          <w:tcPr>
            <w:tcW w:w="863" w:type="pct"/>
          </w:tcPr>
          <w:p w14:paraId="102F6D4D"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353</w:t>
            </w:r>
          </w:p>
        </w:tc>
        <w:tc>
          <w:tcPr>
            <w:tcW w:w="863" w:type="pct"/>
          </w:tcPr>
          <w:p w14:paraId="0680EA3C"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165</w:t>
            </w:r>
          </w:p>
        </w:tc>
        <w:tc>
          <w:tcPr>
            <w:tcW w:w="861" w:type="pct"/>
          </w:tcPr>
          <w:p w14:paraId="1AA6A94F"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221</w:t>
            </w:r>
          </w:p>
        </w:tc>
      </w:tr>
      <w:tr w:rsidR="00A80DF4" w14:paraId="3157794F" w14:textId="77777777" w:rsidTr="007C7AB1">
        <w:tc>
          <w:tcPr>
            <w:tcW w:w="1550" w:type="pct"/>
          </w:tcPr>
          <w:p w14:paraId="29B6F961" w14:textId="77777777" w:rsidR="00A80DF4" w:rsidRPr="00982345" w:rsidRDefault="00A80DF4" w:rsidP="00982345">
            <w:pPr>
              <w:keepNext/>
              <w:keepLines/>
              <w:spacing w:before="40" w:after="40" w:line="276" w:lineRule="auto"/>
              <w:rPr>
                <w:rFonts w:ascii="Arial Narrow" w:hAnsi="Arial Narrow"/>
                <w:sz w:val="20"/>
              </w:rPr>
            </w:pPr>
            <w:r w:rsidRPr="00982345">
              <w:rPr>
                <w:rFonts w:ascii="Arial Narrow" w:hAnsi="Arial Narrow"/>
                <w:sz w:val="20"/>
              </w:rPr>
              <w:t xml:space="preserve">MBS item 73344 </w:t>
            </w:r>
            <w:r w:rsidRPr="00944BA4">
              <w:rPr>
                <w:rFonts w:ascii="Arial Narrow" w:hAnsi="Arial Narrow"/>
                <w:i/>
                <w:sz w:val="20"/>
              </w:rPr>
              <w:t>ROS1</w:t>
            </w:r>
            <w:r w:rsidRPr="00982345">
              <w:rPr>
                <w:rFonts w:ascii="Arial Narrow" w:hAnsi="Arial Narrow"/>
                <w:sz w:val="20"/>
              </w:rPr>
              <w:t xml:space="preserve"> FISH</w:t>
            </w:r>
          </w:p>
        </w:tc>
        <w:tc>
          <w:tcPr>
            <w:tcW w:w="863" w:type="pct"/>
          </w:tcPr>
          <w:p w14:paraId="6B89C0FF"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w:t>
            </w:r>
          </w:p>
        </w:tc>
        <w:tc>
          <w:tcPr>
            <w:tcW w:w="863" w:type="pct"/>
          </w:tcPr>
          <w:p w14:paraId="1EBDF0C6" w14:textId="77777777" w:rsidR="00A80DF4" w:rsidRPr="00982345" w:rsidRDefault="00750D20" w:rsidP="00467FDA">
            <w:pPr>
              <w:keepNext/>
              <w:keepLines/>
              <w:spacing w:before="40" w:after="40" w:line="276" w:lineRule="auto"/>
              <w:jc w:val="center"/>
              <w:rPr>
                <w:rFonts w:ascii="Arial Narrow" w:hAnsi="Arial Narrow"/>
                <w:sz w:val="20"/>
              </w:rPr>
            </w:pPr>
            <w:r w:rsidRPr="00982345">
              <w:rPr>
                <w:rFonts w:ascii="Arial Narrow" w:hAnsi="Arial Narrow"/>
                <w:sz w:val="20"/>
              </w:rPr>
              <w:t>-</w:t>
            </w:r>
          </w:p>
        </w:tc>
        <w:tc>
          <w:tcPr>
            <w:tcW w:w="863" w:type="pct"/>
          </w:tcPr>
          <w:p w14:paraId="77CA9266" w14:textId="5A19BE35" w:rsidR="00A80DF4" w:rsidRPr="00982345" w:rsidRDefault="004D645F" w:rsidP="00467FDA">
            <w:pPr>
              <w:keepNext/>
              <w:keepLines/>
              <w:spacing w:before="40" w:after="40" w:line="276" w:lineRule="auto"/>
              <w:jc w:val="center"/>
              <w:rPr>
                <w:rFonts w:ascii="Arial Narrow" w:hAnsi="Arial Narrow"/>
                <w:sz w:val="20"/>
              </w:rPr>
            </w:pPr>
            <w:r>
              <w:rPr>
                <w:rFonts w:ascii="Arial Narrow" w:hAnsi="Arial Narrow"/>
                <w:sz w:val="20"/>
              </w:rPr>
              <w:t>26</w:t>
            </w:r>
          </w:p>
        </w:tc>
        <w:tc>
          <w:tcPr>
            <w:tcW w:w="861" w:type="pct"/>
          </w:tcPr>
          <w:p w14:paraId="315F5548" w14:textId="28A2EBD8" w:rsidR="00A80DF4" w:rsidRPr="00982345" w:rsidRDefault="004D645F" w:rsidP="00467FDA">
            <w:pPr>
              <w:keepNext/>
              <w:keepLines/>
              <w:spacing w:before="40" w:after="40" w:line="276" w:lineRule="auto"/>
              <w:jc w:val="center"/>
              <w:rPr>
                <w:rFonts w:ascii="Arial Narrow" w:hAnsi="Arial Narrow"/>
                <w:sz w:val="20"/>
              </w:rPr>
            </w:pPr>
            <w:r>
              <w:rPr>
                <w:rFonts w:ascii="Arial Narrow" w:hAnsi="Arial Narrow"/>
                <w:sz w:val="20"/>
              </w:rPr>
              <w:t>247</w:t>
            </w:r>
          </w:p>
        </w:tc>
      </w:tr>
    </w:tbl>
    <w:p w14:paraId="3B70EB4D" w14:textId="0FD657BF" w:rsidR="007C7AB1" w:rsidRPr="00EC499B" w:rsidRDefault="007C7AB1" w:rsidP="007C7AB1">
      <w:pPr>
        <w:spacing w:after="60"/>
        <w:rPr>
          <w:rFonts w:ascii="Arial Narrow" w:hAnsi="Arial Narrow"/>
          <w:i/>
          <w:sz w:val="18"/>
          <w:szCs w:val="18"/>
        </w:rPr>
      </w:pPr>
      <w:bookmarkStart w:id="8" w:name="_Ref532200124"/>
      <w:bookmarkStart w:id="9" w:name="_Toc958382"/>
      <w:bookmarkStart w:id="10" w:name="_Toc2781271"/>
      <w:r w:rsidRPr="00EC499B">
        <w:rPr>
          <w:rFonts w:ascii="Arial Narrow" w:hAnsi="Arial Narrow"/>
          <w:i/>
          <w:sz w:val="18"/>
          <w:szCs w:val="18"/>
        </w:rPr>
        <w:t xml:space="preserve">ALK = </w:t>
      </w:r>
      <w:r w:rsidRPr="005100B4">
        <w:rPr>
          <w:rFonts w:ascii="Arial Narrow" w:hAnsi="Arial Narrow"/>
          <w:sz w:val="18"/>
          <w:szCs w:val="18"/>
        </w:rPr>
        <w:t>anaplastic lymphoma kinase gene</w:t>
      </w:r>
      <w:r w:rsidRPr="00EC499B">
        <w:rPr>
          <w:rFonts w:ascii="Arial Narrow" w:hAnsi="Arial Narrow"/>
          <w:i/>
          <w:sz w:val="18"/>
          <w:szCs w:val="18"/>
        </w:rPr>
        <w:t xml:space="preserve">; </w:t>
      </w:r>
      <w:r w:rsidRPr="007F786A">
        <w:rPr>
          <w:rFonts w:ascii="Arial Narrow" w:hAnsi="Arial Narrow"/>
          <w:i/>
          <w:sz w:val="18"/>
          <w:szCs w:val="18"/>
        </w:rPr>
        <w:t>EGFR</w:t>
      </w:r>
      <w:r w:rsidRPr="00EC499B">
        <w:rPr>
          <w:rFonts w:ascii="Arial Narrow" w:hAnsi="Arial Narrow"/>
          <w:i/>
          <w:sz w:val="18"/>
          <w:szCs w:val="18"/>
        </w:rPr>
        <w:t xml:space="preserve"> = </w:t>
      </w:r>
      <w:r w:rsidRPr="005100B4">
        <w:rPr>
          <w:rFonts w:ascii="Arial Narrow" w:hAnsi="Arial Narrow"/>
          <w:sz w:val="18"/>
          <w:szCs w:val="18"/>
        </w:rPr>
        <w:t>epidermal growth factor receptor</w:t>
      </w:r>
      <w:r w:rsidRPr="00EC499B">
        <w:rPr>
          <w:rFonts w:ascii="Arial Narrow" w:hAnsi="Arial Narrow"/>
          <w:i/>
          <w:sz w:val="18"/>
          <w:szCs w:val="18"/>
        </w:rPr>
        <w:t xml:space="preserve"> </w:t>
      </w:r>
      <w:r w:rsidRPr="005100B4">
        <w:rPr>
          <w:rFonts w:ascii="Arial Narrow" w:hAnsi="Arial Narrow"/>
          <w:sz w:val="18"/>
          <w:szCs w:val="18"/>
        </w:rPr>
        <w:t>gene</w:t>
      </w:r>
      <w:r>
        <w:rPr>
          <w:rFonts w:ascii="Arial Narrow" w:hAnsi="Arial Narrow"/>
          <w:sz w:val="18"/>
          <w:szCs w:val="18"/>
        </w:rPr>
        <w:t xml:space="preserve">; </w:t>
      </w:r>
      <w:r w:rsidRPr="007C7AB1">
        <w:rPr>
          <w:rFonts w:ascii="Arial Narrow" w:hAnsi="Arial Narrow"/>
          <w:sz w:val="18"/>
          <w:szCs w:val="18"/>
        </w:rPr>
        <w:t xml:space="preserve">FISH = fluorescence </w:t>
      </w:r>
      <w:r w:rsidRPr="007C7AB1">
        <w:rPr>
          <w:rFonts w:ascii="Arial Narrow" w:hAnsi="Arial Narrow"/>
          <w:i/>
          <w:sz w:val="18"/>
          <w:szCs w:val="18"/>
        </w:rPr>
        <w:t>in situ</w:t>
      </w:r>
      <w:r w:rsidRPr="007C7AB1">
        <w:rPr>
          <w:rFonts w:ascii="Arial Narrow" w:hAnsi="Arial Narrow"/>
          <w:sz w:val="18"/>
          <w:szCs w:val="18"/>
        </w:rPr>
        <w:t xml:space="preserve"> hybridization; </w:t>
      </w:r>
      <w:r w:rsidRPr="00EC499B">
        <w:rPr>
          <w:rFonts w:ascii="Arial Narrow" w:hAnsi="Arial Narrow"/>
          <w:i/>
          <w:sz w:val="18"/>
          <w:szCs w:val="18"/>
        </w:rPr>
        <w:t xml:space="preserve">ROS1 = </w:t>
      </w:r>
      <w:r w:rsidRPr="005100B4">
        <w:rPr>
          <w:rFonts w:ascii="Arial Narrow" w:hAnsi="Arial Narrow"/>
          <w:sz w:val="18"/>
          <w:szCs w:val="18"/>
        </w:rPr>
        <w:t>ROS1 receptor tyrosine kinase</w:t>
      </w:r>
      <w:r w:rsidRPr="00EC499B">
        <w:rPr>
          <w:rFonts w:ascii="Arial Narrow" w:hAnsi="Arial Narrow"/>
          <w:i/>
          <w:sz w:val="18"/>
          <w:szCs w:val="18"/>
        </w:rPr>
        <w:t xml:space="preserve"> </w:t>
      </w:r>
      <w:r w:rsidRPr="005100B4">
        <w:rPr>
          <w:rFonts w:ascii="Arial Narrow" w:hAnsi="Arial Narrow"/>
          <w:sz w:val="18"/>
          <w:szCs w:val="18"/>
        </w:rPr>
        <w:t>gene</w:t>
      </w:r>
    </w:p>
    <w:p w14:paraId="7B05DD68" w14:textId="31E43849" w:rsidR="00430101" w:rsidRDefault="00430101" w:rsidP="002906D4">
      <w:pPr>
        <w:pStyle w:val="Caption"/>
        <w:spacing w:before="240"/>
      </w:pPr>
      <w:r>
        <w:t xml:space="preserve">Table </w:t>
      </w:r>
      <w:r>
        <w:rPr>
          <w:noProof/>
        </w:rPr>
        <w:fldChar w:fldCharType="begin"/>
      </w:r>
      <w:r>
        <w:rPr>
          <w:noProof/>
        </w:rPr>
        <w:instrText xml:space="preserve"> SEQ Table \* ARABIC </w:instrText>
      </w:r>
      <w:r>
        <w:rPr>
          <w:noProof/>
        </w:rPr>
        <w:fldChar w:fldCharType="separate"/>
      </w:r>
      <w:r w:rsidR="007D7D37">
        <w:rPr>
          <w:noProof/>
        </w:rPr>
        <w:t>4</w:t>
      </w:r>
      <w:r>
        <w:rPr>
          <w:noProof/>
        </w:rPr>
        <w:fldChar w:fldCharType="end"/>
      </w:r>
      <w:bookmarkEnd w:id="8"/>
      <w:r w:rsidR="00E5766B">
        <w:tab/>
      </w:r>
      <w:r>
        <w:t xml:space="preserve">Sequential testing diagnosis of </w:t>
      </w:r>
      <w:r w:rsidRPr="007F786A">
        <w:rPr>
          <w:i/>
        </w:rPr>
        <w:t>EGFR</w:t>
      </w:r>
      <w:r>
        <w:t xml:space="preserve">, </w:t>
      </w:r>
      <w:r w:rsidRPr="00547C61">
        <w:rPr>
          <w:i/>
        </w:rPr>
        <w:t>ALK</w:t>
      </w:r>
      <w:r>
        <w:t xml:space="preserve"> and </w:t>
      </w:r>
      <w:r w:rsidRPr="00547C61">
        <w:rPr>
          <w:i/>
        </w:rPr>
        <w:t>ROS1</w:t>
      </w:r>
      <w:r>
        <w:t xml:space="preserve"> </w:t>
      </w:r>
      <w:r w:rsidR="00982345">
        <w:t>variants</w:t>
      </w:r>
      <w:r>
        <w:t xml:space="preserve"> in NSCLC patients from July 201</w:t>
      </w:r>
      <w:bookmarkEnd w:id="9"/>
      <w:bookmarkEnd w:id="10"/>
      <w:r>
        <w:t>9 to June 2020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4"/>
        <w:gridCol w:w="1700"/>
        <w:gridCol w:w="2128"/>
        <w:gridCol w:w="2214"/>
      </w:tblGrid>
      <w:tr w:rsidR="00B4759B" w:rsidRPr="000D79C4" w14:paraId="2BEF9172" w14:textId="77777777" w:rsidTr="00944BA4">
        <w:tc>
          <w:tcPr>
            <w:tcW w:w="1649" w:type="pct"/>
            <w:shd w:val="clear" w:color="auto" w:fill="auto"/>
          </w:tcPr>
          <w:p w14:paraId="2B0BCDD4" w14:textId="77777777" w:rsidR="00B4759B" w:rsidRPr="000D79C4" w:rsidRDefault="00B4759B" w:rsidP="008B1BAA">
            <w:pPr>
              <w:pStyle w:val="TableHeading"/>
            </w:pPr>
            <w:r>
              <w:t xml:space="preserve">Test eligibility for </w:t>
            </w:r>
            <w:r w:rsidRPr="00EC499B">
              <w:rPr>
                <w:lang w:val="en-US"/>
              </w:rPr>
              <w:t>NSCLC</w:t>
            </w:r>
            <w:r>
              <w:t xml:space="preserve"> patients</w:t>
            </w:r>
          </w:p>
        </w:tc>
        <w:tc>
          <w:tcPr>
            <w:tcW w:w="943" w:type="pct"/>
            <w:shd w:val="clear" w:color="auto" w:fill="auto"/>
          </w:tcPr>
          <w:p w14:paraId="7EE3F8FB" w14:textId="29F939AE" w:rsidR="00B4759B" w:rsidRPr="000D79C4" w:rsidRDefault="00B4759B" w:rsidP="00944BA4">
            <w:pPr>
              <w:pStyle w:val="TableHeading"/>
              <w:jc w:val="center"/>
            </w:pPr>
            <w:r w:rsidRPr="007F786A">
              <w:rPr>
                <w:i/>
              </w:rPr>
              <w:t>EGFR</w:t>
            </w:r>
            <w:r w:rsidR="00944BA4">
              <w:rPr>
                <w:i/>
              </w:rPr>
              <w:t xml:space="preserve"> </w:t>
            </w:r>
            <w:r>
              <w:t>(Item 73337)</w:t>
            </w:r>
          </w:p>
        </w:tc>
        <w:tc>
          <w:tcPr>
            <w:tcW w:w="1180" w:type="pct"/>
            <w:shd w:val="clear" w:color="auto" w:fill="auto"/>
          </w:tcPr>
          <w:p w14:paraId="769A8C04" w14:textId="0557D8BD" w:rsidR="00B4759B" w:rsidRPr="000D79C4" w:rsidRDefault="00B4759B" w:rsidP="00944BA4">
            <w:pPr>
              <w:pStyle w:val="TableHeading"/>
              <w:jc w:val="center"/>
            </w:pPr>
            <w:r w:rsidRPr="00547C61">
              <w:rPr>
                <w:i/>
              </w:rPr>
              <w:t>ALK</w:t>
            </w:r>
            <w:r>
              <w:t xml:space="preserve"> FISH</w:t>
            </w:r>
            <w:r w:rsidR="00944BA4">
              <w:t xml:space="preserve"> </w:t>
            </w:r>
            <w:r>
              <w:t>(Item 73341)</w:t>
            </w:r>
          </w:p>
        </w:tc>
        <w:tc>
          <w:tcPr>
            <w:tcW w:w="1229" w:type="pct"/>
            <w:shd w:val="clear" w:color="auto" w:fill="auto"/>
          </w:tcPr>
          <w:p w14:paraId="20B71D66" w14:textId="6BDA9DCF" w:rsidR="00B4759B" w:rsidRPr="000D79C4" w:rsidRDefault="00B4759B" w:rsidP="00944BA4">
            <w:pPr>
              <w:pStyle w:val="TableHeading"/>
              <w:jc w:val="center"/>
            </w:pPr>
            <w:r w:rsidRPr="00547C61">
              <w:rPr>
                <w:i/>
              </w:rPr>
              <w:t>ROS1</w:t>
            </w:r>
            <w:r>
              <w:t xml:space="preserve"> FISH</w:t>
            </w:r>
            <w:r w:rsidR="00944BA4">
              <w:t xml:space="preserve"> </w:t>
            </w:r>
            <w:r>
              <w:t>(Item 73344)</w:t>
            </w:r>
          </w:p>
        </w:tc>
      </w:tr>
      <w:tr w:rsidR="00B4759B" w:rsidRPr="00814736" w14:paraId="0CD3D08B" w14:textId="77777777" w:rsidTr="00944BA4">
        <w:tc>
          <w:tcPr>
            <w:tcW w:w="1649" w:type="pct"/>
            <w:shd w:val="clear" w:color="auto" w:fill="auto"/>
          </w:tcPr>
          <w:p w14:paraId="20AB8F84" w14:textId="77777777" w:rsidR="00B4759B" w:rsidRPr="00814736" w:rsidRDefault="00B4759B" w:rsidP="008B1BAA">
            <w:pPr>
              <w:keepNext/>
              <w:keepLines/>
              <w:spacing w:before="40" w:after="40"/>
              <w:rPr>
                <w:rFonts w:ascii="Arial Narrow" w:hAnsi="Arial Narrow"/>
                <w:sz w:val="20"/>
              </w:rPr>
            </w:pPr>
            <w:r w:rsidRPr="00814736">
              <w:rPr>
                <w:rFonts w:ascii="Arial Narrow" w:hAnsi="Arial Narrow"/>
                <w:sz w:val="20"/>
              </w:rPr>
              <w:t>Number tested</w:t>
            </w:r>
          </w:p>
        </w:tc>
        <w:tc>
          <w:tcPr>
            <w:tcW w:w="943" w:type="pct"/>
            <w:shd w:val="clear" w:color="auto" w:fill="auto"/>
          </w:tcPr>
          <w:p w14:paraId="70AD9145" w14:textId="33231BAF" w:rsidR="00B4759B" w:rsidRPr="00C66920" w:rsidRDefault="00B4759B" w:rsidP="004D645F">
            <w:pPr>
              <w:keepNext/>
              <w:keepLines/>
              <w:spacing w:before="40" w:after="40"/>
              <w:jc w:val="center"/>
              <w:rPr>
                <w:rFonts w:ascii="Arial Narrow" w:hAnsi="Arial Narrow"/>
                <w:sz w:val="20"/>
                <w:vertAlign w:val="superscript"/>
              </w:rPr>
            </w:pPr>
            <w:r>
              <w:rPr>
                <w:rFonts w:ascii="Arial Narrow" w:hAnsi="Arial Narrow"/>
                <w:sz w:val="20"/>
              </w:rPr>
              <w:t>4,643</w:t>
            </w:r>
            <w:r w:rsidRPr="002E6705">
              <w:rPr>
                <w:rFonts w:ascii="Arial Narrow" w:hAnsi="Arial Narrow"/>
                <w:sz w:val="20"/>
                <w:vertAlign w:val="superscript"/>
              </w:rPr>
              <w:t>a</w:t>
            </w:r>
          </w:p>
        </w:tc>
        <w:tc>
          <w:tcPr>
            <w:tcW w:w="1180" w:type="pct"/>
            <w:shd w:val="clear" w:color="auto" w:fill="auto"/>
          </w:tcPr>
          <w:p w14:paraId="307FCE7A" w14:textId="47FB3E84" w:rsidR="00B4759B" w:rsidRPr="00C66920" w:rsidRDefault="00B4759B" w:rsidP="00467FDA">
            <w:pPr>
              <w:keepNext/>
              <w:keepLines/>
              <w:spacing w:before="40" w:after="40"/>
              <w:jc w:val="center"/>
              <w:rPr>
                <w:rFonts w:ascii="Arial Narrow" w:hAnsi="Arial Narrow"/>
                <w:sz w:val="20"/>
                <w:vertAlign w:val="superscript"/>
              </w:rPr>
            </w:pPr>
            <w:r w:rsidRPr="002E6705">
              <w:rPr>
                <w:rFonts w:ascii="Arial Narrow" w:hAnsi="Arial Narrow"/>
                <w:sz w:val="20"/>
              </w:rPr>
              <w:t>221</w:t>
            </w:r>
            <w:r>
              <w:rPr>
                <w:rFonts w:ascii="Arial Narrow" w:hAnsi="Arial Narrow"/>
                <w:sz w:val="20"/>
                <w:vertAlign w:val="superscript"/>
              </w:rPr>
              <w:t>a</w:t>
            </w:r>
          </w:p>
        </w:tc>
        <w:tc>
          <w:tcPr>
            <w:tcW w:w="1229" w:type="pct"/>
            <w:shd w:val="clear" w:color="auto" w:fill="auto"/>
          </w:tcPr>
          <w:p w14:paraId="328754FA" w14:textId="0EB1BFF9" w:rsidR="00B4759B" w:rsidRPr="00814736" w:rsidRDefault="00B4759B" w:rsidP="00756B87">
            <w:pPr>
              <w:keepNext/>
              <w:keepLines/>
              <w:spacing w:before="40" w:after="40"/>
              <w:jc w:val="center"/>
              <w:rPr>
                <w:rFonts w:ascii="Arial Narrow" w:hAnsi="Arial Narrow"/>
                <w:sz w:val="20"/>
              </w:rPr>
            </w:pPr>
            <w:r>
              <w:rPr>
                <w:rFonts w:ascii="Arial Narrow" w:hAnsi="Arial Narrow"/>
                <w:sz w:val="20"/>
              </w:rPr>
              <w:t>247</w:t>
            </w:r>
            <w:r>
              <w:rPr>
                <w:rFonts w:ascii="Arial Narrow" w:hAnsi="Arial Narrow"/>
                <w:sz w:val="20"/>
                <w:vertAlign w:val="superscript"/>
              </w:rPr>
              <w:t>a</w:t>
            </w:r>
          </w:p>
        </w:tc>
      </w:tr>
      <w:tr w:rsidR="00B4759B" w:rsidRPr="00814736" w14:paraId="0B129F81" w14:textId="77777777" w:rsidTr="00944BA4">
        <w:tc>
          <w:tcPr>
            <w:tcW w:w="1649" w:type="pct"/>
            <w:shd w:val="clear" w:color="auto" w:fill="auto"/>
          </w:tcPr>
          <w:p w14:paraId="34F4102E" w14:textId="77777777" w:rsidR="00B4759B" w:rsidRPr="00814736" w:rsidRDefault="00B4759B" w:rsidP="008B1BAA">
            <w:pPr>
              <w:keepNext/>
              <w:keepLines/>
              <w:spacing w:before="40" w:after="40"/>
              <w:rPr>
                <w:rFonts w:ascii="Arial Narrow" w:hAnsi="Arial Narrow"/>
                <w:sz w:val="20"/>
              </w:rPr>
            </w:pPr>
            <w:r w:rsidRPr="00814736">
              <w:rPr>
                <w:rFonts w:ascii="Arial Narrow" w:hAnsi="Arial Narrow"/>
                <w:sz w:val="20"/>
              </w:rPr>
              <w:t>Number likely negative</w:t>
            </w:r>
          </w:p>
        </w:tc>
        <w:tc>
          <w:tcPr>
            <w:tcW w:w="943" w:type="pct"/>
            <w:shd w:val="clear" w:color="auto" w:fill="auto"/>
          </w:tcPr>
          <w:p w14:paraId="121D8A95" w14:textId="5C9D2364" w:rsidR="00B4759B" w:rsidRPr="00D6333C" w:rsidRDefault="00B4759B" w:rsidP="004D645F">
            <w:pPr>
              <w:keepNext/>
              <w:keepLines/>
              <w:spacing w:before="40" w:after="40"/>
              <w:jc w:val="center"/>
              <w:rPr>
                <w:rFonts w:ascii="Arial Narrow" w:hAnsi="Arial Narrow"/>
                <w:sz w:val="20"/>
              </w:rPr>
            </w:pPr>
            <w:r w:rsidRPr="00814736">
              <w:rPr>
                <w:rFonts w:ascii="Arial Narrow" w:hAnsi="Arial Narrow"/>
                <w:sz w:val="20"/>
              </w:rPr>
              <w:t>3,</w:t>
            </w:r>
            <w:r>
              <w:rPr>
                <w:rFonts w:ascii="Arial Narrow" w:hAnsi="Arial Narrow"/>
                <w:sz w:val="20"/>
              </w:rPr>
              <w:t>947</w:t>
            </w:r>
            <w:r w:rsidRPr="00814736">
              <w:rPr>
                <w:rFonts w:ascii="Arial Narrow" w:hAnsi="Arial Narrow"/>
                <w:sz w:val="20"/>
              </w:rPr>
              <w:t xml:space="preserve"> (85%)</w:t>
            </w:r>
            <w:r>
              <w:rPr>
                <w:rFonts w:ascii="Arial Narrow" w:hAnsi="Arial Narrow"/>
                <w:sz w:val="20"/>
                <w:vertAlign w:val="superscript"/>
              </w:rPr>
              <w:t>b</w:t>
            </w:r>
          </w:p>
        </w:tc>
        <w:tc>
          <w:tcPr>
            <w:tcW w:w="1180" w:type="pct"/>
            <w:shd w:val="clear" w:color="auto" w:fill="auto"/>
          </w:tcPr>
          <w:p w14:paraId="28E6A661" w14:textId="1B4BAEE5" w:rsidR="00B4759B" w:rsidRPr="00D6333C" w:rsidRDefault="00B4759B" w:rsidP="00756B87">
            <w:pPr>
              <w:keepNext/>
              <w:keepLines/>
              <w:spacing w:before="40" w:after="40"/>
              <w:jc w:val="center"/>
              <w:rPr>
                <w:rFonts w:ascii="Arial Narrow" w:hAnsi="Arial Narrow"/>
                <w:sz w:val="20"/>
              </w:rPr>
            </w:pPr>
            <w:r>
              <w:rPr>
                <w:rFonts w:ascii="Arial Narrow" w:hAnsi="Arial Narrow"/>
                <w:sz w:val="20"/>
              </w:rPr>
              <w:t>57 (26%)</w:t>
            </w:r>
            <w:r>
              <w:rPr>
                <w:rFonts w:ascii="Arial Narrow" w:hAnsi="Arial Narrow"/>
                <w:sz w:val="18"/>
                <w:szCs w:val="18"/>
                <w:vertAlign w:val="superscript"/>
              </w:rPr>
              <w:t>c</w:t>
            </w:r>
          </w:p>
        </w:tc>
        <w:tc>
          <w:tcPr>
            <w:tcW w:w="1229" w:type="pct"/>
            <w:shd w:val="clear" w:color="auto" w:fill="auto"/>
          </w:tcPr>
          <w:p w14:paraId="3FA3D441" w14:textId="4F04A56F" w:rsidR="00B4759B" w:rsidRPr="00814736" w:rsidRDefault="00B4759B" w:rsidP="002D2E89">
            <w:pPr>
              <w:keepNext/>
              <w:keepLines/>
              <w:spacing w:before="40" w:after="40"/>
              <w:jc w:val="center"/>
              <w:rPr>
                <w:rFonts w:ascii="Arial Narrow" w:hAnsi="Arial Narrow"/>
                <w:sz w:val="20"/>
              </w:rPr>
            </w:pPr>
            <w:r>
              <w:rPr>
                <w:rFonts w:ascii="Arial Narrow" w:hAnsi="Arial Narrow"/>
                <w:sz w:val="20"/>
              </w:rPr>
              <w:t xml:space="preserve">208 </w:t>
            </w:r>
            <w:r w:rsidRPr="00814736">
              <w:rPr>
                <w:rFonts w:ascii="Arial Narrow" w:hAnsi="Arial Narrow"/>
                <w:sz w:val="20"/>
              </w:rPr>
              <w:t>(</w:t>
            </w:r>
            <w:r>
              <w:rPr>
                <w:rFonts w:ascii="Arial Narrow" w:hAnsi="Arial Narrow"/>
                <w:sz w:val="20"/>
              </w:rPr>
              <w:t>84.3</w:t>
            </w:r>
            <w:r w:rsidRPr="00814736">
              <w:rPr>
                <w:rFonts w:ascii="Arial Narrow" w:hAnsi="Arial Narrow"/>
                <w:sz w:val="20"/>
              </w:rPr>
              <w:t>%)</w:t>
            </w:r>
            <w:r>
              <w:rPr>
                <w:rFonts w:ascii="Arial Narrow" w:hAnsi="Arial Narrow"/>
                <w:sz w:val="20"/>
                <w:vertAlign w:val="superscript"/>
              </w:rPr>
              <w:t>d</w:t>
            </w:r>
          </w:p>
        </w:tc>
      </w:tr>
      <w:tr w:rsidR="00B4759B" w:rsidRPr="00814736" w14:paraId="23BE33C5" w14:textId="77777777" w:rsidTr="00944BA4">
        <w:tc>
          <w:tcPr>
            <w:tcW w:w="1649" w:type="pct"/>
            <w:shd w:val="clear" w:color="auto" w:fill="auto"/>
          </w:tcPr>
          <w:p w14:paraId="647DBBD4" w14:textId="77777777" w:rsidR="00B4759B" w:rsidRPr="00814736" w:rsidRDefault="00B4759B" w:rsidP="008B1BAA">
            <w:pPr>
              <w:spacing w:before="40" w:after="40"/>
              <w:rPr>
                <w:rFonts w:ascii="Arial Narrow" w:hAnsi="Arial Narrow"/>
                <w:sz w:val="20"/>
              </w:rPr>
            </w:pPr>
            <w:r w:rsidRPr="00814736">
              <w:rPr>
                <w:rFonts w:ascii="Arial Narrow" w:hAnsi="Arial Narrow"/>
                <w:sz w:val="20"/>
              </w:rPr>
              <w:t>Number likely positive</w:t>
            </w:r>
          </w:p>
        </w:tc>
        <w:tc>
          <w:tcPr>
            <w:tcW w:w="943" w:type="pct"/>
            <w:shd w:val="clear" w:color="auto" w:fill="auto"/>
          </w:tcPr>
          <w:p w14:paraId="469B950C" w14:textId="25A861B8" w:rsidR="00B4759B" w:rsidRPr="00C66920" w:rsidRDefault="00B4759B" w:rsidP="004D645F">
            <w:pPr>
              <w:spacing w:before="40" w:after="40"/>
              <w:jc w:val="center"/>
              <w:rPr>
                <w:rFonts w:ascii="Arial Narrow" w:hAnsi="Arial Narrow"/>
                <w:sz w:val="20"/>
                <w:vertAlign w:val="superscript"/>
              </w:rPr>
            </w:pPr>
            <w:r>
              <w:rPr>
                <w:rFonts w:ascii="Arial Narrow" w:hAnsi="Arial Narrow"/>
                <w:sz w:val="20"/>
              </w:rPr>
              <w:t xml:space="preserve">696 </w:t>
            </w:r>
            <w:r w:rsidRPr="00814736">
              <w:rPr>
                <w:rFonts w:ascii="Arial Narrow" w:hAnsi="Arial Narrow"/>
                <w:sz w:val="20"/>
              </w:rPr>
              <w:t>(15%)</w:t>
            </w:r>
            <w:r>
              <w:rPr>
                <w:rFonts w:ascii="Arial Narrow" w:hAnsi="Arial Narrow"/>
                <w:sz w:val="20"/>
                <w:vertAlign w:val="superscript"/>
              </w:rPr>
              <w:t>b</w:t>
            </w:r>
          </w:p>
        </w:tc>
        <w:tc>
          <w:tcPr>
            <w:tcW w:w="1180" w:type="pct"/>
            <w:shd w:val="clear" w:color="auto" w:fill="auto"/>
          </w:tcPr>
          <w:p w14:paraId="157E5254" w14:textId="7C7007F8" w:rsidR="00B4759B" w:rsidRPr="00B860BE" w:rsidRDefault="00B4759B" w:rsidP="00944BA4">
            <w:pPr>
              <w:spacing w:before="40" w:after="40"/>
              <w:jc w:val="center"/>
              <w:rPr>
                <w:rFonts w:ascii="Arial Narrow" w:hAnsi="Arial Narrow"/>
                <w:sz w:val="20"/>
              </w:rPr>
            </w:pPr>
            <w:r>
              <w:rPr>
                <w:rFonts w:ascii="Arial Narrow" w:hAnsi="Arial Narrow"/>
                <w:sz w:val="20"/>
              </w:rPr>
              <w:t>164 (74%)</w:t>
            </w:r>
            <w:r>
              <w:rPr>
                <w:rFonts w:ascii="Arial Narrow" w:hAnsi="Arial Narrow"/>
                <w:sz w:val="18"/>
                <w:szCs w:val="18"/>
                <w:vertAlign w:val="superscript"/>
              </w:rPr>
              <w:t>c</w:t>
            </w:r>
          </w:p>
        </w:tc>
        <w:tc>
          <w:tcPr>
            <w:tcW w:w="1229" w:type="pct"/>
            <w:shd w:val="clear" w:color="auto" w:fill="auto"/>
          </w:tcPr>
          <w:p w14:paraId="0896FEEB" w14:textId="3F3A9FFD" w:rsidR="00B4759B" w:rsidRPr="00B860BE" w:rsidRDefault="00B4759B" w:rsidP="002D2E89">
            <w:pPr>
              <w:spacing w:before="40" w:after="40"/>
              <w:jc w:val="center"/>
              <w:rPr>
                <w:rFonts w:ascii="Arial Narrow" w:hAnsi="Arial Narrow"/>
                <w:sz w:val="20"/>
              </w:rPr>
            </w:pPr>
            <w:r>
              <w:rPr>
                <w:rFonts w:ascii="Arial Narrow" w:hAnsi="Arial Narrow"/>
                <w:sz w:val="20"/>
              </w:rPr>
              <w:t>39 (15.7%)</w:t>
            </w:r>
            <w:r>
              <w:rPr>
                <w:rFonts w:ascii="Arial Narrow" w:hAnsi="Arial Narrow"/>
                <w:sz w:val="20"/>
                <w:vertAlign w:val="superscript"/>
              </w:rPr>
              <w:t>d</w:t>
            </w:r>
          </w:p>
        </w:tc>
      </w:tr>
    </w:tbl>
    <w:p w14:paraId="52D4E176" w14:textId="23654F8E" w:rsidR="00430101" w:rsidRDefault="00430101" w:rsidP="00430101">
      <w:pPr>
        <w:spacing w:after="60" w:line="240" w:lineRule="auto"/>
        <w:rPr>
          <w:rFonts w:ascii="Arial Narrow" w:hAnsi="Arial Narrow"/>
          <w:sz w:val="18"/>
          <w:szCs w:val="18"/>
        </w:rPr>
      </w:pPr>
      <w:r w:rsidRPr="00EC499B">
        <w:rPr>
          <w:rFonts w:ascii="Arial Narrow" w:hAnsi="Arial Narrow"/>
          <w:i/>
          <w:sz w:val="18"/>
          <w:szCs w:val="18"/>
        </w:rPr>
        <w:t>ALK</w:t>
      </w:r>
      <w:r w:rsidRPr="009F605A">
        <w:rPr>
          <w:rFonts w:ascii="Arial Narrow" w:hAnsi="Arial Narrow"/>
          <w:sz w:val="18"/>
          <w:szCs w:val="18"/>
        </w:rPr>
        <w:t xml:space="preserve"> = anaplastic lymphoma kinase</w:t>
      </w:r>
      <w:r>
        <w:rPr>
          <w:rFonts w:ascii="Arial Narrow" w:hAnsi="Arial Narrow"/>
          <w:sz w:val="18"/>
          <w:szCs w:val="18"/>
        </w:rPr>
        <w:t xml:space="preserve"> gene</w:t>
      </w:r>
      <w:r w:rsidRPr="009F605A">
        <w:rPr>
          <w:rFonts w:ascii="Arial Narrow" w:hAnsi="Arial Narrow"/>
          <w:sz w:val="18"/>
          <w:szCs w:val="18"/>
        </w:rPr>
        <w:t xml:space="preserve">; </w:t>
      </w:r>
      <w:r w:rsidRPr="007F786A">
        <w:rPr>
          <w:rFonts w:ascii="Arial Narrow" w:hAnsi="Arial Narrow"/>
          <w:i/>
          <w:sz w:val="18"/>
          <w:szCs w:val="18"/>
        </w:rPr>
        <w:t>EGFR</w:t>
      </w:r>
      <w:r w:rsidRPr="009F605A">
        <w:rPr>
          <w:rFonts w:ascii="Arial Narrow" w:hAnsi="Arial Narrow"/>
          <w:sz w:val="18"/>
          <w:szCs w:val="18"/>
        </w:rPr>
        <w:t xml:space="preserve"> = epidermal growth factor receptor</w:t>
      </w:r>
      <w:r>
        <w:rPr>
          <w:rFonts w:ascii="Arial Narrow" w:hAnsi="Arial Narrow"/>
          <w:sz w:val="18"/>
          <w:szCs w:val="18"/>
        </w:rPr>
        <w:t xml:space="preserve"> gene</w:t>
      </w:r>
      <w:r w:rsidRPr="009F605A">
        <w:rPr>
          <w:rFonts w:ascii="Arial Narrow" w:hAnsi="Arial Narrow"/>
          <w:sz w:val="18"/>
          <w:szCs w:val="18"/>
        </w:rPr>
        <w:t xml:space="preserve">; </w:t>
      </w:r>
      <w:r>
        <w:rPr>
          <w:rFonts w:ascii="Arial Narrow" w:hAnsi="Arial Narrow"/>
          <w:sz w:val="18"/>
          <w:szCs w:val="18"/>
        </w:rPr>
        <w:t xml:space="preserve">FISH = fluorescence </w:t>
      </w:r>
      <w:r w:rsidRPr="004D0CBD">
        <w:rPr>
          <w:rFonts w:ascii="Arial Narrow" w:hAnsi="Arial Narrow"/>
          <w:i/>
          <w:sz w:val="18"/>
          <w:szCs w:val="18"/>
        </w:rPr>
        <w:t>in situ</w:t>
      </w:r>
      <w:r>
        <w:rPr>
          <w:rFonts w:ascii="Arial Narrow" w:hAnsi="Arial Narrow"/>
          <w:sz w:val="18"/>
          <w:szCs w:val="18"/>
        </w:rPr>
        <w:t xml:space="preserve"> hybridisation; </w:t>
      </w:r>
      <w:r w:rsidR="007C7AB1">
        <w:rPr>
          <w:rFonts w:ascii="Arial Narrow" w:hAnsi="Arial Narrow"/>
          <w:sz w:val="18"/>
          <w:szCs w:val="18"/>
        </w:rPr>
        <w:t>NOS = not otherwise specified;</w:t>
      </w:r>
      <w:r w:rsidR="007C7AB1" w:rsidRPr="009F605A">
        <w:rPr>
          <w:rFonts w:ascii="Arial Narrow" w:hAnsi="Arial Narrow"/>
          <w:sz w:val="18"/>
          <w:szCs w:val="18"/>
        </w:rPr>
        <w:t xml:space="preserve"> </w:t>
      </w:r>
      <w:r w:rsidRPr="009F605A">
        <w:rPr>
          <w:rFonts w:ascii="Arial Narrow" w:hAnsi="Arial Narrow"/>
          <w:sz w:val="18"/>
          <w:szCs w:val="18"/>
        </w:rPr>
        <w:t>NSCLC</w:t>
      </w:r>
      <w:r>
        <w:rPr>
          <w:rFonts w:ascii="Arial Narrow" w:hAnsi="Arial Narrow"/>
          <w:sz w:val="18"/>
          <w:szCs w:val="18"/>
        </w:rPr>
        <w:t xml:space="preserve"> </w:t>
      </w:r>
      <w:r w:rsidRPr="009F605A">
        <w:rPr>
          <w:rFonts w:ascii="Arial Narrow" w:hAnsi="Arial Narrow"/>
          <w:sz w:val="18"/>
          <w:szCs w:val="18"/>
        </w:rPr>
        <w:t>= non-small-cell lung cancer</w:t>
      </w:r>
      <w:r>
        <w:rPr>
          <w:rFonts w:ascii="Arial Narrow" w:hAnsi="Arial Narrow"/>
          <w:sz w:val="18"/>
          <w:szCs w:val="18"/>
        </w:rPr>
        <w:t xml:space="preserve">; </w:t>
      </w:r>
      <w:r w:rsidRPr="00EC499B">
        <w:rPr>
          <w:rFonts w:ascii="Arial Narrow" w:hAnsi="Arial Narrow"/>
          <w:i/>
          <w:sz w:val="18"/>
          <w:szCs w:val="18"/>
        </w:rPr>
        <w:t>ROS1</w:t>
      </w:r>
      <w:r>
        <w:rPr>
          <w:rFonts w:ascii="Arial Narrow" w:hAnsi="Arial Narrow"/>
          <w:sz w:val="18"/>
          <w:szCs w:val="18"/>
        </w:rPr>
        <w:t xml:space="preserve"> = ROS1 receptor tyrosine kinase gene</w:t>
      </w:r>
    </w:p>
    <w:p w14:paraId="4BDA3DFD" w14:textId="167C5A4C" w:rsidR="00430101" w:rsidRDefault="00430101" w:rsidP="00430101">
      <w:pPr>
        <w:spacing w:after="60" w:line="240" w:lineRule="auto"/>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Based on Medicare statistics for Items 73337 and 73341 requests for July </w:t>
      </w:r>
      <w:r w:rsidR="0064715F">
        <w:rPr>
          <w:rFonts w:ascii="Arial Narrow" w:hAnsi="Arial Narrow"/>
          <w:sz w:val="18"/>
          <w:szCs w:val="18"/>
        </w:rPr>
        <w:t>2019 to June 2020</w:t>
      </w:r>
      <w:r w:rsidR="00756B87">
        <w:rPr>
          <w:rFonts w:ascii="Arial Narrow" w:hAnsi="Arial Narrow"/>
          <w:sz w:val="18"/>
          <w:szCs w:val="18"/>
        </w:rPr>
        <w:t>.</w:t>
      </w:r>
    </w:p>
    <w:p w14:paraId="0E88EFC0" w14:textId="7E08369B" w:rsidR="00430101" w:rsidRDefault="00430101" w:rsidP="00430101">
      <w:pPr>
        <w:spacing w:after="60" w:line="240" w:lineRule="auto"/>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Based on prevalence data for </w:t>
      </w:r>
      <w:r w:rsidRPr="007F786A">
        <w:rPr>
          <w:rFonts w:ascii="Arial Narrow" w:hAnsi="Arial Narrow"/>
          <w:i/>
          <w:sz w:val="18"/>
          <w:szCs w:val="18"/>
        </w:rPr>
        <w:t>EGFR</w:t>
      </w:r>
      <w:r>
        <w:rPr>
          <w:rFonts w:ascii="Arial Narrow" w:hAnsi="Arial Narrow"/>
          <w:sz w:val="18"/>
          <w:szCs w:val="18"/>
        </w:rPr>
        <w:t xml:space="preserve"> non-squamous NSCLC or NOS </w:t>
      </w:r>
      <w:r>
        <w:rPr>
          <w:rFonts w:ascii="Arial Narrow" w:hAnsi="Arial Narrow"/>
          <w:sz w:val="18"/>
          <w:szCs w:val="18"/>
        </w:rPr>
        <w:fldChar w:fldCharType="begin"/>
      </w:r>
      <w:r>
        <w:rPr>
          <w:rFonts w:ascii="Arial Narrow" w:hAnsi="Arial Narrow"/>
          <w:sz w:val="18"/>
          <w:szCs w:val="18"/>
        </w:rPr>
        <w:instrText xml:space="preserve"> ADDIN EN.CITE &lt;EndNote&gt;&lt;Cite&gt;&lt;Author&gt;MSAC&lt;/Author&gt;&lt;Year&gt;2012&lt;/Year&gt;&lt;RecNum&gt;30&lt;/RecNum&gt;&lt;DisplayText&gt;(MSAC 2012)&lt;/DisplayText&gt;&lt;record&gt;&lt;rec-number&gt;30&lt;/rec-number&gt;&lt;foreign-keys&gt;&lt;key app="EN" db-id="0tprsse9cpp5r3ea5dz5p0xw2pfwvwxpa5a5" timestamp="1551677595"&gt;30&lt;/key&gt;&lt;/foreign-keys&gt;&lt;ref-type name="Report"&gt;27&lt;/ref-type&gt;&lt;contributors&gt;&lt;authors&gt;&lt;author&gt;MSAC&lt;/author&gt;&lt;/authors&gt;&lt;secondary-authors&gt;&lt;author&gt;Medical Servoces Advisory Committee&lt;/author&gt;&lt;/secondary-authors&gt;&lt;/contributors&gt;&lt;titles&gt;&lt;title&gt;App 1161-Final PSD - EGFR testing in NSCLC for gefitinib&lt;/title&gt;&lt;/titles&gt;&lt;dates&gt;&lt;year&gt;2012&lt;/year&gt;&lt;/dates&gt;&lt;urls&gt;&lt;/urls&gt;&lt;/record&gt;&lt;/Cite&gt;&lt;/EndNote&gt;</w:instrText>
      </w:r>
      <w:r>
        <w:rPr>
          <w:rFonts w:ascii="Arial Narrow" w:hAnsi="Arial Narrow"/>
          <w:sz w:val="18"/>
          <w:szCs w:val="18"/>
        </w:rPr>
        <w:fldChar w:fldCharType="separate"/>
      </w:r>
      <w:r>
        <w:rPr>
          <w:rFonts w:ascii="Arial Narrow" w:hAnsi="Arial Narrow"/>
          <w:noProof/>
          <w:sz w:val="18"/>
          <w:szCs w:val="18"/>
        </w:rPr>
        <w:t>(MSAC 2012)</w:t>
      </w:r>
      <w:r>
        <w:rPr>
          <w:rFonts w:ascii="Arial Narrow" w:hAnsi="Arial Narrow"/>
          <w:sz w:val="18"/>
          <w:szCs w:val="18"/>
        </w:rPr>
        <w:fldChar w:fldCharType="end"/>
      </w:r>
      <w:r w:rsidR="00756B87">
        <w:rPr>
          <w:rFonts w:ascii="Arial Narrow" w:hAnsi="Arial Narrow"/>
          <w:sz w:val="18"/>
          <w:szCs w:val="18"/>
        </w:rPr>
        <w:t>.</w:t>
      </w:r>
    </w:p>
    <w:p w14:paraId="36624E40" w14:textId="471883C0" w:rsidR="00430101" w:rsidRPr="00CC7C75" w:rsidRDefault="00430101" w:rsidP="00430101">
      <w:pPr>
        <w:spacing w:after="60" w:line="240" w:lineRule="auto"/>
        <w:rPr>
          <w:rFonts w:ascii="Arial Narrow" w:hAnsi="Arial Narrow"/>
          <w:sz w:val="18"/>
          <w:szCs w:val="18"/>
        </w:rPr>
      </w:pPr>
      <w:r>
        <w:rPr>
          <w:rFonts w:ascii="Arial Narrow" w:hAnsi="Arial Narrow"/>
          <w:sz w:val="18"/>
          <w:szCs w:val="18"/>
          <w:vertAlign w:val="superscript"/>
        </w:rPr>
        <w:t>c</w:t>
      </w:r>
      <w:r>
        <w:rPr>
          <w:rFonts w:ascii="Arial Narrow" w:hAnsi="Arial Narrow"/>
          <w:sz w:val="18"/>
          <w:szCs w:val="18"/>
        </w:rPr>
        <w:t xml:space="preserve"> Based on a sensitivity of ALK IHC of 1</w:t>
      </w:r>
      <w:r w:rsidR="00A348BE">
        <w:rPr>
          <w:rFonts w:ascii="Arial Narrow" w:hAnsi="Arial Narrow"/>
          <w:sz w:val="18"/>
          <w:szCs w:val="18"/>
        </w:rPr>
        <w:t>00%</w:t>
      </w:r>
      <w:r w:rsidR="00EF3B82">
        <w:rPr>
          <w:rFonts w:ascii="Arial Narrow" w:hAnsi="Arial Narrow"/>
          <w:sz w:val="18"/>
          <w:szCs w:val="18"/>
        </w:rPr>
        <w:t>,</w:t>
      </w:r>
      <w:r w:rsidR="00A348BE">
        <w:rPr>
          <w:rFonts w:ascii="Arial Narrow" w:hAnsi="Arial Narrow"/>
          <w:sz w:val="18"/>
          <w:szCs w:val="18"/>
        </w:rPr>
        <w:t xml:space="preserve"> a specificity of ALK IHC of 95%</w:t>
      </w:r>
      <w:r w:rsidR="00FB4609">
        <w:rPr>
          <w:rFonts w:ascii="Arial Narrow" w:hAnsi="Arial Narrow"/>
          <w:sz w:val="18"/>
          <w:szCs w:val="18"/>
        </w:rPr>
        <w:t xml:space="preserve"> and prevalence of ALK of 3%</w:t>
      </w:r>
      <w:r w:rsidR="004474D3">
        <w:rPr>
          <w:rFonts w:ascii="Arial Narrow" w:hAnsi="Arial Narrow"/>
          <w:sz w:val="18"/>
          <w:szCs w:val="18"/>
        </w:rPr>
        <w:t xml:space="preserve"> </w:t>
      </w:r>
      <w:r w:rsidR="004474D3">
        <w:rPr>
          <w:rFonts w:ascii="Arial Narrow" w:hAnsi="Arial Narrow"/>
          <w:sz w:val="18"/>
          <w:szCs w:val="18"/>
        </w:rPr>
        <w:fldChar w:fldCharType="begin"/>
      </w:r>
      <w:r w:rsidR="004474D3">
        <w:rPr>
          <w:rFonts w:ascii="Arial Narrow" w:hAnsi="Arial Narrow"/>
          <w:sz w:val="18"/>
          <w:szCs w:val="18"/>
        </w:rPr>
        <w:instrText xml:space="preserve"> ADDIN EN.CITE &lt;EndNote&gt;&lt;Cite&gt;&lt;Author&gt;MSAC&lt;/Author&gt;&lt;Year&gt;2014&lt;/Year&gt;&lt;RecNum&gt;31&lt;/RecNum&gt;&lt;DisplayText&gt;(MSAC 2014)&lt;/DisplayText&gt;&lt;record&gt;&lt;rec-number&gt;31&lt;/rec-number&gt;&lt;foreign-keys&gt;&lt;key app="EN" db-id="0tprsse9cpp5r3ea5dz5p0xw2pfwvwxpa5a5" timestamp="1551677596"&gt;31&lt;/key&gt;&lt;/foreign-keys&gt;&lt;ref-type name="Report"&gt;27&lt;/ref-type&gt;&lt;contributors&gt;&lt;authors&gt;&lt;author&gt;MSAC&lt;/author&gt;&lt;/authors&gt;&lt;secondary-authors&gt;&lt;author&gt;Medical Services Advisory Committee&lt;/author&gt;&lt;/secondary-authors&gt;&lt;/contributors&gt;&lt;titles&gt;&lt;title&gt;App 1250.1-Final PSD - ALK testing for crizotinib&lt;/title&gt;&lt;secondary-title&gt;Public summary document&lt;/secondary-title&gt;&lt;/titles&gt;&lt;dates&gt;&lt;year&gt;2014&lt;/year&gt;&lt;/dates&gt;&lt;urls&gt;&lt;/urls&gt;&lt;/record&gt;&lt;/Cite&gt;&lt;/EndNote&gt;</w:instrText>
      </w:r>
      <w:r w:rsidR="004474D3">
        <w:rPr>
          <w:rFonts w:ascii="Arial Narrow" w:hAnsi="Arial Narrow"/>
          <w:sz w:val="18"/>
          <w:szCs w:val="18"/>
        </w:rPr>
        <w:fldChar w:fldCharType="separate"/>
      </w:r>
      <w:r w:rsidR="004474D3">
        <w:rPr>
          <w:rFonts w:ascii="Arial Narrow" w:hAnsi="Arial Narrow"/>
          <w:noProof/>
          <w:sz w:val="18"/>
          <w:szCs w:val="18"/>
        </w:rPr>
        <w:t>(MSAC 2014)</w:t>
      </w:r>
      <w:r w:rsidR="004474D3">
        <w:rPr>
          <w:rFonts w:ascii="Arial Narrow" w:hAnsi="Arial Narrow"/>
          <w:sz w:val="18"/>
          <w:szCs w:val="18"/>
        </w:rPr>
        <w:fldChar w:fldCharType="end"/>
      </w:r>
      <w:r w:rsidR="00107A35">
        <w:rPr>
          <w:rFonts w:ascii="Arial Narrow" w:hAnsi="Arial Narrow"/>
          <w:sz w:val="18"/>
          <w:szCs w:val="18"/>
        </w:rPr>
        <w:t>, with FISH as the reference standard, the positive predictive value of ALK IHC (74%) is the proportion positive on FISH after testing positive on IHC.</w:t>
      </w:r>
    </w:p>
    <w:p w14:paraId="50BAB51B" w14:textId="23B1EB77" w:rsidR="00EF3B82" w:rsidRDefault="00C92D0A" w:rsidP="00430101">
      <w:pPr>
        <w:spacing w:after="60" w:line="240" w:lineRule="auto"/>
        <w:rPr>
          <w:rFonts w:ascii="Arial Narrow" w:hAnsi="Arial Narrow"/>
          <w:sz w:val="18"/>
          <w:szCs w:val="18"/>
        </w:rPr>
      </w:pPr>
      <w:r>
        <w:rPr>
          <w:rFonts w:ascii="Arial Narrow" w:hAnsi="Arial Narrow"/>
          <w:sz w:val="18"/>
          <w:szCs w:val="18"/>
          <w:vertAlign w:val="superscript"/>
        </w:rPr>
        <w:t xml:space="preserve">d </w:t>
      </w:r>
      <w:r w:rsidR="00EF3B82">
        <w:rPr>
          <w:rFonts w:ascii="Arial Narrow" w:hAnsi="Arial Narrow"/>
          <w:sz w:val="18"/>
          <w:szCs w:val="18"/>
        </w:rPr>
        <w:t xml:space="preserve">Based on a sensitivity of ROS1 IHC of 95.1%, a specificity of ROS1 IHC of 93.8% and prevalence of ROS1 of 1.2% </w:t>
      </w:r>
      <w:r w:rsidR="00EF3B82">
        <w:rPr>
          <w:rFonts w:ascii="Arial Narrow" w:hAnsi="Arial Narrow"/>
          <w:sz w:val="18"/>
          <w:szCs w:val="18"/>
        </w:rPr>
        <w:fldChar w:fldCharType="begin"/>
      </w:r>
      <w:r w:rsidR="00EF3B82">
        <w:rPr>
          <w:rFonts w:ascii="Arial Narrow" w:hAnsi="Arial Narrow"/>
          <w:sz w:val="18"/>
          <w:szCs w:val="18"/>
        </w:rPr>
        <w:instrText xml:space="preserve"> ADDIN EN.CITE &lt;EndNote&gt;&lt;Cite&gt;&lt;Author&gt;MSAC&lt;/Author&gt;&lt;Year&gt;2018&lt;/Year&gt;&lt;RecNum&gt;32&lt;/RecNum&gt;&lt;DisplayText&gt;(MSAC 2018)&lt;/DisplayText&gt;&lt;record&gt;&lt;rec-number&gt;32&lt;/rec-number&gt;&lt;foreign-keys&gt;&lt;key app="EN" db-id="0tprsse9cpp5r3ea5dz5p0xw2pfwvwxpa5a5" timestamp="1551677596"&gt;32&lt;/key&gt;&lt;/foreign-keys&gt;&lt;ref-type name="Report"&gt;27&lt;/ref-type&gt;&lt;contributors&gt;&lt;authors&gt;&lt;author&gt;MSAC&lt;/author&gt;&lt;/authors&gt;&lt;secondary-authors&gt;&lt;author&gt;Medical Services Advisory Committee&lt;/author&gt;&lt;/secondary-authors&gt;&lt;/contributors&gt;&lt;titles&gt;&lt;title&gt;App 1454-Final PSD - update Jul 2018-1 ROS1 testing for crizotinib&lt;/title&gt;&lt;secondary-title&gt;Public Summary Document&lt;/secondary-title&gt;&lt;/titles&gt;&lt;dates&gt;&lt;year&gt;2018&lt;/year&gt;&lt;/dates&gt;&lt;urls&gt;&lt;/urls&gt;&lt;/record&gt;&lt;/Cite&gt;&lt;/EndNote&gt;</w:instrText>
      </w:r>
      <w:r w:rsidR="00EF3B82">
        <w:rPr>
          <w:rFonts w:ascii="Arial Narrow" w:hAnsi="Arial Narrow"/>
          <w:sz w:val="18"/>
          <w:szCs w:val="18"/>
        </w:rPr>
        <w:fldChar w:fldCharType="separate"/>
      </w:r>
      <w:r w:rsidR="00EF3B82">
        <w:rPr>
          <w:rFonts w:ascii="Arial Narrow" w:hAnsi="Arial Narrow"/>
          <w:noProof/>
          <w:sz w:val="18"/>
          <w:szCs w:val="18"/>
        </w:rPr>
        <w:t>(MSAC 2018)</w:t>
      </w:r>
      <w:r w:rsidR="00EF3B82">
        <w:rPr>
          <w:rFonts w:ascii="Arial Narrow" w:hAnsi="Arial Narrow"/>
          <w:sz w:val="18"/>
          <w:szCs w:val="18"/>
        </w:rPr>
        <w:fldChar w:fldCharType="end"/>
      </w:r>
      <w:r w:rsidR="00EF3B82">
        <w:rPr>
          <w:rFonts w:ascii="Arial Narrow" w:hAnsi="Arial Narrow"/>
          <w:sz w:val="18"/>
          <w:szCs w:val="18"/>
        </w:rPr>
        <w:t>, with FISH as the reference standard, the positive predictive value of ROS1 IHC (15.7%) is the proportion positive on FISH after testing positive on IHC</w:t>
      </w:r>
      <w:r w:rsidR="00756B87">
        <w:rPr>
          <w:rFonts w:ascii="Arial Narrow" w:hAnsi="Arial Narrow"/>
          <w:sz w:val="18"/>
          <w:szCs w:val="18"/>
        </w:rPr>
        <w:t>.</w:t>
      </w:r>
    </w:p>
    <w:p w14:paraId="1132CFD8" w14:textId="77777777" w:rsidR="00DA2A63" w:rsidRDefault="00DA2A63">
      <w:r>
        <w:br w:type="page"/>
      </w:r>
    </w:p>
    <w:p w14:paraId="5B049ECD" w14:textId="010AAA45" w:rsidR="00430101" w:rsidRPr="00263D08" w:rsidRDefault="00430101" w:rsidP="00467FDA">
      <w:pPr>
        <w:spacing w:before="240"/>
      </w:pPr>
      <w:r w:rsidRPr="00183E4D">
        <w:lastRenderedPageBreak/>
        <w:t>The MBS item</w:t>
      </w:r>
      <w:r w:rsidR="00E65C96">
        <w:t>s</w:t>
      </w:r>
      <w:r w:rsidRPr="00263D08">
        <w:t xml:space="preserve"> relevant </w:t>
      </w:r>
      <w:r w:rsidR="00E65C96">
        <w:t xml:space="preserve">to the </w:t>
      </w:r>
      <w:r w:rsidRPr="00263D08">
        <w:t>comparator are summarised below.</w:t>
      </w:r>
    </w:p>
    <w:p w14:paraId="5B4CF8AF" w14:textId="14300206" w:rsidR="00430101" w:rsidRPr="00183E4D" w:rsidRDefault="00430101" w:rsidP="002906D4">
      <w:pPr>
        <w:pStyle w:val="Caption"/>
      </w:pPr>
      <w:bookmarkStart w:id="11" w:name="_Ref350151252"/>
      <w:bookmarkStart w:id="12" w:name="_Ref350151231"/>
      <w:bookmarkStart w:id="13" w:name="_Toc350258536"/>
      <w:bookmarkStart w:id="14" w:name="_Toc381969860"/>
      <w:bookmarkStart w:id="15" w:name="_Toc2781270"/>
      <w:r w:rsidRPr="00263D08">
        <w:t xml:space="preserve">Table </w:t>
      </w:r>
      <w:r>
        <w:rPr>
          <w:noProof/>
        </w:rPr>
        <w:fldChar w:fldCharType="begin"/>
      </w:r>
      <w:r>
        <w:rPr>
          <w:noProof/>
        </w:rPr>
        <w:instrText xml:space="preserve"> SEQ Table \* ARABIC </w:instrText>
      </w:r>
      <w:r>
        <w:rPr>
          <w:noProof/>
        </w:rPr>
        <w:fldChar w:fldCharType="separate"/>
      </w:r>
      <w:r w:rsidR="007D7D37">
        <w:rPr>
          <w:noProof/>
        </w:rPr>
        <w:t>5</w:t>
      </w:r>
      <w:r>
        <w:rPr>
          <w:noProof/>
        </w:rPr>
        <w:fldChar w:fldCharType="end"/>
      </w:r>
      <w:bookmarkEnd w:id="11"/>
      <w:r w:rsidRPr="00263D08">
        <w:rPr>
          <w:noProof/>
        </w:rPr>
        <w:tab/>
      </w:r>
      <w:r w:rsidRPr="00263D08">
        <w:t>Relevant MBS item</w:t>
      </w:r>
      <w:r w:rsidR="00E65C96">
        <w:t>s</w:t>
      </w:r>
      <w:r w:rsidRPr="00263D08">
        <w:t xml:space="preserve"> for the </w:t>
      </w:r>
      <w:bookmarkEnd w:id="12"/>
      <w:bookmarkEnd w:id="13"/>
      <w:r w:rsidRPr="00263D08">
        <w:t>comparator</w:t>
      </w:r>
      <w:bookmarkEnd w:id="14"/>
      <w:bookmarkEnd w:id="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Relevant MBS item for the comparator"/>
        <w:tblDescription w:val="This table describes the current item descriptor in the Medicare Benefits Schedule for the main comparator technology."/>
      </w:tblPr>
      <w:tblGrid>
        <w:gridCol w:w="9021"/>
      </w:tblGrid>
      <w:tr w:rsidR="00430101" w:rsidRPr="00183E4D" w14:paraId="53A6A524" w14:textId="77777777" w:rsidTr="00E65C96">
        <w:trPr>
          <w:trHeight w:val="335"/>
        </w:trPr>
        <w:tc>
          <w:tcPr>
            <w:tcW w:w="9021" w:type="dxa"/>
          </w:tcPr>
          <w:p w14:paraId="32ED4617" w14:textId="77777777" w:rsidR="00430101" w:rsidRPr="00183E4D" w:rsidRDefault="00430101" w:rsidP="008B1BAA">
            <w:pPr>
              <w:pStyle w:val="Tabletext"/>
              <w:tabs>
                <w:tab w:val="right" w:pos="8695"/>
              </w:tabs>
            </w:pPr>
            <w:r w:rsidRPr="00183E4D">
              <w:t xml:space="preserve">Category </w:t>
            </w:r>
            <w:r w:rsidRPr="0059214C">
              <w:t xml:space="preserve">6 – </w:t>
            </w:r>
            <w:r>
              <w:t>PATHOLOGY SERVICES</w:t>
            </w:r>
            <w:r>
              <w:tab/>
              <w:t>Group P7 - Genetics</w:t>
            </w:r>
          </w:p>
        </w:tc>
      </w:tr>
      <w:tr w:rsidR="00430101" w:rsidRPr="00183E4D" w14:paraId="07327C75" w14:textId="77777777" w:rsidTr="00E65C96">
        <w:tc>
          <w:tcPr>
            <w:tcW w:w="9021" w:type="dxa"/>
          </w:tcPr>
          <w:p w14:paraId="3B1A262D" w14:textId="7BEAD03F" w:rsidR="00430101" w:rsidRPr="00263D08" w:rsidRDefault="002D2E89" w:rsidP="008B1BAA">
            <w:pPr>
              <w:pStyle w:val="Tabletext"/>
              <w:rPr>
                <w:b/>
              </w:rPr>
            </w:pPr>
            <w:r w:rsidRPr="00263D08">
              <w:rPr>
                <w:b/>
              </w:rPr>
              <w:t>7284</w:t>
            </w:r>
            <w:r>
              <w:rPr>
                <w:b/>
              </w:rPr>
              <w:t>7</w:t>
            </w:r>
          </w:p>
          <w:p w14:paraId="75376CDA" w14:textId="410F3BDB" w:rsidR="00430101" w:rsidRDefault="00430101" w:rsidP="008B1BAA">
            <w:pPr>
              <w:pStyle w:val="Tabletext"/>
            </w:pPr>
            <w:r>
              <w:t xml:space="preserve">Immunohistochemical examination of biopsy material by immunofluorescence, immunoperoxidase or other labelled antibody techniques with multiple antigenic specificities per specimen - </w:t>
            </w:r>
            <w:r w:rsidR="002D2E89">
              <w:t>4-6</w:t>
            </w:r>
            <w:r>
              <w:t xml:space="preserve"> antibodies </w:t>
            </w:r>
          </w:p>
          <w:p w14:paraId="6A57E599" w14:textId="77777777" w:rsidR="00430101" w:rsidRPr="00BB3D7A" w:rsidRDefault="00430101" w:rsidP="008B1BAA">
            <w:pPr>
              <w:pStyle w:val="Tabletext"/>
              <w:rPr>
                <w:sz w:val="16"/>
                <w:szCs w:val="16"/>
              </w:rPr>
            </w:pPr>
          </w:p>
          <w:p w14:paraId="491008E8" w14:textId="532E7C97" w:rsidR="00430101" w:rsidRPr="00183E4D" w:rsidRDefault="00430101" w:rsidP="004C3DF7">
            <w:pPr>
              <w:pStyle w:val="Tabletext"/>
            </w:pPr>
            <w:r>
              <w:rPr>
                <w:b/>
                <w:bCs/>
              </w:rPr>
              <w:t>Fee:</w:t>
            </w:r>
            <w:r>
              <w:t xml:space="preserve"> $</w:t>
            </w:r>
            <w:r w:rsidR="004C3DF7">
              <w:t>89.40</w:t>
            </w:r>
            <w:r>
              <w:t xml:space="preserve"> </w:t>
            </w:r>
            <w:r>
              <w:rPr>
                <w:b/>
                <w:bCs/>
              </w:rPr>
              <w:t>Benefit:</w:t>
            </w:r>
            <w:r>
              <w:t xml:space="preserve"> 75% = $</w:t>
            </w:r>
            <w:r w:rsidR="004C3DF7">
              <w:t>67.05</w:t>
            </w:r>
            <w:r>
              <w:t xml:space="preserve"> 85% = $</w:t>
            </w:r>
            <w:r w:rsidR="004C3DF7">
              <w:t>76.00</w:t>
            </w:r>
          </w:p>
        </w:tc>
      </w:tr>
      <w:tr w:rsidR="00B94846" w:rsidRPr="00183E4D" w14:paraId="4806F1FD" w14:textId="77777777" w:rsidTr="00E65C96">
        <w:tc>
          <w:tcPr>
            <w:tcW w:w="9021" w:type="dxa"/>
          </w:tcPr>
          <w:p w14:paraId="4BDE229C" w14:textId="77777777" w:rsidR="00B94846" w:rsidRPr="007D427F" w:rsidRDefault="00B94846" w:rsidP="008B1BAA">
            <w:pPr>
              <w:pStyle w:val="Tabletext"/>
              <w:rPr>
                <w:b/>
              </w:rPr>
            </w:pPr>
            <w:r w:rsidRPr="007D427F">
              <w:rPr>
                <w:b/>
              </w:rPr>
              <w:t>72849</w:t>
            </w:r>
          </w:p>
          <w:p w14:paraId="61B7198F" w14:textId="77777777" w:rsidR="00B94846" w:rsidRDefault="00B94846" w:rsidP="00B94846">
            <w:pPr>
              <w:pStyle w:val="Tabletext"/>
            </w:pPr>
            <w:r>
              <w:t>Immunohistochemical examination of biopsy material by immunofluorescence, immunoperoxidase or other labelled antibody techniques with multiple antigenic specificities per specimen - 7-10 antibodies</w:t>
            </w:r>
          </w:p>
          <w:p w14:paraId="16DF5B16" w14:textId="77777777" w:rsidR="00B94846" w:rsidRDefault="00B94846" w:rsidP="00B94846">
            <w:pPr>
              <w:pStyle w:val="Tabletext"/>
            </w:pPr>
          </w:p>
          <w:p w14:paraId="4B398933" w14:textId="11B60794" w:rsidR="00B94846" w:rsidRDefault="00B94846" w:rsidP="00B94846">
            <w:pPr>
              <w:pStyle w:val="Tabletext"/>
            </w:pPr>
            <w:r w:rsidRPr="007D427F">
              <w:rPr>
                <w:b/>
              </w:rPr>
              <w:t>Fee</w:t>
            </w:r>
            <w:r>
              <w:t xml:space="preserve">: $104.30 </w:t>
            </w:r>
            <w:r w:rsidRPr="007D427F">
              <w:rPr>
                <w:b/>
              </w:rPr>
              <w:t>Benefit</w:t>
            </w:r>
            <w:r>
              <w:t>: 75% = $78.25 85% = $88.70</w:t>
            </w:r>
          </w:p>
          <w:p w14:paraId="18427172" w14:textId="39995AB4" w:rsidR="00B94846" w:rsidRPr="007D427F" w:rsidDel="002D2E89" w:rsidRDefault="00B94846" w:rsidP="008B1BAA">
            <w:pPr>
              <w:pStyle w:val="Tabletext"/>
            </w:pPr>
          </w:p>
        </w:tc>
      </w:tr>
      <w:tr w:rsidR="00430101" w:rsidRPr="00183E4D" w14:paraId="2E2B2CC6" w14:textId="77777777" w:rsidTr="00E65C96">
        <w:tc>
          <w:tcPr>
            <w:tcW w:w="9021" w:type="dxa"/>
          </w:tcPr>
          <w:p w14:paraId="36DD559E" w14:textId="77777777" w:rsidR="00430101" w:rsidRPr="00263D08" w:rsidRDefault="00430101" w:rsidP="008B1BAA">
            <w:pPr>
              <w:pStyle w:val="Tabletext"/>
              <w:rPr>
                <w:b/>
              </w:rPr>
            </w:pPr>
            <w:r w:rsidRPr="00263D08">
              <w:rPr>
                <w:b/>
              </w:rPr>
              <w:t>73337</w:t>
            </w:r>
          </w:p>
          <w:p w14:paraId="642A6251" w14:textId="77777777" w:rsidR="00430101" w:rsidRDefault="00430101" w:rsidP="008B1BAA">
            <w:pPr>
              <w:pStyle w:val="Tabletext"/>
            </w:pPr>
            <w: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w:t>
            </w:r>
            <w:r w:rsidRPr="007F786A">
              <w:rPr>
                <w:i/>
              </w:rPr>
              <w:t>EGFR</w:t>
            </w:r>
            <w:r>
              <w:t>) gene status for access to erlotinib, gefitinib or afatinib under the Pharmaceutical Benefits Scheme (PBS) are fulfilled.</w:t>
            </w:r>
          </w:p>
          <w:p w14:paraId="490AA80C" w14:textId="77777777" w:rsidR="00430101" w:rsidRPr="00BB3D7A" w:rsidRDefault="00430101" w:rsidP="008B1BAA">
            <w:pPr>
              <w:pStyle w:val="Tabletext"/>
              <w:rPr>
                <w:sz w:val="16"/>
                <w:szCs w:val="16"/>
              </w:rPr>
            </w:pPr>
          </w:p>
          <w:p w14:paraId="38DDC068" w14:textId="77777777" w:rsidR="00430101" w:rsidRPr="00183E4D" w:rsidRDefault="00430101" w:rsidP="008B1BAA">
            <w:pPr>
              <w:pStyle w:val="Tabletext"/>
            </w:pPr>
            <w:r>
              <w:rPr>
                <w:b/>
                <w:bCs/>
              </w:rPr>
              <w:t>Fee:</w:t>
            </w:r>
            <w:r>
              <w:t xml:space="preserve"> $397.35 </w:t>
            </w:r>
            <w:r>
              <w:rPr>
                <w:b/>
                <w:bCs/>
              </w:rPr>
              <w:t>Benefit:</w:t>
            </w:r>
            <w:r>
              <w:t xml:space="preserve"> 75% = $298.05 85% = $337.75</w:t>
            </w:r>
          </w:p>
        </w:tc>
      </w:tr>
      <w:tr w:rsidR="00430101" w:rsidRPr="00183E4D" w14:paraId="5033E0C2" w14:textId="77777777" w:rsidTr="00E65C96">
        <w:tc>
          <w:tcPr>
            <w:tcW w:w="9021" w:type="dxa"/>
          </w:tcPr>
          <w:p w14:paraId="49617D59" w14:textId="77777777" w:rsidR="00430101" w:rsidRPr="00263D08" w:rsidRDefault="00430101" w:rsidP="008B1BAA">
            <w:pPr>
              <w:pStyle w:val="Tabletext"/>
              <w:rPr>
                <w:b/>
              </w:rPr>
            </w:pPr>
            <w:r w:rsidRPr="00263D08">
              <w:rPr>
                <w:b/>
              </w:rPr>
              <w:t>73341</w:t>
            </w:r>
          </w:p>
          <w:p w14:paraId="3C129BDE" w14:textId="1B4F04C9" w:rsidR="00430101" w:rsidRDefault="00430101" w:rsidP="008B1BAA">
            <w:pPr>
              <w:pStyle w:val="Tabletext"/>
            </w:pPr>
            <w:r>
              <w:t>Fluorescence in situ hybridisation (FISH) test of tumour tissue from a patient with locally advanced or metastatic non-small cell lung cancer, which is of non-squamous histology or histology not otherwise specified, with documented evidence of anaplastic lymphoma kinase (</w:t>
            </w:r>
            <w:r w:rsidRPr="00547C61">
              <w:rPr>
                <w:i/>
              </w:rPr>
              <w:t>ALK</w:t>
            </w:r>
            <w:r>
              <w:t>) immunoreactivity by immunohistochemical (IHC) examination giving a staining intensity score &gt; 0, and with documented absence of activating mutations of the epidermal growth factor receptor (</w:t>
            </w:r>
            <w:r w:rsidRPr="007F786A">
              <w:rPr>
                <w:i/>
              </w:rPr>
              <w:t>EGFR</w:t>
            </w:r>
            <w:r>
              <w:t xml:space="preserve">) gene, requested by a specialist or consultant physician to determine if requirements relating to </w:t>
            </w:r>
            <w:r w:rsidRPr="00547C61">
              <w:rPr>
                <w:i/>
              </w:rPr>
              <w:t>ALK</w:t>
            </w:r>
            <w:r>
              <w:t xml:space="preserve"> gene rearrangement status for access to </w:t>
            </w:r>
            <w:r w:rsidR="00FF7302">
              <w:t>an anaplastic lymphoma kinase inhibitor</w:t>
            </w:r>
            <w:r>
              <w:t xml:space="preserve"> under the Pharmaceutical Benefits Scheme (PBS) are fulfilled</w:t>
            </w:r>
            <w:r w:rsidR="00D050BE">
              <w:t>.</w:t>
            </w:r>
          </w:p>
          <w:p w14:paraId="30F27A00" w14:textId="77777777" w:rsidR="00430101" w:rsidRPr="00BB3D7A" w:rsidRDefault="00430101" w:rsidP="008B1BAA">
            <w:pPr>
              <w:pStyle w:val="Tabletext"/>
              <w:rPr>
                <w:sz w:val="16"/>
                <w:szCs w:val="16"/>
              </w:rPr>
            </w:pPr>
          </w:p>
          <w:p w14:paraId="613F307C" w14:textId="77777777" w:rsidR="00430101" w:rsidRPr="00183E4D" w:rsidRDefault="00430101" w:rsidP="008B1BAA">
            <w:pPr>
              <w:pStyle w:val="Tabletext"/>
            </w:pPr>
            <w:r>
              <w:rPr>
                <w:b/>
                <w:bCs/>
              </w:rPr>
              <w:t>Fee:</w:t>
            </w:r>
            <w:r>
              <w:t xml:space="preserve"> $400.00 </w:t>
            </w:r>
            <w:r>
              <w:rPr>
                <w:b/>
                <w:bCs/>
              </w:rPr>
              <w:t>Benefit:</w:t>
            </w:r>
            <w:r>
              <w:t xml:space="preserve"> 75% = $300.00 85% = $340.00</w:t>
            </w:r>
          </w:p>
        </w:tc>
      </w:tr>
      <w:tr w:rsidR="00430101" w:rsidRPr="00183E4D" w14:paraId="44E35D99" w14:textId="77777777" w:rsidTr="00E65C96">
        <w:tc>
          <w:tcPr>
            <w:tcW w:w="9021" w:type="dxa"/>
          </w:tcPr>
          <w:p w14:paraId="714258E7" w14:textId="77777777" w:rsidR="00430101" w:rsidRPr="00263D08" w:rsidRDefault="00430101" w:rsidP="008B1BAA">
            <w:pPr>
              <w:pStyle w:val="Tabletext"/>
              <w:rPr>
                <w:b/>
              </w:rPr>
            </w:pPr>
            <w:r w:rsidRPr="00263D08">
              <w:rPr>
                <w:b/>
              </w:rPr>
              <w:t>73344</w:t>
            </w:r>
          </w:p>
          <w:p w14:paraId="19597B60" w14:textId="58FB8EEF" w:rsidR="00430101" w:rsidRDefault="00430101" w:rsidP="008B1BAA">
            <w:pPr>
              <w:pStyle w:val="Tabletext"/>
            </w:pPr>
            <w:r>
              <w:t>Fluorescence in situ hybridization (FISH) test of tumour tissue from a patient with locally advanced or metastatic non-small-cell lung cancer (NSCLC), which is of non-squamous histology or histology not otherwise specified, with documented evidence</w:t>
            </w:r>
            <w:r w:rsidR="007C7AB1">
              <w:t xml:space="preserve"> of ROS proto-oncogene 1 (ROS1) </w:t>
            </w:r>
            <w:r>
              <w:t>immunoreactivity by immunohistochemical (IHC) examination giving a staining intensity score of 2+ or 3+; and with documented absence of both activating mutations of the epidermal growth factor receptor (</w:t>
            </w:r>
            <w:r w:rsidRPr="007F786A">
              <w:rPr>
                <w:i/>
              </w:rPr>
              <w:t>EGFR</w:t>
            </w:r>
            <w:r>
              <w:t xml:space="preserve">) gene and anaplastic lymphoma kinase (ALK) immunoreactivity by IHC, requested by a specialist or consultant physician to determine if requirements relating to </w:t>
            </w:r>
            <w:r w:rsidRPr="00547C61">
              <w:rPr>
                <w:i/>
              </w:rPr>
              <w:t>ROS1</w:t>
            </w:r>
            <w:r>
              <w:t xml:space="preserve"> gene rearrangement status for access to crizotinib </w:t>
            </w:r>
            <w:r w:rsidR="00FF7302">
              <w:t xml:space="preserve">or entrectinib </w:t>
            </w:r>
            <w:r>
              <w:t>under the Pharmaceutical Benefits Scheme are fulfilled.</w:t>
            </w:r>
          </w:p>
          <w:p w14:paraId="18DEC341" w14:textId="77777777" w:rsidR="00430101" w:rsidRPr="00BB3D7A" w:rsidRDefault="00430101" w:rsidP="008B1BAA">
            <w:pPr>
              <w:pStyle w:val="Tabletext"/>
              <w:rPr>
                <w:sz w:val="16"/>
                <w:szCs w:val="16"/>
              </w:rPr>
            </w:pPr>
          </w:p>
          <w:p w14:paraId="34F562FD" w14:textId="77777777" w:rsidR="00430101" w:rsidRPr="00183E4D" w:rsidRDefault="00430101" w:rsidP="008B1BAA">
            <w:pPr>
              <w:pStyle w:val="Tabletext"/>
            </w:pPr>
            <w:r>
              <w:rPr>
                <w:b/>
                <w:bCs/>
              </w:rPr>
              <w:t>Fee:</w:t>
            </w:r>
            <w:r>
              <w:t xml:space="preserve"> $400.00 </w:t>
            </w:r>
            <w:r>
              <w:rPr>
                <w:b/>
                <w:bCs/>
              </w:rPr>
              <w:t>Benefit:</w:t>
            </w:r>
            <w:r>
              <w:t xml:space="preserve"> 75% = $300.00 85% = $340.00</w:t>
            </w:r>
          </w:p>
        </w:tc>
      </w:tr>
      <w:tr w:rsidR="002D2E89" w:rsidRPr="00183E4D" w14:paraId="4AAB40CB" w14:textId="77777777" w:rsidTr="00E65C96">
        <w:tc>
          <w:tcPr>
            <w:tcW w:w="9021" w:type="dxa"/>
          </w:tcPr>
          <w:p w14:paraId="352A6F0A" w14:textId="77777777" w:rsidR="002D2E89" w:rsidRDefault="002D2E89" w:rsidP="008B1BAA">
            <w:pPr>
              <w:pStyle w:val="Tabletext"/>
              <w:rPr>
                <w:b/>
              </w:rPr>
            </w:pPr>
            <w:r>
              <w:rPr>
                <w:b/>
              </w:rPr>
              <w:t>72860</w:t>
            </w:r>
          </w:p>
          <w:p w14:paraId="7E5EED38" w14:textId="77777777" w:rsidR="002D2E89" w:rsidRPr="00756B87" w:rsidRDefault="002D2E89" w:rsidP="00756B87">
            <w:pPr>
              <w:pStyle w:val="Tabletext"/>
            </w:pPr>
            <w:r w:rsidRPr="00756B87">
              <w:t>Retrieval and review of one or more archived formalin fixed paraffin embedded blocks to determine the appropriate samples for the purpose of conducting genetic testing, other than:</w:t>
            </w:r>
          </w:p>
          <w:p w14:paraId="1ABF88B7" w14:textId="77777777" w:rsidR="002D2E89" w:rsidRPr="00756B87" w:rsidRDefault="002D2E89" w:rsidP="00756B87">
            <w:pPr>
              <w:pStyle w:val="Tabletext"/>
            </w:pPr>
            <w:r w:rsidRPr="00756B87">
              <w:t>(a) a service associated with a service to which item 72858 or 72859 applies; or</w:t>
            </w:r>
          </w:p>
          <w:p w14:paraId="40EC8243" w14:textId="77777777" w:rsidR="002D2E89" w:rsidRPr="00756B87" w:rsidRDefault="002D2E89" w:rsidP="00756B87">
            <w:pPr>
              <w:pStyle w:val="Tabletext"/>
            </w:pPr>
            <w:r w:rsidRPr="00756B87">
              <w:t>(b) a service associated with, and rendered in the same patient episode as, a service to which an item in Group P5, P6, P10 or P11 applies</w:t>
            </w:r>
          </w:p>
          <w:p w14:paraId="4C4E1D81" w14:textId="77777777" w:rsidR="002D2E89" w:rsidRPr="00756B87" w:rsidRDefault="002D2E89" w:rsidP="00756B87">
            <w:pPr>
              <w:pStyle w:val="Tabletext"/>
            </w:pPr>
            <w:r w:rsidRPr="00756B87">
              <w:t>Applicable not more than once in a patient episode</w:t>
            </w:r>
          </w:p>
          <w:p w14:paraId="754A7BF9" w14:textId="1C5EA994" w:rsidR="002D2E89" w:rsidRPr="00756B87" w:rsidRDefault="002D2E89" w:rsidP="00756B87">
            <w:pPr>
              <w:pStyle w:val="Tabletext"/>
            </w:pPr>
            <w:r w:rsidRPr="00756B87">
              <w:t> </w:t>
            </w:r>
          </w:p>
          <w:p w14:paraId="032557F0" w14:textId="15899E08" w:rsidR="002D2E89" w:rsidRPr="00756B87" w:rsidRDefault="002D2E89" w:rsidP="008B1BAA">
            <w:pPr>
              <w:pStyle w:val="Tabletext"/>
            </w:pPr>
            <w:r w:rsidRPr="00756B87">
              <w:t xml:space="preserve">Fee: $85.00 Benefit: 75% = $63.75 85% = $72.25 </w:t>
            </w:r>
          </w:p>
        </w:tc>
      </w:tr>
    </w:tbl>
    <w:p w14:paraId="7D52406A" w14:textId="6AF166FA" w:rsidR="001B455F" w:rsidRDefault="001B455F" w:rsidP="00467FDA">
      <w:pPr>
        <w:spacing w:before="240"/>
      </w:pPr>
      <w:r w:rsidRPr="002E6705">
        <w:lastRenderedPageBreak/>
        <w:t xml:space="preserve">The cost of sequential testing would </w:t>
      </w:r>
      <w:r>
        <w:t xml:space="preserve">differ depending on how sequential testing is conducted with regards to the timing of the tests, whether a specialist attendance is required to request FISH tests and the proportion of tests that get referred </w:t>
      </w:r>
      <w:r w:rsidR="007C7AB1">
        <w:t>for central laboratory testing.</w:t>
      </w:r>
    </w:p>
    <w:p w14:paraId="6983C30A" w14:textId="6CA8C4EB" w:rsidR="00896D1D" w:rsidRDefault="00F31206" w:rsidP="002D2E89">
      <w:r>
        <w:t>Not all tumour samples are sufficient to be able to determine the presence o</w:t>
      </w:r>
      <w:r w:rsidR="00E90C71">
        <w:t xml:space="preserve">r </w:t>
      </w:r>
      <w:r>
        <w:t xml:space="preserve">absence of biomarkers. Yu et al. </w:t>
      </w:r>
      <w:r w:rsidR="003C07F3">
        <w:fldChar w:fldCharType="begin"/>
      </w:r>
      <w:r w:rsidR="003C07F3">
        <w:instrText xml:space="preserve"> ADDIN EN.CITE &lt;EndNote&gt;&lt;Cite ExcludeAuth="1"&gt;&lt;Author&gt;Yu&lt;/Author&gt;&lt;Year&gt;2018&lt;/Year&gt;&lt;RecNum&gt;7&lt;/RecNum&gt;&lt;DisplayText&gt;(2018)&lt;/DisplayText&gt;&lt;record&gt;&lt;rec-number&gt;7&lt;/rec-number&gt;&lt;foreign-keys&gt;&lt;key app="EN" db-id="pdttedtfkzdwabesftmp9z9bwz2ps9zs5tx2" timestamp="1604532237"&gt;7&lt;/key&gt;&lt;/foreign-keys&gt;&lt;ref-type name="Journal Article"&gt;17&lt;/ref-type&gt;&lt;contributors&gt;&lt;authors&gt;&lt;author&gt;Yu, T. M.&lt;/author&gt;&lt;author&gt;Morrison, C.&lt;/author&gt;&lt;author&gt;Gold, E. J.&lt;/author&gt;&lt;author&gt;Tradonsky, A.&lt;/author&gt;&lt;author&gt;Layton, A. J.&lt;/author&gt;&lt;/authors&gt;&lt;/contributors&gt;&lt;auth-address&gt;Navigant Consulting, Inc, San Francisco, CA. Electronic address: tiffany.yu@navigant.com.&amp;#xD;OmniSeq, LLC, Buffalo, NY.&amp;#xD;Old Hook Medical Associates, Emerson, NJ.&amp;#xD;Navigant Consulting, Inc, San Francisco, CA.&lt;/auth-address&gt;&lt;titles&gt;&lt;title&gt;Multiple Biomarker Testing Tissue Consumption and Completion Rates With Single-gene Tests and Investigational Use of Oncomine Dx Target Test for Advanced Non-Small-cell Lung Cancer: A Single-center Analysis&lt;/title&gt;&lt;secondary-title&gt;Clin Lung Cancer&lt;/secondary-title&gt;&lt;/titles&gt;&lt;periodical&gt;&lt;full-title&gt;Clin Lung Cancer&lt;/full-title&gt;&lt;/periodical&gt;&lt;edition&gt;2018/09/24&lt;/edition&gt;&lt;keywords&gt;&lt;keyword&gt;Genetic&lt;/keyword&gt;&lt;keyword&gt;Molecular assessment&lt;/keyword&gt;&lt;keyword&gt;Ngs&lt;/keyword&gt;&lt;keyword&gt;Next generation sequencing&lt;/keyword&gt;&lt;keyword&gt;Tissue stewardship&lt;/keyword&gt;&lt;/keywords&gt;&lt;dates&gt;&lt;year&gt;2018&lt;/year&gt;&lt;pub-dates&gt;&lt;date&gt;Aug 23&lt;/date&gt;&lt;/pub-dates&gt;&lt;/dates&gt;&lt;isbn&gt;1938-0690 (Electronic)&amp;#xD;1525-7304 (Linking)&lt;/isbn&gt;&lt;accession-num&gt;30243889&lt;/accession-num&gt;&lt;urls&gt;&lt;related-urls&gt;&lt;url&gt;https://ac.els-cdn.com/S1525730418302043/1-s2.0-S1525730418302043-main.pdf?_tid=4733d9d4-5802-4be9-8ea9-c6ac76587966&amp;amp;acdnat=1550019352_35f5d2b48488229cfe110f7716e15235&lt;/url&gt;&lt;/related-urls&gt;&lt;/urls&gt;&lt;electronic-resource-num&gt;10.1016/j.cllc.2018.08.010&lt;/electronic-resource-num&gt;&lt;remote-database-provider&gt;NLM&lt;/remote-database-provider&gt;&lt;language&gt;eng&lt;/language&gt;&lt;/record&gt;&lt;/Cite&gt;&lt;/EndNote&gt;</w:instrText>
      </w:r>
      <w:r w:rsidR="003C07F3">
        <w:fldChar w:fldCharType="separate"/>
      </w:r>
      <w:r w:rsidR="003C07F3">
        <w:rPr>
          <w:noProof/>
        </w:rPr>
        <w:t>(2018)</w:t>
      </w:r>
      <w:r w:rsidR="003C07F3">
        <w:fldChar w:fldCharType="end"/>
      </w:r>
      <w:r>
        <w:t xml:space="preserve"> reported that as the number of single-gene tests ordered increased, a reduction in the proportion of samples that could complete each additional test was observed, in NSCLC patients. This study observed that 11.6% of samples </w:t>
      </w:r>
      <w:r w:rsidR="0006375B">
        <w:t>were insufficient to have a</w:t>
      </w:r>
      <w:r>
        <w:t xml:space="preserve"> single-gene test</w:t>
      </w:r>
      <w:r w:rsidR="0006375B">
        <w:t xml:space="preserve"> completed</w:t>
      </w:r>
      <w:r>
        <w:t>, which is consistent with previous MSAC advice that suggested that 12% of patients would require a rebiopsy (MSAC Application 1161, November 2012). When two or three single-gene tests were requested (such as for ALK and ROS1 testing), the proportion of samples that could not complete the requested number of tests increased to 15% and 22.9%, respectively.</w:t>
      </w:r>
      <w:r w:rsidR="002D2E89">
        <w:t xml:space="preserve"> </w:t>
      </w:r>
    </w:p>
    <w:p w14:paraId="52F5B4B5" w14:textId="77777777" w:rsidR="00896D1D" w:rsidRPr="00896D1D" w:rsidRDefault="00896D1D" w:rsidP="00896D1D">
      <w:pPr>
        <w:rPr>
          <w:i/>
        </w:rPr>
      </w:pPr>
      <w:r w:rsidRPr="00896D1D">
        <w:rPr>
          <w:i/>
        </w:rPr>
        <w:t>PASC advised that the proportion of samples that were insufficient for testing reported by Yu et al. (2018) was likely an overestimate because Australian practice has already optimised sample collection and handling.</w:t>
      </w:r>
    </w:p>
    <w:p w14:paraId="29D12FB6" w14:textId="2E6E9AD7" w:rsidR="004D0CBD" w:rsidRPr="00763FAA" w:rsidRDefault="004D0CBD" w:rsidP="004D0CBD">
      <w:pPr>
        <w:rPr>
          <w:i/>
        </w:rPr>
      </w:pPr>
      <w:r w:rsidRPr="00763FAA">
        <w:rPr>
          <w:i/>
        </w:rPr>
        <w:t>PASC noted that the applicant</w:t>
      </w:r>
      <w:r w:rsidR="00E65C96" w:rsidRPr="00763FAA">
        <w:rPr>
          <w:i/>
        </w:rPr>
        <w:t>s</w:t>
      </w:r>
      <w:r w:rsidRPr="00763FAA">
        <w:rPr>
          <w:i/>
        </w:rPr>
        <w:t xml:space="preserve"> requested that near market comparators of MET exon 14 skipping alterations, and NTRK1, NTRK2, NTRK3 and KRAS G12C variants be incorporated into the list of eligible comparators. PASC considered that it would be necessary to identify the related evidentiary standards from the studies of the related codependent medicines to be considered by PBAC, and to extend the related comparative analytical performance assessments to include these additional biomarkers.</w:t>
      </w:r>
    </w:p>
    <w:p w14:paraId="5F389B7A" w14:textId="41A2F332" w:rsidR="00F31206" w:rsidRDefault="004D0CBD" w:rsidP="004D0CBD">
      <w:r w:rsidRPr="00763FAA">
        <w:rPr>
          <w:i/>
        </w:rPr>
        <w:t>PASC advised that the near market comparators should not be included as part of the base case for the economics and financial analyses, but may be considered as part of their sensitivity analyses.</w:t>
      </w:r>
      <w:r w:rsidR="00691192">
        <w:t xml:space="preserve"> This will require the applicant</w:t>
      </w:r>
      <w:r w:rsidR="00E65C96">
        <w:t>s</w:t>
      </w:r>
      <w:r w:rsidR="00691192">
        <w:t xml:space="preserve"> to make a judgement call regarding what the near market comparator costs would likely to be.</w:t>
      </w:r>
    </w:p>
    <w:p w14:paraId="570E93AC" w14:textId="666CF290" w:rsidR="00896845" w:rsidRPr="004B4240" w:rsidRDefault="00896845" w:rsidP="004B4240">
      <w:pPr>
        <w:pStyle w:val="Heading3"/>
        <w:keepNext w:val="0"/>
        <w:keepLines w:val="0"/>
        <w:spacing w:before="0" w:after="200"/>
        <w:rPr>
          <w:rFonts w:ascii="Calibri" w:eastAsia="Calibri" w:hAnsi="Calibri" w:cs="Times New Roman"/>
          <w:b/>
          <w:color w:val="auto"/>
          <w:sz w:val="22"/>
          <w:szCs w:val="22"/>
        </w:rPr>
      </w:pPr>
      <w:r w:rsidRPr="004B4240">
        <w:rPr>
          <w:rFonts w:ascii="Calibri" w:eastAsia="Calibri" w:hAnsi="Calibri" w:cs="Times New Roman"/>
          <w:b/>
          <w:color w:val="auto"/>
          <w:sz w:val="22"/>
          <w:szCs w:val="22"/>
        </w:rPr>
        <w:t>Outcomes</w:t>
      </w:r>
    </w:p>
    <w:p w14:paraId="65441D0D" w14:textId="6CBA111D" w:rsidR="002A66BD" w:rsidRDefault="002A66BD">
      <w:pPr>
        <w:rPr>
          <w:i/>
          <w:u w:val="single"/>
        </w:rPr>
      </w:pPr>
      <w:r w:rsidRPr="002A66BD">
        <w:rPr>
          <w:i/>
          <w:u w:val="single"/>
        </w:rPr>
        <w:t>Patient relevant</w:t>
      </w:r>
    </w:p>
    <w:p w14:paraId="68A8D449" w14:textId="33FC14A8" w:rsidR="001A5D0C" w:rsidRDefault="009337C3">
      <w:r w:rsidRPr="009337C3">
        <w:rPr>
          <w:b/>
        </w:rPr>
        <w:t>Safety</w:t>
      </w:r>
      <w:r>
        <w:t xml:space="preserve">: One of the clinical claims is that a benefit of simultaneous testing using an NGS assay is the smaller amount of total tumour tissue required than sequential testing for individual biomarkers. The outcomes of interest for safety are therefore the </w:t>
      </w:r>
      <w:r w:rsidR="001A5D0C">
        <w:t xml:space="preserve">rate of rebiopsy and adverse events associated with the </w:t>
      </w:r>
      <w:r>
        <w:t xml:space="preserve">rebiopsy </w:t>
      </w:r>
      <w:r w:rsidR="001A5D0C">
        <w:t>procedure</w:t>
      </w:r>
      <w:r w:rsidR="007C7AB1">
        <w:t xml:space="preserve"> in each arm.</w:t>
      </w:r>
    </w:p>
    <w:p w14:paraId="45471622" w14:textId="449BA9DF" w:rsidR="007B4803" w:rsidRDefault="007B4803">
      <w:r>
        <w:t>As a proxy for rebiopsy rate, test failure rate and inadequate sampl</w:t>
      </w:r>
      <w:r w:rsidR="00467FDA">
        <w:t>e rate should also be reported.</w:t>
      </w:r>
    </w:p>
    <w:p w14:paraId="25324D32" w14:textId="50B8B5C6" w:rsidR="001A5D0C" w:rsidRDefault="001A5D0C">
      <w:r w:rsidRPr="009337C3">
        <w:rPr>
          <w:b/>
        </w:rPr>
        <w:t>Clinical effectiveness</w:t>
      </w:r>
      <w:r w:rsidR="00467FDA">
        <w:t>:</w:t>
      </w:r>
    </w:p>
    <w:p w14:paraId="212821D9" w14:textId="46AA5AD0" w:rsidR="00B47AFC" w:rsidRDefault="00B47AFC" w:rsidP="009337C3">
      <w:r>
        <w:t>Any direct evidence available comparing the health outcomes (overall survival/ mortality) of patients tested with an NGS assay versus the comparator sequent</w:t>
      </w:r>
      <w:r w:rsidR="00467FDA">
        <w:t>ial testing should be reported.</w:t>
      </w:r>
    </w:p>
    <w:p w14:paraId="39EC0A32" w14:textId="42F9206D" w:rsidR="00C929A4" w:rsidRDefault="009337C3" w:rsidP="009337C3">
      <w:r>
        <w:t>Preliminary evidence presented in the application form suggests that NGS is more sensitive at detecting the biomarkers than alternative testing methodologies (Schrock et al. 2016; Ali et al. 2016, Lin et al. 2019).</w:t>
      </w:r>
    </w:p>
    <w:p w14:paraId="276AA58C" w14:textId="77777777" w:rsidR="00C929A4" w:rsidRPr="00C929A4" w:rsidRDefault="000A6CCF" w:rsidP="009337C3">
      <w:pPr>
        <w:rPr>
          <w:i/>
        </w:rPr>
      </w:pPr>
      <w:r w:rsidRPr="00C929A4">
        <w:rPr>
          <w:i/>
        </w:rPr>
        <w:lastRenderedPageBreak/>
        <w:t>PASC considered that it would be important to assess the applicability of these studies to the Australian setting, where there is IHC triage for ALK and ROS1 and not just FISH testing. PASC noted that ALK FISH is a complex assay due to the small split apart of signal, and that there could be false negatives if IHC was not also considered.</w:t>
      </w:r>
      <w:r w:rsidR="009337C3" w:rsidRPr="00C929A4">
        <w:rPr>
          <w:i/>
        </w:rPr>
        <w:t xml:space="preserve"> </w:t>
      </w:r>
    </w:p>
    <w:p w14:paraId="5E55CD71" w14:textId="7005BE83" w:rsidR="008B1BAA" w:rsidRDefault="009337C3" w:rsidP="009337C3">
      <w:r>
        <w:t>Th</w:t>
      </w:r>
      <w:r w:rsidR="00997D07">
        <w:t>e</w:t>
      </w:r>
      <w:r>
        <w:t xml:space="preserve"> hypothesis is that the additional patients identified would benefit from receiving targeted therapy, rather than immunotherapy ± chemotherapy.</w:t>
      </w:r>
    </w:p>
    <w:p w14:paraId="3BEAD20F" w14:textId="251667F4" w:rsidR="008B1BAA" w:rsidRDefault="00014037">
      <w:r>
        <w:t xml:space="preserve">The applicants </w:t>
      </w:r>
      <w:r w:rsidR="008B1BAA">
        <w:t>will therefore be requ</w:t>
      </w:r>
      <w:r w:rsidR="00467FDA">
        <w:t>ired to present the results of:</w:t>
      </w:r>
    </w:p>
    <w:p w14:paraId="6339057A" w14:textId="3A190B5B" w:rsidR="008B1BAA" w:rsidRDefault="0006375B" w:rsidP="00203497">
      <w:pPr>
        <w:pStyle w:val="ListParagraph"/>
        <w:numPr>
          <w:ilvl w:val="0"/>
          <w:numId w:val="19"/>
        </w:numPr>
      </w:pPr>
      <w:r>
        <w:t xml:space="preserve">Positive percent agreement and negative percent agreement (akin to the concepts of sensitivity and specificity) of the NGS assays, </w:t>
      </w:r>
      <w:r w:rsidR="00203497">
        <w:t>compared against the evidentiary standards</w:t>
      </w:r>
      <w:r w:rsidR="00C857A3">
        <w:t>;</w:t>
      </w:r>
      <w:r w:rsidR="00203497">
        <w:t xml:space="preserve"> </w:t>
      </w:r>
      <w:r w:rsidR="008B1BAA">
        <w:t xml:space="preserve">(the tests used in the key trials </w:t>
      </w:r>
      <w:r w:rsidR="006147B6">
        <w:t xml:space="preserve">that </w:t>
      </w:r>
      <w:r w:rsidR="008B1BAA">
        <w:t>established the clinical uti</w:t>
      </w:r>
      <w:r w:rsidR="00203497">
        <w:t>lity of the targeted therapies);</w:t>
      </w:r>
    </w:p>
    <w:p w14:paraId="0B536A74" w14:textId="4F501DF9" w:rsidR="00C857A3" w:rsidRDefault="00C857A3" w:rsidP="00C857A3">
      <w:pPr>
        <w:pStyle w:val="ListParagraph"/>
        <w:numPr>
          <w:ilvl w:val="0"/>
          <w:numId w:val="19"/>
        </w:numPr>
      </w:pPr>
      <w:r>
        <w:t>Positive predictive value and negative predictive value of the NGS assays, compared against the evidentiary standards;</w:t>
      </w:r>
    </w:p>
    <w:p w14:paraId="4F330276" w14:textId="394EEDC9" w:rsidR="008B1BAA" w:rsidRDefault="001F62F1" w:rsidP="001F62F1">
      <w:pPr>
        <w:pStyle w:val="ListParagraph"/>
        <w:numPr>
          <w:ilvl w:val="0"/>
          <w:numId w:val="19"/>
        </w:numPr>
      </w:pPr>
      <w:r>
        <w:t>C</w:t>
      </w:r>
      <w:r w:rsidR="0006375B">
        <w:t xml:space="preserve">oncordance between NGS assays and </w:t>
      </w:r>
      <w:r w:rsidR="008B1BAA">
        <w:t>the comparator tests</w:t>
      </w:r>
      <w:r w:rsidR="0006375B">
        <w:t xml:space="preserve"> (if different from the evidentiary standards)</w:t>
      </w:r>
      <w:r w:rsidR="00467FDA">
        <w:t>, and</w:t>
      </w:r>
    </w:p>
    <w:p w14:paraId="5BEFE047" w14:textId="5D796F63" w:rsidR="001F62F1" w:rsidRDefault="001F62F1" w:rsidP="00467FDA">
      <w:pPr>
        <w:pStyle w:val="ListParagraph"/>
        <w:numPr>
          <w:ilvl w:val="0"/>
          <w:numId w:val="19"/>
        </w:numPr>
      </w:pPr>
      <w:r>
        <w:t>Concordance between NGS assays (i.e. concordance between the FoundationOne® CDx and the assays exp</w:t>
      </w:r>
      <w:r w:rsidR="00467FDA">
        <w:t>ected to be used in Australia).</w:t>
      </w:r>
    </w:p>
    <w:p w14:paraId="17CB89A9" w14:textId="596C1235" w:rsidR="008B1BAA" w:rsidRDefault="008B1BAA">
      <w:r>
        <w:t>Furthermore, the clinical impact of the discordant results should be examined to establish the</w:t>
      </w:r>
      <w:r w:rsidR="00467FDA">
        <w:t>:</w:t>
      </w:r>
    </w:p>
    <w:p w14:paraId="2DA49D2C" w14:textId="669F97FB" w:rsidR="008B1BAA" w:rsidRDefault="008B1BAA" w:rsidP="002E6705">
      <w:pPr>
        <w:pStyle w:val="ListParagraph"/>
        <w:numPr>
          <w:ilvl w:val="0"/>
          <w:numId w:val="19"/>
        </w:numPr>
      </w:pPr>
      <w:r>
        <w:t>Effectiveness of targeted treatment in the additional patients identified as suitable for NGS, compared to im</w:t>
      </w:r>
      <w:r w:rsidR="00467FDA">
        <w:t>munotherapy ± chemotherapy; and</w:t>
      </w:r>
    </w:p>
    <w:p w14:paraId="6928B8A4" w14:textId="595258A0" w:rsidR="008B1BAA" w:rsidRDefault="00FF4D90" w:rsidP="002E6705">
      <w:pPr>
        <w:pStyle w:val="ListParagraph"/>
        <w:numPr>
          <w:ilvl w:val="0"/>
          <w:numId w:val="19"/>
        </w:numPr>
      </w:pPr>
      <w:r>
        <w:t>Effectiveness of the targeted treatment in the additional patients identified as suitable for NGS, compared to patients receiving targeted treatments after being identified using comparator biomarker tests</w:t>
      </w:r>
      <w:r w:rsidR="00951A40">
        <w:t>.</w:t>
      </w:r>
    </w:p>
    <w:p w14:paraId="35FD056E" w14:textId="35BB1C94" w:rsidR="000A6CCF" w:rsidRPr="00C929A4" w:rsidRDefault="000A6CCF" w:rsidP="00C813B3">
      <w:pPr>
        <w:rPr>
          <w:i/>
        </w:rPr>
      </w:pPr>
      <w:r w:rsidRPr="00C929A4">
        <w:rPr>
          <w:i/>
        </w:rPr>
        <w:t xml:space="preserve">PASC considered that if a positive biomarker </w:t>
      </w:r>
      <w:r w:rsidR="0053635E" w:rsidRPr="00C929A4">
        <w:rPr>
          <w:i/>
        </w:rPr>
        <w:t xml:space="preserve">as defined for PBS eligibility </w:t>
      </w:r>
      <w:r w:rsidRPr="00C929A4">
        <w:rPr>
          <w:i/>
        </w:rPr>
        <w:t>is detected by one assay, then the same clinical response can be expected as if it were detected by any other assay, and therefore the second point above relates primarily to the sensitivity of the different assays.</w:t>
      </w:r>
    </w:p>
    <w:p w14:paraId="541BBB6E" w14:textId="75B82F57" w:rsidR="00644C24" w:rsidRPr="00C929A4" w:rsidRDefault="00644C24" w:rsidP="00C813B3">
      <w:pPr>
        <w:rPr>
          <w:i/>
        </w:rPr>
      </w:pPr>
      <w:r w:rsidRPr="00C929A4">
        <w:rPr>
          <w:i/>
        </w:rPr>
        <w:t xml:space="preserve">PASC noted that in order to establish the </w:t>
      </w:r>
      <w:r w:rsidR="009B2075" w:rsidRPr="00C929A4">
        <w:rPr>
          <w:i/>
        </w:rPr>
        <w:t xml:space="preserve">comparative </w:t>
      </w:r>
      <w:r w:rsidRPr="00C929A4">
        <w:rPr>
          <w:i/>
        </w:rPr>
        <w:t xml:space="preserve">effectiveness of testing, the clinical consequences of discordant results should be considered. </w:t>
      </w:r>
      <w:r w:rsidR="009B2075" w:rsidRPr="00C929A4">
        <w:rPr>
          <w:i/>
        </w:rPr>
        <w:t>For example, i</w:t>
      </w:r>
      <w:r w:rsidRPr="00C929A4">
        <w:rPr>
          <w:i/>
        </w:rPr>
        <w:t xml:space="preserve">n patients identified as suitable for targeted treatment by CGP and not through the current testing strategy, it is possible that treatment would be as effective as it is in those identified through the current testing strategy. However, if </w:t>
      </w:r>
      <w:r w:rsidR="009B2075" w:rsidRPr="00C929A4">
        <w:rPr>
          <w:i/>
        </w:rPr>
        <w:t xml:space="preserve">any estimate of </w:t>
      </w:r>
      <w:r w:rsidRPr="00C929A4">
        <w:rPr>
          <w:i/>
        </w:rPr>
        <w:t>treatment effectiveness in the discordant group</w:t>
      </w:r>
      <w:r w:rsidR="009B2075" w:rsidRPr="00C929A4">
        <w:rPr>
          <w:i/>
        </w:rPr>
        <w:t>s</w:t>
      </w:r>
      <w:r w:rsidRPr="00C929A4">
        <w:rPr>
          <w:i/>
        </w:rPr>
        <w:t xml:space="preserve"> is not established with evidence, it will need to be assumed, and this assumption should be explicit.</w:t>
      </w:r>
    </w:p>
    <w:p w14:paraId="471EC7B1" w14:textId="47ED28EE" w:rsidR="00644C24" w:rsidRPr="00C929A4" w:rsidRDefault="0031359B" w:rsidP="00C813B3">
      <w:pPr>
        <w:rPr>
          <w:i/>
        </w:rPr>
      </w:pPr>
      <w:r w:rsidRPr="00C929A4">
        <w:rPr>
          <w:i/>
        </w:rPr>
        <w:t>PASC noted that where discordant results are found</w:t>
      </w:r>
      <w:r w:rsidR="009B2075" w:rsidRPr="00C929A4">
        <w:rPr>
          <w:i/>
        </w:rPr>
        <w:t xml:space="preserve"> for the biomarkers as defined</w:t>
      </w:r>
      <w:r w:rsidRPr="00C929A4">
        <w:rPr>
          <w:i/>
        </w:rPr>
        <w:t>, in general, it</w:t>
      </w:r>
      <w:r w:rsidR="0043056C" w:rsidRPr="00C929A4">
        <w:rPr>
          <w:i/>
        </w:rPr>
        <w:t xml:space="preserve"> i</w:t>
      </w:r>
      <w:r w:rsidRPr="00C929A4">
        <w:rPr>
          <w:i/>
        </w:rPr>
        <w:t>s reasonable to assume in favour of CGP.</w:t>
      </w:r>
      <w:r w:rsidR="009B2075" w:rsidRPr="00C929A4">
        <w:rPr>
          <w:i/>
        </w:rPr>
        <w:t xml:space="preserve"> Further consideration will need to be given to where CGP identifies pathogenic variants in the relevant genes beyond those currently defined</w:t>
      </w:r>
      <w:r w:rsidR="007D427F" w:rsidRPr="00C929A4">
        <w:rPr>
          <w:i/>
        </w:rPr>
        <w:t xml:space="preserve"> as the biomarker</w:t>
      </w:r>
      <w:r w:rsidR="009B2075" w:rsidRPr="00C929A4">
        <w:rPr>
          <w:i/>
        </w:rPr>
        <w:t>.</w:t>
      </w:r>
    </w:p>
    <w:p w14:paraId="28A63A98" w14:textId="50A62EA7" w:rsidR="004F0375" w:rsidRPr="00C929A4" w:rsidRDefault="00581E48" w:rsidP="00440228">
      <w:pPr>
        <w:rPr>
          <w:i/>
        </w:rPr>
      </w:pPr>
      <w:r w:rsidRPr="00C929A4">
        <w:rPr>
          <w:i/>
        </w:rPr>
        <w:t xml:space="preserve">PASC </w:t>
      </w:r>
      <w:r w:rsidR="009B2075" w:rsidRPr="00C929A4">
        <w:rPr>
          <w:i/>
        </w:rPr>
        <w:t xml:space="preserve">considered </w:t>
      </w:r>
      <w:r w:rsidRPr="00C929A4">
        <w:rPr>
          <w:i/>
        </w:rPr>
        <w:t>that “turnaround time” was a relevant outcome to include.</w:t>
      </w:r>
    </w:p>
    <w:p w14:paraId="3B5F9113" w14:textId="77777777" w:rsidR="00DA2A63" w:rsidRDefault="00DA2A63">
      <w:pPr>
        <w:rPr>
          <w:i/>
          <w:u w:val="single"/>
        </w:rPr>
      </w:pPr>
      <w:r>
        <w:rPr>
          <w:i/>
          <w:u w:val="single"/>
        </w:rPr>
        <w:br w:type="page"/>
      </w:r>
    </w:p>
    <w:p w14:paraId="20161307" w14:textId="0F7CA200" w:rsidR="003E0382" w:rsidRPr="002A66BD" w:rsidRDefault="002A66BD" w:rsidP="00440228">
      <w:pPr>
        <w:rPr>
          <w:i/>
          <w:u w:val="single"/>
        </w:rPr>
      </w:pPr>
      <w:r w:rsidRPr="002A66BD">
        <w:rPr>
          <w:i/>
          <w:u w:val="single"/>
        </w:rPr>
        <w:lastRenderedPageBreak/>
        <w:t>Health</w:t>
      </w:r>
      <w:r w:rsidR="00752491">
        <w:rPr>
          <w:i/>
          <w:u w:val="single"/>
        </w:rPr>
        <w:t>care</w:t>
      </w:r>
      <w:r w:rsidRPr="002A66BD">
        <w:rPr>
          <w:i/>
          <w:u w:val="single"/>
        </w:rPr>
        <w:t xml:space="preserve"> system</w:t>
      </w:r>
    </w:p>
    <w:p w14:paraId="6CEB1F95" w14:textId="101904F5" w:rsidR="00410E73" w:rsidRDefault="00C71254" w:rsidP="002B3338">
      <w:r>
        <w:t xml:space="preserve">Cost of testing and </w:t>
      </w:r>
      <w:r w:rsidR="00410E73">
        <w:t>any associated rebiopsies</w:t>
      </w:r>
    </w:p>
    <w:p w14:paraId="2ADFD2B8" w14:textId="1877B6F2" w:rsidR="00410E73" w:rsidRDefault="00410E73" w:rsidP="002B3338">
      <w:r>
        <w:t xml:space="preserve">Cost-effectiveness </w:t>
      </w:r>
      <w:r w:rsidR="005F43F2">
        <w:t>of testing and downstream implications</w:t>
      </w:r>
    </w:p>
    <w:p w14:paraId="768EFED6" w14:textId="4D45F7BB" w:rsidR="00665AB2" w:rsidRDefault="005F43F2" w:rsidP="002B3338">
      <w:r>
        <w:t>Financial implications.</w:t>
      </w:r>
    </w:p>
    <w:p w14:paraId="5D4B5F0A" w14:textId="77777777" w:rsidR="00896845" w:rsidRPr="001C0894" w:rsidRDefault="00896845" w:rsidP="001C0894">
      <w:pPr>
        <w:pStyle w:val="Heading2"/>
        <w:spacing w:line="240" w:lineRule="auto"/>
        <w:jc w:val="both"/>
        <w:rPr>
          <w:color w:val="548DD4"/>
        </w:rPr>
      </w:pPr>
      <w:r w:rsidRPr="001C0894">
        <w:rPr>
          <w:color w:val="548DD4"/>
        </w:rPr>
        <w:t>Current clinical management algorithm</w:t>
      </w:r>
      <w:r w:rsidR="002B3338" w:rsidRPr="001C0894">
        <w:rPr>
          <w:color w:val="548DD4"/>
        </w:rPr>
        <w:t xml:space="preserve"> for identified population</w:t>
      </w:r>
    </w:p>
    <w:p w14:paraId="5273572C" w14:textId="77777777" w:rsidR="00E1525B" w:rsidRDefault="0031359B" w:rsidP="00E364F7">
      <w:r w:rsidRPr="00C929A4">
        <w:rPr>
          <w:i/>
        </w:rPr>
        <w:t>PASC advised that IHC triage testing of ALK and ROS1 occur at the point of diagnosis (at the same time as EGFR testing).</w:t>
      </w:r>
      <w:r>
        <w:t xml:space="preserve"> </w:t>
      </w:r>
    </w:p>
    <w:p w14:paraId="2268F15A" w14:textId="58964589" w:rsidR="008E458F" w:rsidRDefault="0031359B" w:rsidP="00E364F7">
      <w:r>
        <w:t>The clinical management algorithms required amending post-PASC</w:t>
      </w:r>
      <w:r w:rsidR="00D52CDD">
        <w:t>. The current clinical management algorithm showing testing via multiple MBS items</w:t>
      </w:r>
      <w:r w:rsidR="00A57B20">
        <w:t xml:space="preserve"> is shown in </w:t>
      </w:r>
      <w:r w:rsidR="00085F64">
        <w:t>Figure 1</w:t>
      </w:r>
      <w:r w:rsidR="00A57B20">
        <w:t>.</w:t>
      </w:r>
    </w:p>
    <w:p w14:paraId="41C1FDB2" w14:textId="00723678" w:rsidR="0099066E" w:rsidRDefault="0084238F" w:rsidP="0099066E">
      <w:pPr>
        <w:keepNext/>
      </w:pPr>
      <w:r>
        <w:rPr>
          <w:noProof/>
          <w:lang w:eastAsia="en-AU"/>
        </w:rPr>
        <w:drawing>
          <wp:inline distT="0" distB="0" distL="0" distR="0" wp14:anchorId="26D2529B" wp14:editId="4340DD62">
            <wp:extent cx="6372702" cy="4457065"/>
            <wp:effectExtent l="0" t="0" r="9525" b="635"/>
            <wp:docPr id="5" name="Picture 5" descr="Figure 1 Current clinical management algorithm showing sequential molecular biomarker testing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Current clinical management algorithm showing sequential molecular biomarker testing strategy"/>
                    <pic:cNvPicPr>
                      <a:picLocks noChangeAspect="1" noChangeArrowheads="1"/>
                    </pic:cNvPicPr>
                  </pic:nvPicPr>
                  <pic:blipFill rotWithShape="1">
                    <a:blip r:embed="rId9">
                      <a:extLst>
                        <a:ext uri="{28A0092B-C50C-407E-A947-70E740481C1C}">
                          <a14:useLocalDpi xmlns:a14="http://schemas.microsoft.com/office/drawing/2010/main" val="0"/>
                        </a:ext>
                      </a:extLst>
                    </a:blip>
                    <a:srcRect l="1863"/>
                    <a:stretch/>
                  </pic:blipFill>
                  <pic:spPr bwMode="auto">
                    <a:xfrm>
                      <a:off x="0" y="0"/>
                      <a:ext cx="6395785" cy="4473209"/>
                    </a:xfrm>
                    <a:prstGeom prst="rect">
                      <a:avLst/>
                    </a:prstGeom>
                    <a:noFill/>
                    <a:ln>
                      <a:noFill/>
                    </a:ln>
                    <a:extLst>
                      <a:ext uri="{53640926-AAD7-44D8-BBD7-CCE9431645EC}">
                        <a14:shadowObscured xmlns:a14="http://schemas.microsoft.com/office/drawing/2010/main"/>
                      </a:ext>
                    </a:extLst>
                  </pic:spPr>
                </pic:pic>
              </a:graphicData>
            </a:graphic>
          </wp:inline>
        </w:drawing>
      </w:r>
    </w:p>
    <w:p w14:paraId="7920272A" w14:textId="3485800B" w:rsidR="0099066E" w:rsidRDefault="0099066E" w:rsidP="0099066E">
      <w:pPr>
        <w:pStyle w:val="Caption"/>
      </w:pPr>
      <w:bookmarkStart w:id="16" w:name="_Ref54097247"/>
      <w:bookmarkStart w:id="17" w:name="_Ref66262126"/>
      <w:r>
        <w:t xml:space="preserve">Figure </w:t>
      </w:r>
      <w:r w:rsidR="00085F64">
        <w:fldChar w:fldCharType="begin"/>
      </w:r>
      <w:r w:rsidR="00085F64">
        <w:instrText xml:space="preserve"> SEQ Figure \* ARABIC </w:instrText>
      </w:r>
      <w:r w:rsidR="00085F64">
        <w:fldChar w:fldCharType="separate"/>
      </w:r>
      <w:r w:rsidR="007D7D37">
        <w:rPr>
          <w:noProof/>
        </w:rPr>
        <w:t>1</w:t>
      </w:r>
      <w:r w:rsidR="00085F64">
        <w:fldChar w:fldCharType="end"/>
      </w:r>
      <w:bookmarkEnd w:id="16"/>
      <w:r>
        <w:tab/>
        <w:t>Current clinical management algorithm showing sequential molecular biomarker testing strategy</w:t>
      </w:r>
      <w:bookmarkEnd w:id="17"/>
    </w:p>
    <w:p w14:paraId="61884F2A" w14:textId="0D866846" w:rsidR="0099066E" w:rsidRPr="002E6705" w:rsidRDefault="0099066E" w:rsidP="002E6705">
      <w:pPr>
        <w:pStyle w:val="Tablenotes0"/>
        <w:rPr>
          <w:lang w:val="en-GB" w:eastAsia="ja-JP"/>
        </w:rPr>
      </w:pPr>
      <w:r w:rsidRPr="002E6705">
        <w:rPr>
          <w:lang w:val="en-GB" w:eastAsia="ja-JP"/>
        </w:rPr>
        <w:t xml:space="preserve">Note: The comparator tests to be replaced are shown in blue. </w:t>
      </w:r>
      <w:r w:rsidR="0006058A" w:rsidRPr="002E6705">
        <w:rPr>
          <w:lang w:val="en-GB" w:eastAsia="ja-JP"/>
        </w:rPr>
        <w:t xml:space="preserve">Testing for </w:t>
      </w:r>
      <w:r w:rsidR="0006058A" w:rsidRPr="00925073">
        <w:rPr>
          <w:i/>
          <w:lang w:val="en-GB" w:eastAsia="ja-JP"/>
        </w:rPr>
        <w:t>EGFR</w:t>
      </w:r>
      <w:r w:rsidR="0006058A" w:rsidRPr="002E6705">
        <w:rPr>
          <w:lang w:val="en-GB" w:eastAsia="ja-JP"/>
        </w:rPr>
        <w:t xml:space="preserve"> T790M variants using MBS i</w:t>
      </w:r>
      <w:r w:rsidR="007C7AB1">
        <w:rPr>
          <w:lang w:val="en-GB" w:eastAsia="ja-JP"/>
        </w:rPr>
        <w:t>tem 73351 is unlikely to alter.</w:t>
      </w:r>
    </w:p>
    <w:p w14:paraId="57EC0B68" w14:textId="77777777" w:rsidR="001C0894" w:rsidRDefault="001C0894">
      <w:pPr>
        <w:rPr>
          <w:rFonts w:eastAsia="MS Gothic"/>
          <w:b/>
          <w:bCs/>
          <w:i/>
          <w:color w:val="548DD4"/>
          <w:szCs w:val="26"/>
          <w:u w:val="single"/>
        </w:rPr>
      </w:pPr>
      <w:r>
        <w:rPr>
          <w:color w:val="548DD4"/>
        </w:rPr>
        <w:br w:type="page"/>
      </w:r>
    </w:p>
    <w:p w14:paraId="56CD8046" w14:textId="1D22B7A6" w:rsidR="00896845" w:rsidRPr="001C0894" w:rsidRDefault="00896845" w:rsidP="001C0894">
      <w:pPr>
        <w:pStyle w:val="Heading2"/>
        <w:spacing w:line="240" w:lineRule="auto"/>
        <w:jc w:val="both"/>
        <w:rPr>
          <w:color w:val="548DD4"/>
        </w:rPr>
      </w:pPr>
      <w:r w:rsidRPr="001C0894">
        <w:rPr>
          <w:color w:val="548DD4"/>
        </w:rPr>
        <w:lastRenderedPageBreak/>
        <w:t>Proposed clinical management algorithm</w:t>
      </w:r>
      <w:r w:rsidR="002B3338" w:rsidRPr="001C0894">
        <w:rPr>
          <w:color w:val="548DD4"/>
        </w:rPr>
        <w:t xml:space="preserve"> for identified population</w:t>
      </w:r>
    </w:p>
    <w:p w14:paraId="1EA87B8E" w14:textId="69243AB1" w:rsidR="00AD20F1" w:rsidRDefault="00DA7B06" w:rsidP="00E364F7">
      <w:r w:rsidRPr="00DA7B06">
        <w:t xml:space="preserve">The </w:t>
      </w:r>
      <w:r>
        <w:t xml:space="preserve">proposed clinical management algorithm (restricted to therapies currently available through the PBS) is shown in </w:t>
      </w:r>
      <w:r>
        <w:fldChar w:fldCharType="begin"/>
      </w:r>
      <w:r>
        <w:instrText xml:space="preserve"> REF _Ref54085491 \h </w:instrText>
      </w:r>
      <w:r>
        <w:fldChar w:fldCharType="separate"/>
      </w:r>
      <w:r w:rsidR="007D7D37">
        <w:t xml:space="preserve">Figure </w:t>
      </w:r>
      <w:r w:rsidR="007D7D37">
        <w:rPr>
          <w:noProof/>
        </w:rPr>
        <w:t>2</w:t>
      </w:r>
      <w:r>
        <w:fldChar w:fldCharType="end"/>
      </w:r>
      <w:r>
        <w:t xml:space="preserve">. The management options and downstream services are identical to the current clinical management algorithm. However, </w:t>
      </w:r>
      <w:r w:rsidR="00AD20F1">
        <w:t>there may be a reduction in the number of procedures required to obtain further biopsy material in the situation where the orig</w:t>
      </w:r>
      <w:r w:rsidR="00467FDA">
        <w:t>inal tissue sample is depleted.</w:t>
      </w:r>
    </w:p>
    <w:p w14:paraId="24BEEB6D" w14:textId="6300DDE5" w:rsidR="00E364F7" w:rsidRPr="00DA7B06" w:rsidRDefault="00AD20F1" w:rsidP="0006058A">
      <w:r>
        <w:t>Preliminary evidence suggests that CGP using a NGS assay is more sensitive than current single-</w:t>
      </w:r>
      <w:r w:rsidR="006174B0">
        <w:t xml:space="preserve">biomarker </w:t>
      </w:r>
      <w:r>
        <w:t xml:space="preserve">tests, which may result in more people becoming eligible for targeted therapies. Further, </w:t>
      </w:r>
      <w:r w:rsidR="0006058A">
        <w:t xml:space="preserve">patients </w:t>
      </w:r>
      <w:r w:rsidR="00257CCE">
        <w:t>without</w:t>
      </w:r>
      <w:r w:rsidR="0006058A">
        <w:t xml:space="preserve"> </w:t>
      </w:r>
      <w:r w:rsidR="0006058A" w:rsidRPr="00F57034">
        <w:rPr>
          <w:i/>
        </w:rPr>
        <w:t>EGFR</w:t>
      </w:r>
      <w:r w:rsidR="00641D3D">
        <w:rPr>
          <w:i/>
        </w:rPr>
        <w:t xml:space="preserve"> </w:t>
      </w:r>
      <w:r w:rsidR="008F3E46">
        <w:t>variant</w:t>
      </w:r>
      <w:r w:rsidR="00257CCE">
        <w:t xml:space="preserve">s </w:t>
      </w:r>
      <w:r w:rsidR="0006058A">
        <w:t>may have a</w:t>
      </w:r>
      <w:r w:rsidR="00DA7B06">
        <w:t xml:space="preserve"> shorter time between testing and treatment </w:t>
      </w:r>
      <w:r w:rsidR="0006058A">
        <w:t>if the biomarkers are tested simultaneously, than they would if the biom</w:t>
      </w:r>
      <w:r w:rsidR="00467FDA">
        <w:t>arkers are tested sequentially.</w:t>
      </w:r>
    </w:p>
    <w:p w14:paraId="51727336" w14:textId="53BAB0EA" w:rsidR="0099066E" w:rsidRDefault="0084238F" w:rsidP="0099066E">
      <w:pPr>
        <w:keepNext/>
      </w:pPr>
      <w:r>
        <w:rPr>
          <w:noProof/>
          <w:lang w:eastAsia="en-AU"/>
        </w:rPr>
        <w:drawing>
          <wp:inline distT="0" distB="0" distL="0" distR="0" wp14:anchorId="00F952D8" wp14:editId="60846557">
            <wp:extent cx="5845982" cy="4048125"/>
            <wp:effectExtent l="0" t="0" r="2540" b="0"/>
            <wp:docPr id="9" name="Picture 9" descr="Figure 2 Proposed clinical management algorithm showing CGP with an NGS a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Proposed clinical management algorithm showing CGP with an NGS ass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5522" cy="4061655"/>
                    </a:xfrm>
                    <a:prstGeom prst="rect">
                      <a:avLst/>
                    </a:prstGeom>
                    <a:noFill/>
                  </pic:spPr>
                </pic:pic>
              </a:graphicData>
            </a:graphic>
          </wp:inline>
        </w:drawing>
      </w:r>
    </w:p>
    <w:p w14:paraId="5271525F" w14:textId="300A2BA9" w:rsidR="00054164" w:rsidRPr="00467FDA" w:rsidRDefault="0099066E" w:rsidP="0099066E">
      <w:pPr>
        <w:pStyle w:val="Caption"/>
        <w:rPr>
          <w:u w:val="dotted"/>
        </w:rPr>
      </w:pPr>
      <w:bookmarkStart w:id="18" w:name="_Ref54085491"/>
      <w:r>
        <w:t xml:space="preserve">Figure </w:t>
      </w:r>
      <w:r w:rsidR="00085F64">
        <w:fldChar w:fldCharType="begin"/>
      </w:r>
      <w:r w:rsidR="00085F64">
        <w:instrText xml:space="preserve"> SEQ Figure \* ARABIC </w:instrText>
      </w:r>
      <w:r w:rsidR="00085F64">
        <w:fldChar w:fldCharType="separate"/>
      </w:r>
      <w:r w:rsidR="007D7D37">
        <w:rPr>
          <w:noProof/>
        </w:rPr>
        <w:t>2</w:t>
      </w:r>
      <w:r w:rsidR="00085F64">
        <w:fldChar w:fldCharType="end"/>
      </w:r>
      <w:bookmarkEnd w:id="18"/>
      <w:r>
        <w:tab/>
        <w:t>Proposed clinical management algorithm</w:t>
      </w:r>
      <w:r w:rsidR="00F31032">
        <w:t xml:space="preserve"> showing CGP with an NGS assay</w:t>
      </w:r>
    </w:p>
    <w:p w14:paraId="207D71C7" w14:textId="6A63619B" w:rsidR="0099066E" w:rsidRPr="00467FDA" w:rsidRDefault="0099066E" w:rsidP="003E3BF4">
      <w:pPr>
        <w:pStyle w:val="Tablenotes0"/>
        <w:rPr>
          <w:lang w:val="en-GB" w:eastAsia="ja-JP"/>
        </w:rPr>
      </w:pPr>
      <w:r w:rsidRPr="00467FDA">
        <w:rPr>
          <w:lang w:val="en-GB" w:eastAsia="ja-JP"/>
        </w:rPr>
        <w:t xml:space="preserve">Note: The intervention is shown in blue. </w:t>
      </w:r>
      <w:r w:rsidR="0002454B" w:rsidRPr="00467FDA">
        <w:rPr>
          <w:lang w:val="en-GB" w:eastAsia="ja-JP"/>
        </w:rPr>
        <w:t xml:space="preserve">Testing for </w:t>
      </w:r>
      <w:r w:rsidR="0002454B" w:rsidRPr="00467FDA">
        <w:rPr>
          <w:i/>
          <w:lang w:val="en-GB" w:eastAsia="ja-JP"/>
        </w:rPr>
        <w:t>EGFR</w:t>
      </w:r>
      <w:r w:rsidR="0002454B" w:rsidRPr="00467FDA">
        <w:rPr>
          <w:lang w:val="en-GB" w:eastAsia="ja-JP"/>
        </w:rPr>
        <w:t xml:space="preserve"> T790M variants using MBS item 73351 is unlikely to alter.</w:t>
      </w:r>
    </w:p>
    <w:p w14:paraId="21781B40" w14:textId="51F1EDED" w:rsidR="00FA4B95" w:rsidRPr="00467FDA" w:rsidRDefault="00FA4B95" w:rsidP="00E364F7">
      <w:pPr>
        <w:rPr>
          <w:u w:val="dotted"/>
        </w:rPr>
      </w:pPr>
    </w:p>
    <w:p w14:paraId="49418087" w14:textId="77777777" w:rsidR="00FA4B95" w:rsidRDefault="00FA4B95" w:rsidP="00E364F7">
      <w:pPr>
        <w:rPr>
          <w:color w:val="FF0000"/>
          <w:u w:val="dotted"/>
        </w:rPr>
        <w:sectPr w:rsidR="00FA4B95">
          <w:headerReference w:type="even" r:id="rId11"/>
          <w:footerReference w:type="default" r:id="rId12"/>
          <w:pgSz w:w="11906" w:h="16838"/>
          <w:pgMar w:top="1440" w:right="1440" w:bottom="1440" w:left="1440" w:header="708" w:footer="708" w:gutter="0"/>
          <w:cols w:space="708"/>
          <w:docGrid w:linePitch="360"/>
        </w:sectPr>
      </w:pPr>
    </w:p>
    <w:p w14:paraId="725D7E06" w14:textId="71C71679" w:rsidR="00F007D7" w:rsidRPr="004B4240" w:rsidRDefault="003E0382" w:rsidP="004B4240">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14:paraId="5D76CAE0" w14:textId="51E8376C" w:rsidR="00896015" w:rsidRDefault="00896015" w:rsidP="005529A4">
      <w:pPr>
        <w:rPr>
          <w:u w:color="FF0000"/>
        </w:rPr>
      </w:pPr>
      <w:r>
        <w:rPr>
          <w:u w:color="FF0000"/>
        </w:rPr>
        <w:t>The applicants expect</w:t>
      </w:r>
      <w:r w:rsidR="000D0C85">
        <w:rPr>
          <w:u w:color="FF0000"/>
        </w:rPr>
        <w:t>ed</w:t>
      </w:r>
      <w:r>
        <w:rPr>
          <w:u w:color="FF0000"/>
        </w:rPr>
        <w:t xml:space="preserve"> that the evidence presented in the ADAR w</w:t>
      </w:r>
      <w:r w:rsidR="000D0C85">
        <w:rPr>
          <w:u w:color="FF0000"/>
        </w:rPr>
        <w:t>ould</w:t>
      </w:r>
      <w:r>
        <w:rPr>
          <w:u w:color="FF0000"/>
        </w:rPr>
        <w:t xml:space="preserve"> support a cla</w:t>
      </w:r>
      <w:r w:rsidR="005C0980">
        <w:rPr>
          <w:u w:color="FF0000"/>
        </w:rPr>
        <w:t>im that CGP using a NGS assay has</w:t>
      </w:r>
      <w:r>
        <w:rPr>
          <w:u w:color="FF0000"/>
        </w:rPr>
        <w:t xml:space="preserve"> </w:t>
      </w:r>
      <w:r w:rsidRPr="00896015">
        <w:rPr>
          <w:i/>
          <w:u w:color="FF0000"/>
        </w:rPr>
        <w:t xml:space="preserve">at least </w:t>
      </w:r>
      <w:r w:rsidR="005C0980">
        <w:rPr>
          <w:i/>
          <w:u w:color="FF0000"/>
        </w:rPr>
        <w:t>non-inferior</w:t>
      </w:r>
      <w:r>
        <w:rPr>
          <w:u w:color="FF0000"/>
        </w:rPr>
        <w:t xml:space="preserve">, and potentially </w:t>
      </w:r>
      <w:r w:rsidR="005C0980">
        <w:rPr>
          <w:u w:color="FF0000"/>
        </w:rPr>
        <w:t>superior</w:t>
      </w:r>
      <w:r>
        <w:rPr>
          <w:u w:color="FF0000"/>
        </w:rPr>
        <w:t xml:space="preserve"> effective</w:t>
      </w:r>
      <w:r w:rsidR="005C0980">
        <w:rPr>
          <w:u w:color="FF0000"/>
        </w:rPr>
        <w:t>ness</w:t>
      </w:r>
      <w:r>
        <w:rPr>
          <w:u w:color="FF0000"/>
        </w:rPr>
        <w:t xml:space="preserve">, in identifying genomic alterations used to inform </w:t>
      </w:r>
      <w:r w:rsidR="008609F4">
        <w:rPr>
          <w:u w:color="FF0000"/>
        </w:rPr>
        <w:t xml:space="preserve">subsequent </w:t>
      </w:r>
      <w:r>
        <w:rPr>
          <w:u w:color="FF0000"/>
        </w:rPr>
        <w:t>clinical management decisions for patients</w:t>
      </w:r>
      <w:r w:rsidR="007F4CDB">
        <w:rPr>
          <w:u w:color="FF0000"/>
        </w:rPr>
        <w:t xml:space="preserve"> with </w:t>
      </w:r>
      <w:r w:rsidR="007F4CDB" w:rsidRPr="007F4CDB">
        <w:rPr>
          <w:u w:color="FF0000"/>
        </w:rPr>
        <w:t xml:space="preserve">stage IIIB or IV </w:t>
      </w:r>
      <w:r w:rsidR="007F4CDB">
        <w:rPr>
          <w:u w:color="FF0000"/>
        </w:rPr>
        <w:t>NSCLC</w:t>
      </w:r>
      <w:r>
        <w:rPr>
          <w:u w:color="FF0000"/>
        </w:rPr>
        <w:t xml:space="preserve"> compared with the use of sequential molecular biomarker tests currently listed on the </w:t>
      </w:r>
      <w:r w:rsidRPr="00E43598">
        <w:rPr>
          <w:u w:color="FF0000"/>
        </w:rPr>
        <w:t xml:space="preserve">MBS. </w:t>
      </w:r>
      <w:r w:rsidR="005C0980" w:rsidRPr="00E43598">
        <w:rPr>
          <w:u w:color="FF0000"/>
        </w:rPr>
        <w:t xml:space="preserve">The assumption </w:t>
      </w:r>
      <w:r w:rsidR="00F4445B" w:rsidRPr="00E43598">
        <w:rPr>
          <w:u w:color="FF0000"/>
        </w:rPr>
        <w:t xml:space="preserve">to be examined </w:t>
      </w:r>
      <w:r w:rsidR="002E6705" w:rsidRPr="00E43598">
        <w:rPr>
          <w:u w:color="FF0000"/>
        </w:rPr>
        <w:t xml:space="preserve">if claiming superiority, </w:t>
      </w:r>
      <w:r w:rsidR="005C0980" w:rsidRPr="00E43598">
        <w:rPr>
          <w:u w:color="FF0000"/>
        </w:rPr>
        <w:t>is that superior sensitivity</w:t>
      </w:r>
      <w:r w:rsidR="00B85400" w:rsidRPr="00E43598">
        <w:rPr>
          <w:u w:color="FF0000"/>
        </w:rPr>
        <w:t xml:space="preserve"> at identifying patients eligible for treatment, and/or the reduced turnaround time between testing and diagnosis</w:t>
      </w:r>
      <w:r w:rsidR="005C0980" w:rsidRPr="00E43598">
        <w:rPr>
          <w:u w:color="FF0000"/>
        </w:rPr>
        <w:t xml:space="preserve"> will result in superior health outcomes.</w:t>
      </w:r>
    </w:p>
    <w:p w14:paraId="72AA0524" w14:textId="26396502" w:rsidR="005C0980" w:rsidRDefault="005529A4" w:rsidP="005529A4">
      <w:pPr>
        <w:rPr>
          <w:u w:color="FF0000"/>
        </w:rPr>
      </w:pPr>
      <w:r>
        <w:rPr>
          <w:u w:color="FF0000"/>
        </w:rPr>
        <w:t>The claim is</w:t>
      </w:r>
      <w:r w:rsidR="000B4459">
        <w:rPr>
          <w:u w:color="FF0000"/>
        </w:rPr>
        <w:t xml:space="preserve"> also</w:t>
      </w:r>
      <w:r>
        <w:rPr>
          <w:u w:color="FF0000"/>
        </w:rPr>
        <w:t xml:space="preserve"> that CPG using an NGS assay </w:t>
      </w:r>
      <w:r w:rsidR="000B4459">
        <w:rPr>
          <w:u w:color="FF0000"/>
        </w:rPr>
        <w:t>has at</w:t>
      </w:r>
      <w:r>
        <w:rPr>
          <w:u w:color="FF0000"/>
        </w:rPr>
        <w:t xml:space="preserve"> </w:t>
      </w:r>
      <w:r w:rsidRPr="00E43598">
        <w:rPr>
          <w:u w:color="FF0000"/>
        </w:rPr>
        <w:t xml:space="preserve">least non-inferior </w:t>
      </w:r>
      <w:r w:rsidR="000B4459" w:rsidRPr="00E43598">
        <w:rPr>
          <w:u w:color="FF0000"/>
        </w:rPr>
        <w:t xml:space="preserve">safety </w:t>
      </w:r>
      <w:r w:rsidR="000B4459">
        <w:rPr>
          <w:u w:color="FF0000"/>
        </w:rPr>
        <w:t xml:space="preserve">(and potentially superior safety) </w:t>
      </w:r>
      <w:r>
        <w:rPr>
          <w:u w:color="FF0000"/>
        </w:rPr>
        <w:t>to sequential testi</w:t>
      </w:r>
      <w:r w:rsidR="00467FDA">
        <w:rPr>
          <w:u w:color="FF0000"/>
        </w:rPr>
        <w:t>ng under the current MBS items.</w:t>
      </w:r>
    </w:p>
    <w:p w14:paraId="5C3332C2" w14:textId="6506098F" w:rsidR="00355935" w:rsidRDefault="00355935" w:rsidP="005529A4">
      <w:pPr>
        <w:rPr>
          <w:u w:color="FF0000"/>
        </w:rPr>
      </w:pPr>
      <w:r>
        <w:rPr>
          <w:u w:color="FF0000"/>
        </w:rPr>
        <w:t xml:space="preserve">If the evidence presented demonstrates </w:t>
      </w:r>
      <w:r w:rsidR="000003EF">
        <w:rPr>
          <w:u w:color="FF0000"/>
        </w:rPr>
        <w:t xml:space="preserve">non-inferior effectiveness and safety, the appropriate economic evaluation would be a cost-minimisation </w:t>
      </w:r>
      <w:r w:rsidR="00B41AFE">
        <w:rPr>
          <w:u w:color="FF0000"/>
        </w:rPr>
        <w:t xml:space="preserve">analysis </w:t>
      </w:r>
      <w:r w:rsidR="00F4445B">
        <w:rPr>
          <w:u w:color="FF0000"/>
        </w:rPr>
        <w:t>(</w:t>
      </w:r>
      <w:r w:rsidR="00F4445B">
        <w:rPr>
          <w:u w:color="FF0000"/>
        </w:rPr>
        <w:fldChar w:fldCharType="begin"/>
      </w:r>
      <w:r w:rsidR="00F4445B">
        <w:rPr>
          <w:u w:color="FF0000"/>
        </w:rPr>
        <w:instrText xml:space="preserve"> REF _Ref54260209 \h </w:instrText>
      </w:r>
      <w:r w:rsidR="00F4445B">
        <w:rPr>
          <w:u w:color="FF0000"/>
        </w:rPr>
      </w:r>
      <w:r w:rsidR="00F4445B">
        <w:rPr>
          <w:u w:color="FF0000"/>
        </w:rPr>
        <w:fldChar w:fldCharType="separate"/>
      </w:r>
      <w:r w:rsidR="007D7D37">
        <w:t xml:space="preserve">Table </w:t>
      </w:r>
      <w:r w:rsidR="007D7D37">
        <w:rPr>
          <w:noProof/>
        </w:rPr>
        <w:t>6</w:t>
      </w:r>
      <w:r w:rsidR="00F4445B">
        <w:rPr>
          <w:u w:color="FF0000"/>
        </w:rPr>
        <w:fldChar w:fldCharType="end"/>
      </w:r>
      <w:r w:rsidR="00F4445B">
        <w:rPr>
          <w:u w:color="FF0000"/>
        </w:rPr>
        <w:t xml:space="preserve">) </w:t>
      </w:r>
      <w:r w:rsidR="00886D05">
        <w:rPr>
          <w:u w:color="FF0000"/>
        </w:rPr>
        <w:t>or cost consequences</w:t>
      </w:r>
      <w:r w:rsidR="00F4445B">
        <w:rPr>
          <w:u w:color="FF0000"/>
        </w:rPr>
        <w:t xml:space="preserve"> (such as additional cost per patient receiving targeted therapy)</w:t>
      </w:r>
      <w:r w:rsidR="000003EF">
        <w:rPr>
          <w:u w:color="FF0000"/>
        </w:rPr>
        <w:t xml:space="preserve">. If evidence </w:t>
      </w:r>
      <w:r w:rsidR="005C0980">
        <w:rPr>
          <w:u w:color="FF0000"/>
        </w:rPr>
        <w:t>is identified that safety and/or effectiveness is superior, then a cost-effectiveness or cost-utility analysis is recommended</w:t>
      </w:r>
      <w:r w:rsidR="00F4445B">
        <w:rPr>
          <w:u w:color="FF0000"/>
        </w:rPr>
        <w:t xml:space="preserve"> (</w:t>
      </w:r>
      <w:r w:rsidR="00F4445B">
        <w:rPr>
          <w:u w:color="FF0000"/>
        </w:rPr>
        <w:fldChar w:fldCharType="begin"/>
      </w:r>
      <w:r w:rsidR="00F4445B">
        <w:rPr>
          <w:u w:color="FF0000"/>
        </w:rPr>
        <w:instrText xml:space="preserve"> REF _Ref54260209 \h </w:instrText>
      </w:r>
      <w:r w:rsidR="00F4445B">
        <w:rPr>
          <w:u w:color="FF0000"/>
        </w:rPr>
      </w:r>
      <w:r w:rsidR="00F4445B">
        <w:rPr>
          <w:u w:color="FF0000"/>
        </w:rPr>
        <w:fldChar w:fldCharType="separate"/>
      </w:r>
      <w:r w:rsidR="007D7D37">
        <w:t xml:space="preserve">Table </w:t>
      </w:r>
      <w:r w:rsidR="007D7D37">
        <w:rPr>
          <w:noProof/>
        </w:rPr>
        <w:t>6</w:t>
      </w:r>
      <w:r w:rsidR="00F4445B">
        <w:rPr>
          <w:u w:color="FF0000"/>
        </w:rPr>
        <w:fldChar w:fldCharType="end"/>
      </w:r>
      <w:r w:rsidR="00F4445B">
        <w:rPr>
          <w:u w:color="FF0000"/>
        </w:rPr>
        <w:t>)</w:t>
      </w:r>
      <w:r w:rsidR="00467FDA">
        <w:rPr>
          <w:u w:color="FF0000"/>
        </w:rPr>
        <w:t>.</w:t>
      </w:r>
    </w:p>
    <w:p w14:paraId="37EFBCE8" w14:textId="0291CA22" w:rsidR="00184BC7" w:rsidRPr="00C929A4" w:rsidRDefault="00184BC7" w:rsidP="005529A4">
      <w:pPr>
        <w:rPr>
          <w:i/>
          <w:u w:color="FF0000"/>
        </w:rPr>
      </w:pPr>
      <w:r w:rsidRPr="00C929A4">
        <w:rPr>
          <w:i/>
        </w:rPr>
        <w:t>PASC suggested that near market comparators could be included in sensitivity analyses in the economic and financial analyses.</w:t>
      </w:r>
    </w:p>
    <w:p w14:paraId="27A08A49" w14:textId="4D671081" w:rsidR="005C0980" w:rsidRDefault="005C0980" w:rsidP="005C0980">
      <w:pPr>
        <w:pStyle w:val="Caption"/>
      </w:pPr>
      <w:bookmarkStart w:id="19" w:name="_Ref54260209"/>
      <w:bookmarkStart w:id="20" w:name="_Toc423450289"/>
      <w:r>
        <w:t xml:space="preserve">Table </w:t>
      </w:r>
      <w:r>
        <w:fldChar w:fldCharType="begin"/>
      </w:r>
      <w:r>
        <w:instrText xml:space="preserve"> SEQ Table \* ARABIC </w:instrText>
      </w:r>
      <w:r>
        <w:fldChar w:fldCharType="separate"/>
      </w:r>
      <w:r w:rsidR="007D7D37">
        <w:rPr>
          <w:noProof/>
        </w:rPr>
        <w:t>6</w:t>
      </w:r>
      <w:r>
        <w:fldChar w:fldCharType="end"/>
      </w:r>
      <w:bookmarkEnd w:id="19"/>
      <w:r>
        <w:tab/>
        <w:t xml:space="preserve">Classification of the </w:t>
      </w:r>
      <w:r w:rsidRPr="002E2A40">
        <w:t>comparative effectiveness and safety</w:t>
      </w:r>
      <w:r w:rsidRPr="00982928">
        <w:t xml:space="preserve"> </w:t>
      </w:r>
      <w:r>
        <w:t>of the proposed intervention compared with its main comparator and guide to the suitable type of economic evaluation</w:t>
      </w:r>
      <w:bookmarkEnd w:id="20"/>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894"/>
        <w:gridCol w:w="1794"/>
        <w:gridCol w:w="2097"/>
        <w:gridCol w:w="1647"/>
        <w:gridCol w:w="1353"/>
      </w:tblGrid>
      <w:tr w:rsidR="005C0980" w14:paraId="776105F6" w14:textId="77777777" w:rsidTr="00814BD0">
        <w:trPr>
          <w:cantSplit/>
          <w:tblHeader/>
        </w:trPr>
        <w:tc>
          <w:tcPr>
            <w:tcW w:w="1946" w:type="dxa"/>
            <w:tcBorders>
              <w:top w:val="single" w:sz="4" w:space="0" w:color="auto"/>
              <w:left w:val="single" w:sz="4" w:space="0" w:color="auto"/>
              <w:right w:val="single" w:sz="4" w:space="0" w:color="auto"/>
            </w:tcBorders>
          </w:tcPr>
          <w:p w14:paraId="54E5C94B" w14:textId="77777777" w:rsidR="005C0980" w:rsidRDefault="005C0980" w:rsidP="00C71254">
            <w:pPr>
              <w:pStyle w:val="TableHeading"/>
            </w:pPr>
            <w:r>
              <w:t>Comparative safety</w:t>
            </w:r>
          </w:p>
        </w:tc>
        <w:tc>
          <w:tcPr>
            <w:tcW w:w="1842" w:type="dxa"/>
            <w:tcBorders>
              <w:top w:val="single" w:sz="4" w:space="0" w:color="auto"/>
              <w:left w:val="single" w:sz="4" w:space="0" w:color="auto"/>
              <w:bottom w:val="single" w:sz="4" w:space="0" w:color="auto"/>
              <w:right w:val="nil"/>
            </w:tcBorders>
          </w:tcPr>
          <w:p w14:paraId="0E68139F" w14:textId="77777777" w:rsidR="005C0980" w:rsidRDefault="005C0980" w:rsidP="00C71254">
            <w:pPr>
              <w:pStyle w:val="TableHeading"/>
              <w:jc w:val="center"/>
            </w:pPr>
          </w:p>
        </w:tc>
        <w:tc>
          <w:tcPr>
            <w:tcW w:w="2154" w:type="dxa"/>
            <w:tcBorders>
              <w:top w:val="single" w:sz="4" w:space="0" w:color="auto"/>
              <w:left w:val="nil"/>
              <w:bottom w:val="single" w:sz="4" w:space="0" w:color="auto"/>
            </w:tcBorders>
          </w:tcPr>
          <w:p w14:paraId="49C57847" w14:textId="77777777" w:rsidR="005C0980" w:rsidRDefault="005C0980" w:rsidP="00C71254">
            <w:pPr>
              <w:pStyle w:val="TableHeading"/>
              <w:ind w:left="-75" w:right="-127"/>
              <w:jc w:val="center"/>
            </w:pPr>
            <w:r>
              <w:t>Comparative effectiveness</w:t>
            </w:r>
          </w:p>
        </w:tc>
        <w:tc>
          <w:tcPr>
            <w:tcW w:w="1690" w:type="dxa"/>
            <w:tcBorders>
              <w:top w:val="single" w:sz="4" w:space="0" w:color="auto"/>
              <w:left w:val="nil"/>
              <w:bottom w:val="single" w:sz="4" w:space="0" w:color="auto"/>
            </w:tcBorders>
          </w:tcPr>
          <w:p w14:paraId="37A41A81" w14:textId="77777777" w:rsidR="005C0980" w:rsidRDefault="005C0980" w:rsidP="00C71254">
            <w:pPr>
              <w:pStyle w:val="TableHeading"/>
              <w:jc w:val="center"/>
            </w:pPr>
          </w:p>
        </w:tc>
        <w:tc>
          <w:tcPr>
            <w:tcW w:w="1387" w:type="dxa"/>
            <w:tcBorders>
              <w:top w:val="single" w:sz="4" w:space="0" w:color="auto"/>
              <w:left w:val="nil"/>
              <w:bottom w:val="single" w:sz="4" w:space="0" w:color="auto"/>
              <w:right w:val="single" w:sz="4" w:space="0" w:color="auto"/>
            </w:tcBorders>
          </w:tcPr>
          <w:p w14:paraId="2D99911E" w14:textId="77777777" w:rsidR="005C0980" w:rsidRDefault="005C0980" w:rsidP="00C71254">
            <w:pPr>
              <w:pStyle w:val="TableHeading"/>
              <w:jc w:val="center"/>
            </w:pPr>
          </w:p>
        </w:tc>
      </w:tr>
      <w:tr w:rsidR="005C0980" w14:paraId="38063FB0" w14:textId="77777777" w:rsidTr="00C71254">
        <w:trPr>
          <w:cantSplit/>
        </w:trPr>
        <w:tc>
          <w:tcPr>
            <w:tcW w:w="1946" w:type="dxa"/>
            <w:tcBorders>
              <w:left w:val="single" w:sz="4" w:space="0" w:color="auto"/>
              <w:bottom w:val="single" w:sz="4" w:space="0" w:color="auto"/>
              <w:right w:val="single" w:sz="4" w:space="0" w:color="auto"/>
            </w:tcBorders>
          </w:tcPr>
          <w:p w14:paraId="602E94F1" w14:textId="77777777" w:rsidR="005C0980" w:rsidRDefault="005C0980" w:rsidP="00C71254">
            <w:pPr>
              <w:pStyle w:val="TableHeading"/>
            </w:pPr>
            <w:r w:rsidRPr="005C061E">
              <w:rPr>
                <w:color w:val="FFFFFF" w:themeColor="background1"/>
              </w:rPr>
              <w:t>-</w:t>
            </w:r>
          </w:p>
        </w:tc>
        <w:tc>
          <w:tcPr>
            <w:tcW w:w="1842" w:type="dxa"/>
            <w:tcBorders>
              <w:left w:val="single" w:sz="4" w:space="0" w:color="auto"/>
              <w:bottom w:val="single" w:sz="4" w:space="0" w:color="auto"/>
              <w:right w:val="single" w:sz="4" w:space="0" w:color="auto"/>
            </w:tcBorders>
          </w:tcPr>
          <w:p w14:paraId="7614D503" w14:textId="77777777" w:rsidR="005C0980" w:rsidRDefault="005C0980" w:rsidP="00C71254">
            <w:pPr>
              <w:pStyle w:val="TableHeading"/>
              <w:jc w:val="center"/>
            </w:pPr>
            <w:r>
              <w:t>Inferior</w:t>
            </w:r>
          </w:p>
        </w:tc>
        <w:tc>
          <w:tcPr>
            <w:tcW w:w="2154" w:type="dxa"/>
            <w:tcBorders>
              <w:top w:val="single" w:sz="4" w:space="0" w:color="auto"/>
              <w:left w:val="single" w:sz="4" w:space="0" w:color="auto"/>
              <w:bottom w:val="single" w:sz="4" w:space="0" w:color="auto"/>
              <w:right w:val="single" w:sz="4" w:space="0" w:color="auto"/>
            </w:tcBorders>
          </w:tcPr>
          <w:p w14:paraId="183CD0C6" w14:textId="77777777" w:rsidR="005C0980" w:rsidRDefault="005C0980" w:rsidP="00C71254">
            <w:pPr>
              <w:pStyle w:val="TableHeading"/>
              <w:jc w:val="center"/>
            </w:pPr>
            <w:r>
              <w:t>Uncertain</w:t>
            </w:r>
            <w:r>
              <w:rPr>
                <w:vertAlign w:val="superscript"/>
              </w:rPr>
              <w:t>a</w:t>
            </w:r>
          </w:p>
        </w:tc>
        <w:tc>
          <w:tcPr>
            <w:tcW w:w="1690" w:type="dxa"/>
            <w:tcBorders>
              <w:top w:val="single" w:sz="4" w:space="0" w:color="auto"/>
              <w:left w:val="single" w:sz="4" w:space="0" w:color="auto"/>
              <w:bottom w:val="single" w:sz="4" w:space="0" w:color="auto"/>
              <w:right w:val="single" w:sz="4" w:space="0" w:color="auto"/>
            </w:tcBorders>
          </w:tcPr>
          <w:p w14:paraId="7021F8FE" w14:textId="77777777" w:rsidR="005C0980" w:rsidRDefault="005C0980" w:rsidP="00C71254">
            <w:pPr>
              <w:pStyle w:val="TableHeading"/>
              <w:jc w:val="center"/>
            </w:pPr>
            <w:r>
              <w:t>Non-inferior</w:t>
            </w:r>
            <w:r>
              <w:rPr>
                <w:vertAlign w:val="superscript"/>
              </w:rPr>
              <w:t>b</w:t>
            </w:r>
          </w:p>
        </w:tc>
        <w:tc>
          <w:tcPr>
            <w:tcW w:w="1387" w:type="dxa"/>
            <w:tcBorders>
              <w:top w:val="single" w:sz="4" w:space="0" w:color="auto"/>
              <w:left w:val="single" w:sz="4" w:space="0" w:color="auto"/>
              <w:bottom w:val="single" w:sz="4" w:space="0" w:color="auto"/>
              <w:right w:val="single" w:sz="4" w:space="0" w:color="auto"/>
            </w:tcBorders>
          </w:tcPr>
          <w:p w14:paraId="625A29E6" w14:textId="77777777" w:rsidR="005C0980" w:rsidRDefault="005C0980" w:rsidP="00C71254">
            <w:pPr>
              <w:pStyle w:val="TableHeading"/>
              <w:jc w:val="center"/>
            </w:pPr>
            <w:r>
              <w:t>Superior</w:t>
            </w:r>
          </w:p>
        </w:tc>
      </w:tr>
      <w:tr w:rsidR="005C0980" w14:paraId="0D295B23" w14:textId="77777777" w:rsidTr="00C71254">
        <w:tc>
          <w:tcPr>
            <w:tcW w:w="1946" w:type="dxa"/>
            <w:tcBorders>
              <w:top w:val="single" w:sz="4" w:space="0" w:color="auto"/>
              <w:left w:val="single" w:sz="4" w:space="0" w:color="auto"/>
              <w:bottom w:val="single" w:sz="4" w:space="0" w:color="auto"/>
              <w:right w:val="single" w:sz="4" w:space="0" w:color="auto"/>
            </w:tcBorders>
            <w:vAlign w:val="center"/>
          </w:tcPr>
          <w:p w14:paraId="62C60253" w14:textId="77777777" w:rsidR="005C0980" w:rsidRDefault="005C0980" w:rsidP="00C71254">
            <w:pPr>
              <w:pStyle w:val="Tabletext"/>
            </w:pPr>
            <w:r>
              <w:t>Inferior</w:t>
            </w:r>
          </w:p>
        </w:tc>
        <w:tc>
          <w:tcPr>
            <w:tcW w:w="1842" w:type="dxa"/>
            <w:tcBorders>
              <w:top w:val="single" w:sz="4" w:space="0" w:color="auto"/>
              <w:left w:val="single" w:sz="4" w:space="0" w:color="auto"/>
              <w:bottom w:val="single" w:sz="4" w:space="0" w:color="auto"/>
              <w:right w:val="single" w:sz="4" w:space="0" w:color="auto"/>
            </w:tcBorders>
            <w:vAlign w:val="center"/>
          </w:tcPr>
          <w:p w14:paraId="61541D9D" w14:textId="77777777" w:rsidR="005C0980" w:rsidRDefault="005C0980" w:rsidP="00C71254">
            <w:pPr>
              <w:pStyle w:val="Tabletext"/>
            </w:pPr>
            <w:r>
              <w:t>Health forgone: need other supportive factors</w:t>
            </w:r>
          </w:p>
        </w:tc>
        <w:tc>
          <w:tcPr>
            <w:tcW w:w="2154" w:type="dxa"/>
            <w:tcBorders>
              <w:top w:val="single" w:sz="4" w:space="0" w:color="auto"/>
              <w:left w:val="single" w:sz="4" w:space="0" w:color="auto"/>
              <w:bottom w:val="single" w:sz="4" w:space="0" w:color="auto"/>
              <w:right w:val="single" w:sz="4" w:space="0" w:color="auto"/>
            </w:tcBorders>
            <w:vAlign w:val="center"/>
          </w:tcPr>
          <w:p w14:paraId="73010CB7" w14:textId="77777777" w:rsidR="005C0980" w:rsidRDefault="005C0980" w:rsidP="00C71254">
            <w:pPr>
              <w:pStyle w:val="Tabletext"/>
            </w:pPr>
            <w:r>
              <w:t>Health forgone possible: need other supportive factors</w:t>
            </w:r>
          </w:p>
        </w:tc>
        <w:tc>
          <w:tcPr>
            <w:tcW w:w="1690" w:type="dxa"/>
            <w:tcBorders>
              <w:top w:val="single" w:sz="4" w:space="0" w:color="auto"/>
              <w:left w:val="single" w:sz="4" w:space="0" w:color="auto"/>
              <w:bottom w:val="single" w:sz="4" w:space="0" w:color="auto"/>
              <w:right w:val="single" w:sz="4" w:space="0" w:color="auto"/>
            </w:tcBorders>
            <w:vAlign w:val="center"/>
          </w:tcPr>
          <w:p w14:paraId="0A51ABEA" w14:textId="77777777" w:rsidR="005C0980" w:rsidRDefault="005C0980" w:rsidP="00C71254">
            <w:pPr>
              <w:pStyle w:val="Tabletext"/>
            </w:pPr>
            <w:r>
              <w:t>Health forgone: need other supportive factors</w:t>
            </w:r>
          </w:p>
        </w:tc>
        <w:tc>
          <w:tcPr>
            <w:tcW w:w="1387" w:type="dxa"/>
            <w:tcBorders>
              <w:top w:val="single" w:sz="4" w:space="0" w:color="auto"/>
              <w:left w:val="single" w:sz="4" w:space="0" w:color="auto"/>
              <w:bottom w:val="single" w:sz="4" w:space="0" w:color="auto"/>
              <w:right w:val="single" w:sz="4" w:space="0" w:color="auto"/>
            </w:tcBorders>
            <w:vAlign w:val="center"/>
          </w:tcPr>
          <w:p w14:paraId="7A3CE4FB" w14:textId="77777777" w:rsidR="005C0980" w:rsidRDefault="005C0980" w:rsidP="00C71254">
            <w:pPr>
              <w:pStyle w:val="Tabletext"/>
            </w:pPr>
            <w:r>
              <w:t>? Likely CUA</w:t>
            </w:r>
          </w:p>
        </w:tc>
      </w:tr>
      <w:tr w:rsidR="005C0980" w14:paraId="332822DB" w14:textId="77777777" w:rsidTr="00C71254">
        <w:tc>
          <w:tcPr>
            <w:tcW w:w="1946" w:type="dxa"/>
            <w:tcBorders>
              <w:top w:val="single" w:sz="4" w:space="0" w:color="auto"/>
              <w:left w:val="single" w:sz="4" w:space="0" w:color="auto"/>
              <w:bottom w:val="single" w:sz="4" w:space="0" w:color="auto"/>
              <w:right w:val="single" w:sz="4" w:space="0" w:color="auto"/>
            </w:tcBorders>
            <w:vAlign w:val="center"/>
          </w:tcPr>
          <w:p w14:paraId="0699FB33" w14:textId="77777777" w:rsidR="005C0980" w:rsidRDefault="005C0980" w:rsidP="00C71254">
            <w:pPr>
              <w:pStyle w:val="Tabletext"/>
            </w:pPr>
            <w:r>
              <w:t>Uncertain</w:t>
            </w:r>
            <w:r>
              <w:rPr>
                <w:vertAlign w:val="superscript"/>
              </w:rPr>
              <w:t>a</w:t>
            </w:r>
          </w:p>
        </w:tc>
        <w:tc>
          <w:tcPr>
            <w:tcW w:w="1842" w:type="dxa"/>
            <w:tcBorders>
              <w:top w:val="single" w:sz="4" w:space="0" w:color="auto"/>
              <w:left w:val="single" w:sz="4" w:space="0" w:color="auto"/>
              <w:bottom w:val="single" w:sz="4" w:space="0" w:color="auto"/>
              <w:right w:val="single" w:sz="4" w:space="0" w:color="auto"/>
            </w:tcBorders>
            <w:vAlign w:val="center"/>
          </w:tcPr>
          <w:p w14:paraId="5C4690D1" w14:textId="77777777" w:rsidR="005C0980" w:rsidRDefault="005C0980" w:rsidP="00C71254">
            <w:pPr>
              <w:pStyle w:val="Tabletext"/>
            </w:pPr>
            <w:r>
              <w:t>Health forgone possible: need other supportive factors</w:t>
            </w:r>
          </w:p>
        </w:tc>
        <w:tc>
          <w:tcPr>
            <w:tcW w:w="2154" w:type="dxa"/>
            <w:tcBorders>
              <w:top w:val="single" w:sz="4" w:space="0" w:color="auto"/>
              <w:left w:val="single" w:sz="4" w:space="0" w:color="auto"/>
              <w:bottom w:val="single" w:sz="4" w:space="0" w:color="auto"/>
              <w:right w:val="single" w:sz="4" w:space="0" w:color="auto"/>
            </w:tcBorders>
            <w:vAlign w:val="center"/>
          </w:tcPr>
          <w:p w14:paraId="1A2E9219" w14:textId="77777777" w:rsidR="005C0980" w:rsidRDefault="005C0980" w:rsidP="00C71254">
            <w:pPr>
              <w:pStyle w:val="Tabletext"/>
            </w:pPr>
            <w:r>
              <w:t>?</w:t>
            </w:r>
          </w:p>
        </w:tc>
        <w:tc>
          <w:tcPr>
            <w:tcW w:w="1690" w:type="dxa"/>
            <w:tcBorders>
              <w:top w:val="single" w:sz="4" w:space="0" w:color="auto"/>
              <w:left w:val="single" w:sz="4" w:space="0" w:color="auto"/>
              <w:bottom w:val="single" w:sz="4" w:space="0" w:color="auto"/>
              <w:right w:val="single" w:sz="4" w:space="0" w:color="auto"/>
            </w:tcBorders>
            <w:vAlign w:val="center"/>
          </w:tcPr>
          <w:p w14:paraId="07A77957" w14:textId="77777777" w:rsidR="005C0980" w:rsidRDefault="005C0980" w:rsidP="00C71254">
            <w:pPr>
              <w:pStyle w:val="Tabletext"/>
            </w:pPr>
            <w:r>
              <w:t>?</w:t>
            </w:r>
          </w:p>
        </w:tc>
        <w:tc>
          <w:tcPr>
            <w:tcW w:w="1387" w:type="dxa"/>
            <w:tcBorders>
              <w:top w:val="single" w:sz="4" w:space="0" w:color="auto"/>
              <w:left w:val="single" w:sz="4" w:space="0" w:color="auto"/>
              <w:bottom w:val="single" w:sz="4" w:space="0" w:color="auto"/>
              <w:right w:val="single" w:sz="4" w:space="0" w:color="auto"/>
            </w:tcBorders>
            <w:vAlign w:val="center"/>
          </w:tcPr>
          <w:p w14:paraId="3EE6B12F" w14:textId="77777777" w:rsidR="005C0980" w:rsidRDefault="005C0980" w:rsidP="00C71254">
            <w:pPr>
              <w:pStyle w:val="Tabletext"/>
            </w:pPr>
            <w:r>
              <w:t>? Likely CEA/CUA</w:t>
            </w:r>
          </w:p>
        </w:tc>
      </w:tr>
      <w:tr w:rsidR="005C0980" w14:paraId="16952921" w14:textId="77777777" w:rsidTr="005C0980">
        <w:tc>
          <w:tcPr>
            <w:tcW w:w="1946" w:type="dxa"/>
            <w:tcBorders>
              <w:top w:val="single" w:sz="4" w:space="0" w:color="auto"/>
              <w:left w:val="single" w:sz="4" w:space="0" w:color="auto"/>
              <w:bottom w:val="single" w:sz="4" w:space="0" w:color="auto"/>
              <w:right w:val="single" w:sz="4" w:space="0" w:color="auto"/>
            </w:tcBorders>
            <w:vAlign w:val="center"/>
          </w:tcPr>
          <w:p w14:paraId="25CDE9AD" w14:textId="77777777" w:rsidR="005C0980" w:rsidRDefault="005C0980" w:rsidP="00C71254">
            <w:pPr>
              <w:pStyle w:val="Tabletext"/>
            </w:pPr>
            <w:r>
              <w:t>Non-inferior</w:t>
            </w:r>
            <w:r>
              <w:rPr>
                <w:vertAlign w:val="superscript"/>
              </w:rPr>
              <w:t>b</w:t>
            </w:r>
          </w:p>
        </w:tc>
        <w:tc>
          <w:tcPr>
            <w:tcW w:w="1842" w:type="dxa"/>
            <w:tcBorders>
              <w:top w:val="single" w:sz="4" w:space="0" w:color="auto"/>
              <w:left w:val="single" w:sz="4" w:space="0" w:color="auto"/>
              <w:bottom w:val="single" w:sz="4" w:space="0" w:color="auto"/>
              <w:right w:val="single" w:sz="4" w:space="0" w:color="auto"/>
            </w:tcBorders>
            <w:vAlign w:val="center"/>
          </w:tcPr>
          <w:p w14:paraId="678A5B93" w14:textId="77777777" w:rsidR="005C0980" w:rsidRDefault="005C0980" w:rsidP="00C71254">
            <w:pPr>
              <w:pStyle w:val="Tabletext"/>
            </w:pPr>
            <w:r>
              <w:t>Health forgone: need other supportive factors</w:t>
            </w:r>
          </w:p>
        </w:tc>
        <w:tc>
          <w:tcPr>
            <w:tcW w:w="2154" w:type="dxa"/>
            <w:tcBorders>
              <w:top w:val="single" w:sz="4" w:space="0" w:color="auto"/>
              <w:left w:val="single" w:sz="4" w:space="0" w:color="auto"/>
              <w:bottom w:val="single" w:sz="4" w:space="0" w:color="auto"/>
              <w:right w:val="single" w:sz="4" w:space="0" w:color="auto"/>
            </w:tcBorders>
            <w:vAlign w:val="center"/>
          </w:tcPr>
          <w:p w14:paraId="41E80C6A" w14:textId="77777777" w:rsidR="005C0980" w:rsidRDefault="005C0980" w:rsidP="00C71254">
            <w:pPr>
              <w:pStyle w:val="Tabletext"/>
            </w:pPr>
            <w:r>
              <w:t>?</w:t>
            </w:r>
          </w:p>
        </w:tc>
        <w:tc>
          <w:tcPr>
            <w:tcW w:w="1690" w:type="dxa"/>
            <w:tcBorders>
              <w:top w:val="single" w:sz="4" w:space="0" w:color="auto"/>
              <w:left w:val="single" w:sz="4" w:space="0" w:color="auto"/>
              <w:bottom w:val="single" w:sz="4" w:space="0" w:color="auto"/>
              <w:right w:val="single" w:sz="4" w:space="0" w:color="auto"/>
            </w:tcBorders>
            <w:shd w:val="clear" w:color="auto" w:fill="FFFF00"/>
            <w:vAlign w:val="center"/>
          </w:tcPr>
          <w:p w14:paraId="7E311B91" w14:textId="77777777" w:rsidR="005C0980" w:rsidRDefault="005C0980" w:rsidP="00C71254">
            <w:pPr>
              <w:pStyle w:val="Tabletext"/>
            </w:pPr>
            <w:r>
              <w:t>CMA</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14:paraId="3CFB7A72" w14:textId="77777777" w:rsidR="005C0980" w:rsidRDefault="005C0980" w:rsidP="00C71254">
            <w:pPr>
              <w:pStyle w:val="Tabletext"/>
            </w:pPr>
            <w:r>
              <w:t>CEA/CUA</w:t>
            </w:r>
          </w:p>
        </w:tc>
      </w:tr>
      <w:tr w:rsidR="005C0980" w14:paraId="0ED54E5C" w14:textId="77777777" w:rsidTr="005C0980">
        <w:tc>
          <w:tcPr>
            <w:tcW w:w="1946" w:type="dxa"/>
            <w:tcBorders>
              <w:top w:val="single" w:sz="4" w:space="0" w:color="auto"/>
              <w:left w:val="single" w:sz="4" w:space="0" w:color="auto"/>
              <w:bottom w:val="single" w:sz="4" w:space="0" w:color="auto"/>
              <w:right w:val="single" w:sz="4" w:space="0" w:color="auto"/>
            </w:tcBorders>
            <w:vAlign w:val="center"/>
          </w:tcPr>
          <w:p w14:paraId="735795ED" w14:textId="77777777" w:rsidR="005C0980" w:rsidRDefault="005C0980" w:rsidP="00C71254">
            <w:pPr>
              <w:pStyle w:val="Tabletext"/>
            </w:pPr>
            <w:r>
              <w:t>Superior</w:t>
            </w:r>
          </w:p>
        </w:tc>
        <w:tc>
          <w:tcPr>
            <w:tcW w:w="1842" w:type="dxa"/>
            <w:tcBorders>
              <w:top w:val="single" w:sz="4" w:space="0" w:color="auto"/>
              <w:left w:val="single" w:sz="4" w:space="0" w:color="auto"/>
              <w:bottom w:val="single" w:sz="4" w:space="0" w:color="auto"/>
              <w:right w:val="single" w:sz="4" w:space="0" w:color="auto"/>
            </w:tcBorders>
            <w:vAlign w:val="center"/>
          </w:tcPr>
          <w:p w14:paraId="021F951F" w14:textId="77777777" w:rsidR="005C0980" w:rsidRDefault="005C0980" w:rsidP="00C71254">
            <w:pPr>
              <w:pStyle w:val="Tabletext"/>
            </w:pPr>
            <w:r>
              <w:t>? Likely CUA</w:t>
            </w:r>
          </w:p>
        </w:tc>
        <w:tc>
          <w:tcPr>
            <w:tcW w:w="2154" w:type="dxa"/>
            <w:tcBorders>
              <w:top w:val="single" w:sz="4" w:space="0" w:color="auto"/>
              <w:left w:val="single" w:sz="4" w:space="0" w:color="auto"/>
              <w:bottom w:val="single" w:sz="4" w:space="0" w:color="auto"/>
              <w:right w:val="single" w:sz="4" w:space="0" w:color="auto"/>
            </w:tcBorders>
            <w:vAlign w:val="center"/>
          </w:tcPr>
          <w:p w14:paraId="10A868A8" w14:textId="77777777" w:rsidR="005C0980" w:rsidRDefault="005C0980" w:rsidP="00C71254">
            <w:pPr>
              <w:pStyle w:val="Tabletext"/>
            </w:pPr>
            <w:r>
              <w:t>? Likely CEA/CUA</w:t>
            </w:r>
          </w:p>
        </w:tc>
        <w:tc>
          <w:tcPr>
            <w:tcW w:w="1690" w:type="dxa"/>
            <w:tcBorders>
              <w:top w:val="single" w:sz="4" w:space="0" w:color="auto"/>
              <w:left w:val="single" w:sz="4" w:space="0" w:color="auto"/>
              <w:bottom w:val="single" w:sz="4" w:space="0" w:color="auto"/>
              <w:right w:val="single" w:sz="4" w:space="0" w:color="auto"/>
            </w:tcBorders>
            <w:shd w:val="clear" w:color="auto" w:fill="FFFF00"/>
            <w:vAlign w:val="center"/>
          </w:tcPr>
          <w:p w14:paraId="27C3B6D3" w14:textId="77777777" w:rsidR="005C0980" w:rsidRDefault="005C0980" w:rsidP="00C71254">
            <w:pPr>
              <w:pStyle w:val="Tabletext"/>
            </w:pPr>
            <w:r>
              <w:t>CEA/CUA</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14:paraId="1A497334" w14:textId="77777777" w:rsidR="005C0980" w:rsidRDefault="005C0980" w:rsidP="00C71254">
            <w:pPr>
              <w:pStyle w:val="Tabletext"/>
            </w:pPr>
            <w:r>
              <w:t>CEA/CUA</w:t>
            </w:r>
          </w:p>
        </w:tc>
      </w:tr>
    </w:tbl>
    <w:p w14:paraId="282BE94E" w14:textId="63F37EE8" w:rsidR="005C0980" w:rsidRPr="009929BE" w:rsidRDefault="005C0980" w:rsidP="005C0980">
      <w:pPr>
        <w:pStyle w:val="Tablenotes0"/>
        <w:rPr>
          <w:szCs w:val="18"/>
        </w:rPr>
      </w:pPr>
      <w:r w:rsidRPr="009929BE">
        <w:rPr>
          <w:szCs w:val="18"/>
        </w:rPr>
        <w:t>CEA</w:t>
      </w:r>
      <w:r w:rsidR="00D050BE">
        <w:rPr>
          <w:szCs w:val="18"/>
        </w:rPr>
        <w:t xml:space="preserve"> </w:t>
      </w:r>
      <w:r w:rsidRPr="009929BE">
        <w:rPr>
          <w:szCs w:val="18"/>
        </w:rPr>
        <w:t>=</w:t>
      </w:r>
      <w:r w:rsidR="00D050BE">
        <w:rPr>
          <w:szCs w:val="18"/>
        </w:rPr>
        <w:t xml:space="preserve"> </w:t>
      </w:r>
      <w:r w:rsidRPr="009929BE">
        <w:rPr>
          <w:szCs w:val="18"/>
        </w:rPr>
        <w:t>cost-effectiveness analysis; CMA</w:t>
      </w:r>
      <w:r w:rsidR="00D050BE">
        <w:rPr>
          <w:szCs w:val="18"/>
        </w:rPr>
        <w:t xml:space="preserve"> </w:t>
      </w:r>
      <w:r w:rsidRPr="009929BE">
        <w:rPr>
          <w:szCs w:val="18"/>
        </w:rPr>
        <w:t>=</w:t>
      </w:r>
      <w:r w:rsidR="00D050BE">
        <w:rPr>
          <w:szCs w:val="18"/>
        </w:rPr>
        <w:t xml:space="preserve"> </w:t>
      </w:r>
      <w:r w:rsidRPr="009929BE">
        <w:rPr>
          <w:szCs w:val="18"/>
        </w:rPr>
        <w:t>cost-minimisation analysis; CUA</w:t>
      </w:r>
      <w:r w:rsidR="00D050BE">
        <w:rPr>
          <w:szCs w:val="18"/>
        </w:rPr>
        <w:t xml:space="preserve"> </w:t>
      </w:r>
      <w:r w:rsidRPr="009929BE">
        <w:rPr>
          <w:szCs w:val="18"/>
        </w:rPr>
        <w:t>=</w:t>
      </w:r>
      <w:r w:rsidR="00D050BE">
        <w:rPr>
          <w:szCs w:val="18"/>
        </w:rPr>
        <w:t xml:space="preserve"> </w:t>
      </w:r>
      <w:r w:rsidRPr="009929BE">
        <w:rPr>
          <w:szCs w:val="18"/>
        </w:rPr>
        <w:t>cost-utility analysis</w:t>
      </w:r>
    </w:p>
    <w:p w14:paraId="37A20C8F" w14:textId="77777777" w:rsidR="005C0980" w:rsidRPr="009929BE" w:rsidRDefault="005C0980" w:rsidP="005C0980">
      <w:pPr>
        <w:pStyle w:val="Tablenotes0"/>
        <w:rPr>
          <w:b/>
          <w:szCs w:val="18"/>
        </w:rPr>
      </w:pPr>
      <w:r w:rsidRPr="009929BE">
        <w:rPr>
          <w:szCs w:val="18"/>
        </w:rPr>
        <w:t xml:space="preserve">? = reflect uncertainties and any identified health trade-offs in the economic evaluation, as a minimum in a cost-consequences analysis </w:t>
      </w:r>
    </w:p>
    <w:p w14:paraId="5EC89EC4" w14:textId="77777777" w:rsidR="005C0980" w:rsidRPr="009929BE" w:rsidRDefault="005C0980" w:rsidP="005C0980">
      <w:pPr>
        <w:pStyle w:val="Tablenotes0"/>
        <w:rPr>
          <w:b/>
          <w:szCs w:val="18"/>
        </w:rPr>
      </w:pPr>
      <w:r w:rsidRPr="009929BE">
        <w:rPr>
          <w:szCs w:val="18"/>
          <w:vertAlign w:val="superscript"/>
        </w:rPr>
        <w:t>a</w:t>
      </w:r>
      <w:r w:rsidRPr="009929BE">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517FB6B8" w14:textId="77777777" w:rsidR="005C0980" w:rsidRPr="009929BE" w:rsidRDefault="005C0980" w:rsidP="005C0980">
      <w:pPr>
        <w:pStyle w:val="Tablenotes0"/>
        <w:rPr>
          <w:szCs w:val="18"/>
        </w:rPr>
      </w:pPr>
      <w:r w:rsidRPr="009929BE">
        <w:rPr>
          <w:szCs w:val="18"/>
          <w:vertAlign w:val="superscript"/>
        </w:rPr>
        <w:t>b</w:t>
      </w:r>
      <w:r w:rsidRPr="009929BE">
        <w:rPr>
          <w:szCs w:val="18"/>
        </w:rPr>
        <w:t> An adequate assessment of ‘non-inferiority’ is the preferred basis for demonstrating equivalence</w:t>
      </w:r>
    </w:p>
    <w:p w14:paraId="53B5B8D1" w14:textId="77777777" w:rsidR="004B4240" w:rsidRPr="001C0894" w:rsidRDefault="004B4240">
      <w:pPr>
        <w:rPr>
          <w:rFonts w:eastAsia="MS Gothic"/>
          <w:b/>
          <w:bCs/>
          <w:i/>
          <w:szCs w:val="26"/>
          <w:u w:val="single"/>
        </w:rPr>
      </w:pPr>
      <w:r w:rsidRPr="001C0894">
        <w:br w:type="page"/>
      </w:r>
    </w:p>
    <w:p w14:paraId="62E11F4A" w14:textId="4BE96432" w:rsidR="00752491" w:rsidRDefault="00752491" w:rsidP="00752491">
      <w:pPr>
        <w:pStyle w:val="Heading2"/>
        <w:spacing w:line="240" w:lineRule="auto"/>
        <w:jc w:val="both"/>
        <w:rPr>
          <w:color w:val="548DD4"/>
        </w:rPr>
      </w:pPr>
      <w:r>
        <w:rPr>
          <w:color w:val="548DD4"/>
        </w:rPr>
        <w:lastRenderedPageBreak/>
        <w:t>Proposed item descriptor</w:t>
      </w:r>
    </w:p>
    <w:p w14:paraId="3739D033" w14:textId="3A60E432" w:rsidR="00FE4288" w:rsidRDefault="00FE4288" w:rsidP="001F2C20">
      <w:pPr>
        <w:spacing w:before="120"/>
        <w:rPr>
          <w:u w:color="FF0000"/>
        </w:rPr>
      </w:pPr>
      <w:r>
        <w:rPr>
          <w:u w:color="FF0000"/>
        </w:rPr>
        <w:fldChar w:fldCharType="begin"/>
      </w:r>
      <w:r>
        <w:rPr>
          <w:u w:color="FF0000"/>
        </w:rPr>
        <w:instrText xml:space="preserve"> REF _Ref54084565 \h </w:instrText>
      </w:r>
      <w:r>
        <w:rPr>
          <w:u w:color="FF0000"/>
        </w:rPr>
      </w:r>
      <w:r>
        <w:rPr>
          <w:u w:color="FF0000"/>
        </w:rPr>
        <w:fldChar w:fldCharType="separate"/>
      </w:r>
      <w:r w:rsidR="007D7D37">
        <w:t xml:space="preserve">Table </w:t>
      </w:r>
      <w:r w:rsidR="007D7D37">
        <w:rPr>
          <w:noProof/>
        </w:rPr>
        <w:t>7</w:t>
      </w:r>
      <w:r>
        <w:rPr>
          <w:u w:color="FF0000"/>
        </w:rPr>
        <w:fldChar w:fldCharType="end"/>
      </w:r>
      <w:r>
        <w:rPr>
          <w:u w:color="FF0000"/>
        </w:rPr>
        <w:t xml:space="preserve"> shows </w:t>
      </w:r>
      <w:r w:rsidR="00AA4C12">
        <w:rPr>
          <w:u w:color="FF0000"/>
        </w:rPr>
        <w:t>a potential</w:t>
      </w:r>
      <w:r>
        <w:rPr>
          <w:u w:color="FF0000"/>
        </w:rPr>
        <w:t xml:space="preserve"> MBS </w:t>
      </w:r>
      <w:r w:rsidR="00AA4C12">
        <w:rPr>
          <w:u w:color="FF0000"/>
        </w:rPr>
        <w:t xml:space="preserve">item descriptor </w:t>
      </w:r>
      <w:r>
        <w:rPr>
          <w:u w:color="FF0000"/>
        </w:rPr>
        <w:t xml:space="preserve">for testing </w:t>
      </w:r>
      <w:r w:rsidR="00F7658F">
        <w:rPr>
          <w:u w:color="FF0000"/>
        </w:rPr>
        <w:t>for biomarkers within patients with NSCLC.</w:t>
      </w:r>
    </w:p>
    <w:p w14:paraId="5C6BA5F7" w14:textId="61780668" w:rsidR="00632D03" w:rsidRDefault="00510AB5" w:rsidP="006F1659">
      <w:pPr>
        <w:rPr>
          <w:rFonts w:cs="Arial"/>
        </w:rPr>
      </w:pPr>
      <w:r w:rsidRPr="00632D03">
        <w:rPr>
          <w:rFonts w:cs="Arial"/>
          <w:i/>
        </w:rPr>
        <w:t xml:space="preserve">PASC supported the </w:t>
      </w:r>
      <w:r w:rsidR="006F1659" w:rsidRPr="00632D03">
        <w:rPr>
          <w:rFonts w:cs="Arial"/>
          <w:i/>
        </w:rPr>
        <w:t>propos</w:t>
      </w:r>
      <w:r w:rsidRPr="00632D03">
        <w:rPr>
          <w:rFonts w:cs="Arial"/>
          <w:i/>
        </w:rPr>
        <w:t>al</w:t>
      </w:r>
      <w:r w:rsidR="006F1659" w:rsidRPr="00632D03">
        <w:rPr>
          <w:rFonts w:cs="Arial"/>
          <w:i/>
        </w:rPr>
        <w:t xml:space="preserve"> that CGP of tumour tissue using a NGS assay would be performed once </w:t>
      </w:r>
      <w:r w:rsidR="00447536" w:rsidRPr="00632D03">
        <w:rPr>
          <w:rFonts w:cs="Arial"/>
          <w:i/>
        </w:rPr>
        <w:t xml:space="preserve">for each </w:t>
      </w:r>
      <w:r w:rsidR="00D6704E" w:rsidRPr="00632D03">
        <w:rPr>
          <w:rFonts w:cs="Arial"/>
          <w:i/>
        </w:rPr>
        <w:t>diagnosis of NSCLC</w:t>
      </w:r>
      <w:r w:rsidRPr="00632D03">
        <w:rPr>
          <w:rFonts w:cs="Arial"/>
          <w:i/>
        </w:rPr>
        <w:t xml:space="preserve">, and advised that this should be </w:t>
      </w:r>
      <w:r w:rsidR="00726D5E" w:rsidRPr="00632D03">
        <w:rPr>
          <w:rFonts w:cs="Arial"/>
          <w:i/>
        </w:rPr>
        <w:t xml:space="preserve">included </w:t>
      </w:r>
      <w:r w:rsidRPr="00632D03">
        <w:rPr>
          <w:rFonts w:cs="Arial"/>
          <w:i/>
        </w:rPr>
        <w:t xml:space="preserve">in the </w:t>
      </w:r>
      <w:r w:rsidR="00726D5E" w:rsidRPr="00632D03">
        <w:rPr>
          <w:rFonts w:cs="Arial"/>
          <w:i/>
        </w:rPr>
        <w:t xml:space="preserve">proposed </w:t>
      </w:r>
      <w:r w:rsidRPr="00632D03">
        <w:rPr>
          <w:rFonts w:cs="Arial"/>
          <w:i/>
        </w:rPr>
        <w:t>item descriptor to avoid repeat testing for monitoring purposes</w:t>
      </w:r>
      <w:r w:rsidR="00632D03">
        <w:rPr>
          <w:rFonts w:cs="Arial"/>
          <w:i/>
        </w:rPr>
        <w:t>,</w:t>
      </w:r>
      <w:r w:rsidRPr="00632D03">
        <w:rPr>
          <w:rFonts w:cs="Arial"/>
          <w:i/>
        </w:rPr>
        <w:t xml:space="preserve"> which would need to be the subject of another application</w:t>
      </w:r>
      <w:r w:rsidR="006F1659" w:rsidRPr="00632D03">
        <w:rPr>
          <w:rFonts w:cs="Arial"/>
          <w:i/>
        </w:rPr>
        <w:t>.</w:t>
      </w:r>
      <w:r w:rsidR="006F1659">
        <w:rPr>
          <w:rFonts w:cs="Arial"/>
        </w:rPr>
        <w:t xml:space="preserve"> </w:t>
      </w:r>
    </w:p>
    <w:p w14:paraId="2D83645D" w14:textId="77777777" w:rsidR="00763FAA" w:rsidRDefault="0053635E" w:rsidP="006F1659">
      <w:pPr>
        <w:rPr>
          <w:rFonts w:cs="Arial"/>
        </w:rPr>
      </w:pPr>
      <w:r>
        <w:rPr>
          <w:rFonts w:cs="Arial"/>
        </w:rPr>
        <w:t>The applicant considered that, f</w:t>
      </w:r>
      <w:r w:rsidR="006F1659">
        <w:rPr>
          <w:rFonts w:cs="Arial"/>
        </w:rPr>
        <w:t>or most patients, testing for genomic alterations would be performed at the time they would otherwise be eligible for systemic therapy (i.e. when they have locally advanced or metastatic disease). However, in some cases</w:t>
      </w:r>
      <w:r w:rsidR="00D6704E">
        <w:rPr>
          <w:rFonts w:cs="Arial"/>
        </w:rPr>
        <w:t>,</w:t>
      </w:r>
      <w:r w:rsidR="006F1659">
        <w:rPr>
          <w:rFonts w:cs="Arial"/>
        </w:rPr>
        <w:t xml:space="preserve"> testing of NSCLC tumour tissue </w:t>
      </w:r>
      <w:r w:rsidR="00447536">
        <w:rPr>
          <w:rFonts w:cs="Arial"/>
        </w:rPr>
        <w:t>would be</w:t>
      </w:r>
      <w:r w:rsidR="006F1659">
        <w:rPr>
          <w:rFonts w:cs="Arial"/>
        </w:rPr>
        <w:t xml:space="preserve"> requested </w:t>
      </w:r>
      <w:r w:rsidR="00447536">
        <w:rPr>
          <w:rFonts w:cs="Arial"/>
        </w:rPr>
        <w:t>for</w:t>
      </w:r>
      <w:r w:rsidR="006F1659">
        <w:rPr>
          <w:rFonts w:cs="Arial"/>
        </w:rPr>
        <w:t xml:space="preserve"> patients at the time of diagnosis with early-stage disease (not amenable to systemic therapy), in order to avoid delays, costs and safety issues with collection of a second biopsy specimen at th</w:t>
      </w:r>
      <w:r w:rsidR="002906D4">
        <w:rPr>
          <w:rFonts w:cs="Arial"/>
        </w:rPr>
        <w:t>e point of disease progression.</w:t>
      </w:r>
      <w:r>
        <w:rPr>
          <w:rFonts w:cs="Arial"/>
        </w:rPr>
        <w:t xml:space="preserve"> </w:t>
      </w:r>
    </w:p>
    <w:p w14:paraId="60BA45C0" w14:textId="31A1F6BC" w:rsidR="006F1659" w:rsidRPr="00763FAA" w:rsidRDefault="0053635E" w:rsidP="006F1659">
      <w:pPr>
        <w:rPr>
          <w:i/>
          <w:u w:color="FF0000"/>
        </w:rPr>
      </w:pPr>
      <w:r w:rsidRPr="00763FAA">
        <w:rPr>
          <w:rFonts w:cs="Arial"/>
          <w:i/>
        </w:rPr>
        <w:t>PASC suggested that, in most cases, NGS testing would be organised at the time of diagnosis (as EGFR testing is currently), to avoid issues such as block retrieval and re-cutting.</w:t>
      </w:r>
    </w:p>
    <w:p w14:paraId="7FB7636D" w14:textId="461C577B" w:rsidR="00081675" w:rsidRDefault="00081675" w:rsidP="00081675">
      <w:pPr>
        <w:pStyle w:val="Caption"/>
      </w:pPr>
      <w:bookmarkStart w:id="21" w:name="_Ref54084565"/>
      <w:bookmarkStart w:id="22" w:name="_Ref67557743"/>
      <w:r>
        <w:t xml:space="preserve">Table </w:t>
      </w:r>
      <w:r>
        <w:fldChar w:fldCharType="begin"/>
      </w:r>
      <w:r>
        <w:instrText xml:space="preserve"> SEQ Table \* ARABIC </w:instrText>
      </w:r>
      <w:r>
        <w:fldChar w:fldCharType="separate"/>
      </w:r>
      <w:r w:rsidR="007D7D37">
        <w:rPr>
          <w:noProof/>
        </w:rPr>
        <w:t>7</w:t>
      </w:r>
      <w:r>
        <w:fldChar w:fldCharType="end"/>
      </w:r>
      <w:bookmarkEnd w:id="21"/>
      <w:r w:rsidR="002906D4">
        <w:tab/>
      </w:r>
      <w:r w:rsidR="00510AB5">
        <w:t>Applicant p</w:t>
      </w:r>
      <w:r w:rsidR="00D8790C">
        <w:t xml:space="preserve">roposed </w:t>
      </w:r>
      <w:r w:rsidR="002906D4">
        <w:t>MBS item descriptor</w:t>
      </w:r>
      <w:bookmarkEnd w:id="22"/>
    </w:p>
    <w:tbl>
      <w:tblPr>
        <w:tblStyle w:val="TableGrid"/>
        <w:tblW w:w="0" w:type="auto"/>
        <w:tblLook w:val="04A0" w:firstRow="1" w:lastRow="0" w:firstColumn="1" w:lastColumn="0" w:noHBand="0" w:noVBand="1"/>
        <w:tblCaption w:val="MBS item descriptor suggested by assessment groups"/>
        <w:tblDescription w:val="MBS item suggested (more consistent with existing items for testing patients with NSCLC)"/>
      </w:tblPr>
      <w:tblGrid>
        <w:gridCol w:w="9016"/>
      </w:tblGrid>
      <w:tr w:rsidR="003648F4" w:rsidRPr="000F5EB0" w14:paraId="1879CAF0" w14:textId="77777777" w:rsidTr="007F4F87">
        <w:trPr>
          <w:tblHeader/>
        </w:trPr>
        <w:tc>
          <w:tcPr>
            <w:tcW w:w="0" w:type="auto"/>
            <w:tcBorders>
              <w:bottom w:val="single" w:sz="4" w:space="0" w:color="auto"/>
            </w:tcBorders>
          </w:tcPr>
          <w:p w14:paraId="241D70B6" w14:textId="77777777" w:rsidR="003648F4" w:rsidRPr="000F5EB0" w:rsidRDefault="003648F4" w:rsidP="0049136F">
            <w:pPr>
              <w:pStyle w:val="Tabletext"/>
            </w:pPr>
            <w:r w:rsidRPr="000F5EB0">
              <w:t>Category 6 – Pathology Services</w:t>
            </w:r>
          </w:p>
        </w:tc>
      </w:tr>
      <w:tr w:rsidR="003648F4" w:rsidRPr="000F5EB0" w14:paraId="537A4AFE" w14:textId="77777777" w:rsidTr="00E333D3">
        <w:tc>
          <w:tcPr>
            <w:tcW w:w="0" w:type="auto"/>
            <w:tcBorders>
              <w:bottom w:val="single" w:sz="4" w:space="0" w:color="auto"/>
            </w:tcBorders>
          </w:tcPr>
          <w:p w14:paraId="136B2458" w14:textId="7975DC0B" w:rsidR="003648F4" w:rsidRDefault="003648F4" w:rsidP="0049136F">
            <w:pPr>
              <w:pStyle w:val="Tabletext"/>
            </w:pPr>
            <w:r w:rsidRPr="000F5EB0">
              <w:t xml:space="preserve">Comprehensive genomic profiling using </w:t>
            </w:r>
            <w:r>
              <w:t xml:space="preserve">a next generation sequencing </w:t>
            </w:r>
            <w:r w:rsidRPr="000F5EB0">
              <w:t xml:space="preserve">assay performed on tumour tissue from a patient diagnosed </w:t>
            </w:r>
            <w:r>
              <w:t xml:space="preserve">with non-small cell lung cancer, shown to have non-squamous histology or histology not otherwise specified, </w:t>
            </w:r>
            <w:r w:rsidRPr="000F5EB0">
              <w:t>requested by, or on behalf of, a specialist o</w:t>
            </w:r>
            <w:r>
              <w:t>r</w:t>
            </w:r>
            <w:r w:rsidRPr="000F5EB0">
              <w:t xml:space="preserve"> consulting physician, to determine if the eligibility requirements </w:t>
            </w:r>
            <w:r w:rsidR="00E333D3">
              <w:t>relating to biomarker status for</w:t>
            </w:r>
            <w:r w:rsidRPr="000F5EB0">
              <w:t xml:space="preserve"> access </w:t>
            </w:r>
            <w:r w:rsidR="00E333D3">
              <w:t>to targeted treatments</w:t>
            </w:r>
            <w:r w:rsidRPr="000F5EB0">
              <w:t xml:space="preserve"> under the Pharmaceutical Benefits Scheme (PBS) are fulfilled.</w:t>
            </w:r>
          </w:p>
          <w:p w14:paraId="0137B021" w14:textId="77777777" w:rsidR="00510AB5" w:rsidRDefault="00510AB5" w:rsidP="0049136F">
            <w:pPr>
              <w:pStyle w:val="Tabletext"/>
            </w:pPr>
          </w:p>
          <w:p w14:paraId="00FBB5CE" w14:textId="035AB1A9" w:rsidR="003648F4" w:rsidRPr="000F5EB0" w:rsidRDefault="00B41AFE" w:rsidP="0049136F">
            <w:pPr>
              <w:pStyle w:val="Tabletext"/>
            </w:pPr>
            <w:r>
              <w:t>Fee: $ to be confirmed</w:t>
            </w:r>
          </w:p>
        </w:tc>
      </w:tr>
    </w:tbl>
    <w:p w14:paraId="63ABD86A" w14:textId="1630D026" w:rsidR="00600346" w:rsidRDefault="00600346" w:rsidP="002E6705">
      <w:pPr>
        <w:spacing w:after="120" w:line="259" w:lineRule="auto"/>
        <w:contextualSpacing/>
        <w:jc w:val="both"/>
        <w:rPr>
          <w:rFonts w:ascii="Arial Narrow" w:hAnsi="Arial Narrow"/>
          <w:sz w:val="20"/>
        </w:rPr>
      </w:pPr>
      <w:r>
        <w:rPr>
          <w:rFonts w:ascii="Arial Narrow" w:hAnsi="Arial Narrow"/>
          <w:sz w:val="20"/>
        </w:rPr>
        <w:t>Explanatory notes:</w:t>
      </w:r>
    </w:p>
    <w:p w14:paraId="520010B7" w14:textId="396C6F11" w:rsidR="00600346" w:rsidRDefault="00600346" w:rsidP="00600346">
      <w:pPr>
        <w:numPr>
          <w:ilvl w:val="0"/>
          <w:numId w:val="17"/>
        </w:numPr>
        <w:spacing w:after="120" w:line="259" w:lineRule="auto"/>
        <w:ind w:left="567" w:hanging="425"/>
        <w:contextualSpacing/>
        <w:jc w:val="both"/>
        <w:rPr>
          <w:rFonts w:ascii="Arial Narrow" w:hAnsi="Arial Narrow"/>
          <w:sz w:val="20"/>
        </w:rPr>
      </w:pPr>
      <w:r w:rsidRPr="00354858">
        <w:rPr>
          <w:rFonts w:ascii="Arial Narrow" w:hAnsi="Arial Narrow"/>
          <w:sz w:val="20"/>
        </w:rPr>
        <w:t>This item cannot be claimed in addition to MBS items 73337, 73341 or 73344.</w:t>
      </w:r>
    </w:p>
    <w:p w14:paraId="6C5310EB" w14:textId="518F42A2" w:rsidR="00600346" w:rsidRDefault="00600346" w:rsidP="00600346">
      <w:pPr>
        <w:numPr>
          <w:ilvl w:val="0"/>
          <w:numId w:val="17"/>
        </w:numPr>
        <w:spacing w:after="120" w:line="259" w:lineRule="auto"/>
        <w:ind w:left="567" w:hanging="425"/>
        <w:contextualSpacing/>
        <w:jc w:val="both"/>
        <w:rPr>
          <w:rFonts w:ascii="Arial Narrow" w:hAnsi="Arial Narrow"/>
          <w:sz w:val="20"/>
        </w:rPr>
      </w:pPr>
      <w:r>
        <w:rPr>
          <w:rFonts w:ascii="Arial Narrow" w:hAnsi="Arial Narrow"/>
          <w:sz w:val="20"/>
        </w:rPr>
        <w:t>The assay must be appropriate</w:t>
      </w:r>
      <w:r w:rsidR="00D8790C">
        <w:rPr>
          <w:rFonts w:ascii="Arial Narrow" w:hAnsi="Arial Narrow"/>
          <w:sz w:val="20"/>
        </w:rPr>
        <w:t xml:space="preserve"> for detecting variants in the:</w:t>
      </w:r>
    </w:p>
    <w:p w14:paraId="0FEDC2C2" w14:textId="6A7D36CA" w:rsidR="00600346" w:rsidRDefault="00600346" w:rsidP="002906D4">
      <w:pPr>
        <w:numPr>
          <w:ilvl w:val="1"/>
          <w:numId w:val="17"/>
        </w:numPr>
        <w:spacing w:after="120" w:line="259" w:lineRule="auto"/>
        <w:ind w:left="993"/>
        <w:contextualSpacing/>
        <w:jc w:val="both"/>
        <w:rPr>
          <w:rFonts w:ascii="Arial Narrow" w:hAnsi="Arial Narrow"/>
          <w:sz w:val="20"/>
        </w:rPr>
      </w:pPr>
      <w:r w:rsidRPr="002E6705">
        <w:rPr>
          <w:rFonts w:ascii="Arial Narrow" w:hAnsi="Arial Narrow"/>
          <w:sz w:val="20"/>
        </w:rPr>
        <w:t>Epidermal growth factor receptor (</w:t>
      </w:r>
      <w:r w:rsidRPr="00AD0595">
        <w:rPr>
          <w:rFonts w:ascii="Arial Narrow" w:hAnsi="Arial Narrow"/>
          <w:i/>
          <w:sz w:val="20"/>
        </w:rPr>
        <w:t>EGFR</w:t>
      </w:r>
      <w:r w:rsidRPr="002E6705">
        <w:rPr>
          <w:rFonts w:ascii="Arial Narrow" w:hAnsi="Arial Narrow"/>
          <w:sz w:val="20"/>
        </w:rPr>
        <w:t>) gene</w:t>
      </w:r>
      <w:r>
        <w:rPr>
          <w:rFonts w:ascii="Arial Narrow" w:hAnsi="Arial Narrow"/>
          <w:sz w:val="20"/>
        </w:rPr>
        <w:t xml:space="preserve"> (activating variants would allow access to erlotinib, gefit</w:t>
      </w:r>
      <w:r w:rsidR="00D8790C">
        <w:rPr>
          <w:rFonts w:ascii="Arial Narrow" w:hAnsi="Arial Narrow"/>
          <w:sz w:val="20"/>
        </w:rPr>
        <w:t>inib, afatinib or osimertinib);</w:t>
      </w:r>
    </w:p>
    <w:p w14:paraId="4B4102CA" w14:textId="3AD4F4AF" w:rsidR="00600346" w:rsidRPr="002E6705" w:rsidRDefault="00600346" w:rsidP="002906D4">
      <w:pPr>
        <w:numPr>
          <w:ilvl w:val="1"/>
          <w:numId w:val="17"/>
        </w:numPr>
        <w:spacing w:after="120" w:line="259" w:lineRule="auto"/>
        <w:ind w:left="993"/>
        <w:contextualSpacing/>
        <w:jc w:val="both"/>
        <w:rPr>
          <w:rFonts w:ascii="Arial Narrow" w:hAnsi="Arial Narrow"/>
          <w:sz w:val="20"/>
        </w:rPr>
      </w:pPr>
      <w:r w:rsidRPr="002E6705">
        <w:rPr>
          <w:rFonts w:ascii="Arial Narrow" w:hAnsi="Arial Narrow"/>
          <w:sz w:val="20"/>
        </w:rPr>
        <w:t>Anaplastic lymphoma kinase (</w:t>
      </w:r>
      <w:r w:rsidRPr="00AD0595">
        <w:rPr>
          <w:rFonts w:ascii="Arial Narrow" w:hAnsi="Arial Narrow"/>
          <w:i/>
          <w:sz w:val="20"/>
        </w:rPr>
        <w:t>ALK</w:t>
      </w:r>
      <w:r w:rsidRPr="002E6705">
        <w:rPr>
          <w:rFonts w:ascii="Arial Narrow" w:hAnsi="Arial Narrow"/>
          <w:sz w:val="20"/>
        </w:rPr>
        <w:t>) gene (rearrangements would allow access to crizotinib, ceritinib, alectinib or brigatinib)</w:t>
      </w:r>
      <w:r w:rsidR="00D8790C">
        <w:rPr>
          <w:rFonts w:ascii="Arial Narrow" w:hAnsi="Arial Narrow"/>
          <w:sz w:val="20"/>
        </w:rPr>
        <w:t>;</w:t>
      </w:r>
    </w:p>
    <w:p w14:paraId="523F82C9" w14:textId="273B00F0" w:rsidR="00600346" w:rsidRDefault="00600346" w:rsidP="002906D4">
      <w:pPr>
        <w:numPr>
          <w:ilvl w:val="1"/>
          <w:numId w:val="17"/>
        </w:numPr>
        <w:spacing w:after="120" w:line="259" w:lineRule="auto"/>
        <w:ind w:left="993"/>
        <w:contextualSpacing/>
        <w:jc w:val="both"/>
        <w:rPr>
          <w:rFonts w:ascii="Arial Narrow" w:hAnsi="Arial Narrow"/>
          <w:sz w:val="20"/>
        </w:rPr>
      </w:pPr>
      <w:r w:rsidRPr="002E6705">
        <w:rPr>
          <w:rFonts w:ascii="Arial Narrow" w:hAnsi="Arial Narrow"/>
          <w:sz w:val="20"/>
        </w:rPr>
        <w:t>C-ROS proto-oncogene 1 (</w:t>
      </w:r>
      <w:r w:rsidRPr="00AD0595">
        <w:rPr>
          <w:rFonts w:ascii="Arial Narrow" w:hAnsi="Arial Narrow"/>
          <w:i/>
          <w:sz w:val="20"/>
        </w:rPr>
        <w:t>ROS1</w:t>
      </w:r>
      <w:r w:rsidRPr="002E6705">
        <w:rPr>
          <w:rFonts w:ascii="Arial Narrow" w:hAnsi="Arial Narrow"/>
          <w:sz w:val="20"/>
        </w:rPr>
        <w:t>) gene (</w:t>
      </w:r>
      <w:r w:rsidRPr="008B2DC3">
        <w:rPr>
          <w:rFonts w:ascii="Arial Narrow" w:hAnsi="Arial Narrow"/>
          <w:sz w:val="20"/>
        </w:rPr>
        <w:t>rearrangement</w:t>
      </w:r>
      <w:r w:rsidRPr="00430101">
        <w:rPr>
          <w:rFonts w:ascii="Arial Narrow" w:hAnsi="Arial Narrow"/>
          <w:sz w:val="20"/>
        </w:rPr>
        <w:t xml:space="preserve"> </w:t>
      </w:r>
      <w:r>
        <w:rPr>
          <w:rFonts w:ascii="Arial Narrow" w:hAnsi="Arial Narrow"/>
          <w:sz w:val="20"/>
        </w:rPr>
        <w:t xml:space="preserve">would allow access </w:t>
      </w:r>
      <w:r w:rsidRPr="002E6705">
        <w:rPr>
          <w:rFonts w:ascii="Arial Narrow" w:hAnsi="Arial Narrow"/>
          <w:sz w:val="20"/>
        </w:rPr>
        <w:t>to crizotinib or entrectinib)</w:t>
      </w:r>
      <w:r w:rsidR="00D8790C">
        <w:rPr>
          <w:rFonts w:ascii="Arial Narrow" w:hAnsi="Arial Narrow"/>
          <w:sz w:val="20"/>
        </w:rPr>
        <w:t>.</w:t>
      </w:r>
    </w:p>
    <w:p w14:paraId="1D9FC0C5" w14:textId="77777777" w:rsidR="002D04FD" w:rsidRPr="00763FAA" w:rsidRDefault="002D04FD" w:rsidP="00D6704E">
      <w:pPr>
        <w:spacing w:after="120" w:line="259" w:lineRule="auto"/>
        <w:contextualSpacing/>
        <w:jc w:val="both"/>
        <w:rPr>
          <w:rFonts w:ascii="Arial Narrow" w:hAnsi="Arial Narrow"/>
          <w:i/>
          <w:sz w:val="20"/>
        </w:rPr>
      </w:pPr>
    </w:p>
    <w:p w14:paraId="34B777DA" w14:textId="342772E9" w:rsidR="006C0AC2" w:rsidRPr="00763FAA" w:rsidRDefault="002D04FD" w:rsidP="006C0AC2">
      <w:pPr>
        <w:rPr>
          <w:i/>
        </w:rPr>
      </w:pPr>
      <w:r w:rsidRPr="00763FAA">
        <w:rPr>
          <w:i/>
        </w:rPr>
        <w:t xml:space="preserve">PASC </w:t>
      </w:r>
      <w:r w:rsidR="002C55AC" w:rsidRPr="00763FAA">
        <w:rPr>
          <w:i/>
        </w:rPr>
        <w:t xml:space="preserve">supported an item descriptor that did not define a specific genomic sequencing methodology. PASC </w:t>
      </w:r>
      <w:r w:rsidR="001650B3" w:rsidRPr="00763FAA">
        <w:rPr>
          <w:i/>
        </w:rPr>
        <w:t xml:space="preserve">noted that there is no precedent for listing genes in the explanatory notes, and </w:t>
      </w:r>
      <w:r w:rsidR="00D5098F" w:rsidRPr="00763FAA">
        <w:rPr>
          <w:i/>
        </w:rPr>
        <w:t>advised</w:t>
      </w:r>
      <w:r w:rsidRPr="00763FAA">
        <w:rPr>
          <w:i/>
        </w:rPr>
        <w:t xml:space="preserve"> that the appropriateness of requiring </w:t>
      </w:r>
      <w:r w:rsidR="00D6704E" w:rsidRPr="00763FAA">
        <w:rPr>
          <w:i/>
        </w:rPr>
        <w:t xml:space="preserve">the MBS item descriptor or </w:t>
      </w:r>
      <w:r w:rsidRPr="00763FAA">
        <w:rPr>
          <w:i/>
        </w:rPr>
        <w:t xml:space="preserve">explanatory notes describe the minimum set of genes </w:t>
      </w:r>
      <w:r w:rsidR="0043056C" w:rsidRPr="00763FAA">
        <w:rPr>
          <w:i/>
        </w:rPr>
        <w:t>that</w:t>
      </w:r>
      <w:r w:rsidRPr="00763FAA">
        <w:rPr>
          <w:i/>
        </w:rPr>
        <w:t xml:space="preserve"> should be included in a test to be eligible under an MBS item would need to be </w:t>
      </w:r>
      <w:r w:rsidR="00D6704E" w:rsidRPr="00763FAA">
        <w:rPr>
          <w:i/>
        </w:rPr>
        <w:t xml:space="preserve">considered further </w:t>
      </w:r>
      <w:r w:rsidRPr="00763FAA">
        <w:rPr>
          <w:i/>
        </w:rPr>
        <w:t xml:space="preserve">by </w:t>
      </w:r>
      <w:r w:rsidR="00D6704E" w:rsidRPr="00763FAA">
        <w:rPr>
          <w:i/>
        </w:rPr>
        <w:t>MSAC</w:t>
      </w:r>
      <w:r w:rsidRPr="00763FAA">
        <w:rPr>
          <w:i/>
        </w:rPr>
        <w:t>.</w:t>
      </w:r>
    </w:p>
    <w:p w14:paraId="1E85AD4F" w14:textId="7EB050C5" w:rsidR="002D04FD" w:rsidRPr="00763FAA" w:rsidRDefault="006C0AC2" w:rsidP="002E6705">
      <w:pPr>
        <w:rPr>
          <w:i/>
        </w:rPr>
      </w:pPr>
      <w:r w:rsidRPr="00763FAA">
        <w:rPr>
          <w:i/>
        </w:rPr>
        <w:t xml:space="preserve">PASC considered that the reporting of </w:t>
      </w:r>
      <w:r w:rsidRPr="001F2C20">
        <w:rPr>
          <w:i/>
        </w:rPr>
        <w:t>variants</w:t>
      </w:r>
      <w:r w:rsidR="00763FAA" w:rsidRPr="001F2C20">
        <w:rPr>
          <w:i/>
        </w:rPr>
        <w:t>,</w:t>
      </w:r>
      <w:r w:rsidRPr="001F2C20">
        <w:rPr>
          <w:i/>
        </w:rPr>
        <w:t xml:space="preserve"> which did not</w:t>
      </w:r>
      <w:r w:rsidRPr="00763FAA">
        <w:rPr>
          <w:i/>
        </w:rPr>
        <w:t xml:space="preserve"> relate to the eligibility criterion for a PBS-subsidised medicine (for example to suggest eligibility for a medicine that is not subsidised on the PBS for NSCLC) raised issues which would need further consideration by the applicant and MSAC, accepting that such expanded reporting may already be occurring with privately funded panel testing.</w:t>
      </w:r>
    </w:p>
    <w:p w14:paraId="24FD9EF7" w14:textId="54603494" w:rsidR="00BE261E" w:rsidRPr="00763FAA" w:rsidRDefault="00BE261E" w:rsidP="002E6705">
      <w:pPr>
        <w:rPr>
          <w:i/>
        </w:rPr>
      </w:pPr>
      <w:r w:rsidRPr="00763FAA">
        <w:rPr>
          <w:i/>
        </w:rPr>
        <w:t>PASC advised that the proposed MBS item should be pathologist determinable, to b</w:t>
      </w:r>
      <w:r w:rsidR="00E43598">
        <w:rPr>
          <w:i/>
        </w:rPr>
        <w:t>e consistent with EGFR testing.</w:t>
      </w:r>
    </w:p>
    <w:p w14:paraId="6DE5B572" w14:textId="3654D5D9" w:rsidR="0037776B" w:rsidRPr="00763FAA" w:rsidRDefault="0037776B" w:rsidP="002E6705">
      <w:pPr>
        <w:rPr>
          <w:i/>
          <w:u w:color="FF0000"/>
        </w:rPr>
      </w:pPr>
      <w:r w:rsidRPr="00763FAA">
        <w:rPr>
          <w:i/>
        </w:rPr>
        <w:lastRenderedPageBreak/>
        <w:t>PASC noted that the proposed item is not to be co-claimed with tests for EGFR, ALK or ROS1 FISH (MBS items 73337, 73341 or 73344)</w:t>
      </w:r>
      <w:r w:rsidR="0005753D" w:rsidRPr="00763FAA">
        <w:rPr>
          <w:i/>
        </w:rPr>
        <w:t>, and questioned whether this limitation should be reinforced in the item descriptor rather than being left in the explanatory notes</w:t>
      </w:r>
      <w:r w:rsidRPr="00763FAA">
        <w:rPr>
          <w:i/>
        </w:rPr>
        <w:t xml:space="preserve">. Some patients may have claimed one (but not all) of these items, which may </w:t>
      </w:r>
      <w:r w:rsidR="00D5098F" w:rsidRPr="00763FAA">
        <w:rPr>
          <w:i/>
        </w:rPr>
        <w:t xml:space="preserve">initially </w:t>
      </w:r>
      <w:r w:rsidRPr="00763FAA">
        <w:rPr>
          <w:i/>
        </w:rPr>
        <w:t xml:space="preserve">lead to </w:t>
      </w:r>
      <w:r w:rsidR="00D5098F" w:rsidRPr="00763FAA">
        <w:rPr>
          <w:i/>
        </w:rPr>
        <w:t xml:space="preserve">those </w:t>
      </w:r>
      <w:r w:rsidRPr="00763FAA">
        <w:rPr>
          <w:i/>
        </w:rPr>
        <w:t>patients who have been partially tested under existing items being disadvantaged.</w:t>
      </w:r>
    </w:p>
    <w:p w14:paraId="40CCD231" w14:textId="4707CE5B" w:rsidR="00BC0E16" w:rsidRDefault="0011040C" w:rsidP="0011040C">
      <w:pPr>
        <w:rPr>
          <w:rFonts w:cs="Arial"/>
        </w:rPr>
      </w:pPr>
      <w:r>
        <w:rPr>
          <w:u w:color="FF0000"/>
        </w:rPr>
        <w:t>The applicants commit</w:t>
      </w:r>
      <w:r w:rsidR="00E65C96">
        <w:rPr>
          <w:u w:color="FF0000"/>
        </w:rPr>
        <w:t>ted</w:t>
      </w:r>
      <w:r>
        <w:rPr>
          <w:u w:color="FF0000"/>
        </w:rPr>
        <w:t xml:space="preserve"> to determining an MBS fee as part of preparing the Applicant Developed Assessment Report for consideration by MSAC. The price of the CGP kit will be different to the fee, as the fee must incorporate other components required to deliver the service. </w:t>
      </w:r>
      <w:r>
        <w:rPr>
          <w:rFonts w:cs="Arial"/>
        </w:rPr>
        <w:t xml:space="preserve">The </w:t>
      </w:r>
      <w:r w:rsidR="00CE3366">
        <w:rPr>
          <w:rFonts w:cs="Arial"/>
        </w:rPr>
        <w:t>analysis</w:t>
      </w:r>
      <w:r>
        <w:rPr>
          <w:rFonts w:cs="Arial"/>
        </w:rPr>
        <w:t xml:space="preserve"> and reporting of CGP results requires a significant amount of time and expertise, contributing to an increase in the cost of NGS testing over single gene testing cu</w:t>
      </w:r>
      <w:r w:rsidR="002906D4">
        <w:rPr>
          <w:rFonts w:cs="Arial"/>
        </w:rPr>
        <w:t>rrently funded through the MBS.</w:t>
      </w:r>
    </w:p>
    <w:p w14:paraId="49CBA947" w14:textId="2D2EB91D" w:rsidR="00FC5507" w:rsidRPr="00E65C96" w:rsidRDefault="001F62F1" w:rsidP="0011040C">
      <w:pPr>
        <w:rPr>
          <w:rFonts w:cs="Arial"/>
        </w:rPr>
      </w:pPr>
      <w:r>
        <w:rPr>
          <w:rFonts w:cs="Arial"/>
        </w:rPr>
        <w:t xml:space="preserve">The applicants provided a comparison </w:t>
      </w:r>
      <w:r w:rsidR="00B8749E">
        <w:rPr>
          <w:rFonts w:cs="Arial"/>
        </w:rPr>
        <w:t xml:space="preserve">of </w:t>
      </w:r>
      <w:r>
        <w:rPr>
          <w:rFonts w:cs="Arial"/>
        </w:rPr>
        <w:t>the NGS assays currently marketed in Australia</w:t>
      </w:r>
      <w:r w:rsidR="00B8749E">
        <w:rPr>
          <w:rFonts w:cs="Arial"/>
        </w:rPr>
        <w:t xml:space="preserve">, including their fees and what is included </w:t>
      </w:r>
      <w:r>
        <w:rPr>
          <w:rFonts w:cs="Arial"/>
        </w:rPr>
        <w:t>(</w:t>
      </w:r>
      <w:r>
        <w:rPr>
          <w:rFonts w:cs="Arial"/>
        </w:rPr>
        <w:fldChar w:fldCharType="begin"/>
      </w:r>
      <w:r>
        <w:rPr>
          <w:rFonts w:cs="Arial"/>
        </w:rPr>
        <w:instrText xml:space="preserve"> REF _Ref66264397 \h </w:instrText>
      </w:r>
      <w:r>
        <w:rPr>
          <w:rFonts w:cs="Arial"/>
        </w:rPr>
      </w:r>
      <w:r>
        <w:rPr>
          <w:rFonts w:cs="Arial"/>
        </w:rPr>
        <w:fldChar w:fldCharType="separate"/>
      </w:r>
      <w:r w:rsidR="007D7D37">
        <w:t xml:space="preserve">Table </w:t>
      </w:r>
      <w:r w:rsidR="007D7D37">
        <w:rPr>
          <w:noProof/>
        </w:rPr>
        <w:t>8</w:t>
      </w:r>
      <w:r>
        <w:rPr>
          <w:rFonts w:cs="Arial"/>
        </w:rPr>
        <w:fldChar w:fldCharType="end"/>
      </w:r>
      <w:r w:rsidR="002906D4">
        <w:rPr>
          <w:rFonts w:cs="Arial"/>
        </w:rPr>
        <w:t>).</w:t>
      </w:r>
      <w:r w:rsidR="00FC5507">
        <w:rPr>
          <w:rFonts w:cs="Arial"/>
        </w:rPr>
        <w:t xml:space="preserve"> </w:t>
      </w:r>
      <w:r w:rsidR="00B8749E">
        <w:rPr>
          <w:rFonts w:cs="Arial"/>
        </w:rPr>
        <w:t xml:space="preserve">The applicants </w:t>
      </w:r>
      <w:r w:rsidR="00E65C96">
        <w:rPr>
          <w:rFonts w:cs="Arial"/>
        </w:rPr>
        <w:t>we</w:t>
      </w:r>
      <w:r w:rsidR="00B8749E">
        <w:rPr>
          <w:rFonts w:cs="Arial"/>
        </w:rPr>
        <w:t xml:space="preserve">re requested to confirm whether the tests listed are suitable for testing both </w:t>
      </w:r>
      <w:r w:rsidR="00B8749E">
        <w:rPr>
          <w:rFonts w:cs="Arial"/>
          <w:i/>
        </w:rPr>
        <w:t xml:space="preserve">ALK </w:t>
      </w:r>
      <w:r w:rsidR="00B8749E">
        <w:rPr>
          <w:rFonts w:cs="Arial"/>
        </w:rPr>
        <w:t xml:space="preserve">and </w:t>
      </w:r>
      <w:r w:rsidR="00B8749E">
        <w:rPr>
          <w:rFonts w:cs="Arial"/>
          <w:i/>
        </w:rPr>
        <w:t>ROS1.</w:t>
      </w:r>
    </w:p>
    <w:p w14:paraId="556506D5" w14:textId="6BDE6482" w:rsidR="0011040C" w:rsidRDefault="0011040C" w:rsidP="00B8749E">
      <w:pPr>
        <w:pStyle w:val="Caption"/>
        <w:ind w:left="0" w:firstLine="0"/>
      </w:pPr>
      <w:bookmarkStart w:id="23" w:name="_Ref66264397"/>
      <w:r>
        <w:t xml:space="preserve">Table </w:t>
      </w:r>
      <w:r>
        <w:fldChar w:fldCharType="begin"/>
      </w:r>
      <w:r>
        <w:instrText xml:space="preserve"> SEQ Table \* ARABIC </w:instrText>
      </w:r>
      <w:r>
        <w:fldChar w:fldCharType="separate"/>
      </w:r>
      <w:r w:rsidR="007D7D37">
        <w:rPr>
          <w:noProof/>
        </w:rPr>
        <w:t>8</w:t>
      </w:r>
      <w:r>
        <w:fldChar w:fldCharType="end"/>
      </w:r>
      <w:bookmarkEnd w:id="23"/>
      <w:r>
        <w:tab/>
        <w:t>Comparison of CGP assays currently marketed in Au</w:t>
      </w:r>
      <w:r w:rsidR="00D5098F">
        <w:t>stralia</w:t>
      </w:r>
    </w:p>
    <w:tbl>
      <w:tblPr>
        <w:tblStyle w:val="TableGrid"/>
        <w:tblW w:w="0" w:type="auto"/>
        <w:shd w:val="clear" w:color="auto" w:fill="FBD4B4" w:themeFill="accent6" w:themeFillTint="66"/>
        <w:tblLook w:val="04A0" w:firstRow="1" w:lastRow="0" w:firstColumn="1" w:lastColumn="0" w:noHBand="0" w:noVBand="1"/>
        <w:tblCaption w:val="Comparison of CGP assays currently marketed in Australia "/>
        <w:tblDescription w:val="Comparison of CGP assays currently marketed in Australia showing highly variable fees, but also different elements which are included in the fee. "/>
      </w:tblPr>
      <w:tblGrid>
        <w:gridCol w:w="1776"/>
        <w:gridCol w:w="1912"/>
        <w:gridCol w:w="1775"/>
        <w:gridCol w:w="1773"/>
        <w:gridCol w:w="1780"/>
      </w:tblGrid>
      <w:tr w:rsidR="0011040C" w:rsidRPr="0011040C" w14:paraId="75709446" w14:textId="77777777" w:rsidTr="00923428">
        <w:trPr>
          <w:tblHeader/>
        </w:trPr>
        <w:tc>
          <w:tcPr>
            <w:tcW w:w="1776" w:type="dxa"/>
            <w:shd w:val="clear" w:color="auto" w:fill="auto"/>
          </w:tcPr>
          <w:p w14:paraId="09BCCF62" w14:textId="77777777" w:rsidR="0011040C" w:rsidRPr="0011040C" w:rsidRDefault="0011040C">
            <w:pPr>
              <w:rPr>
                <w:rFonts w:ascii="Arial Narrow" w:hAnsi="Arial Narrow"/>
                <w:sz w:val="20"/>
                <w:szCs w:val="20"/>
              </w:rPr>
            </w:pPr>
          </w:p>
        </w:tc>
        <w:tc>
          <w:tcPr>
            <w:tcW w:w="1912" w:type="dxa"/>
            <w:shd w:val="clear" w:color="auto" w:fill="auto"/>
          </w:tcPr>
          <w:p w14:paraId="2B6C9794" w14:textId="6E66A444" w:rsidR="0011040C" w:rsidRPr="0011040C" w:rsidRDefault="0011040C">
            <w:pPr>
              <w:rPr>
                <w:rFonts w:ascii="Arial Narrow" w:hAnsi="Arial Narrow"/>
                <w:b/>
                <w:sz w:val="20"/>
                <w:szCs w:val="20"/>
              </w:rPr>
            </w:pPr>
            <w:r w:rsidRPr="0011040C">
              <w:rPr>
                <w:rFonts w:ascii="Arial Narrow" w:hAnsi="Arial Narrow"/>
                <w:b/>
                <w:sz w:val="20"/>
                <w:szCs w:val="20"/>
              </w:rPr>
              <w:t>Roche Foundation Medicine F1CDx (send out)</w:t>
            </w:r>
          </w:p>
        </w:tc>
        <w:tc>
          <w:tcPr>
            <w:tcW w:w="1775" w:type="dxa"/>
            <w:shd w:val="clear" w:color="auto" w:fill="auto"/>
          </w:tcPr>
          <w:p w14:paraId="7FFFCC59" w14:textId="7BA7B056" w:rsidR="0011040C" w:rsidRPr="0011040C" w:rsidRDefault="0011040C">
            <w:pPr>
              <w:rPr>
                <w:rFonts w:ascii="Arial Narrow" w:hAnsi="Arial Narrow"/>
                <w:b/>
                <w:sz w:val="20"/>
                <w:szCs w:val="20"/>
              </w:rPr>
            </w:pPr>
            <w:r w:rsidRPr="0011040C">
              <w:rPr>
                <w:rFonts w:ascii="Arial Narrow" w:hAnsi="Arial Narrow"/>
                <w:b/>
                <w:sz w:val="20"/>
                <w:szCs w:val="20"/>
              </w:rPr>
              <w:t>Roche AVENIO/F1 (RUO) CGP kit</w:t>
            </w:r>
          </w:p>
        </w:tc>
        <w:tc>
          <w:tcPr>
            <w:tcW w:w="1773" w:type="dxa"/>
            <w:shd w:val="clear" w:color="auto" w:fill="auto"/>
          </w:tcPr>
          <w:p w14:paraId="134F6C65" w14:textId="09EB11CE" w:rsidR="0011040C" w:rsidRPr="0011040C" w:rsidRDefault="0011040C">
            <w:pPr>
              <w:rPr>
                <w:rFonts w:ascii="Arial Narrow" w:hAnsi="Arial Narrow"/>
                <w:b/>
                <w:sz w:val="20"/>
                <w:szCs w:val="20"/>
              </w:rPr>
            </w:pPr>
            <w:r w:rsidRPr="0011040C">
              <w:rPr>
                <w:rFonts w:ascii="Arial Narrow" w:hAnsi="Arial Narrow"/>
                <w:b/>
                <w:sz w:val="20"/>
                <w:szCs w:val="20"/>
              </w:rPr>
              <w:t>Illumina TruSight Oncology 500 (TSO500)</w:t>
            </w:r>
          </w:p>
        </w:tc>
        <w:tc>
          <w:tcPr>
            <w:tcW w:w="1780" w:type="dxa"/>
            <w:shd w:val="clear" w:color="auto" w:fill="auto"/>
          </w:tcPr>
          <w:p w14:paraId="68FE0E1E" w14:textId="759F2B99" w:rsidR="0011040C" w:rsidRPr="0011040C" w:rsidRDefault="0011040C">
            <w:pPr>
              <w:rPr>
                <w:rFonts w:ascii="Arial Narrow" w:hAnsi="Arial Narrow"/>
                <w:b/>
                <w:sz w:val="20"/>
                <w:szCs w:val="20"/>
              </w:rPr>
            </w:pPr>
            <w:r w:rsidRPr="0011040C">
              <w:rPr>
                <w:rFonts w:ascii="Arial Narrow" w:hAnsi="Arial Narrow"/>
                <w:b/>
                <w:sz w:val="20"/>
                <w:szCs w:val="20"/>
              </w:rPr>
              <w:t>ThermoFisher Scientific Oncomine Plus</w:t>
            </w:r>
          </w:p>
        </w:tc>
      </w:tr>
      <w:tr w:rsidR="0011040C" w:rsidRPr="0011040C" w14:paraId="0B819DA9" w14:textId="77777777" w:rsidTr="00923428">
        <w:tc>
          <w:tcPr>
            <w:tcW w:w="1776" w:type="dxa"/>
            <w:shd w:val="clear" w:color="auto" w:fill="auto"/>
          </w:tcPr>
          <w:p w14:paraId="7AF53989" w14:textId="0D1B9594" w:rsidR="0011040C" w:rsidRPr="0059245E" w:rsidRDefault="0011040C">
            <w:pPr>
              <w:rPr>
                <w:rFonts w:ascii="Arial Narrow" w:hAnsi="Arial Narrow"/>
                <w:b/>
                <w:sz w:val="20"/>
                <w:szCs w:val="20"/>
              </w:rPr>
            </w:pPr>
            <w:r w:rsidRPr="0059245E">
              <w:rPr>
                <w:rFonts w:ascii="Arial Narrow" w:hAnsi="Arial Narrow"/>
                <w:b/>
                <w:sz w:val="20"/>
                <w:szCs w:val="20"/>
              </w:rPr>
              <w:t>Coverage</w:t>
            </w:r>
          </w:p>
        </w:tc>
        <w:tc>
          <w:tcPr>
            <w:tcW w:w="1912" w:type="dxa"/>
            <w:shd w:val="clear" w:color="auto" w:fill="auto"/>
          </w:tcPr>
          <w:p w14:paraId="2CAD4391" w14:textId="0AA0E534" w:rsidR="0011040C" w:rsidRPr="0011040C" w:rsidRDefault="0011040C">
            <w:pPr>
              <w:rPr>
                <w:rFonts w:ascii="Arial Narrow" w:hAnsi="Arial Narrow"/>
                <w:sz w:val="20"/>
                <w:szCs w:val="20"/>
              </w:rPr>
            </w:pPr>
            <w:r>
              <w:rPr>
                <w:rFonts w:ascii="Arial Narrow" w:hAnsi="Arial Narrow"/>
                <w:sz w:val="20"/>
                <w:szCs w:val="20"/>
              </w:rPr>
              <w:t>324 genes</w:t>
            </w:r>
          </w:p>
        </w:tc>
        <w:tc>
          <w:tcPr>
            <w:tcW w:w="1775" w:type="dxa"/>
            <w:shd w:val="clear" w:color="auto" w:fill="auto"/>
          </w:tcPr>
          <w:p w14:paraId="0E05E2D4" w14:textId="6F9CEAC0" w:rsidR="0011040C" w:rsidRPr="0011040C" w:rsidRDefault="0011040C">
            <w:pPr>
              <w:rPr>
                <w:rFonts w:ascii="Arial Narrow" w:hAnsi="Arial Narrow"/>
                <w:sz w:val="20"/>
                <w:szCs w:val="20"/>
              </w:rPr>
            </w:pPr>
            <w:r>
              <w:rPr>
                <w:rFonts w:ascii="Arial Narrow" w:hAnsi="Arial Narrow"/>
                <w:sz w:val="20"/>
                <w:szCs w:val="20"/>
              </w:rPr>
              <w:t>324 genes</w:t>
            </w:r>
          </w:p>
        </w:tc>
        <w:tc>
          <w:tcPr>
            <w:tcW w:w="1773" w:type="dxa"/>
            <w:shd w:val="clear" w:color="auto" w:fill="auto"/>
          </w:tcPr>
          <w:p w14:paraId="12DB87A1" w14:textId="598D8F6B" w:rsidR="0011040C" w:rsidRPr="0011040C" w:rsidRDefault="0011040C">
            <w:pPr>
              <w:rPr>
                <w:rFonts w:ascii="Arial Narrow" w:hAnsi="Arial Narrow"/>
                <w:sz w:val="20"/>
                <w:szCs w:val="20"/>
              </w:rPr>
            </w:pPr>
            <w:r>
              <w:rPr>
                <w:rFonts w:ascii="Arial Narrow" w:hAnsi="Arial Narrow"/>
                <w:sz w:val="20"/>
                <w:szCs w:val="20"/>
              </w:rPr>
              <w:t>523 genes</w:t>
            </w:r>
          </w:p>
        </w:tc>
        <w:tc>
          <w:tcPr>
            <w:tcW w:w="1780" w:type="dxa"/>
            <w:shd w:val="clear" w:color="auto" w:fill="auto"/>
          </w:tcPr>
          <w:p w14:paraId="0AEEF033" w14:textId="1C26C0B6" w:rsidR="0011040C" w:rsidRPr="0011040C" w:rsidRDefault="0011040C">
            <w:pPr>
              <w:rPr>
                <w:rFonts w:ascii="Arial Narrow" w:hAnsi="Arial Narrow"/>
                <w:sz w:val="20"/>
                <w:szCs w:val="20"/>
              </w:rPr>
            </w:pPr>
            <w:r>
              <w:rPr>
                <w:rFonts w:ascii="Arial Narrow" w:hAnsi="Arial Narrow"/>
                <w:sz w:val="20"/>
                <w:szCs w:val="20"/>
              </w:rPr>
              <w:t>&gt;500 genes</w:t>
            </w:r>
          </w:p>
        </w:tc>
      </w:tr>
      <w:tr w:rsidR="0011040C" w:rsidRPr="0011040C" w14:paraId="5F3276DF" w14:textId="77777777" w:rsidTr="00923428">
        <w:tc>
          <w:tcPr>
            <w:tcW w:w="1776" w:type="dxa"/>
            <w:shd w:val="clear" w:color="auto" w:fill="auto"/>
          </w:tcPr>
          <w:p w14:paraId="068A1AAA" w14:textId="1425E27D" w:rsidR="0011040C" w:rsidRPr="0059245E" w:rsidRDefault="0011040C">
            <w:pPr>
              <w:rPr>
                <w:rFonts w:ascii="Arial Narrow" w:hAnsi="Arial Narrow"/>
                <w:b/>
                <w:sz w:val="20"/>
                <w:szCs w:val="20"/>
              </w:rPr>
            </w:pPr>
            <w:r w:rsidRPr="0059245E">
              <w:rPr>
                <w:rFonts w:ascii="Arial Narrow" w:hAnsi="Arial Narrow"/>
                <w:b/>
                <w:sz w:val="20"/>
                <w:szCs w:val="20"/>
              </w:rPr>
              <w:t>DNA and/or RNA</w:t>
            </w:r>
          </w:p>
        </w:tc>
        <w:tc>
          <w:tcPr>
            <w:tcW w:w="1912" w:type="dxa"/>
            <w:shd w:val="clear" w:color="auto" w:fill="auto"/>
          </w:tcPr>
          <w:p w14:paraId="7B2D9D0F" w14:textId="6F0109D5" w:rsidR="0011040C" w:rsidRPr="0011040C" w:rsidRDefault="0011040C">
            <w:pPr>
              <w:rPr>
                <w:rFonts w:ascii="Arial Narrow" w:hAnsi="Arial Narrow"/>
                <w:sz w:val="20"/>
                <w:szCs w:val="20"/>
              </w:rPr>
            </w:pPr>
            <w:r>
              <w:rPr>
                <w:rFonts w:ascii="Arial Narrow" w:hAnsi="Arial Narrow"/>
                <w:sz w:val="20"/>
                <w:szCs w:val="20"/>
              </w:rPr>
              <w:t>DNA only</w:t>
            </w:r>
          </w:p>
        </w:tc>
        <w:tc>
          <w:tcPr>
            <w:tcW w:w="1775" w:type="dxa"/>
            <w:shd w:val="clear" w:color="auto" w:fill="auto"/>
          </w:tcPr>
          <w:p w14:paraId="1FEF3639" w14:textId="34E8385A" w:rsidR="0011040C" w:rsidRPr="0011040C" w:rsidRDefault="0011040C">
            <w:pPr>
              <w:rPr>
                <w:rFonts w:ascii="Arial Narrow" w:hAnsi="Arial Narrow"/>
                <w:sz w:val="20"/>
                <w:szCs w:val="20"/>
              </w:rPr>
            </w:pPr>
            <w:r>
              <w:rPr>
                <w:rFonts w:ascii="Arial Narrow" w:hAnsi="Arial Narrow"/>
                <w:sz w:val="20"/>
                <w:szCs w:val="20"/>
              </w:rPr>
              <w:t>DNA only</w:t>
            </w:r>
          </w:p>
        </w:tc>
        <w:tc>
          <w:tcPr>
            <w:tcW w:w="1773" w:type="dxa"/>
            <w:shd w:val="clear" w:color="auto" w:fill="auto"/>
          </w:tcPr>
          <w:p w14:paraId="36FFE03B" w14:textId="66C4CC1A" w:rsidR="0011040C" w:rsidRPr="0011040C" w:rsidRDefault="0011040C">
            <w:pPr>
              <w:rPr>
                <w:rFonts w:ascii="Arial Narrow" w:hAnsi="Arial Narrow"/>
                <w:sz w:val="20"/>
                <w:szCs w:val="20"/>
              </w:rPr>
            </w:pPr>
            <w:r>
              <w:rPr>
                <w:rFonts w:ascii="Arial Narrow" w:hAnsi="Arial Narrow"/>
                <w:sz w:val="20"/>
                <w:szCs w:val="20"/>
              </w:rPr>
              <w:t>DNA and DNA/RNA options</w:t>
            </w:r>
          </w:p>
        </w:tc>
        <w:tc>
          <w:tcPr>
            <w:tcW w:w="1780" w:type="dxa"/>
            <w:shd w:val="clear" w:color="auto" w:fill="auto"/>
          </w:tcPr>
          <w:p w14:paraId="114A01C4" w14:textId="4960943D" w:rsidR="0011040C" w:rsidRPr="0011040C" w:rsidRDefault="0011040C">
            <w:pPr>
              <w:rPr>
                <w:rFonts w:ascii="Arial Narrow" w:hAnsi="Arial Narrow"/>
                <w:sz w:val="20"/>
                <w:szCs w:val="20"/>
              </w:rPr>
            </w:pPr>
            <w:r>
              <w:rPr>
                <w:rFonts w:ascii="Arial Narrow" w:hAnsi="Arial Narrow"/>
                <w:sz w:val="20"/>
                <w:szCs w:val="20"/>
              </w:rPr>
              <w:t>DNA and RNA</w:t>
            </w:r>
          </w:p>
        </w:tc>
      </w:tr>
      <w:tr w:rsidR="0011040C" w:rsidRPr="0011040C" w14:paraId="47AB5F11" w14:textId="77777777" w:rsidTr="00923428">
        <w:tc>
          <w:tcPr>
            <w:tcW w:w="1776" w:type="dxa"/>
            <w:shd w:val="clear" w:color="auto" w:fill="auto"/>
          </w:tcPr>
          <w:p w14:paraId="2E072B78" w14:textId="5DA49CE7" w:rsidR="0011040C" w:rsidRPr="0059245E" w:rsidRDefault="0011040C">
            <w:pPr>
              <w:rPr>
                <w:rFonts w:ascii="Arial Narrow" w:hAnsi="Arial Narrow"/>
                <w:b/>
                <w:sz w:val="20"/>
                <w:szCs w:val="20"/>
                <w:vertAlign w:val="superscript"/>
              </w:rPr>
            </w:pPr>
            <w:r w:rsidRPr="0059245E">
              <w:rPr>
                <w:rFonts w:ascii="Arial Narrow" w:hAnsi="Arial Narrow"/>
                <w:b/>
                <w:sz w:val="20"/>
                <w:szCs w:val="20"/>
              </w:rPr>
              <w:t>Turnaround time</w:t>
            </w:r>
            <w:r w:rsidRPr="0059245E">
              <w:rPr>
                <w:rFonts w:ascii="Arial Narrow" w:hAnsi="Arial Narrow"/>
                <w:b/>
                <w:sz w:val="20"/>
                <w:szCs w:val="20"/>
                <w:vertAlign w:val="superscript"/>
              </w:rPr>
              <w:t>a</w:t>
            </w:r>
          </w:p>
        </w:tc>
        <w:tc>
          <w:tcPr>
            <w:tcW w:w="1912" w:type="dxa"/>
            <w:shd w:val="clear" w:color="auto" w:fill="auto"/>
          </w:tcPr>
          <w:p w14:paraId="641B67FE" w14:textId="51BE8C71" w:rsidR="0011040C" w:rsidRPr="004F6DBE" w:rsidRDefault="0011040C">
            <w:pPr>
              <w:rPr>
                <w:rFonts w:ascii="Arial Narrow" w:hAnsi="Arial Narrow"/>
                <w:sz w:val="20"/>
                <w:szCs w:val="20"/>
              </w:rPr>
            </w:pPr>
            <w:r w:rsidRPr="004F6DBE">
              <w:rPr>
                <w:rFonts w:ascii="Arial Narrow" w:hAnsi="Arial Narrow"/>
                <w:sz w:val="20"/>
                <w:szCs w:val="20"/>
              </w:rPr>
              <w:t>5 days</w:t>
            </w:r>
          </w:p>
        </w:tc>
        <w:tc>
          <w:tcPr>
            <w:tcW w:w="1775" w:type="dxa"/>
            <w:shd w:val="clear" w:color="auto" w:fill="auto"/>
          </w:tcPr>
          <w:p w14:paraId="0A716D78" w14:textId="3AEF00D5" w:rsidR="0011040C" w:rsidRPr="004F6DBE" w:rsidRDefault="0011040C">
            <w:pPr>
              <w:rPr>
                <w:rFonts w:ascii="Arial Narrow" w:hAnsi="Arial Narrow"/>
                <w:sz w:val="20"/>
                <w:szCs w:val="20"/>
              </w:rPr>
            </w:pPr>
            <w:r w:rsidRPr="004F6DBE">
              <w:rPr>
                <w:rFonts w:ascii="Arial Narrow" w:hAnsi="Arial Narrow"/>
                <w:sz w:val="20"/>
                <w:szCs w:val="20"/>
              </w:rPr>
              <w:t>5 days</w:t>
            </w:r>
          </w:p>
        </w:tc>
        <w:tc>
          <w:tcPr>
            <w:tcW w:w="1773" w:type="dxa"/>
            <w:shd w:val="clear" w:color="auto" w:fill="auto"/>
          </w:tcPr>
          <w:p w14:paraId="3C81412D" w14:textId="643DF524" w:rsidR="0011040C" w:rsidRPr="004F6DBE" w:rsidRDefault="0011040C">
            <w:pPr>
              <w:rPr>
                <w:rFonts w:ascii="Arial Narrow" w:hAnsi="Arial Narrow"/>
                <w:sz w:val="20"/>
                <w:szCs w:val="20"/>
              </w:rPr>
            </w:pPr>
            <w:r w:rsidRPr="004F6DBE">
              <w:rPr>
                <w:rFonts w:ascii="Arial Narrow" w:hAnsi="Arial Narrow"/>
                <w:sz w:val="20"/>
                <w:szCs w:val="20"/>
              </w:rPr>
              <w:t>5 days</w:t>
            </w:r>
          </w:p>
        </w:tc>
        <w:tc>
          <w:tcPr>
            <w:tcW w:w="1780" w:type="dxa"/>
            <w:shd w:val="clear" w:color="auto" w:fill="auto"/>
          </w:tcPr>
          <w:p w14:paraId="45AE381C" w14:textId="766AAACF" w:rsidR="0011040C" w:rsidRPr="004F6DBE" w:rsidRDefault="0011040C">
            <w:pPr>
              <w:rPr>
                <w:rFonts w:ascii="Arial Narrow" w:hAnsi="Arial Narrow"/>
                <w:sz w:val="20"/>
                <w:szCs w:val="20"/>
              </w:rPr>
            </w:pPr>
            <w:r w:rsidRPr="004F6DBE">
              <w:rPr>
                <w:rFonts w:ascii="Arial Narrow" w:hAnsi="Arial Narrow"/>
                <w:sz w:val="20"/>
                <w:szCs w:val="20"/>
              </w:rPr>
              <w:t>3 days</w:t>
            </w:r>
          </w:p>
        </w:tc>
      </w:tr>
      <w:tr w:rsidR="00923428" w:rsidRPr="0011040C" w14:paraId="0B07B259" w14:textId="77777777" w:rsidTr="004F6DBE">
        <w:tc>
          <w:tcPr>
            <w:tcW w:w="1776" w:type="dxa"/>
            <w:shd w:val="clear" w:color="auto" w:fill="auto"/>
          </w:tcPr>
          <w:p w14:paraId="146AE14D" w14:textId="27697454" w:rsidR="00923428" w:rsidRPr="007C5DAC" w:rsidRDefault="00923428" w:rsidP="00923428">
            <w:pPr>
              <w:rPr>
                <w:rFonts w:ascii="Arial Narrow" w:hAnsi="Arial Narrow"/>
                <w:b/>
                <w:sz w:val="20"/>
                <w:szCs w:val="20"/>
              </w:rPr>
            </w:pPr>
            <w:r w:rsidRPr="007C5DAC">
              <w:rPr>
                <w:rFonts w:ascii="Arial Narrow" w:hAnsi="Arial Narrow"/>
                <w:b/>
                <w:sz w:val="20"/>
                <w:szCs w:val="20"/>
              </w:rPr>
              <w:t>List price/sample tested</w:t>
            </w:r>
          </w:p>
        </w:tc>
        <w:tc>
          <w:tcPr>
            <w:tcW w:w="1912" w:type="dxa"/>
            <w:shd w:val="clear" w:color="auto" w:fill="auto"/>
          </w:tcPr>
          <w:p w14:paraId="6351FD72" w14:textId="2520D82A" w:rsidR="00923428" w:rsidRPr="007C5DAC" w:rsidRDefault="00923428" w:rsidP="00923428">
            <w:pPr>
              <w:rPr>
                <w:rFonts w:ascii="Arial Narrow" w:hAnsi="Arial Narrow"/>
                <w:b/>
                <w:sz w:val="20"/>
                <w:szCs w:val="20"/>
              </w:rPr>
            </w:pPr>
            <w:r w:rsidRPr="007C5DAC">
              <w:rPr>
                <w:rFonts w:ascii="Arial Narrow" w:hAnsi="Arial Narrow"/>
                <w:b/>
                <w:sz w:val="20"/>
                <w:szCs w:val="20"/>
              </w:rPr>
              <w:t>REDACTED</w:t>
            </w:r>
          </w:p>
        </w:tc>
        <w:tc>
          <w:tcPr>
            <w:tcW w:w="1775" w:type="dxa"/>
            <w:shd w:val="clear" w:color="auto" w:fill="auto"/>
          </w:tcPr>
          <w:p w14:paraId="5B74DA46" w14:textId="2E6B8F6E" w:rsidR="00923428" w:rsidRPr="007C5DAC" w:rsidRDefault="00923428" w:rsidP="00923428">
            <w:pPr>
              <w:rPr>
                <w:rFonts w:ascii="Arial Narrow" w:hAnsi="Arial Narrow"/>
                <w:sz w:val="20"/>
                <w:szCs w:val="20"/>
              </w:rPr>
            </w:pPr>
            <w:r w:rsidRPr="007C5DAC">
              <w:rPr>
                <w:rFonts w:ascii="Arial Narrow" w:hAnsi="Arial Narrow"/>
                <w:b/>
                <w:sz w:val="20"/>
                <w:szCs w:val="20"/>
              </w:rPr>
              <w:t>REDACTED</w:t>
            </w:r>
          </w:p>
        </w:tc>
        <w:tc>
          <w:tcPr>
            <w:tcW w:w="1773" w:type="dxa"/>
            <w:shd w:val="clear" w:color="auto" w:fill="auto"/>
          </w:tcPr>
          <w:p w14:paraId="2CE6A3CB" w14:textId="5702857C" w:rsidR="00923428" w:rsidRPr="007C5DAC" w:rsidRDefault="00923428" w:rsidP="00923428">
            <w:pPr>
              <w:rPr>
                <w:rFonts w:ascii="Arial Narrow" w:hAnsi="Arial Narrow"/>
                <w:sz w:val="20"/>
                <w:szCs w:val="20"/>
              </w:rPr>
            </w:pPr>
            <w:r w:rsidRPr="007C5DAC">
              <w:rPr>
                <w:rFonts w:ascii="Arial Narrow" w:hAnsi="Arial Narrow"/>
                <w:b/>
                <w:sz w:val="20"/>
                <w:szCs w:val="20"/>
              </w:rPr>
              <w:t>REDACTED</w:t>
            </w:r>
          </w:p>
        </w:tc>
        <w:tc>
          <w:tcPr>
            <w:tcW w:w="1780" w:type="dxa"/>
            <w:shd w:val="clear" w:color="auto" w:fill="auto"/>
          </w:tcPr>
          <w:p w14:paraId="27267FF5" w14:textId="0BC24EFB" w:rsidR="00923428" w:rsidRPr="007C5DAC" w:rsidRDefault="00923428" w:rsidP="00923428">
            <w:pPr>
              <w:rPr>
                <w:rFonts w:ascii="Arial Narrow" w:hAnsi="Arial Narrow"/>
                <w:sz w:val="20"/>
                <w:szCs w:val="20"/>
              </w:rPr>
            </w:pPr>
            <w:r w:rsidRPr="007C5DAC">
              <w:rPr>
                <w:rFonts w:ascii="Arial Narrow" w:hAnsi="Arial Narrow"/>
                <w:b/>
                <w:sz w:val="20"/>
                <w:szCs w:val="20"/>
              </w:rPr>
              <w:t>REDACTED</w:t>
            </w:r>
          </w:p>
        </w:tc>
      </w:tr>
      <w:tr w:rsidR="0011040C" w:rsidRPr="0011040C" w14:paraId="4A5F8A7A" w14:textId="77777777" w:rsidTr="00923428">
        <w:tc>
          <w:tcPr>
            <w:tcW w:w="1776" w:type="dxa"/>
            <w:shd w:val="clear" w:color="auto" w:fill="auto"/>
          </w:tcPr>
          <w:p w14:paraId="3B5273FA" w14:textId="742CB7D8" w:rsidR="0011040C" w:rsidRPr="0059245E" w:rsidRDefault="0011040C">
            <w:pPr>
              <w:rPr>
                <w:rFonts w:ascii="Arial Narrow" w:hAnsi="Arial Narrow"/>
                <w:b/>
                <w:sz w:val="20"/>
                <w:szCs w:val="20"/>
              </w:rPr>
            </w:pPr>
            <w:r w:rsidRPr="0059245E">
              <w:rPr>
                <w:rFonts w:ascii="Arial Narrow" w:hAnsi="Arial Narrow"/>
                <w:b/>
                <w:sz w:val="20"/>
                <w:szCs w:val="20"/>
              </w:rPr>
              <w:t>Inclusions in price</w:t>
            </w:r>
          </w:p>
        </w:tc>
        <w:tc>
          <w:tcPr>
            <w:tcW w:w="1912" w:type="dxa"/>
            <w:shd w:val="clear" w:color="auto" w:fill="auto"/>
          </w:tcPr>
          <w:p w14:paraId="65381A0E" w14:textId="2FC8B2B6" w:rsidR="0011040C" w:rsidRPr="0011040C" w:rsidRDefault="0011040C">
            <w:pPr>
              <w:rPr>
                <w:rFonts w:ascii="Arial Narrow" w:hAnsi="Arial Narrow"/>
                <w:sz w:val="20"/>
                <w:szCs w:val="20"/>
              </w:rPr>
            </w:pPr>
            <w:r>
              <w:rPr>
                <w:rFonts w:ascii="Arial Narrow" w:hAnsi="Arial Narrow"/>
                <w:sz w:val="20"/>
                <w:szCs w:val="20"/>
              </w:rPr>
              <w:t>All stages from sample to clinical reporting (wet lab, secondary analysis and tertiary analysis) including costs associated with consumables/reagents, full time equivalent (FTE) staff, analyses software and data storage</w:t>
            </w:r>
          </w:p>
        </w:tc>
        <w:tc>
          <w:tcPr>
            <w:tcW w:w="1775" w:type="dxa"/>
            <w:shd w:val="clear" w:color="auto" w:fill="auto"/>
          </w:tcPr>
          <w:p w14:paraId="344C7BEE" w14:textId="03BB6F10" w:rsidR="0011040C" w:rsidRPr="0011040C" w:rsidRDefault="0011040C" w:rsidP="002906D4">
            <w:pPr>
              <w:rPr>
                <w:rFonts w:ascii="Arial Narrow" w:hAnsi="Arial Narrow"/>
                <w:sz w:val="20"/>
                <w:szCs w:val="20"/>
              </w:rPr>
            </w:pPr>
            <w:r w:rsidRPr="0011040C">
              <w:rPr>
                <w:rFonts w:ascii="Arial Narrow" w:hAnsi="Arial Narrow"/>
                <w:sz w:val="20"/>
                <w:szCs w:val="20"/>
              </w:rPr>
              <w:t>Assay kit and sequencing consumables, costs associated with nucleic acids extraction and secondary analysis</w:t>
            </w:r>
          </w:p>
        </w:tc>
        <w:tc>
          <w:tcPr>
            <w:tcW w:w="1773" w:type="dxa"/>
            <w:shd w:val="clear" w:color="auto" w:fill="auto"/>
          </w:tcPr>
          <w:p w14:paraId="4440B436" w14:textId="76A8A383" w:rsidR="0011040C" w:rsidRPr="0011040C" w:rsidRDefault="0011040C" w:rsidP="002906D4">
            <w:pPr>
              <w:rPr>
                <w:rFonts w:ascii="Arial Narrow" w:hAnsi="Arial Narrow"/>
                <w:sz w:val="20"/>
                <w:szCs w:val="20"/>
              </w:rPr>
            </w:pPr>
            <w:r w:rsidRPr="0011040C">
              <w:rPr>
                <w:rFonts w:ascii="Arial Narrow" w:hAnsi="Arial Narrow"/>
                <w:sz w:val="20"/>
                <w:szCs w:val="20"/>
              </w:rPr>
              <w:t>Assay kit and sequencing consumables only.</w:t>
            </w:r>
          </w:p>
        </w:tc>
        <w:tc>
          <w:tcPr>
            <w:tcW w:w="1780" w:type="dxa"/>
            <w:shd w:val="clear" w:color="auto" w:fill="auto"/>
          </w:tcPr>
          <w:p w14:paraId="7896C063" w14:textId="4765905F" w:rsidR="0011040C" w:rsidRPr="0011040C" w:rsidRDefault="0011040C" w:rsidP="002906D4">
            <w:pPr>
              <w:rPr>
                <w:rFonts w:ascii="Arial Narrow" w:hAnsi="Arial Narrow"/>
                <w:sz w:val="20"/>
                <w:szCs w:val="20"/>
              </w:rPr>
            </w:pPr>
            <w:r w:rsidRPr="0011040C">
              <w:rPr>
                <w:rFonts w:ascii="Arial Narrow" w:hAnsi="Arial Narrow"/>
                <w:sz w:val="20"/>
                <w:szCs w:val="20"/>
              </w:rPr>
              <w:t>Assay kit, sequencing consumables and tertiary analysis.</w:t>
            </w:r>
          </w:p>
        </w:tc>
      </w:tr>
      <w:tr w:rsidR="0011040C" w:rsidRPr="0011040C" w14:paraId="295866DB" w14:textId="77777777" w:rsidTr="00923428">
        <w:tc>
          <w:tcPr>
            <w:tcW w:w="1776" w:type="dxa"/>
            <w:shd w:val="clear" w:color="auto" w:fill="auto"/>
          </w:tcPr>
          <w:p w14:paraId="238EDAE6" w14:textId="144A0C10" w:rsidR="0011040C" w:rsidRPr="0059245E" w:rsidRDefault="0011040C">
            <w:pPr>
              <w:rPr>
                <w:rFonts w:ascii="Arial Narrow" w:hAnsi="Arial Narrow"/>
                <w:b/>
                <w:sz w:val="20"/>
                <w:szCs w:val="20"/>
              </w:rPr>
            </w:pPr>
            <w:r w:rsidRPr="0059245E">
              <w:rPr>
                <w:rFonts w:ascii="Arial Narrow" w:hAnsi="Arial Narrow"/>
                <w:b/>
                <w:sz w:val="20"/>
                <w:szCs w:val="20"/>
              </w:rPr>
              <w:t>Exclusion in price</w:t>
            </w:r>
          </w:p>
        </w:tc>
        <w:tc>
          <w:tcPr>
            <w:tcW w:w="1912" w:type="dxa"/>
            <w:shd w:val="clear" w:color="auto" w:fill="auto"/>
          </w:tcPr>
          <w:p w14:paraId="3A706D97" w14:textId="385B99A0" w:rsidR="0011040C" w:rsidRPr="0011040C" w:rsidRDefault="0059245E">
            <w:pPr>
              <w:rPr>
                <w:rFonts w:ascii="Arial Narrow" w:hAnsi="Arial Narrow"/>
                <w:sz w:val="20"/>
                <w:szCs w:val="20"/>
              </w:rPr>
            </w:pPr>
            <w:r>
              <w:rPr>
                <w:rFonts w:ascii="Arial Narrow" w:hAnsi="Arial Narrow"/>
                <w:sz w:val="20"/>
                <w:szCs w:val="20"/>
              </w:rPr>
              <w:t>None (complete end-to-end)</w:t>
            </w:r>
          </w:p>
        </w:tc>
        <w:tc>
          <w:tcPr>
            <w:tcW w:w="1775" w:type="dxa"/>
            <w:shd w:val="clear" w:color="auto" w:fill="auto"/>
          </w:tcPr>
          <w:p w14:paraId="06291100" w14:textId="49D928D6" w:rsidR="0011040C" w:rsidRPr="0011040C" w:rsidRDefault="0059245E">
            <w:pPr>
              <w:rPr>
                <w:rFonts w:ascii="Arial Narrow" w:hAnsi="Arial Narrow"/>
                <w:sz w:val="20"/>
                <w:szCs w:val="20"/>
              </w:rPr>
            </w:pPr>
            <w:r>
              <w:rPr>
                <w:rFonts w:ascii="Arial Narrow" w:hAnsi="Arial Narrow"/>
                <w:sz w:val="20"/>
                <w:szCs w:val="20"/>
              </w:rPr>
              <w:t>Costs associated with tertiary analysis software (clinical reporting), data storage and FTE staff for wet lab workflow</w:t>
            </w:r>
          </w:p>
        </w:tc>
        <w:tc>
          <w:tcPr>
            <w:tcW w:w="1773" w:type="dxa"/>
            <w:shd w:val="clear" w:color="auto" w:fill="auto"/>
          </w:tcPr>
          <w:p w14:paraId="707DE9FD" w14:textId="6E30BCAF" w:rsidR="0011040C" w:rsidRPr="0059245E" w:rsidRDefault="0059245E" w:rsidP="002906D4">
            <w:pPr>
              <w:rPr>
                <w:rFonts w:ascii="Arial Narrow" w:hAnsi="Arial Narrow"/>
                <w:sz w:val="20"/>
                <w:szCs w:val="20"/>
              </w:rPr>
            </w:pPr>
            <w:r w:rsidRPr="0059245E">
              <w:rPr>
                <w:rFonts w:ascii="Arial Narrow" w:hAnsi="Arial Narrow"/>
                <w:sz w:val="20"/>
                <w:szCs w:val="20"/>
              </w:rPr>
              <w:t>Costs associated with nucleic acids extraction, tertiary analysis software (clinical reporting), data storage and</w:t>
            </w:r>
            <w:r w:rsidR="002906D4">
              <w:rPr>
                <w:rFonts w:ascii="Arial Narrow" w:hAnsi="Arial Narrow"/>
                <w:sz w:val="20"/>
                <w:szCs w:val="20"/>
              </w:rPr>
              <w:t xml:space="preserve"> FTE staff for wet lab workflow</w:t>
            </w:r>
          </w:p>
        </w:tc>
        <w:tc>
          <w:tcPr>
            <w:tcW w:w="1780" w:type="dxa"/>
            <w:shd w:val="clear" w:color="auto" w:fill="auto"/>
          </w:tcPr>
          <w:p w14:paraId="29868992" w14:textId="22A99FC4" w:rsidR="0011040C" w:rsidRPr="0059245E" w:rsidRDefault="0059245E" w:rsidP="0059245E">
            <w:pPr>
              <w:rPr>
                <w:rFonts w:ascii="Arial Narrow" w:hAnsi="Arial Narrow"/>
                <w:sz w:val="20"/>
                <w:szCs w:val="20"/>
              </w:rPr>
            </w:pPr>
            <w:r w:rsidRPr="0059245E">
              <w:rPr>
                <w:rFonts w:ascii="Arial Narrow" w:hAnsi="Arial Narrow"/>
                <w:sz w:val="20"/>
                <w:szCs w:val="20"/>
              </w:rPr>
              <w:t>Costs associated with nucleic acids extraction, data st</w:t>
            </w:r>
            <w:r w:rsidR="002906D4">
              <w:rPr>
                <w:rFonts w:ascii="Arial Narrow" w:hAnsi="Arial Narrow"/>
                <w:sz w:val="20"/>
                <w:szCs w:val="20"/>
              </w:rPr>
              <w:t>orage and FTE staff for wet lab</w:t>
            </w:r>
          </w:p>
        </w:tc>
      </w:tr>
    </w:tbl>
    <w:p w14:paraId="4AAEDD02" w14:textId="6F5D71CF" w:rsidR="0011040C" w:rsidRDefault="0011040C">
      <w:pPr>
        <w:rPr>
          <w:rFonts w:ascii="Arial Narrow" w:hAnsi="Arial Narrow"/>
          <w:sz w:val="20"/>
          <w:szCs w:val="20"/>
        </w:rPr>
      </w:pPr>
      <w:r w:rsidRPr="004F6DBE">
        <w:rPr>
          <w:rFonts w:ascii="Arial Narrow" w:hAnsi="Arial Narrow"/>
          <w:sz w:val="20"/>
          <w:szCs w:val="20"/>
          <w:vertAlign w:val="superscript"/>
        </w:rPr>
        <w:t>a</w:t>
      </w:r>
      <w:r w:rsidRPr="004F6DBE">
        <w:rPr>
          <w:rFonts w:ascii="Arial Narrow" w:hAnsi="Arial Narrow"/>
          <w:sz w:val="20"/>
          <w:szCs w:val="20"/>
        </w:rPr>
        <w:t>from sample to report but dependent on laboratory workflow</w:t>
      </w:r>
      <w:r w:rsidR="009B021B" w:rsidRPr="004F6DBE">
        <w:rPr>
          <w:rFonts w:ascii="Arial Narrow" w:hAnsi="Arial Narrow"/>
          <w:sz w:val="20"/>
          <w:szCs w:val="20"/>
        </w:rPr>
        <w:t>; shaded cells are not publicly available, and estimates are based on feedback the applicant</w:t>
      </w:r>
      <w:r w:rsidR="00C813B3" w:rsidRPr="004F6DBE">
        <w:rPr>
          <w:rFonts w:ascii="Arial Narrow" w:hAnsi="Arial Narrow"/>
          <w:sz w:val="20"/>
          <w:szCs w:val="20"/>
        </w:rPr>
        <w:t>s</w:t>
      </w:r>
      <w:r w:rsidR="009B021B" w:rsidRPr="004F6DBE">
        <w:rPr>
          <w:rFonts w:ascii="Arial Narrow" w:hAnsi="Arial Narrow"/>
          <w:sz w:val="20"/>
          <w:szCs w:val="20"/>
        </w:rPr>
        <w:t xml:space="preserve"> obtained from clinical experts. The applicant</w:t>
      </w:r>
      <w:r w:rsidR="00C813B3" w:rsidRPr="004F6DBE">
        <w:rPr>
          <w:rFonts w:ascii="Arial Narrow" w:hAnsi="Arial Narrow"/>
          <w:sz w:val="20"/>
          <w:szCs w:val="20"/>
        </w:rPr>
        <w:t>s</w:t>
      </w:r>
      <w:r w:rsidR="009B021B" w:rsidRPr="004F6DBE">
        <w:rPr>
          <w:rFonts w:ascii="Arial Narrow" w:hAnsi="Arial Narrow"/>
          <w:sz w:val="20"/>
          <w:szCs w:val="20"/>
        </w:rPr>
        <w:t xml:space="preserve"> therefore consider</w:t>
      </w:r>
      <w:r w:rsidR="00C813B3" w:rsidRPr="004F6DBE">
        <w:rPr>
          <w:rFonts w:ascii="Arial Narrow" w:hAnsi="Arial Narrow"/>
          <w:sz w:val="20"/>
          <w:szCs w:val="20"/>
        </w:rPr>
        <w:t>ed</w:t>
      </w:r>
      <w:r w:rsidR="009B021B" w:rsidRPr="004F6DBE">
        <w:rPr>
          <w:rFonts w:ascii="Arial Narrow" w:hAnsi="Arial Narrow"/>
          <w:sz w:val="20"/>
          <w:szCs w:val="20"/>
        </w:rPr>
        <w:t xml:space="preserve"> these prices to be confidential, and </w:t>
      </w:r>
      <w:r w:rsidR="00C813B3" w:rsidRPr="004F6DBE">
        <w:rPr>
          <w:rFonts w:ascii="Arial Narrow" w:hAnsi="Arial Narrow"/>
          <w:sz w:val="20"/>
          <w:szCs w:val="20"/>
        </w:rPr>
        <w:t xml:space="preserve">thus to </w:t>
      </w:r>
      <w:r w:rsidR="009B021B" w:rsidRPr="004F6DBE">
        <w:rPr>
          <w:rFonts w:ascii="Arial Narrow" w:hAnsi="Arial Narrow"/>
          <w:sz w:val="20"/>
          <w:szCs w:val="20"/>
        </w:rPr>
        <w:t>be redacted from the PICO confirmation prior to the document being made publicly available.</w:t>
      </w:r>
    </w:p>
    <w:p w14:paraId="3417B15F" w14:textId="573F24A2" w:rsidR="008955A9" w:rsidRPr="0011040C" w:rsidRDefault="008955A9">
      <w:pPr>
        <w:rPr>
          <w:rFonts w:ascii="Arial Narrow" w:hAnsi="Arial Narrow"/>
          <w:sz w:val="20"/>
          <w:szCs w:val="20"/>
        </w:rPr>
      </w:pPr>
      <w:r>
        <w:rPr>
          <w:rFonts w:ascii="Arial Narrow" w:hAnsi="Arial Narrow"/>
          <w:sz w:val="20"/>
          <w:szCs w:val="20"/>
        </w:rPr>
        <w:t>Source: Roche (2021) ‘Meeting with the Departmen</w:t>
      </w:r>
      <w:r w:rsidR="00D5098F">
        <w:rPr>
          <w:rFonts w:ascii="Arial Narrow" w:hAnsi="Arial Narrow"/>
          <w:sz w:val="20"/>
          <w:szCs w:val="20"/>
        </w:rPr>
        <w:t>t of Health Briefing Document’.</w:t>
      </w:r>
    </w:p>
    <w:p w14:paraId="4CB78C52" w14:textId="7CFA20B8" w:rsidR="00F007D7" w:rsidRDefault="00F007D7" w:rsidP="00F007D7">
      <w:pPr>
        <w:pStyle w:val="Heading2"/>
        <w:spacing w:line="240" w:lineRule="auto"/>
        <w:jc w:val="both"/>
        <w:rPr>
          <w:color w:val="548DD4"/>
        </w:rPr>
      </w:pPr>
      <w:r>
        <w:rPr>
          <w:color w:val="548DD4"/>
        </w:rPr>
        <w:lastRenderedPageBreak/>
        <w:t>Consultation feedback</w:t>
      </w:r>
    </w:p>
    <w:p w14:paraId="0833E2E7" w14:textId="267AC336" w:rsidR="00B8749E" w:rsidRPr="00BB3446" w:rsidRDefault="00B8749E" w:rsidP="00B8749E">
      <w:pPr>
        <w:rPr>
          <w:i/>
        </w:rPr>
      </w:pPr>
      <w:r w:rsidRPr="00BB3446">
        <w:rPr>
          <w:i/>
        </w:rPr>
        <w:t>PASC noted that a professional group was supportive of the application, and that the Australia</w:t>
      </w:r>
      <w:r w:rsidR="00142465" w:rsidRPr="00BB3446">
        <w:rPr>
          <w:i/>
        </w:rPr>
        <w:t>-</w:t>
      </w:r>
      <w:r w:rsidRPr="00BB3446">
        <w:rPr>
          <w:i/>
        </w:rPr>
        <w:t xml:space="preserve">wide “ASPiRATION” trial </w:t>
      </w:r>
      <w:r w:rsidR="001471DD" w:rsidRPr="00BB3446">
        <w:rPr>
          <w:i/>
        </w:rPr>
        <w:t>wa</w:t>
      </w:r>
      <w:r w:rsidR="00142465" w:rsidRPr="00BB3446">
        <w:rPr>
          <w:i/>
        </w:rPr>
        <w:t xml:space="preserve">s </w:t>
      </w:r>
      <w:r w:rsidRPr="00BB3446">
        <w:rPr>
          <w:i/>
        </w:rPr>
        <w:t xml:space="preserve">due to commence early 2021 </w:t>
      </w:r>
      <w:r w:rsidR="0005753D" w:rsidRPr="00BB3446">
        <w:rPr>
          <w:i/>
        </w:rPr>
        <w:t>to assess</w:t>
      </w:r>
      <w:r w:rsidRPr="00BB3446">
        <w:rPr>
          <w:i/>
        </w:rPr>
        <w:t xml:space="preserve"> the clinical impact of CGP in metastatic lung cancer patients.</w:t>
      </w:r>
    </w:p>
    <w:p w14:paraId="4E13A67D" w14:textId="4E9FB5A6" w:rsidR="001471DD" w:rsidRPr="00BB3446" w:rsidRDefault="00B8749E" w:rsidP="00B8749E">
      <w:pPr>
        <w:rPr>
          <w:i/>
        </w:rPr>
      </w:pPr>
      <w:r w:rsidRPr="00BB3446">
        <w:rPr>
          <w:i/>
        </w:rPr>
        <w:t>PASC noted that positive feedback was received from a genomic testing group.</w:t>
      </w:r>
    </w:p>
    <w:p w14:paraId="6DB8D7C6" w14:textId="76C0DBCD" w:rsidR="00B8749E" w:rsidRPr="00BB3446" w:rsidRDefault="00B8749E" w:rsidP="001471DD">
      <w:pPr>
        <w:rPr>
          <w:i/>
        </w:rPr>
      </w:pPr>
      <w:r w:rsidRPr="00BB3446">
        <w:rPr>
          <w:i/>
        </w:rPr>
        <w:t>PASC noted that feedback from a clinical society was supportive of the application, noting the ben</w:t>
      </w:r>
      <w:r w:rsidR="00142465" w:rsidRPr="00BB3446">
        <w:rPr>
          <w:i/>
        </w:rPr>
        <w:t>e</w:t>
      </w:r>
      <w:r w:rsidRPr="00BB3446">
        <w:rPr>
          <w:i/>
        </w:rPr>
        <w:t>fits of reduced sample processing and reduced need for rebiopsy. The</w:t>
      </w:r>
      <w:r w:rsidR="001471DD" w:rsidRPr="00BB3446">
        <w:rPr>
          <w:i/>
        </w:rPr>
        <w:t xml:space="preserve"> society suggested that </w:t>
      </w:r>
      <w:r w:rsidRPr="00BB3446">
        <w:rPr>
          <w:i/>
        </w:rPr>
        <w:t>the MBS item be “future-proofed” for biomarkers in development</w:t>
      </w:r>
      <w:r w:rsidR="001471DD" w:rsidRPr="00BB3446">
        <w:rPr>
          <w:i/>
        </w:rPr>
        <w:t xml:space="preserve">, and </w:t>
      </w:r>
      <w:r w:rsidRPr="00BB3446">
        <w:rPr>
          <w:i/>
        </w:rPr>
        <w:t>that having an MBS item for CGP would improve equity of access to the technology, and that multidisciplinary teams should be required to consider the results of the CGP.</w:t>
      </w:r>
    </w:p>
    <w:p w14:paraId="607D9040" w14:textId="5C88921E" w:rsidR="00265E26" w:rsidRPr="00E43598" w:rsidRDefault="00265E26" w:rsidP="00265E26">
      <w:pPr>
        <w:rPr>
          <w:i/>
        </w:rPr>
      </w:pPr>
      <w:r w:rsidRPr="00E43598">
        <w:rPr>
          <w:i/>
        </w:rPr>
        <w:t>PASC advised that the proposal, received as part of public consultation, to remove the term “comprehensive genomic profiling” was unwarranted, as it was general enough to be technology-agnostic.</w:t>
      </w:r>
      <w:r w:rsidR="007D7D37">
        <w:rPr>
          <w:i/>
        </w:rPr>
        <w:t xml:space="preserve"> </w:t>
      </w:r>
    </w:p>
    <w:p w14:paraId="0D55B141" w14:textId="4A9254A4" w:rsidR="00F007D7" w:rsidRPr="004B4240" w:rsidRDefault="00B8749E" w:rsidP="004B4240">
      <w:pPr>
        <w:rPr>
          <w:i/>
        </w:rPr>
      </w:pPr>
      <w:r w:rsidRPr="00BB3446">
        <w:rPr>
          <w:i/>
        </w:rPr>
        <w:t xml:space="preserve">PASC noted that a patient advocacy group was supportive of the application, particularly the impact on equity of access for treatment of disease with a high </w:t>
      </w:r>
      <w:r w:rsidR="007D7D37">
        <w:rPr>
          <w:i/>
        </w:rPr>
        <w:t xml:space="preserve"> </w:t>
      </w:r>
      <w:bookmarkStart w:id="24" w:name="_GoBack"/>
      <w:bookmarkEnd w:id="24"/>
      <w:r w:rsidRPr="00BB3446">
        <w:rPr>
          <w:i/>
        </w:rPr>
        <w:t xml:space="preserve">incidence and low survival rate. </w:t>
      </w:r>
    </w:p>
    <w:p w14:paraId="046DEA06" w14:textId="47962166" w:rsidR="00F007D7" w:rsidRDefault="00F007D7" w:rsidP="00F007D7">
      <w:pPr>
        <w:pStyle w:val="Heading2"/>
        <w:spacing w:line="240" w:lineRule="auto"/>
        <w:jc w:val="both"/>
        <w:rPr>
          <w:color w:val="548DD4"/>
        </w:rPr>
      </w:pPr>
      <w:r>
        <w:rPr>
          <w:color w:val="548DD4"/>
        </w:rPr>
        <w:t>Next steps</w:t>
      </w:r>
    </w:p>
    <w:p w14:paraId="658C2FED" w14:textId="71D08C56" w:rsidR="00BE261E" w:rsidRPr="00BB3446" w:rsidRDefault="00BE261E" w:rsidP="00C813B3">
      <w:pPr>
        <w:rPr>
          <w:i/>
        </w:rPr>
      </w:pPr>
      <w:r w:rsidRPr="00BB3446">
        <w:rPr>
          <w:i/>
        </w:rPr>
        <w:t>PASC noted that the applicant</w:t>
      </w:r>
      <w:r w:rsidR="00C813B3" w:rsidRPr="00BB3446">
        <w:rPr>
          <w:i/>
        </w:rPr>
        <w:t>s</w:t>
      </w:r>
      <w:r w:rsidRPr="00BB3446">
        <w:rPr>
          <w:i/>
        </w:rPr>
        <w:t xml:space="preserve"> ha</w:t>
      </w:r>
      <w:r w:rsidR="00C813B3" w:rsidRPr="00BB3446">
        <w:rPr>
          <w:i/>
        </w:rPr>
        <w:t>ve</w:t>
      </w:r>
      <w:r w:rsidRPr="00BB3446">
        <w:rPr>
          <w:i/>
        </w:rPr>
        <w:t xml:space="preserve"> elected to progress </w:t>
      </w:r>
      <w:r w:rsidR="00C813B3" w:rsidRPr="00BB3446">
        <w:rPr>
          <w:i/>
        </w:rPr>
        <w:t>the</w:t>
      </w:r>
      <w:r w:rsidRPr="00BB3446">
        <w:rPr>
          <w:i/>
        </w:rPr>
        <w:t xml:space="preserve"> application as an Applicant Developed Assessment Report</w:t>
      </w:r>
      <w:r w:rsidR="00C813B3" w:rsidRPr="00BB3446">
        <w:rPr>
          <w:i/>
        </w:rPr>
        <w:t xml:space="preserve"> (ADAR)</w:t>
      </w:r>
      <w:r w:rsidRPr="00BB3446">
        <w:rPr>
          <w:i/>
        </w:rPr>
        <w:t>.</w:t>
      </w:r>
    </w:p>
    <w:p w14:paraId="2441F598" w14:textId="70BB2B9A" w:rsidR="007A565D" w:rsidRDefault="007A565D" w:rsidP="00C813B3">
      <w:pPr>
        <w:rPr>
          <w:i/>
        </w:rPr>
      </w:pPr>
      <w:r w:rsidRPr="00BB3446">
        <w:rPr>
          <w:i/>
        </w:rPr>
        <w:t>PASC noted that, should the application be successful, consequential changes would be required to the PBS restrictions for the ALK inhibitors and ROS1 inhibitors</w:t>
      </w:r>
      <w:r w:rsidR="007466EB" w:rsidRPr="00BB3446">
        <w:rPr>
          <w:i/>
        </w:rPr>
        <w:t>,</w:t>
      </w:r>
      <w:r w:rsidRPr="00BB3446">
        <w:rPr>
          <w:i/>
        </w:rPr>
        <w:t xml:space="preserve"> which refer to the results of FISH testing as a criterion to determine a patient’s eligibility for PBS subsidy</w:t>
      </w:r>
      <w:r w:rsidR="006C0AC2" w:rsidRPr="00BB3446">
        <w:rPr>
          <w:i/>
        </w:rPr>
        <w:t xml:space="preserve"> (see Table 2)</w:t>
      </w:r>
      <w:r w:rsidRPr="00BB3446">
        <w:rPr>
          <w:i/>
        </w:rPr>
        <w:t>. The simplest way to achieve this would be a streamlined codependent submission, such that the ADAR for MSAC is accompanied by a lower category submission to PBAC in relation to these PBS consequences.</w:t>
      </w:r>
    </w:p>
    <w:p w14:paraId="5784A4D6" w14:textId="7A34FE0B" w:rsidR="004B4240" w:rsidRPr="004B4240" w:rsidRDefault="004B4240" w:rsidP="004B4240">
      <w:pPr>
        <w:pStyle w:val="Heading2"/>
        <w:spacing w:line="240" w:lineRule="auto"/>
        <w:jc w:val="both"/>
        <w:rPr>
          <w:color w:val="548DD4"/>
        </w:rPr>
      </w:pPr>
      <w:r w:rsidRPr="004B4240">
        <w:rPr>
          <w:color w:val="548DD4"/>
        </w:rPr>
        <w:t>Applicant Comments on the PICO Confirmation</w:t>
      </w:r>
    </w:p>
    <w:p w14:paraId="59518C0A" w14:textId="12267279" w:rsidR="00647773" w:rsidRPr="004B4240" w:rsidRDefault="001C0894">
      <w:pPr>
        <w:rPr>
          <w:i/>
        </w:rPr>
      </w:pPr>
      <w:r>
        <w:rPr>
          <w:i/>
        </w:rPr>
        <w:t>Nil</w:t>
      </w:r>
      <w:r w:rsidR="004B4240" w:rsidRPr="004B4240">
        <w:rPr>
          <w:i/>
        </w:rPr>
        <w:t>.</w:t>
      </w:r>
      <w:r w:rsidR="00647773" w:rsidRPr="004B4240">
        <w:rPr>
          <w:i/>
        </w:rPr>
        <w:br w:type="page"/>
      </w:r>
    </w:p>
    <w:p w14:paraId="112D9698" w14:textId="720251AA" w:rsidR="006F6D43" w:rsidRDefault="006F6D43" w:rsidP="006F6D43">
      <w:pPr>
        <w:pStyle w:val="Heading2"/>
        <w:spacing w:line="240" w:lineRule="auto"/>
        <w:jc w:val="both"/>
        <w:rPr>
          <w:color w:val="548DD4"/>
        </w:rPr>
      </w:pPr>
      <w:r>
        <w:rPr>
          <w:color w:val="548DD4"/>
        </w:rPr>
        <w:lastRenderedPageBreak/>
        <w:t>References</w:t>
      </w:r>
    </w:p>
    <w:p w14:paraId="5094F1DA" w14:textId="58B98416" w:rsidR="003C07F3" w:rsidRPr="003C07F3" w:rsidRDefault="006F36FA" w:rsidP="003C07F3">
      <w:pPr>
        <w:pStyle w:val="EndNoteBibliography"/>
      </w:pPr>
      <w:r>
        <w:rPr>
          <w:color w:val="FF0000"/>
          <w:u w:val="dotted"/>
        </w:rPr>
        <w:fldChar w:fldCharType="begin"/>
      </w:r>
      <w:r>
        <w:rPr>
          <w:color w:val="FF0000"/>
          <w:u w:val="dotted"/>
        </w:rPr>
        <w:instrText xml:space="preserve"> ADDIN EN.REFLIST </w:instrText>
      </w:r>
      <w:r>
        <w:rPr>
          <w:color w:val="FF0000"/>
          <w:u w:val="dotted"/>
        </w:rPr>
        <w:fldChar w:fldCharType="separate"/>
      </w:r>
      <w:r w:rsidR="003C07F3" w:rsidRPr="003C07F3">
        <w:t>Australian Genomics Health Alliance, viewed 2nd November 2020, &lt;</w:t>
      </w:r>
      <w:hyperlink r:id="rId13" w:history="1">
        <w:r w:rsidR="003C07F3" w:rsidRPr="003C07F3">
          <w:rPr>
            <w:rStyle w:val="Hyperlink"/>
            <w:rFonts w:cs="Calibri"/>
          </w:rPr>
          <w:t>https://www.australiangenomics.org.au/our-research/disease-flagships/cancer-flagships/</w:t>
        </w:r>
      </w:hyperlink>
      <w:r w:rsidR="003C07F3" w:rsidRPr="003C07F3">
        <w:t>&gt;.</w:t>
      </w:r>
    </w:p>
    <w:p w14:paraId="48729B13" w14:textId="77777777" w:rsidR="003C07F3" w:rsidRPr="003C07F3" w:rsidRDefault="003C07F3" w:rsidP="003C07F3">
      <w:pPr>
        <w:pStyle w:val="EndNoteBibliography"/>
        <w:spacing w:after="0"/>
      </w:pPr>
    </w:p>
    <w:p w14:paraId="6A9F0611" w14:textId="492EECAF" w:rsidR="003C07F3" w:rsidRPr="003C07F3" w:rsidRDefault="003C07F3" w:rsidP="001471DD">
      <w:r w:rsidRPr="003C07F3">
        <w:t xml:space="preserve">DoH 2019, 'PD-(L)1 checkpoint inhibitor stakeholder meeting', </w:t>
      </w:r>
      <w:r w:rsidR="002906D4">
        <w:rPr>
          <w:i/>
        </w:rPr>
        <w:t>Department of Health</w:t>
      </w:r>
      <w:r w:rsidRPr="003C07F3">
        <w:t>.</w:t>
      </w:r>
      <w:r w:rsidR="00543026">
        <w:t xml:space="preserve"> </w:t>
      </w:r>
      <w:hyperlink r:id="rId14" w:history="1">
        <w:r w:rsidR="00543026" w:rsidRPr="00DE404A">
          <w:rPr>
            <w:rStyle w:val="Hyperlink"/>
          </w:rPr>
          <w:t>https://www.pbs.gov.au/industry/listing/elements/pbac-meetings/pbac-stakeholder-meetings/pdl1-stakeholder-%20meeting-outcome-statement.docx</w:t>
        </w:r>
      </w:hyperlink>
    </w:p>
    <w:p w14:paraId="572EE8C5" w14:textId="77777777" w:rsidR="003C07F3" w:rsidRPr="003C07F3" w:rsidRDefault="003C07F3" w:rsidP="003C07F3">
      <w:pPr>
        <w:pStyle w:val="EndNoteBibliography"/>
        <w:spacing w:after="0"/>
      </w:pPr>
    </w:p>
    <w:p w14:paraId="308EBA4B" w14:textId="77777777" w:rsidR="003C07F3" w:rsidRPr="003C07F3" w:rsidRDefault="003C07F3" w:rsidP="003C07F3">
      <w:pPr>
        <w:pStyle w:val="EndNoteBibliography"/>
      </w:pPr>
      <w:r w:rsidRPr="003C07F3">
        <w:t xml:space="preserve">Mosele, F, Remon, J, Mateo, J, Westphalen, CB, Barlesi, F, Lolkema, MP, Normanno, N, Scarpa, A, Robson, M, Meric-Bernstam, F, Wagle, N, Stenzinger, A, Bonastre, J, Bayle, A, Michiels, S, Bieche, I, Rouleau, E, Jezdic, S, Douillard, JY, Reis-Filho, JS, Dienstmann, R &amp; Andre, F 2020, 'Recommendations for the use of next-generation sequencing (NGS) for patients with metastatic cancers: a report from the ESMO Precision Medicine Working Group', </w:t>
      </w:r>
      <w:r w:rsidRPr="003C07F3">
        <w:rPr>
          <w:i/>
        </w:rPr>
        <w:t>Ann Oncol</w:t>
      </w:r>
      <w:r w:rsidRPr="003C07F3">
        <w:t>, Aug 24.</w:t>
      </w:r>
    </w:p>
    <w:p w14:paraId="4A23F39B" w14:textId="77777777" w:rsidR="003C07F3" w:rsidRPr="003C07F3" w:rsidRDefault="003C07F3" w:rsidP="003C07F3">
      <w:pPr>
        <w:pStyle w:val="EndNoteBibliography"/>
        <w:spacing w:after="0"/>
      </w:pPr>
    </w:p>
    <w:p w14:paraId="28BB6836" w14:textId="77777777" w:rsidR="003C07F3" w:rsidRPr="003C07F3" w:rsidRDefault="003C07F3" w:rsidP="003C07F3">
      <w:pPr>
        <w:pStyle w:val="EndNoteBibliography"/>
      </w:pPr>
      <w:r w:rsidRPr="003C07F3">
        <w:t xml:space="preserve">MSAC 2012, </w:t>
      </w:r>
      <w:r w:rsidRPr="003C07F3">
        <w:rPr>
          <w:i/>
        </w:rPr>
        <w:t>App 1161-Final PSD - EGFR testing in NSCLC for gefitinib</w:t>
      </w:r>
      <w:r w:rsidRPr="003C07F3">
        <w:t>.</w:t>
      </w:r>
    </w:p>
    <w:p w14:paraId="7C7AEE87" w14:textId="77777777" w:rsidR="003C07F3" w:rsidRPr="003C07F3" w:rsidRDefault="003C07F3" w:rsidP="003C07F3">
      <w:pPr>
        <w:pStyle w:val="EndNoteBibliography"/>
        <w:spacing w:after="0"/>
      </w:pPr>
    </w:p>
    <w:p w14:paraId="71FDD40C" w14:textId="0C28B16A" w:rsidR="003C07F3" w:rsidRPr="003C07F3" w:rsidRDefault="003C07F3" w:rsidP="003C07F3">
      <w:pPr>
        <w:pStyle w:val="EndNoteBibliography"/>
      </w:pPr>
      <w:r w:rsidRPr="003C07F3">
        <w:t xml:space="preserve">MSAC 2014, </w:t>
      </w:r>
      <w:r w:rsidRPr="003C07F3">
        <w:rPr>
          <w:i/>
        </w:rPr>
        <w:t>App 1250.1-Final PSD - ALK testing for crizotinib</w:t>
      </w:r>
      <w:r w:rsidRPr="003C07F3">
        <w:t>, Public summary document.</w:t>
      </w:r>
    </w:p>
    <w:p w14:paraId="30F0B4C9" w14:textId="77777777" w:rsidR="003C07F3" w:rsidRPr="003C07F3" w:rsidRDefault="003C07F3" w:rsidP="003C07F3">
      <w:pPr>
        <w:pStyle w:val="EndNoteBibliography"/>
        <w:spacing w:after="0"/>
      </w:pPr>
    </w:p>
    <w:p w14:paraId="47646223" w14:textId="452F1E85" w:rsidR="003C07F3" w:rsidRPr="003C07F3" w:rsidRDefault="003C07F3" w:rsidP="003C07F3">
      <w:pPr>
        <w:pStyle w:val="EndNoteBibliography"/>
      </w:pPr>
      <w:r w:rsidRPr="003C07F3">
        <w:t xml:space="preserve">MSAC 2018, </w:t>
      </w:r>
      <w:r w:rsidRPr="003C07F3">
        <w:rPr>
          <w:i/>
        </w:rPr>
        <w:t>App 1454-Final PSD - update Jul 2018-1 ROS1 testing for crizotinib</w:t>
      </w:r>
      <w:r w:rsidRPr="003C07F3">
        <w:t>, Public Summary Document.</w:t>
      </w:r>
    </w:p>
    <w:p w14:paraId="6AC8883A" w14:textId="77777777" w:rsidR="003C07F3" w:rsidRPr="003C07F3" w:rsidRDefault="003C07F3" w:rsidP="003C07F3">
      <w:pPr>
        <w:pStyle w:val="EndNoteBibliography"/>
        <w:spacing w:after="0"/>
      </w:pPr>
    </w:p>
    <w:p w14:paraId="6E3B5482" w14:textId="66785162" w:rsidR="003C07F3" w:rsidRPr="003C07F3" w:rsidRDefault="003C07F3" w:rsidP="003C07F3">
      <w:pPr>
        <w:pStyle w:val="EndNoteBibliography"/>
      </w:pPr>
      <w:r w:rsidRPr="003C07F3">
        <w:t xml:space="preserve">NCCN 2019, </w:t>
      </w:r>
      <w:r w:rsidRPr="003C07F3">
        <w:rPr>
          <w:i/>
        </w:rPr>
        <w:t xml:space="preserve">NCCN Clinical Practice Guidelines in Oncology (NCCN Guidelines), Non-Small Cell Lung Cancer </w:t>
      </w:r>
      <w:r w:rsidR="002906D4">
        <w:t>Department of Health</w:t>
      </w:r>
      <w:r w:rsidRPr="003C07F3">
        <w:t>.</w:t>
      </w:r>
    </w:p>
    <w:p w14:paraId="49A8E00A" w14:textId="77777777" w:rsidR="003C07F3" w:rsidRPr="003C07F3" w:rsidRDefault="003C07F3" w:rsidP="003C07F3">
      <w:pPr>
        <w:pStyle w:val="EndNoteBibliography"/>
        <w:spacing w:after="0"/>
      </w:pPr>
    </w:p>
    <w:p w14:paraId="7A7DEA8A" w14:textId="77777777" w:rsidR="003C07F3" w:rsidRPr="003C07F3" w:rsidRDefault="003C07F3" w:rsidP="003C07F3">
      <w:pPr>
        <w:pStyle w:val="EndNoteBibliography"/>
      </w:pPr>
      <w:r w:rsidRPr="003C07F3">
        <w:t xml:space="preserve">Planchard, D, Popat, S, Kerr, K, Novello, S, Smit, EF, Faivre-Finn, C, Mok, TS, Reck, M, Van Schil, PE, Hellmann, MD, Peters, S &amp; Committee, EG 2018, 'Metastatic non-small cell lung cancer: ESMO Clinical Practice Guidelines for diagnosis, treatment and follow-up', </w:t>
      </w:r>
      <w:r w:rsidRPr="003C07F3">
        <w:rPr>
          <w:i/>
        </w:rPr>
        <w:t>Ann Oncol</w:t>
      </w:r>
      <w:r w:rsidRPr="003C07F3">
        <w:t>, vol. 29, no. Suppl 4, Oct 1, pp. iv192-iv237.</w:t>
      </w:r>
    </w:p>
    <w:p w14:paraId="2F94BBE2" w14:textId="77777777" w:rsidR="003C07F3" w:rsidRPr="003C07F3" w:rsidRDefault="003C07F3" w:rsidP="003C07F3">
      <w:pPr>
        <w:pStyle w:val="EndNoteBibliography"/>
        <w:spacing w:after="0"/>
      </w:pPr>
    </w:p>
    <w:p w14:paraId="21563A97" w14:textId="77777777" w:rsidR="003C07F3" w:rsidRPr="003C07F3" w:rsidRDefault="003C07F3" w:rsidP="003C07F3">
      <w:pPr>
        <w:pStyle w:val="EndNoteBibliography"/>
      </w:pPr>
      <w:r w:rsidRPr="003C07F3">
        <w:t xml:space="preserve">Yu, TM, Morrison, C, Gold, EJ, Tradonsky, A &amp; Layton, AJ 2018, 'Multiple Biomarker Testing Tissue Consumption and Completion Rates With Single-gene Tests and Investigational Use of Oncomine Dx Target Test for Advanced Non-Small-cell Lung Cancer: A Single-center Analysis', </w:t>
      </w:r>
      <w:r w:rsidRPr="003C07F3">
        <w:rPr>
          <w:i/>
        </w:rPr>
        <w:t>Clin Lung Cancer</w:t>
      </w:r>
      <w:r w:rsidRPr="003C07F3">
        <w:t>, Aug 23.</w:t>
      </w:r>
    </w:p>
    <w:p w14:paraId="5873F3F9" w14:textId="02D8A14D" w:rsidR="00085F64" w:rsidRPr="002906D4" w:rsidRDefault="006F36FA" w:rsidP="001471DD">
      <w:pPr>
        <w:keepNext/>
        <w:rPr>
          <w:u w:val="dotted"/>
        </w:rPr>
      </w:pPr>
      <w:r>
        <w:rPr>
          <w:color w:val="FF0000"/>
          <w:u w:val="dotted"/>
        </w:rPr>
        <w:fldChar w:fldCharType="end"/>
      </w:r>
    </w:p>
    <w:sectPr w:rsidR="00085F64" w:rsidRPr="002906D4" w:rsidSect="001471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DCE9" w14:textId="77777777" w:rsidR="00C74C42" w:rsidRDefault="00C74C42" w:rsidP="003D699E">
      <w:pPr>
        <w:spacing w:after="0" w:line="240" w:lineRule="auto"/>
      </w:pPr>
      <w:r>
        <w:separator/>
      </w:r>
    </w:p>
  </w:endnote>
  <w:endnote w:type="continuationSeparator" w:id="0">
    <w:p w14:paraId="2909E8C5" w14:textId="77777777" w:rsidR="00C74C42" w:rsidRDefault="00C74C42"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61BB078" w14:textId="76D6981A" w:rsidR="00C74C42" w:rsidRDefault="00C74C42"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D7D37" w:rsidRPr="007D7D37">
          <w:rPr>
            <w:b/>
            <w:bCs/>
            <w:noProof/>
            <w:sz w:val="18"/>
            <w:szCs w:val="18"/>
          </w:rPr>
          <w:t>20</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Ratified PICO Confirmation – April 2021 PASC meeting</w:t>
        </w:r>
      </w:p>
      <w:p w14:paraId="45252500" w14:textId="3B54C756" w:rsidR="00C74C42" w:rsidRPr="002D366F" w:rsidRDefault="00C74C42" w:rsidP="00E25638">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1634: </w:t>
        </w:r>
        <w:r w:rsidRPr="006C2A69">
          <w:rPr>
            <w:color w:val="808080" w:themeColor="background1" w:themeShade="80"/>
            <w:spacing w:val="60"/>
            <w:sz w:val="18"/>
            <w:szCs w:val="18"/>
          </w:rPr>
          <w:t>Comprehensive genomic profiling of non-squamous non-small cell lung cancer tumour tissue specimens using next generation sequencing assays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1D6F" w14:textId="77777777" w:rsidR="00C74C42" w:rsidRDefault="00C74C42" w:rsidP="003D699E">
      <w:pPr>
        <w:spacing w:after="0" w:line="240" w:lineRule="auto"/>
      </w:pPr>
      <w:r>
        <w:separator/>
      </w:r>
    </w:p>
  </w:footnote>
  <w:footnote w:type="continuationSeparator" w:id="0">
    <w:p w14:paraId="0CA3ED1B" w14:textId="77777777" w:rsidR="00C74C42" w:rsidRDefault="00C74C42"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B13E" w14:textId="77777777" w:rsidR="00C74C42" w:rsidRDefault="00C74C42">
    <w:pPr>
      <w:pStyle w:val="Header"/>
    </w:pPr>
    <w:r>
      <w:rPr>
        <w:noProof/>
        <w:lang w:eastAsia="en-AU"/>
      </w:rPr>
      <mc:AlternateContent>
        <mc:Choice Requires="wps">
          <w:drawing>
            <wp:anchor distT="0" distB="0" distL="114300" distR="114300" simplePos="0" relativeHeight="251657728" behindDoc="1" locked="0" layoutInCell="0" allowOverlap="1" wp14:anchorId="6EB0631E" wp14:editId="7FD768FC">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E38BC1" w14:textId="77777777" w:rsidR="00C74C42" w:rsidRDefault="00C74C42" w:rsidP="00241CC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B0631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" o:allowincell="f" filled="f" stroked="f">
              <v:stroke joinstyle="round"/>
              <o:lock v:ext="edit" shapetype="t"/>
              <v:textbox style="mso-fit-shape-to-text:t">
                <w:txbxContent>
                  <w:p w14:paraId="05E38BC1" w14:textId="77777777" w:rsidR="00C74C42" w:rsidRDefault="00C74C42" w:rsidP="00241CC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83C"/>
    <w:multiLevelType w:val="hybridMultilevel"/>
    <w:tmpl w:val="3AFAF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662153"/>
    <w:multiLevelType w:val="hybridMultilevel"/>
    <w:tmpl w:val="25F46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8D3FE8"/>
    <w:multiLevelType w:val="hybridMultilevel"/>
    <w:tmpl w:val="ABB2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0D4CF8"/>
    <w:multiLevelType w:val="hybridMultilevel"/>
    <w:tmpl w:val="36C6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3FC67AD"/>
    <w:multiLevelType w:val="hybridMultilevel"/>
    <w:tmpl w:val="52B0B2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9966DC"/>
    <w:multiLevelType w:val="hybridMultilevel"/>
    <w:tmpl w:val="B608E0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F4B3C"/>
    <w:multiLevelType w:val="hybridMultilevel"/>
    <w:tmpl w:val="E9B8E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D2541"/>
    <w:multiLevelType w:val="hybridMultilevel"/>
    <w:tmpl w:val="AD529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86540D3"/>
    <w:multiLevelType w:val="hybridMultilevel"/>
    <w:tmpl w:val="641A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C214D17"/>
    <w:multiLevelType w:val="hybridMultilevel"/>
    <w:tmpl w:val="539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93F9A"/>
    <w:multiLevelType w:val="hybridMultilevel"/>
    <w:tmpl w:val="AF061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D8537E"/>
    <w:multiLevelType w:val="hybridMultilevel"/>
    <w:tmpl w:val="BA284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83079"/>
    <w:multiLevelType w:val="hybridMultilevel"/>
    <w:tmpl w:val="8E8276C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1C7367F"/>
    <w:multiLevelType w:val="hybridMultilevel"/>
    <w:tmpl w:val="BC42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7D613E1D"/>
    <w:multiLevelType w:val="hybridMultilevel"/>
    <w:tmpl w:val="36165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1"/>
  </w:num>
  <w:num w:numId="4">
    <w:abstractNumId w:val="21"/>
  </w:num>
  <w:num w:numId="5">
    <w:abstractNumId w:val="24"/>
  </w:num>
  <w:num w:numId="6">
    <w:abstractNumId w:val="15"/>
  </w:num>
  <w:num w:numId="7">
    <w:abstractNumId w:val="7"/>
  </w:num>
  <w:num w:numId="8">
    <w:abstractNumId w:val="4"/>
  </w:num>
  <w:num w:numId="9">
    <w:abstractNumId w:val="17"/>
  </w:num>
  <w:num w:numId="10">
    <w:abstractNumId w:val="23"/>
  </w:num>
  <w:num w:numId="11">
    <w:abstractNumId w:val="16"/>
  </w:num>
  <w:num w:numId="12">
    <w:abstractNumId w:val="6"/>
  </w:num>
  <w:num w:numId="13">
    <w:abstractNumId w:val="14"/>
  </w:num>
  <w:num w:numId="14">
    <w:abstractNumId w:val="20"/>
  </w:num>
  <w:num w:numId="15">
    <w:abstractNumId w:val="0"/>
  </w:num>
  <w:num w:numId="16">
    <w:abstractNumId w:val="5"/>
  </w:num>
  <w:num w:numId="17">
    <w:abstractNumId w:val="8"/>
  </w:num>
  <w:num w:numId="18">
    <w:abstractNumId w:val="22"/>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5"/>
  </w:num>
  <w:num w:numId="24">
    <w:abstractNumId w:val="9"/>
  </w:num>
  <w:num w:numId="25">
    <w:abstractNumId w:val="12"/>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prsse9cpp5r3ea5dz5p0xw2pfwvwxpa5a5&quot;&gt;Report 1495&lt;record-ids&gt;&lt;item&gt;30&lt;/item&gt;&lt;item&gt;31&lt;/item&gt;&lt;item&gt;32&lt;/item&gt;&lt;/record-ids&gt;&lt;/item&gt;&lt;item db-id=&quot;pdttedtfkzdwabesftmp9z9bwz2ps9zs5tx2&quot;&gt;NGS for NSCLC&lt;record-ids&gt;&lt;item&gt;1&lt;/item&gt;&lt;item&gt;2&lt;/item&gt;&lt;item&gt;3&lt;/item&gt;&lt;item&gt;5&lt;/item&gt;&lt;item&gt;6&lt;/item&gt;&lt;item&gt;7&lt;/item&gt;&lt;/record-ids&gt;&lt;/item&gt;&lt;/Libraries&gt;"/>
  </w:docVars>
  <w:rsids>
    <w:rsidRoot w:val="0044715D"/>
    <w:rsid w:val="000003EF"/>
    <w:rsid w:val="00002118"/>
    <w:rsid w:val="00004548"/>
    <w:rsid w:val="000068BD"/>
    <w:rsid w:val="00014037"/>
    <w:rsid w:val="00014375"/>
    <w:rsid w:val="00014A6A"/>
    <w:rsid w:val="00020302"/>
    <w:rsid w:val="0002098E"/>
    <w:rsid w:val="00022427"/>
    <w:rsid w:val="0002454B"/>
    <w:rsid w:val="00027168"/>
    <w:rsid w:val="000301AC"/>
    <w:rsid w:val="0003068E"/>
    <w:rsid w:val="00030E0D"/>
    <w:rsid w:val="000320B0"/>
    <w:rsid w:val="00032F32"/>
    <w:rsid w:val="00035864"/>
    <w:rsid w:val="00036619"/>
    <w:rsid w:val="00045F21"/>
    <w:rsid w:val="00054164"/>
    <w:rsid w:val="00055C44"/>
    <w:rsid w:val="00056E18"/>
    <w:rsid w:val="0005753D"/>
    <w:rsid w:val="00057693"/>
    <w:rsid w:val="0006058A"/>
    <w:rsid w:val="0006375B"/>
    <w:rsid w:val="00063AC8"/>
    <w:rsid w:val="00066757"/>
    <w:rsid w:val="00066D42"/>
    <w:rsid w:val="00067999"/>
    <w:rsid w:val="0007083A"/>
    <w:rsid w:val="00072D86"/>
    <w:rsid w:val="000747CE"/>
    <w:rsid w:val="0007594F"/>
    <w:rsid w:val="0007680C"/>
    <w:rsid w:val="00081675"/>
    <w:rsid w:val="00083A9F"/>
    <w:rsid w:val="00085F64"/>
    <w:rsid w:val="00086983"/>
    <w:rsid w:val="00093595"/>
    <w:rsid w:val="000937E2"/>
    <w:rsid w:val="0009598E"/>
    <w:rsid w:val="0009660F"/>
    <w:rsid w:val="000A0FBA"/>
    <w:rsid w:val="000A6A94"/>
    <w:rsid w:val="000A6CCF"/>
    <w:rsid w:val="000B07D9"/>
    <w:rsid w:val="000B1076"/>
    <w:rsid w:val="000B20E7"/>
    <w:rsid w:val="000B4459"/>
    <w:rsid w:val="000B519A"/>
    <w:rsid w:val="000C6522"/>
    <w:rsid w:val="000D0C85"/>
    <w:rsid w:val="000D3495"/>
    <w:rsid w:val="000D5517"/>
    <w:rsid w:val="000D5FCD"/>
    <w:rsid w:val="000E571B"/>
    <w:rsid w:val="000E7E5C"/>
    <w:rsid w:val="000F133C"/>
    <w:rsid w:val="000F1605"/>
    <w:rsid w:val="000F4B0E"/>
    <w:rsid w:val="000F5E05"/>
    <w:rsid w:val="000F5E44"/>
    <w:rsid w:val="00101AB8"/>
    <w:rsid w:val="00104916"/>
    <w:rsid w:val="00107A35"/>
    <w:rsid w:val="0011040C"/>
    <w:rsid w:val="001143B9"/>
    <w:rsid w:val="001177DC"/>
    <w:rsid w:val="00124020"/>
    <w:rsid w:val="001314B4"/>
    <w:rsid w:val="00132209"/>
    <w:rsid w:val="00136D8D"/>
    <w:rsid w:val="00142465"/>
    <w:rsid w:val="001455EC"/>
    <w:rsid w:val="001471DD"/>
    <w:rsid w:val="00162325"/>
    <w:rsid w:val="001634E4"/>
    <w:rsid w:val="00164574"/>
    <w:rsid w:val="00164725"/>
    <w:rsid w:val="001650B3"/>
    <w:rsid w:val="0017165D"/>
    <w:rsid w:val="0017183A"/>
    <w:rsid w:val="001722E8"/>
    <w:rsid w:val="0017366F"/>
    <w:rsid w:val="00177492"/>
    <w:rsid w:val="001809E6"/>
    <w:rsid w:val="00184BC7"/>
    <w:rsid w:val="00185772"/>
    <w:rsid w:val="00185A78"/>
    <w:rsid w:val="00191E53"/>
    <w:rsid w:val="00196ADB"/>
    <w:rsid w:val="00197879"/>
    <w:rsid w:val="001A5344"/>
    <w:rsid w:val="001A5D0C"/>
    <w:rsid w:val="001A5F5B"/>
    <w:rsid w:val="001B00ED"/>
    <w:rsid w:val="001B455F"/>
    <w:rsid w:val="001B4B97"/>
    <w:rsid w:val="001C0894"/>
    <w:rsid w:val="001C2A10"/>
    <w:rsid w:val="001C2ECF"/>
    <w:rsid w:val="001C33DB"/>
    <w:rsid w:val="001D2B9D"/>
    <w:rsid w:val="001D54BE"/>
    <w:rsid w:val="001E6A7F"/>
    <w:rsid w:val="001F2A5C"/>
    <w:rsid w:val="001F2C20"/>
    <w:rsid w:val="001F62F1"/>
    <w:rsid w:val="00203497"/>
    <w:rsid w:val="0020410A"/>
    <w:rsid w:val="002046DC"/>
    <w:rsid w:val="0020626A"/>
    <w:rsid w:val="002108BA"/>
    <w:rsid w:val="00213135"/>
    <w:rsid w:val="00215057"/>
    <w:rsid w:val="0021554C"/>
    <w:rsid w:val="002216A6"/>
    <w:rsid w:val="002216BA"/>
    <w:rsid w:val="0023065B"/>
    <w:rsid w:val="002356FA"/>
    <w:rsid w:val="00241CCA"/>
    <w:rsid w:val="00246617"/>
    <w:rsid w:val="0025276A"/>
    <w:rsid w:val="00255E20"/>
    <w:rsid w:val="00257CCE"/>
    <w:rsid w:val="00260D30"/>
    <w:rsid w:val="00261F33"/>
    <w:rsid w:val="00263150"/>
    <w:rsid w:val="00263DB7"/>
    <w:rsid w:val="00265E26"/>
    <w:rsid w:val="0027081C"/>
    <w:rsid w:val="00272960"/>
    <w:rsid w:val="002756B8"/>
    <w:rsid w:val="002767E5"/>
    <w:rsid w:val="00276CAC"/>
    <w:rsid w:val="002777DE"/>
    <w:rsid w:val="0028014E"/>
    <w:rsid w:val="0028076C"/>
    <w:rsid w:val="00281656"/>
    <w:rsid w:val="002816E5"/>
    <w:rsid w:val="00281BBA"/>
    <w:rsid w:val="00282B7B"/>
    <w:rsid w:val="00285761"/>
    <w:rsid w:val="002857B6"/>
    <w:rsid w:val="00287C6F"/>
    <w:rsid w:val="00287DE6"/>
    <w:rsid w:val="002906D4"/>
    <w:rsid w:val="00292888"/>
    <w:rsid w:val="00292C56"/>
    <w:rsid w:val="00292DE9"/>
    <w:rsid w:val="00295247"/>
    <w:rsid w:val="002A03CE"/>
    <w:rsid w:val="002A21BA"/>
    <w:rsid w:val="002A257B"/>
    <w:rsid w:val="002A2EA8"/>
    <w:rsid w:val="002A4909"/>
    <w:rsid w:val="002A66BD"/>
    <w:rsid w:val="002B226C"/>
    <w:rsid w:val="002B3338"/>
    <w:rsid w:val="002B5C96"/>
    <w:rsid w:val="002C2947"/>
    <w:rsid w:val="002C32D0"/>
    <w:rsid w:val="002C55AC"/>
    <w:rsid w:val="002D04FD"/>
    <w:rsid w:val="002D2E89"/>
    <w:rsid w:val="002D366F"/>
    <w:rsid w:val="002D3F46"/>
    <w:rsid w:val="002D3FEE"/>
    <w:rsid w:val="002D632C"/>
    <w:rsid w:val="002E6705"/>
    <w:rsid w:val="002F115C"/>
    <w:rsid w:val="002F1DDC"/>
    <w:rsid w:val="002F4DEB"/>
    <w:rsid w:val="00303C94"/>
    <w:rsid w:val="003057B0"/>
    <w:rsid w:val="00310B1F"/>
    <w:rsid w:val="0031359B"/>
    <w:rsid w:val="003206E5"/>
    <w:rsid w:val="00330D06"/>
    <w:rsid w:val="00336546"/>
    <w:rsid w:val="00340ACD"/>
    <w:rsid w:val="0034349D"/>
    <w:rsid w:val="0035351B"/>
    <w:rsid w:val="00353E70"/>
    <w:rsid w:val="00354053"/>
    <w:rsid w:val="00355935"/>
    <w:rsid w:val="003568EE"/>
    <w:rsid w:val="00357F77"/>
    <w:rsid w:val="003620E9"/>
    <w:rsid w:val="00362776"/>
    <w:rsid w:val="003648F4"/>
    <w:rsid w:val="00367094"/>
    <w:rsid w:val="00371D45"/>
    <w:rsid w:val="00373A2B"/>
    <w:rsid w:val="0037776B"/>
    <w:rsid w:val="003805EA"/>
    <w:rsid w:val="00382875"/>
    <w:rsid w:val="00383BA5"/>
    <w:rsid w:val="0038580D"/>
    <w:rsid w:val="00391FFF"/>
    <w:rsid w:val="003A2226"/>
    <w:rsid w:val="003A3055"/>
    <w:rsid w:val="003A424F"/>
    <w:rsid w:val="003B4242"/>
    <w:rsid w:val="003C07F3"/>
    <w:rsid w:val="003C4700"/>
    <w:rsid w:val="003D0F79"/>
    <w:rsid w:val="003D2701"/>
    <w:rsid w:val="003D699E"/>
    <w:rsid w:val="003E0382"/>
    <w:rsid w:val="003E3BF4"/>
    <w:rsid w:val="003E5497"/>
    <w:rsid w:val="003F1016"/>
    <w:rsid w:val="003F4FBC"/>
    <w:rsid w:val="003F79C9"/>
    <w:rsid w:val="00410E73"/>
    <w:rsid w:val="00411511"/>
    <w:rsid w:val="00412E5A"/>
    <w:rsid w:val="0041616E"/>
    <w:rsid w:val="00420CA4"/>
    <w:rsid w:val="00421CF1"/>
    <w:rsid w:val="0042483F"/>
    <w:rsid w:val="0043001F"/>
    <w:rsid w:val="00430101"/>
    <w:rsid w:val="0043056C"/>
    <w:rsid w:val="00440228"/>
    <w:rsid w:val="0044217D"/>
    <w:rsid w:val="00446797"/>
    <w:rsid w:val="00446C44"/>
    <w:rsid w:val="0044715D"/>
    <w:rsid w:val="004474D3"/>
    <w:rsid w:val="00447536"/>
    <w:rsid w:val="004546B5"/>
    <w:rsid w:val="00457B3A"/>
    <w:rsid w:val="00460527"/>
    <w:rsid w:val="00462120"/>
    <w:rsid w:val="00465D3C"/>
    <w:rsid w:val="00467E8D"/>
    <w:rsid w:val="00467FDA"/>
    <w:rsid w:val="004709B0"/>
    <w:rsid w:val="0047352D"/>
    <w:rsid w:val="004809B4"/>
    <w:rsid w:val="00485768"/>
    <w:rsid w:val="00487198"/>
    <w:rsid w:val="0049136F"/>
    <w:rsid w:val="004918FE"/>
    <w:rsid w:val="00495296"/>
    <w:rsid w:val="00495606"/>
    <w:rsid w:val="004A187C"/>
    <w:rsid w:val="004B1E93"/>
    <w:rsid w:val="004B4240"/>
    <w:rsid w:val="004C1B9A"/>
    <w:rsid w:val="004C1FA9"/>
    <w:rsid w:val="004C2F1C"/>
    <w:rsid w:val="004C3181"/>
    <w:rsid w:val="004C3DF7"/>
    <w:rsid w:val="004D0CBD"/>
    <w:rsid w:val="004D1D41"/>
    <w:rsid w:val="004D2433"/>
    <w:rsid w:val="004D4C83"/>
    <w:rsid w:val="004D645F"/>
    <w:rsid w:val="004D6808"/>
    <w:rsid w:val="004F0375"/>
    <w:rsid w:val="004F13B5"/>
    <w:rsid w:val="004F22F9"/>
    <w:rsid w:val="004F6DBE"/>
    <w:rsid w:val="00500ECD"/>
    <w:rsid w:val="005052EF"/>
    <w:rsid w:val="005100B4"/>
    <w:rsid w:val="00510AB5"/>
    <w:rsid w:val="005127FD"/>
    <w:rsid w:val="005153A4"/>
    <w:rsid w:val="00523948"/>
    <w:rsid w:val="00524030"/>
    <w:rsid w:val="005245FA"/>
    <w:rsid w:val="0052787D"/>
    <w:rsid w:val="00534E09"/>
    <w:rsid w:val="00535B60"/>
    <w:rsid w:val="0053635E"/>
    <w:rsid w:val="00536B47"/>
    <w:rsid w:val="00543026"/>
    <w:rsid w:val="00543A25"/>
    <w:rsid w:val="00544E1B"/>
    <w:rsid w:val="00546AD8"/>
    <w:rsid w:val="00547558"/>
    <w:rsid w:val="005529A4"/>
    <w:rsid w:val="00556854"/>
    <w:rsid w:val="00556A57"/>
    <w:rsid w:val="00561E70"/>
    <w:rsid w:val="005620B1"/>
    <w:rsid w:val="005631A2"/>
    <w:rsid w:val="005640CC"/>
    <w:rsid w:val="00566B0E"/>
    <w:rsid w:val="00567E09"/>
    <w:rsid w:val="005737B4"/>
    <w:rsid w:val="0057383A"/>
    <w:rsid w:val="00576879"/>
    <w:rsid w:val="005774BE"/>
    <w:rsid w:val="005801C6"/>
    <w:rsid w:val="00581E48"/>
    <w:rsid w:val="00584282"/>
    <w:rsid w:val="00591526"/>
    <w:rsid w:val="0059245E"/>
    <w:rsid w:val="0059434C"/>
    <w:rsid w:val="00594B35"/>
    <w:rsid w:val="005A2F13"/>
    <w:rsid w:val="005C0980"/>
    <w:rsid w:val="005C0FE7"/>
    <w:rsid w:val="005C2885"/>
    <w:rsid w:val="005C6FC1"/>
    <w:rsid w:val="005C7B58"/>
    <w:rsid w:val="005D202A"/>
    <w:rsid w:val="005D3369"/>
    <w:rsid w:val="005D4F47"/>
    <w:rsid w:val="005D70C2"/>
    <w:rsid w:val="005E3D6E"/>
    <w:rsid w:val="005E5FFE"/>
    <w:rsid w:val="005E73F3"/>
    <w:rsid w:val="005F1A38"/>
    <w:rsid w:val="005F43F2"/>
    <w:rsid w:val="005F4D2F"/>
    <w:rsid w:val="00600346"/>
    <w:rsid w:val="0060120B"/>
    <w:rsid w:val="006020DF"/>
    <w:rsid w:val="00605CEA"/>
    <w:rsid w:val="00606D02"/>
    <w:rsid w:val="006118D0"/>
    <w:rsid w:val="00612555"/>
    <w:rsid w:val="006147B6"/>
    <w:rsid w:val="006174B0"/>
    <w:rsid w:val="00627B5C"/>
    <w:rsid w:val="00632D03"/>
    <w:rsid w:val="00641D3D"/>
    <w:rsid w:val="00643D2E"/>
    <w:rsid w:val="00644920"/>
    <w:rsid w:val="00644C24"/>
    <w:rsid w:val="0064715F"/>
    <w:rsid w:val="00647773"/>
    <w:rsid w:val="006477A1"/>
    <w:rsid w:val="00647D53"/>
    <w:rsid w:val="00652CC4"/>
    <w:rsid w:val="00655327"/>
    <w:rsid w:val="00660A1B"/>
    <w:rsid w:val="00663FDE"/>
    <w:rsid w:val="00665AB2"/>
    <w:rsid w:val="0066714D"/>
    <w:rsid w:val="0067728D"/>
    <w:rsid w:val="00680D86"/>
    <w:rsid w:val="006826C5"/>
    <w:rsid w:val="00683A58"/>
    <w:rsid w:val="0068545A"/>
    <w:rsid w:val="00691192"/>
    <w:rsid w:val="0069277F"/>
    <w:rsid w:val="006A0D77"/>
    <w:rsid w:val="006A296A"/>
    <w:rsid w:val="006A489C"/>
    <w:rsid w:val="006B6204"/>
    <w:rsid w:val="006C0AC2"/>
    <w:rsid w:val="006C1D8E"/>
    <w:rsid w:val="006C2A69"/>
    <w:rsid w:val="006C730E"/>
    <w:rsid w:val="006C7BD6"/>
    <w:rsid w:val="006C7FE6"/>
    <w:rsid w:val="006D1643"/>
    <w:rsid w:val="006D45AC"/>
    <w:rsid w:val="006F1659"/>
    <w:rsid w:val="006F232F"/>
    <w:rsid w:val="006F36FA"/>
    <w:rsid w:val="006F3BFA"/>
    <w:rsid w:val="006F55E1"/>
    <w:rsid w:val="006F6D43"/>
    <w:rsid w:val="007015D2"/>
    <w:rsid w:val="00701B16"/>
    <w:rsid w:val="0070275E"/>
    <w:rsid w:val="00707BB1"/>
    <w:rsid w:val="00712E6A"/>
    <w:rsid w:val="00714938"/>
    <w:rsid w:val="0072024E"/>
    <w:rsid w:val="00725EFE"/>
    <w:rsid w:val="00726D5E"/>
    <w:rsid w:val="007346E1"/>
    <w:rsid w:val="00734F81"/>
    <w:rsid w:val="0073753C"/>
    <w:rsid w:val="0073757B"/>
    <w:rsid w:val="0074008D"/>
    <w:rsid w:val="007466EB"/>
    <w:rsid w:val="0074787B"/>
    <w:rsid w:val="0075030C"/>
    <w:rsid w:val="00750918"/>
    <w:rsid w:val="00750D20"/>
    <w:rsid w:val="00751006"/>
    <w:rsid w:val="00752491"/>
    <w:rsid w:val="00756B87"/>
    <w:rsid w:val="00760951"/>
    <w:rsid w:val="00761D0A"/>
    <w:rsid w:val="00763FAA"/>
    <w:rsid w:val="00765C58"/>
    <w:rsid w:val="007673F1"/>
    <w:rsid w:val="0077089B"/>
    <w:rsid w:val="00774AA2"/>
    <w:rsid w:val="00783078"/>
    <w:rsid w:val="00783902"/>
    <w:rsid w:val="00784F8B"/>
    <w:rsid w:val="00792896"/>
    <w:rsid w:val="00794F5F"/>
    <w:rsid w:val="007A223F"/>
    <w:rsid w:val="007A4D57"/>
    <w:rsid w:val="007A565D"/>
    <w:rsid w:val="007A77E8"/>
    <w:rsid w:val="007B3691"/>
    <w:rsid w:val="007B4803"/>
    <w:rsid w:val="007B4AD4"/>
    <w:rsid w:val="007C2DAB"/>
    <w:rsid w:val="007C3C24"/>
    <w:rsid w:val="007C5826"/>
    <w:rsid w:val="007C5DAC"/>
    <w:rsid w:val="007C7AB1"/>
    <w:rsid w:val="007D427F"/>
    <w:rsid w:val="007D475D"/>
    <w:rsid w:val="007D7CD1"/>
    <w:rsid w:val="007D7D37"/>
    <w:rsid w:val="007E4D59"/>
    <w:rsid w:val="007E5A1F"/>
    <w:rsid w:val="007E66CA"/>
    <w:rsid w:val="007E7E23"/>
    <w:rsid w:val="007F086E"/>
    <w:rsid w:val="007F0DBF"/>
    <w:rsid w:val="007F1297"/>
    <w:rsid w:val="007F4CDB"/>
    <w:rsid w:val="007F4E20"/>
    <w:rsid w:val="007F4F87"/>
    <w:rsid w:val="007F68CA"/>
    <w:rsid w:val="00801132"/>
    <w:rsid w:val="00814BD0"/>
    <w:rsid w:val="0082725D"/>
    <w:rsid w:val="00831CA9"/>
    <w:rsid w:val="00836ABB"/>
    <w:rsid w:val="00841447"/>
    <w:rsid w:val="0084238F"/>
    <w:rsid w:val="008425D2"/>
    <w:rsid w:val="008439B7"/>
    <w:rsid w:val="00853C09"/>
    <w:rsid w:val="00854C38"/>
    <w:rsid w:val="008565C1"/>
    <w:rsid w:val="008609F4"/>
    <w:rsid w:val="0086301B"/>
    <w:rsid w:val="00865DAD"/>
    <w:rsid w:val="0086635B"/>
    <w:rsid w:val="00866407"/>
    <w:rsid w:val="008669C1"/>
    <w:rsid w:val="00870120"/>
    <w:rsid w:val="00870245"/>
    <w:rsid w:val="008706D6"/>
    <w:rsid w:val="00874BA7"/>
    <w:rsid w:val="008757BF"/>
    <w:rsid w:val="00882F76"/>
    <w:rsid w:val="00886D05"/>
    <w:rsid w:val="00892162"/>
    <w:rsid w:val="008955A9"/>
    <w:rsid w:val="00895BCC"/>
    <w:rsid w:val="00896015"/>
    <w:rsid w:val="00896845"/>
    <w:rsid w:val="00896D1D"/>
    <w:rsid w:val="008A03ED"/>
    <w:rsid w:val="008A73BE"/>
    <w:rsid w:val="008A773C"/>
    <w:rsid w:val="008B0B1D"/>
    <w:rsid w:val="008B1BAA"/>
    <w:rsid w:val="008B61E0"/>
    <w:rsid w:val="008B6C40"/>
    <w:rsid w:val="008C3E5E"/>
    <w:rsid w:val="008D0784"/>
    <w:rsid w:val="008D0809"/>
    <w:rsid w:val="008D0D0E"/>
    <w:rsid w:val="008D28F9"/>
    <w:rsid w:val="008D40CF"/>
    <w:rsid w:val="008E2FCD"/>
    <w:rsid w:val="008E458F"/>
    <w:rsid w:val="008E60CD"/>
    <w:rsid w:val="008F3E46"/>
    <w:rsid w:val="008F44B4"/>
    <w:rsid w:val="008F7934"/>
    <w:rsid w:val="00904723"/>
    <w:rsid w:val="009049E7"/>
    <w:rsid w:val="009071DD"/>
    <w:rsid w:val="0091287F"/>
    <w:rsid w:val="00912F6C"/>
    <w:rsid w:val="00914BD8"/>
    <w:rsid w:val="00915AAE"/>
    <w:rsid w:val="00923428"/>
    <w:rsid w:val="00925073"/>
    <w:rsid w:val="009312CB"/>
    <w:rsid w:val="009322CB"/>
    <w:rsid w:val="009337C3"/>
    <w:rsid w:val="00935642"/>
    <w:rsid w:val="0093723C"/>
    <w:rsid w:val="00943763"/>
    <w:rsid w:val="00943B72"/>
    <w:rsid w:val="00944BA4"/>
    <w:rsid w:val="0094667F"/>
    <w:rsid w:val="00951A40"/>
    <w:rsid w:val="00952271"/>
    <w:rsid w:val="00953ED7"/>
    <w:rsid w:val="00954F9A"/>
    <w:rsid w:val="0096205F"/>
    <w:rsid w:val="00963418"/>
    <w:rsid w:val="00965291"/>
    <w:rsid w:val="00970D7C"/>
    <w:rsid w:val="0097643E"/>
    <w:rsid w:val="009804D3"/>
    <w:rsid w:val="009805A2"/>
    <w:rsid w:val="00982345"/>
    <w:rsid w:val="0099066E"/>
    <w:rsid w:val="0099330E"/>
    <w:rsid w:val="00997D07"/>
    <w:rsid w:val="009A29B7"/>
    <w:rsid w:val="009B021B"/>
    <w:rsid w:val="009B1586"/>
    <w:rsid w:val="009B2075"/>
    <w:rsid w:val="009B6FAE"/>
    <w:rsid w:val="009C0F0D"/>
    <w:rsid w:val="009C2A9F"/>
    <w:rsid w:val="009C3659"/>
    <w:rsid w:val="009C383B"/>
    <w:rsid w:val="009D2C5C"/>
    <w:rsid w:val="009D3C9E"/>
    <w:rsid w:val="009D63C4"/>
    <w:rsid w:val="009D6757"/>
    <w:rsid w:val="009E1892"/>
    <w:rsid w:val="009E2DA9"/>
    <w:rsid w:val="009E5295"/>
    <w:rsid w:val="009F0870"/>
    <w:rsid w:val="009F1349"/>
    <w:rsid w:val="009F19C8"/>
    <w:rsid w:val="009F28B4"/>
    <w:rsid w:val="009F4315"/>
    <w:rsid w:val="009F6D59"/>
    <w:rsid w:val="009F758A"/>
    <w:rsid w:val="009F75EA"/>
    <w:rsid w:val="00A0300F"/>
    <w:rsid w:val="00A06449"/>
    <w:rsid w:val="00A13F17"/>
    <w:rsid w:val="00A1501C"/>
    <w:rsid w:val="00A15996"/>
    <w:rsid w:val="00A30DDC"/>
    <w:rsid w:val="00A348BE"/>
    <w:rsid w:val="00A362C3"/>
    <w:rsid w:val="00A36D38"/>
    <w:rsid w:val="00A42401"/>
    <w:rsid w:val="00A43B6A"/>
    <w:rsid w:val="00A523D3"/>
    <w:rsid w:val="00A57737"/>
    <w:rsid w:val="00A57B20"/>
    <w:rsid w:val="00A601AC"/>
    <w:rsid w:val="00A602D5"/>
    <w:rsid w:val="00A65D21"/>
    <w:rsid w:val="00A67B7B"/>
    <w:rsid w:val="00A7566D"/>
    <w:rsid w:val="00A758F5"/>
    <w:rsid w:val="00A80DF4"/>
    <w:rsid w:val="00A825BB"/>
    <w:rsid w:val="00A84A56"/>
    <w:rsid w:val="00A929EB"/>
    <w:rsid w:val="00A965EB"/>
    <w:rsid w:val="00AA46D4"/>
    <w:rsid w:val="00AA4C12"/>
    <w:rsid w:val="00AA5455"/>
    <w:rsid w:val="00AA6568"/>
    <w:rsid w:val="00AB08BC"/>
    <w:rsid w:val="00AB0ED5"/>
    <w:rsid w:val="00AB1F47"/>
    <w:rsid w:val="00AB425B"/>
    <w:rsid w:val="00AB45D3"/>
    <w:rsid w:val="00AB46D6"/>
    <w:rsid w:val="00AB7614"/>
    <w:rsid w:val="00AB7F51"/>
    <w:rsid w:val="00AC1807"/>
    <w:rsid w:val="00AC5B3B"/>
    <w:rsid w:val="00AD0595"/>
    <w:rsid w:val="00AD20F1"/>
    <w:rsid w:val="00AD28E0"/>
    <w:rsid w:val="00AD48AA"/>
    <w:rsid w:val="00AE05E6"/>
    <w:rsid w:val="00AE4A6E"/>
    <w:rsid w:val="00AF3907"/>
    <w:rsid w:val="00AF5881"/>
    <w:rsid w:val="00AF602E"/>
    <w:rsid w:val="00B00CBE"/>
    <w:rsid w:val="00B01610"/>
    <w:rsid w:val="00B05432"/>
    <w:rsid w:val="00B07012"/>
    <w:rsid w:val="00B07D26"/>
    <w:rsid w:val="00B13BEA"/>
    <w:rsid w:val="00B20402"/>
    <w:rsid w:val="00B23F88"/>
    <w:rsid w:val="00B320C1"/>
    <w:rsid w:val="00B33103"/>
    <w:rsid w:val="00B3419C"/>
    <w:rsid w:val="00B35FF1"/>
    <w:rsid w:val="00B41AFE"/>
    <w:rsid w:val="00B45971"/>
    <w:rsid w:val="00B46A0A"/>
    <w:rsid w:val="00B4759B"/>
    <w:rsid w:val="00B47AFC"/>
    <w:rsid w:val="00B52B79"/>
    <w:rsid w:val="00B60400"/>
    <w:rsid w:val="00B60544"/>
    <w:rsid w:val="00B700B9"/>
    <w:rsid w:val="00B72CEF"/>
    <w:rsid w:val="00B74B4D"/>
    <w:rsid w:val="00B750E6"/>
    <w:rsid w:val="00B76680"/>
    <w:rsid w:val="00B804CF"/>
    <w:rsid w:val="00B808B1"/>
    <w:rsid w:val="00B81B14"/>
    <w:rsid w:val="00B83C0D"/>
    <w:rsid w:val="00B85400"/>
    <w:rsid w:val="00B85B28"/>
    <w:rsid w:val="00B85D39"/>
    <w:rsid w:val="00B8749E"/>
    <w:rsid w:val="00B90602"/>
    <w:rsid w:val="00B94639"/>
    <w:rsid w:val="00B94846"/>
    <w:rsid w:val="00BA2623"/>
    <w:rsid w:val="00BA445A"/>
    <w:rsid w:val="00BA51D5"/>
    <w:rsid w:val="00BA63AA"/>
    <w:rsid w:val="00BA7F80"/>
    <w:rsid w:val="00BB3446"/>
    <w:rsid w:val="00BB3D7A"/>
    <w:rsid w:val="00BC0E16"/>
    <w:rsid w:val="00BC4AC0"/>
    <w:rsid w:val="00BC5F64"/>
    <w:rsid w:val="00BD730C"/>
    <w:rsid w:val="00BE0467"/>
    <w:rsid w:val="00BE261E"/>
    <w:rsid w:val="00BF0CD6"/>
    <w:rsid w:val="00BF6DE3"/>
    <w:rsid w:val="00BF739A"/>
    <w:rsid w:val="00C05F20"/>
    <w:rsid w:val="00C21493"/>
    <w:rsid w:val="00C269D3"/>
    <w:rsid w:val="00C33B6B"/>
    <w:rsid w:val="00C358EC"/>
    <w:rsid w:val="00C44F02"/>
    <w:rsid w:val="00C4611D"/>
    <w:rsid w:val="00C504CD"/>
    <w:rsid w:val="00C559C0"/>
    <w:rsid w:val="00C61965"/>
    <w:rsid w:val="00C63A94"/>
    <w:rsid w:val="00C700AA"/>
    <w:rsid w:val="00C71254"/>
    <w:rsid w:val="00C71533"/>
    <w:rsid w:val="00C74C42"/>
    <w:rsid w:val="00C75336"/>
    <w:rsid w:val="00C813B3"/>
    <w:rsid w:val="00C81461"/>
    <w:rsid w:val="00C838D5"/>
    <w:rsid w:val="00C852E8"/>
    <w:rsid w:val="00C857A3"/>
    <w:rsid w:val="00C929A4"/>
    <w:rsid w:val="00C92D0A"/>
    <w:rsid w:val="00C9630A"/>
    <w:rsid w:val="00CA10B2"/>
    <w:rsid w:val="00CA6A3E"/>
    <w:rsid w:val="00CA7B4A"/>
    <w:rsid w:val="00CB3E63"/>
    <w:rsid w:val="00CB4166"/>
    <w:rsid w:val="00CC60B0"/>
    <w:rsid w:val="00CC613B"/>
    <w:rsid w:val="00CD37F6"/>
    <w:rsid w:val="00CD5B80"/>
    <w:rsid w:val="00CE20DC"/>
    <w:rsid w:val="00CE3366"/>
    <w:rsid w:val="00CF37CF"/>
    <w:rsid w:val="00CF4463"/>
    <w:rsid w:val="00CF5A1D"/>
    <w:rsid w:val="00CF6D32"/>
    <w:rsid w:val="00D050BE"/>
    <w:rsid w:val="00D06B24"/>
    <w:rsid w:val="00D15911"/>
    <w:rsid w:val="00D2500B"/>
    <w:rsid w:val="00D26848"/>
    <w:rsid w:val="00D35807"/>
    <w:rsid w:val="00D41106"/>
    <w:rsid w:val="00D45E09"/>
    <w:rsid w:val="00D46C89"/>
    <w:rsid w:val="00D5098F"/>
    <w:rsid w:val="00D52CDD"/>
    <w:rsid w:val="00D54B20"/>
    <w:rsid w:val="00D64A29"/>
    <w:rsid w:val="00D65B3F"/>
    <w:rsid w:val="00D66438"/>
    <w:rsid w:val="00D6704E"/>
    <w:rsid w:val="00D73076"/>
    <w:rsid w:val="00D73253"/>
    <w:rsid w:val="00D76528"/>
    <w:rsid w:val="00D8387E"/>
    <w:rsid w:val="00D87736"/>
    <w:rsid w:val="00D87888"/>
    <w:rsid w:val="00D8790C"/>
    <w:rsid w:val="00D90A20"/>
    <w:rsid w:val="00D92005"/>
    <w:rsid w:val="00D946D9"/>
    <w:rsid w:val="00D95C1C"/>
    <w:rsid w:val="00D96067"/>
    <w:rsid w:val="00D97A38"/>
    <w:rsid w:val="00DA05BD"/>
    <w:rsid w:val="00DA2A63"/>
    <w:rsid w:val="00DA7A1A"/>
    <w:rsid w:val="00DA7B06"/>
    <w:rsid w:val="00DB3268"/>
    <w:rsid w:val="00DB3CD9"/>
    <w:rsid w:val="00DB4029"/>
    <w:rsid w:val="00DC1CB3"/>
    <w:rsid w:val="00DC43CA"/>
    <w:rsid w:val="00DD175E"/>
    <w:rsid w:val="00DD3D41"/>
    <w:rsid w:val="00DD456A"/>
    <w:rsid w:val="00DD45B0"/>
    <w:rsid w:val="00DE3D6C"/>
    <w:rsid w:val="00DE6732"/>
    <w:rsid w:val="00DE7839"/>
    <w:rsid w:val="00DF1BC2"/>
    <w:rsid w:val="00DF3946"/>
    <w:rsid w:val="00DF3B67"/>
    <w:rsid w:val="00DF5699"/>
    <w:rsid w:val="00E00AB7"/>
    <w:rsid w:val="00E01C4D"/>
    <w:rsid w:val="00E05238"/>
    <w:rsid w:val="00E07369"/>
    <w:rsid w:val="00E10FF3"/>
    <w:rsid w:val="00E1525B"/>
    <w:rsid w:val="00E22AC5"/>
    <w:rsid w:val="00E25638"/>
    <w:rsid w:val="00E333D3"/>
    <w:rsid w:val="00E344E5"/>
    <w:rsid w:val="00E34AFF"/>
    <w:rsid w:val="00E36361"/>
    <w:rsid w:val="00E364F7"/>
    <w:rsid w:val="00E41643"/>
    <w:rsid w:val="00E43598"/>
    <w:rsid w:val="00E46AEE"/>
    <w:rsid w:val="00E46B27"/>
    <w:rsid w:val="00E46C0B"/>
    <w:rsid w:val="00E46F8B"/>
    <w:rsid w:val="00E51160"/>
    <w:rsid w:val="00E55047"/>
    <w:rsid w:val="00E5766B"/>
    <w:rsid w:val="00E6032A"/>
    <w:rsid w:val="00E620CE"/>
    <w:rsid w:val="00E64F4B"/>
    <w:rsid w:val="00E65014"/>
    <w:rsid w:val="00E65C96"/>
    <w:rsid w:val="00E66AFB"/>
    <w:rsid w:val="00E71A07"/>
    <w:rsid w:val="00E73600"/>
    <w:rsid w:val="00E73C52"/>
    <w:rsid w:val="00E77F5A"/>
    <w:rsid w:val="00E80442"/>
    <w:rsid w:val="00E834B6"/>
    <w:rsid w:val="00E83EA4"/>
    <w:rsid w:val="00E849E7"/>
    <w:rsid w:val="00E90C71"/>
    <w:rsid w:val="00E94425"/>
    <w:rsid w:val="00E968F6"/>
    <w:rsid w:val="00EA3E88"/>
    <w:rsid w:val="00EA4292"/>
    <w:rsid w:val="00EA5BE5"/>
    <w:rsid w:val="00EA7D03"/>
    <w:rsid w:val="00EB3684"/>
    <w:rsid w:val="00EB475D"/>
    <w:rsid w:val="00EB5DCC"/>
    <w:rsid w:val="00EE7A1F"/>
    <w:rsid w:val="00EF3B82"/>
    <w:rsid w:val="00EF6479"/>
    <w:rsid w:val="00EF6EE9"/>
    <w:rsid w:val="00EF7622"/>
    <w:rsid w:val="00F007D7"/>
    <w:rsid w:val="00F0186F"/>
    <w:rsid w:val="00F049C5"/>
    <w:rsid w:val="00F07CF5"/>
    <w:rsid w:val="00F101F5"/>
    <w:rsid w:val="00F12E59"/>
    <w:rsid w:val="00F20EC2"/>
    <w:rsid w:val="00F21579"/>
    <w:rsid w:val="00F2194B"/>
    <w:rsid w:val="00F31032"/>
    <w:rsid w:val="00F31206"/>
    <w:rsid w:val="00F325B6"/>
    <w:rsid w:val="00F34387"/>
    <w:rsid w:val="00F3460F"/>
    <w:rsid w:val="00F35311"/>
    <w:rsid w:val="00F3532C"/>
    <w:rsid w:val="00F40A48"/>
    <w:rsid w:val="00F4445B"/>
    <w:rsid w:val="00F456EC"/>
    <w:rsid w:val="00F4622B"/>
    <w:rsid w:val="00F536F1"/>
    <w:rsid w:val="00F57034"/>
    <w:rsid w:val="00F60F24"/>
    <w:rsid w:val="00F62D25"/>
    <w:rsid w:val="00F64E40"/>
    <w:rsid w:val="00F657B1"/>
    <w:rsid w:val="00F65B5E"/>
    <w:rsid w:val="00F66C65"/>
    <w:rsid w:val="00F759D7"/>
    <w:rsid w:val="00F7658F"/>
    <w:rsid w:val="00F7763B"/>
    <w:rsid w:val="00F819FF"/>
    <w:rsid w:val="00F85869"/>
    <w:rsid w:val="00F866F0"/>
    <w:rsid w:val="00F90430"/>
    <w:rsid w:val="00F93F5A"/>
    <w:rsid w:val="00FA4B95"/>
    <w:rsid w:val="00FA522E"/>
    <w:rsid w:val="00FA78C4"/>
    <w:rsid w:val="00FB2D1C"/>
    <w:rsid w:val="00FB4609"/>
    <w:rsid w:val="00FC029A"/>
    <w:rsid w:val="00FC3F20"/>
    <w:rsid w:val="00FC534D"/>
    <w:rsid w:val="00FC5507"/>
    <w:rsid w:val="00FC6792"/>
    <w:rsid w:val="00FC752E"/>
    <w:rsid w:val="00FD1010"/>
    <w:rsid w:val="00FE0BBE"/>
    <w:rsid w:val="00FE24B2"/>
    <w:rsid w:val="00FE4288"/>
    <w:rsid w:val="00FE7B3D"/>
    <w:rsid w:val="00FF1691"/>
    <w:rsid w:val="00FF2079"/>
    <w:rsid w:val="00FF2744"/>
    <w:rsid w:val="00FF4D90"/>
    <w:rsid w:val="00FF5347"/>
    <w:rsid w:val="00FF68D0"/>
    <w:rsid w:val="00FF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F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F007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241CCA"/>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3A22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2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A2226"/>
    <w:rPr>
      <w:vertAlign w:val="superscript"/>
    </w:rPr>
  </w:style>
  <w:style w:type="table" w:customStyle="1" w:styleId="Tablenotes">
    <w:name w:val="Table notes"/>
    <w:basedOn w:val="TableNormal"/>
    <w:uiPriority w:val="99"/>
    <w:rsid w:val="0099066E"/>
    <w:pPr>
      <w:spacing w:after="0" w:line="240" w:lineRule="auto"/>
    </w:pPr>
    <w:tblPr/>
  </w:style>
  <w:style w:type="paragraph" w:customStyle="1" w:styleId="TableHeading">
    <w:name w:val="TableHeading"/>
    <w:basedOn w:val="Normal"/>
    <w:link w:val="TableHeadingChar"/>
    <w:qFormat/>
    <w:rsid w:val="005C098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5C098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5C098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5C0980"/>
    <w:rPr>
      <w:rFonts w:ascii="Arial Narrow" w:eastAsia="Times New Roman" w:hAnsi="Arial Narrow" w:cs="Tahoma"/>
      <w:sz w:val="20"/>
      <w:szCs w:val="20"/>
      <w:lang w:eastAsia="en-AU"/>
    </w:rPr>
  </w:style>
  <w:style w:type="paragraph" w:customStyle="1" w:styleId="Tablenotes0">
    <w:name w:val="Tablenotes"/>
    <w:basedOn w:val="Normal"/>
    <w:link w:val="TablenotesChar"/>
    <w:qFormat/>
    <w:rsid w:val="005C098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0"/>
    <w:rsid w:val="005C0980"/>
    <w:rPr>
      <w:rFonts w:ascii="Arial Narrow" w:eastAsia="Times New Roman" w:hAnsi="Arial Narrow" w:cs="Arial"/>
      <w:snapToGrid w:val="0"/>
      <w:sz w:val="18"/>
      <w:szCs w:val="20"/>
    </w:rPr>
  </w:style>
  <w:style w:type="paragraph" w:customStyle="1" w:styleId="EndNoteBibliographyTitle">
    <w:name w:val="EndNote Bibliography Title"/>
    <w:basedOn w:val="Normal"/>
    <w:link w:val="EndNoteBibliographyTitleChar"/>
    <w:rsid w:val="006F36FA"/>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6F36FA"/>
    <w:rPr>
      <w:rFonts w:ascii="Calibri" w:eastAsia="Calibri" w:hAnsi="Calibri" w:cs="Calibri"/>
      <w:noProof/>
      <w:sz w:val="22"/>
      <w:lang w:val="en-US"/>
    </w:rPr>
  </w:style>
  <w:style w:type="paragraph" w:customStyle="1" w:styleId="EndNoteBibliography">
    <w:name w:val="EndNote Bibliography"/>
    <w:basedOn w:val="Normal"/>
    <w:link w:val="EndNoteBibliographyChar"/>
    <w:rsid w:val="006F36FA"/>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6F36FA"/>
    <w:rPr>
      <w:rFonts w:ascii="Calibri" w:eastAsia="Calibri" w:hAnsi="Calibri" w:cs="Calibri"/>
      <w:noProof/>
      <w:sz w:val="22"/>
      <w:lang w:val="en-US"/>
    </w:rPr>
  </w:style>
  <w:style w:type="paragraph" w:customStyle="1" w:styleId="Default">
    <w:name w:val="Default"/>
    <w:rsid w:val="0011040C"/>
    <w:pPr>
      <w:autoSpaceDE w:val="0"/>
      <w:autoSpaceDN w:val="0"/>
      <w:adjustRightInd w:val="0"/>
      <w:spacing w:after="0" w:line="240" w:lineRule="auto"/>
    </w:pPr>
    <w:rPr>
      <w:rFonts w:ascii="Minion" w:hAnsi="Minion" w:cs="Minion"/>
      <w:color w:val="000000"/>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F007D7"/>
    <w:rPr>
      <w:rFonts w:ascii="Calibri" w:eastAsia="Calibri" w:hAnsi="Calibri" w:cs="Times New Roman"/>
      <w:sz w:val="22"/>
    </w:rPr>
  </w:style>
  <w:style w:type="character" w:customStyle="1" w:styleId="Heading3Char">
    <w:name w:val="Heading 3 Char"/>
    <w:basedOn w:val="DefaultParagraphFont"/>
    <w:link w:val="Heading3"/>
    <w:uiPriority w:val="9"/>
    <w:rsid w:val="00F007D7"/>
    <w:rPr>
      <w:rFonts w:asciiTheme="majorHAnsi" w:eastAsiaTheme="majorEastAsia" w:hAnsiTheme="majorHAnsi" w:cstheme="majorBidi"/>
      <w:color w:val="243F60" w:themeColor="accent1" w:themeShade="7F"/>
      <w:szCs w:val="24"/>
    </w:rPr>
  </w:style>
  <w:style w:type="character" w:customStyle="1" w:styleId="highlight">
    <w:name w:val="highlight"/>
    <w:basedOn w:val="DefaultParagraphFont"/>
    <w:rsid w:val="002D2E89"/>
  </w:style>
  <w:style w:type="paragraph" w:styleId="Revision">
    <w:name w:val="Revision"/>
    <w:hidden/>
    <w:uiPriority w:val="99"/>
    <w:semiHidden/>
    <w:rsid w:val="00BB3446"/>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25363">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78434007">
      <w:bodyDiv w:val="1"/>
      <w:marLeft w:val="0"/>
      <w:marRight w:val="0"/>
      <w:marTop w:val="0"/>
      <w:marBottom w:val="0"/>
      <w:divBdr>
        <w:top w:val="none" w:sz="0" w:space="0" w:color="auto"/>
        <w:left w:val="none" w:sz="0" w:space="0" w:color="auto"/>
        <w:bottom w:val="none" w:sz="0" w:space="0" w:color="auto"/>
        <w:right w:val="none" w:sz="0" w:space="0" w:color="auto"/>
      </w:divBdr>
    </w:div>
    <w:div w:id="727538077">
      <w:bodyDiv w:val="1"/>
      <w:marLeft w:val="0"/>
      <w:marRight w:val="0"/>
      <w:marTop w:val="0"/>
      <w:marBottom w:val="0"/>
      <w:divBdr>
        <w:top w:val="none" w:sz="0" w:space="0" w:color="auto"/>
        <w:left w:val="none" w:sz="0" w:space="0" w:color="auto"/>
        <w:bottom w:val="none" w:sz="0" w:space="0" w:color="auto"/>
        <w:right w:val="none" w:sz="0" w:space="0" w:color="auto"/>
      </w:divBdr>
    </w:div>
    <w:div w:id="788822375">
      <w:bodyDiv w:val="1"/>
      <w:marLeft w:val="0"/>
      <w:marRight w:val="0"/>
      <w:marTop w:val="0"/>
      <w:marBottom w:val="0"/>
      <w:divBdr>
        <w:top w:val="none" w:sz="0" w:space="0" w:color="auto"/>
        <w:left w:val="none" w:sz="0" w:space="0" w:color="auto"/>
        <w:bottom w:val="none" w:sz="0" w:space="0" w:color="auto"/>
        <w:right w:val="none" w:sz="0" w:space="0" w:color="auto"/>
      </w:divBdr>
    </w:div>
    <w:div w:id="1288200897">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46321648">
      <w:bodyDiv w:val="1"/>
      <w:marLeft w:val="0"/>
      <w:marRight w:val="0"/>
      <w:marTop w:val="0"/>
      <w:marBottom w:val="0"/>
      <w:divBdr>
        <w:top w:val="none" w:sz="0" w:space="0" w:color="auto"/>
        <w:left w:val="none" w:sz="0" w:space="0" w:color="auto"/>
        <w:bottom w:val="none" w:sz="0" w:space="0" w:color="auto"/>
        <w:right w:val="none" w:sz="0" w:space="0" w:color="auto"/>
      </w:divBdr>
    </w:div>
    <w:div w:id="1455560361">
      <w:bodyDiv w:val="1"/>
      <w:marLeft w:val="0"/>
      <w:marRight w:val="0"/>
      <w:marTop w:val="0"/>
      <w:marBottom w:val="0"/>
      <w:divBdr>
        <w:top w:val="none" w:sz="0" w:space="0" w:color="auto"/>
        <w:left w:val="none" w:sz="0" w:space="0" w:color="auto"/>
        <w:bottom w:val="none" w:sz="0" w:space="0" w:color="auto"/>
        <w:right w:val="none" w:sz="0" w:space="0" w:color="auto"/>
      </w:divBdr>
    </w:div>
    <w:div w:id="1732607170">
      <w:bodyDiv w:val="1"/>
      <w:marLeft w:val="0"/>
      <w:marRight w:val="0"/>
      <w:marTop w:val="0"/>
      <w:marBottom w:val="0"/>
      <w:divBdr>
        <w:top w:val="none" w:sz="0" w:space="0" w:color="auto"/>
        <w:left w:val="none" w:sz="0" w:space="0" w:color="auto"/>
        <w:bottom w:val="none" w:sz="0" w:space="0" w:color="auto"/>
        <w:right w:val="none" w:sz="0" w:space="0" w:color="auto"/>
      </w:divBdr>
    </w:div>
    <w:div w:id="1886870425">
      <w:bodyDiv w:val="1"/>
      <w:marLeft w:val="0"/>
      <w:marRight w:val="0"/>
      <w:marTop w:val="0"/>
      <w:marBottom w:val="0"/>
      <w:divBdr>
        <w:top w:val="none" w:sz="0" w:space="0" w:color="auto"/>
        <w:left w:val="none" w:sz="0" w:space="0" w:color="auto"/>
        <w:bottom w:val="none" w:sz="0" w:space="0" w:color="auto"/>
        <w:right w:val="none" w:sz="0" w:space="0" w:color="auto"/>
      </w:divBdr>
    </w:div>
    <w:div w:id="1929263620">
      <w:bodyDiv w:val="1"/>
      <w:marLeft w:val="0"/>
      <w:marRight w:val="0"/>
      <w:marTop w:val="0"/>
      <w:marBottom w:val="0"/>
      <w:divBdr>
        <w:top w:val="none" w:sz="0" w:space="0" w:color="auto"/>
        <w:left w:val="none" w:sz="0" w:space="0" w:color="auto"/>
        <w:bottom w:val="none" w:sz="0" w:space="0" w:color="auto"/>
        <w:right w:val="none" w:sz="0" w:space="0" w:color="auto"/>
      </w:divBdr>
    </w:div>
    <w:div w:id="2066368049">
      <w:bodyDiv w:val="1"/>
      <w:marLeft w:val="0"/>
      <w:marRight w:val="0"/>
      <w:marTop w:val="0"/>
      <w:marBottom w:val="0"/>
      <w:divBdr>
        <w:top w:val="none" w:sz="0" w:space="0" w:color="auto"/>
        <w:left w:val="none" w:sz="0" w:space="0" w:color="auto"/>
        <w:bottom w:val="none" w:sz="0" w:space="0" w:color="auto"/>
        <w:right w:val="none" w:sz="0" w:space="0" w:color="auto"/>
      </w:divBdr>
    </w:div>
    <w:div w:id="20936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straliangenomics.org.au/our-research/disease-flagships/cancer-flag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bs.gov.au/industry/listing/elements/pbac-meetings/pbac-stakeholder-meetings/pdl1-stakeholder-%20meeting-outcome-stat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66C9-BD5D-48F6-BE6C-BE3CF06E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8200</Words>
  <Characters>46742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2021-06-25T04:53:00Z</dcterms:created>
  <dcterms:modified xsi:type="dcterms:W3CDTF">2021-06-25T05:16:00Z</dcterms:modified>
</cp:coreProperties>
</file>