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52669"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78321D50" wp14:editId="359B86F1">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3EF4C88"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4E57D4B2" w14:textId="77777777" w:rsidR="00BC1364" w:rsidRPr="00F715D1" w:rsidRDefault="00BC1364" w:rsidP="00F715D1">
      <w:pPr>
        <w:pStyle w:val="Subtitle"/>
      </w:pPr>
      <w:r w:rsidRPr="00F715D1">
        <w:t xml:space="preserve">Application No. </w:t>
      </w:r>
      <w:r w:rsidR="00B156AA" w:rsidRPr="00B156AA">
        <w:t>1515 Endoscopic placement and removal of an intragastric balloon for the management of moderate obesity in patients with type 2 diabetes mellitus who have failed first-line treatments</w:t>
      </w:r>
    </w:p>
    <w:p w14:paraId="1A87A1F5"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B156AA" w:rsidRPr="00B156AA">
        <w:rPr>
          <w:rFonts w:ascii="Arial" w:hAnsi="Arial" w:cs="Arial"/>
          <w:b/>
          <w:szCs w:val="24"/>
        </w:rPr>
        <w:t>Apollo Endosurgery Australia</w:t>
      </w:r>
    </w:p>
    <w:p w14:paraId="605D000E"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156AA">
        <w:rPr>
          <w:rFonts w:ascii="Arial" w:hAnsi="Arial" w:cs="Arial"/>
          <w:b/>
          <w:szCs w:val="24"/>
        </w:rPr>
        <w:t>76</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B156AA">
        <w:rPr>
          <w:rFonts w:ascii="Arial" w:hAnsi="Arial" w:cs="Arial"/>
          <w:b/>
          <w:szCs w:val="24"/>
        </w:rPr>
        <w:t>1-2 August 2019</w:t>
      </w:r>
    </w:p>
    <w:p w14:paraId="6AD800EF"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7BA8C795" w14:textId="77777777" w:rsidR="003D7F29" w:rsidRPr="00F715D1" w:rsidRDefault="003D7F29" w:rsidP="00F715D1">
      <w:pPr>
        <w:pStyle w:val="Heading1"/>
      </w:pPr>
      <w:r w:rsidRPr="00F715D1">
        <w:t>Purpose of application</w:t>
      </w:r>
      <w:r w:rsidR="00822C7E" w:rsidRPr="00F715D1">
        <w:t xml:space="preserve"> </w:t>
      </w:r>
    </w:p>
    <w:p w14:paraId="14FD9B96" w14:textId="439ACE81" w:rsidR="00B156AA" w:rsidRDefault="00B156AA" w:rsidP="00B156AA">
      <w:r w:rsidRPr="00AE6A8B">
        <w:t xml:space="preserve">An application </w:t>
      </w:r>
      <w:r w:rsidR="00DB12A9">
        <w:t>requesting Medicare Benefits Schedule (</w:t>
      </w:r>
      <w:r w:rsidRPr="00AE6A8B">
        <w:t>MBS</w:t>
      </w:r>
      <w:r w:rsidR="00DB12A9">
        <w:t>)</w:t>
      </w:r>
      <w:r w:rsidRPr="00AE6A8B">
        <w:t xml:space="preserve"> listing of the endoscop</w:t>
      </w:r>
      <w:r w:rsidR="00C737BB">
        <w:t>ic placement and removal of an intragastric b</w:t>
      </w:r>
      <w:r w:rsidRPr="00AE6A8B">
        <w:t>alloon (IGB) for the treatment of patients aged ≥</w:t>
      </w:r>
      <w:r w:rsidR="00EA5D22">
        <w:t> </w:t>
      </w:r>
      <w:r w:rsidRPr="00AE6A8B">
        <w:t>18 years with moderate obesity (</w:t>
      </w:r>
      <w:r>
        <w:t>body mass index (</w:t>
      </w:r>
      <w:r w:rsidRPr="00AE6A8B">
        <w:t>BMI</w:t>
      </w:r>
      <w:r>
        <w:t>)</w:t>
      </w:r>
      <w:r w:rsidRPr="00AE6A8B">
        <w:t xml:space="preserve"> of 30.0 to 34.9 kg/m</w:t>
      </w:r>
      <w:r w:rsidRPr="007A5185">
        <w:rPr>
          <w:vertAlign w:val="superscript"/>
        </w:rPr>
        <w:t>2</w:t>
      </w:r>
      <w:r>
        <w:t>)</w:t>
      </w:r>
      <w:r w:rsidR="00E0138F">
        <w:t>,</w:t>
      </w:r>
      <w:r w:rsidRPr="00AE6A8B">
        <w:t xml:space="preserve"> who have poorly controlled type 2 diabetes mellitus (T2DM) and who have fail</w:t>
      </w:r>
      <w:r>
        <w:t>ed first-line treatment options</w:t>
      </w:r>
      <w:r w:rsidR="00E0138F">
        <w:t>,</w:t>
      </w:r>
      <w:r w:rsidRPr="00AE6A8B">
        <w:t xml:space="preserve"> was received </w:t>
      </w:r>
      <w:r w:rsidR="00DB12A9">
        <w:t>from Apollo Endosurgery Austr</w:t>
      </w:r>
      <w:r w:rsidR="00EA5D22">
        <w:t>a</w:t>
      </w:r>
      <w:r w:rsidR="00DB12A9">
        <w:t xml:space="preserve">lia </w:t>
      </w:r>
      <w:r w:rsidRPr="00AE6A8B">
        <w:t>by the Department of Health.</w:t>
      </w:r>
    </w:p>
    <w:p w14:paraId="60469817" w14:textId="77777777" w:rsidR="00E977EE" w:rsidRPr="00F715D1" w:rsidRDefault="00E977EE" w:rsidP="00F715D1">
      <w:pPr>
        <w:pStyle w:val="Heading1"/>
      </w:pPr>
      <w:r w:rsidRPr="00F715D1">
        <w:t>MSAC’s advice to the Minister</w:t>
      </w:r>
    </w:p>
    <w:p w14:paraId="08C20965" w14:textId="06AA4481" w:rsidR="00B044E4" w:rsidRDefault="002B1BD2" w:rsidP="00B044E4">
      <w:pPr>
        <w:spacing w:after="240"/>
        <w:rPr>
          <w:szCs w:val="24"/>
        </w:rPr>
      </w:pPr>
      <w:r w:rsidRPr="001342D1">
        <w:t xml:space="preserve">After considering the strength of the available evidence in relation to comparative safety, </w:t>
      </w:r>
      <w:proofErr w:type="gramStart"/>
      <w:r>
        <w:t>clinical</w:t>
      </w:r>
      <w:proofErr w:type="gramEnd"/>
      <w:r>
        <w:t xml:space="preserve"> effectiveness and cost-</w:t>
      </w:r>
      <w:r w:rsidRPr="001342D1">
        <w:t xml:space="preserve">effectiveness, </w:t>
      </w:r>
      <w:r>
        <w:t xml:space="preserve">MSAC did not support public funding for </w:t>
      </w:r>
      <w:r>
        <w:rPr>
          <w:szCs w:val="22"/>
        </w:rPr>
        <w:t>e</w:t>
      </w:r>
      <w:r w:rsidRPr="004A36EF">
        <w:rPr>
          <w:szCs w:val="22"/>
        </w:rPr>
        <w:t xml:space="preserve">ndoscopic placement </w:t>
      </w:r>
      <w:r>
        <w:rPr>
          <w:szCs w:val="22"/>
        </w:rPr>
        <w:t>and</w:t>
      </w:r>
      <w:r w:rsidRPr="004A36EF">
        <w:rPr>
          <w:szCs w:val="22"/>
        </w:rPr>
        <w:t xml:space="preserve"> removal of an </w:t>
      </w:r>
      <w:r>
        <w:rPr>
          <w:szCs w:val="22"/>
        </w:rPr>
        <w:t>IGB</w:t>
      </w:r>
      <w:r w:rsidRPr="004A36EF">
        <w:rPr>
          <w:szCs w:val="22"/>
        </w:rPr>
        <w:t xml:space="preserve"> for the management of moderate obesity in patients with</w:t>
      </w:r>
      <w:r>
        <w:rPr>
          <w:szCs w:val="22"/>
        </w:rPr>
        <w:t xml:space="preserve"> poorly controlled</w:t>
      </w:r>
      <w:r w:rsidRPr="004A36EF">
        <w:rPr>
          <w:szCs w:val="22"/>
        </w:rPr>
        <w:t xml:space="preserve"> T2DM who have failed first-line treatments</w:t>
      </w:r>
      <w:r>
        <w:rPr>
          <w:szCs w:val="22"/>
        </w:rPr>
        <w:t xml:space="preserve">. </w:t>
      </w:r>
      <w:r>
        <w:rPr>
          <w:szCs w:val="24"/>
        </w:rPr>
        <w:t xml:space="preserve">MSAC considered that IGB had inferior safety (relative to lifestyle interventions) and noted the recent </w:t>
      </w:r>
      <w:r w:rsidRPr="00335A16">
        <w:rPr>
          <w:szCs w:val="24"/>
        </w:rPr>
        <w:t>safety</w:t>
      </w:r>
      <w:r>
        <w:rPr>
          <w:szCs w:val="24"/>
        </w:rPr>
        <w:t xml:space="preserve"> concerns (</w:t>
      </w:r>
      <w:r w:rsidR="00B54E50">
        <w:rPr>
          <w:szCs w:val="24"/>
        </w:rPr>
        <w:t>e.g.</w:t>
      </w:r>
      <w:r>
        <w:rPr>
          <w:szCs w:val="24"/>
        </w:rPr>
        <w:t xml:space="preserve"> </w:t>
      </w:r>
      <w:r w:rsidR="00B54E50">
        <w:t>Therapeutic Goods Administration [</w:t>
      </w:r>
      <w:r>
        <w:rPr>
          <w:szCs w:val="24"/>
        </w:rPr>
        <w:t>TGA</w:t>
      </w:r>
      <w:r w:rsidR="00B54E50">
        <w:rPr>
          <w:szCs w:val="24"/>
        </w:rPr>
        <w:t>]</w:t>
      </w:r>
      <w:r>
        <w:rPr>
          <w:szCs w:val="24"/>
        </w:rPr>
        <w:t xml:space="preserve">) with use of IGB in clinical practice. MSAC considered the </w:t>
      </w:r>
      <w:r w:rsidRPr="00335A16">
        <w:rPr>
          <w:szCs w:val="24"/>
        </w:rPr>
        <w:t>clinical effectiveness</w:t>
      </w:r>
      <w:r>
        <w:rPr>
          <w:szCs w:val="24"/>
        </w:rPr>
        <w:t xml:space="preserve"> </w:t>
      </w:r>
      <w:r w:rsidRPr="00335A16">
        <w:rPr>
          <w:szCs w:val="24"/>
        </w:rPr>
        <w:t>evidence</w:t>
      </w:r>
      <w:r>
        <w:rPr>
          <w:szCs w:val="24"/>
        </w:rPr>
        <w:t xml:space="preserve"> was highly uncertain,</w:t>
      </w:r>
      <w:r w:rsidRPr="00335A16">
        <w:rPr>
          <w:szCs w:val="24"/>
        </w:rPr>
        <w:t xml:space="preserve"> </w:t>
      </w:r>
      <w:r w:rsidRPr="00415350">
        <w:rPr>
          <w:szCs w:val="24"/>
        </w:rPr>
        <w:t>particularly over the long-term after rem</w:t>
      </w:r>
      <w:r>
        <w:rPr>
          <w:szCs w:val="24"/>
        </w:rPr>
        <w:t>o</w:t>
      </w:r>
      <w:r w:rsidRPr="00415350">
        <w:rPr>
          <w:szCs w:val="24"/>
        </w:rPr>
        <w:t>val of the device</w:t>
      </w:r>
      <w:r>
        <w:rPr>
          <w:szCs w:val="24"/>
        </w:rPr>
        <w:t xml:space="preserve">, and that </w:t>
      </w:r>
      <w:r w:rsidRPr="000009C9">
        <w:rPr>
          <w:szCs w:val="24"/>
        </w:rPr>
        <w:t>these uncertainties flowed to the economic analysis</w:t>
      </w:r>
      <w:r>
        <w:rPr>
          <w:szCs w:val="24"/>
        </w:rPr>
        <w:t>.</w:t>
      </w:r>
    </w:p>
    <w:tbl>
      <w:tblPr>
        <w:tblStyle w:val="TableGrid"/>
        <w:tblW w:w="0" w:type="auto"/>
        <w:tblLook w:val="04A0" w:firstRow="1" w:lastRow="0" w:firstColumn="1" w:lastColumn="0" w:noHBand="0" w:noVBand="1"/>
        <w:tblDescription w:val="Consumer summary of MSAC consideration"/>
      </w:tblPr>
      <w:tblGrid>
        <w:gridCol w:w="9016"/>
      </w:tblGrid>
      <w:tr w:rsidR="00B044E4" w14:paraId="3DBCE699" w14:textId="77777777" w:rsidTr="00B044E4">
        <w:trPr>
          <w:tblHeader/>
        </w:trPr>
        <w:tc>
          <w:tcPr>
            <w:tcW w:w="9016" w:type="dxa"/>
          </w:tcPr>
          <w:p w14:paraId="29BC740D" w14:textId="46E52305" w:rsidR="00B044E4" w:rsidRPr="00B044E4" w:rsidRDefault="00B044E4" w:rsidP="00B044E4">
            <w:pPr>
              <w:pStyle w:val="Bullet"/>
              <w:numPr>
                <w:ilvl w:val="0"/>
                <w:numId w:val="0"/>
              </w:numPr>
              <w:spacing w:before="120" w:after="120"/>
              <w:ind w:hanging="11"/>
              <w:rPr>
                <w:rFonts w:ascii="Times New Roman" w:hAnsi="Times New Roman" w:cs="Times New Roman"/>
                <w:b/>
                <w:sz w:val="24"/>
                <w:szCs w:val="24"/>
              </w:rPr>
            </w:pPr>
            <w:r w:rsidRPr="00C60190">
              <w:rPr>
                <w:rFonts w:ascii="Times New Roman" w:hAnsi="Times New Roman" w:cs="Times New Roman"/>
                <w:b/>
                <w:sz w:val="24"/>
                <w:szCs w:val="24"/>
              </w:rPr>
              <w:t>Consumer summary</w:t>
            </w:r>
          </w:p>
        </w:tc>
      </w:tr>
      <w:tr w:rsidR="00B044E4" w14:paraId="4DA2BA7A" w14:textId="77777777" w:rsidTr="00B044E4">
        <w:tc>
          <w:tcPr>
            <w:tcW w:w="9016" w:type="dxa"/>
          </w:tcPr>
          <w:p w14:paraId="5288EA44" w14:textId="77777777" w:rsidR="00B044E4" w:rsidRPr="00C60190" w:rsidRDefault="00B044E4" w:rsidP="00B044E4">
            <w:pPr>
              <w:spacing w:before="120" w:after="240"/>
              <w:rPr>
                <w:rFonts w:ascii="Times New Roman" w:hAnsi="Times New Roman" w:cs="Times New Roman"/>
                <w:sz w:val="22"/>
              </w:rPr>
            </w:pPr>
            <w:r w:rsidRPr="00C60190">
              <w:rPr>
                <w:rFonts w:ascii="Times New Roman" w:hAnsi="Times New Roman" w:cs="Times New Roman"/>
              </w:rPr>
              <w:t xml:space="preserve">Apollo Endosurgery Australia applied for public funding via the Medicare Benefits Schedule (MBS) for the procedure to insert an intragastric balloon in people who have type 2 diabetes </w:t>
            </w:r>
            <w:r w:rsidRPr="00C60190">
              <w:rPr>
                <w:rFonts w:ascii="Times New Roman" w:hAnsi="Times New Roman" w:cs="Times New Roman"/>
                <w:i/>
                <w:iCs/>
              </w:rPr>
              <w:t xml:space="preserve">and </w:t>
            </w:r>
            <w:r w:rsidRPr="00C60190">
              <w:rPr>
                <w:rFonts w:ascii="Times New Roman" w:hAnsi="Times New Roman" w:cs="Times New Roman"/>
              </w:rPr>
              <w:t xml:space="preserve">who have been assessed as having moderate obesity (body mass index (BMI) of 30.0–34.9) </w:t>
            </w:r>
            <w:r w:rsidRPr="00C60190">
              <w:rPr>
                <w:rFonts w:ascii="Times New Roman" w:hAnsi="Times New Roman" w:cs="Times New Roman"/>
                <w:i/>
                <w:iCs/>
              </w:rPr>
              <w:t xml:space="preserve">and </w:t>
            </w:r>
            <w:r w:rsidRPr="00C60190">
              <w:rPr>
                <w:rFonts w:ascii="Times New Roman" w:hAnsi="Times New Roman" w:cs="Times New Roman"/>
              </w:rPr>
              <w:t>who have not responded to other ‘first line’ treatments, such as weight-loss medicines and lifestyle changes.</w:t>
            </w:r>
          </w:p>
          <w:p w14:paraId="69901E26" w14:textId="77777777" w:rsidR="00B044E4" w:rsidRPr="00C60190" w:rsidRDefault="00B044E4" w:rsidP="00B044E4">
            <w:pPr>
              <w:spacing w:after="240"/>
              <w:rPr>
                <w:rFonts w:ascii="Times New Roman" w:hAnsi="Times New Roman" w:cs="Times New Roman"/>
              </w:rPr>
            </w:pPr>
            <w:r w:rsidRPr="00C60190">
              <w:rPr>
                <w:rFonts w:ascii="Times New Roman" w:hAnsi="Times New Roman" w:cs="Times New Roman"/>
              </w:rPr>
              <w:lastRenderedPageBreak/>
              <w:t>An intragastric balloon (IGB) is a small silicon balloon that is inserted into a patient’s stomach using an endoscopic procedure (that is, a tube placed down the throat and into the stomach). A doctor fills the balloon with saline solution to create a feeling of fullness, so patients lose the urge to overeat, and thus lose weight. The balloon i</w:t>
            </w:r>
            <w:r>
              <w:rPr>
                <w:rFonts w:ascii="Times New Roman" w:hAnsi="Times New Roman" w:cs="Times New Roman"/>
              </w:rPr>
              <w:t>s removed after 6 or 12 months.</w:t>
            </w:r>
          </w:p>
          <w:p w14:paraId="58E183C6" w14:textId="77777777" w:rsidR="00B044E4" w:rsidRDefault="00B044E4" w:rsidP="00B044E4">
            <w:pPr>
              <w:spacing w:after="240"/>
              <w:rPr>
                <w:rFonts w:ascii="Times New Roman" w:hAnsi="Times New Roman" w:cs="Times New Roman"/>
              </w:rPr>
            </w:pPr>
            <w:r w:rsidRPr="00C60190">
              <w:rPr>
                <w:rFonts w:ascii="Times New Roman" w:hAnsi="Times New Roman" w:cs="Times New Roman"/>
              </w:rPr>
              <w:t>MSAC acknowledges the need to help patients manage diabetes and to support patients who are significantly overweight to reduce weight. However, there are a number of safety concerns with the use of these balloons. Many people who have used this device in clinical trials have reported serious side effects and there have also been some deaths reported. In addition, there is limited clinical evidence of the effectiveness of this device. The evidence available shows that, while patients can lose weight initially, most of the weight is regained within 12 months of the balloon bein</w:t>
            </w:r>
            <w:r>
              <w:rPr>
                <w:rFonts w:ascii="Times New Roman" w:hAnsi="Times New Roman" w:cs="Times New Roman"/>
              </w:rPr>
              <w:t>g removed.</w:t>
            </w:r>
          </w:p>
          <w:p w14:paraId="5E893951" w14:textId="77777777" w:rsidR="00B044E4" w:rsidRPr="000A0160" w:rsidRDefault="00B044E4" w:rsidP="00B044E4">
            <w:pPr>
              <w:spacing w:after="120"/>
              <w:rPr>
                <w:rFonts w:ascii="Times New Roman" w:hAnsi="Times New Roman" w:cs="Times New Roman"/>
                <w:b/>
              </w:rPr>
            </w:pPr>
            <w:r>
              <w:rPr>
                <w:rFonts w:ascii="Times New Roman" w:hAnsi="Times New Roman" w:cs="Times New Roman"/>
                <w:b/>
              </w:rPr>
              <w:t>MSAC’s recommendation</w:t>
            </w:r>
            <w:r w:rsidRPr="000A0160">
              <w:rPr>
                <w:rFonts w:ascii="Times New Roman" w:hAnsi="Times New Roman" w:cs="Times New Roman"/>
                <w:b/>
              </w:rPr>
              <w:t xml:space="preserve"> to the Commonwealth Health Minister</w:t>
            </w:r>
          </w:p>
          <w:p w14:paraId="12E74730" w14:textId="5168B1F7" w:rsidR="00B044E4" w:rsidRDefault="00B044E4" w:rsidP="00B044E4">
            <w:pPr>
              <w:spacing w:after="120"/>
              <w:rPr>
                <w:szCs w:val="24"/>
              </w:rPr>
            </w:pPr>
            <w:r w:rsidRPr="00C60190">
              <w:rPr>
                <w:rFonts w:ascii="Times New Roman" w:hAnsi="Times New Roman" w:cs="Times New Roman"/>
              </w:rPr>
              <w:t xml:space="preserve">MSAC did not support public funding for </w:t>
            </w:r>
            <w:r w:rsidRPr="00C60190">
              <w:rPr>
                <w:rFonts w:ascii="Times New Roman" w:hAnsi="Times New Roman" w:cs="Times New Roman"/>
                <w:szCs w:val="22"/>
              </w:rPr>
              <w:t>endoscopic placement and removal of an IGB for the management of moderate obesity in patients with poorly controlled type 2 diabetes mellitus who have failed first-line treatments. This is because MSAC is concerned about the effectiveness and safety of the IGB. The economic evaluation and financial impact presented in the application was also highly uncertain.</w:t>
            </w:r>
          </w:p>
        </w:tc>
      </w:tr>
    </w:tbl>
    <w:p w14:paraId="4CFB4829" w14:textId="77777777" w:rsidR="00550354" w:rsidRPr="00F715D1" w:rsidRDefault="00550354" w:rsidP="00F715D1">
      <w:pPr>
        <w:pStyle w:val="Heading1"/>
      </w:pPr>
      <w:r w:rsidRPr="00F715D1">
        <w:lastRenderedPageBreak/>
        <w:t xml:space="preserve">Summary of consideration and rationale for MSAC’s advice </w:t>
      </w:r>
    </w:p>
    <w:p w14:paraId="05BE5C83" w14:textId="1D7171CC" w:rsidR="002B1BD2" w:rsidRDefault="002B1BD2" w:rsidP="00B044E4">
      <w:pPr>
        <w:spacing w:after="240"/>
      </w:pPr>
      <w:r>
        <w:t>Application 1515 requests MBS listing of the endoscopic placement and removal of an IGB for the treatment of patients aged ≥18 years with a BMI of 30.0–34.9 kg/m</w:t>
      </w:r>
      <w:r w:rsidRPr="00470CCA">
        <w:rPr>
          <w:vertAlign w:val="superscript"/>
        </w:rPr>
        <w:t>2</w:t>
      </w:r>
      <w:r>
        <w:t xml:space="preserve"> who have poorly controlled type 2 diabetes mellitus (T2DM) and who have failed first-line treatment options. MSAC noted that this range of BMIs was chosen because these patients are not eligible for bariatric surgery.</w:t>
      </w:r>
    </w:p>
    <w:p w14:paraId="33133A3A" w14:textId="0E7E8E7F" w:rsidR="002B1BD2" w:rsidRDefault="002B1BD2" w:rsidP="00B044E4">
      <w:pPr>
        <w:spacing w:after="240"/>
        <w:rPr>
          <w:rFonts w:cs="Arial"/>
        </w:rPr>
      </w:pPr>
      <w:r>
        <w:t xml:space="preserve">MSAC noted that there was only a low level of clinical evidence available. In the past 20 years, only two </w:t>
      </w:r>
      <w:r w:rsidR="000A5491">
        <w:t>randomised controlled trials (</w:t>
      </w:r>
      <w:r>
        <w:t>RCTs</w:t>
      </w:r>
      <w:r w:rsidR="000A5491">
        <w:t>)</w:t>
      </w:r>
      <w:r>
        <w:t xml:space="preserve"> have been published, and they were open label, with short </w:t>
      </w:r>
      <w:r w:rsidR="00E0138F">
        <w:t xml:space="preserve">durations of </w:t>
      </w:r>
      <w:r>
        <w:t>follow-up</w:t>
      </w:r>
      <w:r w:rsidR="00E0138F">
        <w:t xml:space="preserve"> and small sample sizes</w:t>
      </w:r>
      <w:r>
        <w:t xml:space="preserve">, and a high risk of bias. Observational studies show a better effect than the </w:t>
      </w:r>
      <w:r w:rsidR="00E0138F">
        <w:t xml:space="preserve">clinical </w:t>
      </w:r>
      <w:r>
        <w:t xml:space="preserve">trials, but this level of evidence is not sufficient for MSAC’s purposes. MSAC noted that there are </w:t>
      </w:r>
      <w:r w:rsidRPr="00291D6E">
        <w:rPr>
          <w:rFonts w:cs="Arial"/>
        </w:rPr>
        <w:t xml:space="preserve">five </w:t>
      </w:r>
      <w:r w:rsidR="00E0138F">
        <w:rPr>
          <w:rFonts w:cs="Arial"/>
        </w:rPr>
        <w:t xml:space="preserve">clinical </w:t>
      </w:r>
      <w:r w:rsidRPr="00291D6E">
        <w:rPr>
          <w:rFonts w:cs="Arial"/>
        </w:rPr>
        <w:t>trials currently in progress</w:t>
      </w:r>
      <w:r>
        <w:rPr>
          <w:rFonts w:cs="Arial"/>
        </w:rPr>
        <w:t>.</w:t>
      </w:r>
    </w:p>
    <w:p w14:paraId="6A99214D" w14:textId="280B3B21" w:rsidR="002B1BD2" w:rsidRDefault="002B1BD2" w:rsidP="00B044E4">
      <w:pPr>
        <w:spacing w:after="240"/>
        <w:rPr>
          <w:rFonts w:cs="Arial"/>
        </w:rPr>
      </w:pPr>
      <w:r>
        <w:rPr>
          <w:rFonts w:cs="Arial"/>
        </w:rPr>
        <w:t xml:space="preserve">MSAC noted that the application differed from the ratified PICO; the population, intervention and comparator were changed in the assessment. </w:t>
      </w:r>
      <w:r w:rsidR="00E0138F">
        <w:rPr>
          <w:rFonts w:cs="Arial"/>
        </w:rPr>
        <w:t>T</w:t>
      </w:r>
      <w:r>
        <w:rPr>
          <w:rFonts w:cs="Arial"/>
        </w:rPr>
        <w:t>he applicant presented a cost-consequence analysis in addition to the cost-utility analysis.</w:t>
      </w:r>
    </w:p>
    <w:p w14:paraId="6BFB30C0" w14:textId="042C24A9" w:rsidR="002B1BD2" w:rsidRDefault="002B1BD2" w:rsidP="002B1BD2">
      <w:r>
        <w:rPr>
          <w:rFonts w:cs="Arial"/>
        </w:rPr>
        <w:t xml:space="preserve">MSAC noted that the clinical effectiveness is not sustained beyond 12 months. Patients who undergo IGB need to have at least 10% weight loss to achieve positive outcomes. </w:t>
      </w:r>
      <w:r w:rsidRPr="000D2A4E">
        <w:t xml:space="preserve">The meta-analysis results from the two RCTs on weight loss outcomes significantly favoured IGB plus lifestyle over lifestyle alone. However, weight regain from 6 to 12 months </w:t>
      </w:r>
      <w:r>
        <w:t xml:space="preserve">post-removal of the IGB </w:t>
      </w:r>
      <w:r w:rsidRPr="000D2A4E">
        <w:t xml:space="preserve">was substantial in both studies. The effect size of the weight loss outcomes was consistently smaller at 12 months than </w:t>
      </w:r>
      <w:r>
        <w:t xml:space="preserve">at </w:t>
      </w:r>
      <w:r w:rsidRPr="000D2A4E">
        <w:t xml:space="preserve">6 months. Given that the follow-up period is only for 12 months, it is uncertain </w:t>
      </w:r>
      <w:r w:rsidR="008055BB">
        <w:t xml:space="preserve">what </w:t>
      </w:r>
      <w:r w:rsidRPr="000D2A4E">
        <w:t xml:space="preserve">the effectiveness of the IGB plus lifestyle intervention </w:t>
      </w:r>
      <w:r w:rsidR="008055BB">
        <w:t>is in the</w:t>
      </w:r>
      <w:r w:rsidRPr="000D2A4E">
        <w:t xml:space="preserve"> long term. There is a lack of RCT or high-quality observational evidence to support e</w:t>
      </w:r>
      <w:r w:rsidR="00B044E4">
        <w:t>ffectiveness beyond 12 months.</w:t>
      </w:r>
    </w:p>
    <w:p w14:paraId="758F418D" w14:textId="696F7C49" w:rsidR="002B1BD2" w:rsidRDefault="002B1BD2" w:rsidP="00B044E4">
      <w:pPr>
        <w:tabs>
          <w:tab w:val="left" w:pos="1161"/>
        </w:tabs>
        <w:spacing w:after="240"/>
      </w:pPr>
      <w:r>
        <w:rPr>
          <w:rFonts w:cs="Arial"/>
        </w:rPr>
        <w:lastRenderedPageBreak/>
        <w:t xml:space="preserve">MSAC noted significant safety issues. </w:t>
      </w:r>
      <w:r>
        <w:t xml:space="preserve">MSAC noted that both the US </w:t>
      </w:r>
      <w:r w:rsidRPr="00F646C7">
        <w:t>Food and Drug Administration</w:t>
      </w:r>
      <w:r w:rsidR="00B54E50">
        <w:t xml:space="preserve"> (FDA)</w:t>
      </w:r>
      <w:r>
        <w:t xml:space="preserve"> and the TGA reported deaths from the use of IGBs. </w:t>
      </w:r>
      <w:r>
        <w:rPr>
          <w:rFonts w:cs="Arial"/>
        </w:rPr>
        <w:t xml:space="preserve">In the </w:t>
      </w:r>
      <w:proofErr w:type="spellStart"/>
      <w:r>
        <w:rPr>
          <w:rFonts w:cs="Arial"/>
        </w:rPr>
        <w:t>Courcoulas</w:t>
      </w:r>
      <w:proofErr w:type="spellEnd"/>
      <w:r w:rsidR="00EA5D22">
        <w:rPr>
          <w:rFonts w:cs="Arial"/>
        </w:rPr>
        <w:t> </w:t>
      </w:r>
      <w:r>
        <w:rPr>
          <w:rFonts w:cs="Arial"/>
        </w:rPr>
        <w:t>2017 and Fuller 201</w:t>
      </w:r>
      <w:r w:rsidR="00B54E50">
        <w:rPr>
          <w:rFonts w:cs="Arial"/>
        </w:rPr>
        <w:t>3</w:t>
      </w:r>
      <w:r>
        <w:rPr>
          <w:rFonts w:cs="Arial"/>
        </w:rPr>
        <w:t xml:space="preserve"> trials (total of 191 patients), 98% of the patients reported adverse events (AEs). </w:t>
      </w:r>
      <w:r>
        <w:t>MSAC</w:t>
      </w:r>
      <w:r w:rsidRPr="00291D6E">
        <w:t xml:space="preserve"> noted that</w:t>
      </w:r>
      <w:r>
        <w:t xml:space="preserve"> the IGB was removed from some patients within 6 months in both trials due to</w:t>
      </w:r>
      <w:r w:rsidRPr="00291D6E">
        <w:t xml:space="preserve"> serious procedure-related and device-related </w:t>
      </w:r>
      <w:r>
        <w:t>AE</w:t>
      </w:r>
      <w:r w:rsidR="00B044E4">
        <w:t>s.</w:t>
      </w:r>
    </w:p>
    <w:p w14:paraId="0B350488" w14:textId="4C3EBC09" w:rsidR="002B1BD2" w:rsidRDefault="002B1BD2" w:rsidP="00B044E4">
      <w:pPr>
        <w:spacing w:after="240"/>
      </w:pPr>
      <w:r>
        <w:rPr>
          <w:rFonts w:cs="Arial"/>
        </w:rPr>
        <w:t xml:space="preserve">MSAC noted that the incremental cost-effectiveness ratio (ICER) </w:t>
      </w:r>
      <w:r w:rsidR="000A5491">
        <w:rPr>
          <w:rFonts w:cs="Arial"/>
        </w:rPr>
        <w:t>is highly uncertain</w:t>
      </w:r>
      <w:r w:rsidR="00E0138F">
        <w:rPr>
          <w:rFonts w:cs="Arial"/>
        </w:rPr>
        <w:t>,</w:t>
      </w:r>
      <w:r w:rsidR="000A5491">
        <w:rPr>
          <w:rFonts w:cs="Arial"/>
        </w:rPr>
        <w:t xml:space="preserve"> </w:t>
      </w:r>
      <w:r>
        <w:rPr>
          <w:rFonts w:cs="Arial"/>
        </w:rPr>
        <w:t>vary</w:t>
      </w:r>
      <w:r w:rsidR="000A5491">
        <w:rPr>
          <w:rFonts w:cs="Arial"/>
        </w:rPr>
        <w:t>ing</w:t>
      </w:r>
      <w:r>
        <w:rPr>
          <w:rFonts w:cs="Arial"/>
        </w:rPr>
        <w:t xml:space="preserve"> from </w:t>
      </w:r>
      <w:r w:rsidR="00EC634A">
        <w:rPr>
          <w:rFonts w:cs="Arial"/>
        </w:rPr>
        <w:t>~</w:t>
      </w:r>
      <w:r>
        <w:rPr>
          <w:rFonts w:cs="Arial"/>
        </w:rPr>
        <w:t>$</w:t>
      </w:r>
      <w:r w:rsidR="00117124" w:rsidRPr="00117124">
        <w:rPr>
          <w:rFonts w:cs="Arial"/>
          <w:b/>
        </w:rPr>
        <w:t>redacted</w:t>
      </w:r>
      <w:r w:rsidR="00EC634A">
        <w:rPr>
          <w:rFonts w:cs="Arial"/>
        </w:rPr>
        <w:t xml:space="preserve"> in the trial-based analysis to ~$</w:t>
      </w:r>
      <w:r w:rsidR="00117124" w:rsidRPr="00D67508">
        <w:rPr>
          <w:rFonts w:cs="Arial"/>
          <w:b/>
        </w:rPr>
        <w:t>redacted</w:t>
      </w:r>
      <w:r w:rsidR="00117124" w:rsidDel="00117124">
        <w:rPr>
          <w:rFonts w:cs="Arial"/>
        </w:rPr>
        <w:t xml:space="preserve"> </w:t>
      </w:r>
      <w:r w:rsidR="00EC634A">
        <w:rPr>
          <w:rFonts w:cs="Arial"/>
        </w:rPr>
        <w:t xml:space="preserve">in the modelled </w:t>
      </w:r>
      <w:r w:rsidR="000A5491">
        <w:rPr>
          <w:rFonts w:cs="Arial"/>
        </w:rPr>
        <w:t>base</w:t>
      </w:r>
      <w:r w:rsidR="00E0138F">
        <w:rPr>
          <w:rFonts w:cs="Arial"/>
        </w:rPr>
        <w:t>-</w:t>
      </w:r>
      <w:r w:rsidR="000A5491">
        <w:rPr>
          <w:rFonts w:cs="Arial"/>
        </w:rPr>
        <w:t xml:space="preserve">case </w:t>
      </w:r>
      <w:r w:rsidR="00EC634A">
        <w:rPr>
          <w:rFonts w:cs="Arial"/>
        </w:rPr>
        <w:t>analysis</w:t>
      </w:r>
      <w:r>
        <w:rPr>
          <w:rFonts w:cs="Arial"/>
        </w:rPr>
        <w:t xml:space="preserve">. The range of ICERs reflects the uncertainty of the </w:t>
      </w:r>
      <w:r w:rsidR="000A5491">
        <w:rPr>
          <w:rFonts w:cs="Arial"/>
        </w:rPr>
        <w:t>duration of treatment effect of</w:t>
      </w:r>
      <w:r>
        <w:rPr>
          <w:rFonts w:cs="Arial"/>
        </w:rPr>
        <w:t xml:space="preserve"> IGB</w:t>
      </w:r>
      <w:r w:rsidR="000A5491">
        <w:rPr>
          <w:rFonts w:cs="Arial"/>
        </w:rPr>
        <w:t xml:space="preserve"> on weight loss and T2DM</w:t>
      </w:r>
      <w:r>
        <w:rPr>
          <w:rFonts w:cs="Arial"/>
        </w:rPr>
        <w:t xml:space="preserve">. MSAC also noted that the economic model did not include the disutility associated with AEs (although these were common, they were assumed to not incur any cost). </w:t>
      </w:r>
      <w:r w:rsidRPr="00291D6E">
        <w:t>This could be a major concern, as the disutility associated with the early removal may be high</w:t>
      </w:r>
      <w:r>
        <w:t>,</w:t>
      </w:r>
      <w:r w:rsidRPr="00291D6E">
        <w:t xml:space="preserve"> and weight loss and quality of life benefits may not b</w:t>
      </w:r>
      <w:r w:rsidR="00B044E4">
        <w:t>e achieved for these patients.</w:t>
      </w:r>
    </w:p>
    <w:p w14:paraId="09C849BF" w14:textId="3153C6EF" w:rsidR="002B1BD2" w:rsidRDefault="002B1BD2" w:rsidP="00B044E4">
      <w:pPr>
        <w:spacing w:after="240"/>
      </w:pPr>
      <w:r>
        <w:t xml:space="preserve">MSAC noted that the </w:t>
      </w:r>
      <w:r w:rsidR="000A5491">
        <w:t xml:space="preserve">financial impact </w:t>
      </w:r>
      <w:r w:rsidR="00261245">
        <w:t xml:space="preserve">was also highly uncertain as the proportion of eligible patients expected to receive an IGB </w:t>
      </w:r>
      <w:r w:rsidR="00AD178F">
        <w:t>was</w:t>
      </w:r>
      <w:r w:rsidR="00261245">
        <w:t xml:space="preserve"> based on </w:t>
      </w:r>
      <w:r w:rsidR="00AD178F">
        <w:t xml:space="preserve">current </w:t>
      </w:r>
      <w:r w:rsidR="00261245">
        <w:t xml:space="preserve">uptake </w:t>
      </w:r>
      <w:r w:rsidR="00AD178F">
        <w:t>of</w:t>
      </w:r>
      <w:r w:rsidR="00261245">
        <w:t xml:space="preserve"> bariatric surgery</w:t>
      </w:r>
      <w:r w:rsidR="00AD178F">
        <w:t>.</w:t>
      </w:r>
      <w:r w:rsidR="00261245">
        <w:t xml:space="preserve"> </w:t>
      </w:r>
      <w:r w:rsidR="00AD178F">
        <w:t xml:space="preserve">The financial impact could </w:t>
      </w:r>
      <w:r>
        <w:t xml:space="preserve">be profoundly affected if the </w:t>
      </w:r>
      <w:r w:rsidR="00AD178F">
        <w:t xml:space="preserve">proposed </w:t>
      </w:r>
      <w:r>
        <w:t>MBS item descriptor applies to the 4.25 million obese patients in Australia.</w:t>
      </w:r>
    </w:p>
    <w:p w14:paraId="4ED3A1F5" w14:textId="77777777" w:rsidR="002B1BD2" w:rsidRDefault="002B1BD2" w:rsidP="002B1BD2">
      <w:r>
        <w:t>MSAC noted the negative feedback that some consumers have reported about the IGB. Consumers also reported that people who undergo this procedure need support and counselling to change their eating and lifestyle habits, not just insertion of the IGB alone.</w:t>
      </w:r>
    </w:p>
    <w:p w14:paraId="1A0D7834" w14:textId="5389672B" w:rsidR="002B1BD2" w:rsidRPr="00D56FF2" w:rsidRDefault="002B1BD2" w:rsidP="002B1BD2">
      <w:pPr>
        <w:tabs>
          <w:tab w:val="left" w:pos="1161"/>
        </w:tabs>
      </w:pPr>
      <w:r>
        <w:rPr>
          <w:rFonts w:cs="Arial"/>
        </w:rPr>
        <w:t xml:space="preserve">MSAC noted that IGBs could be used as a bridge to </w:t>
      </w:r>
      <w:r w:rsidR="00AE1B55">
        <w:rPr>
          <w:rFonts w:cs="Arial"/>
        </w:rPr>
        <w:t xml:space="preserve">bariatric </w:t>
      </w:r>
      <w:r>
        <w:rPr>
          <w:rFonts w:cs="Arial"/>
        </w:rPr>
        <w:t xml:space="preserve">surgery, which would </w:t>
      </w:r>
      <w:r w:rsidR="008055BB">
        <w:rPr>
          <w:rFonts w:cs="Arial"/>
        </w:rPr>
        <w:t xml:space="preserve">require </w:t>
      </w:r>
      <w:r>
        <w:rPr>
          <w:rFonts w:cs="Arial"/>
        </w:rPr>
        <w:t>a reapplication</w:t>
      </w:r>
      <w:r w:rsidR="008055BB">
        <w:rPr>
          <w:rFonts w:cs="Arial"/>
        </w:rPr>
        <w:t xml:space="preserve"> with data to support this use</w:t>
      </w:r>
      <w:r>
        <w:rPr>
          <w:rFonts w:cs="Arial"/>
        </w:rPr>
        <w:t xml:space="preserve">. But MSAC also noted that the descriptor for such an item would prove to be difficult to craft. </w:t>
      </w:r>
    </w:p>
    <w:p w14:paraId="590661A2" w14:textId="77777777" w:rsidR="00BC1364" w:rsidRPr="00F715D1" w:rsidRDefault="00BC1364" w:rsidP="00F715D1">
      <w:pPr>
        <w:pStyle w:val="Heading1"/>
      </w:pPr>
      <w:r w:rsidRPr="00F715D1">
        <w:t>Background</w:t>
      </w:r>
    </w:p>
    <w:p w14:paraId="64DC60D6" w14:textId="77777777" w:rsidR="00B156AA" w:rsidRPr="00AB4E54" w:rsidRDefault="00B156AA" w:rsidP="00B156AA">
      <w:r w:rsidRPr="00AB4E54">
        <w:t>This is the first submission for</w:t>
      </w:r>
      <w:r>
        <w:t xml:space="preserve"> IGB for the management of </w:t>
      </w:r>
      <w:r w:rsidRPr="00AB4E54">
        <w:t>moderate obesity with type 2 diabetes mellitus</w:t>
      </w:r>
      <w:r>
        <w:t xml:space="preserve">. </w:t>
      </w:r>
      <w:r w:rsidRPr="00AB4E54">
        <w:t>MSAC has not previously considered this application.</w:t>
      </w:r>
    </w:p>
    <w:p w14:paraId="757BDB8A" w14:textId="77777777" w:rsidR="00BC1364" w:rsidRPr="00F715D1" w:rsidRDefault="00BC1364" w:rsidP="00F715D1">
      <w:pPr>
        <w:pStyle w:val="Heading1"/>
      </w:pPr>
      <w:r w:rsidRPr="00F715D1">
        <w:t>Prerequisites to implementation of any funding advice</w:t>
      </w:r>
    </w:p>
    <w:p w14:paraId="2BA22942" w14:textId="77777777" w:rsidR="00B156AA" w:rsidRDefault="00B156AA" w:rsidP="00B156AA">
      <w:r>
        <w:t>The contracted assessment (CA) identified three items that are registered for use in Australia:</w:t>
      </w:r>
    </w:p>
    <w:p w14:paraId="071580A7" w14:textId="77777777" w:rsidR="00B156AA" w:rsidRDefault="00B156AA" w:rsidP="00553A57">
      <w:pPr>
        <w:pStyle w:val="ListParagraph"/>
        <w:numPr>
          <w:ilvl w:val="0"/>
          <w:numId w:val="28"/>
        </w:numPr>
        <w:spacing w:before="120" w:after="120"/>
        <w:ind w:left="714" w:hanging="357"/>
        <w:contextualSpacing w:val="0"/>
      </w:pPr>
      <w:proofErr w:type="spellStart"/>
      <w:r>
        <w:t>Orbera</w:t>
      </w:r>
      <w:proofErr w:type="spellEnd"/>
      <w:r>
        <w:t xml:space="preserve"> IGB is a class </w:t>
      </w:r>
      <w:proofErr w:type="spellStart"/>
      <w:r>
        <w:t>IIb</w:t>
      </w:r>
      <w:proofErr w:type="spellEnd"/>
      <w:r>
        <w:t xml:space="preserve"> medical device (ARTG number 226685, approved by the TGA in August 2014);</w:t>
      </w:r>
    </w:p>
    <w:p w14:paraId="5EF53892" w14:textId="77777777" w:rsidR="00B156AA" w:rsidRDefault="00B156AA" w:rsidP="00553A57">
      <w:pPr>
        <w:pStyle w:val="ListParagraph"/>
        <w:numPr>
          <w:ilvl w:val="0"/>
          <w:numId w:val="28"/>
        </w:numPr>
        <w:spacing w:before="120" w:after="120"/>
        <w:ind w:left="714" w:hanging="357"/>
        <w:contextualSpacing w:val="0"/>
      </w:pPr>
      <w:proofErr w:type="spellStart"/>
      <w:r>
        <w:t>Spatz</w:t>
      </w:r>
      <w:proofErr w:type="spellEnd"/>
      <w:r>
        <w:t xml:space="preserve"> IGB is a class </w:t>
      </w:r>
      <w:proofErr w:type="spellStart"/>
      <w:r>
        <w:t>IIb</w:t>
      </w:r>
      <w:proofErr w:type="spellEnd"/>
      <w:r>
        <w:t xml:space="preserve"> medical device (ARTG number 174506, approved by the TGA in August 2010); and</w:t>
      </w:r>
    </w:p>
    <w:p w14:paraId="008811D5" w14:textId="77777777" w:rsidR="00BC1364" w:rsidRPr="0041184F" w:rsidRDefault="00B156AA" w:rsidP="00553A57">
      <w:pPr>
        <w:pStyle w:val="ListParagraph"/>
        <w:numPr>
          <w:ilvl w:val="0"/>
          <w:numId w:val="28"/>
        </w:numPr>
        <w:spacing w:before="120" w:after="120"/>
        <w:ind w:left="714" w:hanging="357"/>
        <w:contextualSpacing w:val="0"/>
      </w:pPr>
      <w:r>
        <w:t>Another IGB manufactured by the same applicant is an export only medical device class 1 (ARTG number295598, approved by the TGA in October 2017).</w:t>
      </w:r>
    </w:p>
    <w:p w14:paraId="7F20D538" w14:textId="77777777" w:rsidR="00BC1364" w:rsidRPr="00F715D1" w:rsidRDefault="00BC1364" w:rsidP="00F715D1">
      <w:pPr>
        <w:pStyle w:val="Heading1"/>
      </w:pPr>
      <w:r w:rsidRPr="00F715D1">
        <w:t>Proposal for public funding</w:t>
      </w:r>
    </w:p>
    <w:p w14:paraId="279CCAFB" w14:textId="09C75B0F" w:rsidR="00117124" w:rsidRPr="00B044E4" w:rsidRDefault="00B156AA">
      <w:r>
        <w:t>Consistent with the PICO Confirmation, the applicant propose</w:t>
      </w:r>
      <w:r w:rsidR="00DB12A9">
        <w:t>d</w:t>
      </w:r>
      <w:r>
        <w:t xml:space="preserve"> one item descriptor for placement of </w:t>
      </w:r>
      <w:r w:rsidRPr="00E30303">
        <w:t>the IGB</w:t>
      </w:r>
      <w:r>
        <w:t xml:space="preserve"> (Table 1)</w:t>
      </w:r>
      <w:r w:rsidRPr="00E30303">
        <w:t>, and another item descriptor for the removal of the IGB</w:t>
      </w:r>
      <w:r>
        <w:t xml:space="preserve"> (Table 2)</w:t>
      </w:r>
      <w:r w:rsidRPr="00E30303">
        <w:t>.</w:t>
      </w:r>
      <w:r w:rsidR="00117124">
        <w:br w:type="page"/>
      </w:r>
    </w:p>
    <w:p w14:paraId="5896042D" w14:textId="180177D9" w:rsidR="00B156AA" w:rsidRPr="00DD6B45" w:rsidDel="00A134DA" w:rsidRDefault="00B156AA" w:rsidP="00DD6B45">
      <w:pPr>
        <w:rPr>
          <w:rFonts w:ascii="Arial Narrow" w:hAnsi="Arial Narrow"/>
          <w:b/>
          <w:sz w:val="20"/>
        </w:rPr>
      </w:pPr>
      <w:bookmarkStart w:id="0" w:name="_Ref534182551"/>
      <w:bookmarkStart w:id="1" w:name="_Toc1371955"/>
      <w:r w:rsidRPr="00DD6B45" w:rsidDel="00A134DA">
        <w:rPr>
          <w:rFonts w:ascii="Arial Narrow" w:hAnsi="Arial Narrow"/>
          <w:b/>
          <w:sz w:val="20"/>
        </w:rPr>
        <w:lastRenderedPageBreak/>
        <w:t xml:space="preserve">Table </w:t>
      </w:r>
      <w:bookmarkEnd w:id="0"/>
      <w:r w:rsidRPr="00DD6B45">
        <w:rPr>
          <w:rFonts w:ascii="Arial Narrow" w:hAnsi="Arial Narrow"/>
          <w:b/>
          <w:sz w:val="20"/>
        </w:rPr>
        <w:t>1</w:t>
      </w:r>
      <w:r w:rsidRPr="00DD6B45">
        <w:rPr>
          <w:rFonts w:ascii="Arial Narrow" w:hAnsi="Arial Narrow"/>
          <w:b/>
          <w:sz w:val="20"/>
        </w:rPr>
        <w:tab/>
      </w:r>
      <w:r w:rsidRPr="00DD6B45" w:rsidDel="00A134DA">
        <w:rPr>
          <w:rFonts w:ascii="Arial Narrow" w:hAnsi="Arial Narrow"/>
          <w:b/>
          <w:sz w:val="20"/>
        </w:rPr>
        <w:t>Proposed MBS item descriptor</w:t>
      </w:r>
      <w:r w:rsidRPr="00DD6B45">
        <w:rPr>
          <w:rFonts w:ascii="Arial Narrow" w:hAnsi="Arial Narrow"/>
          <w:b/>
          <w:sz w:val="20"/>
        </w:rPr>
        <w:t xml:space="preserve"> for IGB placement</w:t>
      </w:r>
      <w:bookmarkEnd w:id="1"/>
    </w:p>
    <w:tbl>
      <w:tblPr>
        <w:tblStyle w:val="TableGrid"/>
        <w:tblW w:w="5000" w:type="pct"/>
        <w:tblLook w:val="04A0" w:firstRow="1" w:lastRow="0" w:firstColumn="1" w:lastColumn="0" w:noHBand="0" w:noVBand="1"/>
        <w:tblCaption w:val="Proposed MBS item descriptor"/>
        <w:tblDescription w:val="This table provides the proposed description of the requested Medicare Benefits Schedule item."/>
      </w:tblPr>
      <w:tblGrid>
        <w:gridCol w:w="9016"/>
      </w:tblGrid>
      <w:tr w:rsidR="00B156AA" w:rsidRPr="00183E4D" w:rsidDel="00A134DA" w14:paraId="276ABD7D" w14:textId="77777777" w:rsidTr="00DD6B45">
        <w:trPr>
          <w:tblHeader/>
        </w:trPr>
        <w:tc>
          <w:tcPr>
            <w:tcW w:w="5000" w:type="pct"/>
          </w:tcPr>
          <w:p w14:paraId="0E2B1FAC" w14:textId="77777777" w:rsidR="00B156AA" w:rsidRPr="00183E4D" w:rsidDel="00A134DA" w:rsidRDefault="00B156AA" w:rsidP="00B156AA">
            <w:pPr>
              <w:pStyle w:val="Tabletext0"/>
              <w:keepLines/>
            </w:pPr>
            <w:r w:rsidRPr="00E30303" w:rsidDel="00A134DA">
              <w:t xml:space="preserve">Category </w:t>
            </w:r>
            <w:r w:rsidRPr="00E30303">
              <w:t>3</w:t>
            </w:r>
            <w:r w:rsidRPr="00E30303" w:rsidDel="00A134DA">
              <w:t xml:space="preserve"> – </w:t>
            </w:r>
            <w:r w:rsidRPr="00E30303">
              <w:t>Therapeutic procedures</w:t>
            </w:r>
          </w:p>
        </w:tc>
      </w:tr>
      <w:tr w:rsidR="00B156AA" w:rsidRPr="00183E4D" w:rsidDel="00A134DA" w14:paraId="3FC9B1C7" w14:textId="77777777" w:rsidTr="00DD6B45">
        <w:tc>
          <w:tcPr>
            <w:tcW w:w="5000" w:type="pct"/>
          </w:tcPr>
          <w:p w14:paraId="639B6D41" w14:textId="79504E2D" w:rsidR="00B156AA" w:rsidRDefault="00B156AA" w:rsidP="00B044E4">
            <w:pPr>
              <w:pStyle w:val="Tabletext0"/>
              <w:keepLines/>
              <w:spacing w:after="240"/>
            </w:pPr>
            <w:r>
              <w:t>Item no. XXXX1</w:t>
            </w:r>
          </w:p>
          <w:p w14:paraId="5CBB4DD3" w14:textId="77777777" w:rsidR="00B156AA" w:rsidRDefault="00B156AA" w:rsidP="00B156AA">
            <w:pPr>
              <w:pStyle w:val="Tabletext0"/>
              <w:keepLines/>
            </w:pPr>
            <w:r w:rsidRPr="008F465D">
              <w:t xml:space="preserve">Placement of IGB for a patient </w:t>
            </w:r>
            <w:r>
              <w:t xml:space="preserve">aged </w:t>
            </w:r>
            <w:r w:rsidRPr="00FA55C0">
              <w:t>18 years or over, with a BMI 30.0–34.9 kg/m</w:t>
            </w:r>
            <w:r w:rsidRPr="00043697">
              <w:rPr>
                <w:vertAlign w:val="superscript"/>
              </w:rPr>
              <w:t>2</w:t>
            </w:r>
            <w:r w:rsidRPr="00FA55C0">
              <w:t xml:space="preserve"> who have poorly controlled T2DM (with or without other co</w:t>
            </w:r>
            <w:r>
              <w:t>morbidities</w:t>
            </w:r>
            <w:r w:rsidRPr="00FA55C0">
              <w:t>) and who have failed first-line treatments</w:t>
            </w:r>
            <w:r>
              <w:t>.</w:t>
            </w:r>
          </w:p>
          <w:p w14:paraId="1DF16118" w14:textId="71142FA1" w:rsidR="00B156AA" w:rsidRPr="006B394A" w:rsidRDefault="00B156AA" w:rsidP="00B044E4">
            <w:pPr>
              <w:pStyle w:val="Tabletext0"/>
              <w:keepLines/>
              <w:spacing w:after="240"/>
            </w:pPr>
            <w:r>
              <w:t>Can be delivered as a stand</w:t>
            </w:r>
            <w:r w:rsidRPr="006B394A">
              <w:t>alone procedure.</w:t>
            </w:r>
          </w:p>
          <w:p w14:paraId="50269D59" w14:textId="77777777" w:rsidR="00B156AA" w:rsidRDefault="00B156AA" w:rsidP="00B156AA">
            <w:pPr>
              <w:pStyle w:val="Tabletext0"/>
              <w:keepLines/>
            </w:pPr>
            <w:r w:rsidRPr="00181A20">
              <w:t xml:space="preserve">Multiple </w:t>
            </w:r>
            <w:r>
              <w:t>S</w:t>
            </w:r>
            <w:r w:rsidRPr="00181A20">
              <w:t>ervice</w:t>
            </w:r>
            <w:r w:rsidRPr="006D142C">
              <w:t>s Rule</w:t>
            </w:r>
            <w:r>
              <w:t xml:space="preserve"> </w:t>
            </w:r>
          </w:p>
          <w:p w14:paraId="746F520B" w14:textId="77777777" w:rsidR="00B156AA" w:rsidRDefault="00B156AA" w:rsidP="00B156AA">
            <w:pPr>
              <w:pStyle w:val="Tabletext0"/>
              <w:keepLines/>
            </w:pPr>
            <w:r w:rsidRPr="00D954DD">
              <w:t>(</w:t>
            </w:r>
            <w:proofErr w:type="spellStart"/>
            <w:r w:rsidRPr="00D954DD">
              <w:t>Anaes</w:t>
            </w:r>
            <w:proofErr w:type="spellEnd"/>
            <w:r w:rsidRPr="00D954DD">
              <w:t>.) (Assist.)</w:t>
            </w:r>
          </w:p>
          <w:p w14:paraId="65834045" w14:textId="1C19BF6A" w:rsidR="00B156AA" w:rsidRPr="001F2896" w:rsidRDefault="00B156AA" w:rsidP="00B044E4">
            <w:pPr>
              <w:pStyle w:val="Tabletext0"/>
              <w:keepLines/>
              <w:spacing w:after="240"/>
            </w:pPr>
            <w:r>
              <w:t>(See par</w:t>
            </w:r>
            <w:r w:rsidRPr="006D142C">
              <w:t>a T8.29 of explanatory notes to this Category)</w:t>
            </w:r>
          </w:p>
          <w:p w14:paraId="77457C97" w14:textId="73D2068D" w:rsidR="00B156AA" w:rsidRPr="00183E4D" w:rsidDel="00A134DA" w:rsidRDefault="00B156AA" w:rsidP="00117124">
            <w:pPr>
              <w:pStyle w:val="Tabletext0"/>
              <w:keepLines/>
            </w:pPr>
            <w:r>
              <w:t>Fee:</w:t>
            </w:r>
            <w:r w:rsidRPr="001F2896">
              <w:t xml:space="preserve"> $</w:t>
            </w:r>
            <w:r w:rsidR="00117124" w:rsidRPr="00517AD6">
              <w:rPr>
                <w:b/>
              </w:rPr>
              <w:t>redacted</w:t>
            </w:r>
            <w:r w:rsidR="00117124">
              <w:t xml:space="preserve"> </w:t>
            </w:r>
            <w:r>
              <w:t xml:space="preserve">Benefit: </w:t>
            </w:r>
            <w:r w:rsidRPr="00181CEC">
              <w:t>Mostly 85% (with EMSN considerations), and 75% likely to be needed</w:t>
            </w:r>
          </w:p>
        </w:tc>
      </w:tr>
    </w:tbl>
    <w:p w14:paraId="37B60220" w14:textId="77777777" w:rsidR="00B156AA" w:rsidRPr="007D18B2" w:rsidRDefault="00B156AA" w:rsidP="00EA5D22">
      <w:pPr>
        <w:pStyle w:val="TFAbbrevs18"/>
        <w:spacing w:after="240"/>
        <w:rPr>
          <w:highlight w:val="yellow"/>
        </w:rPr>
      </w:pPr>
      <w:r w:rsidRPr="007D18B2">
        <w:t>Abbreviations:</w:t>
      </w:r>
      <w:r>
        <w:t xml:space="preserve"> EMSN, extended Medicare safety net;</w:t>
      </w:r>
      <w:r w:rsidRPr="007D18B2">
        <w:t xml:space="preserve"> IGB, intragastric balloon</w:t>
      </w:r>
      <w:r>
        <w:t>; T2DM, type 2 diabetes mellitus</w:t>
      </w:r>
    </w:p>
    <w:p w14:paraId="5C7C4F81" w14:textId="5BB0D633" w:rsidR="00B156AA" w:rsidRPr="00DD6B45" w:rsidRDefault="00B156AA" w:rsidP="00DD6B45">
      <w:pPr>
        <w:rPr>
          <w:rFonts w:ascii="Arial Narrow" w:hAnsi="Arial Narrow"/>
          <w:b/>
          <w:sz w:val="20"/>
        </w:rPr>
      </w:pPr>
      <w:bookmarkStart w:id="2" w:name="_Ref534182562"/>
      <w:bookmarkStart w:id="3" w:name="_Toc1371956"/>
      <w:r w:rsidRPr="00DD6B45">
        <w:rPr>
          <w:rFonts w:ascii="Arial Narrow" w:hAnsi="Arial Narrow"/>
          <w:b/>
          <w:sz w:val="20"/>
        </w:rPr>
        <w:t xml:space="preserve">Table </w:t>
      </w:r>
      <w:bookmarkEnd w:id="2"/>
      <w:r w:rsidRPr="00DD6B45">
        <w:rPr>
          <w:rFonts w:ascii="Arial Narrow" w:hAnsi="Arial Narrow"/>
          <w:b/>
          <w:sz w:val="20"/>
        </w:rPr>
        <w:t>2</w:t>
      </w:r>
      <w:r w:rsidRPr="00DD6B45">
        <w:rPr>
          <w:rFonts w:ascii="Arial Narrow" w:hAnsi="Arial Narrow"/>
          <w:b/>
          <w:sz w:val="20"/>
        </w:rPr>
        <w:tab/>
        <w:t>Proposed MBS item descriptor for IGB removal</w:t>
      </w:r>
      <w:bookmarkEnd w:id="3"/>
    </w:p>
    <w:tbl>
      <w:tblPr>
        <w:tblStyle w:val="TableGrid"/>
        <w:tblW w:w="5000" w:type="pct"/>
        <w:tblLook w:val="04A0" w:firstRow="1" w:lastRow="0" w:firstColumn="1" w:lastColumn="0" w:noHBand="0" w:noVBand="1"/>
        <w:tblCaption w:val="Proposed MBS item descriptor"/>
        <w:tblDescription w:val="This table provides the proposed description of the requested Medicare Benefits Schedule item."/>
      </w:tblPr>
      <w:tblGrid>
        <w:gridCol w:w="9016"/>
      </w:tblGrid>
      <w:tr w:rsidR="00B156AA" w:rsidRPr="00183E4D" w:rsidDel="00A134DA" w14:paraId="12294199" w14:textId="77777777" w:rsidTr="00DD6B45">
        <w:trPr>
          <w:tblHeader/>
        </w:trPr>
        <w:tc>
          <w:tcPr>
            <w:tcW w:w="5000" w:type="pct"/>
          </w:tcPr>
          <w:p w14:paraId="2802E573" w14:textId="77777777" w:rsidR="00B156AA" w:rsidRPr="00183E4D" w:rsidDel="00A134DA" w:rsidRDefault="00B156AA" w:rsidP="00B156AA">
            <w:pPr>
              <w:pStyle w:val="Tabletext0"/>
              <w:keepLines/>
            </w:pPr>
            <w:r w:rsidRPr="0088322E" w:rsidDel="00A134DA">
              <w:t xml:space="preserve">Category </w:t>
            </w:r>
            <w:r w:rsidRPr="0088322E">
              <w:t>3</w:t>
            </w:r>
            <w:r w:rsidRPr="0088322E" w:rsidDel="00A134DA">
              <w:t xml:space="preserve"> – </w:t>
            </w:r>
            <w:r w:rsidRPr="0088322E">
              <w:t>Therapeutic procedures</w:t>
            </w:r>
          </w:p>
        </w:tc>
      </w:tr>
      <w:tr w:rsidR="00B156AA" w:rsidRPr="00183E4D" w:rsidDel="00A134DA" w14:paraId="160DB064" w14:textId="77777777" w:rsidTr="00DD6B45">
        <w:tc>
          <w:tcPr>
            <w:tcW w:w="5000" w:type="pct"/>
          </w:tcPr>
          <w:p w14:paraId="7AD3EE40" w14:textId="1E1E39C7" w:rsidR="00B156AA" w:rsidRDefault="00B156AA" w:rsidP="00B044E4">
            <w:pPr>
              <w:pStyle w:val="Tabletext0"/>
              <w:keepLines/>
              <w:spacing w:after="240"/>
            </w:pPr>
            <w:r>
              <w:t>Item no. XXXX2</w:t>
            </w:r>
          </w:p>
          <w:p w14:paraId="46182A0B" w14:textId="123B5D85" w:rsidR="00B156AA" w:rsidRDefault="00B156AA" w:rsidP="00B044E4">
            <w:pPr>
              <w:pStyle w:val="Tabletext0"/>
              <w:keepLines/>
              <w:spacing w:after="240"/>
            </w:pPr>
            <w:r>
              <w:t>IGB removal to which item XXXX1 applies</w:t>
            </w:r>
          </w:p>
          <w:p w14:paraId="2811BA6B" w14:textId="77777777" w:rsidR="00B156AA" w:rsidRDefault="00B156AA" w:rsidP="00B156AA">
            <w:pPr>
              <w:pStyle w:val="Tabletext0"/>
              <w:keepLines/>
            </w:pPr>
            <w:r>
              <w:t>Multiple Services Rule</w:t>
            </w:r>
          </w:p>
          <w:p w14:paraId="4B296D38" w14:textId="77777777" w:rsidR="00B156AA" w:rsidRDefault="00B156AA" w:rsidP="00B156AA">
            <w:pPr>
              <w:pStyle w:val="Tabletext0"/>
              <w:keepLines/>
            </w:pPr>
            <w:r>
              <w:t>(</w:t>
            </w:r>
            <w:proofErr w:type="spellStart"/>
            <w:r>
              <w:t>Anaes</w:t>
            </w:r>
            <w:proofErr w:type="spellEnd"/>
            <w:r>
              <w:t>.) (Assist)</w:t>
            </w:r>
          </w:p>
          <w:p w14:paraId="02D430B6" w14:textId="7CEADDAF" w:rsidR="00B156AA" w:rsidRDefault="00B156AA" w:rsidP="00B044E4">
            <w:pPr>
              <w:pStyle w:val="Tabletext0"/>
              <w:keepLines/>
              <w:spacing w:after="240"/>
            </w:pPr>
            <w:r>
              <w:t>(See para T8.30 of explanatory notes to this Category)</w:t>
            </w:r>
          </w:p>
          <w:p w14:paraId="215D5EE1" w14:textId="60E6E723" w:rsidR="00B156AA" w:rsidRPr="00183E4D" w:rsidDel="00A134DA" w:rsidRDefault="00B156AA" w:rsidP="00117124">
            <w:pPr>
              <w:pStyle w:val="Tabletext0"/>
              <w:keepLines/>
            </w:pPr>
            <w:r>
              <w:t>Fee: $</w:t>
            </w:r>
            <w:r w:rsidR="00117124" w:rsidRPr="00517AD6">
              <w:rPr>
                <w:b/>
              </w:rPr>
              <w:t>redacted</w:t>
            </w:r>
            <w:r w:rsidR="00517AD6">
              <w:t xml:space="preserve"> </w:t>
            </w:r>
            <w:r>
              <w:t>Benefit: Mostly 85% (with EMSN considerations), and 75% likely to be needed</w:t>
            </w:r>
          </w:p>
        </w:tc>
      </w:tr>
    </w:tbl>
    <w:p w14:paraId="26349DDC" w14:textId="77777777" w:rsidR="00B156AA" w:rsidRPr="00E92A8A" w:rsidRDefault="00B156AA" w:rsidP="000C0EBC">
      <w:pPr>
        <w:pStyle w:val="TFAbbrevs18"/>
        <w:keepNext w:val="0"/>
        <w:spacing w:after="240"/>
      </w:pPr>
      <w:r w:rsidRPr="007D18B2">
        <w:t>Abbreviations:</w:t>
      </w:r>
      <w:r>
        <w:t xml:space="preserve"> EMSN, extended Medicare safety net;</w:t>
      </w:r>
      <w:r w:rsidRPr="007D18B2">
        <w:t xml:space="preserve"> IGB, intragastric balloon</w:t>
      </w:r>
    </w:p>
    <w:p w14:paraId="4B98B6DF"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3CAC5A76" w14:textId="760D9DAE" w:rsidR="00B156AA" w:rsidRDefault="00B156AA" w:rsidP="00B156AA">
      <w:r>
        <w:t xml:space="preserve">The Department received 11 responses from targeted consultations on this application, of which six were supportive and five were not. </w:t>
      </w:r>
      <w:r w:rsidR="007E7505" w:rsidRPr="00C8425A">
        <w:t xml:space="preserve">A key theme </w:t>
      </w:r>
      <w:r w:rsidR="007E7505">
        <w:t>was</w:t>
      </w:r>
      <w:r w:rsidR="007E7505" w:rsidRPr="00C8425A">
        <w:t xml:space="preserve"> the importance of </w:t>
      </w:r>
      <w:r w:rsidR="007E7505">
        <w:t xml:space="preserve">a </w:t>
      </w:r>
      <w:r w:rsidR="007E7505" w:rsidRPr="00C8425A">
        <w:t>counselling/support program following the procedure.</w:t>
      </w:r>
    </w:p>
    <w:p w14:paraId="3B17255A" w14:textId="77777777" w:rsidR="00BC1364" w:rsidRPr="00F715D1" w:rsidRDefault="00BC1364" w:rsidP="00F715D1">
      <w:pPr>
        <w:pStyle w:val="Heading1"/>
      </w:pPr>
      <w:r w:rsidRPr="00F715D1">
        <w:t>Proposed intervention’s place in clinical management</w:t>
      </w:r>
    </w:p>
    <w:p w14:paraId="73106325" w14:textId="563CBA3D" w:rsidR="00B156AA" w:rsidRDefault="00B156AA" w:rsidP="00B044E4">
      <w:pPr>
        <w:spacing w:after="240"/>
      </w:pPr>
      <w:r>
        <w:t>The current and proposed clinical management algorithms are presented in Figure 1 and Figure 2, respectively. The algorithm is based on the current Australian Obesity Management Algorithm developed by a working group with representatives from the Australian Diabetes Society, the Australian and New Zealand Obesity Society and Obesity Surgery Society of Australia and New Zealand. First-line treatment is lifestyle interventions (diet, exercise and behavioural modification), with or without pharmacotherapy. In patients unable to achieve target weight loss despite lifestyle intervention and pharmacotherapy, bariatric surgery may be considered. However, patients in the 30 to 34.9 kg/m</w:t>
      </w:r>
      <w:r>
        <w:rPr>
          <w:vertAlign w:val="superscript"/>
        </w:rPr>
        <w:t>2</w:t>
      </w:r>
      <w:r>
        <w:t xml:space="preserve"> BMI group are currently not eligible for reimbursement through the MBS if th</w:t>
      </w:r>
      <w:r w:rsidR="00B044E4">
        <w:t>ey elect for bariatric surgery.</w:t>
      </w:r>
    </w:p>
    <w:p w14:paraId="7EFA624E" w14:textId="1D27E6E7" w:rsidR="00B156AA" w:rsidRDefault="00B156AA" w:rsidP="00B156AA">
      <w:r>
        <w:t>It is proposed that IGB may be an option for patients in the 30 to 34.9 kg/m</w:t>
      </w:r>
      <w:r>
        <w:rPr>
          <w:vertAlign w:val="superscript"/>
        </w:rPr>
        <w:t>2</w:t>
      </w:r>
      <w:r>
        <w:t xml:space="preserve"> BMI group following previous failed weight loss attempts with lifestyle interventions or lifestyle and pharmacotherapy (i.e. IGB will be used in addition to lifestyle intervention).</w:t>
      </w:r>
    </w:p>
    <w:p w14:paraId="669A3688" w14:textId="77777777" w:rsidR="00B156AA" w:rsidRPr="00DD6B45" w:rsidRDefault="00B156AA" w:rsidP="00362445">
      <w:pPr>
        <w:keepNext/>
        <w:keepLines/>
        <w:spacing w:after="240"/>
        <w:rPr>
          <w:rFonts w:ascii="Arial Narrow" w:hAnsi="Arial Narrow"/>
          <w:b/>
          <w:sz w:val="20"/>
        </w:rPr>
      </w:pPr>
      <w:bookmarkStart w:id="4" w:name="_Ref533166252"/>
      <w:bookmarkStart w:id="5" w:name="_Toc1372058"/>
      <w:r w:rsidRPr="00DD6B45">
        <w:rPr>
          <w:rFonts w:ascii="Arial Narrow" w:hAnsi="Arial Narrow"/>
          <w:b/>
          <w:sz w:val="20"/>
        </w:rPr>
        <w:lastRenderedPageBreak/>
        <w:t xml:space="preserve">Figure </w:t>
      </w:r>
      <w:bookmarkEnd w:id="4"/>
      <w:r w:rsidRPr="00DD6B45">
        <w:rPr>
          <w:rFonts w:ascii="Arial Narrow" w:hAnsi="Arial Narrow"/>
          <w:b/>
          <w:sz w:val="20"/>
        </w:rPr>
        <w:t>1</w:t>
      </w:r>
      <w:r w:rsidRPr="00DD6B45">
        <w:rPr>
          <w:rFonts w:ascii="Arial Narrow" w:hAnsi="Arial Narrow"/>
          <w:b/>
          <w:sz w:val="20"/>
        </w:rPr>
        <w:tab/>
        <w:t>Current clinical management algorithm for the treatment and management of obesity</w:t>
      </w:r>
      <w:bookmarkEnd w:id="5"/>
    </w:p>
    <w:p w14:paraId="452AE456" w14:textId="77777777" w:rsidR="00B156AA" w:rsidRDefault="00B156AA" w:rsidP="00DD6B45">
      <w:pPr>
        <w:keepNext/>
        <w:keepLines/>
      </w:pPr>
      <w:r w:rsidRPr="00184210">
        <w:rPr>
          <w:noProof/>
        </w:rPr>
        <w:drawing>
          <wp:inline distT="0" distB="0" distL="0" distR="0" wp14:anchorId="2A948F36" wp14:editId="2046E548">
            <wp:extent cx="5729605" cy="5456255"/>
            <wp:effectExtent l="0" t="0" r="0" b="0"/>
            <wp:docPr id="413" name="Picture 413" descr="The current clinical management algorithm for the treatment and management of obesity As suggested by the Australian and New Zealand Obesity Society and Australian Diabete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576" cy="5457180"/>
                    </a:xfrm>
                    <a:prstGeom prst="rect">
                      <a:avLst/>
                    </a:prstGeom>
                    <a:noFill/>
                    <a:ln>
                      <a:noFill/>
                    </a:ln>
                  </pic:spPr>
                </pic:pic>
              </a:graphicData>
            </a:graphic>
          </wp:inline>
        </w:drawing>
      </w:r>
    </w:p>
    <w:p w14:paraId="1986846C" w14:textId="77777777" w:rsidR="00B156AA" w:rsidRDefault="00B156AA" w:rsidP="00B156AA">
      <w:pPr>
        <w:pStyle w:val="TFAbbrevs18"/>
      </w:pPr>
      <w:r>
        <w:t>Source: 1515 PICO Confirmation p15</w:t>
      </w:r>
    </w:p>
    <w:p w14:paraId="5892DA28" w14:textId="77777777" w:rsidR="00B156AA" w:rsidRDefault="00B156AA" w:rsidP="00B156AA">
      <w:pPr>
        <w:pStyle w:val="TFAbbrevs18"/>
      </w:pPr>
      <w:r>
        <w:t xml:space="preserve">Abbreviations: BMI, body mass index, T2DM, type 2 diabetes mellitus </w:t>
      </w:r>
    </w:p>
    <w:p w14:paraId="14C80FD8" w14:textId="77777777" w:rsidR="00B156AA" w:rsidRPr="002028E1" w:rsidRDefault="00B156AA" w:rsidP="00B156AA">
      <w:pPr>
        <w:pStyle w:val="TFAbbrevs18"/>
      </w:pPr>
      <w:proofErr w:type="spellStart"/>
      <w:proofErr w:type="gramStart"/>
      <w:r w:rsidRPr="00DF54D6">
        <w:rPr>
          <w:vertAlign w:val="superscript"/>
        </w:rPr>
        <w:t>a</w:t>
      </w:r>
      <w:proofErr w:type="spellEnd"/>
      <w:proofErr w:type="gramEnd"/>
      <w:r>
        <w:rPr>
          <w:vertAlign w:val="superscript"/>
        </w:rPr>
        <w:t xml:space="preserve"> </w:t>
      </w:r>
      <w:r w:rsidRPr="00DF54D6">
        <w:t>Other</w:t>
      </w:r>
      <w:r>
        <w:t xml:space="preserve"> c</w:t>
      </w:r>
      <w:r w:rsidRPr="002028E1">
        <w:t>omorbidities may include cardiovascular disease, hypertension, dyslipidaemia, kidney disease, sleep apnoea, osteoarthritis, and specific cancers.</w:t>
      </w:r>
    </w:p>
    <w:p w14:paraId="5A1486BE" w14:textId="77777777" w:rsidR="00B156AA" w:rsidRPr="009C270A" w:rsidRDefault="00B156AA" w:rsidP="00B156AA">
      <w:pPr>
        <w:pStyle w:val="TFAbbrevs18"/>
        <w:rPr>
          <w:szCs w:val="16"/>
        </w:rPr>
      </w:pPr>
      <w:proofErr w:type="gramStart"/>
      <w:r>
        <w:rPr>
          <w:szCs w:val="16"/>
          <w:vertAlign w:val="superscript"/>
        </w:rPr>
        <w:t>b</w:t>
      </w:r>
      <w:proofErr w:type="gramEnd"/>
      <w:r w:rsidRPr="009C270A">
        <w:rPr>
          <w:szCs w:val="16"/>
        </w:rPr>
        <w:t xml:space="preserve"> </w:t>
      </w:r>
      <w:r>
        <w:rPr>
          <w:szCs w:val="16"/>
        </w:rPr>
        <w:t xml:space="preserve">As suggested by the </w:t>
      </w:r>
      <w:r w:rsidRPr="00B76D0D">
        <w:rPr>
          <w:szCs w:val="16"/>
        </w:rPr>
        <w:t>Australian and New Zealand Obesity Society and Australian Diabetes Society</w:t>
      </w:r>
      <w:r>
        <w:rPr>
          <w:szCs w:val="16"/>
        </w:rPr>
        <w:t xml:space="preserve"> </w:t>
      </w:r>
      <w:r w:rsidRPr="00B76D0D">
        <w:rPr>
          <w:szCs w:val="16"/>
        </w:rPr>
        <w:t>(</w:t>
      </w:r>
      <w:r>
        <w:rPr>
          <w:szCs w:val="16"/>
        </w:rPr>
        <w:t>2016)</w:t>
      </w:r>
      <w:r w:rsidRPr="009C270A">
        <w:rPr>
          <w:szCs w:val="16"/>
        </w:rPr>
        <w:t xml:space="preserve"> </w:t>
      </w:r>
    </w:p>
    <w:p w14:paraId="6082067B" w14:textId="77777777" w:rsidR="00B156AA" w:rsidRPr="009C270A" w:rsidRDefault="00B156AA" w:rsidP="00B156AA">
      <w:pPr>
        <w:pStyle w:val="TFAbbrevs18"/>
        <w:rPr>
          <w:szCs w:val="16"/>
        </w:rPr>
      </w:pPr>
      <w:proofErr w:type="gramStart"/>
      <w:r>
        <w:rPr>
          <w:szCs w:val="16"/>
          <w:vertAlign w:val="superscript"/>
        </w:rPr>
        <w:t>c</w:t>
      </w:r>
      <w:proofErr w:type="gramEnd"/>
      <w:r w:rsidRPr="009C270A">
        <w:rPr>
          <w:szCs w:val="16"/>
        </w:rPr>
        <w:t xml:space="preserve"> Diet may include reduced energy diet, low</w:t>
      </w:r>
      <w:r>
        <w:rPr>
          <w:szCs w:val="16"/>
        </w:rPr>
        <w:t>-</w:t>
      </w:r>
      <w:r w:rsidRPr="009C270A">
        <w:rPr>
          <w:szCs w:val="16"/>
        </w:rPr>
        <w:t xml:space="preserve">energy diet, </w:t>
      </w:r>
      <w:r>
        <w:rPr>
          <w:szCs w:val="16"/>
        </w:rPr>
        <w:t>VLED.</w:t>
      </w:r>
    </w:p>
    <w:p w14:paraId="773F8641" w14:textId="3D20E48B" w:rsidR="00B156AA" w:rsidRPr="009C270A" w:rsidRDefault="00B156AA" w:rsidP="00B156AA">
      <w:pPr>
        <w:pStyle w:val="TFAbbrevs18"/>
        <w:rPr>
          <w:szCs w:val="16"/>
        </w:rPr>
      </w:pPr>
      <w:proofErr w:type="gramStart"/>
      <w:r>
        <w:rPr>
          <w:szCs w:val="16"/>
          <w:vertAlign w:val="superscript"/>
        </w:rPr>
        <w:t>d</w:t>
      </w:r>
      <w:proofErr w:type="gramEnd"/>
      <w:r w:rsidRPr="009C270A">
        <w:rPr>
          <w:szCs w:val="16"/>
        </w:rPr>
        <w:t xml:space="preserve"> Drugs currently registered in the TGA for the treatment of obesity are </w:t>
      </w:r>
      <w:r w:rsidRPr="00C9541E">
        <w:rPr>
          <w:szCs w:val="16"/>
        </w:rPr>
        <w:t>Phentermine (</w:t>
      </w:r>
      <w:proofErr w:type="spellStart"/>
      <w:r w:rsidRPr="00C9541E">
        <w:rPr>
          <w:szCs w:val="16"/>
        </w:rPr>
        <w:t>Duromine</w:t>
      </w:r>
      <w:proofErr w:type="spellEnd"/>
      <w:r w:rsidRPr="00C9541E">
        <w:rPr>
          <w:szCs w:val="16"/>
        </w:rPr>
        <w:t xml:space="preserve">® and </w:t>
      </w:r>
      <w:proofErr w:type="spellStart"/>
      <w:r w:rsidRPr="00C9541E">
        <w:rPr>
          <w:szCs w:val="16"/>
        </w:rPr>
        <w:t>Metermine</w:t>
      </w:r>
      <w:proofErr w:type="spellEnd"/>
      <w:r w:rsidRPr="00C9541E">
        <w:rPr>
          <w:szCs w:val="16"/>
        </w:rPr>
        <w:t xml:space="preserve">®), </w:t>
      </w:r>
      <w:proofErr w:type="spellStart"/>
      <w:r w:rsidRPr="00C9541E">
        <w:rPr>
          <w:szCs w:val="16"/>
        </w:rPr>
        <w:t>Orlistat</w:t>
      </w:r>
      <w:proofErr w:type="spellEnd"/>
      <w:r w:rsidRPr="00C9541E">
        <w:rPr>
          <w:szCs w:val="16"/>
        </w:rPr>
        <w:t xml:space="preserve"> (Xenical®) and </w:t>
      </w:r>
      <w:proofErr w:type="spellStart"/>
      <w:r w:rsidRPr="00C9541E">
        <w:rPr>
          <w:szCs w:val="16"/>
        </w:rPr>
        <w:t>Liraglutide</w:t>
      </w:r>
      <w:proofErr w:type="spellEnd"/>
      <w:r w:rsidRPr="00C9541E">
        <w:rPr>
          <w:szCs w:val="16"/>
        </w:rPr>
        <w:t xml:space="preserve"> (</w:t>
      </w:r>
      <w:proofErr w:type="spellStart"/>
      <w:r w:rsidRPr="00C9541E">
        <w:rPr>
          <w:szCs w:val="16"/>
        </w:rPr>
        <w:t>Saxenda</w:t>
      </w:r>
      <w:proofErr w:type="spellEnd"/>
      <w:r w:rsidRPr="00C9541E">
        <w:rPr>
          <w:szCs w:val="16"/>
        </w:rPr>
        <w:t>®)</w:t>
      </w:r>
      <w:r>
        <w:rPr>
          <w:szCs w:val="16"/>
        </w:rPr>
        <w:t xml:space="preserve">. </w:t>
      </w:r>
      <w:r w:rsidRPr="002957BB">
        <w:rPr>
          <w:szCs w:val="16"/>
        </w:rPr>
        <w:t>Out of them</w:t>
      </w:r>
      <w:r>
        <w:rPr>
          <w:szCs w:val="16"/>
        </w:rPr>
        <w:t>,</w:t>
      </w:r>
      <w:r w:rsidRPr="002957BB">
        <w:rPr>
          <w:szCs w:val="16"/>
        </w:rPr>
        <w:t xml:space="preserve"> only </w:t>
      </w:r>
      <w:proofErr w:type="spellStart"/>
      <w:r w:rsidRPr="002957BB">
        <w:rPr>
          <w:szCs w:val="16"/>
        </w:rPr>
        <w:t>Orlistat</w:t>
      </w:r>
      <w:proofErr w:type="spellEnd"/>
      <w:r w:rsidRPr="002957BB">
        <w:rPr>
          <w:szCs w:val="16"/>
        </w:rPr>
        <w:t xml:space="preserve"> (Xenical®) is supported by PBS.</w:t>
      </w:r>
      <w:r>
        <w:rPr>
          <w:szCs w:val="16"/>
        </w:rPr>
        <w:t xml:space="preserve"> Drugs</w:t>
      </w:r>
      <w:r w:rsidRPr="00ED2C6A">
        <w:rPr>
          <w:szCs w:val="16"/>
        </w:rPr>
        <w:t xml:space="preserve"> options available </w:t>
      </w:r>
      <w:r>
        <w:rPr>
          <w:szCs w:val="16"/>
        </w:rPr>
        <w:t>for</w:t>
      </w:r>
      <w:r w:rsidRPr="00ED2C6A">
        <w:rPr>
          <w:szCs w:val="16"/>
        </w:rPr>
        <w:t xml:space="preserve"> the management of T2DM</w:t>
      </w:r>
      <w:r>
        <w:rPr>
          <w:szCs w:val="16"/>
        </w:rPr>
        <w:t xml:space="preserve"> </w:t>
      </w:r>
      <w:r w:rsidRPr="00ED2C6A">
        <w:rPr>
          <w:szCs w:val="16"/>
        </w:rPr>
        <w:t>w</w:t>
      </w:r>
      <w:r>
        <w:rPr>
          <w:szCs w:val="16"/>
        </w:rPr>
        <w:t>ere</w:t>
      </w:r>
      <w:r w:rsidR="003D74B9">
        <w:rPr>
          <w:szCs w:val="16"/>
        </w:rPr>
        <w:t xml:space="preserve"> noted in Figure 3.</w:t>
      </w:r>
    </w:p>
    <w:p w14:paraId="5B0E6931" w14:textId="77777777" w:rsidR="00B156AA" w:rsidRDefault="00B156AA" w:rsidP="00B156AA">
      <w:pPr>
        <w:pStyle w:val="TFAbbrevs18"/>
        <w:rPr>
          <w:szCs w:val="16"/>
        </w:rPr>
      </w:pPr>
      <w:proofErr w:type="gramStart"/>
      <w:r>
        <w:rPr>
          <w:szCs w:val="16"/>
          <w:vertAlign w:val="superscript"/>
        </w:rPr>
        <w:t>e</w:t>
      </w:r>
      <w:proofErr w:type="gramEnd"/>
      <w:r w:rsidRPr="009C270A">
        <w:rPr>
          <w:szCs w:val="16"/>
        </w:rPr>
        <w:t xml:space="preserve"> Australian Guidelines recommend considering bariatric surger</w:t>
      </w:r>
      <w:r>
        <w:rPr>
          <w:szCs w:val="16"/>
        </w:rPr>
        <w:t>y</w:t>
      </w:r>
      <w:r w:rsidRPr="009C270A">
        <w:rPr>
          <w:szCs w:val="16"/>
        </w:rPr>
        <w:t xml:space="preserve"> </w:t>
      </w:r>
      <w:r>
        <w:rPr>
          <w:szCs w:val="16"/>
        </w:rPr>
        <w:t>in the proposed IGB population. However</w:t>
      </w:r>
      <w:r w:rsidRPr="009C270A">
        <w:rPr>
          <w:szCs w:val="16"/>
        </w:rPr>
        <w:t>, currently</w:t>
      </w:r>
      <w:r>
        <w:rPr>
          <w:szCs w:val="16"/>
        </w:rPr>
        <w:t>,</w:t>
      </w:r>
      <w:r w:rsidRPr="009C270A">
        <w:rPr>
          <w:szCs w:val="16"/>
        </w:rPr>
        <w:t xml:space="preserve"> </w:t>
      </w:r>
      <w:r>
        <w:rPr>
          <w:szCs w:val="16"/>
        </w:rPr>
        <w:t xml:space="preserve">Medicare does not reimburse for </w:t>
      </w:r>
      <w:r w:rsidRPr="009C270A">
        <w:rPr>
          <w:szCs w:val="16"/>
        </w:rPr>
        <w:t xml:space="preserve">bariatric surgery </w:t>
      </w:r>
      <w:r>
        <w:rPr>
          <w:szCs w:val="16"/>
        </w:rPr>
        <w:t>in</w:t>
      </w:r>
      <w:r w:rsidRPr="009C270A">
        <w:rPr>
          <w:szCs w:val="16"/>
        </w:rPr>
        <w:t xml:space="preserve"> patients with BMI </w:t>
      </w:r>
      <w:r w:rsidRPr="00E77D8D">
        <w:rPr>
          <w:szCs w:val="16"/>
        </w:rPr>
        <w:t>30.0–34.9</w:t>
      </w:r>
      <w:r w:rsidRPr="009C270A">
        <w:rPr>
          <w:szCs w:val="16"/>
        </w:rPr>
        <w:t xml:space="preserve"> Kg/m</w:t>
      </w:r>
      <w:r w:rsidRPr="0078512B">
        <w:rPr>
          <w:szCs w:val="16"/>
          <w:vertAlign w:val="superscript"/>
        </w:rPr>
        <w:t>2</w:t>
      </w:r>
      <w:r w:rsidRPr="009C270A">
        <w:rPr>
          <w:szCs w:val="16"/>
        </w:rPr>
        <w:t>.</w:t>
      </w:r>
    </w:p>
    <w:p w14:paraId="52E66720" w14:textId="77777777" w:rsidR="00B156AA" w:rsidRDefault="00B156AA" w:rsidP="00B156AA">
      <w:pPr>
        <w:pStyle w:val="TFAbbrevs18"/>
        <w:rPr>
          <w:szCs w:val="16"/>
        </w:rPr>
      </w:pPr>
      <w:proofErr w:type="gramStart"/>
      <w:r>
        <w:rPr>
          <w:szCs w:val="16"/>
          <w:vertAlign w:val="superscript"/>
        </w:rPr>
        <w:t>f</w:t>
      </w:r>
      <w:proofErr w:type="gramEnd"/>
      <w:r>
        <w:rPr>
          <w:szCs w:val="16"/>
        </w:rPr>
        <w:t xml:space="preserve"> </w:t>
      </w:r>
      <w:r w:rsidRPr="00520207">
        <w:rPr>
          <w:szCs w:val="16"/>
        </w:rPr>
        <w:t>Currently</w:t>
      </w:r>
      <w:r>
        <w:rPr>
          <w:szCs w:val="16"/>
        </w:rPr>
        <w:t xml:space="preserve"> most of these patie</w:t>
      </w:r>
      <w:bookmarkStart w:id="6" w:name="_GoBack"/>
      <w:bookmarkEnd w:id="6"/>
      <w:r>
        <w:rPr>
          <w:szCs w:val="16"/>
        </w:rPr>
        <w:t>nts</w:t>
      </w:r>
      <w:r w:rsidRPr="00520207">
        <w:rPr>
          <w:szCs w:val="16"/>
        </w:rPr>
        <w:t xml:space="preserve"> continue to cycle through diet</w:t>
      </w:r>
      <w:r>
        <w:rPr>
          <w:szCs w:val="16"/>
        </w:rPr>
        <w:t xml:space="preserve">, </w:t>
      </w:r>
      <w:r w:rsidRPr="00520207">
        <w:rPr>
          <w:szCs w:val="16"/>
        </w:rPr>
        <w:t>exercise</w:t>
      </w:r>
      <w:r>
        <w:rPr>
          <w:szCs w:val="16"/>
        </w:rPr>
        <w:t>, behavioural modifications</w:t>
      </w:r>
      <w:r w:rsidRPr="00520207">
        <w:rPr>
          <w:szCs w:val="16"/>
        </w:rPr>
        <w:t xml:space="preserve"> and pharmacotherapy option</w:t>
      </w:r>
      <w:r>
        <w:rPr>
          <w:szCs w:val="16"/>
        </w:rPr>
        <w:t>s</w:t>
      </w:r>
      <w:r w:rsidRPr="00520207">
        <w:rPr>
          <w:szCs w:val="16"/>
        </w:rPr>
        <w:t xml:space="preserve"> or give up trying to lose weight</w:t>
      </w:r>
      <w:r>
        <w:rPr>
          <w:szCs w:val="16"/>
        </w:rPr>
        <w:t xml:space="preserve"> eventually</w:t>
      </w:r>
      <w:r w:rsidRPr="00520207">
        <w:rPr>
          <w:szCs w:val="16"/>
        </w:rPr>
        <w:t>.</w:t>
      </w:r>
    </w:p>
    <w:p w14:paraId="6C0F06CC" w14:textId="77777777" w:rsidR="00B156AA" w:rsidRDefault="00B156AA" w:rsidP="00B156AA">
      <w:pPr>
        <w:pStyle w:val="TFAbbrevs18"/>
        <w:rPr>
          <w:szCs w:val="16"/>
        </w:rPr>
      </w:pPr>
      <w:proofErr w:type="gramStart"/>
      <w:r>
        <w:rPr>
          <w:szCs w:val="16"/>
          <w:vertAlign w:val="superscript"/>
        </w:rPr>
        <w:t>g</w:t>
      </w:r>
      <w:proofErr w:type="gramEnd"/>
      <w:r>
        <w:rPr>
          <w:szCs w:val="16"/>
        </w:rPr>
        <w:t xml:space="preserve"> For example, d</w:t>
      </w:r>
      <w:r w:rsidRPr="0075071C">
        <w:rPr>
          <w:szCs w:val="16"/>
        </w:rPr>
        <w:t xml:space="preserve">iabetes remission </w:t>
      </w:r>
      <w:r>
        <w:rPr>
          <w:szCs w:val="16"/>
        </w:rPr>
        <w:t xml:space="preserve">is </w:t>
      </w:r>
      <w:r w:rsidRPr="0075071C">
        <w:rPr>
          <w:szCs w:val="16"/>
        </w:rPr>
        <w:t>measured by HbA1c</w:t>
      </w:r>
      <w:r>
        <w:rPr>
          <w:szCs w:val="16"/>
        </w:rPr>
        <w:t xml:space="preserve"> (&lt;7.0%)</w:t>
      </w:r>
      <w:r w:rsidRPr="0075071C">
        <w:rPr>
          <w:szCs w:val="16"/>
        </w:rPr>
        <w:t xml:space="preserve"> or fasting plasma glucose level</w:t>
      </w:r>
      <w:r>
        <w:rPr>
          <w:szCs w:val="16"/>
        </w:rPr>
        <w:t xml:space="preserve"> (&lt;7mmol/L) off antidiabetic medication for a specified minimum period, and T2DM</w:t>
      </w:r>
      <w:r w:rsidRPr="0075071C">
        <w:rPr>
          <w:szCs w:val="16"/>
        </w:rPr>
        <w:t xml:space="preserve"> control</w:t>
      </w:r>
      <w:r>
        <w:rPr>
          <w:szCs w:val="16"/>
        </w:rPr>
        <w:t xml:space="preserve"> is suggested </w:t>
      </w:r>
      <w:r w:rsidRPr="0075071C">
        <w:rPr>
          <w:szCs w:val="16"/>
        </w:rPr>
        <w:t>by a reduction</w:t>
      </w:r>
      <w:r>
        <w:rPr>
          <w:szCs w:val="16"/>
        </w:rPr>
        <w:t xml:space="preserve"> of ≥0.5% HbA1c in three months</w:t>
      </w:r>
      <w:r w:rsidRPr="0075071C">
        <w:rPr>
          <w:szCs w:val="16"/>
        </w:rPr>
        <w:t>.</w:t>
      </w:r>
    </w:p>
    <w:p w14:paraId="1784A797" w14:textId="77777777" w:rsidR="00B156AA" w:rsidRDefault="00B156AA" w:rsidP="00B156AA">
      <w:pPr>
        <w:pStyle w:val="TFAbbrevs18"/>
        <w:rPr>
          <w:szCs w:val="16"/>
        </w:rPr>
        <w:sectPr w:rsidR="00B156AA" w:rsidSect="00B156AA">
          <w:headerReference w:type="even" r:id="rId11"/>
          <w:headerReference w:type="default" r:id="rId12"/>
          <w:footerReference w:type="even" r:id="rId13"/>
          <w:footerReference w:type="default" r:id="rId14"/>
          <w:headerReference w:type="first" r:id="rId15"/>
          <w:footerReference w:type="first" r:id="rId16"/>
          <w:pgSz w:w="11906" w:h="16838"/>
          <w:pgMar w:top="1135" w:right="1440" w:bottom="1134" w:left="1440" w:header="708" w:footer="708" w:gutter="0"/>
          <w:cols w:space="708"/>
          <w:docGrid w:linePitch="360"/>
        </w:sectPr>
      </w:pPr>
      <w:r>
        <w:rPr>
          <w:szCs w:val="16"/>
        </w:rPr>
        <w:t>Note, Dieticians, clinical p</w:t>
      </w:r>
      <w:r w:rsidRPr="00E67980">
        <w:rPr>
          <w:szCs w:val="16"/>
        </w:rPr>
        <w:t>s</w:t>
      </w:r>
      <w:r>
        <w:rPr>
          <w:szCs w:val="16"/>
        </w:rPr>
        <w:t>ychologists, general p</w:t>
      </w:r>
      <w:r w:rsidRPr="00E67980">
        <w:rPr>
          <w:szCs w:val="16"/>
        </w:rPr>
        <w:t>ractitioner</w:t>
      </w:r>
      <w:r>
        <w:rPr>
          <w:szCs w:val="16"/>
        </w:rPr>
        <w:t>s, physiotherapists, surgeons, g</w:t>
      </w:r>
      <w:r w:rsidRPr="00E67980">
        <w:rPr>
          <w:szCs w:val="16"/>
        </w:rPr>
        <w:t>astroenterologists</w:t>
      </w:r>
      <w:r>
        <w:rPr>
          <w:szCs w:val="16"/>
        </w:rPr>
        <w:t>, endocrinologists and n</w:t>
      </w:r>
      <w:r w:rsidRPr="00E67980">
        <w:rPr>
          <w:szCs w:val="16"/>
        </w:rPr>
        <w:t xml:space="preserve">urses play an </w:t>
      </w:r>
      <w:r>
        <w:rPr>
          <w:szCs w:val="16"/>
        </w:rPr>
        <w:t>essential</w:t>
      </w:r>
      <w:r w:rsidRPr="00E67980">
        <w:rPr>
          <w:szCs w:val="16"/>
        </w:rPr>
        <w:t xml:space="preserve"> role as a multidisciplinary team.</w:t>
      </w:r>
    </w:p>
    <w:p w14:paraId="571DF97C" w14:textId="1408DDB1" w:rsidR="00B156AA" w:rsidRPr="00DD6B45" w:rsidRDefault="00B156AA" w:rsidP="00DD6B45">
      <w:pPr>
        <w:spacing w:after="240"/>
        <w:rPr>
          <w:rFonts w:ascii="Arial Narrow" w:hAnsi="Arial Narrow"/>
          <w:b/>
          <w:sz w:val="20"/>
        </w:rPr>
      </w:pPr>
      <w:bookmarkStart w:id="7" w:name="_Ref379455005"/>
      <w:bookmarkStart w:id="8" w:name="_Toc1372059"/>
      <w:bookmarkStart w:id="9" w:name="_Ref379454995"/>
      <w:bookmarkStart w:id="10" w:name="_Toc381969891"/>
      <w:r w:rsidRPr="00DD6B45">
        <w:rPr>
          <w:rFonts w:ascii="Arial Narrow" w:hAnsi="Arial Narrow"/>
          <w:b/>
          <w:sz w:val="20"/>
        </w:rPr>
        <w:lastRenderedPageBreak/>
        <w:t xml:space="preserve">Figure </w:t>
      </w:r>
      <w:bookmarkEnd w:id="7"/>
      <w:r w:rsidRPr="00DD6B45">
        <w:rPr>
          <w:rFonts w:ascii="Arial Narrow" w:hAnsi="Arial Narrow"/>
          <w:b/>
          <w:sz w:val="20"/>
        </w:rPr>
        <w:t>2</w:t>
      </w:r>
      <w:r w:rsidR="00DD6B45">
        <w:rPr>
          <w:rFonts w:ascii="Arial Narrow" w:hAnsi="Arial Narrow"/>
          <w:b/>
          <w:sz w:val="20"/>
        </w:rPr>
        <w:tab/>
      </w:r>
      <w:r w:rsidR="00DD6B45">
        <w:rPr>
          <w:rFonts w:ascii="Arial Narrow" w:hAnsi="Arial Narrow"/>
          <w:b/>
          <w:sz w:val="20"/>
        </w:rPr>
        <w:tab/>
      </w:r>
      <w:r w:rsidRPr="00DD6B45">
        <w:rPr>
          <w:rFonts w:ascii="Arial Narrow" w:hAnsi="Arial Narrow"/>
          <w:b/>
          <w:sz w:val="20"/>
        </w:rPr>
        <w:t>Proposed clinical management algorithm</w:t>
      </w:r>
      <w:bookmarkEnd w:id="8"/>
      <w:r w:rsidRPr="00DD6B45">
        <w:rPr>
          <w:rFonts w:ascii="Arial Narrow" w:hAnsi="Arial Narrow"/>
          <w:b/>
          <w:sz w:val="20"/>
        </w:rPr>
        <w:t xml:space="preserve"> </w:t>
      </w:r>
      <w:bookmarkEnd w:id="9"/>
      <w:bookmarkEnd w:id="10"/>
    </w:p>
    <w:p w14:paraId="33F8FBA4" w14:textId="77777777" w:rsidR="00B156AA" w:rsidRDefault="00B156AA" w:rsidP="00B156AA">
      <w:pPr>
        <w:pStyle w:val="TFAbbrevs18"/>
      </w:pPr>
      <w:r>
        <w:rPr>
          <w:noProof/>
        </w:rPr>
        <w:drawing>
          <wp:inline distT="0" distB="0" distL="0" distR="0" wp14:anchorId="5AD6CCC0" wp14:editId="7D79DA88">
            <wp:extent cx="5897880" cy="5446207"/>
            <wp:effectExtent l="0" t="0" r="7620" b="0"/>
            <wp:docPr id="1" name="Picture 1" descr="The proposed clinical management algorithm for the treatment and management of obesity As suggested by the Australian and New Zealand Obesity Society and Australian Diabetes Society. The algorithm includes IGB consideration after failed weight loss attempts and before considering bariatric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909" cy="5481324"/>
                    </a:xfrm>
                    <a:prstGeom prst="rect">
                      <a:avLst/>
                    </a:prstGeom>
                    <a:noFill/>
                  </pic:spPr>
                </pic:pic>
              </a:graphicData>
            </a:graphic>
          </wp:inline>
        </w:drawing>
      </w:r>
      <w:r w:rsidRPr="0006540C">
        <w:t xml:space="preserve">Source: </w:t>
      </w:r>
      <w:r>
        <w:t>1515 PICO Confirmation p17</w:t>
      </w:r>
    </w:p>
    <w:p w14:paraId="71DA8423" w14:textId="77777777" w:rsidR="00B156AA" w:rsidRPr="0006540C" w:rsidRDefault="00B156AA" w:rsidP="00B156AA">
      <w:pPr>
        <w:pStyle w:val="TFAbbrevs18"/>
      </w:pPr>
      <w:proofErr w:type="spellStart"/>
      <w:proofErr w:type="gramStart"/>
      <w:r w:rsidRPr="00E45304">
        <w:rPr>
          <w:vertAlign w:val="superscript"/>
        </w:rPr>
        <w:t>a</w:t>
      </w:r>
      <w:proofErr w:type="spellEnd"/>
      <w:proofErr w:type="gramEnd"/>
      <w:r w:rsidRPr="0006540C">
        <w:t xml:space="preserve"> Other comorbidities may include cardiovascular disease, hypertension, dyslipidaemia, kidney disease, sleep apnoea, osteoarthritis, and specific cancers.</w:t>
      </w:r>
    </w:p>
    <w:p w14:paraId="670C3071" w14:textId="77777777" w:rsidR="00B156AA" w:rsidRPr="0006540C" w:rsidRDefault="00B156AA" w:rsidP="00B156AA">
      <w:pPr>
        <w:pStyle w:val="TFAbbrevs18"/>
      </w:pPr>
      <w:proofErr w:type="gramStart"/>
      <w:r>
        <w:rPr>
          <w:vertAlign w:val="superscript"/>
        </w:rPr>
        <w:t>b</w:t>
      </w:r>
      <w:proofErr w:type="gramEnd"/>
      <w:r w:rsidRPr="0006540C">
        <w:t xml:space="preserve"> As suggested by the Australian and New Zealand Obesity Society and Australian Diabetes Society (2016)</w:t>
      </w:r>
      <w:r>
        <w:t>.</w:t>
      </w:r>
      <w:r w:rsidRPr="0006540C">
        <w:t xml:space="preserve"> </w:t>
      </w:r>
    </w:p>
    <w:p w14:paraId="59AB5776" w14:textId="77777777" w:rsidR="00B156AA" w:rsidRPr="0006540C" w:rsidRDefault="00B156AA" w:rsidP="00B156AA">
      <w:pPr>
        <w:pStyle w:val="TFAbbrevs18"/>
      </w:pPr>
      <w:proofErr w:type="gramStart"/>
      <w:r>
        <w:rPr>
          <w:vertAlign w:val="superscript"/>
        </w:rPr>
        <w:t>c</w:t>
      </w:r>
      <w:proofErr w:type="gramEnd"/>
      <w:r w:rsidRPr="0006540C">
        <w:t xml:space="preserve"> Diet may include reduced energy diet, low</w:t>
      </w:r>
      <w:r>
        <w:t>-</w:t>
      </w:r>
      <w:r w:rsidRPr="0006540C">
        <w:t>energy diet, VLED.</w:t>
      </w:r>
    </w:p>
    <w:p w14:paraId="1D471FBD" w14:textId="11037799" w:rsidR="00B156AA" w:rsidRPr="0006540C" w:rsidRDefault="00B156AA" w:rsidP="00B156AA">
      <w:pPr>
        <w:pStyle w:val="TFAbbrevs18"/>
      </w:pPr>
      <w:proofErr w:type="gramStart"/>
      <w:r>
        <w:rPr>
          <w:vertAlign w:val="superscript"/>
        </w:rPr>
        <w:t>d</w:t>
      </w:r>
      <w:proofErr w:type="gramEnd"/>
      <w:r w:rsidRPr="0006540C">
        <w:t xml:space="preserve"> Drugs currently registered in the TGA for the treatment of obesity are Phentermine (</w:t>
      </w:r>
      <w:proofErr w:type="spellStart"/>
      <w:r w:rsidRPr="0006540C">
        <w:t>Duromine</w:t>
      </w:r>
      <w:proofErr w:type="spellEnd"/>
      <w:r w:rsidRPr="0006540C">
        <w:t xml:space="preserve">® and </w:t>
      </w:r>
      <w:proofErr w:type="spellStart"/>
      <w:r w:rsidRPr="0006540C">
        <w:t>Metermine</w:t>
      </w:r>
      <w:proofErr w:type="spellEnd"/>
      <w:r w:rsidRPr="0006540C">
        <w:t xml:space="preserve">®), </w:t>
      </w:r>
      <w:proofErr w:type="spellStart"/>
      <w:r w:rsidRPr="0006540C">
        <w:t>Orlistat</w:t>
      </w:r>
      <w:proofErr w:type="spellEnd"/>
      <w:r w:rsidRPr="0006540C">
        <w:t xml:space="preserve"> (Xenical®) and </w:t>
      </w:r>
      <w:proofErr w:type="spellStart"/>
      <w:r w:rsidRPr="0006540C">
        <w:t>Liraglutide</w:t>
      </w:r>
      <w:proofErr w:type="spellEnd"/>
      <w:r w:rsidRPr="0006540C">
        <w:t xml:space="preserve"> (</w:t>
      </w:r>
      <w:proofErr w:type="spellStart"/>
      <w:r w:rsidRPr="0006540C">
        <w:t>Saxenda</w:t>
      </w:r>
      <w:proofErr w:type="spellEnd"/>
      <w:r w:rsidRPr="0006540C">
        <w:t xml:space="preserve">®). Out of them, only </w:t>
      </w:r>
      <w:proofErr w:type="spellStart"/>
      <w:r w:rsidRPr="0006540C">
        <w:t>Orlistat</w:t>
      </w:r>
      <w:proofErr w:type="spellEnd"/>
      <w:r w:rsidRPr="0006540C">
        <w:t xml:space="preserve"> (Xenical®) is supported by PBS. Drugs options available for the </w:t>
      </w:r>
      <w:r w:rsidR="00B200BE">
        <w:t>management of T2DM were noted in Figure 1 of the PICO Confirmation</w:t>
      </w:r>
      <w:r>
        <w:t xml:space="preserve">. </w:t>
      </w:r>
    </w:p>
    <w:p w14:paraId="4C994F48" w14:textId="77777777" w:rsidR="00B156AA" w:rsidRPr="0006540C" w:rsidRDefault="00B156AA" w:rsidP="00B156AA">
      <w:pPr>
        <w:pStyle w:val="TFAbbrevs18"/>
      </w:pPr>
      <w:proofErr w:type="gramStart"/>
      <w:r>
        <w:rPr>
          <w:vertAlign w:val="superscript"/>
        </w:rPr>
        <w:t>e</w:t>
      </w:r>
      <w:proofErr w:type="gramEnd"/>
      <w:r w:rsidRPr="0006540C">
        <w:t xml:space="preserve"> Australian Guidelines recommend considering bariatric surgery for these patients. However, currently, Medicare does not reimburse for bariatric surgery in patients with BMI 30.0–34.9 Kg/m</w:t>
      </w:r>
      <w:r w:rsidRPr="0006540C">
        <w:rPr>
          <w:vertAlign w:val="superscript"/>
        </w:rPr>
        <w:t>2</w:t>
      </w:r>
      <w:r w:rsidRPr="0006540C">
        <w:t>.</w:t>
      </w:r>
    </w:p>
    <w:p w14:paraId="30834AC9" w14:textId="77777777" w:rsidR="00B156AA" w:rsidRPr="0006540C" w:rsidRDefault="00B156AA" w:rsidP="00B156AA">
      <w:pPr>
        <w:pStyle w:val="TFAbbrevs18"/>
      </w:pPr>
      <w:proofErr w:type="gramStart"/>
      <w:r>
        <w:rPr>
          <w:vertAlign w:val="superscript"/>
        </w:rPr>
        <w:t>f</w:t>
      </w:r>
      <w:proofErr w:type="gramEnd"/>
      <w:r w:rsidRPr="0006540C">
        <w:t xml:space="preserve"> A patient may receive multiple IGBs during the lifetime. The applicant estimates that eligible patients will only have access to </w:t>
      </w:r>
      <w:proofErr w:type="spellStart"/>
      <w:r w:rsidRPr="0006540C">
        <w:t>Orbera</w:t>
      </w:r>
      <w:proofErr w:type="spellEnd"/>
      <w:r w:rsidRPr="0006540C">
        <w:t>™ as a weight loss program at a maximum of one device per year.</w:t>
      </w:r>
    </w:p>
    <w:p w14:paraId="37D8BB64" w14:textId="77777777" w:rsidR="00B156AA" w:rsidRPr="0006540C" w:rsidRDefault="00B156AA" w:rsidP="00B156AA">
      <w:pPr>
        <w:pStyle w:val="TFAbbrevs18"/>
      </w:pPr>
      <w:proofErr w:type="gramStart"/>
      <w:r>
        <w:rPr>
          <w:vertAlign w:val="superscript"/>
        </w:rPr>
        <w:t>g</w:t>
      </w:r>
      <w:proofErr w:type="gramEnd"/>
      <w:r w:rsidRPr="0006540C">
        <w:t xml:space="preserve"> For example, diabetes remission could be measured by HbA1c (&lt;</w:t>
      </w:r>
      <w:r>
        <w:t>7</w:t>
      </w:r>
      <w:r w:rsidRPr="0006540C">
        <w:t>%) or fasting plasma glucose level (&lt;7mmol/L) off antidiabetic medication for a specified minimum period, and T2DM control is suggested by a reduction of ≥0.5% HbA1c in three months.</w:t>
      </w:r>
    </w:p>
    <w:p w14:paraId="1099B1EA" w14:textId="77777777" w:rsidR="00B156AA" w:rsidRPr="00B02E35" w:rsidRDefault="00B156AA" w:rsidP="00B156AA">
      <w:pPr>
        <w:pStyle w:val="TFAbbrevs18"/>
      </w:pPr>
      <w:r w:rsidRPr="0006540C">
        <w:t>Note, Dieticians</w:t>
      </w:r>
      <w:r>
        <w:t>,</w:t>
      </w:r>
      <w:r w:rsidRPr="0006540C">
        <w:t xml:space="preserve"> clinical psychologists, general practitioners, physiotherapists, surgeons, gastroenterologists, endocrinologists and nurses play an essential r</w:t>
      </w:r>
      <w:r>
        <w:t>ole as a multidisciplinary tea</w:t>
      </w:r>
    </w:p>
    <w:p w14:paraId="734B1587" w14:textId="77777777" w:rsidR="00BC1364" w:rsidRPr="00F715D1" w:rsidRDefault="00BC1364" w:rsidP="00F715D1">
      <w:pPr>
        <w:pStyle w:val="Heading1"/>
      </w:pPr>
      <w:r w:rsidRPr="00F715D1">
        <w:t xml:space="preserve">Comparator </w:t>
      </w:r>
    </w:p>
    <w:p w14:paraId="2285CCBD" w14:textId="77777777" w:rsidR="00B156AA" w:rsidRDefault="00B156AA" w:rsidP="00B156AA">
      <w:r w:rsidRPr="000923F8">
        <w:t>The primary comparators proposed by the PICO Confirmation are:</w:t>
      </w:r>
    </w:p>
    <w:p w14:paraId="020C2955" w14:textId="77777777" w:rsidR="00B156AA" w:rsidRDefault="00B156AA" w:rsidP="00553A57">
      <w:pPr>
        <w:pStyle w:val="ListParagraph"/>
        <w:numPr>
          <w:ilvl w:val="0"/>
          <w:numId w:val="29"/>
        </w:numPr>
        <w:spacing w:before="120" w:after="120"/>
        <w:ind w:left="714" w:hanging="357"/>
        <w:contextualSpacing w:val="0"/>
      </w:pPr>
      <w:r>
        <w:t>lifestyle interventions (e.g. diet, exercise, behavioural modification); and</w:t>
      </w:r>
    </w:p>
    <w:p w14:paraId="279A5DF9" w14:textId="77777777" w:rsidR="00B156AA" w:rsidRDefault="00B156AA" w:rsidP="00553A57">
      <w:pPr>
        <w:pStyle w:val="ListParagraph"/>
        <w:numPr>
          <w:ilvl w:val="0"/>
          <w:numId w:val="29"/>
        </w:numPr>
        <w:spacing w:before="120" w:after="120"/>
        <w:ind w:left="714" w:hanging="357"/>
        <w:contextualSpacing w:val="0"/>
      </w:pPr>
      <w:proofErr w:type="gramStart"/>
      <w:r>
        <w:lastRenderedPageBreak/>
        <w:t>pharmacologic</w:t>
      </w:r>
      <w:proofErr w:type="gramEnd"/>
      <w:r>
        <w:t xml:space="preserve"> interventions (including for obesity or T2DM) with lifestyle interventions.</w:t>
      </w:r>
    </w:p>
    <w:p w14:paraId="6813E6DC" w14:textId="77777777" w:rsidR="00B156AA" w:rsidRDefault="00B156AA" w:rsidP="00553A57">
      <w:pPr>
        <w:spacing w:before="120" w:after="120"/>
      </w:pPr>
      <w:r>
        <w:t>The secondary comparator proposed by the PICO Confirmation is:</w:t>
      </w:r>
    </w:p>
    <w:p w14:paraId="4B9B7DFE" w14:textId="3D3B4174" w:rsidR="00B156AA" w:rsidRDefault="00B156AA" w:rsidP="00B044E4">
      <w:pPr>
        <w:pStyle w:val="ListParagraph"/>
        <w:numPr>
          <w:ilvl w:val="0"/>
          <w:numId w:val="30"/>
        </w:numPr>
        <w:spacing w:before="120" w:after="240"/>
        <w:ind w:left="777" w:hanging="357"/>
        <w:contextualSpacing w:val="0"/>
      </w:pPr>
      <w:proofErr w:type="gramStart"/>
      <w:r>
        <w:t>bariatric</w:t>
      </w:r>
      <w:proofErr w:type="gramEnd"/>
      <w:r>
        <w:t xml:space="preserve"> surgery with lifestyle interventions.</w:t>
      </w:r>
    </w:p>
    <w:p w14:paraId="773A0ABD" w14:textId="07EE3DD4" w:rsidR="00B156AA" w:rsidRDefault="00B156AA" w:rsidP="00B044E4">
      <w:pPr>
        <w:spacing w:after="240"/>
      </w:pPr>
      <w:r>
        <w:t>The National Health and Medical Research Council (NHMRC) guidelines recommend that bariatric surgery may be considered for adults with a BMI greater than 40 kg/m</w:t>
      </w:r>
      <w:r>
        <w:rPr>
          <w:vertAlign w:val="superscript"/>
        </w:rPr>
        <w:t>2</w:t>
      </w:r>
      <w:r>
        <w:t xml:space="preserve"> or adults with a BMI &gt;35 kg/m</w:t>
      </w:r>
      <w:r>
        <w:rPr>
          <w:vertAlign w:val="superscript"/>
        </w:rPr>
        <w:t>2</w:t>
      </w:r>
      <w:r>
        <w:t xml:space="preserve"> and obesity-related comorbidities. The CA stated that as the IGB is proposed for use in patients with a lower BMI than recommended for bariatric surgery, bariatric surgery is considered as a secondary comparator.</w:t>
      </w:r>
    </w:p>
    <w:p w14:paraId="051D2D62" w14:textId="18E8C163" w:rsidR="00B156AA" w:rsidRDefault="00B156AA" w:rsidP="00B044E4">
      <w:pPr>
        <w:spacing w:after="240"/>
      </w:pPr>
      <w:r>
        <w:t>However, there was no direct evidence comparing IGB with pharmacological therapy or bariatric surgery. Therefore, lifestyle therapy is the only comparator considered in th</w:t>
      </w:r>
      <w:r w:rsidR="00B044E4">
        <w:t>e CA’s clinical evaluation.</w:t>
      </w:r>
    </w:p>
    <w:p w14:paraId="4B62C4B2" w14:textId="77777777" w:rsidR="00B156AA" w:rsidRDefault="00B156AA" w:rsidP="00B156AA">
      <w:r>
        <w:t>The Critique considered the comparator might be appropriate though it does not match what was specified in the PICO confirmation. The Critique stated that the CA’s narrower choice precludes assessment of IGB against bariatric surgery for those with BMI 30 to 34.9kg/m</w:t>
      </w:r>
      <w:r>
        <w:rPr>
          <w:vertAlign w:val="superscript"/>
        </w:rPr>
        <w:t>2</w:t>
      </w:r>
      <w:r>
        <w:t>; t</w:t>
      </w:r>
      <w:r w:rsidRPr="00663A8E">
        <w:t>he Australian and New Zealand Obesity Society and NHMRC guidelines include consideration of bariatric surgery for this patient population.</w:t>
      </w:r>
    </w:p>
    <w:p w14:paraId="2720AE11" w14:textId="77777777" w:rsidR="00BC1364" w:rsidRPr="00F715D1" w:rsidRDefault="00BC1364" w:rsidP="00F715D1">
      <w:pPr>
        <w:pStyle w:val="Heading1"/>
      </w:pPr>
      <w:r w:rsidRPr="00F715D1">
        <w:t>Comparative safety</w:t>
      </w:r>
    </w:p>
    <w:p w14:paraId="61CE8F4F" w14:textId="09DF9544" w:rsidR="00B156AA" w:rsidRDefault="00B156AA" w:rsidP="00B044E4">
      <w:pPr>
        <w:spacing w:after="240"/>
      </w:pPr>
      <w:proofErr w:type="spellStart"/>
      <w:r w:rsidRPr="00634391">
        <w:t>Courcoulas</w:t>
      </w:r>
      <w:proofErr w:type="spellEnd"/>
      <w:r w:rsidRPr="00634391">
        <w:t xml:space="preserve"> 2017 (n=255; United States) and </w:t>
      </w:r>
      <w:r>
        <w:t xml:space="preserve">Fuller </w:t>
      </w:r>
      <w:r w:rsidRPr="00634391">
        <w:t>201</w:t>
      </w:r>
      <w:r>
        <w:t>3</w:t>
      </w:r>
      <w:r w:rsidRPr="00634391">
        <w:t xml:space="preserve"> (n=74, Australia) were open-label </w:t>
      </w:r>
      <w:r w:rsidR="000A5491">
        <w:t>RCTs</w:t>
      </w:r>
      <w:r w:rsidRPr="00634391">
        <w:t xml:space="preserve"> comparing the efficacy and safety of the </w:t>
      </w:r>
      <w:proofErr w:type="spellStart"/>
      <w:r w:rsidRPr="00634391">
        <w:t>Orbera</w:t>
      </w:r>
      <w:proofErr w:type="spellEnd"/>
      <w:r w:rsidRPr="00634391">
        <w:t xml:space="preserve"> IGB in combination with lifestyle therapy (IGB plus lifestyle) with lifestyle therapy alone in a trial population that overlapped with the proposed MBS population (patients aged ≥ 18 years with a BMI 30 to 40 kg/m</w:t>
      </w:r>
      <w:r w:rsidRPr="007A5185">
        <w:rPr>
          <w:vertAlign w:val="superscript"/>
        </w:rPr>
        <w:t>2</w:t>
      </w:r>
      <w:r w:rsidRPr="00634391">
        <w:t xml:space="preserve">, a history of obesity for 2 years and previous failed weight loss attempts </w:t>
      </w:r>
      <w:r w:rsidRPr="00634391">
        <w:rPr>
          <w:i/>
        </w:rPr>
        <w:t>vs.</w:t>
      </w:r>
      <w:r w:rsidRPr="00634391">
        <w:t xml:space="preserve"> patients ≥ 18 years with a BMI of 30 to 34.9 kg/m</w:t>
      </w:r>
      <w:r w:rsidRPr="007A5185">
        <w:rPr>
          <w:vertAlign w:val="superscript"/>
        </w:rPr>
        <w:t>2</w:t>
      </w:r>
      <w:r w:rsidRPr="00634391">
        <w:t xml:space="preserve"> who have poorly controlled T2DM with or without other comorbidities, and who have failed</w:t>
      </w:r>
      <w:r>
        <w:t xml:space="preserve"> first-line treatment options).</w:t>
      </w:r>
    </w:p>
    <w:p w14:paraId="761BBE3C" w14:textId="7EFDE7E9" w:rsidR="00EA5D22" w:rsidRPr="00553A57" w:rsidRDefault="00B156AA">
      <w:r>
        <w:t>A summary of the key safety outcomes is presented in Table 3.</w:t>
      </w:r>
      <w:bookmarkStart w:id="11" w:name="_Ref534180857"/>
      <w:bookmarkStart w:id="12" w:name="_Toc1371958"/>
      <w:r w:rsidR="00EA5D22">
        <w:br w:type="page"/>
      </w:r>
    </w:p>
    <w:p w14:paraId="31FDF7F6" w14:textId="6694D0D1" w:rsidR="00B156AA" w:rsidRPr="00DD6B45" w:rsidRDefault="00B156AA" w:rsidP="00DD6B45">
      <w:pPr>
        <w:rPr>
          <w:rFonts w:ascii="Arial Narrow" w:hAnsi="Arial Narrow"/>
          <w:b/>
          <w:sz w:val="20"/>
        </w:rPr>
      </w:pPr>
      <w:r w:rsidRPr="00DD6B45">
        <w:rPr>
          <w:rFonts w:ascii="Arial Narrow" w:hAnsi="Arial Narrow"/>
          <w:b/>
          <w:sz w:val="20"/>
        </w:rPr>
        <w:lastRenderedPageBreak/>
        <w:t xml:space="preserve">Table </w:t>
      </w:r>
      <w:bookmarkEnd w:id="11"/>
      <w:r w:rsidRPr="00DD6B45">
        <w:rPr>
          <w:rFonts w:ascii="Arial Narrow" w:hAnsi="Arial Narrow"/>
          <w:b/>
          <w:sz w:val="20"/>
        </w:rPr>
        <w:t>3</w:t>
      </w:r>
      <w:r w:rsidRPr="00DD6B45">
        <w:rPr>
          <w:rFonts w:ascii="Arial Narrow" w:hAnsi="Arial Narrow"/>
          <w:b/>
          <w:sz w:val="20"/>
        </w:rPr>
        <w:tab/>
      </w:r>
      <w:r w:rsidRPr="00DD6B45">
        <w:rPr>
          <w:rFonts w:ascii="Arial Narrow" w:hAnsi="Arial Narrow"/>
          <w:b/>
          <w:sz w:val="20"/>
        </w:rPr>
        <w:tab/>
        <w:t>GRADE summary of findings table of key safety outcomes</w:t>
      </w:r>
      <w:bookmarkEnd w:id="12"/>
    </w:p>
    <w:tbl>
      <w:tblPr>
        <w:tblStyle w:val="TableGrid1"/>
        <w:tblW w:w="5002" w:type="pct"/>
        <w:tblInd w:w="-5" w:type="dxa"/>
        <w:tblLayout w:type="fixed"/>
        <w:tblCellMar>
          <w:left w:w="85" w:type="dxa"/>
          <w:right w:w="85" w:type="dxa"/>
        </w:tblCellMar>
        <w:tblLook w:val="04A0" w:firstRow="1" w:lastRow="0" w:firstColumn="1" w:lastColumn="0" w:noHBand="0" w:noVBand="1"/>
        <w:tblCaption w:val="GRADE summary of findings table of key safety outcomes"/>
        <w:tblDescription w:val="This table describes GRADE summary of findings table of key safety outcomes"/>
      </w:tblPr>
      <w:tblGrid>
        <w:gridCol w:w="1134"/>
        <w:gridCol w:w="283"/>
        <w:gridCol w:w="1133"/>
        <w:gridCol w:w="1416"/>
        <w:gridCol w:w="960"/>
        <w:gridCol w:w="249"/>
        <w:gridCol w:w="1153"/>
        <w:gridCol w:w="1216"/>
        <w:gridCol w:w="1476"/>
      </w:tblGrid>
      <w:tr w:rsidR="00B156AA" w:rsidRPr="00097D83" w14:paraId="6790474E" w14:textId="77777777" w:rsidTr="00B156AA">
        <w:trPr>
          <w:cnfStyle w:val="100000000000" w:firstRow="1" w:lastRow="0" w:firstColumn="0" w:lastColumn="0" w:oddVBand="0" w:evenVBand="0" w:oddHBand="0" w:evenHBand="0" w:firstRowFirstColumn="0" w:firstRowLastColumn="0" w:lastRowFirstColumn="0" w:lastRowLastColumn="0"/>
          <w:tblHeader/>
        </w:trPr>
        <w:tc>
          <w:tcPr>
            <w:tcW w:w="629" w:type="pct"/>
            <w:tcBorders>
              <w:right w:val="single" w:sz="4" w:space="0" w:color="auto"/>
            </w:tcBorders>
          </w:tcPr>
          <w:p w14:paraId="771E7533" w14:textId="77777777" w:rsidR="00B156AA" w:rsidRPr="00634391" w:rsidRDefault="00B156AA" w:rsidP="00EA5D22">
            <w:pPr>
              <w:pStyle w:val="Tabletext0"/>
              <w:keepNext/>
              <w:keepLines/>
              <w:rPr>
                <w:b/>
              </w:rPr>
            </w:pPr>
            <w:r w:rsidRPr="00634391">
              <w:rPr>
                <w:b/>
              </w:rPr>
              <w:t>Outcomes</w:t>
            </w:r>
          </w:p>
        </w:tc>
        <w:tc>
          <w:tcPr>
            <w:tcW w:w="785" w:type="pct"/>
            <w:gridSpan w:val="2"/>
            <w:tcBorders>
              <w:top w:val="single" w:sz="4" w:space="0" w:color="auto"/>
              <w:left w:val="single" w:sz="4" w:space="0" w:color="auto"/>
              <w:bottom w:val="single" w:sz="4" w:space="0" w:color="auto"/>
              <w:right w:val="nil"/>
            </w:tcBorders>
          </w:tcPr>
          <w:p w14:paraId="668327C0" w14:textId="77777777" w:rsidR="00B156AA" w:rsidRDefault="00B156AA" w:rsidP="00EA5D22">
            <w:pPr>
              <w:pStyle w:val="TableHeadingcenter"/>
              <w:keepLines/>
              <w:jc w:val="left"/>
            </w:pPr>
            <w:r w:rsidRPr="00634391">
              <w:t xml:space="preserve">Anticipated </w:t>
            </w:r>
          </w:p>
          <w:p w14:paraId="5098E543" w14:textId="77777777" w:rsidR="00B156AA" w:rsidRPr="00634391" w:rsidRDefault="00B156AA" w:rsidP="00EA5D22">
            <w:pPr>
              <w:pStyle w:val="TableTextcenter"/>
              <w:keepLines/>
              <w:jc w:val="left"/>
            </w:pPr>
            <w:r w:rsidRPr="00634391">
              <w:rPr>
                <w:b/>
              </w:rPr>
              <w:t xml:space="preserve">effects* </w:t>
            </w:r>
          </w:p>
        </w:tc>
        <w:tc>
          <w:tcPr>
            <w:tcW w:w="785" w:type="pct"/>
            <w:tcBorders>
              <w:top w:val="single" w:sz="4" w:space="0" w:color="auto"/>
              <w:left w:val="nil"/>
              <w:bottom w:val="single" w:sz="4" w:space="0" w:color="auto"/>
              <w:right w:val="single" w:sz="4" w:space="0" w:color="auto"/>
            </w:tcBorders>
          </w:tcPr>
          <w:p w14:paraId="14A0267E" w14:textId="77777777" w:rsidR="00B156AA" w:rsidRDefault="00B156AA" w:rsidP="00EA5D22">
            <w:pPr>
              <w:pStyle w:val="TableHeadingcenter"/>
              <w:keepLines/>
              <w:jc w:val="left"/>
            </w:pPr>
            <w:r w:rsidRPr="00634391">
              <w:t xml:space="preserve">absolute </w:t>
            </w:r>
          </w:p>
          <w:p w14:paraId="5EF15982" w14:textId="77777777" w:rsidR="00B156AA" w:rsidRPr="00634391" w:rsidRDefault="00B156AA" w:rsidP="00EA5D22">
            <w:pPr>
              <w:pStyle w:val="TableTextcenter"/>
              <w:keepLines/>
              <w:jc w:val="left"/>
            </w:pPr>
            <w:r w:rsidRPr="00634391">
              <w:rPr>
                <w:b/>
              </w:rPr>
              <w:t>(95% CI)</w:t>
            </w:r>
          </w:p>
        </w:tc>
        <w:tc>
          <w:tcPr>
            <w:tcW w:w="670" w:type="pct"/>
            <w:gridSpan w:val="2"/>
            <w:tcBorders>
              <w:left w:val="single" w:sz="4" w:space="0" w:color="auto"/>
            </w:tcBorders>
          </w:tcPr>
          <w:p w14:paraId="6C03B0BB" w14:textId="77777777" w:rsidR="00B156AA" w:rsidRPr="00634391" w:rsidRDefault="00B156AA" w:rsidP="00EA5D22">
            <w:pPr>
              <w:pStyle w:val="Tabletext0"/>
              <w:keepNext/>
              <w:keepLines/>
              <w:rPr>
                <w:b/>
              </w:rPr>
            </w:pPr>
            <w:r w:rsidRPr="00634391">
              <w:rPr>
                <w:b/>
              </w:rPr>
              <w:t>Relative effect</w:t>
            </w:r>
            <w:r w:rsidRPr="00634391">
              <w:rPr>
                <w:b/>
              </w:rPr>
              <w:br/>
              <w:t xml:space="preserve">(95% CI) </w:t>
            </w:r>
          </w:p>
        </w:tc>
        <w:tc>
          <w:tcPr>
            <w:tcW w:w="639" w:type="pct"/>
          </w:tcPr>
          <w:p w14:paraId="649FF456" w14:textId="77777777" w:rsidR="00B156AA" w:rsidRPr="00634391" w:rsidRDefault="00B156AA" w:rsidP="00EA5D22">
            <w:pPr>
              <w:pStyle w:val="Tabletext0"/>
              <w:keepNext/>
              <w:keepLines/>
              <w:rPr>
                <w:b/>
              </w:rPr>
            </w:pPr>
            <w:r w:rsidRPr="00634391">
              <w:rPr>
                <w:b/>
              </w:rPr>
              <w:t xml:space="preserve">№ of participants </w:t>
            </w:r>
            <w:r w:rsidRPr="00634391">
              <w:rPr>
                <w:b/>
              </w:rPr>
              <w:br/>
              <w:t xml:space="preserve">(studies) </w:t>
            </w:r>
          </w:p>
        </w:tc>
        <w:tc>
          <w:tcPr>
            <w:tcW w:w="674" w:type="pct"/>
          </w:tcPr>
          <w:p w14:paraId="676D7190" w14:textId="77777777" w:rsidR="00B156AA" w:rsidRPr="00634391" w:rsidRDefault="00B156AA" w:rsidP="00EA5D22">
            <w:pPr>
              <w:pStyle w:val="Tabletext0"/>
              <w:keepNext/>
              <w:keepLines/>
              <w:rPr>
                <w:b/>
              </w:rPr>
            </w:pPr>
            <w:r w:rsidRPr="00634391">
              <w:rPr>
                <w:b/>
              </w:rPr>
              <w:t>Certainty of the evidence</w:t>
            </w:r>
            <w:r w:rsidRPr="00634391">
              <w:rPr>
                <w:b/>
              </w:rPr>
              <w:br/>
              <w:t xml:space="preserve">(GRADE) </w:t>
            </w:r>
          </w:p>
        </w:tc>
        <w:tc>
          <w:tcPr>
            <w:tcW w:w="818" w:type="pct"/>
          </w:tcPr>
          <w:p w14:paraId="6CAA97D9" w14:textId="77777777" w:rsidR="00B156AA" w:rsidRPr="00634391" w:rsidRDefault="00B156AA" w:rsidP="00EA5D22">
            <w:pPr>
              <w:pStyle w:val="Tabletext0"/>
              <w:keepNext/>
              <w:keepLines/>
              <w:rPr>
                <w:b/>
              </w:rPr>
            </w:pPr>
            <w:r w:rsidRPr="00634391">
              <w:rPr>
                <w:b/>
              </w:rPr>
              <w:t>Comments</w:t>
            </w:r>
          </w:p>
        </w:tc>
      </w:tr>
      <w:tr w:rsidR="00B156AA" w:rsidRPr="00097D83" w14:paraId="3E4F35B9" w14:textId="77777777" w:rsidTr="00B156AA">
        <w:tc>
          <w:tcPr>
            <w:tcW w:w="629" w:type="pct"/>
            <w:hideMark/>
          </w:tcPr>
          <w:p w14:paraId="250C75B2" w14:textId="77777777" w:rsidR="00B156AA" w:rsidRPr="00097D83" w:rsidRDefault="00B156AA" w:rsidP="00EA5D22">
            <w:pPr>
              <w:pStyle w:val="Tabletext0"/>
              <w:keepNext/>
              <w:keepLines/>
            </w:pPr>
          </w:p>
        </w:tc>
        <w:tc>
          <w:tcPr>
            <w:tcW w:w="785" w:type="pct"/>
            <w:gridSpan w:val="2"/>
            <w:tcBorders>
              <w:top w:val="single" w:sz="4" w:space="0" w:color="auto"/>
            </w:tcBorders>
            <w:hideMark/>
          </w:tcPr>
          <w:p w14:paraId="6A0BF8E4" w14:textId="77777777" w:rsidR="00B156AA" w:rsidRPr="00097D83" w:rsidRDefault="00B156AA" w:rsidP="00EA5D22">
            <w:pPr>
              <w:pStyle w:val="TableHeadingcenter"/>
              <w:keepLines/>
            </w:pPr>
            <w:r w:rsidRPr="00097D83">
              <w:t>Risk with Lifestyle intervention</w:t>
            </w:r>
          </w:p>
        </w:tc>
        <w:tc>
          <w:tcPr>
            <w:tcW w:w="785" w:type="pct"/>
            <w:tcBorders>
              <w:top w:val="single" w:sz="4" w:space="0" w:color="auto"/>
            </w:tcBorders>
            <w:hideMark/>
          </w:tcPr>
          <w:p w14:paraId="68582AC0" w14:textId="77777777" w:rsidR="00B156AA" w:rsidRPr="00097D83" w:rsidRDefault="00B156AA" w:rsidP="00EA5D22">
            <w:pPr>
              <w:pStyle w:val="TableHeadingcenter"/>
              <w:keepLines/>
            </w:pPr>
            <w:r w:rsidRPr="00097D83">
              <w:t>Risk with I</w:t>
            </w:r>
            <w:r>
              <w:t>GB</w:t>
            </w:r>
            <w:r w:rsidRPr="00097D83">
              <w:t xml:space="preserve"> plus lifestyle intervention</w:t>
            </w:r>
          </w:p>
        </w:tc>
        <w:tc>
          <w:tcPr>
            <w:tcW w:w="670" w:type="pct"/>
            <w:gridSpan w:val="2"/>
            <w:hideMark/>
          </w:tcPr>
          <w:p w14:paraId="196D057B" w14:textId="77777777" w:rsidR="00B156AA" w:rsidRPr="00097D83" w:rsidRDefault="00B156AA" w:rsidP="00EA5D22">
            <w:pPr>
              <w:pStyle w:val="Tabletext0"/>
              <w:keepNext/>
              <w:keepLines/>
            </w:pPr>
          </w:p>
        </w:tc>
        <w:tc>
          <w:tcPr>
            <w:tcW w:w="639" w:type="pct"/>
            <w:hideMark/>
          </w:tcPr>
          <w:p w14:paraId="06781196" w14:textId="77777777" w:rsidR="00B156AA" w:rsidRPr="00097D83" w:rsidRDefault="00B156AA" w:rsidP="00EA5D22">
            <w:pPr>
              <w:pStyle w:val="Tabletext0"/>
              <w:keepNext/>
              <w:keepLines/>
            </w:pPr>
          </w:p>
        </w:tc>
        <w:tc>
          <w:tcPr>
            <w:tcW w:w="674" w:type="pct"/>
            <w:hideMark/>
          </w:tcPr>
          <w:p w14:paraId="4747490F" w14:textId="77777777" w:rsidR="00B156AA" w:rsidRPr="00097D83" w:rsidRDefault="00B156AA" w:rsidP="00EA5D22">
            <w:pPr>
              <w:pStyle w:val="Tabletext0"/>
              <w:keepNext/>
              <w:keepLines/>
            </w:pPr>
          </w:p>
        </w:tc>
        <w:tc>
          <w:tcPr>
            <w:tcW w:w="818" w:type="pct"/>
            <w:hideMark/>
          </w:tcPr>
          <w:p w14:paraId="14CAACAD" w14:textId="77777777" w:rsidR="00B156AA" w:rsidRPr="00097D83" w:rsidRDefault="00B156AA" w:rsidP="00EA5D22">
            <w:pPr>
              <w:pStyle w:val="Tabletext0"/>
              <w:keepNext/>
              <w:keepLines/>
            </w:pPr>
          </w:p>
        </w:tc>
      </w:tr>
      <w:tr w:rsidR="00B156AA" w:rsidRPr="00097D83" w14:paraId="107E11AA" w14:textId="77777777" w:rsidTr="00B156AA">
        <w:tc>
          <w:tcPr>
            <w:tcW w:w="629" w:type="pct"/>
            <w:hideMark/>
          </w:tcPr>
          <w:p w14:paraId="7FCCE1FB" w14:textId="77777777" w:rsidR="00B156AA" w:rsidRPr="00097D83" w:rsidRDefault="00B156AA" w:rsidP="00EA5D22">
            <w:pPr>
              <w:pStyle w:val="Tabletext0"/>
              <w:keepNext/>
              <w:keepLines/>
            </w:pPr>
            <w:r w:rsidRPr="00097D83">
              <w:rPr>
                <w:rStyle w:val="label"/>
              </w:rPr>
              <w:t xml:space="preserve">Patients who reported adverse events </w:t>
            </w:r>
          </w:p>
        </w:tc>
        <w:tc>
          <w:tcPr>
            <w:tcW w:w="785" w:type="pct"/>
            <w:gridSpan w:val="2"/>
            <w:hideMark/>
          </w:tcPr>
          <w:p w14:paraId="720649F9" w14:textId="77777777" w:rsidR="00B156AA" w:rsidRPr="00097D83" w:rsidRDefault="00B156AA" w:rsidP="00EA5D22">
            <w:pPr>
              <w:pStyle w:val="TableTextcenter"/>
              <w:keepLines/>
            </w:pPr>
            <w:r w:rsidRPr="00097D83">
              <w:t xml:space="preserve">708 per 1,000 </w:t>
            </w:r>
          </w:p>
        </w:tc>
        <w:tc>
          <w:tcPr>
            <w:tcW w:w="785" w:type="pct"/>
            <w:hideMark/>
          </w:tcPr>
          <w:p w14:paraId="7650D5F5" w14:textId="77777777" w:rsidR="00B156AA" w:rsidRPr="00097D83" w:rsidRDefault="00B156AA" w:rsidP="00EA5D22">
            <w:pPr>
              <w:pStyle w:val="TableTextcenter"/>
              <w:keepLines/>
            </w:pPr>
            <w:r w:rsidRPr="000923F8">
              <w:t>984 per 1,000</w:t>
            </w:r>
            <w:r w:rsidRPr="00097D83">
              <w:br/>
            </w:r>
            <w:r w:rsidRPr="000923F8">
              <w:t>(878 to 1,000)</w:t>
            </w:r>
            <w:r w:rsidRPr="00097D83">
              <w:t xml:space="preserve"> </w:t>
            </w:r>
          </w:p>
        </w:tc>
        <w:tc>
          <w:tcPr>
            <w:tcW w:w="670" w:type="pct"/>
            <w:gridSpan w:val="2"/>
            <w:hideMark/>
          </w:tcPr>
          <w:p w14:paraId="162D05A0" w14:textId="77777777" w:rsidR="00B156AA" w:rsidRPr="00097D83" w:rsidRDefault="00B156AA" w:rsidP="00EA5D22">
            <w:pPr>
              <w:pStyle w:val="TableTextcenter"/>
              <w:keepLines/>
            </w:pPr>
            <w:r w:rsidRPr="00E77189">
              <w:rPr>
                <w:rStyle w:val="Strong"/>
              </w:rPr>
              <w:t>RR 1.39</w:t>
            </w:r>
            <w:r w:rsidRPr="00097D83">
              <w:br/>
            </w:r>
            <w:r w:rsidRPr="000923F8">
              <w:t>(1.24 to 1.55)</w:t>
            </w:r>
            <w:r w:rsidRPr="00097D83">
              <w:t xml:space="preserve"> </w:t>
            </w:r>
          </w:p>
        </w:tc>
        <w:tc>
          <w:tcPr>
            <w:tcW w:w="639" w:type="pct"/>
            <w:hideMark/>
          </w:tcPr>
          <w:p w14:paraId="583D9B13" w14:textId="77777777" w:rsidR="00B156AA" w:rsidRPr="00097D83" w:rsidRDefault="00B156AA" w:rsidP="00EA5D22">
            <w:pPr>
              <w:pStyle w:val="TableTextcenter"/>
              <w:keepLines/>
            </w:pPr>
            <w:r w:rsidRPr="00097D83">
              <w:t>290</w:t>
            </w:r>
            <w:r w:rsidRPr="00097D83">
              <w:br/>
              <w:t xml:space="preserve">(1 RCT) </w:t>
            </w:r>
          </w:p>
        </w:tc>
        <w:tc>
          <w:tcPr>
            <w:tcW w:w="674" w:type="pct"/>
            <w:hideMark/>
          </w:tcPr>
          <w:p w14:paraId="4E72FA79" w14:textId="77777777" w:rsidR="00B156AA" w:rsidRPr="00097D83" w:rsidRDefault="00B156AA" w:rsidP="00EA5D22">
            <w:pPr>
              <w:pStyle w:val="Tabletext0"/>
              <w:keepNext/>
              <w:keepLines/>
            </w:pPr>
            <w:r>
              <w:rPr>
                <w:rFonts w:ascii="Cambria Math" w:hAnsi="Cambria Math"/>
                <w:color w:val="00B050"/>
              </w:rPr>
              <w:t>⨁</w:t>
            </w:r>
            <w:r w:rsidRPr="00D4733A">
              <w:rPr>
                <w:rFonts w:ascii="Cambria Math" w:hAnsi="Cambria Math" w:cs="Cambria Math"/>
                <w:color w:val="C00000"/>
              </w:rPr>
              <w:t>⨀⨀⨀</w:t>
            </w:r>
            <w:r w:rsidRPr="00097D83">
              <w:br/>
            </w:r>
            <w:r w:rsidRPr="00991696">
              <w:t xml:space="preserve">VERY LOW </w:t>
            </w:r>
            <w:proofErr w:type="spellStart"/>
            <w:r w:rsidRPr="00991696">
              <w:rPr>
                <w:vertAlign w:val="superscript"/>
              </w:rPr>
              <w:t>a,b,d,e,g,h</w:t>
            </w:r>
            <w:proofErr w:type="spellEnd"/>
          </w:p>
        </w:tc>
        <w:tc>
          <w:tcPr>
            <w:tcW w:w="818" w:type="pct"/>
            <w:hideMark/>
          </w:tcPr>
          <w:p w14:paraId="2BFFD43E" w14:textId="77777777" w:rsidR="00B156AA" w:rsidRPr="00097D83" w:rsidRDefault="00B156AA" w:rsidP="00EA5D22">
            <w:pPr>
              <w:pStyle w:val="Tabletext0"/>
              <w:keepNext/>
              <w:keepLines/>
            </w:pPr>
            <w:r w:rsidRPr="00097D83">
              <w:t>I</w:t>
            </w:r>
            <w:r>
              <w:t>GB</w:t>
            </w:r>
            <w:r w:rsidRPr="00097D83">
              <w:t xml:space="preserve"> plus lifestyle intervention increases the number of people who reported adverse events, but we are uncertain. </w:t>
            </w:r>
          </w:p>
        </w:tc>
      </w:tr>
      <w:tr w:rsidR="00B156AA" w:rsidRPr="00097D83" w14:paraId="23180C10" w14:textId="77777777" w:rsidTr="00B156AA">
        <w:tc>
          <w:tcPr>
            <w:tcW w:w="629" w:type="pct"/>
            <w:hideMark/>
          </w:tcPr>
          <w:p w14:paraId="4F7850A4" w14:textId="77777777" w:rsidR="00B156AA" w:rsidRPr="00097D83" w:rsidRDefault="00B156AA" w:rsidP="00EA5D22">
            <w:pPr>
              <w:pStyle w:val="Tabletext0"/>
              <w:keepNext/>
              <w:keepLines/>
            </w:pPr>
            <w:r w:rsidRPr="00097D83">
              <w:rPr>
                <w:rStyle w:val="label"/>
              </w:rPr>
              <w:t xml:space="preserve">Treatment related adverse events </w:t>
            </w:r>
          </w:p>
        </w:tc>
        <w:tc>
          <w:tcPr>
            <w:tcW w:w="157" w:type="pct"/>
            <w:tcBorders>
              <w:bottom w:val="single" w:sz="4" w:space="0" w:color="auto"/>
              <w:right w:val="nil"/>
            </w:tcBorders>
          </w:tcPr>
          <w:p w14:paraId="55BA9205" w14:textId="77777777" w:rsidR="00B156AA" w:rsidRPr="00097D83" w:rsidRDefault="00B156AA" w:rsidP="00EA5D22">
            <w:pPr>
              <w:pStyle w:val="Evidenceprofiletableleft"/>
              <w:keepNext/>
            </w:pPr>
          </w:p>
        </w:tc>
        <w:tc>
          <w:tcPr>
            <w:tcW w:w="1945" w:type="pct"/>
            <w:gridSpan w:val="3"/>
            <w:tcBorders>
              <w:left w:val="nil"/>
              <w:bottom w:val="single" w:sz="4" w:space="0" w:color="auto"/>
              <w:right w:val="nil"/>
            </w:tcBorders>
          </w:tcPr>
          <w:p w14:paraId="7180BFFA" w14:textId="77777777" w:rsidR="00B156AA" w:rsidRPr="00097D83" w:rsidRDefault="00B156AA" w:rsidP="00EA5D22">
            <w:pPr>
              <w:pStyle w:val="Tabletext0"/>
              <w:keepNext/>
              <w:keepLines/>
            </w:pPr>
            <w:r w:rsidRPr="008517DB">
              <w:t>Due to inconsistent reporting between studies a meta-analysis was not conducted. Both studies reported nausea, vomiting, and abdominal pain as the most common AEs experienced by the IGB group. Overall, there were significantly more treatment related AEs reported in the IGB group compared to the lifestyle group. The majority of AEs reported in the IGB group were gastric-related, whereas AEs reported in the lifestyle group were more varied in nature.</w:t>
            </w:r>
          </w:p>
        </w:tc>
        <w:tc>
          <w:tcPr>
            <w:tcW w:w="138" w:type="pct"/>
            <w:tcBorders>
              <w:left w:val="nil"/>
            </w:tcBorders>
            <w:hideMark/>
          </w:tcPr>
          <w:p w14:paraId="7351C4D1" w14:textId="77777777" w:rsidR="00B156AA" w:rsidRPr="008517DB" w:rsidRDefault="00B156AA" w:rsidP="00EA5D22">
            <w:pPr>
              <w:pStyle w:val="Evidenceprofiletableleft"/>
              <w:keepNext/>
            </w:pPr>
          </w:p>
        </w:tc>
        <w:tc>
          <w:tcPr>
            <w:tcW w:w="639" w:type="pct"/>
            <w:hideMark/>
          </w:tcPr>
          <w:p w14:paraId="22F86E74" w14:textId="77777777" w:rsidR="00B156AA" w:rsidRPr="00097D83" w:rsidRDefault="00B156AA" w:rsidP="00EA5D22">
            <w:pPr>
              <w:pStyle w:val="TableTextcenter"/>
              <w:keepLines/>
            </w:pPr>
            <w:r w:rsidRPr="00097D83">
              <w:t>351</w:t>
            </w:r>
            <w:r w:rsidRPr="00097D83">
              <w:br/>
              <w:t xml:space="preserve">(2 RCTs) </w:t>
            </w:r>
          </w:p>
        </w:tc>
        <w:tc>
          <w:tcPr>
            <w:tcW w:w="674" w:type="pct"/>
            <w:hideMark/>
          </w:tcPr>
          <w:p w14:paraId="2FB21A9A" w14:textId="77777777" w:rsidR="00B156AA" w:rsidRPr="00097D83" w:rsidRDefault="00B156AA" w:rsidP="00EA5D22">
            <w:pPr>
              <w:pStyle w:val="Tabletext0"/>
              <w:keepNext/>
              <w:keepLines/>
            </w:pPr>
            <w:r>
              <w:rPr>
                <w:rFonts w:ascii="Cambria Math" w:hAnsi="Cambria Math"/>
                <w:color w:val="00B050"/>
              </w:rPr>
              <w:t>⨁⨁⨁⨁</w:t>
            </w:r>
            <w:r w:rsidRPr="00097D83">
              <w:br/>
            </w:r>
            <w:r w:rsidRPr="00991696">
              <w:t xml:space="preserve">HIGH </w:t>
            </w:r>
            <w:proofErr w:type="spellStart"/>
            <w:r w:rsidRPr="00991696">
              <w:rPr>
                <w:vertAlign w:val="superscript"/>
              </w:rPr>
              <w:t>a,c,f,i,j,k</w:t>
            </w:r>
            <w:proofErr w:type="spellEnd"/>
          </w:p>
        </w:tc>
        <w:tc>
          <w:tcPr>
            <w:tcW w:w="818" w:type="pct"/>
            <w:hideMark/>
          </w:tcPr>
          <w:p w14:paraId="5EB36434" w14:textId="77777777" w:rsidR="00B156AA" w:rsidRPr="00097D83" w:rsidRDefault="00B156AA" w:rsidP="00EA5D22">
            <w:pPr>
              <w:pStyle w:val="Tabletext0"/>
              <w:keepNext/>
              <w:keepLines/>
            </w:pPr>
            <w:r w:rsidRPr="00097D83">
              <w:t>I</w:t>
            </w:r>
            <w:r>
              <w:t>GB</w:t>
            </w:r>
            <w:r w:rsidRPr="00097D83">
              <w:t xml:space="preserve"> plus lifestyle intervention appears to result in a large increase in treatment related adverse events compared with lifestyle intervention alone. </w:t>
            </w:r>
          </w:p>
        </w:tc>
      </w:tr>
      <w:tr w:rsidR="00B156AA" w:rsidRPr="00097D83" w14:paraId="34A5AC25" w14:textId="77777777" w:rsidTr="00B156AA">
        <w:tc>
          <w:tcPr>
            <w:tcW w:w="629" w:type="pct"/>
            <w:hideMark/>
          </w:tcPr>
          <w:p w14:paraId="6C938E3D" w14:textId="77777777" w:rsidR="00B156AA" w:rsidRPr="00097D83" w:rsidRDefault="00B156AA" w:rsidP="00EA5D22">
            <w:pPr>
              <w:pStyle w:val="Tabletext0"/>
              <w:keepNext/>
              <w:keepLines/>
            </w:pPr>
            <w:r w:rsidRPr="00097D83">
              <w:rPr>
                <w:rStyle w:val="label"/>
              </w:rPr>
              <w:t>Device or procedure</w:t>
            </w:r>
            <w:r>
              <w:rPr>
                <w:rStyle w:val="label"/>
              </w:rPr>
              <w:t>-</w:t>
            </w:r>
            <w:r w:rsidRPr="00097D83">
              <w:rPr>
                <w:rStyle w:val="label"/>
              </w:rPr>
              <w:t xml:space="preserve">related serious AEs </w:t>
            </w:r>
          </w:p>
        </w:tc>
        <w:tc>
          <w:tcPr>
            <w:tcW w:w="157" w:type="pct"/>
            <w:tcBorders>
              <w:right w:val="nil"/>
            </w:tcBorders>
          </w:tcPr>
          <w:p w14:paraId="73C49E7C" w14:textId="77777777" w:rsidR="00B156AA" w:rsidRPr="00097D83" w:rsidRDefault="00B156AA" w:rsidP="00EA5D22">
            <w:pPr>
              <w:pStyle w:val="Tabletext0"/>
              <w:keepNext/>
              <w:keepLines/>
            </w:pPr>
          </w:p>
        </w:tc>
        <w:tc>
          <w:tcPr>
            <w:tcW w:w="1945" w:type="pct"/>
            <w:gridSpan w:val="3"/>
            <w:tcBorders>
              <w:left w:val="nil"/>
              <w:right w:val="nil"/>
            </w:tcBorders>
          </w:tcPr>
          <w:p w14:paraId="590103A4" w14:textId="77777777" w:rsidR="00B156AA" w:rsidRPr="00097D83" w:rsidRDefault="00B156AA" w:rsidP="00EA5D22">
            <w:pPr>
              <w:pStyle w:val="Tabletext0"/>
              <w:keepNext/>
              <w:keepLines/>
            </w:pPr>
            <w:r w:rsidRPr="008517DB">
              <w:t xml:space="preserve">Due to inconsistent reporting between studies a meta-analysis was not conducted. For </w:t>
            </w:r>
            <w:proofErr w:type="spellStart"/>
            <w:r w:rsidRPr="008517DB">
              <w:t>Courcoulas</w:t>
            </w:r>
            <w:proofErr w:type="spellEnd"/>
            <w:r w:rsidRPr="008517DB">
              <w:t xml:space="preserve"> 2017, three procedure-related AEs occurred. Additionally, there were eight reported device-related serious AEs. Fuller 2013 did not report procedure-related AEs. Serious AEs were not predefined in Fuller 2013 study. One AE was serious enough to warrant device removal.</w:t>
            </w:r>
          </w:p>
        </w:tc>
        <w:tc>
          <w:tcPr>
            <w:tcW w:w="138" w:type="pct"/>
            <w:tcBorders>
              <w:left w:val="nil"/>
            </w:tcBorders>
            <w:hideMark/>
          </w:tcPr>
          <w:p w14:paraId="16F58984" w14:textId="77777777" w:rsidR="00B156AA" w:rsidRPr="00097D83" w:rsidRDefault="00B156AA" w:rsidP="00EA5D22">
            <w:pPr>
              <w:pStyle w:val="Evidenceprofiletableleft"/>
              <w:keepNext/>
            </w:pPr>
          </w:p>
        </w:tc>
        <w:tc>
          <w:tcPr>
            <w:tcW w:w="639" w:type="pct"/>
            <w:hideMark/>
          </w:tcPr>
          <w:p w14:paraId="64A945BF" w14:textId="77777777" w:rsidR="00B156AA" w:rsidRPr="00097D83" w:rsidRDefault="00B156AA" w:rsidP="00EA5D22">
            <w:pPr>
              <w:pStyle w:val="TableTextcenter"/>
              <w:keepLines/>
            </w:pPr>
            <w:r w:rsidRPr="00097D83">
              <w:t>351</w:t>
            </w:r>
            <w:r w:rsidRPr="00097D83">
              <w:br/>
              <w:t xml:space="preserve">(2 RCTs) </w:t>
            </w:r>
          </w:p>
        </w:tc>
        <w:tc>
          <w:tcPr>
            <w:tcW w:w="674" w:type="pct"/>
            <w:hideMark/>
          </w:tcPr>
          <w:p w14:paraId="4CE5A473" w14:textId="77777777" w:rsidR="00B156AA" w:rsidRPr="0030658B" w:rsidRDefault="00B156AA" w:rsidP="00EA5D22">
            <w:pPr>
              <w:pStyle w:val="Tabletext0"/>
              <w:keepNext/>
              <w:keepLines/>
              <w:rPr>
                <w:vertAlign w:val="superscript"/>
              </w:rPr>
            </w:pPr>
            <w:r>
              <w:rPr>
                <w:rFonts w:ascii="Cambria Math" w:hAnsi="Cambria Math"/>
                <w:color w:val="00B050"/>
              </w:rPr>
              <w:t>⨁⨁⨁</w:t>
            </w:r>
            <w:r w:rsidRPr="00D4733A">
              <w:rPr>
                <w:rFonts w:ascii="Cambria Math" w:hAnsi="Cambria Math" w:cs="Cambria Math"/>
                <w:color w:val="C00000"/>
              </w:rPr>
              <w:t>⨀</w:t>
            </w:r>
            <w:r w:rsidRPr="00097D83">
              <w:br/>
            </w:r>
            <w:r w:rsidRPr="00991696">
              <w:t xml:space="preserve">MODERATE </w:t>
            </w:r>
            <w:proofErr w:type="spellStart"/>
            <w:r w:rsidRPr="00991696">
              <w:rPr>
                <w:vertAlign w:val="superscript"/>
              </w:rPr>
              <w:t>a,c,f,i,j,k</w:t>
            </w:r>
            <w:proofErr w:type="spellEnd"/>
          </w:p>
        </w:tc>
        <w:tc>
          <w:tcPr>
            <w:tcW w:w="818" w:type="pct"/>
            <w:hideMark/>
          </w:tcPr>
          <w:p w14:paraId="20E2B77B" w14:textId="77777777" w:rsidR="00B156AA" w:rsidRPr="00097D83" w:rsidRDefault="00B156AA" w:rsidP="00EA5D22">
            <w:pPr>
              <w:pStyle w:val="Tabletext0"/>
              <w:keepNext/>
              <w:keepLines/>
            </w:pPr>
            <w:r w:rsidRPr="00097D83">
              <w:t>I</w:t>
            </w:r>
            <w:r>
              <w:t>GB</w:t>
            </w:r>
            <w:r w:rsidRPr="00097D83">
              <w:t xml:space="preserve"> plus lifestyle intervention appears to result in a large increase in device or procedure</w:t>
            </w:r>
            <w:r>
              <w:t>-</w:t>
            </w:r>
            <w:r w:rsidRPr="00097D83">
              <w:t xml:space="preserve">related serious AEs. </w:t>
            </w:r>
          </w:p>
        </w:tc>
      </w:tr>
    </w:tbl>
    <w:p w14:paraId="52C9E5B3" w14:textId="77777777" w:rsidR="00B156AA" w:rsidRDefault="00B156AA" w:rsidP="00EA5D22">
      <w:pPr>
        <w:pStyle w:val="TFAbbrevs18"/>
      </w:pPr>
      <w:r>
        <w:t xml:space="preserve">*The risk in the intervention group (and its 95% confidence interval) is based on the assumed risk in the comparison group and the relative effect of the intervention (and its 95% CI). </w:t>
      </w:r>
    </w:p>
    <w:p w14:paraId="267DF133" w14:textId="77777777" w:rsidR="00B156AA" w:rsidRDefault="00B156AA" w:rsidP="00EA5D22">
      <w:pPr>
        <w:pStyle w:val="TFAbbrevs18"/>
      </w:pPr>
      <w:r>
        <w:t xml:space="preserve">Abbreviations: AE, adverse events; BMI, body mass index; CI, Confidence interval; IGB, intragastric balloon; MD, Mean difference; RR, Risk ratio </w:t>
      </w:r>
    </w:p>
    <w:p w14:paraId="489AFDF4" w14:textId="77777777" w:rsidR="00B156AA" w:rsidRDefault="00B156AA" w:rsidP="00EA073F">
      <w:pPr>
        <w:pStyle w:val="TFAbbrevs18"/>
      </w:pPr>
      <w:r>
        <w:t xml:space="preserve">GRADE Working Group grades of evidence: </w:t>
      </w:r>
    </w:p>
    <w:p w14:paraId="7D0D5DF7" w14:textId="77777777" w:rsidR="00B156AA" w:rsidRDefault="00B156AA">
      <w:pPr>
        <w:pStyle w:val="TFAbbrevs18"/>
      </w:pPr>
      <w:r>
        <w:rPr>
          <w:rFonts w:ascii="Cambria Math" w:hAnsi="Cambria Math"/>
          <w:color w:val="00B050"/>
        </w:rPr>
        <w:t xml:space="preserve">⨁⨁⨁⨁ </w:t>
      </w:r>
      <w:r w:rsidRPr="00CF389F">
        <w:rPr>
          <w:rStyle w:val="Strong"/>
        </w:rPr>
        <w:t>High certainty</w:t>
      </w:r>
      <w:r>
        <w:t xml:space="preserve">: We are very confident that the true effect lies close to that of the estimate of the effect; </w:t>
      </w:r>
    </w:p>
    <w:p w14:paraId="04DAD541" w14:textId="77777777" w:rsidR="00B156AA" w:rsidRDefault="00B156AA">
      <w:pPr>
        <w:pStyle w:val="TFAbbrevs18"/>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341943">
        <w:rPr>
          <w:rStyle w:val="Strong"/>
        </w:rPr>
        <w:t xml:space="preserve">Moderate certainty: </w:t>
      </w:r>
      <w:r>
        <w:t xml:space="preserve">We are moderately confident in the effect estimate: The true effect is likely to be close to the estimate of the effect, but there is a possibility that it is substantially different; </w:t>
      </w:r>
    </w:p>
    <w:p w14:paraId="5A33D04A" w14:textId="77777777" w:rsidR="00B156AA" w:rsidRDefault="00B156AA">
      <w:pPr>
        <w:pStyle w:val="TFAbbrevs18"/>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341943">
        <w:rPr>
          <w:rStyle w:val="Strong"/>
        </w:rPr>
        <w:t>Low certainty</w:t>
      </w:r>
      <w:r>
        <w:t xml:space="preserve">: Our confidence in the effect estimate is limited: The true effect may be substantially different from the estimate of the effect; </w:t>
      </w:r>
    </w:p>
    <w:p w14:paraId="10CA9122" w14:textId="77777777" w:rsidR="00B156AA" w:rsidRDefault="00B156AA">
      <w:pPr>
        <w:pStyle w:val="TFAbbrevs18"/>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341943">
        <w:rPr>
          <w:rStyle w:val="Strong"/>
        </w:rPr>
        <w:t>Very low certainty:</w:t>
      </w:r>
      <w:r>
        <w:t xml:space="preserve"> We have very little confidence in the effect estimate: The true effect is likely to be substantially different from the estimate of effect</w:t>
      </w:r>
    </w:p>
    <w:p w14:paraId="462E8E8E" w14:textId="77777777" w:rsidR="00B156AA" w:rsidRPr="00991696" w:rsidRDefault="00B156AA">
      <w:pPr>
        <w:pStyle w:val="TFAbbrevs18"/>
      </w:pPr>
      <w:r w:rsidRPr="00991696">
        <w:t>a. Studies are open label</w:t>
      </w:r>
      <w:r>
        <w:t xml:space="preserve"> with h</w:t>
      </w:r>
      <w:r w:rsidRPr="00991696">
        <w:t xml:space="preserve">igh attrition </w:t>
      </w:r>
      <w:r>
        <w:t>rate</w:t>
      </w:r>
      <w:r w:rsidRPr="00991696">
        <w:t xml:space="preserve">. </w:t>
      </w:r>
      <w:r>
        <w:t>Overall h</w:t>
      </w:r>
      <w:r w:rsidRPr="00991696">
        <w:t xml:space="preserve">igh risk of bias is suspected. </w:t>
      </w:r>
    </w:p>
    <w:p w14:paraId="031FC930" w14:textId="77777777" w:rsidR="00B156AA" w:rsidRPr="00991696" w:rsidRDefault="00B156AA">
      <w:pPr>
        <w:pStyle w:val="TFAbbrevs18"/>
      </w:pPr>
      <w:r w:rsidRPr="00991696">
        <w:t>b. Studies are conducted in a broader population than the PICO. Results include patients who do not have diabetes and have a BMI 35-40. It is not expected that results would be significantly different in this population. See Section C</w:t>
      </w:r>
      <w:r>
        <w:t>.</w:t>
      </w:r>
      <w:r w:rsidRPr="00991696">
        <w:t xml:space="preserve"> </w:t>
      </w:r>
    </w:p>
    <w:p w14:paraId="7575E39E" w14:textId="77777777" w:rsidR="00B156AA" w:rsidRPr="00991696" w:rsidRDefault="00B156AA">
      <w:pPr>
        <w:pStyle w:val="TFAbbrevs18"/>
      </w:pPr>
      <w:r w:rsidRPr="00991696">
        <w:t xml:space="preserve">c. </w:t>
      </w:r>
      <w:r>
        <w:t>Certainty</w:t>
      </w:r>
      <w:r w:rsidRPr="00991696">
        <w:t xml:space="preserve"> of evidence upgraded due to large magnitude of effect with no plausible confounding</w:t>
      </w:r>
      <w:r>
        <w:t>.</w:t>
      </w:r>
      <w:r w:rsidRPr="00991696">
        <w:t xml:space="preserve"> </w:t>
      </w:r>
    </w:p>
    <w:p w14:paraId="46AA128C" w14:textId="77777777" w:rsidR="00B156AA" w:rsidRPr="00991696" w:rsidRDefault="00B156AA">
      <w:pPr>
        <w:pStyle w:val="TFAbbrevs18"/>
      </w:pPr>
      <w:r w:rsidRPr="00991696">
        <w:t>d. Single study. Body of literature is not well established, and consistency cannot be established</w:t>
      </w:r>
      <w:r>
        <w:t>.</w:t>
      </w:r>
      <w:r w:rsidRPr="00991696">
        <w:t xml:space="preserve"> </w:t>
      </w:r>
    </w:p>
    <w:p w14:paraId="05964FDE" w14:textId="77777777" w:rsidR="00B156AA" w:rsidRPr="00991696" w:rsidRDefault="00B156AA">
      <w:pPr>
        <w:pStyle w:val="TFAbbrevs18"/>
      </w:pPr>
      <w:r w:rsidRPr="00991696">
        <w:t xml:space="preserve">e. </w:t>
      </w:r>
      <w:r>
        <w:t>Single</w:t>
      </w:r>
      <w:r w:rsidRPr="00991696">
        <w:t xml:space="preserve"> study. Study conducted by sponsor</w:t>
      </w:r>
      <w:r>
        <w:t>. P</w:t>
      </w:r>
      <w:r w:rsidRPr="00991696">
        <w:t>ublication bias is suspected as it is unlikely sponsor would publish negative results</w:t>
      </w:r>
      <w:r>
        <w:t>.</w:t>
      </w:r>
      <w:r w:rsidRPr="00991696">
        <w:t xml:space="preserve"> </w:t>
      </w:r>
    </w:p>
    <w:p w14:paraId="7282A44E" w14:textId="77777777" w:rsidR="00B156AA" w:rsidRPr="00991696" w:rsidRDefault="00B156AA">
      <w:pPr>
        <w:pStyle w:val="TFAbbrevs18"/>
      </w:pPr>
      <w:r w:rsidRPr="00991696">
        <w:t xml:space="preserve">f. </w:t>
      </w:r>
      <w:r>
        <w:t>R</w:t>
      </w:r>
      <w:r w:rsidRPr="00991696">
        <w:t xml:space="preserve">esults not pooled and meta-analysis unable to be conducted. Imprecision unlikely </w:t>
      </w:r>
    </w:p>
    <w:p w14:paraId="18E62811" w14:textId="77777777" w:rsidR="00B156AA" w:rsidRPr="00991696" w:rsidRDefault="00B156AA">
      <w:pPr>
        <w:pStyle w:val="TFAbbrevs18"/>
      </w:pPr>
      <w:r w:rsidRPr="00991696">
        <w:t>g. No imprecision</w:t>
      </w:r>
      <w:r>
        <w:t>. B</w:t>
      </w:r>
      <w:r w:rsidRPr="00991696">
        <w:t>oundaries of the CI are on the same side of the effect threshold</w:t>
      </w:r>
      <w:r>
        <w:t>.</w:t>
      </w:r>
      <w:r w:rsidRPr="00991696">
        <w:t xml:space="preserve"> </w:t>
      </w:r>
    </w:p>
    <w:p w14:paraId="509BE506" w14:textId="77777777" w:rsidR="00B156AA" w:rsidRPr="00991696" w:rsidRDefault="00B156AA">
      <w:pPr>
        <w:pStyle w:val="TFAbbrevs18"/>
      </w:pPr>
      <w:r w:rsidRPr="00991696">
        <w:t xml:space="preserve">h. Significant reporting of AEs in unpublished registries. See </w:t>
      </w:r>
      <w:r>
        <w:t>S</w:t>
      </w:r>
      <w:r w:rsidRPr="00991696">
        <w:t>ection B7</w:t>
      </w:r>
      <w:r>
        <w:t>.</w:t>
      </w:r>
      <w:r w:rsidRPr="00991696">
        <w:t xml:space="preserve"> </w:t>
      </w:r>
    </w:p>
    <w:p w14:paraId="07ADF0A6" w14:textId="77777777" w:rsidR="00B156AA" w:rsidRPr="00991696" w:rsidRDefault="00B156AA">
      <w:pPr>
        <w:pStyle w:val="TFAbbrevs18"/>
      </w:pPr>
      <w:proofErr w:type="spellStart"/>
      <w:r w:rsidRPr="00991696">
        <w:t>i</w:t>
      </w:r>
      <w:proofErr w:type="spellEnd"/>
      <w:r w:rsidRPr="00991696">
        <w:t xml:space="preserve">. Significant potential of reporting bias due to </w:t>
      </w:r>
      <w:proofErr w:type="spellStart"/>
      <w:r w:rsidRPr="00991696">
        <w:t>unblinded</w:t>
      </w:r>
      <w:proofErr w:type="spellEnd"/>
      <w:r w:rsidRPr="00991696">
        <w:t xml:space="preserve"> investigators. Can categorise AEs and their severity differently</w:t>
      </w:r>
      <w:r>
        <w:t>.</w:t>
      </w:r>
      <w:r w:rsidRPr="00991696">
        <w:t xml:space="preserve"> </w:t>
      </w:r>
    </w:p>
    <w:p w14:paraId="36F5BF23" w14:textId="77777777" w:rsidR="00B156AA" w:rsidRPr="00991696" w:rsidRDefault="00B156AA">
      <w:pPr>
        <w:pStyle w:val="TFAbbrevs18"/>
      </w:pPr>
      <w:r w:rsidRPr="00991696">
        <w:t>j. Results not pooled. Reported AEs similar between studies</w:t>
      </w:r>
      <w:r>
        <w:t>.</w:t>
      </w:r>
      <w:r w:rsidRPr="00991696">
        <w:t xml:space="preserve"> </w:t>
      </w:r>
    </w:p>
    <w:p w14:paraId="29E0C188" w14:textId="42D9775D" w:rsidR="00EA5D22" w:rsidRPr="00553A57" w:rsidRDefault="00B156AA" w:rsidP="00553A57">
      <w:pPr>
        <w:pStyle w:val="TFAbbrevs18"/>
      </w:pPr>
      <w:r w:rsidRPr="00991696">
        <w:t xml:space="preserve">k. It is unlikely that the broader population would affect reported AEs </w:t>
      </w:r>
      <w:r w:rsidR="00EA5D22">
        <w:br w:type="page"/>
      </w:r>
    </w:p>
    <w:p w14:paraId="338047AF" w14:textId="2B1398FC" w:rsidR="00BC1364" w:rsidRPr="00F715D1" w:rsidRDefault="00BC1364" w:rsidP="00F715D1">
      <w:pPr>
        <w:pStyle w:val="Heading1"/>
      </w:pPr>
      <w:r w:rsidRPr="00F715D1">
        <w:lastRenderedPageBreak/>
        <w:t>Comparative effectiveness</w:t>
      </w:r>
    </w:p>
    <w:p w14:paraId="62CA7419" w14:textId="58EFED2D" w:rsidR="00B156AA" w:rsidRDefault="00B156AA" w:rsidP="00B044E4">
      <w:pPr>
        <w:spacing w:after="240"/>
      </w:pPr>
      <w:r>
        <w:t xml:space="preserve">The Critique summarised the CA results: overall, </w:t>
      </w:r>
      <w:r w:rsidRPr="000602D1">
        <w:t xml:space="preserve">patients in the IGB group had significantly more percentage total body weight loss, absolute weight loss and BMI reduction than the control group from baseline to 6 months and 12 months. Significantly more patients in the IGB group achieved clinically meaningful 10% total body weight loss (TBWL) compared with the control group at 6 months and 12 months. Percentage excess body weight loss (EWL) from baseline to 9 months also significantly favoured the IGB plus lifestyle over the lifestyle alone intervention. Moreover, in the IGB group, the %TBWL (at 6 months) and %EWL (at 9 months) were clinically significant in both studies. </w:t>
      </w:r>
      <w:r>
        <w:t>(Table 4).</w:t>
      </w:r>
    </w:p>
    <w:p w14:paraId="00C71D34" w14:textId="5113ED46" w:rsidR="00B156AA" w:rsidRDefault="00B156AA" w:rsidP="00B044E4">
      <w:pPr>
        <w:spacing w:after="240"/>
      </w:pPr>
      <w:r>
        <w:t xml:space="preserve">However, </w:t>
      </w:r>
      <w:r w:rsidRPr="000602D1">
        <w:t>weight regain from 6 to 12 months was substantial in both studies. The effect size of the weight loss outcomes was consistently smaller at 12 months than 6 months, with some patients gaining back more weight than lost. Given that the follow-up period is only for 12</w:t>
      </w:r>
      <w:r w:rsidR="00EA5D22">
        <w:t> </w:t>
      </w:r>
      <w:r w:rsidRPr="000602D1">
        <w:t>months, it is uncertain whether the effectiveness of the IGB plus lifestyle intervention can be sustained longer term. There is a lack of RCT or high-quality observational evidence to support effectiveness beyond 12 months.</w:t>
      </w:r>
    </w:p>
    <w:p w14:paraId="71B81394" w14:textId="77777777" w:rsidR="00B156AA" w:rsidRPr="00DD6B45" w:rsidRDefault="00B156AA" w:rsidP="00DD6B45">
      <w:pPr>
        <w:rPr>
          <w:rFonts w:ascii="Arial Narrow" w:hAnsi="Arial Narrow"/>
          <w:b/>
          <w:sz w:val="20"/>
        </w:rPr>
      </w:pPr>
      <w:bookmarkStart w:id="13" w:name="_Ref534355057"/>
      <w:bookmarkStart w:id="14" w:name="_Toc1371959"/>
      <w:r w:rsidRPr="00DD6B45">
        <w:rPr>
          <w:rFonts w:ascii="Arial Narrow" w:hAnsi="Arial Narrow"/>
          <w:b/>
          <w:sz w:val="20"/>
        </w:rPr>
        <w:t xml:space="preserve">Table </w:t>
      </w:r>
      <w:bookmarkEnd w:id="13"/>
      <w:r w:rsidRPr="00DD6B45">
        <w:rPr>
          <w:rFonts w:ascii="Arial Narrow" w:hAnsi="Arial Narrow"/>
          <w:b/>
          <w:sz w:val="20"/>
        </w:rPr>
        <w:t>4</w:t>
      </w:r>
      <w:r w:rsidRPr="00DD6B45">
        <w:rPr>
          <w:rFonts w:ascii="Arial Narrow" w:hAnsi="Arial Narrow"/>
          <w:b/>
          <w:sz w:val="20"/>
        </w:rPr>
        <w:tab/>
        <w:t>GRADE summary of findings table of key efficacy outcomes</w:t>
      </w:r>
      <w:bookmarkEnd w:id="14"/>
    </w:p>
    <w:tbl>
      <w:tblPr>
        <w:tblStyle w:val="TableGrid1"/>
        <w:tblW w:w="0" w:type="auto"/>
        <w:tblInd w:w="-5" w:type="dxa"/>
        <w:tblLook w:val="04A0" w:firstRow="1" w:lastRow="0" w:firstColumn="1" w:lastColumn="0" w:noHBand="0" w:noVBand="1"/>
        <w:tblCaption w:val="GRADE summary of findings table of key efficacy outcomes "/>
        <w:tblDescription w:val="This table describes GRADE summary of findings table of key efficacy outcomes "/>
      </w:tblPr>
      <w:tblGrid>
        <w:gridCol w:w="1416"/>
        <w:gridCol w:w="1416"/>
        <w:gridCol w:w="1137"/>
        <w:gridCol w:w="280"/>
        <w:gridCol w:w="991"/>
        <w:gridCol w:w="1146"/>
        <w:gridCol w:w="1127"/>
        <w:gridCol w:w="1508"/>
      </w:tblGrid>
      <w:tr w:rsidR="00B156AA" w:rsidRPr="00EA5D22" w14:paraId="33635F88" w14:textId="77777777" w:rsidTr="00B156AA">
        <w:trPr>
          <w:cnfStyle w:val="100000000000" w:firstRow="1" w:lastRow="0" w:firstColumn="0" w:lastColumn="0" w:oddVBand="0" w:evenVBand="0" w:oddHBand="0" w:evenHBand="0" w:firstRowFirstColumn="0" w:firstRowLastColumn="0" w:lastRowFirstColumn="0" w:lastRowLastColumn="0"/>
          <w:tblHeader/>
        </w:trPr>
        <w:tc>
          <w:tcPr>
            <w:tcW w:w="1416" w:type="dxa"/>
            <w:hideMark/>
          </w:tcPr>
          <w:p w14:paraId="3DD3FDBE" w14:textId="77777777" w:rsidR="00B156AA" w:rsidRPr="00EA5D22" w:rsidRDefault="00B156AA" w:rsidP="00B156AA">
            <w:pPr>
              <w:pStyle w:val="TableHeading"/>
              <w:rPr>
                <w:rFonts w:eastAsiaTheme="minorEastAsia"/>
                <w:sz w:val="18"/>
                <w:szCs w:val="18"/>
              </w:rPr>
            </w:pPr>
            <w:r w:rsidRPr="00EA5D22">
              <w:rPr>
                <w:sz w:val="18"/>
                <w:szCs w:val="18"/>
              </w:rPr>
              <w:t>Outcomes</w:t>
            </w:r>
          </w:p>
        </w:tc>
        <w:tc>
          <w:tcPr>
            <w:tcW w:w="2553" w:type="dxa"/>
            <w:gridSpan w:val="2"/>
            <w:tcBorders>
              <w:right w:val="nil"/>
            </w:tcBorders>
            <w:hideMark/>
          </w:tcPr>
          <w:p w14:paraId="08BA3379" w14:textId="77777777" w:rsidR="00B156AA" w:rsidRPr="00EA5D22" w:rsidRDefault="00B156AA" w:rsidP="00B156AA">
            <w:pPr>
              <w:pStyle w:val="TableHeading"/>
              <w:rPr>
                <w:sz w:val="18"/>
                <w:szCs w:val="18"/>
              </w:rPr>
            </w:pPr>
            <w:r w:rsidRPr="00EA5D22">
              <w:rPr>
                <w:sz w:val="18"/>
                <w:szCs w:val="18"/>
              </w:rPr>
              <w:t>Anticipated absolute effects</w:t>
            </w:r>
            <w:r w:rsidRPr="00EA5D22">
              <w:rPr>
                <w:sz w:val="18"/>
                <w:szCs w:val="18"/>
                <w:vertAlign w:val="superscript"/>
              </w:rPr>
              <w:t>*</w:t>
            </w:r>
            <w:r w:rsidRPr="00EA5D22">
              <w:rPr>
                <w:sz w:val="18"/>
                <w:szCs w:val="18"/>
              </w:rPr>
              <w:t xml:space="preserve"> (95% CI) </w:t>
            </w:r>
          </w:p>
        </w:tc>
        <w:tc>
          <w:tcPr>
            <w:tcW w:w="280" w:type="dxa"/>
            <w:tcBorders>
              <w:left w:val="nil"/>
            </w:tcBorders>
          </w:tcPr>
          <w:p w14:paraId="6A556D70" w14:textId="77777777" w:rsidR="00B156AA" w:rsidRPr="00EA5D22" w:rsidRDefault="00B156AA" w:rsidP="00B156AA">
            <w:pPr>
              <w:pStyle w:val="TableHeading0"/>
              <w:rPr>
                <w:sz w:val="18"/>
                <w:szCs w:val="18"/>
              </w:rPr>
            </w:pPr>
          </w:p>
        </w:tc>
        <w:tc>
          <w:tcPr>
            <w:tcW w:w="991" w:type="dxa"/>
            <w:hideMark/>
          </w:tcPr>
          <w:p w14:paraId="6A5462A3" w14:textId="77777777" w:rsidR="00B156AA" w:rsidRPr="00EA5D22" w:rsidRDefault="00B156AA" w:rsidP="00B156AA">
            <w:pPr>
              <w:pStyle w:val="TableHeadingcenter"/>
              <w:keepLines/>
              <w:rPr>
                <w:sz w:val="18"/>
                <w:szCs w:val="18"/>
              </w:rPr>
            </w:pPr>
            <w:r w:rsidRPr="00EA5D22">
              <w:rPr>
                <w:sz w:val="18"/>
                <w:szCs w:val="18"/>
              </w:rPr>
              <w:t>Relative effect</w:t>
            </w:r>
            <w:r w:rsidRPr="00EA5D22">
              <w:rPr>
                <w:sz w:val="18"/>
                <w:szCs w:val="18"/>
              </w:rPr>
              <w:br/>
              <w:t xml:space="preserve">(95% CI) </w:t>
            </w:r>
          </w:p>
        </w:tc>
        <w:tc>
          <w:tcPr>
            <w:tcW w:w="1146" w:type="dxa"/>
            <w:hideMark/>
          </w:tcPr>
          <w:p w14:paraId="4258F835" w14:textId="77777777" w:rsidR="00B156AA" w:rsidRPr="00EA5D22" w:rsidRDefault="00B156AA" w:rsidP="00B156AA">
            <w:pPr>
              <w:pStyle w:val="TableHeadingcenter"/>
              <w:keepLines/>
              <w:rPr>
                <w:sz w:val="18"/>
                <w:szCs w:val="18"/>
              </w:rPr>
            </w:pPr>
            <w:r w:rsidRPr="00EA5D22">
              <w:rPr>
                <w:sz w:val="18"/>
                <w:szCs w:val="18"/>
              </w:rPr>
              <w:t xml:space="preserve">№ of participants </w:t>
            </w:r>
            <w:r w:rsidRPr="00EA5D22">
              <w:rPr>
                <w:sz w:val="18"/>
                <w:szCs w:val="18"/>
              </w:rPr>
              <w:br/>
              <w:t xml:space="preserve">(studies) </w:t>
            </w:r>
          </w:p>
        </w:tc>
        <w:tc>
          <w:tcPr>
            <w:tcW w:w="1127" w:type="dxa"/>
            <w:hideMark/>
          </w:tcPr>
          <w:p w14:paraId="6A36DFCB" w14:textId="77777777" w:rsidR="00B156AA" w:rsidRPr="00EA5D22" w:rsidRDefault="00B156AA" w:rsidP="00B156AA">
            <w:pPr>
              <w:pStyle w:val="TableHeadingcenter"/>
              <w:keepLines/>
              <w:rPr>
                <w:sz w:val="18"/>
                <w:szCs w:val="18"/>
              </w:rPr>
            </w:pPr>
            <w:r w:rsidRPr="00EA5D22">
              <w:rPr>
                <w:sz w:val="18"/>
                <w:szCs w:val="18"/>
              </w:rPr>
              <w:t>Certainty of the evidence</w:t>
            </w:r>
            <w:r w:rsidRPr="00EA5D22">
              <w:rPr>
                <w:sz w:val="18"/>
                <w:szCs w:val="18"/>
              </w:rPr>
              <w:br/>
              <w:t xml:space="preserve">(GRADE) </w:t>
            </w:r>
          </w:p>
        </w:tc>
        <w:tc>
          <w:tcPr>
            <w:tcW w:w="1508" w:type="dxa"/>
            <w:hideMark/>
          </w:tcPr>
          <w:p w14:paraId="56346714" w14:textId="77777777" w:rsidR="00B156AA" w:rsidRPr="00EA5D22" w:rsidRDefault="00B156AA" w:rsidP="00B156AA">
            <w:pPr>
              <w:pStyle w:val="TableHeading"/>
              <w:rPr>
                <w:sz w:val="18"/>
                <w:szCs w:val="18"/>
              </w:rPr>
            </w:pPr>
            <w:r w:rsidRPr="00EA5D22">
              <w:rPr>
                <w:sz w:val="18"/>
                <w:szCs w:val="18"/>
              </w:rPr>
              <w:t>Comments</w:t>
            </w:r>
          </w:p>
        </w:tc>
      </w:tr>
      <w:tr w:rsidR="00B156AA" w:rsidRPr="00EA5D22" w14:paraId="13D59696" w14:textId="77777777" w:rsidTr="00B156AA">
        <w:trPr>
          <w:cnfStyle w:val="100000000000" w:firstRow="1" w:lastRow="0" w:firstColumn="0" w:lastColumn="0" w:oddVBand="0" w:evenVBand="0" w:oddHBand="0" w:evenHBand="0" w:firstRowFirstColumn="0" w:firstRowLastColumn="0" w:lastRowFirstColumn="0" w:lastRowLastColumn="0"/>
          <w:tblHeader/>
        </w:trPr>
        <w:tc>
          <w:tcPr>
            <w:tcW w:w="1416" w:type="dxa"/>
            <w:hideMark/>
          </w:tcPr>
          <w:p w14:paraId="0654A227" w14:textId="77777777" w:rsidR="00B156AA" w:rsidRPr="00EA5D22" w:rsidRDefault="00B156AA" w:rsidP="00B156AA">
            <w:pPr>
              <w:pStyle w:val="TableText1"/>
              <w:keepLines/>
              <w:widowControl w:val="0"/>
              <w:rPr>
                <w:rFonts w:eastAsiaTheme="minorEastAsia"/>
                <w:sz w:val="18"/>
                <w:szCs w:val="18"/>
              </w:rPr>
            </w:pPr>
          </w:p>
        </w:tc>
        <w:tc>
          <w:tcPr>
            <w:tcW w:w="1416" w:type="dxa"/>
            <w:hideMark/>
          </w:tcPr>
          <w:p w14:paraId="77DD590D" w14:textId="77777777" w:rsidR="00B156AA" w:rsidRPr="00EA5D22" w:rsidRDefault="00B156AA" w:rsidP="00B156AA">
            <w:pPr>
              <w:pStyle w:val="TableHeadingcenter"/>
              <w:keepLines/>
              <w:rPr>
                <w:sz w:val="18"/>
                <w:szCs w:val="18"/>
              </w:rPr>
            </w:pPr>
            <w:r w:rsidRPr="00EA5D22">
              <w:rPr>
                <w:sz w:val="18"/>
                <w:szCs w:val="18"/>
              </w:rPr>
              <w:t>Risk with Lifestyle intervention</w:t>
            </w:r>
          </w:p>
        </w:tc>
        <w:tc>
          <w:tcPr>
            <w:tcW w:w="1417" w:type="dxa"/>
            <w:gridSpan w:val="2"/>
            <w:hideMark/>
          </w:tcPr>
          <w:p w14:paraId="01AE5258" w14:textId="77777777" w:rsidR="00B156AA" w:rsidRPr="00EA5D22" w:rsidRDefault="00B156AA" w:rsidP="00B156AA">
            <w:pPr>
              <w:pStyle w:val="TableHeadingcenter"/>
              <w:keepLines/>
              <w:rPr>
                <w:sz w:val="18"/>
                <w:szCs w:val="18"/>
              </w:rPr>
            </w:pPr>
            <w:r w:rsidRPr="00EA5D22">
              <w:rPr>
                <w:sz w:val="18"/>
                <w:szCs w:val="18"/>
              </w:rPr>
              <w:t>Risk with IGB plus lifestyle intervention</w:t>
            </w:r>
          </w:p>
        </w:tc>
        <w:tc>
          <w:tcPr>
            <w:tcW w:w="991" w:type="dxa"/>
            <w:hideMark/>
          </w:tcPr>
          <w:p w14:paraId="1799AEF2" w14:textId="77777777" w:rsidR="00B156AA" w:rsidRPr="00EA5D22" w:rsidRDefault="00B156AA" w:rsidP="00B156AA">
            <w:pPr>
              <w:pStyle w:val="TableTextcenter"/>
              <w:keepLines/>
              <w:rPr>
                <w:rFonts w:eastAsiaTheme="minorEastAsia"/>
                <w:sz w:val="18"/>
                <w:szCs w:val="18"/>
              </w:rPr>
            </w:pPr>
          </w:p>
        </w:tc>
        <w:tc>
          <w:tcPr>
            <w:tcW w:w="1146" w:type="dxa"/>
            <w:hideMark/>
          </w:tcPr>
          <w:p w14:paraId="7DD93D80" w14:textId="77777777" w:rsidR="00B156AA" w:rsidRPr="00EA5D22" w:rsidRDefault="00B156AA" w:rsidP="00B156AA">
            <w:pPr>
              <w:pStyle w:val="TableTextcenter"/>
              <w:keepLines/>
              <w:rPr>
                <w:rFonts w:eastAsiaTheme="minorEastAsia"/>
                <w:sz w:val="18"/>
                <w:szCs w:val="18"/>
              </w:rPr>
            </w:pPr>
          </w:p>
        </w:tc>
        <w:tc>
          <w:tcPr>
            <w:tcW w:w="1127" w:type="dxa"/>
            <w:hideMark/>
          </w:tcPr>
          <w:p w14:paraId="12194233" w14:textId="77777777" w:rsidR="00B156AA" w:rsidRPr="00EA5D22" w:rsidRDefault="00B156AA" w:rsidP="00B156AA">
            <w:pPr>
              <w:pStyle w:val="TableTextcenter"/>
              <w:keepLines/>
              <w:rPr>
                <w:rFonts w:eastAsiaTheme="minorEastAsia"/>
                <w:sz w:val="18"/>
                <w:szCs w:val="18"/>
              </w:rPr>
            </w:pPr>
          </w:p>
        </w:tc>
        <w:tc>
          <w:tcPr>
            <w:tcW w:w="1508" w:type="dxa"/>
            <w:hideMark/>
          </w:tcPr>
          <w:p w14:paraId="6E0D6B2D" w14:textId="77777777" w:rsidR="00B156AA" w:rsidRPr="00EA5D22" w:rsidRDefault="00B156AA" w:rsidP="00B156AA">
            <w:pPr>
              <w:pStyle w:val="TableText1"/>
              <w:keepLines/>
              <w:widowControl w:val="0"/>
              <w:rPr>
                <w:rFonts w:eastAsiaTheme="minorEastAsia"/>
                <w:sz w:val="18"/>
                <w:szCs w:val="18"/>
              </w:rPr>
            </w:pPr>
          </w:p>
        </w:tc>
      </w:tr>
      <w:tr w:rsidR="00B156AA" w:rsidRPr="00EA5D22" w14:paraId="39B6B0C0" w14:textId="77777777" w:rsidTr="00B156AA">
        <w:tc>
          <w:tcPr>
            <w:tcW w:w="1416" w:type="dxa"/>
            <w:hideMark/>
          </w:tcPr>
          <w:p w14:paraId="03FEA813" w14:textId="77777777" w:rsidR="00B156AA" w:rsidRPr="00EA5D22" w:rsidRDefault="00B156AA" w:rsidP="00B156AA">
            <w:pPr>
              <w:pStyle w:val="TableTextLeft"/>
              <w:keepLines/>
              <w:rPr>
                <w:sz w:val="18"/>
                <w:szCs w:val="18"/>
              </w:rPr>
            </w:pPr>
            <w:r w:rsidRPr="00EA5D22">
              <w:rPr>
                <w:sz w:val="18"/>
                <w:szCs w:val="18"/>
              </w:rPr>
              <w:t>Mean percent total body weight loss from baseline</w:t>
            </w:r>
            <w:r w:rsidRPr="00EA5D22">
              <w:rPr>
                <w:sz w:val="18"/>
                <w:szCs w:val="18"/>
              </w:rPr>
              <w:br/>
            </w:r>
            <w:r w:rsidRPr="00EA5D22">
              <w:rPr>
                <w:rStyle w:val="label"/>
                <w:sz w:val="18"/>
                <w:szCs w:val="18"/>
              </w:rPr>
              <w:t>follow up: mean 6 months</w:t>
            </w:r>
            <w:r w:rsidRPr="00EA5D22">
              <w:rPr>
                <w:sz w:val="18"/>
                <w:szCs w:val="18"/>
              </w:rPr>
              <w:t xml:space="preserve"> </w:t>
            </w:r>
          </w:p>
        </w:tc>
        <w:tc>
          <w:tcPr>
            <w:tcW w:w="1416" w:type="dxa"/>
            <w:hideMark/>
          </w:tcPr>
          <w:p w14:paraId="5B82A17D" w14:textId="77777777" w:rsidR="00B156AA" w:rsidRPr="00EA5D22" w:rsidRDefault="00B156AA" w:rsidP="00B156AA">
            <w:pPr>
              <w:pStyle w:val="TableTextcenter"/>
              <w:keepLines/>
              <w:rPr>
                <w:sz w:val="18"/>
                <w:szCs w:val="18"/>
              </w:rPr>
            </w:pPr>
            <w:r w:rsidRPr="00EA5D22">
              <w:rPr>
                <w:sz w:val="18"/>
                <w:szCs w:val="18"/>
              </w:rPr>
              <w:t>-</w:t>
            </w:r>
          </w:p>
        </w:tc>
        <w:tc>
          <w:tcPr>
            <w:tcW w:w="1417" w:type="dxa"/>
            <w:gridSpan w:val="2"/>
            <w:hideMark/>
          </w:tcPr>
          <w:p w14:paraId="3D7A2847" w14:textId="77777777" w:rsidR="00B156AA" w:rsidRPr="00EA5D22" w:rsidRDefault="00B156AA" w:rsidP="00B156AA">
            <w:pPr>
              <w:pStyle w:val="TableTextcenter"/>
              <w:keepLines/>
              <w:rPr>
                <w:sz w:val="18"/>
                <w:szCs w:val="18"/>
              </w:rPr>
            </w:pPr>
            <w:r w:rsidRPr="00EA5D22">
              <w:rPr>
                <w:rStyle w:val="cell-value"/>
                <w:sz w:val="18"/>
                <w:szCs w:val="18"/>
              </w:rPr>
              <w:t>The mean percent total body weight loss from baseline in the intervention group was 7.85 % lower (10.23 lower to 5.47 lower)</w:t>
            </w:r>
            <w:r w:rsidRPr="00EA5D22">
              <w:rPr>
                <w:sz w:val="18"/>
                <w:szCs w:val="18"/>
              </w:rPr>
              <w:t xml:space="preserve"> </w:t>
            </w:r>
          </w:p>
        </w:tc>
        <w:tc>
          <w:tcPr>
            <w:tcW w:w="991" w:type="dxa"/>
            <w:hideMark/>
          </w:tcPr>
          <w:p w14:paraId="12680CE7" w14:textId="77777777" w:rsidR="00B156AA" w:rsidRPr="00EA5D22" w:rsidRDefault="00B156AA" w:rsidP="00B156AA">
            <w:pPr>
              <w:pStyle w:val="TableTextcenter"/>
              <w:keepLines/>
              <w:rPr>
                <w:sz w:val="18"/>
                <w:szCs w:val="18"/>
              </w:rPr>
            </w:pPr>
            <w:r w:rsidRPr="00EA5D22">
              <w:rPr>
                <w:rStyle w:val="cell"/>
                <w:sz w:val="18"/>
                <w:szCs w:val="18"/>
              </w:rPr>
              <w:t>-</w:t>
            </w:r>
            <w:r w:rsidRPr="00EA5D22">
              <w:rPr>
                <w:sz w:val="18"/>
                <w:szCs w:val="18"/>
              </w:rPr>
              <w:t xml:space="preserve"> </w:t>
            </w:r>
          </w:p>
        </w:tc>
        <w:tc>
          <w:tcPr>
            <w:tcW w:w="1146" w:type="dxa"/>
            <w:hideMark/>
          </w:tcPr>
          <w:p w14:paraId="3CC3BCFB" w14:textId="77777777" w:rsidR="00B156AA" w:rsidRPr="00EA5D22" w:rsidRDefault="00B156AA" w:rsidP="00B156AA">
            <w:pPr>
              <w:pStyle w:val="TableTextcenter"/>
              <w:keepLines/>
              <w:rPr>
                <w:sz w:val="18"/>
                <w:szCs w:val="18"/>
              </w:rPr>
            </w:pPr>
            <w:r w:rsidRPr="00EA5D22">
              <w:rPr>
                <w:sz w:val="18"/>
                <w:szCs w:val="18"/>
              </w:rPr>
              <w:t>321</w:t>
            </w:r>
            <w:r w:rsidRPr="00EA5D22">
              <w:rPr>
                <w:sz w:val="18"/>
                <w:szCs w:val="18"/>
              </w:rPr>
              <w:br/>
              <w:t xml:space="preserve">(2 RCTs) </w:t>
            </w:r>
          </w:p>
        </w:tc>
        <w:tc>
          <w:tcPr>
            <w:tcW w:w="1127" w:type="dxa"/>
            <w:hideMark/>
          </w:tcPr>
          <w:p w14:paraId="3C35B277" w14:textId="77777777" w:rsidR="00B156AA" w:rsidRPr="00EA5D22" w:rsidRDefault="00B156AA" w:rsidP="00B156AA">
            <w:pPr>
              <w:pStyle w:val="TableTextcenter"/>
              <w:keepLines/>
              <w:rPr>
                <w:sz w:val="18"/>
                <w:szCs w:val="18"/>
              </w:rPr>
            </w:pPr>
            <w:r w:rsidRPr="00EA5D22">
              <w:rPr>
                <w:rFonts w:ascii="Cambria Math" w:hAnsi="Cambria Math"/>
                <w:color w:val="00B050"/>
                <w:sz w:val="18"/>
                <w:szCs w:val="18"/>
              </w:rPr>
              <w:t>⨁</w:t>
            </w:r>
            <w:r w:rsidRPr="00EA5D22">
              <w:rPr>
                <w:rFonts w:ascii="Cambria Math" w:hAnsi="Cambria Math" w:cs="Cambria Math"/>
                <w:color w:val="C00000"/>
                <w:sz w:val="18"/>
                <w:szCs w:val="18"/>
              </w:rPr>
              <w:t>⨀⨀⨀</w:t>
            </w:r>
            <w:r w:rsidRPr="00EA5D22">
              <w:rPr>
                <w:sz w:val="18"/>
                <w:szCs w:val="18"/>
              </w:rPr>
              <w:br/>
              <w:t xml:space="preserve">VERY LOW </w:t>
            </w:r>
            <w:proofErr w:type="spellStart"/>
            <w:r w:rsidRPr="00EA5D22">
              <w:rPr>
                <w:sz w:val="18"/>
                <w:szCs w:val="18"/>
                <w:vertAlign w:val="superscript"/>
              </w:rPr>
              <w:t>a,b,c,d</w:t>
            </w:r>
            <w:proofErr w:type="spellEnd"/>
          </w:p>
        </w:tc>
        <w:tc>
          <w:tcPr>
            <w:tcW w:w="1508" w:type="dxa"/>
            <w:hideMark/>
          </w:tcPr>
          <w:p w14:paraId="730C4B6E" w14:textId="77777777" w:rsidR="00B156AA" w:rsidRPr="00EA5D22" w:rsidRDefault="00B156AA" w:rsidP="00B156AA">
            <w:pPr>
              <w:pStyle w:val="Tabletext0"/>
              <w:keepLines/>
              <w:rPr>
                <w:sz w:val="18"/>
                <w:szCs w:val="18"/>
              </w:rPr>
            </w:pPr>
            <w:r w:rsidRPr="00EA5D22">
              <w:rPr>
                <w:sz w:val="18"/>
                <w:szCs w:val="18"/>
              </w:rPr>
              <w:t xml:space="preserve">IGB plus lifestyle intervention may reduce mean percent total body weight from baseline at 6 months but we are very uncertain. </w:t>
            </w:r>
          </w:p>
        </w:tc>
      </w:tr>
      <w:tr w:rsidR="00B156AA" w:rsidRPr="00EA5D22" w14:paraId="550B23F0" w14:textId="77777777" w:rsidTr="00B156AA">
        <w:tc>
          <w:tcPr>
            <w:tcW w:w="1416" w:type="dxa"/>
            <w:hideMark/>
          </w:tcPr>
          <w:p w14:paraId="30A77DE8" w14:textId="77777777" w:rsidR="00B156AA" w:rsidRPr="00EA5D22" w:rsidRDefault="00B156AA" w:rsidP="00B156AA">
            <w:pPr>
              <w:pStyle w:val="TableTextLeft"/>
              <w:keepLines/>
              <w:rPr>
                <w:sz w:val="18"/>
                <w:szCs w:val="18"/>
              </w:rPr>
            </w:pPr>
            <w:r w:rsidRPr="00EA5D22">
              <w:rPr>
                <w:sz w:val="18"/>
                <w:szCs w:val="18"/>
              </w:rPr>
              <w:t xml:space="preserve">Mean percent total body weight loss from baseline </w:t>
            </w:r>
            <w:r w:rsidRPr="00EA5D22">
              <w:rPr>
                <w:sz w:val="18"/>
                <w:szCs w:val="18"/>
              </w:rPr>
              <w:br/>
            </w:r>
            <w:r w:rsidRPr="00EA5D22">
              <w:rPr>
                <w:rStyle w:val="label"/>
                <w:sz w:val="18"/>
                <w:szCs w:val="18"/>
              </w:rPr>
              <w:t>follow up: mean 12 months</w:t>
            </w:r>
            <w:r w:rsidRPr="00EA5D22">
              <w:rPr>
                <w:sz w:val="18"/>
                <w:szCs w:val="18"/>
              </w:rPr>
              <w:t xml:space="preserve"> </w:t>
            </w:r>
          </w:p>
        </w:tc>
        <w:tc>
          <w:tcPr>
            <w:tcW w:w="1416" w:type="dxa"/>
            <w:hideMark/>
          </w:tcPr>
          <w:p w14:paraId="2496040D" w14:textId="77777777" w:rsidR="00B156AA" w:rsidRPr="00EA5D22" w:rsidRDefault="00B156AA" w:rsidP="00B156AA">
            <w:pPr>
              <w:pStyle w:val="TableTextcenter"/>
              <w:keepLines/>
              <w:rPr>
                <w:sz w:val="18"/>
                <w:szCs w:val="18"/>
              </w:rPr>
            </w:pPr>
            <w:r w:rsidRPr="00EA5D22">
              <w:rPr>
                <w:sz w:val="18"/>
                <w:szCs w:val="18"/>
              </w:rPr>
              <w:t>-</w:t>
            </w:r>
          </w:p>
        </w:tc>
        <w:tc>
          <w:tcPr>
            <w:tcW w:w="1417" w:type="dxa"/>
            <w:gridSpan w:val="2"/>
            <w:hideMark/>
          </w:tcPr>
          <w:p w14:paraId="2A26273D" w14:textId="77777777" w:rsidR="00B156AA" w:rsidRPr="00EA5D22" w:rsidRDefault="00B156AA" w:rsidP="00B156AA">
            <w:pPr>
              <w:pStyle w:val="TableTextcenter"/>
              <w:keepLines/>
              <w:rPr>
                <w:sz w:val="18"/>
                <w:szCs w:val="18"/>
              </w:rPr>
            </w:pPr>
            <w:r w:rsidRPr="00EA5D22">
              <w:rPr>
                <w:rStyle w:val="cell-value"/>
                <w:sz w:val="18"/>
                <w:szCs w:val="18"/>
              </w:rPr>
              <w:t>The mean percent total body weight loss from baseline in the intervention group was 4.38 % lower (5.82 lower to 2.94 lower)</w:t>
            </w:r>
            <w:r w:rsidRPr="00EA5D22">
              <w:rPr>
                <w:sz w:val="18"/>
                <w:szCs w:val="18"/>
              </w:rPr>
              <w:t xml:space="preserve"> </w:t>
            </w:r>
          </w:p>
        </w:tc>
        <w:tc>
          <w:tcPr>
            <w:tcW w:w="991" w:type="dxa"/>
            <w:hideMark/>
          </w:tcPr>
          <w:p w14:paraId="14BC11B3" w14:textId="77777777" w:rsidR="00B156AA" w:rsidRPr="00EA5D22" w:rsidRDefault="00B156AA" w:rsidP="00B156AA">
            <w:pPr>
              <w:pStyle w:val="TableTextcenter"/>
              <w:keepLines/>
              <w:rPr>
                <w:sz w:val="18"/>
                <w:szCs w:val="18"/>
              </w:rPr>
            </w:pPr>
            <w:r w:rsidRPr="00EA5D22">
              <w:rPr>
                <w:rStyle w:val="cell"/>
                <w:sz w:val="18"/>
                <w:szCs w:val="18"/>
              </w:rPr>
              <w:t>-</w:t>
            </w:r>
            <w:r w:rsidRPr="00EA5D22">
              <w:rPr>
                <w:sz w:val="18"/>
                <w:szCs w:val="18"/>
              </w:rPr>
              <w:t xml:space="preserve"> </w:t>
            </w:r>
          </w:p>
        </w:tc>
        <w:tc>
          <w:tcPr>
            <w:tcW w:w="1146" w:type="dxa"/>
            <w:hideMark/>
          </w:tcPr>
          <w:p w14:paraId="0DFFBEE5" w14:textId="77777777" w:rsidR="00B156AA" w:rsidRPr="00EA5D22" w:rsidRDefault="00B156AA" w:rsidP="00B156AA">
            <w:pPr>
              <w:pStyle w:val="TableTextcenter"/>
              <w:keepLines/>
              <w:rPr>
                <w:sz w:val="18"/>
                <w:szCs w:val="18"/>
              </w:rPr>
            </w:pPr>
            <w:r w:rsidRPr="00EA5D22">
              <w:rPr>
                <w:sz w:val="18"/>
                <w:szCs w:val="18"/>
              </w:rPr>
              <w:t>321</w:t>
            </w:r>
            <w:r w:rsidRPr="00EA5D22">
              <w:rPr>
                <w:sz w:val="18"/>
                <w:szCs w:val="18"/>
              </w:rPr>
              <w:br/>
              <w:t xml:space="preserve">(2 RCTs) </w:t>
            </w:r>
          </w:p>
        </w:tc>
        <w:tc>
          <w:tcPr>
            <w:tcW w:w="1127" w:type="dxa"/>
            <w:hideMark/>
          </w:tcPr>
          <w:p w14:paraId="274B19E1" w14:textId="77777777" w:rsidR="00B156AA" w:rsidRPr="00EA5D22" w:rsidRDefault="00B156AA" w:rsidP="00B156AA">
            <w:pPr>
              <w:pStyle w:val="TableTextcenter"/>
              <w:keepLines/>
              <w:rPr>
                <w:sz w:val="18"/>
                <w:szCs w:val="18"/>
              </w:rPr>
            </w:pPr>
            <w:r w:rsidRPr="00EA5D22">
              <w:rPr>
                <w:rFonts w:ascii="Cambria Math" w:hAnsi="Cambria Math"/>
                <w:color w:val="00B050"/>
                <w:sz w:val="18"/>
                <w:szCs w:val="18"/>
              </w:rPr>
              <w:t>⨁</w:t>
            </w:r>
            <w:r w:rsidRPr="00EA5D22">
              <w:rPr>
                <w:rFonts w:ascii="Cambria Math" w:hAnsi="Cambria Math" w:cs="Cambria Math"/>
                <w:color w:val="C00000"/>
                <w:sz w:val="18"/>
                <w:szCs w:val="18"/>
              </w:rPr>
              <w:t>⨀⨀⨀</w:t>
            </w:r>
            <w:r w:rsidRPr="00EA5D22">
              <w:rPr>
                <w:sz w:val="18"/>
                <w:szCs w:val="18"/>
              </w:rPr>
              <w:br/>
              <w:t xml:space="preserve">VERY LOW </w:t>
            </w:r>
            <w:proofErr w:type="spellStart"/>
            <w:r w:rsidRPr="00EA5D22">
              <w:rPr>
                <w:sz w:val="18"/>
                <w:szCs w:val="18"/>
                <w:vertAlign w:val="superscript"/>
              </w:rPr>
              <w:t>a,c,d,e</w:t>
            </w:r>
            <w:proofErr w:type="spellEnd"/>
          </w:p>
        </w:tc>
        <w:tc>
          <w:tcPr>
            <w:tcW w:w="1508" w:type="dxa"/>
            <w:hideMark/>
          </w:tcPr>
          <w:p w14:paraId="072C998B" w14:textId="77777777" w:rsidR="00B156AA" w:rsidRPr="00EA5D22" w:rsidRDefault="00B156AA" w:rsidP="00B156AA">
            <w:pPr>
              <w:pStyle w:val="Tabletext0"/>
              <w:keepLines/>
              <w:rPr>
                <w:sz w:val="18"/>
                <w:szCs w:val="18"/>
              </w:rPr>
            </w:pPr>
            <w:r w:rsidRPr="00EA5D22">
              <w:rPr>
                <w:sz w:val="18"/>
                <w:szCs w:val="18"/>
              </w:rPr>
              <w:t xml:space="preserve">IGB plus lifestyle intervention may reduce mean percent total body weight from baseline at 12 months but we are very uncertain. </w:t>
            </w:r>
          </w:p>
        </w:tc>
      </w:tr>
      <w:tr w:rsidR="00B156AA" w:rsidRPr="00EA5D22" w14:paraId="5DD04FF6" w14:textId="77777777" w:rsidTr="00B156AA">
        <w:tc>
          <w:tcPr>
            <w:tcW w:w="1416" w:type="dxa"/>
            <w:hideMark/>
          </w:tcPr>
          <w:p w14:paraId="276EA21A" w14:textId="77777777" w:rsidR="00B156AA" w:rsidRPr="00EA5D22" w:rsidRDefault="00B156AA" w:rsidP="00B156AA">
            <w:pPr>
              <w:pStyle w:val="TableTextLeft"/>
              <w:keepNext w:val="0"/>
              <w:keepLines/>
              <w:rPr>
                <w:sz w:val="18"/>
                <w:szCs w:val="18"/>
              </w:rPr>
            </w:pPr>
            <w:r w:rsidRPr="00EA5D22">
              <w:rPr>
                <w:sz w:val="18"/>
                <w:szCs w:val="18"/>
              </w:rPr>
              <w:t>Percent of patients with ≥10% total body weight loss from baseline</w:t>
            </w:r>
            <w:r w:rsidRPr="00EA5D22">
              <w:rPr>
                <w:sz w:val="18"/>
                <w:szCs w:val="18"/>
              </w:rPr>
              <w:br/>
            </w:r>
            <w:r w:rsidRPr="00EA5D22">
              <w:rPr>
                <w:rStyle w:val="label"/>
                <w:sz w:val="18"/>
                <w:szCs w:val="18"/>
              </w:rPr>
              <w:t>follow up: 6 months</w:t>
            </w:r>
            <w:r w:rsidRPr="00EA5D22">
              <w:rPr>
                <w:sz w:val="18"/>
                <w:szCs w:val="18"/>
              </w:rPr>
              <w:t xml:space="preserve"> </w:t>
            </w:r>
          </w:p>
        </w:tc>
        <w:tc>
          <w:tcPr>
            <w:tcW w:w="1416" w:type="dxa"/>
            <w:hideMark/>
          </w:tcPr>
          <w:p w14:paraId="5A4D9935" w14:textId="77777777" w:rsidR="00B156AA" w:rsidRPr="00EA5D22" w:rsidRDefault="00B156AA" w:rsidP="00B156AA">
            <w:pPr>
              <w:pStyle w:val="TableTextcenter"/>
              <w:keepNext w:val="0"/>
              <w:keepLines/>
              <w:rPr>
                <w:sz w:val="18"/>
                <w:szCs w:val="18"/>
              </w:rPr>
            </w:pPr>
            <w:r w:rsidRPr="00EA5D22">
              <w:rPr>
                <w:sz w:val="18"/>
                <w:szCs w:val="18"/>
              </w:rPr>
              <w:t xml:space="preserve">127 per 1,000 </w:t>
            </w:r>
          </w:p>
        </w:tc>
        <w:tc>
          <w:tcPr>
            <w:tcW w:w="1417" w:type="dxa"/>
            <w:gridSpan w:val="2"/>
            <w:hideMark/>
          </w:tcPr>
          <w:p w14:paraId="6DFB7751" w14:textId="77777777" w:rsidR="00B156AA" w:rsidRPr="00EA5D22" w:rsidRDefault="00B156AA" w:rsidP="00B156AA">
            <w:pPr>
              <w:pStyle w:val="TableTextcenter"/>
              <w:keepNext w:val="0"/>
              <w:keepLines/>
              <w:rPr>
                <w:sz w:val="18"/>
                <w:szCs w:val="18"/>
              </w:rPr>
            </w:pPr>
            <w:r w:rsidRPr="00EA5D22">
              <w:rPr>
                <w:sz w:val="18"/>
                <w:szCs w:val="18"/>
              </w:rPr>
              <w:t>517 per 1,000</w:t>
            </w:r>
            <w:r w:rsidRPr="00EA5D22">
              <w:rPr>
                <w:sz w:val="18"/>
                <w:szCs w:val="18"/>
              </w:rPr>
              <w:br/>
              <w:t xml:space="preserve">(337 to 790) </w:t>
            </w:r>
          </w:p>
        </w:tc>
        <w:tc>
          <w:tcPr>
            <w:tcW w:w="991" w:type="dxa"/>
            <w:hideMark/>
          </w:tcPr>
          <w:p w14:paraId="631D624C" w14:textId="77777777" w:rsidR="00B156AA" w:rsidRPr="00EA5D22" w:rsidRDefault="00B156AA" w:rsidP="00B156AA">
            <w:pPr>
              <w:pStyle w:val="TableTextcenter"/>
              <w:keepNext w:val="0"/>
              <w:keepLines/>
              <w:rPr>
                <w:sz w:val="18"/>
                <w:szCs w:val="18"/>
              </w:rPr>
            </w:pPr>
            <w:r w:rsidRPr="00EA5D22">
              <w:rPr>
                <w:rStyle w:val="Strong"/>
                <w:sz w:val="18"/>
                <w:szCs w:val="18"/>
              </w:rPr>
              <w:t>RR 4.06</w:t>
            </w:r>
            <w:r w:rsidRPr="00EA5D22">
              <w:rPr>
                <w:sz w:val="18"/>
                <w:szCs w:val="18"/>
              </w:rPr>
              <w:br/>
              <w:t xml:space="preserve">(2.65 to 6.21) </w:t>
            </w:r>
          </w:p>
        </w:tc>
        <w:tc>
          <w:tcPr>
            <w:tcW w:w="1146" w:type="dxa"/>
            <w:hideMark/>
          </w:tcPr>
          <w:p w14:paraId="7950F1D2" w14:textId="77777777" w:rsidR="00B156AA" w:rsidRPr="00EA5D22" w:rsidRDefault="00B156AA" w:rsidP="00B156AA">
            <w:pPr>
              <w:pStyle w:val="TableTextcenter"/>
              <w:keepNext w:val="0"/>
              <w:keepLines/>
              <w:rPr>
                <w:sz w:val="18"/>
                <w:szCs w:val="18"/>
              </w:rPr>
            </w:pPr>
            <w:r w:rsidRPr="00EA5D22">
              <w:rPr>
                <w:sz w:val="18"/>
                <w:szCs w:val="18"/>
              </w:rPr>
              <w:t>321</w:t>
            </w:r>
            <w:r w:rsidRPr="00EA5D22">
              <w:rPr>
                <w:sz w:val="18"/>
                <w:szCs w:val="18"/>
              </w:rPr>
              <w:br/>
              <w:t xml:space="preserve">(2 RCTs) </w:t>
            </w:r>
          </w:p>
        </w:tc>
        <w:tc>
          <w:tcPr>
            <w:tcW w:w="1127" w:type="dxa"/>
            <w:hideMark/>
          </w:tcPr>
          <w:p w14:paraId="3159FAED" w14:textId="77777777" w:rsidR="00B156AA" w:rsidRPr="00EA5D22" w:rsidRDefault="00B156AA" w:rsidP="00B156AA">
            <w:pPr>
              <w:pStyle w:val="TableTextcenter"/>
              <w:keepNext w:val="0"/>
              <w:keepLines/>
              <w:rPr>
                <w:sz w:val="18"/>
                <w:szCs w:val="18"/>
              </w:rPr>
            </w:pPr>
            <w:r w:rsidRPr="00EA5D22">
              <w:rPr>
                <w:rFonts w:ascii="Cambria Math" w:hAnsi="Cambria Math"/>
                <w:color w:val="00B050"/>
                <w:sz w:val="18"/>
                <w:szCs w:val="18"/>
              </w:rPr>
              <w:t>⨁⨁</w:t>
            </w:r>
            <w:r w:rsidRPr="00EA5D22">
              <w:rPr>
                <w:rFonts w:ascii="Cambria Math" w:hAnsi="Cambria Math" w:cs="Cambria Math"/>
                <w:color w:val="C00000"/>
                <w:sz w:val="18"/>
                <w:szCs w:val="18"/>
              </w:rPr>
              <w:t>⨀⨀</w:t>
            </w:r>
            <w:r w:rsidRPr="00EA5D22">
              <w:rPr>
                <w:sz w:val="18"/>
                <w:szCs w:val="18"/>
              </w:rPr>
              <w:br/>
              <w:t xml:space="preserve">LOW </w:t>
            </w:r>
            <w:proofErr w:type="spellStart"/>
            <w:r w:rsidRPr="00EA5D22">
              <w:rPr>
                <w:sz w:val="18"/>
                <w:szCs w:val="18"/>
                <w:vertAlign w:val="superscript"/>
              </w:rPr>
              <w:t>a,c,d,e,f</w:t>
            </w:r>
            <w:proofErr w:type="spellEnd"/>
          </w:p>
        </w:tc>
        <w:tc>
          <w:tcPr>
            <w:tcW w:w="1508" w:type="dxa"/>
            <w:hideMark/>
          </w:tcPr>
          <w:p w14:paraId="63FC36D4" w14:textId="77777777" w:rsidR="00B156AA" w:rsidRPr="00EA5D22" w:rsidRDefault="00B156AA" w:rsidP="00B156AA">
            <w:pPr>
              <w:pStyle w:val="Tabletext0"/>
              <w:keepLines/>
              <w:rPr>
                <w:sz w:val="18"/>
                <w:szCs w:val="18"/>
              </w:rPr>
            </w:pPr>
            <w:r w:rsidRPr="00EA5D22">
              <w:rPr>
                <w:sz w:val="18"/>
                <w:szCs w:val="18"/>
              </w:rPr>
              <w:t xml:space="preserve">IGB plus lifestyle intervention may increase the percent of patients with ≥10% total body weight loss from baseline at 6 months but we are very uncertain. </w:t>
            </w:r>
          </w:p>
        </w:tc>
      </w:tr>
      <w:tr w:rsidR="00B156AA" w:rsidRPr="00EA5D22" w14:paraId="1305B89B" w14:textId="77777777" w:rsidTr="00B156AA">
        <w:tc>
          <w:tcPr>
            <w:tcW w:w="1416" w:type="dxa"/>
            <w:hideMark/>
          </w:tcPr>
          <w:p w14:paraId="1B986E41" w14:textId="77777777" w:rsidR="00B156AA" w:rsidRPr="00EA5D22" w:rsidRDefault="00B156AA" w:rsidP="00B156AA">
            <w:pPr>
              <w:pStyle w:val="TableTextLeft"/>
              <w:keepNext w:val="0"/>
              <w:keepLines/>
              <w:rPr>
                <w:sz w:val="18"/>
                <w:szCs w:val="18"/>
              </w:rPr>
            </w:pPr>
            <w:r w:rsidRPr="00EA5D22">
              <w:rPr>
                <w:sz w:val="18"/>
                <w:szCs w:val="18"/>
              </w:rPr>
              <w:t>Percent of patients with ≥10% total body weight loss from baseline</w:t>
            </w:r>
            <w:r w:rsidRPr="00EA5D22">
              <w:rPr>
                <w:sz w:val="18"/>
                <w:szCs w:val="18"/>
              </w:rPr>
              <w:br/>
            </w:r>
            <w:r w:rsidRPr="00EA5D22">
              <w:rPr>
                <w:rStyle w:val="label"/>
                <w:sz w:val="18"/>
                <w:szCs w:val="18"/>
              </w:rPr>
              <w:t>follow up: 12 months</w:t>
            </w:r>
            <w:r w:rsidRPr="00EA5D22">
              <w:rPr>
                <w:sz w:val="18"/>
                <w:szCs w:val="18"/>
              </w:rPr>
              <w:t xml:space="preserve"> </w:t>
            </w:r>
          </w:p>
        </w:tc>
        <w:tc>
          <w:tcPr>
            <w:tcW w:w="1416" w:type="dxa"/>
            <w:hideMark/>
          </w:tcPr>
          <w:p w14:paraId="41CA7DF1" w14:textId="77777777" w:rsidR="00B156AA" w:rsidRPr="00EA5D22" w:rsidRDefault="00B156AA" w:rsidP="00B156AA">
            <w:pPr>
              <w:pStyle w:val="TableTextcenter"/>
              <w:keepNext w:val="0"/>
              <w:keepLines/>
              <w:rPr>
                <w:sz w:val="18"/>
                <w:szCs w:val="18"/>
              </w:rPr>
            </w:pPr>
            <w:r w:rsidRPr="00EA5D22">
              <w:rPr>
                <w:sz w:val="18"/>
                <w:szCs w:val="18"/>
              </w:rPr>
              <w:t xml:space="preserve">164 per 1,000 </w:t>
            </w:r>
          </w:p>
        </w:tc>
        <w:tc>
          <w:tcPr>
            <w:tcW w:w="1417" w:type="dxa"/>
            <w:gridSpan w:val="2"/>
            <w:hideMark/>
          </w:tcPr>
          <w:p w14:paraId="104E6796" w14:textId="77777777" w:rsidR="00B156AA" w:rsidRPr="00EA5D22" w:rsidRDefault="00B156AA" w:rsidP="00B156AA">
            <w:pPr>
              <w:pStyle w:val="TableTextcenter"/>
              <w:keepNext w:val="0"/>
              <w:keepLines/>
              <w:rPr>
                <w:sz w:val="18"/>
                <w:szCs w:val="18"/>
              </w:rPr>
            </w:pPr>
            <w:r w:rsidRPr="00EA5D22">
              <w:rPr>
                <w:sz w:val="18"/>
                <w:szCs w:val="18"/>
              </w:rPr>
              <w:t>327 per 1,000</w:t>
            </w:r>
            <w:r w:rsidRPr="00EA5D22">
              <w:rPr>
                <w:sz w:val="18"/>
                <w:szCs w:val="18"/>
              </w:rPr>
              <w:br/>
              <w:t xml:space="preserve">(218 to 494) </w:t>
            </w:r>
          </w:p>
        </w:tc>
        <w:tc>
          <w:tcPr>
            <w:tcW w:w="991" w:type="dxa"/>
            <w:hideMark/>
          </w:tcPr>
          <w:p w14:paraId="2AE8A196" w14:textId="77777777" w:rsidR="00B156AA" w:rsidRPr="00EA5D22" w:rsidRDefault="00B156AA" w:rsidP="00B156AA">
            <w:pPr>
              <w:pStyle w:val="TableTextcenter"/>
              <w:keepNext w:val="0"/>
              <w:keepLines/>
              <w:rPr>
                <w:sz w:val="18"/>
                <w:szCs w:val="18"/>
              </w:rPr>
            </w:pPr>
            <w:r w:rsidRPr="00EA5D22">
              <w:rPr>
                <w:rStyle w:val="Strong"/>
                <w:sz w:val="18"/>
                <w:szCs w:val="18"/>
              </w:rPr>
              <w:t>RR 2.00</w:t>
            </w:r>
            <w:r w:rsidRPr="00EA5D22">
              <w:rPr>
                <w:sz w:val="18"/>
                <w:szCs w:val="18"/>
              </w:rPr>
              <w:br/>
              <w:t xml:space="preserve">(1.33 to 3.02) </w:t>
            </w:r>
          </w:p>
        </w:tc>
        <w:tc>
          <w:tcPr>
            <w:tcW w:w="1146" w:type="dxa"/>
            <w:hideMark/>
          </w:tcPr>
          <w:p w14:paraId="398BC4E5" w14:textId="77777777" w:rsidR="00B156AA" w:rsidRPr="00EA5D22" w:rsidRDefault="00B156AA" w:rsidP="00B156AA">
            <w:pPr>
              <w:pStyle w:val="TableTextcenter"/>
              <w:keepNext w:val="0"/>
              <w:keepLines/>
              <w:rPr>
                <w:sz w:val="18"/>
                <w:szCs w:val="18"/>
              </w:rPr>
            </w:pPr>
            <w:r w:rsidRPr="00EA5D22">
              <w:rPr>
                <w:sz w:val="18"/>
                <w:szCs w:val="18"/>
              </w:rPr>
              <w:t>321</w:t>
            </w:r>
            <w:r w:rsidRPr="00EA5D22">
              <w:rPr>
                <w:sz w:val="18"/>
                <w:szCs w:val="18"/>
              </w:rPr>
              <w:br/>
              <w:t xml:space="preserve">(2 RCTs) </w:t>
            </w:r>
          </w:p>
        </w:tc>
        <w:tc>
          <w:tcPr>
            <w:tcW w:w="1127" w:type="dxa"/>
            <w:hideMark/>
          </w:tcPr>
          <w:p w14:paraId="420D5105" w14:textId="77777777" w:rsidR="00B156AA" w:rsidRPr="00EA5D22" w:rsidRDefault="00B156AA" w:rsidP="00B156AA">
            <w:pPr>
              <w:pStyle w:val="TableTextcenter"/>
              <w:keepNext w:val="0"/>
              <w:keepLines/>
              <w:rPr>
                <w:sz w:val="18"/>
                <w:szCs w:val="18"/>
              </w:rPr>
            </w:pPr>
            <w:r w:rsidRPr="00EA5D22">
              <w:rPr>
                <w:rFonts w:ascii="Cambria Math" w:hAnsi="Cambria Math"/>
                <w:color w:val="00B050"/>
                <w:sz w:val="18"/>
                <w:szCs w:val="18"/>
              </w:rPr>
              <w:t>⨁</w:t>
            </w:r>
            <w:r w:rsidRPr="00EA5D22">
              <w:rPr>
                <w:rFonts w:ascii="Cambria Math" w:hAnsi="Cambria Math" w:cs="Cambria Math"/>
                <w:color w:val="C00000"/>
                <w:sz w:val="18"/>
                <w:szCs w:val="18"/>
              </w:rPr>
              <w:t>⨀⨀⨀</w:t>
            </w:r>
            <w:r w:rsidRPr="00EA5D22">
              <w:rPr>
                <w:sz w:val="18"/>
                <w:szCs w:val="18"/>
              </w:rPr>
              <w:br/>
              <w:t xml:space="preserve">VERY LOW </w:t>
            </w:r>
            <w:proofErr w:type="spellStart"/>
            <w:r w:rsidRPr="00EA5D22">
              <w:rPr>
                <w:sz w:val="18"/>
                <w:szCs w:val="18"/>
                <w:vertAlign w:val="superscript"/>
              </w:rPr>
              <w:t>a,c,e,g</w:t>
            </w:r>
            <w:proofErr w:type="spellEnd"/>
          </w:p>
        </w:tc>
        <w:tc>
          <w:tcPr>
            <w:tcW w:w="1508" w:type="dxa"/>
            <w:hideMark/>
          </w:tcPr>
          <w:p w14:paraId="13E9FFC4" w14:textId="77777777" w:rsidR="00B156AA" w:rsidRPr="00EA5D22" w:rsidRDefault="00B156AA" w:rsidP="00B156AA">
            <w:pPr>
              <w:pStyle w:val="Tabletext0"/>
              <w:keepLines/>
              <w:rPr>
                <w:sz w:val="18"/>
                <w:szCs w:val="18"/>
              </w:rPr>
            </w:pPr>
            <w:r w:rsidRPr="00EA5D22">
              <w:rPr>
                <w:sz w:val="18"/>
                <w:szCs w:val="18"/>
              </w:rPr>
              <w:t xml:space="preserve">IGB plus lifestyle intervention may increase the percent of patients with ≥10% total body weight loss from baseline at 12 months but we are very uncertain. </w:t>
            </w:r>
          </w:p>
        </w:tc>
      </w:tr>
      <w:tr w:rsidR="00B156AA" w:rsidRPr="00EA5D22" w14:paraId="2791D90C" w14:textId="77777777" w:rsidTr="00B156AA">
        <w:tc>
          <w:tcPr>
            <w:tcW w:w="1416" w:type="dxa"/>
            <w:hideMark/>
          </w:tcPr>
          <w:p w14:paraId="5D87C0D6" w14:textId="77777777" w:rsidR="00B156AA" w:rsidRPr="00EA5D22" w:rsidRDefault="00B156AA" w:rsidP="00B156AA">
            <w:pPr>
              <w:pStyle w:val="TableTextLeft"/>
              <w:keepNext w:val="0"/>
              <w:keepLines/>
              <w:rPr>
                <w:sz w:val="18"/>
                <w:szCs w:val="18"/>
              </w:rPr>
            </w:pPr>
            <w:r w:rsidRPr="00EA5D22">
              <w:rPr>
                <w:sz w:val="18"/>
                <w:szCs w:val="18"/>
              </w:rPr>
              <w:lastRenderedPageBreak/>
              <w:t>Mean BMI change from baseline assessed with: Kg/m</w:t>
            </w:r>
            <w:r w:rsidRPr="00EA5D22">
              <w:rPr>
                <w:sz w:val="18"/>
                <w:szCs w:val="18"/>
                <w:vertAlign w:val="superscript"/>
              </w:rPr>
              <w:t>2</w:t>
            </w:r>
            <w:r w:rsidRPr="00EA5D22">
              <w:rPr>
                <w:sz w:val="18"/>
                <w:szCs w:val="18"/>
              </w:rPr>
              <w:br/>
            </w:r>
            <w:r w:rsidRPr="00EA5D22">
              <w:rPr>
                <w:rStyle w:val="label"/>
                <w:sz w:val="18"/>
                <w:szCs w:val="18"/>
              </w:rPr>
              <w:t>follow up: 6 months</w:t>
            </w:r>
            <w:r w:rsidRPr="00EA5D22">
              <w:rPr>
                <w:sz w:val="18"/>
                <w:szCs w:val="18"/>
              </w:rPr>
              <w:t xml:space="preserve"> </w:t>
            </w:r>
          </w:p>
        </w:tc>
        <w:tc>
          <w:tcPr>
            <w:tcW w:w="1416" w:type="dxa"/>
            <w:hideMark/>
          </w:tcPr>
          <w:p w14:paraId="3BFDCA3A" w14:textId="77777777" w:rsidR="00B156AA" w:rsidRPr="00EA5D22" w:rsidRDefault="00B156AA" w:rsidP="00B156AA">
            <w:pPr>
              <w:pStyle w:val="TableTextcenter"/>
              <w:keepNext w:val="0"/>
              <w:keepLines/>
              <w:rPr>
                <w:sz w:val="18"/>
                <w:szCs w:val="18"/>
              </w:rPr>
            </w:pPr>
            <w:r w:rsidRPr="00EA5D22">
              <w:rPr>
                <w:sz w:val="18"/>
                <w:szCs w:val="18"/>
              </w:rPr>
              <w:t>-</w:t>
            </w:r>
          </w:p>
        </w:tc>
        <w:tc>
          <w:tcPr>
            <w:tcW w:w="1417" w:type="dxa"/>
            <w:gridSpan w:val="2"/>
            <w:hideMark/>
          </w:tcPr>
          <w:p w14:paraId="1243EFE9" w14:textId="77777777" w:rsidR="00B156AA" w:rsidRPr="00EA5D22" w:rsidRDefault="00B156AA" w:rsidP="00B156AA">
            <w:pPr>
              <w:pStyle w:val="TableTextcenter"/>
              <w:keepNext w:val="0"/>
              <w:keepLines/>
              <w:rPr>
                <w:sz w:val="18"/>
                <w:szCs w:val="18"/>
              </w:rPr>
            </w:pPr>
            <w:r w:rsidRPr="00EA5D22">
              <w:rPr>
                <w:rStyle w:val="cell-value"/>
                <w:sz w:val="18"/>
                <w:szCs w:val="18"/>
              </w:rPr>
              <w:t>The mean BMI change from baseline in the intervention group was 2.73 lower (3.79 lower to 1.68 lower)</w:t>
            </w:r>
            <w:r w:rsidRPr="00EA5D22">
              <w:rPr>
                <w:sz w:val="18"/>
                <w:szCs w:val="18"/>
              </w:rPr>
              <w:t xml:space="preserve"> </w:t>
            </w:r>
          </w:p>
        </w:tc>
        <w:tc>
          <w:tcPr>
            <w:tcW w:w="991" w:type="dxa"/>
            <w:hideMark/>
          </w:tcPr>
          <w:p w14:paraId="53577324" w14:textId="77777777" w:rsidR="00B156AA" w:rsidRPr="00EA5D22" w:rsidRDefault="00B156AA" w:rsidP="00B156AA">
            <w:pPr>
              <w:pStyle w:val="TableTextcenter"/>
              <w:keepNext w:val="0"/>
              <w:keepLines/>
              <w:rPr>
                <w:sz w:val="18"/>
                <w:szCs w:val="18"/>
              </w:rPr>
            </w:pPr>
            <w:r w:rsidRPr="00EA5D22">
              <w:rPr>
                <w:rStyle w:val="cell"/>
                <w:sz w:val="18"/>
                <w:szCs w:val="18"/>
              </w:rPr>
              <w:t>-</w:t>
            </w:r>
            <w:r w:rsidRPr="00EA5D22">
              <w:rPr>
                <w:sz w:val="18"/>
                <w:szCs w:val="18"/>
              </w:rPr>
              <w:t xml:space="preserve"> </w:t>
            </w:r>
          </w:p>
        </w:tc>
        <w:tc>
          <w:tcPr>
            <w:tcW w:w="1146" w:type="dxa"/>
            <w:hideMark/>
          </w:tcPr>
          <w:p w14:paraId="5CE92071" w14:textId="77777777" w:rsidR="00B156AA" w:rsidRPr="00EA5D22" w:rsidRDefault="00B156AA" w:rsidP="00B156AA">
            <w:pPr>
              <w:pStyle w:val="TableTextcenter"/>
              <w:keepNext w:val="0"/>
              <w:keepLines/>
              <w:rPr>
                <w:sz w:val="18"/>
                <w:szCs w:val="18"/>
              </w:rPr>
            </w:pPr>
            <w:r w:rsidRPr="00EA5D22">
              <w:rPr>
                <w:sz w:val="18"/>
                <w:szCs w:val="18"/>
              </w:rPr>
              <w:t>321</w:t>
            </w:r>
            <w:r w:rsidRPr="00EA5D22">
              <w:rPr>
                <w:sz w:val="18"/>
                <w:szCs w:val="18"/>
              </w:rPr>
              <w:br/>
              <w:t xml:space="preserve">(2 RCTs) </w:t>
            </w:r>
          </w:p>
        </w:tc>
        <w:tc>
          <w:tcPr>
            <w:tcW w:w="1127" w:type="dxa"/>
            <w:hideMark/>
          </w:tcPr>
          <w:p w14:paraId="768E6C42" w14:textId="77777777" w:rsidR="00B156AA" w:rsidRPr="00EA5D22" w:rsidRDefault="00B156AA" w:rsidP="00B156AA">
            <w:pPr>
              <w:pStyle w:val="TableTextcenter"/>
              <w:keepNext w:val="0"/>
              <w:keepLines/>
              <w:rPr>
                <w:sz w:val="18"/>
                <w:szCs w:val="18"/>
              </w:rPr>
            </w:pPr>
            <w:r w:rsidRPr="00EA5D22">
              <w:rPr>
                <w:rFonts w:ascii="Cambria Math" w:hAnsi="Cambria Math"/>
                <w:color w:val="00B050"/>
                <w:sz w:val="18"/>
                <w:szCs w:val="18"/>
              </w:rPr>
              <w:t>⨁</w:t>
            </w:r>
            <w:r w:rsidRPr="00EA5D22">
              <w:rPr>
                <w:rFonts w:ascii="Cambria Math" w:hAnsi="Cambria Math" w:cs="Cambria Math"/>
                <w:color w:val="C00000"/>
                <w:sz w:val="18"/>
                <w:szCs w:val="18"/>
              </w:rPr>
              <w:t>⨀⨀⨀</w:t>
            </w:r>
            <w:r w:rsidRPr="00EA5D22">
              <w:rPr>
                <w:sz w:val="18"/>
                <w:szCs w:val="18"/>
              </w:rPr>
              <w:br/>
              <w:t xml:space="preserve">VERY LOW </w:t>
            </w:r>
            <w:proofErr w:type="spellStart"/>
            <w:r w:rsidRPr="00EA5D22">
              <w:rPr>
                <w:sz w:val="18"/>
                <w:szCs w:val="18"/>
                <w:vertAlign w:val="superscript"/>
              </w:rPr>
              <w:t>a,b,c,d</w:t>
            </w:r>
            <w:proofErr w:type="spellEnd"/>
          </w:p>
        </w:tc>
        <w:tc>
          <w:tcPr>
            <w:tcW w:w="1508" w:type="dxa"/>
            <w:hideMark/>
          </w:tcPr>
          <w:p w14:paraId="50DC1EAE" w14:textId="77777777" w:rsidR="00B156AA" w:rsidRPr="00EA5D22" w:rsidRDefault="00B156AA" w:rsidP="00B156AA">
            <w:pPr>
              <w:pStyle w:val="Tabletext0"/>
              <w:keepLines/>
              <w:rPr>
                <w:sz w:val="18"/>
                <w:szCs w:val="18"/>
              </w:rPr>
            </w:pPr>
            <w:r w:rsidRPr="00EA5D22">
              <w:rPr>
                <w:sz w:val="18"/>
                <w:szCs w:val="18"/>
              </w:rPr>
              <w:t xml:space="preserve">IGB plus lifestyle intervention may reduce mean BMI from baseline at 6 months but we are very uncertain. </w:t>
            </w:r>
          </w:p>
        </w:tc>
      </w:tr>
      <w:tr w:rsidR="00B156AA" w:rsidRPr="00EA5D22" w14:paraId="6A63275F" w14:textId="77777777" w:rsidTr="00B156AA">
        <w:tc>
          <w:tcPr>
            <w:tcW w:w="1416" w:type="dxa"/>
            <w:hideMark/>
          </w:tcPr>
          <w:p w14:paraId="2140610D" w14:textId="77777777" w:rsidR="00B156AA" w:rsidRPr="00EA5D22" w:rsidRDefault="00B156AA" w:rsidP="00B156AA">
            <w:pPr>
              <w:pStyle w:val="TableTextLeft"/>
              <w:keepNext w:val="0"/>
              <w:keepLines/>
              <w:rPr>
                <w:sz w:val="18"/>
                <w:szCs w:val="18"/>
              </w:rPr>
            </w:pPr>
            <w:r w:rsidRPr="00EA5D22">
              <w:rPr>
                <w:sz w:val="18"/>
                <w:szCs w:val="18"/>
              </w:rPr>
              <w:t xml:space="preserve">Mean BMI change from baseline </w:t>
            </w:r>
            <w:r w:rsidRPr="00EA5D22">
              <w:rPr>
                <w:sz w:val="18"/>
                <w:szCs w:val="18"/>
              </w:rPr>
              <w:br/>
              <w:t>assessed with: Kg/m</w:t>
            </w:r>
            <w:r w:rsidRPr="00EA5D22">
              <w:rPr>
                <w:sz w:val="18"/>
                <w:szCs w:val="18"/>
                <w:vertAlign w:val="superscript"/>
              </w:rPr>
              <w:t>2</w:t>
            </w:r>
            <w:r w:rsidRPr="00EA5D22">
              <w:rPr>
                <w:sz w:val="18"/>
                <w:szCs w:val="18"/>
              </w:rPr>
              <w:br/>
            </w:r>
            <w:r w:rsidRPr="00EA5D22">
              <w:rPr>
                <w:rStyle w:val="label"/>
                <w:sz w:val="18"/>
                <w:szCs w:val="18"/>
              </w:rPr>
              <w:t>follow up: 12 months</w:t>
            </w:r>
            <w:r w:rsidRPr="00EA5D22">
              <w:rPr>
                <w:sz w:val="18"/>
                <w:szCs w:val="18"/>
              </w:rPr>
              <w:t xml:space="preserve"> </w:t>
            </w:r>
          </w:p>
        </w:tc>
        <w:tc>
          <w:tcPr>
            <w:tcW w:w="1416" w:type="dxa"/>
            <w:hideMark/>
          </w:tcPr>
          <w:p w14:paraId="3DD7F256" w14:textId="77777777" w:rsidR="00B156AA" w:rsidRPr="00EA5D22" w:rsidRDefault="00B156AA" w:rsidP="00B156AA">
            <w:pPr>
              <w:pStyle w:val="TableTextcenter"/>
              <w:keepNext w:val="0"/>
              <w:keepLines/>
              <w:rPr>
                <w:sz w:val="18"/>
                <w:szCs w:val="18"/>
              </w:rPr>
            </w:pPr>
            <w:r w:rsidRPr="00EA5D22">
              <w:rPr>
                <w:sz w:val="18"/>
                <w:szCs w:val="18"/>
              </w:rPr>
              <w:t>-</w:t>
            </w:r>
          </w:p>
        </w:tc>
        <w:tc>
          <w:tcPr>
            <w:tcW w:w="1417" w:type="dxa"/>
            <w:gridSpan w:val="2"/>
            <w:hideMark/>
          </w:tcPr>
          <w:p w14:paraId="20789314" w14:textId="77777777" w:rsidR="00B156AA" w:rsidRPr="00EA5D22" w:rsidRDefault="00B156AA" w:rsidP="00B156AA">
            <w:pPr>
              <w:pStyle w:val="TableTextcenter"/>
              <w:keepNext w:val="0"/>
              <w:keepLines/>
              <w:rPr>
                <w:sz w:val="18"/>
                <w:szCs w:val="18"/>
              </w:rPr>
            </w:pPr>
            <w:r w:rsidRPr="00EA5D22">
              <w:rPr>
                <w:rStyle w:val="cell-value"/>
                <w:sz w:val="18"/>
                <w:szCs w:val="18"/>
              </w:rPr>
              <w:t>The mean BMI change from baseline in the intervention group was 1.26 lower (1.73 lower to 0.79 lower)</w:t>
            </w:r>
            <w:r w:rsidRPr="00EA5D22">
              <w:rPr>
                <w:sz w:val="18"/>
                <w:szCs w:val="18"/>
              </w:rPr>
              <w:t xml:space="preserve"> </w:t>
            </w:r>
          </w:p>
        </w:tc>
        <w:tc>
          <w:tcPr>
            <w:tcW w:w="991" w:type="dxa"/>
            <w:hideMark/>
          </w:tcPr>
          <w:p w14:paraId="4CAF24D5" w14:textId="77777777" w:rsidR="00B156AA" w:rsidRPr="00EA5D22" w:rsidRDefault="00B156AA" w:rsidP="00B156AA">
            <w:pPr>
              <w:pStyle w:val="TableTextcenter"/>
              <w:keepNext w:val="0"/>
              <w:keepLines/>
              <w:rPr>
                <w:sz w:val="18"/>
                <w:szCs w:val="18"/>
              </w:rPr>
            </w:pPr>
            <w:r w:rsidRPr="00EA5D22">
              <w:rPr>
                <w:rStyle w:val="cell"/>
                <w:sz w:val="18"/>
                <w:szCs w:val="18"/>
              </w:rPr>
              <w:t>-</w:t>
            </w:r>
            <w:r w:rsidRPr="00EA5D22">
              <w:rPr>
                <w:sz w:val="18"/>
                <w:szCs w:val="18"/>
              </w:rPr>
              <w:t xml:space="preserve"> </w:t>
            </w:r>
          </w:p>
        </w:tc>
        <w:tc>
          <w:tcPr>
            <w:tcW w:w="1146" w:type="dxa"/>
            <w:hideMark/>
          </w:tcPr>
          <w:p w14:paraId="7624CC8D" w14:textId="77777777" w:rsidR="00B156AA" w:rsidRPr="00EA5D22" w:rsidRDefault="00B156AA" w:rsidP="00B156AA">
            <w:pPr>
              <w:pStyle w:val="TableTextcenter"/>
              <w:keepNext w:val="0"/>
              <w:keepLines/>
              <w:rPr>
                <w:sz w:val="18"/>
                <w:szCs w:val="18"/>
              </w:rPr>
            </w:pPr>
            <w:r w:rsidRPr="00EA5D22">
              <w:rPr>
                <w:sz w:val="18"/>
                <w:szCs w:val="18"/>
              </w:rPr>
              <w:t>321</w:t>
            </w:r>
            <w:r w:rsidRPr="00EA5D22">
              <w:rPr>
                <w:sz w:val="18"/>
                <w:szCs w:val="18"/>
              </w:rPr>
              <w:br/>
              <w:t xml:space="preserve">(2 RCTs) </w:t>
            </w:r>
          </w:p>
        </w:tc>
        <w:tc>
          <w:tcPr>
            <w:tcW w:w="1127" w:type="dxa"/>
            <w:hideMark/>
          </w:tcPr>
          <w:p w14:paraId="7CC840DE" w14:textId="77777777" w:rsidR="00B156AA" w:rsidRPr="00EA5D22" w:rsidRDefault="00B156AA" w:rsidP="00B156AA">
            <w:pPr>
              <w:pStyle w:val="TableTextcenter"/>
              <w:keepNext w:val="0"/>
              <w:keepLines/>
              <w:rPr>
                <w:sz w:val="18"/>
                <w:szCs w:val="18"/>
              </w:rPr>
            </w:pPr>
            <w:r w:rsidRPr="00EA5D22">
              <w:rPr>
                <w:rFonts w:ascii="Cambria Math" w:hAnsi="Cambria Math"/>
                <w:color w:val="00B050"/>
                <w:sz w:val="18"/>
                <w:szCs w:val="18"/>
              </w:rPr>
              <w:t>⨁</w:t>
            </w:r>
            <w:r w:rsidRPr="00EA5D22">
              <w:rPr>
                <w:rFonts w:ascii="Cambria Math" w:hAnsi="Cambria Math" w:cs="Cambria Math"/>
                <w:color w:val="C00000"/>
                <w:sz w:val="18"/>
                <w:szCs w:val="18"/>
              </w:rPr>
              <w:t>⨀⨀⨀</w:t>
            </w:r>
            <w:r w:rsidRPr="00EA5D22">
              <w:rPr>
                <w:sz w:val="18"/>
                <w:szCs w:val="18"/>
              </w:rPr>
              <w:br/>
              <w:t xml:space="preserve">VERY LOW </w:t>
            </w:r>
            <w:proofErr w:type="spellStart"/>
            <w:r w:rsidRPr="00EA5D22">
              <w:rPr>
                <w:sz w:val="18"/>
                <w:szCs w:val="18"/>
                <w:vertAlign w:val="superscript"/>
              </w:rPr>
              <w:t>a,c,d,e</w:t>
            </w:r>
            <w:proofErr w:type="spellEnd"/>
          </w:p>
        </w:tc>
        <w:tc>
          <w:tcPr>
            <w:tcW w:w="1508" w:type="dxa"/>
            <w:hideMark/>
          </w:tcPr>
          <w:p w14:paraId="296D8A66" w14:textId="77777777" w:rsidR="00B156AA" w:rsidRPr="00EA5D22" w:rsidRDefault="00B156AA" w:rsidP="00B156AA">
            <w:pPr>
              <w:pStyle w:val="Tabletext0"/>
              <w:keepLines/>
              <w:rPr>
                <w:sz w:val="18"/>
                <w:szCs w:val="18"/>
              </w:rPr>
            </w:pPr>
            <w:r w:rsidRPr="00EA5D22">
              <w:rPr>
                <w:sz w:val="18"/>
                <w:szCs w:val="18"/>
              </w:rPr>
              <w:t xml:space="preserve">IGB plus lifestyle intervention may reduce mean BMI change from baseline at 12 months but we are very uncertain. </w:t>
            </w:r>
          </w:p>
        </w:tc>
      </w:tr>
      <w:tr w:rsidR="00B156AA" w:rsidRPr="00EA5D22" w14:paraId="10A3E702" w14:textId="77777777" w:rsidTr="00B156AA">
        <w:tc>
          <w:tcPr>
            <w:tcW w:w="1416" w:type="dxa"/>
            <w:hideMark/>
          </w:tcPr>
          <w:p w14:paraId="78EA49D1" w14:textId="77777777" w:rsidR="00B156AA" w:rsidRPr="00EA5D22" w:rsidRDefault="00B156AA" w:rsidP="00B156AA">
            <w:pPr>
              <w:pStyle w:val="TableTextLeft"/>
              <w:keepNext w:val="0"/>
              <w:keepLines/>
              <w:rPr>
                <w:sz w:val="18"/>
                <w:szCs w:val="18"/>
              </w:rPr>
            </w:pPr>
            <w:r w:rsidRPr="00EA5D22">
              <w:rPr>
                <w:sz w:val="18"/>
                <w:szCs w:val="18"/>
              </w:rPr>
              <w:t xml:space="preserve">Absolute change of patients with diagnosis of T2DM from baseline </w:t>
            </w:r>
            <w:r w:rsidRPr="00EA5D22">
              <w:rPr>
                <w:sz w:val="18"/>
                <w:szCs w:val="18"/>
              </w:rPr>
              <w:br/>
            </w:r>
            <w:r w:rsidRPr="00EA5D22">
              <w:rPr>
                <w:rStyle w:val="label"/>
                <w:sz w:val="18"/>
                <w:szCs w:val="18"/>
              </w:rPr>
              <w:t>follow up: 12 months</w:t>
            </w:r>
            <w:r w:rsidRPr="00EA5D22">
              <w:rPr>
                <w:sz w:val="18"/>
                <w:szCs w:val="18"/>
              </w:rPr>
              <w:t xml:space="preserve"> </w:t>
            </w:r>
          </w:p>
        </w:tc>
        <w:tc>
          <w:tcPr>
            <w:tcW w:w="1416" w:type="dxa"/>
            <w:hideMark/>
          </w:tcPr>
          <w:p w14:paraId="4F1EBCC1" w14:textId="77777777" w:rsidR="00B156AA" w:rsidRPr="00EA5D22" w:rsidRDefault="00B156AA" w:rsidP="00B156AA">
            <w:pPr>
              <w:pStyle w:val="TableTextcenter"/>
              <w:keepNext w:val="0"/>
              <w:keepLines/>
              <w:rPr>
                <w:sz w:val="18"/>
                <w:szCs w:val="18"/>
              </w:rPr>
            </w:pPr>
            <w:r w:rsidRPr="00EA5D22">
              <w:rPr>
                <w:sz w:val="18"/>
                <w:szCs w:val="18"/>
              </w:rPr>
              <w:t xml:space="preserve">625 per 1,000 </w:t>
            </w:r>
          </w:p>
        </w:tc>
        <w:tc>
          <w:tcPr>
            <w:tcW w:w="1417" w:type="dxa"/>
            <w:gridSpan w:val="2"/>
            <w:hideMark/>
          </w:tcPr>
          <w:p w14:paraId="693C0C41" w14:textId="77777777" w:rsidR="00B156AA" w:rsidRPr="00EA5D22" w:rsidRDefault="00B156AA" w:rsidP="00B156AA">
            <w:pPr>
              <w:pStyle w:val="TableTextcenter"/>
              <w:keepNext w:val="0"/>
              <w:keepLines/>
              <w:rPr>
                <w:sz w:val="18"/>
                <w:szCs w:val="18"/>
              </w:rPr>
            </w:pPr>
            <w:r w:rsidRPr="00EA5D22">
              <w:rPr>
                <w:sz w:val="18"/>
                <w:szCs w:val="18"/>
              </w:rPr>
              <w:t>331 per 1,000</w:t>
            </w:r>
            <w:r w:rsidRPr="00EA5D22">
              <w:rPr>
                <w:sz w:val="18"/>
                <w:szCs w:val="18"/>
              </w:rPr>
              <w:br/>
              <w:t xml:space="preserve">(112 to 969) </w:t>
            </w:r>
          </w:p>
        </w:tc>
        <w:tc>
          <w:tcPr>
            <w:tcW w:w="991" w:type="dxa"/>
            <w:hideMark/>
          </w:tcPr>
          <w:p w14:paraId="3FAF1924" w14:textId="77777777" w:rsidR="00B156AA" w:rsidRPr="00EA5D22" w:rsidRDefault="00B156AA" w:rsidP="00B156AA">
            <w:pPr>
              <w:pStyle w:val="TableTextcenter"/>
              <w:keepNext w:val="0"/>
              <w:keepLines/>
              <w:rPr>
                <w:sz w:val="18"/>
                <w:szCs w:val="18"/>
              </w:rPr>
            </w:pPr>
            <w:r w:rsidRPr="00EA5D22">
              <w:rPr>
                <w:rStyle w:val="Strong"/>
                <w:sz w:val="18"/>
                <w:szCs w:val="18"/>
              </w:rPr>
              <w:t>RR 0.53</w:t>
            </w:r>
            <w:r w:rsidRPr="00EA5D22">
              <w:rPr>
                <w:sz w:val="18"/>
                <w:szCs w:val="18"/>
              </w:rPr>
              <w:br/>
              <w:t xml:space="preserve">(0.18 to 1.55) </w:t>
            </w:r>
          </w:p>
        </w:tc>
        <w:tc>
          <w:tcPr>
            <w:tcW w:w="1146" w:type="dxa"/>
            <w:hideMark/>
          </w:tcPr>
          <w:p w14:paraId="3B6459C3" w14:textId="77777777" w:rsidR="00B156AA" w:rsidRPr="00EA5D22" w:rsidRDefault="00B156AA" w:rsidP="00B156AA">
            <w:pPr>
              <w:pStyle w:val="TableTextcenter"/>
              <w:keepNext w:val="0"/>
              <w:keepLines/>
              <w:rPr>
                <w:sz w:val="18"/>
                <w:szCs w:val="18"/>
              </w:rPr>
            </w:pPr>
            <w:r w:rsidRPr="00EA5D22">
              <w:rPr>
                <w:sz w:val="18"/>
                <w:szCs w:val="18"/>
              </w:rPr>
              <w:t>17</w:t>
            </w:r>
            <w:r w:rsidRPr="00EA5D22">
              <w:rPr>
                <w:sz w:val="18"/>
                <w:szCs w:val="18"/>
              </w:rPr>
              <w:br/>
              <w:t xml:space="preserve">(1 RCT) </w:t>
            </w:r>
          </w:p>
        </w:tc>
        <w:tc>
          <w:tcPr>
            <w:tcW w:w="1127" w:type="dxa"/>
            <w:hideMark/>
          </w:tcPr>
          <w:p w14:paraId="13D465F5" w14:textId="77777777" w:rsidR="00B156AA" w:rsidRPr="00EA5D22" w:rsidRDefault="00B156AA" w:rsidP="00B156AA">
            <w:pPr>
              <w:pStyle w:val="TableTextcenter"/>
              <w:keepNext w:val="0"/>
              <w:keepLines/>
              <w:rPr>
                <w:sz w:val="18"/>
                <w:szCs w:val="18"/>
              </w:rPr>
            </w:pPr>
            <w:r w:rsidRPr="00EA5D22">
              <w:rPr>
                <w:rFonts w:ascii="Cambria Math" w:hAnsi="Cambria Math"/>
                <w:color w:val="00B050"/>
                <w:sz w:val="18"/>
                <w:szCs w:val="18"/>
              </w:rPr>
              <w:t>⨁</w:t>
            </w:r>
            <w:r w:rsidRPr="00EA5D22">
              <w:rPr>
                <w:rFonts w:ascii="Cambria Math" w:hAnsi="Cambria Math" w:cs="Cambria Math"/>
                <w:color w:val="C00000"/>
                <w:sz w:val="18"/>
                <w:szCs w:val="18"/>
              </w:rPr>
              <w:t>⨀⨀⨀</w:t>
            </w:r>
            <w:r w:rsidRPr="00EA5D22">
              <w:rPr>
                <w:sz w:val="18"/>
                <w:szCs w:val="18"/>
              </w:rPr>
              <w:br/>
              <w:t xml:space="preserve">VERY LOW </w:t>
            </w:r>
            <w:proofErr w:type="spellStart"/>
            <w:r w:rsidRPr="00EA5D22">
              <w:rPr>
                <w:sz w:val="18"/>
                <w:szCs w:val="18"/>
                <w:vertAlign w:val="superscript"/>
              </w:rPr>
              <w:t>a,h,i,j</w:t>
            </w:r>
            <w:proofErr w:type="spellEnd"/>
          </w:p>
        </w:tc>
        <w:tc>
          <w:tcPr>
            <w:tcW w:w="1508" w:type="dxa"/>
            <w:hideMark/>
          </w:tcPr>
          <w:p w14:paraId="565832DB" w14:textId="77777777" w:rsidR="00B156AA" w:rsidRPr="00EA5D22" w:rsidRDefault="00B156AA" w:rsidP="00B156AA">
            <w:pPr>
              <w:pStyle w:val="Tabletext0"/>
              <w:keepLines/>
              <w:rPr>
                <w:sz w:val="18"/>
                <w:szCs w:val="18"/>
              </w:rPr>
            </w:pPr>
            <w:r w:rsidRPr="00EA5D22">
              <w:rPr>
                <w:sz w:val="18"/>
                <w:szCs w:val="18"/>
              </w:rPr>
              <w:t xml:space="preserve">IGB plus lifestyle intervention may or may not reduce the number of patients with diagnosis of T2DM from baseline at 12 months. </w:t>
            </w:r>
          </w:p>
        </w:tc>
      </w:tr>
    </w:tbl>
    <w:p w14:paraId="7AE1FD55" w14:textId="77777777" w:rsidR="00B156AA" w:rsidRDefault="00B156AA" w:rsidP="00B156AA">
      <w:pPr>
        <w:pStyle w:val="TFAbbrevs18"/>
      </w:pPr>
      <w:r>
        <w:t xml:space="preserve">*The risk in the intervention group (and its 95% confidence interval) is based on the assumed risk in the comparison group and the relative effect of the intervention (and its 95% CI). </w:t>
      </w:r>
    </w:p>
    <w:p w14:paraId="4AC09C44" w14:textId="77777777" w:rsidR="00B156AA" w:rsidRDefault="00B156AA" w:rsidP="00B156AA">
      <w:pPr>
        <w:pStyle w:val="TFAbbrevs18"/>
      </w:pPr>
      <w:r>
        <w:t xml:space="preserve">Abbreviations: BMI, body mass index; CI, Confidence interval; IGB, intragastric balloon; MD, Mean difference; NR, not reported; RR, Risk ratio </w:t>
      </w:r>
    </w:p>
    <w:p w14:paraId="5A37B63E" w14:textId="77777777" w:rsidR="00B156AA" w:rsidRDefault="00B156AA" w:rsidP="00B156AA">
      <w:pPr>
        <w:pStyle w:val="TFAbbrevs18"/>
        <w:rPr>
          <w:b/>
        </w:rPr>
      </w:pPr>
      <w:r>
        <w:t>GRADE Working Group grades of evidence</w:t>
      </w:r>
      <w:r w:rsidRPr="00DC7D60">
        <w:rPr>
          <w:b/>
        </w:rPr>
        <w:t xml:space="preserve">: </w:t>
      </w:r>
    </w:p>
    <w:p w14:paraId="265744B0" w14:textId="77777777" w:rsidR="00B156AA" w:rsidRDefault="00B156AA" w:rsidP="00B156AA">
      <w:pPr>
        <w:pStyle w:val="TFAbbrevs18"/>
      </w:pPr>
      <w:r>
        <w:rPr>
          <w:rFonts w:ascii="Cambria Math" w:hAnsi="Cambria Math"/>
          <w:color w:val="00B050"/>
        </w:rPr>
        <w:t xml:space="preserve">⨁⨁⨁⨁ </w:t>
      </w:r>
      <w:r w:rsidRPr="00CF389F">
        <w:rPr>
          <w:rStyle w:val="Strong"/>
        </w:rPr>
        <w:t>High certainty</w:t>
      </w:r>
      <w:r>
        <w:t xml:space="preserve">: We are very confident that the true effect lies close to that of the estimate of the effect; </w:t>
      </w:r>
    </w:p>
    <w:p w14:paraId="7CF2D772" w14:textId="77777777" w:rsidR="00B156AA" w:rsidRDefault="00B156AA" w:rsidP="00B156AA">
      <w:pPr>
        <w:pStyle w:val="TFAbbrevs18"/>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341943">
        <w:rPr>
          <w:rStyle w:val="Strong"/>
        </w:rPr>
        <w:t xml:space="preserve">Moderate certainty: </w:t>
      </w:r>
      <w:r>
        <w:t xml:space="preserve">We are moderately confident in the effect estimate: The true effect is likely to be close to the estimate of the effect, but there is a possibility that it is substantially different; </w:t>
      </w:r>
    </w:p>
    <w:p w14:paraId="0B402382" w14:textId="77777777" w:rsidR="00B156AA" w:rsidRDefault="00B156AA" w:rsidP="00B156AA">
      <w:pPr>
        <w:pStyle w:val="TFAbbrevs18"/>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341943">
        <w:rPr>
          <w:rStyle w:val="Strong"/>
        </w:rPr>
        <w:t>Low certainty</w:t>
      </w:r>
      <w:r>
        <w:t xml:space="preserve">: Our confidence in the effect estimate is limited: The true effect may be substantially different from the estimate of the effect; </w:t>
      </w:r>
    </w:p>
    <w:p w14:paraId="369EE5B4" w14:textId="77777777" w:rsidR="00B156AA" w:rsidRDefault="00B156AA" w:rsidP="00B156AA">
      <w:pPr>
        <w:pStyle w:val="TFAbbrevs18"/>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341943">
        <w:rPr>
          <w:rStyle w:val="Strong"/>
        </w:rPr>
        <w:t>Very low certainty:</w:t>
      </w:r>
      <w:r>
        <w:t xml:space="preserve"> We have very little confidence in the effect estimate: The true effect is likely to be substantially different from the estimate of effect</w:t>
      </w:r>
    </w:p>
    <w:p w14:paraId="08DEFC11" w14:textId="77777777" w:rsidR="00B156AA" w:rsidRPr="00991696" w:rsidRDefault="00B156AA" w:rsidP="00B156AA">
      <w:pPr>
        <w:pStyle w:val="TFAbbrevs18"/>
      </w:pPr>
      <w:r w:rsidRPr="00991696">
        <w:t>a. Studies are open label</w:t>
      </w:r>
      <w:r>
        <w:t xml:space="preserve"> with h</w:t>
      </w:r>
      <w:r w:rsidRPr="00991696">
        <w:t xml:space="preserve">igh attrition </w:t>
      </w:r>
      <w:r>
        <w:t>rates</w:t>
      </w:r>
      <w:r w:rsidRPr="00991696">
        <w:t xml:space="preserve">. </w:t>
      </w:r>
      <w:r>
        <w:t>Overall h</w:t>
      </w:r>
      <w:r w:rsidRPr="00991696">
        <w:t xml:space="preserve">igh risk of bias is suspected. </w:t>
      </w:r>
    </w:p>
    <w:p w14:paraId="6D78CB33" w14:textId="77777777" w:rsidR="00B156AA" w:rsidRPr="00991696" w:rsidRDefault="00B156AA" w:rsidP="00B156AA">
      <w:pPr>
        <w:pStyle w:val="TFAbbrevs18"/>
      </w:pPr>
      <w:r w:rsidRPr="00991696">
        <w:t xml:space="preserve">b. Minimal overlap in confidence intervals and substantial </w:t>
      </w:r>
      <w:r>
        <w:t>heterogeneity (</w:t>
      </w:r>
      <w:r w:rsidRPr="00991696">
        <w:t>I</w:t>
      </w:r>
      <w:r w:rsidRPr="00AB6418">
        <w:rPr>
          <w:vertAlign w:val="superscript"/>
        </w:rPr>
        <w:t>2</w:t>
      </w:r>
      <w:r w:rsidRPr="00991696">
        <w:t xml:space="preserve"> statistic</w:t>
      </w:r>
      <w:r>
        <w:t>).</w:t>
      </w:r>
      <w:r w:rsidRPr="00991696">
        <w:t xml:space="preserve"> </w:t>
      </w:r>
    </w:p>
    <w:p w14:paraId="4E18581D" w14:textId="77777777" w:rsidR="00B156AA" w:rsidRPr="00991696" w:rsidRDefault="00B156AA" w:rsidP="00B156AA">
      <w:pPr>
        <w:pStyle w:val="TFAbbrevs18"/>
      </w:pPr>
      <w:r w:rsidRPr="00991696">
        <w:t>c. Studies are conducted in a broader population than the PICO. Results include patients who do not have diabetes and have a BMI 35-40. It is not expected that results would be significantly different in this population. See Section C</w:t>
      </w:r>
      <w:r>
        <w:t>.</w:t>
      </w:r>
      <w:r w:rsidRPr="00991696">
        <w:t xml:space="preserve"> </w:t>
      </w:r>
    </w:p>
    <w:p w14:paraId="16F942A7" w14:textId="77777777" w:rsidR="00B156AA" w:rsidRPr="00991696" w:rsidRDefault="00B156AA" w:rsidP="00B156AA">
      <w:pPr>
        <w:pStyle w:val="TFAbbrevs18"/>
      </w:pPr>
      <w:r w:rsidRPr="00991696">
        <w:t xml:space="preserve">d. Small total sample size with wide CI, may </w:t>
      </w:r>
      <w:r>
        <w:t>a</w:t>
      </w:r>
      <w:r w:rsidRPr="00991696">
        <w:t>ffect quality of the evidence</w:t>
      </w:r>
      <w:r>
        <w:t>.</w:t>
      </w:r>
      <w:r w:rsidRPr="00991696">
        <w:t xml:space="preserve"> </w:t>
      </w:r>
    </w:p>
    <w:p w14:paraId="737ECCA4" w14:textId="77777777" w:rsidR="00B156AA" w:rsidRPr="00991696" w:rsidRDefault="00B156AA" w:rsidP="00B156AA">
      <w:pPr>
        <w:pStyle w:val="TFAbbrevs18"/>
      </w:pPr>
      <w:r w:rsidRPr="00991696">
        <w:t xml:space="preserve">e. Overlap of confidence intervals and </w:t>
      </w:r>
      <w:r>
        <w:t>no heterogeneity (</w:t>
      </w:r>
      <w:r w:rsidRPr="00991696">
        <w:t>I</w:t>
      </w:r>
      <w:r w:rsidRPr="00EF0782">
        <w:rPr>
          <w:vertAlign w:val="superscript"/>
        </w:rPr>
        <w:t>2</w:t>
      </w:r>
      <w:r w:rsidRPr="00991696">
        <w:t xml:space="preserve"> </w:t>
      </w:r>
      <w:r>
        <w:t xml:space="preserve">= </w:t>
      </w:r>
      <w:r w:rsidRPr="00991696">
        <w:t>0%</w:t>
      </w:r>
      <w:r>
        <w:t xml:space="preserve">). </w:t>
      </w:r>
    </w:p>
    <w:p w14:paraId="627DB6D2" w14:textId="77777777" w:rsidR="00B156AA" w:rsidRPr="00991696" w:rsidRDefault="00B156AA" w:rsidP="00B156AA">
      <w:pPr>
        <w:pStyle w:val="TFAbbrevs18"/>
      </w:pPr>
      <w:r w:rsidRPr="00991696">
        <w:t xml:space="preserve">f. </w:t>
      </w:r>
      <w:r>
        <w:t xml:space="preserve">Certainty </w:t>
      </w:r>
      <w:r w:rsidRPr="00991696">
        <w:t>of evidence upgraded due to large magnitude of effect with no plausible confounding</w:t>
      </w:r>
      <w:r>
        <w:t>.</w:t>
      </w:r>
      <w:r w:rsidRPr="00991696">
        <w:t xml:space="preserve"> </w:t>
      </w:r>
    </w:p>
    <w:p w14:paraId="0BDB9140" w14:textId="77777777" w:rsidR="00B156AA" w:rsidRPr="00991696" w:rsidRDefault="00B156AA" w:rsidP="00B156AA">
      <w:pPr>
        <w:pStyle w:val="TFAbbrevs18"/>
      </w:pPr>
      <w:r w:rsidRPr="00991696">
        <w:t>g. CI of one study overlaps effect threshold</w:t>
      </w:r>
      <w:r>
        <w:t>.</w:t>
      </w:r>
      <w:r w:rsidRPr="00991696">
        <w:t xml:space="preserve"> </w:t>
      </w:r>
    </w:p>
    <w:p w14:paraId="015FFA81" w14:textId="77777777" w:rsidR="00B156AA" w:rsidRPr="00991696" w:rsidRDefault="00B156AA" w:rsidP="00B156AA">
      <w:pPr>
        <w:pStyle w:val="TFAbbrevs18"/>
      </w:pPr>
      <w:r w:rsidRPr="00991696">
        <w:t>h. Single study. Body of literature is not well established</w:t>
      </w:r>
      <w:r>
        <w:t>,</w:t>
      </w:r>
      <w:r w:rsidRPr="00991696">
        <w:t xml:space="preserve"> and consistency cannot be established</w:t>
      </w:r>
      <w:r>
        <w:t>.</w:t>
      </w:r>
      <w:r w:rsidRPr="00991696">
        <w:t xml:space="preserve"> </w:t>
      </w:r>
    </w:p>
    <w:p w14:paraId="5A19C775" w14:textId="77777777" w:rsidR="00B156AA" w:rsidRPr="00991696" w:rsidRDefault="00B156AA" w:rsidP="00B156AA">
      <w:pPr>
        <w:pStyle w:val="TFAbbrevs18"/>
      </w:pPr>
      <w:proofErr w:type="spellStart"/>
      <w:r w:rsidRPr="00991696">
        <w:t>i</w:t>
      </w:r>
      <w:proofErr w:type="spellEnd"/>
      <w:r w:rsidRPr="00991696">
        <w:t>. Patients with T2DM with a BMI 30-40. Unclear if population are between 30-35 BMI</w:t>
      </w:r>
      <w:r>
        <w:t>.</w:t>
      </w:r>
      <w:r w:rsidRPr="00991696">
        <w:t xml:space="preserve"> </w:t>
      </w:r>
    </w:p>
    <w:p w14:paraId="2A05ADDF" w14:textId="77777777" w:rsidR="00B156AA" w:rsidRDefault="00B156AA" w:rsidP="00B156AA">
      <w:pPr>
        <w:pStyle w:val="TFAbbrevs18"/>
      </w:pPr>
      <w:r w:rsidRPr="00991696">
        <w:t>j. Single study</w:t>
      </w:r>
      <w:r>
        <w:t xml:space="preserve">. </w:t>
      </w:r>
      <w:r w:rsidRPr="00991696">
        <w:t>Risk difference CI overlaps effect threshold</w:t>
      </w:r>
      <w:r>
        <w:t xml:space="preserve">. </w:t>
      </w:r>
    </w:p>
    <w:p w14:paraId="36EC0533" w14:textId="77777777" w:rsidR="00F37B9C" w:rsidRDefault="00F37B9C" w:rsidP="00EA5D22">
      <w:pPr>
        <w:tabs>
          <w:tab w:val="left" w:pos="720"/>
          <w:tab w:val="left" w:pos="1140"/>
        </w:tabs>
        <w:spacing w:after="120"/>
        <w:rPr>
          <w:b/>
          <w:szCs w:val="24"/>
        </w:rPr>
      </w:pPr>
      <w:r w:rsidRPr="00F37B9C">
        <w:rPr>
          <w:b/>
          <w:szCs w:val="24"/>
        </w:rPr>
        <w:t>Clinical Claim</w:t>
      </w:r>
    </w:p>
    <w:p w14:paraId="1790506B" w14:textId="77777777" w:rsidR="00B156AA" w:rsidRDefault="00B156AA" w:rsidP="00B156AA">
      <w:r w:rsidRPr="00A70E12">
        <w:t xml:space="preserve">On the basis of the evidence profile, it is suggested that, relative to lifestyle intervention alone, </w:t>
      </w:r>
      <w:r>
        <w:t xml:space="preserve">IGB plus lifestyle </w:t>
      </w:r>
      <w:r w:rsidRPr="00A70E12">
        <w:t xml:space="preserve">has inferior safety and </w:t>
      </w:r>
      <w:r>
        <w:t>uncertain</w:t>
      </w:r>
      <w:r w:rsidRPr="00A70E12">
        <w:t xml:space="preserve"> effectiveness.</w:t>
      </w:r>
      <w:r>
        <w:t xml:space="preserve"> The Critique considered the CA’s clinical claim to be reasonable.</w:t>
      </w:r>
    </w:p>
    <w:p w14:paraId="75B70E25" w14:textId="77777777" w:rsidR="00BC1364" w:rsidRPr="00F715D1" w:rsidRDefault="00BC1364" w:rsidP="00F715D1">
      <w:pPr>
        <w:pStyle w:val="Heading1"/>
      </w:pPr>
      <w:r w:rsidRPr="00F715D1">
        <w:t>Economic evaluation</w:t>
      </w:r>
    </w:p>
    <w:p w14:paraId="0AA69B47" w14:textId="77777777" w:rsidR="00B156AA" w:rsidRDefault="00B156AA" w:rsidP="00B156AA">
      <w:r>
        <w:t>A cost-utility analysis (CUA) and cost-consequence analysis (CCA) were provided, the latter due to the uncertainty in long-term clinical effectiveness of IGB plus lifestyle vs. lifestyle alone. (Table 5).</w:t>
      </w:r>
    </w:p>
    <w:p w14:paraId="6DBFDF75" w14:textId="77777777" w:rsidR="00B156AA" w:rsidRPr="00DD6B45" w:rsidRDefault="00B156AA" w:rsidP="00DD6B45">
      <w:pPr>
        <w:keepNext/>
        <w:keepLines/>
        <w:rPr>
          <w:rFonts w:ascii="Arial Narrow" w:hAnsi="Arial Narrow"/>
          <w:b/>
          <w:sz w:val="20"/>
        </w:rPr>
      </w:pPr>
      <w:bookmarkStart w:id="15" w:name="_Ref532993892"/>
      <w:bookmarkStart w:id="16" w:name="_Toc1371961"/>
      <w:r w:rsidRPr="00DD6B45">
        <w:rPr>
          <w:rFonts w:ascii="Arial Narrow" w:hAnsi="Arial Narrow"/>
          <w:b/>
          <w:sz w:val="20"/>
        </w:rPr>
        <w:lastRenderedPageBreak/>
        <w:t xml:space="preserve">Table </w:t>
      </w:r>
      <w:bookmarkEnd w:id="15"/>
      <w:r w:rsidRPr="00DD6B45">
        <w:rPr>
          <w:rFonts w:ascii="Arial Narrow" w:hAnsi="Arial Narrow"/>
          <w:b/>
          <w:sz w:val="20"/>
        </w:rPr>
        <w:t>5</w:t>
      </w:r>
      <w:r w:rsidRPr="00DD6B45">
        <w:rPr>
          <w:rFonts w:ascii="Arial Narrow" w:hAnsi="Arial Narrow"/>
          <w:b/>
          <w:sz w:val="20"/>
        </w:rPr>
        <w:tab/>
        <w:t>Summary of the economic evaluation</w:t>
      </w:r>
      <w:bookmarkEnd w:id="16"/>
      <w:r w:rsidRPr="00DD6B45">
        <w:rPr>
          <w:rFonts w:ascii="Arial Narrow" w:hAnsi="Arial Narrow"/>
          <w:b/>
          <w:sz w:val="20"/>
        </w:rPr>
        <w:t xml:space="preserve"> </w:t>
      </w:r>
    </w:p>
    <w:tbl>
      <w:tblPr>
        <w:tblStyle w:val="TableGrid1"/>
        <w:tblW w:w="8908" w:type="dxa"/>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2830"/>
        <w:gridCol w:w="6078"/>
      </w:tblGrid>
      <w:tr w:rsidR="00B156AA" w:rsidRPr="00183E4D" w14:paraId="5ECB1E65" w14:textId="77777777" w:rsidTr="00B156AA">
        <w:trPr>
          <w:cnfStyle w:val="100000000000" w:firstRow="1" w:lastRow="0" w:firstColumn="0" w:lastColumn="0" w:oddVBand="0" w:evenVBand="0" w:oddHBand="0" w:evenHBand="0" w:firstRowFirstColumn="0" w:firstRowLastColumn="0" w:lastRowFirstColumn="0" w:lastRowLastColumn="0"/>
          <w:trHeight w:val="20"/>
          <w:tblHeader/>
        </w:trPr>
        <w:tc>
          <w:tcPr>
            <w:tcW w:w="2830" w:type="dxa"/>
          </w:tcPr>
          <w:p w14:paraId="74EC7E5E" w14:textId="77777777" w:rsidR="00B156AA" w:rsidRPr="00183E4D" w:rsidRDefault="00B156AA" w:rsidP="00DD6B45">
            <w:pPr>
              <w:pStyle w:val="Tabletext0"/>
              <w:keepNext/>
              <w:keepLines/>
            </w:pPr>
            <w:r w:rsidRPr="00183E4D">
              <w:t>Perspective</w:t>
            </w:r>
          </w:p>
        </w:tc>
        <w:tc>
          <w:tcPr>
            <w:tcW w:w="6078" w:type="dxa"/>
          </w:tcPr>
          <w:p w14:paraId="2FB8C786" w14:textId="77777777" w:rsidR="00B156AA" w:rsidRPr="00183E4D" w:rsidRDefault="00B156AA" w:rsidP="00DD6B45">
            <w:pPr>
              <w:pStyle w:val="Tabletext0"/>
              <w:keepNext/>
              <w:keepLines/>
            </w:pPr>
            <w:r>
              <w:t>Australian Healthcare</w:t>
            </w:r>
          </w:p>
        </w:tc>
      </w:tr>
      <w:tr w:rsidR="00B156AA" w:rsidRPr="00183E4D" w14:paraId="6FCAD9CB" w14:textId="77777777" w:rsidTr="00B156AA">
        <w:trPr>
          <w:trHeight w:val="20"/>
        </w:trPr>
        <w:tc>
          <w:tcPr>
            <w:tcW w:w="2830" w:type="dxa"/>
          </w:tcPr>
          <w:p w14:paraId="3159E3CE" w14:textId="77777777" w:rsidR="00B156AA" w:rsidRPr="00183E4D" w:rsidRDefault="00B156AA" w:rsidP="00DD6B45">
            <w:pPr>
              <w:pStyle w:val="Tabletext0"/>
              <w:keepNext/>
              <w:keepLines/>
            </w:pPr>
            <w:r w:rsidRPr="00183E4D">
              <w:t>Comparator</w:t>
            </w:r>
          </w:p>
        </w:tc>
        <w:tc>
          <w:tcPr>
            <w:tcW w:w="6078" w:type="dxa"/>
          </w:tcPr>
          <w:p w14:paraId="60852AE1" w14:textId="77777777" w:rsidR="00B156AA" w:rsidRPr="00183E4D" w:rsidRDefault="00B156AA" w:rsidP="00DD6B45">
            <w:pPr>
              <w:pStyle w:val="Tabletext0"/>
              <w:keepNext/>
              <w:keepLines/>
            </w:pPr>
            <w:r>
              <w:t>Lifestyle</w:t>
            </w:r>
          </w:p>
        </w:tc>
      </w:tr>
      <w:tr w:rsidR="00B156AA" w:rsidRPr="00183E4D" w14:paraId="5F2BDE31" w14:textId="77777777" w:rsidTr="00B156AA">
        <w:trPr>
          <w:trHeight w:val="20"/>
        </w:trPr>
        <w:tc>
          <w:tcPr>
            <w:tcW w:w="2830" w:type="dxa"/>
          </w:tcPr>
          <w:p w14:paraId="54123BB4" w14:textId="77777777" w:rsidR="00B156AA" w:rsidRPr="00183E4D" w:rsidRDefault="00B156AA" w:rsidP="00DD6B45">
            <w:pPr>
              <w:pStyle w:val="Tabletext0"/>
              <w:keepNext/>
              <w:keepLines/>
            </w:pPr>
            <w:r w:rsidRPr="00183E4D">
              <w:t>Type of economic evaluation</w:t>
            </w:r>
          </w:p>
        </w:tc>
        <w:tc>
          <w:tcPr>
            <w:tcW w:w="6078" w:type="dxa"/>
          </w:tcPr>
          <w:p w14:paraId="5A894513" w14:textId="77777777" w:rsidR="00B156AA" w:rsidRPr="00183E4D" w:rsidRDefault="00B156AA" w:rsidP="00DD6B45">
            <w:pPr>
              <w:pStyle w:val="Tabletext0"/>
              <w:keepNext/>
              <w:keepLines/>
            </w:pPr>
            <w:r>
              <w:t>C</w:t>
            </w:r>
            <w:r w:rsidRPr="00183E4D">
              <w:t>ost-utility</w:t>
            </w:r>
            <w:r>
              <w:t xml:space="preserve"> (and </w:t>
            </w:r>
            <w:r w:rsidRPr="00183E4D">
              <w:t>cost-consequence</w:t>
            </w:r>
            <w:r>
              <w:t>)</w:t>
            </w:r>
          </w:p>
        </w:tc>
      </w:tr>
      <w:tr w:rsidR="00B156AA" w:rsidRPr="00183E4D" w14:paraId="2CC915E4" w14:textId="77777777" w:rsidTr="00B156AA">
        <w:trPr>
          <w:trHeight w:val="20"/>
        </w:trPr>
        <w:tc>
          <w:tcPr>
            <w:tcW w:w="2830" w:type="dxa"/>
          </w:tcPr>
          <w:p w14:paraId="30F7D40B" w14:textId="77777777" w:rsidR="00B156AA" w:rsidRPr="00183E4D" w:rsidRDefault="00B156AA" w:rsidP="00B156AA">
            <w:pPr>
              <w:pStyle w:val="Tabletext0"/>
            </w:pPr>
            <w:r w:rsidRPr="00183E4D">
              <w:t>Sources of evidence</w:t>
            </w:r>
          </w:p>
        </w:tc>
        <w:tc>
          <w:tcPr>
            <w:tcW w:w="6078" w:type="dxa"/>
          </w:tcPr>
          <w:p w14:paraId="2E8E8676" w14:textId="77777777" w:rsidR="00B156AA" w:rsidRPr="00183E4D" w:rsidRDefault="00B156AA" w:rsidP="00B156AA">
            <w:pPr>
              <w:pStyle w:val="Tabletext0"/>
            </w:pPr>
            <w:r>
              <w:t xml:space="preserve">RCTs presented in Section B (Fuller 2013 and </w:t>
            </w:r>
            <w:proofErr w:type="spellStart"/>
            <w:r>
              <w:t>Courcoulas</w:t>
            </w:r>
            <w:proofErr w:type="spellEnd"/>
            <w:r>
              <w:t xml:space="preserve"> 2017)</w:t>
            </w:r>
          </w:p>
        </w:tc>
      </w:tr>
      <w:tr w:rsidR="00B156AA" w:rsidRPr="00183E4D" w14:paraId="57767C53" w14:textId="77777777" w:rsidTr="00B156AA">
        <w:trPr>
          <w:trHeight w:val="20"/>
        </w:trPr>
        <w:tc>
          <w:tcPr>
            <w:tcW w:w="2830" w:type="dxa"/>
            <w:hideMark/>
          </w:tcPr>
          <w:p w14:paraId="39598812" w14:textId="77777777" w:rsidR="00B156AA" w:rsidRPr="00183E4D" w:rsidRDefault="00B156AA" w:rsidP="00B156AA">
            <w:pPr>
              <w:pStyle w:val="Tabletext0"/>
            </w:pPr>
            <w:r w:rsidRPr="00183E4D">
              <w:t>Time horizon</w:t>
            </w:r>
          </w:p>
        </w:tc>
        <w:tc>
          <w:tcPr>
            <w:tcW w:w="6078" w:type="dxa"/>
          </w:tcPr>
          <w:p w14:paraId="3AC5F5E1" w14:textId="77777777" w:rsidR="00B156AA" w:rsidRPr="00183E4D" w:rsidRDefault="00B156AA" w:rsidP="00B156AA">
            <w:pPr>
              <w:pStyle w:val="Tabletext0"/>
            </w:pPr>
            <w:r>
              <w:t>Lifetime (50)</w:t>
            </w:r>
            <w:r w:rsidRPr="00183E4D">
              <w:t xml:space="preserve"> years in base case</w:t>
            </w:r>
            <w:r>
              <w:t xml:space="preserve"> </w:t>
            </w:r>
          </w:p>
        </w:tc>
      </w:tr>
      <w:tr w:rsidR="00B156AA" w:rsidRPr="00183E4D" w14:paraId="1A74AC46" w14:textId="77777777" w:rsidTr="00B156AA">
        <w:trPr>
          <w:trHeight w:val="20"/>
        </w:trPr>
        <w:tc>
          <w:tcPr>
            <w:tcW w:w="2830" w:type="dxa"/>
            <w:hideMark/>
          </w:tcPr>
          <w:p w14:paraId="778C4FD8" w14:textId="77777777" w:rsidR="00B156AA" w:rsidRPr="00183E4D" w:rsidRDefault="00B156AA" w:rsidP="00B156AA">
            <w:pPr>
              <w:pStyle w:val="Tabletext0"/>
            </w:pPr>
            <w:r w:rsidRPr="00183E4D">
              <w:t>Outcomes</w:t>
            </w:r>
          </w:p>
        </w:tc>
        <w:tc>
          <w:tcPr>
            <w:tcW w:w="6078" w:type="dxa"/>
          </w:tcPr>
          <w:p w14:paraId="5CE00D8C" w14:textId="77777777" w:rsidR="00B156AA" w:rsidRPr="00183E4D" w:rsidRDefault="00B156AA" w:rsidP="00B156AA">
            <w:pPr>
              <w:pStyle w:val="Tabletext0"/>
            </w:pPr>
            <w:r w:rsidRPr="00183E4D">
              <w:t>QALYs</w:t>
            </w:r>
            <w:r>
              <w:t>, costs</w:t>
            </w:r>
          </w:p>
        </w:tc>
      </w:tr>
      <w:tr w:rsidR="00B156AA" w:rsidRPr="00183E4D" w14:paraId="5950AAD3" w14:textId="77777777" w:rsidTr="00B156AA">
        <w:trPr>
          <w:trHeight w:val="20"/>
        </w:trPr>
        <w:tc>
          <w:tcPr>
            <w:tcW w:w="2830" w:type="dxa"/>
            <w:hideMark/>
          </w:tcPr>
          <w:p w14:paraId="0901A8F0" w14:textId="77777777" w:rsidR="00B156AA" w:rsidRPr="00183E4D" w:rsidRDefault="00B156AA" w:rsidP="00B156AA">
            <w:pPr>
              <w:pStyle w:val="Tabletext0"/>
            </w:pPr>
            <w:r w:rsidRPr="00183E4D">
              <w:t>Methods used to generate results</w:t>
            </w:r>
          </w:p>
        </w:tc>
        <w:tc>
          <w:tcPr>
            <w:tcW w:w="6078" w:type="dxa"/>
          </w:tcPr>
          <w:p w14:paraId="1FBAB8CF" w14:textId="77777777" w:rsidR="00B156AA" w:rsidRPr="00183E4D" w:rsidRDefault="00B156AA" w:rsidP="00B156AA">
            <w:pPr>
              <w:pStyle w:val="Tabletext0"/>
            </w:pPr>
            <w:r w:rsidRPr="00183E4D">
              <w:t>Markov model</w:t>
            </w:r>
          </w:p>
        </w:tc>
      </w:tr>
      <w:tr w:rsidR="00B156AA" w:rsidRPr="00183E4D" w14:paraId="41307311" w14:textId="77777777" w:rsidTr="00B156AA">
        <w:trPr>
          <w:trHeight w:val="20"/>
        </w:trPr>
        <w:tc>
          <w:tcPr>
            <w:tcW w:w="2830" w:type="dxa"/>
          </w:tcPr>
          <w:p w14:paraId="06B64163" w14:textId="77777777" w:rsidR="00B156AA" w:rsidRPr="00183E4D" w:rsidRDefault="00B156AA" w:rsidP="00B156AA">
            <w:pPr>
              <w:pStyle w:val="Tabletext0"/>
            </w:pPr>
            <w:r w:rsidRPr="00183E4D">
              <w:t>Health states</w:t>
            </w:r>
          </w:p>
        </w:tc>
        <w:tc>
          <w:tcPr>
            <w:tcW w:w="6078" w:type="dxa"/>
          </w:tcPr>
          <w:p w14:paraId="18F7398D" w14:textId="77777777" w:rsidR="00B156AA" w:rsidRDefault="00B156AA" w:rsidP="00B156AA">
            <w:pPr>
              <w:pStyle w:val="Tabletext0"/>
            </w:pPr>
            <w:r>
              <w:t>BMI category (kg/m</w:t>
            </w:r>
            <w:r w:rsidRPr="008F4C60">
              <w:rPr>
                <w:vertAlign w:val="superscript"/>
              </w:rPr>
              <w:t>2</w:t>
            </w:r>
            <w:r>
              <w:t>)</w:t>
            </w:r>
          </w:p>
          <w:p w14:paraId="5F678DBE" w14:textId="77777777" w:rsidR="00B156AA" w:rsidRDefault="00B156AA" w:rsidP="00B156AA">
            <w:pPr>
              <w:pStyle w:val="TableText1"/>
            </w:pPr>
            <w:r>
              <w:t>&lt; 24.9</w:t>
            </w:r>
          </w:p>
          <w:p w14:paraId="22B5A2B8" w14:textId="77777777" w:rsidR="00B156AA" w:rsidRDefault="00B156AA" w:rsidP="00B156AA">
            <w:pPr>
              <w:pStyle w:val="TableText1"/>
            </w:pPr>
            <w:r>
              <w:t>25 to 29.9</w:t>
            </w:r>
          </w:p>
          <w:p w14:paraId="2D302784" w14:textId="77777777" w:rsidR="00B156AA" w:rsidRDefault="00B156AA" w:rsidP="00B156AA">
            <w:pPr>
              <w:pStyle w:val="TableText1"/>
            </w:pPr>
            <w:r>
              <w:t>30 to 34.9</w:t>
            </w:r>
          </w:p>
          <w:p w14:paraId="2B68AF0C" w14:textId="77777777" w:rsidR="00B156AA" w:rsidRDefault="00B156AA" w:rsidP="00B156AA">
            <w:pPr>
              <w:pStyle w:val="TableText1"/>
            </w:pPr>
            <w:r>
              <w:t>35 to 39.9</w:t>
            </w:r>
          </w:p>
          <w:p w14:paraId="6A102CC2" w14:textId="77777777" w:rsidR="00B156AA" w:rsidRDefault="00B156AA" w:rsidP="00B156AA">
            <w:pPr>
              <w:pStyle w:val="TableText1"/>
            </w:pPr>
            <w:r>
              <w:t>&gt; 40</w:t>
            </w:r>
          </w:p>
          <w:p w14:paraId="099200AC" w14:textId="77777777" w:rsidR="00B156AA" w:rsidRPr="00183E4D" w:rsidRDefault="00B156AA" w:rsidP="00B156AA">
            <w:pPr>
              <w:pStyle w:val="Tabletext0"/>
            </w:pPr>
            <w:r>
              <w:t>Death</w:t>
            </w:r>
          </w:p>
        </w:tc>
      </w:tr>
      <w:tr w:rsidR="00B156AA" w:rsidRPr="00183E4D" w14:paraId="59BCFAD3" w14:textId="77777777" w:rsidTr="00B156AA">
        <w:trPr>
          <w:trHeight w:val="20"/>
        </w:trPr>
        <w:tc>
          <w:tcPr>
            <w:tcW w:w="2830" w:type="dxa"/>
            <w:hideMark/>
          </w:tcPr>
          <w:p w14:paraId="7ABB2FEF" w14:textId="77777777" w:rsidR="00B156AA" w:rsidRPr="00183E4D" w:rsidRDefault="00B156AA" w:rsidP="00B156AA">
            <w:pPr>
              <w:pStyle w:val="Tabletext0"/>
            </w:pPr>
            <w:r>
              <w:t>C</w:t>
            </w:r>
            <w:r w:rsidRPr="00183E4D">
              <w:t>ycle length</w:t>
            </w:r>
          </w:p>
        </w:tc>
        <w:tc>
          <w:tcPr>
            <w:tcW w:w="6078" w:type="dxa"/>
          </w:tcPr>
          <w:p w14:paraId="7A2ADF14" w14:textId="77777777" w:rsidR="00B156AA" w:rsidRPr="00183E4D" w:rsidRDefault="00B156AA" w:rsidP="00B156AA">
            <w:pPr>
              <w:pStyle w:val="Tabletext0"/>
            </w:pPr>
            <w:r>
              <w:t>6 months</w:t>
            </w:r>
          </w:p>
        </w:tc>
      </w:tr>
      <w:tr w:rsidR="00B156AA" w:rsidRPr="00183E4D" w14:paraId="07927D28" w14:textId="77777777" w:rsidTr="00B156AA">
        <w:trPr>
          <w:trHeight w:val="20"/>
        </w:trPr>
        <w:tc>
          <w:tcPr>
            <w:tcW w:w="2830" w:type="dxa"/>
            <w:hideMark/>
          </w:tcPr>
          <w:p w14:paraId="41EF5488" w14:textId="77777777" w:rsidR="00B156AA" w:rsidRPr="00183E4D" w:rsidRDefault="00B156AA" w:rsidP="00B156AA">
            <w:pPr>
              <w:pStyle w:val="Tabletext0"/>
            </w:pPr>
            <w:r w:rsidRPr="00183E4D">
              <w:t>Discount rate</w:t>
            </w:r>
          </w:p>
        </w:tc>
        <w:tc>
          <w:tcPr>
            <w:tcW w:w="6078" w:type="dxa"/>
          </w:tcPr>
          <w:p w14:paraId="158AC41E" w14:textId="77777777" w:rsidR="00B156AA" w:rsidRPr="00183E4D" w:rsidRDefault="00B156AA" w:rsidP="00B156AA">
            <w:pPr>
              <w:pStyle w:val="Tabletext0"/>
            </w:pPr>
            <w:r>
              <w:t>5% for costs and effects</w:t>
            </w:r>
          </w:p>
        </w:tc>
      </w:tr>
      <w:tr w:rsidR="00B156AA" w:rsidRPr="00183E4D" w14:paraId="27C3791E" w14:textId="77777777" w:rsidTr="00B156AA">
        <w:trPr>
          <w:trHeight w:val="20"/>
        </w:trPr>
        <w:tc>
          <w:tcPr>
            <w:tcW w:w="2830" w:type="dxa"/>
            <w:hideMark/>
          </w:tcPr>
          <w:p w14:paraId="19D81B3C" w14:textId="77777777" w:rsidR="00B156AA" w:rsidRPr="00183E4D" w:rsidRDefault="00B156AA" w:rsidP="00B156AA">
            <w:pPr>
              <w:pStyle w:val="Tabletext0"/>
            </w:pPr>
            <w:r w:rsidRPr="00183E4D">
              <w:t>Software packages used</w:t>
            </w:r>
          </w:p>
        </w:tc>
        <w:tc>
          <w:tcPr>
            <w:tcW w:w="6078" w:type="dxa"/>
          </w:tcPr>
          <w:p w14:paraId="12998D03" w14:textId="77777777" w:rsidR="00B156AA" w:rsidRPr="00183E4D" w:rsidRDefault="00B156AA" w:rsidP="00B156AA">
            <w:pPr>
              <w:pStyle w:val="Tabletext0"/>
            </w:pPr>
            <w:r>
              <w:t>Microsoft Excel</w:t>
            </w:r>
          </w:p>
        </w:tc>
      </w:tr>
    </w:tbl>
    <w:p w14:paraId="110A4340" w14:textId="77777777" w:rsidR="00B156AA" w:rsidRDefault="00B156AA" w:rsidP="00EA5D22">
      <w:pPr>
        <w:pStyle w:val="TFAbbrevs18"/>
        <w:spacing w:after="240"/>
      </w:pPr>
      <w:r>
        <w:t>Abbreviations: BMI, body mass index; QALY, quality-adjusted life-year; RCT, randomised controlled trial</w:t>
      </w:r>
    </w:p>
    <w:p w14:paraId="51C2AF70" w14:textId="77777777" w:rsidR="00B156AA" w:rsidRPr="00E31E61" w:rsidRDefault="00B156AA" w:rsidP="00B156AA">
      <w:pPr>
        <w:pStyle w:val="Heading2"/>
      </w:pPr>
      <w:r>
        <w:t xml:space="preserve">CUA </w:t>
      </w:r>
    </w:p>
    <w:p w14:paraId="34D13694" w14:textId="77777777" w:rsidR="00B156AA" w:rsidRDefault="00B156AA" w:rsidP="00B156AA">
      <w:r>
        <w:t xml:space="preserve">Key assumptions included: </w:t>
      </w:r>
    </w:p>
    <w:p w14:paraId="59278BE7" w14:textId="77777777" w:rsidR="00B156AA" w:rsidRDefault="00B156AA" w:rsidP="00B156AA">
      <w:pPr>
        <w:pStyle w:val="ListParagraph"/>
        <w:numPr>
          <w:ilvl w:val="0"/>
          <w:numId w:val="30"/>
        </w:numPr>
      </w:pPr>
      <w:r>
        <w:t xml:space="preserve">IGB was assumed to have a treatment benefit on T2DM calculated from rates of T2DM remission by weight loss observed in the </w:t>
      </w:r>
      <w:proofErr w:type="spellStart"/>
      <w:r>
        <w:t>DiRECT</w:t>
      </w:r>
      <w:proofErr w:type="spellEnd"/>
      <w:r>
        <w:t xml:space="preserve"> trial (linked evidence approach, discussed in Section C of CA); and</w:t>
      </w:r>
    </w:p>
    <w:p w14:paraId="70862213" w14:textId="45742825" w:rsidR="00B156AA" w:rsidRDefault="00B156AA" w:rsidP="00B044E4">
      <w:pPr>
        <w:pStyle w:val="ListParagraph"/>
        <w:numPr>
          <w:ilvl w:val="0"/>
          <w:numId w:val="30"/>
        </w:numPr>
        <w:spacing w:after="240"/>
      </w:pPr>
      <w:r>
        <w:t xml:space="preserve">BMI results from Fuller 2013 (base case) and </w:t>
      </w:r>
      <w:proofErr w:type="spellStart"/>
      <w:r w:rsidRPr="00E31E61">
        <w:t>Courcoulas</w:t>
      </w:r>
      <w:proofErr w:type="spellEnd"/>
      <w:r>
        <w:t xml:space="preserve"> 2017 (sensitivity analysis) were extrapolated to estimate impact of weight regain over time (linked evidence approach, discussed in Section C of CA).</w:t>
      </w:r>
    </w:p>
    <w:p w14:paraId="64D61A14" w14:textId="77777777" w:rsidR="00B156AA" w:rsidRDefault="00B156AA" w:rsidP="00B156AA">
      <w:r>
        <w:t>The Critique highlighted several limitations of the CA’s model:</w:t>
      </w:r>
    </w:p>
    <w:p w14:paraId="04B34FC1" w14:textId="77777777" w:rsidR="00B156AA" w:rsidRDefault="00B156AA" w:rsidP="00B156AA">
      <w:pPr>
        <w:pStyle w:val="ListParagraph"/>
        <w:numPr>
          <w:ilvl w:val="0"/>
          <w:numId w:val="31"/>
        </w:numPr>
      </w:pPr>
      <w:r>
        <w:t>Disutility associated with IGB insertion, removal and adverse events were not included;</w:t>
      </w:r>
    </w:p>
    <w:p w14:paraId="6E075476" w14:textId="77777777" w:rsidR="00B156AA" w:rsidRDefault="00B156AA" w:rsidP="00B156AA">
      <w:pPr>
        <w:pStyle w:val="ListParagraph"/>
        <w:numPr>
          <w:ilvl w:val="0"/>
          <w:numId w:val="31"/>
        </w:numPr>
      </w:pPr>
      <w:r>
        <w:t>IGB was assumed to be a one-time insertion, which was not consistent with proposed MBS descriptors;</w:t>
      </w:r>
    </w:p>
    <w:p w14:paraId="2A40194C" w14:textId="77777777" w:rsidR="00B156AA" w:rsidRDefault="00B156AA" w:rsidP="00B156AA">
      <w:pPr>
        <w:pStyle w:val="ListParagraph"/>
        <w:numPr>
          <w:ilvl w:val="0"/>
          <w:numId w:val="31"/>
        </w:numPr>
      </w:pPr>
      <w:r>
        <w:t>BMI after 2.5 years remained unchanged for the duration of the time horizon; and</w:t>
      </w:r>
    </w:p>
    <w:p w14:paraId="2DC3857E" w14:textId="09A6778B" w:rsidR="00B156AA" w:rsidRDefault="00B156AA" w:rsidP="00B044E4">
      <w:pPr>
        <w:pStyle w:val="ListParagraph"/>
        <w:numPr>
          <w:ilvl w:val="0"/>
          <w:numId w:val="31"/>
        </w:numPr>
        <w:spacing w:after="240"/>
      </w:pPr>
      <w:r>
        <w:t>Half-cycle correction was not applied, although unlikely to have impact to lifetime horizon analysis (50 years).</w:t>
      </w:r>
    </w:p>
    <w:p w14:paraId="29BAE768" w14:textId="7F1AD3C0" w:rsidR="00B156AA" w:rsidRDefault="00B156AA" w:rsidP="00B156AA">
      <w:r w:rsidRPr="00183E4D">
        <w:t xml:space="preserve">The overall costs and outcomes, and incremental costs and outcomes as calculated for the intervention and comparator in </w:t>
      </w:r>
      <w:r>
        <w:t>the</w:t>
      </w:r>
      <w:r w:rsidRPr="00183E4D">
        <w:t xml:space="preserve"> model, with the base case assumptions, are shown in</w:t>
      </w:r>
      <w:r>
        <w:t xml:space="preserve"> Table 6.</w:t>
      </w:r>
    </w:p>
    <w:p w14:paraId="024C3802" w14:textId="77777777" w:rsidR="00B156AA" w:rsidRPr="00DD6B45" w:rsidRDefault="00B156AA" w:rsidP="00DD6B45">
      <w:pPr>
        <w:keepNext/>
        <w:keepLines/>
        <w:rPr>
          <w:rFonts w:ascii="Arial Narrow" w:hAnsi="Arial Narrow"/>
          <w:b/>
          <w:sz w:val="20"/>
        </w:rPr>
      </w:pPr>
      <w:bookmarkStart w:id="17" w:name="_Ref534185424"/>
      <w:bookmarkStart w:id="18" w:name="_Toc1371963"/>
      <w:r w:rsidRPr="00DD6B45">
        <w:rPr>
          <w:rFonts w:ascii="Arial Narrow" w:hAnsi="Arial Narrow"/>
          <w:b/>
          <w:sz w:val="20"/>
        </w:rPr>
        <w:lastRenderedPageBreak/>
        <w:t xml:space="preserve">Table </w:t>
      </w:r>
      <w:bookmarkEnd w:id="17"/>
      <w:r w:rsidRPr="00DD6B45">
        <w:rPr>
          <w:rFonts w:ascii="Arial Narrow" w:hAnsi="Arial Narrow"/>
          <w:b/>
          <w:sz w:val="20"/>
        </w:rPr>
        <w:t xml:space="preserve">6 </w:t>
      </w:r>
      <w:r w:rsidRPr="00DD6B45">
        <w:rPr>
          <w:rFonts w:ascii="Arial Narrow" w:hAnsi="Arial Narrow"/>
          <w:b/>
          <w:sz w:val="20"/>
        </w:rPr>
        <w:tab/>
      </w:r>
      <w:r w:rsidRPr="00DD6B45">
        <w:rPr>
          <w:rFonts w:ascii="Arial Narrow" w:hAnsi="Arial Narrow"/>
          <w:b/>
          <w:sz w:val="20"/>
        </w:rPr>
        <w:tab/>
        <w:t>Incremental costs and effectiveness</w:t>
      </w:r>
      <w:bookmarkEnd w:id="18"/>
    </w:p>
    <w:tbl>
      <w:tblPr>
        <w:tblStyle w:val="TableGrid1"/>
        <w:tblW w:w="9072" w:type="dxa"/>
        <w:tblLayout w:type="fixed"/>
        <w:tblCellMar>
          <w:left w:w="28" w:type="dxa"/>
          <w:right w:w="28" w:type="dxa"/>
        </w:tblCellMar>
        <w:tblLook w:val="04A0" w:firstRow="1" w:lastRow="0" w:firstColumn="1" w:lastColumn="0" w:noHBand="0" w:noVBand="1"/>
        <w:tblCaption w:val="Incremental costs and effectiveness"/>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547"/>
        <w:gridCol w:w="1188"/>
        <w:gridCol w:w="1325"/>
        <w:gridCol w:w="1325"/>
        <w:gridCol w:w="1326"/>
        <w:gridCol w:w="1361"/>
      </w:tblGrid>
      <w:tr w:rsidR="00B156AA" w:rsidRPr="00B156AA" w14:paraId="5D42E141" w14:textId="77777777" w:rsidTr="00B156AA">
        <w:trPr>
          <w:cnfStyle w:val="100000000000" w:firstRow="1" w:lastRow="0" w:firstColumn="0" w:lastColumn="0" w:oddVBand="0" w:evenVBand="0" w:oddHBand="0" w:evenHBand="0" w:firstRowFirstColumn="0" w:firstRowLastColumn="0" w:lastRowFirstColumn="0" w:lastRowLastColumn="0"/>
          <w:tblHeader/>
        </w:trPr>
        <w:tc>
          <w:tcPr>
            <w:tcW w:w="2547" w:type="dxa"/>
          </w:tcPr>
          <w:p w14:paraId="410D532F" w14:textId="77777777" w:rsidR="00B156AA" w:rsidRPr="00B156AA" w:rsidRDefault="00B156AA" w:rsidP="00DD6B45">
            <w:pPr>
              <w:pStyle w:val="TableText1"/>
              <w:keepLines/>
            </w:pPr>
          </w:p>
        </w:tc>
        <w:tc>
          <w:tcPr>
            <w:tcW w:w="1188" w:type="dxa"/>
          </w:tcPr>
          <w:p w14:paraId="373CFD3B" w14:textId="77777777" w:rsidR="00B156AA" w:rsidRPr="00B156AA" w:rsidRDefault="00B156AA" w:rsidP="00DD6B45">
            <w:pPr>
              <w:keepNext/>
              <w:keepLines/>
              <w:jc w:val="center"/>
              <w:rPr>
                <w:rFonts w:ascii="Arial Narrow" w:hAnsi="Arial Narrow"/>
                <w:b/>
                <w:sz w:val="20"/>
              </w:rPr>
            </w:pPr>
            <w:r w:rsidRPr="00B156AA">
              <w:rPr>
                <w:rFonts w:ascii="Arial Narrow" w:hAnsi="Arial Narrow"/>
                <w:b/>
                <w:sz w:val="20"/>
              </w:rPr>
              <w:t>Cost</w:t>
            </w:r>
          </w:p>
        </w:tc>
        <w:tc>
          <w:tcPr>
            <w:tcW w:w="1325" w:type="dxa"/>
          </w:tcPr>
          <w:p w14:paraId="39CB9208" w14:textId="77777777" w:rsidR="00B156AA" w:rsidRPr="00B156AA" w:rsidRDefault="00B156AA" w:rsidP="00DD6B45">
            <w:pPr>
              <w:keepNext/>
              <w:keepLines/>
              <w:jc w:val="center"/>
              <w:rPr>
                <w:rFonts w:ascii="Arial Narrow" w:hAnsi="Arial Narrow"/>
                <w:b/>
                <w:sz w:val="20"/>
              </w:rPr>
            </w:pPr>
            <w:r w:rsidRPr="00B156AA">
              <w:rPr>
                <w:rFonts w:ascii="Arial Narrow" w:hAnsi="Arial Narrow"/>
                <w:b/>
                <w:sz w:val="20"/>
              </w:rPr>
              <w:t>Incremental cost</w:t>
            </w:r>
          </w:p>
        </w:tc>
        <w:tc>
          <w:tcPr>
            <w:tcW w:w="1325" w:type="dxa"/>
          </w:tcPr>
          <w:p w14:paraId="51AE0F54" w14:textId="77777777" w:rsidR="00B156AA" w:rsidRPr="00B156AA" w:rsidRDefault="00B156AA" w:rsidP="00DD6B45">
            <w:pPr>
              <w:keepNext/>
              <w:keepLines/>
              <w:jc w:val="center"/>
              <w:rPr>
                <w:rFonts w:ascii="Arial Narrow" w:hAnsi="Arial Narrow"/>
                <w:b/>
                <w:sz w:val="20"/>
              </w:rPr>
            </w:pPr>
            <w:r w:rsidRPr="00B156AA">
              <w:rPr>
                <w:rFonts w:ascii="Arial Narrow" w:hAnsi="Arial Narrow"/>
                <w:b/>
                <w:sz w:val="20"/>
              </w:rPr>
              <w:t>Effectiveness (QALYs)</w:t>
            </w:r>
          </w:p>
        </w:tc>
        <w:tc>
          <w:tcPr>
            <w:tcW w:w="1326" w:type="dxa"/>
          </w:tcPr>
          <w:p w14:paraId="1D8EDBDD" w14:textId="77777777" w:rsidR="00B156AA" w:rsidRPr="00B156AA" w:rsidRDefault="00B156AA" w:rsidP="00DD6B45">
            <w:pPr>
              <w:keepNext/>
              <w:keepLines/>
              <w:jc w:val="center"/>
              <w:rPr>
                <w:rFonts w:ascii="Arial Narrow" w:hAnsi="Arial Narrow"/>
                <w:b/>
                <w:sz w:val="20"/>
              </w:rPr>
            </w:pPr>
            <w:r w:rsidRPr="00B156AA">
              <w:rPr>
                <w:rFonts w:ascii="Arial Narrow" w:hAnsi="Arial Narrow"/>
                <w:b/>
                <w:sz w:val="20"/>
              </w:rPr>
              <w:t>Incremental effectiveness</w:t>
            </w:r>
          </w:p>
        </w:tc>
        <w:tc>
          <w:tcPr>
            <w:tcW w:w="1361" w:type="dxa"/>
          </w:tcPr>
          <w:p w14:paraId="0C9578AB" w14:textId="77777777" w:rsidR="00B156AA" w:rsidRPr="00B156AA" w:rsidRDefault="00B156AA" w:rsidP="00DD6B45">
            <w:pPr>
              <w:keepNext/>
              <w:keepLines/>
              <w:jc w:val="center"/>
              <w:rPr>
                <w:rFonts w:ascii="Arial Narrow" w:hAnsi="Arial Narrow"/>
                <w:b/>
                <w:sz w:val="20"/>
              </w:rPr>
            </w:pPr>
            <w:r w:rsidRPr="00B156AA">
              <w:rPr>
                <w:rFonts w:ascii="Arial Narrow" w:hAnsi="Arial Narrow"/>
                <w:b/>
                <w:sz w:val="20"/>
              </w:rPr>
              <w:t>ICER</w:t>
            </w:r>
          </w:p>
        </w:tc>
      </w:tr>
      <w:tr w:rsidR="00B156AA" w:rsidRPr="00827C15" w14:paraId="7E2E8091" w14:textId="77777777" w:rsidTr="00B156AA">
        <w:tc>
          <w:tcPr>
            <w:tcW w:w="2547" w:type="dxa"/>
            <w:tcBorders>
              <w:right w:val="nil"/>
            </w:tcBorders>
          </w:tcPr>
          <w:p w14:paraId="69C87019" w14:textId="77777777" w:rsidR="00B156AA" w:rsidRPr="00827C15" w:rsidRDefault="00B156AA" w:rsidP="00DD6B45">
            <w:pPr>
              <w:pStyle w:val="TableText1"/>
              <w:keepLines/>
              <w:rPr>
                <w:b/>
                <w:szCs w:val="20"/>
              </w:rPr>
            </w:pPr>
            <w:r w:rsidRPr="007D5881">
              <w:rPr>
                <w:rStyle w:val="Strong"/>
              </w:rPr>
              <w:t>Step 1a</w:t>
            </w:r>
            <w:r>
              <w:rPr>
                <w:rStyle w:val="Strong"/>
              </w:rPr>
              <w:t xml:space="preserve"> Trial-based analysis</w:t>
            </w:r>
          </w:p>
        </w:tc>
        <w:tc>
          <w:tcPr>
            <w:tcW w:w="1188" w:type="dxa"/>
            <w:tcBorders>
              <w:left w:val="nil"/>
              <w:right w:val="nil"/>
            </w:tcBorders>
          </w:tcPr>
          <w:p w14:paraId="49816817" w14:textId="77777777" w:rsidR="00B156AA" w:rsidRPr="00EA5D22" w:rsidRDefault="00B156AA" w:rsidP="00DD6B45">
            <w:pPr>
              <w:keepNext/>
              <w:keepLines/>
              <w:jc w:val="right"/>
              <w:rPr>
                <w:rFonts w:cs="Tahoma"/>
                <w:b/>
                <w:sz w:val="20"/>
                <w:szCs w:val="22"/>
                <w:lang w:eastAsia="en-US"/>
              </w:rPr>
            </w:pPr>
            <w:r w:rsidRPr="00EA5D22">
              <w:rPr>
                <w:rFonts w:cs="Tahoma"/>
                <w:b/>
                <w:sz w:val="20"/>
                <w:szCs w:val="22"/>
                <w:lang w:eastAsia="en-US"/>
              </w:rPr>
              <w:t xml:space="preserve">(no T2DM at </w:t>
            </w:r>
          </w:p>
        </w:tc>
        <w:tc>
          <w:tcPr>
            <w:tcW w:w="1325" w:type="dxa"/>
            <w:tcBorders>
              <w:left w:val="nil"/>
              <w:right w:val="nil"/>
            </w:tcBorders>
          </w:tcPr>
          <w:p w14:paraId="0483219C" w14:textId="77777777" w:rsidR="00B156AA" w:rsidRPr="00EA5D22" w:rsidRDefault="00B156AA" w:rsidP="00DD6B45">
            <w:pPr>
              <w:keepNext/>
              <w:keepLines/>
              <w:rPr>
                <w:rFonts w:cs="Tahoma"/>
                <w:b/>
                <w:sz w:val="20"/>
                <w:szCs w:val="22"/>
                <w:lang w:eastAsia="en-US"/>
              </w:rPr>
            </w:pPr>
            <w:r w:rsidRPr="00EA5D22">
              <w:rPr>
                <w:rFonts w:cs="Tahoma"/>
                <w:b/>
                <w:sz w:val="20"/>
                <w:szCs w:val="22"/>
                <w:lang w:eastAsia="en-US"/>
              </w:rPr>
              <w:t>baseline)</w:t>
            </w:r>
          </w:p>
        </w:tc>
        <w:tc>
          <w:tcPr>
            <w:tcW w:w="1325" w:type="dxa"/>
            <w:tcBorders>
              <w:left w:val="nil"/>
              <w:right w:val="nil"/>
            </w:tcBorders>
          </w:tcPr>
          <w:p w14:paraId="35AD1CB0" w14:textId="77777777" w:rsidR="00B156AA" w:rsidRPr="00827C15" w:rsidRDefault="00B156AA" w:rsidP="00DD6B45">
            <w:pPr>
              <w:keepNext/>
              <w:keepLines/>
              <w:jc w:val="center"/>
              <w:rPr>
                <w:b/>
              </w:rPr>
            </w:pPr>
          </w:p>
        </w:tc>
        <w:tc>
          <w:tcPr>
            <w:tcW w:w="1326" w:type="dxa"/>
            <w:tcBorders>
              <w:left w:val="nil"/>
              <w:right w:val="nil"/>
            </w:tcBorders>
          </w:tcPr>
          <w:p w14:paraId="4D325C8F" w14:textId="77777777" w:rsidR="00B156AA" w:rsidRPr="00827C15" w:rsidRDefault="00B156AA" w:rsidP="00DD6B45">
            <w:pPr>
              <w:keepNext/>
              <w:keepLines/>
              <w:jc w:val="center"/>
              <w:rPr>
                <w:b/>
              </w:rPr>
            </w:pPr>
          </w:p>
        </w:tc>
        <w:tc>
          <w:tcPr>
            <w:tcW w:w="1361" w:type="dxa"/>
            <w:tcBorders>
              <w:left w:val="nil"/>
            </w:tcBorders>
          </w:tcPr>
          <w:p w14:paraId="2015C4E0" w14:textId="77777777" w:rsidR="00B156AA" w:rsidRPr="00827C15" w:rsidRDefault="00B156AA" w:rsidP="00DD6B45">
            <w:pPr>
              <w:keepNext/>
              <w:keepLines/>
              <w:jc w:val="center"/>
              <w:rPr>
                <w:b/>
              </w:rPr>
            </w:pPr>
          </w:p>
        </w:tc>
      </w:tr>
      <w:tr w:rsidR="00B156AA" w:rsidRPr="00E50309" w14:paraId="1C312FB6" w14:textId="77777777" w:rsidTr="008C3708">
        <w:tc>
          <w:tcPr>
            <w:tcW w:w="2547" w:type="dxa"/>
          </w:tcPr>
          <w:p w14:paraId="5907278C" w14:textId="77777777" w:rsidR="00B156AA" w:rsidRPr="008C3708" w:rsidRDefault="00B156AA" w:rsidP="00DD6B45">
            <w:pPr>
              <w:pStyle w:val="TableText1"/>
              <w:keepLines/>
              <w:rPr>
                <w:szCs w:val="20"/>
              </w:rPr>
            </w:pPr>
            <w:r w:rsidRPr="008C3708">
              <w:t>IGB plus lifestyle</w:t>
            </w:r>
          </w:p>
        </w:tc>
        <w:tc>
          <w:tcPr>
            <w:tcW w:w="1188" w:type="dxa"/>
          </w:tcPr>
          <w:p w14:paraId="0284FCDB" w14:textId="7635ED95" w:rsidR="00B156AA" w:rsidRPr="008C3708" w:rsidRDefault="00B156AA" w:rsidP="00DD6B45">
            <w:pPr>
              <w:pStyle w:val="TableTextcenter"/>
              <w:keepLines/>
            </w:pPr>
            <w:r w:rsidRPr="008C3708">
              <w:t>$</w:t>
            </w:r>
            <w:r w:rsidR="00117124" w:rsidRPr="008C3708">
              <w:t>redacted</w:t>
            </w:r>
          </w:p>
        </w:tc>
        <w:tc>
          <w:tcPr>
            <w:tcW w:w="1325" w:type="dxa"/>
            <w:tcBorders>
              <w:bottom w:val="nil"/>
            </w:tcBorders>
          </w:tcPr>
          <w:p w14:paraId="42E50C9D" w14:textId="4AB4889F" w:rsidR="00B156AA" w:rsidRPr="008C3708" w:rsidRDefault="00B156AA" w:rsidP="00DD6B45">
            <w:pPr>
              <w:pStyle w:val="TableTextcenter"/>
              <w:keepLines/>
            </w:pPr>
            <w:r w:rsidRPr="008C3708">
              <w:t>$</w:t>
            </w:r>
            <w:r w:rsidR="00117124" w:rsidRPr="008C3708">
              <w:t>redacted</w:t>
            </w:r>
          </w:p>
        </w:tc>
        <w:tc>
          <w:tcPr>
            <w:tcW w:w="1325" w:type="dxa"/>
          </w:tcPr>
          <w:p w14:paraId="6821BF92" w14:textId="77777777" w:rsidR="00B156AA" w:rsidRPr="008C3708" w:rsidRDefault="00B156AA" w:rsidP="00DD6B45">
            <w:pPr>
              <w:pStyle w:val="TableTextcenter"/>
              <w:keepLines/>
            </w:pPr>
            <w:r w:rsidRPr="008C3708">
              <w:t>-3.4</w:t>
            </w:r>
          </w:p>
        </w:tc>
        <w:tc>
          <w:tcPr>
            <w:tcW w:w="1326" w:type="dxa"/>
            <w:tcBorders>
              <w:bottom w:val="nil"/>
            </w:tcBorders>
          </w:tcPr>
          <w:p w14:paraId="71BF4164" w14:textId="77777777" w:rsidR="00B156AA" w:rsidRPr="008C3708" w:rsidRDefault="00B156AA" w:rsidP="00DD6B45">
            <w:pPr>
              <w:pStyle w:val="TableTextcenter"/>
              <w:keepLines/>
              <w:rPr>
                <w:i/>
              </w:rPr>
            </w:pPr>
            <w:r w:rsidRPr="008C3708">
              <w:rPr>
                <w:i/>
              </w:rPr>
              <w:t>-1.5</w:t>
            </w:r>
          </w:p>
        </w:tc>
        <w:tc>
          <w:tcPr>
            <w:tcW w:w="1361" w:type="dxa"/>
            <w:tcBorders>
              <w:bottom w:val="nil"/>
            </w:tcBorders>
            <w:vAlign w:val="center"/>
          </w:tcPr>
          <w:p w14:paraId="513C951C" w14:textId="33B82958" w:rsidR="00B156AA" w:rsidRPr="008C3708" w:rsidRDefault="00B156AA" w:rsidP="00DD6B45">
            <w:pPr>
              <w:pStyle w:val="TableTextcenter"/>
              <w:keepLines/>
            </w:pPr>
            <w:r w:rsidRPr="008C3708">
              <w:rPr>
                <w:i/>
              </w:rPr>
              <w:t>$</w:t>
            </w:r>
            <w:r w:rsidR="00117124" w:rsidRPr="008C3708">
              <w:t>redacted</w:t>
            </w:r>
          </w:p>
        </w:tc>
      </w:tr>
      <w:tr w:rsidR="00B156AA" w:rsidRPr="00183E4D" w14:paraId="6503952E" w14:textId="77777777" w:rsidTr="00B156AA">
        <w:tc>
          <w:tcPr>
            <w:tcW w:w="2547" w:type="dxa"/>
          </w:tcPr>
          <w:p w14:paraId="2600191C" w14:textId="77777777" w:rsidR="00B156AA" w:rsidRPr="008C3708" w:rsidRDefault="00B156AA" w:rsidP="00B156AA">
            <w:pPr>
              <w:pStyle w:val="TableText1"/>
              <w:rPr>
                <w:szCs w:val="20"/>
              </w:rPr>
            </w:pPr>
            <w:r w:rsidRPr="008C3708">
              <w:t>Lifestyle</w:t>
            </w:r>
          </w:p>
        </w:tc>
        <w:tc>
          <w:tcPr>
            <w:tcW w:w="1188" w:type="dxa"/>
          </w:tcPr>
          <w:p w14:paraId="6CCFFF4A" w14:textId="44C22CFA" w:rsidR="00B156AA" w:rsidRPr="008C3708" w:rsidRDefault="00B156AA" w:rsidP="00117124">
            <w:pPr>
              <w:pStyle w:val="TableTextcenter"/>
            </w:pPr>
            <w:r w:rsidRPr="008C3708">
              <w:t>$</w:t>
            </w:r>
            <w:r w:rsidR="00117124" w:rsidRPr="008C3708">
              <w:t>redacted</w:t>
            </w:r>
          </w:p>
        </w:tc>
        <w:tc>
          <w:tcPr>
            <w:tcW w:w="1325" w:type="dxa"/>
            <w:tcBorders>
              <w:top w:val="nil"/>
            </w:tcBorders>
          </w:tcPr>
          <w:p w14:paraId="0281BBF6" w14:textId="77777777" w:rsidR="00B156AA" w:rsidRPr="008C3708" w:rsidRDefault="00B156AA" w:rsidP="00B156AA">
            <w:pPr>
              <w:pStyle w:val="TableTextcenter"/>
            </w:pPr>
          </w:p>
        </w:tc>
        <w:tc>
          <w:tcPr>
            <w:tcW w:w="1325" w:type="dxa"/>
          </w:tcPr>
          <w:p w14:paraId="46148C6E" w14:textId="77777777" w:rsidR="00B156AA" w:rsidRPr="008C3708" w:rsidRDefault="00B156AA" w:rsidP="00B156AA">
            <w:pPr>
              <w:pStyle w:val="TableTextcenter"/>
            </w:pPr>
            <w:r w:rsidRPr="008C3708">
              <w:t>-1.9</w:t>
            </w:r>
          </w:p>
        </w:tc>
        <w:tc>
          <w:tcPr>
            <w:tcW w:w="1326" w:type="dxa"/>
            <w:tcBorders>
              <w:top w:val="nil"/>
            </w:tcBorders>
          </w:tcPr>
          <w:p w14:paraId="1D5C3D6B" w14:textId="77777777" w:rsidR="00B156AA" w:rsidRPr="008C3708" w:rsidRDefault="00B156AA" w:rsidP="00B156AA">
            <w:pPr>
              <w:pStyle w:val="TableTextcenter"/>
            </w:pPr>
          </w:p>
        </w:tc>
        <w:tc>
          <w:tcPr>
            <w:tcW w:w="1361" w:type="dxa"/>
            <w:tcBorders>
              <w:top w:val="nil"/>
            </w:tcBorders>
          </w:tcPr>
          <w:p w14:paraId="76ACFA19" w14:textId="791785C1" w:rsidR="00B156AA" w:rsidRPr="008C3708" w:rsidRDefault="00B156AA" w:rsidP="00B156AA">
            <w:pPr>
              <w:pStyle w:val="TableTextcenter"/>
              <w:jc w:val="left"/>
            </w:pPr>
          </w:p>
        </w:tc>
      </w:tr>
      <w:tr w:rsidR="00B156AA" w:rsidRPr="00827C15" w14:paraId="34E9C8D3" w14:textId="77777777" w:rsidTr="00B156AA">
        <w:tc>
          <w:tcPr>
            <w:tcW w:w="2547" w:type="dxa"/>
            <w:tcBorders>
              <w:right w:val="nil"/>
            </w:tcBorders>
          </w:tcPr>
          <w:p w14:paraId="557EE88A" w14:textId="77777777" w:rsidR="00B156AA" w:rsidRPr="008C3708" w:rsidRDefault="00B156AA" w:rsidP="00B156AA">
            <w:pPr>
              <w:pStyle w:val="TableText1"/>
              <w:rPr>
                <w:b/>
                <w:szCs w:val="20"/>
              </w:rPr>
            </w:pPr>
            <w:r w:rsidRPr="008C3708">
              <w:rPr>
                <w:rStyle w:val="Strong"/>
              </w:rPr>
              <w:t>Step 1b Trial-based analysis</w:t>
            </w:r>
          </w:p>
        </w:tc>
        <w:tc>
          <w:tcPr>
            <w:tcW w:w="1188" w:type="dxa"/>
            <w:tcBorders>
              <w:left w:val="nil"/>
              <w:right w:val="nil"/>
            </w:tcBorders>
          </w:tcPr>
          <w:p w14:paraId="00ABE661" w14:textId="77777777" w:rsidR="00B156AA" w:rsidRPr="008C3708" w:rsidRDefault="00B156AA" w:rsidP="00B156AA">
            <w:pPr>
              <w:pStyle w:val="TableTextcenter"/>
              <w:jc w:val="right"/>
            </w:pPr>
            <w:r w:rsidRPr="008C3708">
              <w:rPr>
                <w:b/>
              </w:rPr>
              <w:t>(no T2DM at</w:t>
            </w:r>
          </w:p>
        </w:tc>
        <w:tc>
          <w:tcPr>
            <w:tcW w:w="1325" w:type="dxa"/>
            <w:tcBorders>
              <w:left w:val="nil"/>
              <w:right w:val="nil"/>
            </w:tcBorders>
          </w:tcPr>
          <w:p w14:paraId="5DB1CE75" w14:textId="77777777" w:rsidR="00B156AA" w:rsidRPr="008C3708" w:rsidRDefault="00B156AA" w:rsidP="00B156AA">
            <w:pPr>
              <w:pStyle w:val="TableTextcenter"/>
              <w:jc w:val="left"/>
            </w:pPr>
            <w:r w:rsidRPr="008C3708">
              <w:rPr>
                <w:b/>
              </w:rPr>
              <w:t>baseline)</w:t>
            </w:r>
          </w:p>
        </w:tc>
        <w:tc>
          <w:tcPr>
            <w:tcW w:w="1325" w:type="dxa"/>
            <w:tcBorders>
              <w:left w:val="nil"/>
              <w:right w:val="nil"/>
            </w:tcBorders>
          </w:tcPr>
          <w:p w14:paraId="094A59B1" w14:textId="77777777" w:rsidR="00B156AA" w:rsidRPr="008C3708" w:rsidRDefault="00B156AA" w:rsidP="00B156AA">
            <w:pPr>
              <w:pStyle w:val="TableTextcenter"/>
            </w:pPr>
          </w:p>
        </w:tc>
        <w:tc>
          <w:tcPr>
            <w:tcW w:w="1326" w:type="dxa"/>
            <w:tcBorders>
              <w:left w:val="nil"/>
              <w:right w:val="nil"/>
            </w:tcBorders>
          </w:tcPr>
          <w:p w14:paraId="045F8B8F" w14:textId="77777777" w:rsidR="00B156AA" w:rsidRPr="008C3708" w:rsidRDefault="00B156AA" w:rsidP="00B156AA">
            <w:pPr>
              <w:pStyle w:val="TableTextcenter"/>
            </w:pPr>
          </w:p>
        </w:tc>
        <w:tc>
          <w:tcPr>
            <w:tcW w:w="1361" w:type="dxa"/>
            <w:tcBorders>
              <w:left w:val="nil"/>
            </w:tcBorders>
          </w:tcPr>
          <w:p w14:paraId="60799F86" w14:textId="77777777" w:rsidR="00B156AA" w:rsidRPr="008C3708" w:rsidRDefault="00B156AA" w:rsidP="00B156AA">
            <w:pPr>
              <w:pStyle w:val="TableTextcenter"/>
            </w:pPr>
          </w:p>
        </w:tc>
      </w:tr>
      <w:tr w:rsidR="00B156AA" w:rsidRPr="00183E4D" w14:paraId="00019580" w14:textId="77777777" w:rsidTr="00B156AA">
        <w:tc>
          <w:tcPr>
            <w:tcW w:w="2547" w:type="dxa"/>
          </w:tcPr>
          <w:p w14:paraId="07CA04C6" w14:textId="77777777" w:rsidR="00B156AA" w:rsidRPr="008C3708" w:rsidRDefault="00B156AA" w:rsidP="00B156AA">
            <w:pPr>
              <w:pStyle w:val="TableText1"/>
              <w:rPr>
                <w:szCs w:val="20"/>
              </w:rPr>
            </w:pPr>
            <w:r w:rsidRPr="008C3708">
              <w:t>IGB pl</w:t>
            </w:r>
            <w:r w:rsidRPr="008C3708">
              <w:rPr>
                <w:szCs w:val="20"/>
              </w:rPr>
              <w:t>us lifestyle</w:t>
            </w:r>
          </w:p>
        </w:tc>
        <w:tc>
          <w:tcPr>
            <w:tcW w:w="1188" w:type="dxa"/>
          </w:tcPr>
          <w:p w14:paraId="6C25C34B" w14:textId="39C6A996" w:rsidR="00B156AA" w:rsidRPr="008C3708" w:rsidRDefault="00B156AA" w:rsidP="00B156AA">
            <w:pPr>
              <w:pStyle w:val="TableTextcenter"/>
            </w:pPr>
            <w:r w:rsidRPr="008C3708">
              <w:t>$</w:t>
            </w:r>
            <w:r w:rsidR="00117124" w:rsidRPr="008C3708">
              <w:t>redacted</w:t>
            </w:r>
          </w:p>
        </w:tc>
        <w:tc>
          <w:tcPr>
            <w:tcW w:w="1325" w:type="dxa"/>
            <w:tcBorders>
              <w:bottom w:val="nil"/>
            </w:tcBorders>
          </w:tcPr>
          <w:p w14:paraId="7FC20A41" w14:textId="40BF1A5F" w:rsidR="00B156AA" w:rsidRPr="008C3708" w:rsidRDefault="00B156AA" w:rsidP="00B156AA">
            <w:pPr>
              <w:pStyle w:val="TableTextcenter"/>
            </w:pPr>
            <w:r w:rsidRPr="008C3708">
              <w:t>$</w:t>
            </w:r>
            <w:r w:rsidR="00117124" w:rsidRPr="008C3708">
              <w:t>redacted</w:t>
            </w:r>
          </w:p>
        </w:tc>
        <w:tc>
          <w:tcPr>
            <w:tcW w:w="1325" w:type="dxa"/>
          </w:tcPr>
          <w:p w14:paraId="5210631D" w14:textId="77777777" w:rsidR="00B156AA" w:rsidRPr="008C3708" w:rsidRDefault="00B156AA" w:rsidP="00B156AA">
            <w:pPr>
              <w:pStyle w:val="TableTextcenter"/>
            </w:pPr>
            <w:r w:rsidRPr="008C3708">
              <w:t>1.123</w:t>
            </w:r>
          </w:p>
        </w:tc>
        <w:tc>
          <w:tcPr>
            <w:tcW w:w="1326" w:type="dxa"/>
            <w:tcBorders>
              <w:bottom w:val="nil"/>
            </w:tcBorders>
          </w:tcPr>
          <w:p w14:paraId="59B720FB" w14:textId="77777777" w:rsidR="00B156AA" w:rsidRPr="008C3708" w:rsidRDefault="00B156AA" w:rsidP="00B156AA">
            <w:pPr>
              <w:pStyle w:val="TableTextcenter"/>
            </w:pPr>
            <w:r w:rsidRPr="008C3708">
              <w:t>0.020</w:t>
            </w:r>
          </w:p>
        </w:tc>
        <w:tc>
          <w:tcPr>
            <w:tcW w:w="1361" w:type="dxa"/>
            <w:tcBorders>
              <w:bottom w:val="nil"/>
            </w:tcBorders>
          </w:tcPr>
          <w:p w14:paraId="61792808" w14:textId="440FE8DC" w:rsidR="00B156AA" w:rsidRPr="008C3708" w:rsidRDefault="00B156AA" w:rsidP="00B156AA">
            <w:pPr>
              <w:pStyle w:val="TableTextcenter"/>
            </w:pPr>
            <w:r w:rsidRPr="008C3708">
              <w:t>$</w:t>
            </w:r>
            <w:r w:rsidR="00117124" w:rsidRPr="008C3708">
              <w:t>redacted</w:t>
            </w:r>
          </w:p>
        </w:tc>
      </w:tr>
      <w:tr w:rsidR="00B156AA" w:rsidRPr="00183E4D" w14:paraId="0650B693" w14:textId="77777777" w:rsidTr="00B156AA">
        <w:tc>
          <w:tcPr>
            <w:tcW w:w="2547" w:type="dxa"/>
            <w:tcBorders>
              <w:bottom w:val="single" w:sz="4" w:space="0" w:color="auto"/>
            </w:tcBorders>
          </w:tcPr>
          <w:p w14:paraId="57D0F3C4" w14:textId="77777777" w:rsidR="00B156AA" w:rsidRPr="008C3708" w:rsidRDefault="00B156AA" w:rsidP="00B156AA">
            <w:pPr>
              <w:pStyle w:val="TableText1"/>
              <w:rPr>
                <w:szCs w:val="20"/>
              </w:rPr>
            </w:pPr>
            <w:r w:rsidRPr="008C3708">
              <w:t>Lifestyle</w:t>
            </w:r>
          </w:p>
        </w:tc>
        <w:tc>
          <w:tcPr>
            <w:tcW w:w="1188" w:type="dxa"/>
            <w:tcBorders>
              <w:bottom w:val="single" w:sz="4" w:space="0" w:color="auto"/>
            </w:tcBorders>
          </w:tcPr>
          <w:p w14:paraId="06247CC0" w14:textId="76F975C5" w:rsidR="00B156AA" w:rsidRPr="008C3708" w:rsidRDefault="00B156AA" w:rsidP="00B156AA">
            <w:pPr>
              <w:pStyle w:val="TableTextcenter"/>
            </w:pPr>
            <w:r w:rsidRPr="008C3708">
              <w:t>$</w:t>
            </w:r>
            <w:r w:rsidR="00117124" w:rsidRPr="008C3708">
              <w:t>redacted</w:t>
            </w:r>
          </w:p>
        </w:tc>
        <w:tc>
          <w:tcPr>
            <w:tcW w:w="1325" w:type="dxa"/>
            <w:tcBorders>
              <w:top w:val="nil"/>
              <w:bottom w:val="single" w:sz="4" w:space="0" w:color="auto"/>
            </w:tcBorders>
          </w:tcPr>
          <w:p w14:paraId="40D28B38" w14:textId="77777777" w:rsidR="00B156AA" w:rsidRPr="008C3708" w:rsidRDefault="00B156AA" w:rsidP="00B156AA">
            <w:pPr>
              <w:pStyle w:val="TableTextcenter"/>
            </w:pPr>
          </w:p>
        </w:tc>
        <w:tc>
          <w:tcPr>
            <w:tcW w:w="1325" w:type="dxa"/>
            <w:tcBorders>
              <w:bottom w:val="single" w:sz="4" w:space="0" w:color="auto"/>
            </w:tcBorders>
          </w:tcPr>
          <w:p w14:paraId="6833C965" w14:textId="77777777" w:rsidR="00B156AA" w:rsidRPr="008C3708" w:rsidRDefault="00B156AA" w:rsidP="00B156AA">
            <w:pPr>
              <w:pStyle w:val="TableTextcenter"/>
            </w:pPr>
            <w:r w:rsidRPr="008C3708">
              <w:t>1.104</w:t>
            </w:r>
          </w:p>
        </w:tc>
        <w:tc>
          <w:tcPr>
            <w:tcW w:w="1326" w:type="dxa"/>
            <w:tcBorders>
              <w:top w:val="nil"/>
              <w:bottom w:val="single" w:sz="4" w:space="0" w:color="auto"/>
            </w:tcBorders>
          </w:tcPr>
          <w:p w14:paraId="25C210AB" w14:textId="77777777" w:rsidR="00B156AA" w:rsidRPr="008C3708" w:rsidRDefault="00B156AA" w:rsidP="00B156AA">
            <w:pPr>
              <w:pStyle w:val="TableTextcenter"/>
            </w:pPr>
          </w:p>
        </w:tc>
        <w:tc>
          <w:tcPr>
            <w:tcW w:w="1361" w:type="dxa"/>
            <w:tcBorders>
              <w:top w:val="nil"/>
              <w:bottom w:val="single" w:sz="4" w:space="0" w:color="auto"/>
            </w:tcBorders>
          </w:tcPr>
          <w:p w14:paraId="210635F5" w14:textId="77777777" w:rsidR="00B156AA" w:rsidRPr="008C3708" w:rsidRDefault="00B156AA" w:rsidP="00B156AA">
            <w:pPr>
              <w:pStyle w:val="TableTextcenter"/>
            </w:pPr>
          </w:p>
        </w:tc>
      </w:tr>
      <w:tr w:rsidR="00B156AA" w:rsidRPr="00827C15" w14:paraId="074F9602" w14:textId="77777777" w:rsidTr="00B156AA">
        <w:tc>
          <w:tcPr>
            <w:tcW w:w="2547" w:type="dxa"/>
            <w:tcBorders>
              <w:top w:val="single" w:sz="4" w:space="0" w:color="auto"/>
              <w:left w:val="single" w:sz="4" w:space="0" w:color="auto"/>
              <w:bottom w:val="single" w:sz="4" w:space="0" w:color="auto"/>
              <w:right w:val="nil"/>
            </w:tcBorders>
          </w:tcPr>
          <w:p w14:paraId="6178CC37" w14:textId="77777777" w:rsidR="00B156AA" w:rsidRPr="008C3708" w:rsidRDefault="00B156AA" w:rsidP="00B156AA">
            <w:pPr>
              <w:pStyle w:val="TableText1"/>
              <w:rPr>
                <w:b/>
                <w:szCs w:val="20"/>
              </w:rPr>
            </w:pPr>
            <w:r w:rsidRPr="008C3708">
              <w:rPr>
                <w:rStyle w:val="Strong"/>
              </w:rPr>
              <w:t>Step 1c Trial-based analysis</w:t>
            </w:r>
          </w:p>
        </w:tc>
        <w:tc>
          <w:tcPr>
            <w:tcW w:w="1188" w:type="dxa"/>
            <w:tcBorders>
              <w:top w:val="single" w:sz="4" w:space="0" w:color="auto"/>
              <w:left w:val="nil"/>
              <w:bottom w:val="single" w:sz="4" w:space="0" w:color="auto"/>
              <w:right w:val="nil"/>
            </w:tcBorders>
          </w:tcPr>
          <w:p w14:paraId="723F3743" w14:textId="77777777" w:rsidR="00B156AA" w:rsidRPr="008C3708" w:rsidRDefault="00B156AA" w:rsidP="00B156AA">
            <w:pPr>
              <w:pStyle w:val="TableTextcenter"/>
              <w:jc w:val="right"/>
              <w:rPr>
                <w:b/>
              </w:rPr>
            </w:pPr>
            <w:r w:rsidRPr="008C3708">
              <w:rPr>
                <w:b/>
              </w:rPr>
              <w:t>(incl.T2DM</w:t>
            </w:r>
          </w:p>
        </w:tc>
        <w:tc>
          <w:tcPr>
            <w:tcW w:w="1325" w:type="dxa"/>
            <w:tcBorders>
              <w:top w:val="single" w:sz="4" w:space="0" w:color="auto"/>
              <w:left w:val="nil"/>
              <w:bottom w:val="single" w:sz="4" w:space="0" w:color="auto"/>
              <w:right w:val="nil"/>
            </w:tcBorders>
          </w:tcPr>
          <w:p w14:paraId="7E380B02" w14:textId="77777777" w:rsidR="00B156AA" w:rsidRPr="008C3708" w:rsidRDefault="00B156AA" w:rsidP="00B156AA">
            <w:pPr>
              <w:pStyle w:val="TableTextcenter"/>
              <w:jc w:val="left"/>
              <w:rPr>
                <w:b/>
              </w:rPr>
            </w:pPr>
            <w:r w:rsidRPr="008C3708">
              <w:rPr>
                <w:b/>
              </w:rPr>
              <w:t>remission)</w:t>
            </w:r>
          </w:p>
        </w:tc>
        <w:tc>
          <w:tcPr>
            <w:tcW w:w="1325" w:type="dxa"/>
            <w:tcBorders>
              <w:top w:val="single" w:sz="4" w:space="0" w:color="auto"/>
              <w:left w:val="nil"/>
              <w:bottom w:val="single" w:sz="4" w:space="0" w:color="auto"/>
              <w:right w:val="nil"/>
            </w:tcBorders>
          </w:tcPr>
          <w:p w14:paraId="470B4DBA" w14:textId="77777777" w:rsidR="00B156AA" w:rsidRPr="008C3708" w:rsidRDefault="00B156AA" w:rsidP="00B156AA">
            <w:pPr>
              <w:pStyle w:val="TableTextcenter"/>
            </w:pPr>
          </w:p>
        </w:tc>
        <w:tc>
          <w:tcPr>
            <w:tcW w:w="1326" w:type="dxa"/>
            <w:tcBorders>
              <w:top w:val="single" w:sz="4" w:space="0" w:color="auto"/>
              <w:left w:val="nil"/>
              <w:bottom w:val="single" w:sz="4" w:space="0" w:color="auto"/>
              <w:right w:val="nil"/>
            </w:tcBorders>
          </w:tcPr>
          <w:p w14:paraId="17B1B81B" w14:textId="77777777" w:rsidR="00B156AA" w:rsidRPr="008C3708" w:rsidRDefault="00B156AA" w:rsidP="00B156AA">
            <w:pPr>
              <w:pStyle w:val="TableTextcenter"/>
            </w:pPr>
          </w:p>
        </w:tc>
        <w:tc>
          <w:tcPr>
            <w:tcW w:w="1361" w:type="dxa"/>
            <w:tcBorders>
              <w:top w:val="single" w:sz="4" w:space="0" w:color="auto"/>
              <w:left w:val="nil"/>
              <w:bottom w:val="single" w:sz="4" w:space="0" w:color="auto"/>
              <w:right w:val="single" w:sz="4" w:space="0" w:color="auto"/>
            </w:tcBorders>
          </w:tcPr>
          <w:p w14:paraId="17F0ADFE" w14:textId="77777777" w:rsidR="00B156AA" w:rsidRPr="008C3708" w:rsidRDefault="00B156AA" w:rsidP="00B156AA">
            <w:pPr>
              <w:pStyle w:val="TableTextcenter"/>
            </w:pPr>
          </w:p>
        </w:tc>
      </w:tr>
      <w:tr w:rsidR="00B156AA" w:rsidRPr="00183E4D" w14:paraId="41547E27" w14:textId="77777777" w:rsidTr="00B156AA">
        <w:tc>
          <w:tcPr>
            <w:tcW w:w="2547" w:type="dxa"/>
            <w:tcBorders>
              <w:top w:val="single" w:sz="4" w:space="0" w:color="auto"/>
            </w:tcBorders>
          </w:tcPr>
          <w:p w14:paraId="133A8F10" w14:textId="77777777" w:rsidR="00B156AA" w:rsidRPr="008C3708" w:rsidRDefault="00B156AA" w:rsidP="00B156AA">
            <w:pPr>
              <w:pStyle w:val="TableText1"/>
              <w:rPr>
                <w:szCs w:val="20"/>
              </w:rPr>
            </w:pPr>
            <w:r w:rsidRPr="008C3708">
              <w:t xml:space="preserve">IGB plus </w:t>
            </w:r>
            <w:r w:rsidRPr="008C3708">
              <w:rPr>
                <w:szCs w:val="20"/>
              </w:rPr>
              <w:t>lifestyle</w:t>
            </w:r>
          </w:p>
        </w:tc>
        <w:tc>
          <w:tcPr>
            <w:tcW w:w="1188" w:type="dxa"/>
            <w:tcBorders>
              <w:top w:val="single" w:sz="4" w:space="0" w:color="auto"/>
            </w:tcBorders>
          </w:tcPr>
          <w:p w14:paraId="488F2577" w14:textId="240E5440" w:rsidR="00B156AA" w:rsidRPr="008C3708" w:rsidRDefault="00B156AA" w:rsidP="00117124">
            <w:pPr>
              <w:pStyle w:val="TableTextcenter"/>
            </w:pPr>
            <w:r w:rsidRPr="008C3708">
              <w:t>$</w:t>
            </w:r>
            <w:r w:rsidR="00117124" w:rsidRPr="008C3708">
              <w:t>redacted</w:t>
            </w:r>
          </w:p>
        </w:tc>
        <w:tc>
          <w:tcPr>
            <w:tcW w:w="1325" w:type="dxa"/>
            <w:tcBorders>
              <w:top w:val="single" w:sz="4" w:space="0" w:color="auto"/>
              <w:bottom w:val="nil"/>
            </w:tcBorders>
          </w:tcPr>
          <w:p w14:paraId="369D191A" w14:textId="1D2A2CC4" w:rsidR="00B156AA" w:rsidRPr="008C3708" w:rsidRDefault="00B156AA" w:rsidP="00117124">
            <w:pPr>
              <w:pStyle w:val="TableTextcenter"/>
            </w:pPr>
            <w:r w:rsidRPr="008C3708">
              <w:t>$</w:t>
            </w:r>
            <w:r w:rsidR="00117124" w:rsidRPr="008C3708">
              <w:t>redacted</w:t>
            </w:r>
          </w:p>
        </w:tc>
        <w:tc>
          <w:tcPr>
            <w:tcW w:w="1325" w:type="dxa"/>
            <w:tcBorders>
              <w:top w:val="single" w:sz="4" w:space="0" w:color="auto"/>
            </w:tcBorders>
          </w:tcPr>
          <w:p w14:paraId="43D8D03D" w14:textId="77777777" w:rsidR="00B156AA" w:rsidRPr="008C3708" w:rsidRDefault="00B156AA" w:rsidP="00B156AA">
            <w:pPr>
              <w:pStyle w:val="TableTextcenter"/>
            </w:pPr>
            <w:r w:rsidRPr="008C3708">
              <w:t>1.099</w:t>
            </w:r>
          </w:p>
        </w:tc>
        <w:tc>
          <w:tcPr>
            <w:tcW w:w="1326" w:type="dxa"/>
            <w:tcBorders>
              <w:top w:val="single" w:sz="4" w:space="0" w:color="auto"/>
              <w:bottom w:val="nil"/>
            </w:tcBorders>
          </w:tcPr>
          <w:p w14:paraId="6FB98D2C" w14:textId="77777777" w:rsidR="00B156AA" w:rsidRPr="008C3708" w:rsidRDefault="00B156AA" w:rsidP="00B156AA">
            <w:pPr>
              <w:pStyle w:val="TableTextcenter"/>
            </w:pPr>
            <w:r w:rsidRPr="008C3708">
              <w:t>0.022</w:t>
            </w:r>
          </w:p>
        </w:tc>
        <w:tc>
          <w:tcPr>
            <w:tcW w:w="1361" w:type="dxa"/>
            <w:tcBorders>
              <w:top w:val="single" w:sz="4" w:space="0" w:color="auto"/>
              <w:bottom w:val="nil"/>
            </w:tcBorders>
          </w:tcPr>
          <w:p w14:paraId="3C69C918" w14:textId="6CDAFE36" w:rsidR="00B156AA" w:rsidRPr="008C3708" w:rsidRDefault="00B156AA" w:rsidP="00B156AA">
            <w:pPr>
              <w:pStyle w:val="TableTextcenter"/>
            </w:pPr>
            <w:r w:rsidRPr="008C3708">
              <w:t>$</w:t>
            </w:r>
            <w:r w:rsidR="00117124" w:rsidRPr="008C3708">
              <w:t>redacted</w:t>
            </w:r>
          </w:p>
        </w:tc>
      </w:tr>
      <w:tr w:rsidR="00B156AA" w:rsidRPr="00183E4D" w14:paraId="30ECF843" w14:textId="77777777" w:rsidTr="00B156AA">
        <w:tc>
          <w:tcPr>
            <w:tcW w:w="2547" w:type="dxa"/>
          </w:tcPr>
          <w:p w14:paraId="61786F3D" w14:textId="77777777" w:rsidR="00B156AA" w:rsidRPr="008C3708" w:rsidRDefault="00B156AA" w:rsidP="00B156AA">
            <w:pPr>
              <w:pStyle w:val="TableText1"/>
              <w:rPr>
                <w:szCs w:val="20"/>
              </w:rPr>
            </w:pPr>
            <w:r w:rsidRPr="008C3708">
              <w:t>Lifestyle</w:t>
            </w:r>
          </w:p>
        </w:tc>
        <w:tc>
          <w:tcPr>
            <w:tcW w:w="1188" w:type="dxa"/>
          </w:tcPr>
          <w:p w14:paraId="64506587" w14:textId="444F8871" w:rsidR="00B156AA" w:rsidRPr="008C3708" w:rsidRDefault="00B156AA" w:rsidP="00B156AA">
            <w:pPr>
              <w:pStyle w:val="TableTextcenter"/>
            </w:pPr>
            <w:r w:rsidRPr="008C3708">
              <w:t>$</w:t>
            </w:r>
            <w:r w:rsidR="00117124" w:rsidRPr="008C3708">
              <w:t>redacted</w:t>
            </w:r>
          </w:p>
        </w:tc>
        <w:tc>
          <w:tcPr>
            <w:tcW w:w="1325" w:type="dxa"/>
            <w:tcBorders>
              <w:top w:val="nil"/>
            </w:tcBorders>
          </w:tcPr>
          <w:p w14:paraId="7B53DB3C" w14:textId="77777777" w:rsidR="00B156AA" w:rsidRPr="008C3708" w:rsidRDefault="00B156AA" w:rsidP="00B156AA">
            <w:pPr>
              <w:pStyle w:val="TableTextcenter"/>
            </w:pPr>
          </w:p>
        </w:tc>
        <w:tc>
          <w:tcPr>
            <w:tcW w:w="1325" w:type="dxa"/>
          </w:tcPr>
          <w:p w14:paraId="5B0E7BEA" w14:textId="77777777" w:rsidR="00B156AA" w:rsidRPr="008C3708" w:rsidRDefault="00B156AA" w:rsidP="00B156AA">
            <w:pPr>
              <w:pStyle w:val="TableTextcenter"/>
            </w:pPr>
            <w:r w:rsidRPr="008C3708">
              <w:t>1.077</w:t>
            </w:r>
          </w:p>
        </w:tc>
        <w:tc>
          <w:tcPr>
            <w:tcW w:w="1326" w:type="dxa"/>
            <w:tcBorders>
              <w:top w:val="nil"/>
            </w:tcBorders>
          </w:tcPr>
          <w:p w14:paraId="55B4A83B" w14:textId="77777777" w:rsidR="00B156AA" w:rsidRPr="008C3708" w:rsidRDefault="00B156AA" w:rsidP="00B156AA">
            <w:pPr>
              <w:pStyle w:val="TableTextcenter"/>
            </w:pPr>
          </w:p>
        </w:tc>
        <w:tc>
          <w:tcPr>
            <w:tcW w:w="1361" w:type="dxa"/>
            <w:tcBorders>
              <w:top w:val="nil"/>
            </w:tcBorders>
          </w:tcPr>
          <w:p w14:paraId="0EA6D2AD" w14:textId="77777777" w:rsidR="00B156AA" w:rsidRPr="008C3708" w:rsidRDefault="00B156AA" w:rsidP="00B156AA">
            <w:pPr>
              <w:pStyle w:val="TableTextcenter"/>
            </w:pPr>
          </w:p>
        </w:tc>
      </w:tr>
      <w:tr w:rsidR="00B156AA" w:rsidRPr="00827C15" w14:paraId="7792A6E9" w14:textId="77777777" w:rsidTr="00B156AA">
        <w:tc>
          <w:tcPr>
            <w:tcW w:w="2547" w:type="dxa"/>
            <w:tcBorders>
              <w:right w:val="nil"/>
            </w:tcBorders>
          </w:tcPr>
          <w:p w14:paraId="0DFCEBC6" w14:textId="77777777" w:rsidR="00B156AA" w:rsidRPr="008C3708" w:rsidRDefault="00B156AA" w:rsidP="00B156AA">
            <w:pPr>
              <w:pStyle w:val="TableText1"/>
              <w:rPr>
                <w:b/>
                <w:szCs w:val="20"/>
              </w:rPr>
            </w:pPr>
            <w:r w:rsidRPr="008C3708">
              <w:rPr>
                <w:rStyle w:val="Strong"/>
              </w:rPr>
              <w:t>Step 2 Time horizon 5 years</w:t>
            </w:r>
          </w:p>
        </w:tc>
        <w:tc>
          <w:tcPr>
            <w:tcW w:w="1188" w:type="dxa"/>
            <w:tcBorders>
              <w:left w:val="nil"/>
              <w:right w:val="nil"/>
            </w:tcBorders>
          </w:tcPr>
          <w:p w14:paraId="3AEDBEB5" w14:textId="77777777" w:rsidR="00B156AA" w:rsidRPr="008C3708" w:rsidRDefault="00B156AA" w:rsidP="00B156AA">
            <w:pPr>
              <w:pStyle w:val="TableTextcenter"/>
            </w:pPr>
          </w:p>
        </w:tc>
        <w:tc>
          <w:tcPr>
            <w:tcW w:w="1325" w:type="dxa"/>
            <w:tcBorders>
              <w:left w:val="nil"/>
              <w:right w:val="nil"/>
            </w:tcBorders>
          </w:tcPr>
          <w:p w14:paraId="4DB9ECEF" w14:textId="77777777" w:rsidR="00B156AA" w:rsidRPr="008C3708" w:rsidRDefault="00B156AA" w:rsidP="00B156AA">
            <w:pPr>
              <w:pStyle w:val="TableTextcenter"/>
            </w:pPr>
          </w:p>
        </w:tc>
        <w:tc>
          <w:tcPr>
            <w:tcW w:w="1325" w:type="dxa"/>
            <w:tcBorders>
              <w:left w:val="nil"/>
              <w:right w:val="nil"/>
            </w:tcBorders>
          </w:tcPr>
          <w:p w14:paraId="70C37C17" w14:textId="77777777" w:rsidR="00B156AA" w:rsidRPr="008C3708" w:rsidRDefault="00B156AA" w:rsidP="00B156AA">
            <w:pPr>
              <w:pStyle w:val="TableTextcenter"/>
            </w:pPr>
          </w:p>
        </w:tc>
        <w:tc>
          <w:tcPr>
            <w:tcW w:w="1326" w:type="dxa"/>
            <w:tcBorders>
              <w:left w:val="nil"/>
              <w:right w:val="nil"/>
            </w:tcBorders>
          </w:tcPr>
          <w:p w14:paraId="167C7472" w14:textId="77777777" w:rsidR="00B156AA" w:rsidRPr="008C3708" w:rsidRDefault="00B156AA" w:rsidP="00B156AA">
            <w:pPr>
              <w:pStyle w:val="TableTextcenter"/>
            </w:pPr>
          </w:p>
        </w:tc>
        <w:tc>
          <w:tcPr>
            <w:tcW w:w="1361" w:type="dxa"/>
            <w:tcBorders>
              <w:left w:val="nil"/>
            </w:tcBorders>
          </w:tcPr>
          <w:p w14:paraId="3F8BF715" w14:textId="77777777" w:rsidR="00B156AA" w:rsidRPr="008C3708" w:rsidRDefault="00B156AA" w:rsidP="00B156AA">
            <w:pPr>
              <w:pStyle w:val="TableTextcenter"/>
            </w:pPr>
          </w:p>
        </w:tc>
      </w:tr>
      <w:tr w:rsidR="00B156AA" w:rsidRPr="00183E4D" w14:paraId="25EF773A" w14:textId="77777777" w:rsidTr="00B156AA">
        <w:tc>
          <w:tcPr>
            <w:tcW w:w="2547" w:type="dxa"/>
          </w:tcPr>
          <w:p w14:paraId="501A2105" w14:textId="77777777" w:rsidR="00B156AA" w:rsidRPr="008C3708" w:rsidRDefault="00B156AA" w:rsidP="00B156AA">
            <w:pPr>
              <w:pStyle w:val="TableText1"/>
              <w:rPr>
                <w:szCs w:val="20"/>
              </w:rPr>
            </w:pPr>
            <w:r w:rsidRPr="008C3708">
              <w:t>IGB plus lifestyle</w:t>
            </w:r>
          </w:p>
        </w:tc>
        <w:tc>
          <w:tcPr>
            <w:tcW w:w="1188" w:type="dxa"/>
          </w:tcPr>
          <w:p w14:paraId="157197B5" w14:textId="07ADC40B" w:rsidR="00B156AA" w:rsidRPr="008C3708" w:rsidRDefault="00B156AA" w:rsidP="00117124">
            <w:pPr>
              <w:pStyle w:val="TableTextcenter"/>
            </w:pPr>
            <w:r w:rsidRPr="008C3708">
              <w:t>$</w:t>
            </w:r>
            <w:r w:rsidR="00117124" w:rsidRPr="008C3708">
              <w:t>redacted</w:t>
            </w:r>
          </w:p>
        </w:tc>
        <w:tc>
          <w:tcPr>
            <w:tcW w:w="1325" w:type="dxa"/>
            <w:tcBorders>
              <w:bottom w:val="nil"/>
            </w:tcBorders>
          </w:tcPr>
          <w:p w14:paraId="41D5BAE5" w14:textId="209B0F18" w:rsidR="00B156AA" w:rsidRPr="008C3708" w:rsidRDefault="00B156AA" w:rsidP="00117124">
            <w:pPr>
              <w:pStyle w:val="TableTextcenter"/>
            </w:pPr>
            <w:r w:rsidRPr="008C3708">
              <w:t>$</w:t>
            </w:r>
            <w:r w:rsidR="00117124" w:rsidRPr="008C3708">
              <w:t>redacted</w:t>
            </w:r>
          </w:p>
        </w:tc>
        <w:tc>
          <w:tcPr>
            <w:tcW w:w="1325" w:type="dxa"/>
          </w:tcPr>
          <w:p w14:paraId="3F6FA940" w14:textId="77777777" w:rsidR="00B156AA" w:rsidRPr="008C3708" w:rsidRDefault="00B156AA" w:rsidP="00B156AA">
            <w:pPr>
              <w:pStyle w:val="TableTextcenter"/>
            </w:pPr>
            <w:r w:rsidRPr="008C3708">
              <w:t>3.625</w:t>
            </w:r>
          </w:p>
        </w:tc>
        <w:tc>
          <w:tcPr>
            <w:tcW w:w="1326" w:type="dxa"/>
            <w:tcBorders>
              <w:bottom w:val="nil"/>
            </w:tcBorders>
          </w:tcPr>
          <w:p w14:paraId="39BCCFB9" w14:textId="77777777" w:rsidR="00B156AA" w:rsidRPr="008C3708" w:rsidRDefault="00B156AA" w:rsidP="00B156AA">
            <w:pPr>
              <w:pStyle w:val="TableTextcenter"/>
            </w:pPr>
            <w:r w:rsidRPr="008C3708">
              <w:t>0.032</w:t>
            </w:r>
          </w:p>
        </w:tc>
        <w:tc>
          <w:tcPr>
            <w:tcW w:w="1361" w:type="dxa"/>
            <w:tcBorders>
              <w:bottom w:val="nil"/>
            </w:tcBorders>
          </w:tcPr>
          <w:p w14:paraId="1B79AD06" w14:textId="2790063D" w:rsidR="00B156AA" w:rsidRPr="008C3708" w:rsidRDefault="00B156AA" w:rsidP="00117124">
            <w:pPr>
              <w:pStyle w:val="TableTextcenter"/>
            </w:pPr>
            <w:r w:rsidRPr="008C3708">
              <w:t>$</w:t>
            </w:r>
            <w:r w:rsidR="00117124" w:rsidRPr="008C3708">
              <w:t>redacted</w:t>
            </w:r>
          </w:p>
        </w:tc>
      </w:tr>
      <w:tr w:rsidR="00B156AA" w:rsidRPr="00183E4D" w14:paraId="6F0F593F" w14:textId="77777777" w:rsidTr="00B156AA">
        <w:tc>
          <w:tcPr>
            <w:tcW w:w="2547" w:type="dxa"/>
          </w:tcPr>
          <w:p w14:paraId="6EBDC0D0" w14:textId="77777777" w:rsidR="00B156AA" w:rsidRPr="008C3708" w:rsidRDefault="00B156AA" w:rsidP="00B156AA">
            <w:pPr>
              <w:pStyle w:val="TableText1"/>
              <w:rPr>
                <w:szCs w:val="20"/>
              </w:rPr>
            </w:pPr>
            <w:r w:rsidRPr="008C3708">
              <w:t>Lifestyle</w:t>
            </w:r>
          </w:p>
        </w:tc>
        <w:tc>
          <w:tcPr>
            <w:tcW w:w="1188" w:type="dxa"/>
          </w:tcPr>
          <w:p w14:paraId="009AD61D" w14:textId="33C7A765" w:rsidR="00B156AA" w:rsidRPr="008C3708" w:rsidRDefault="00B156AA" w:rsidP="00B156AA">
            <w:pPr>
              <w:pStyle w:val="TableTextcenter"/>
            </w:pPr>
            <w:r w:rsidRPr="008C3708">
              <w:t>$</w:t>
            </w:r>
            <w:r w:rsidR="00117124" w:rsidRPr="008C3708">
              <w:t>redacted</w:t>
            </w:r>
          </w:p>
        </w:tc>
        <w:tc>
          <w:tcPr>
            <w:tcW w:w="1325" w:type="dxa"/>
            <w:tcBorders>
              <w:top w:val="nil"/>
            </w:tcBorders>
          </w:tcPr>
          <w:p w14:paraId="4F14D566" w14:textId="77777777" w:rsidR="00B156AA" w:rsidRPr="008C3708" w:rsidRDefault="00B156AA" w:rsidP="00B156AA">
            <w:pPr>
              <w:pStyle w:val="TableTextcenter"/>
            </w:pPr>
          </w:p>
        </w:tc>
        <w:tc>
          <w:tcPr>
            <w:tcW w:w="1325" w:type="dxa"/>
          </w:tcPr>
          <w:p w14:paraId="6D4B931A" w14:textId="77777777" w:rsidR="00B156AA" w:rsidRPr="008C3708" w:rsidRDefault="00B156AA" w:rsidP="00B156AA">
            <w:pPr>
              <w:pStyle w:val="TableTextcenter"/>
            </w:pPr>
            <w:r w:rsidRPr="008C3708">
              <w:t>3.594</w:t>
            </w:r>
          </w:p>
        </w:tc>
        <w:tc>
          <w:tcPr>
            <w:tcW w:w="1326" w:type="dxa"/>
            <w:tcBorders>
              <w:top w:val="nil"/>
            </w:tcBorders>
          </w:tcPr>
          <w:p w14:paraId="07574B14" w14:textId="77777777" w:rsidR="00B156AA" w:rsidRPr="008C3708" w:rsidRDefault="00B156AA" w:rsidP="00B156AA">
            <w:pPr>
              <w:pStyle w:val="TableTextcenter"/>
            </w:pPr>
          </w:p>
        </w:tc>
        <w:tc>
          <w:tcPr>
            <w:tcW w:w="1361" w:type="dxa"/>
            <w:tcBorders>
              <w:top w:val="nil"/>
            </w:tcBorders>
          </w:tcPr>
          <w:p w14:paraId="3AE7F0D8" w14:textId="77777777" w:rsidR="00B156AA" w:rsidRPr="008C3708" w:rsidRDefault="00B156AA" w:rsidP="00B156AA">
            <w:pPr>
              <w:pStyle w:val="TableTextcenter"/>
            </w:pPr>
          </w:p>
        </w:tc>
      </w:tr>
      <w:tr w:rsidR="00B156AA" w:rsidRPr="00827C15" w14:paraId="5EFB9A3F" w14:textId="77777777" w:rsidTr="00B156AA">
        <w:tc>
          <w:tcPr>
            <w:tcW w:w="2547" w:type="dxa"/>
            <w:tcBorders>
              <w:right w:val="nil"/>
            </w:tcBorders>
          </w:tcPr>
          <w:p w14:paraId="3ADFAA5E" w14:textId="77777777" w:rsidR="00B156AA" w:rsidRPr="008C3708" w:rsidRDefault="00B156AA" w:rsidP="00B156AA">
            <w:pPr>
              <w:pStyle w:val="TableText1"/>
              <w:rPr>
                <w:b/>
                <w:szCs w:val="20"/>
              </w:rPr>
            </w:pPr>
            <w:r w:rsidRPr="008C3708">
              <w:rPr>
                <w:rStyle w:val="Strong"/>
              </w:rPr>
              <w:t>Step 3 Base case - time horizon</w:t>
            </w:r>
          </w:p>
        </w:tc>
        <w:tc>
          <w:tcPr>
            <w:tcW w:w="1188" w:type="dxa"/>
            <w:tcBorders>
              <w:left w:val="nil"/>
              <w:right w:val="nil"/>
            </w:tcBorders>
          </w:tcPr>
          <w:p w14:paraId="3197A1F4" w14:textId="77777777" w:rsidR="00B156AA" w:rsidRPr="008C3708" w:rsidRDefault="00B156AA" w:rsidP="00B156AA">
            <w:pPr>
              <w:pStyle w:val="TableTextcenter"/>
              <w:jc w:val="left"/>
              <w:rPr>
                <w:b/>
              </w:rPr>
            </w:pPr>
            <w:r w:rsidRPr="008C3708">
              <w:rPr>
                <w:b/>
              </w:rPr>
              <w:t>of 50 years)</w:t>
            </w:r>
          </w:p>
        </w:tc>
        <w:tc>
          <w:tcPr>
            <w:tcW w:w="1325" w:type="dxa"/>
            <w:tcBorders>
              <w:left w:val="nil"/>
              <w:right w:val="nil"/>
            </w:tcBorders>
          </w:tcPr>
          <w:p w14:paraId="212CE443" w14:textId="77777777" w:rsidR="00B156AA" w:rsidRPr="008C3708" w:rsidRDefault="00B156AA" w:rsidP="00B156AA">
            <w:pPr>
              <w:pStyle w:val="TableTextcenter"/>
            </w:pPr>
          </w:p>
        </w:tc>
        <w:tc>
          <w:tcPr>
            <w:tcW w:w="1325" w:type="dxa"/>
            <w:tcBorders>
              <w:left w:val="nil"/>
              <w:right w:val="nil"/>
            </w:tcBorders>
          </w:tcPr>
          <w:p w14:paraId="523D90EA" w14:textId="77777777" w:rsidR="00B156AA" w:rsidRPr="008C3708" w:rsidRDefault="00B156AA" w:rsidP="00B156AA">
            <w:pPr>
              <w:pStyle w:val="TableTextcenter"/>
            </w:pPr>
          </w:p>
        </w:tc>
        <w:tc>
          <w:tcPr>
            <w:tcW w:w="1326" w:type="dxa"/>
            <w:tcBorders>
              <w:left w:val="nil"/>
              <w:right w:val="nil"/>
            </w:tcBorders>
          </w:tcPr>
          <w:p w14:paraId="1EED5227" w14:textId="77777777" w:rsidR="00B156AA" w:rsidRPr="008C3708" w:rsidRDefault="00B156AA" w:rsidP="00B156AA">
            <w:pPr>
              <w:pStyle w:val="TableTextcenter"/>
            </w:pPr>
          </w:p>
        </w:tc>
        <w:tc>
          <w:tcPr>
            <w:tcW w:w="1361" w:type="dxa"/>
            <w:tcBorders>
              <w:left w:val="nil"/>
            </w:tcBorders>
          </w:tcPr>
          <w:p w14:paraId="11756049" w14:textId="77777777" w:rsidR="00B156AA" w:rsidRPr="008C3708" w:rsidRDefault="00B156AA" w:rsidP="00B156AA">
            <w:pPr>
              <w:pStyle w:val="TableTextcenter"/>
            </w:pPr>
          </w:p>
        </w:tc>
      </w:tr>
      <w:tr w:rsidR="00B156AA" w:rsidRPr="00183E4D" w14:paraId="3E910F2B" w14:textId="77777777" w:rsidTr="00B156AA">
        <w:tc>
          <w:tcPr>
            <w:tcW w:w="2547" w:type="dxa"/>
          </w:tcPr>
          <w:p w14:paraId="755958E5" w14:textId="77777777" w:rsidR="00B156AA" w:rsidRPr="008C3708" w:rsidRDefault="00B156AA" w:rsidP="00B156AA">
            <w:pPr>
              <w:pStyle w:val="TableText1"/>
              <w:rPr>
                <w:szCs w:val="20"/>
              </w:rPr>
            </w:pPr>
            <w:r w:rsidRPr="008C3708">
              <w:t>IGB plus lifestyle</w:t>
            </w:r>
          </w:p>
        </w:tc>
        <w:tc>
          <w:tcPr>
            <w:tcW w:w="1188" w:type="dxa"/>
          </w:tcPr>
          <w:p w14:paraId="7FB44C9D" w14:textId="36DCCA5A" w:rsidR="00B156AA" w:rsidRPr="008C3708" w:rsidRDefault="00B156AA" w:rsidP="00117124">
            <w:pPr>
              <w:pStyle w:val="TableTextcenter"/>
            </w:pPr>
            <w:r w:rsidRPr="008C3708">
              <w:t>$</w:t>
            </w:r>
            <w:r w:rsidR="00117124" w:rsidRPr="008C3708">
              <w:t>redacted</w:t>
            </w:r>
          </w:p>
        </w:tc>
        <w:tc>
          <w:tcPr>
            <w:tcW w:w="1325" w:type="dxa"/>
            <w:tcBorders>
              <w:bottom w:val="nil"/>
            </w:tcBorders>
          </w:tcPr>
          <w:p w14:paraId="42EC13F4" w14:textId="05A87DA1" w:rsidR="00B156AA" w:rsidRPr="008C3708" w:rsidRDefault="00B156AA" w:rsidP="00117124">
            <w:pPr>
              <w:pStyle w:val="TableTextcenter"/>
            </w:pPr>
            <w:r w:rsidRPr="008C3708">
              <w:t>$</w:t>
            </w:r>
            <w:r w:rsidR="00117124" w:rsidRPr="008C3708">
              <w:t>redacted</w:t>
            </w:r>
          </w:p>
        </w:tc>
        <w:tc>
          <w:tcPr>
            <w:tcW w:w="1325" w:type="dxa"/>
          </w:tcPr>
          <w:p w14:paraId="75C64749" w14:textId="77777777" w:rsidR="00B156AA" w:rsidRPr="008C3708" w:rsidRDefault="00B156AA" w:rsidP="00B156AA">
            <w:pPr>
              <w:pStyle w:val="TableTextcenter"/>
            </w:pPr>
            <w:r w:rsidRPr="008C3708">
              <w:t>12.624</w:t>
            </w:r>
          </w:p>
        </w:tc>
        <w:tc>
          <w:tcPr>
            <w:tcW w:w="1326" w:type="dxa"/>
            <w:tcBorders>
              <w:bottom w:val="nil"/>
            </w:tcBorders>
          </w:tcPr>
          <w:p w14:paraId="52A9BEF1" w14:textId="77777777" w:rsidR="00B156AA" w:rsidRPr="008C3708" w:rsidRDefault="00B156AA" w:rsidP="00B156AA">
            <w:pPr>
              <w:pStyle w:val="TableTextcenter"/>
            </w:pPr>
            <w:r w:rsidRPr="008C3708">
              <w:t>0.032</w:t>
            </w:r>
          </w:p>
        </w:tc>
        <w:tc>
          <w:tcPr>
            <w:tcW w:w="1361" w:type="dxa"/>
            <w:tcBorders>
              <w:bottom w:val="nil"/>
            </w:tcBorders>
          </w:tcPr>
          <w:p w14:paraId="550F1477" w14:textId="03AD72B6" w:rsidR="00B156AA" w:rsidRPr="008C3708" w:rsidRDefault="00B156AA" w:rsidP="00B156AA">
            <w:pPr>
              <w:pStyle w:val="TableTextcenter"/>
            </w:pPr>
            <w:r w:rsidRPr="008C3708">
              <w:t>$</w:t>
            </w:r>
            <w:r w:rsidR="00117124" w:rsidRPr="008C3708">
              <w:t>redacted</w:t>
            </w:r>
          </w:p>
        </w:tc>
      </w:tr>
      <w:tr w:rsidR="00B156AA" w:rsidRPr="00183E4D" w14:paraId="15CCFA0D" w14:textId="77777777" w:rsidTr="00B156AA">
        <w:tc>
          <w:tcPr>
            <w:tcW w:w="2547" w:type="dxa"/>
          </w:tcPr>
          <w:p w14:paraId="5DFFBAB6" w14:textId="77777777" w:rsidR="00B156AA" w:rsidRPr="008C3708" w:rsidRDefault="00B156AA" w:rsidP="00B156AA">
            <w:pPr>
              <w:pStyle w:val="TableText1"/>
              <w:rPr>
                <w:szCs w:val="20"/>
              </w:rPr>
            </w:pPr>
            <w:r w:rsidRPr="008C3708">
              <w:t>Lifestyle</w:t>
            </w:r>
          </w:p>
        </w:tc>
        <w:tc>
          <w:tcPr>
            <w:tcW w:w="1188" w:type="dxa"/>
          </w:tcPr>
          <w:p w14:paraId="36AACD02" w14:textId="680B5945" w:rsidR="00B156AA" w:rsidRPr="008C3708" w:rsidRDefault="00B156AA" w:rsidP="00B156AA">
            <w:pPr>
              <w:pStyle w:val="TableTextcenter"/>
            </w:pPr>
            <w:r w:rsidRPr="008C3708">
              <w:t>$</w:t>
            </w:r>
            <w:r w:rsidR="00117124" w:rsidRPr="008C3708">
              <w:t>redacted</w:t>
            </w:r>
          </w:p>
        </w:tc>
        <w:tc>
          <w:tcPr>
            <w:tcW w:w="1325" w:type="dxa"/>
            <w:tcBorders>
              <w:top w:val="nil"/>
            </w:tcBorders>
          </w:tcPr>
          <w:p w14:paraId="518786FD" w14:textId="77777777" w:rsidR="00B156AA" w:rsidRPr="008C3708" w:rsidRDefault="00B156AA" w:rsidP="00B156AA">
            <w:pPr>
              <w:pStyle w:val="TableTextcenter"/>
            </w:pPr>
          </w:p>
        </w:tc>
        <w:tc>
          <w:tcPr>
            <w:tcW w:w="1325" w:type="dxa"/>
          </w:tcPr>
          <w:p w14:paraId="575279C4" w14:textId="77777777" w:rsidR="00B156AA" w:rsidRPr="008C3708" w:rsidRDefault="00B156AA" w:rsidP="00B156AA">
            <w:pPr>
              <w:pStyle w:val="TableTextcenter"/>
            </w:pPr>
            <w:r w:rsidRPr="008C3708">
              <w:t>12.592</w:t>
            </w:r>
          </w:p>
        </w:tc>
        <w:tc>
          <w:tcPr>
            <w:tcW w:w="1326" w:type="dxa"/>
            <w:tcBorders>
              <w:top w:val="nil"/>
            </w:tcBorders>
          </w:tcPr>
          <w:p w14:paraId="12163696" w14:textId="77777777" w:rsidR="00B156AA" w:rsidRPr="008C3708" w:rsidRDefault="00B156AA" w:rsidP="00B156AA">
            <w:pPr>
              <w:pStyle w:val="TableTextcenter"/>
            </w:pPr>
          </w:p>
        </w:tc>
        <w:tc>
          <w:tcPr>
            <w:tcW w:w="1361" w:type="dxa"/>
            <w:tcBorders>
              <w:top w:val="nil"/>
            </w:tcBorders>
          </w:tcPr>
          <w:p w14:paraId="7938DEEC" w14:textId="77777777" w:rsidR="00B156AA" w:rsidRPr="008C3708" w:rsidRDefault="00B156AA" w:rsidP="00B156AA">
            <w:pPr>
              <w:pStyle w:val="TableTextcenter"/>
            </w:pPr>
          </w:p>
        </w:tc>
      </w:tr>
    </w:tbl>
    <w:p w14:paraId="73A17101" w14:textId="77777777" w:rsidR="00B156AA" w:rsidRPr="00B078BC" w:rsidRDefault="00B156AA" w:rsidP="00B156AA">
      <w:pPr>
        <w:pStyle w:val="TFAbbrevs18"/>
        <w:keepNext w:val="0"/>
        <w:rPr>
          <w:i/>
        </w:rPr>
      </w:pPr>
      <w:r w:rsidRPr="00B078BC">
        <w:rPr>
          <w:i/>
        </w:rPr>
        <w:t>Source: Edited during the critique (in italics), Table 81, pp137 of Contracted Assessment 1515</w:t>
      </w:r>
    </w:p>
    <w:p w14:paraId="13791A9E" w14:textId="77777777" w:rsidR="00B156AA" w:rsidRDefault="00B156AA" w:rsidP="00B156AA">
      <w:pPr>
        <w:pStyle w:val="TFAbbrevs18"/>
        <w:keepNext w:val="0"/>
        <w:spacing w:after="240"/>
      </w:pPr>
      <w:r>
        <w:t xml:space="preserve">Abbreviations: </w:t>
      </w:r>
      <w:r w:rsidRPr="00183E4D">
        <w:t>ICER</w:t>
      </w:r>
      <w:r>
        <w:t>,</w:t>
      </w:r>
      <w:r w:rsidRPr="00183E4D">
        <w:t xml:space="preserve"> Incremental Cost</w:t>
      </w:r>
      <w:r>
        <w:t>-</w:t>
      </w:r>
      <w:r w:rsidRPr="00183E4D">
        <w:t>Effectiveness Ratio</w:t>
      </w:r>
      <w:r>
        <w:t>; QALY, quality-adjusted life-year</w:t>
      </w:r>
    </w:p>
    <w:p w14:paraId="27FEDE91" w14:textId="77777777" w:rsidR="00B156AA" w:rsidRPr="00B078BC" w:rsidRDefault="00B156AA" w:rsidP="00B156AA">
      <w:r>
        <w:t>The CA stated that the modelled results were most sensitive to the baseline BMI of patients, utility values, whether IGB was assumed to have a treatment effect on T2DM, and the duration of treatment effect of IGB on weight loss and T2DM. The Critique stated that the ICERs may accurately reflect cost-effectiveness but have a high degree of uncertainty.</w:t>
      </w:r>
    </w:p>
    <w:p w14:paraId="77AD18DE" w14:textId="77777777" w:rsidR="00B156AA" w:rsidRDefault="00B156AA" w:rsidP="00B156AA">
      <w:pPr>
        <w:pStyle w:val="Heading2"/>
      </w:pPr>
      <w:r>
        <w:t xml:space="preserve">CCA </w:t>
      </w:r>
    </w:p>
    <w:p w14:paraId="040739B0" w14:textId="6B2F17B0" w:rsidR="00B156AA" w:rsidRDefault="00B156AA" w:rsidP="00B044E4">
      <w:pPr>
        <w:spacing w:after="240"/>
      </w:pPr>
      <w:r>
        <w:t xml:space="preserve">The time horizon of the CCA was 12 months based on duration of pivotal RCTs. The costs and outcomes associated with T2DM were not considered in the CCA as the majority of patients in the RCTs did not have T2DM at baseline (only 7% of patients in </w:t>
      </w:r>
      <w:proofErr w:type="spellStart"/>
      <w:r>
        <w:t>Courcoulas</w:t>
      </w:r>
      <w:proofErr w:type="spellEnd"/>
      <w:r w:rsidR="00EA5D22">
        <w:t> </w:t>
      </w:r>
      <w:r>
        <w:t>2017).</w:t>
      </w:r>
    </w:p>
    <w:p w14:paraId="243CB502" w14:textId="77777777" w:rsidR="00B156AA" w:rsidRPr="00DD6B45" w:rsidRDefault="00B156AA" w:rsidP="00DD6B45">
      <w:pPr>
        <w:rPr>
          <w:rFonts w:ascii="Arial Narrow" w:hAnsi="Arial Narrow"/>
          <w:b/>
          <w:sz w:val="20"/>
        </w:rPr>
      </w:pPr>
      <w:bookmarkStart w:id="19" w:name="_Ref534185413"/>
      <w:bookmarkStart w:id="20" w:name="_Toc1371962"/>
      <w:r w:rsidRPr="00DD6B45">
        <w:rPr>
          <w:rFonts w:ascii="Arial Narrow" w:hAnsi="Arial Narrow"/>
          <w:b/>
          <w:sz w:val="20"/>
        </w:rPr>
        <w:t xml:space="preserve">Table </w:t>
      </w:r>
      <w:bookmarkEnd w:id="19"/>
      <w:r w:rsidRPr="00DD6B45">
        <w:rPr>
          <w:rFonts w:ascii="Arial Narrow" w:hAnsi="Arial Narrow"/>
          <w:b/>
          <w:sz w:val="20"/>
        </w:rPr>
        <w:t>7</w:t>
      </w:r>
      <w:r w:rsidRPr="00DD6B45">
        <w:rPr>
          <w:rFonts w:ascii="Arial Narrow" w:hAnsi="Arial Narrow"/>
          <w:b/>
          <w:sz w:val="20"/>
        </w:rPr>
        <w:tab/>
      </w:r>
      <w:r w:rsidRPr="00DD6B45">
        <w:rPr>
          <w:rFonts w:ascii="Arial Narrow" w:hAnsi="Arial Narrow"/>
          <w:b/>
          <w:sz w:val="20"/>
        </w:rPr>
        <w:tab/>
        <w:t>Results of the cost-consequence analysis</w:t>
      </w:r>
      <w:bookmarkEnd w:id="20"/>
    </w:p>
    <w:tbl>
      <w:tblPr>
        <w:tblStyle w:val="TableGrid1"/>
        <w:tblW w:w="0" w:type="auto"/>
        <w:tblLook w:val="04A0" w:firstRow="1" w:lastRow="0" w:firstColumn="1" w:lastColumn="0" w:noHBand="0" w:noVBand="1"/>
        <w:tblCaption w:val="Results of the cost-consequence analysis"/>
        <w:tblDescription w:val="This table describes results of the cost-consequence analysis"/>
      </w:tblPr>
      <w:tblGrid>
        <w:gridCol w:w="2961"/>
        <w:gridCol w:w="1858"/>
        <w:gridCol w:w="1946"/>
        <w:gridCol w:w="2251"/>
      </w:tblGrid>
      <w:tr w:rsidR="00B156AA" w:rsidRPr="00F507B4" w14:paraId="6F65A65E" w14:textId="77777777" w:rsidTr="00B156AA">
        <w:trPr>
          <w:cnfStyle w:val="100000000000" w:firstRow="1" w:lastRow="0" w:firstColumn="0" w:lastColumn="0" w:oddVBand="0" w:evenVBand="0" w:oddHBand="0" w:evenHBand="0" w:firstRowFirstColumn="0" w:firstRowLastColumn="0" w:lastRowFirstColumn="0" w:lastRowLastColumn="0"/>
          <w:tblHeader/>
        </w:trPr>
        <w:tc>
          <w:tcPr>
            <w:tcW w:w="2961" w:type="dxa"/>
          </w:tcPr>
          <w:p w14:paraId="47F8DDAD" w14:textId="77777777" w:rsidR="00B156AA" w:rsidRPr="00F507B4" w:rsidRDefault="00B156AA" w:rsidP="00B156AA">
            <w:pPr>
              <w:pStyle w:val="TableTextLeft"/>
              <w:keepNext w:val="0"/>
              <w:widowControl w:val="0"/>
            </w:pPr>
          </w:p>
        </w:tc>
        <w:tc>
          <w:tcPr>
            <w:tcW w:w="1858" w:type="dxa"/>
          </w:tcPr>
          <w:p w14:paraId="315D086B" w14:textId="77777777" w:rsidR="00B156AA" w:rsidRPr="00F507B4" w:rsidRDefault="00B156AA" w:rsidP="00B156AA">
            <w:pPr>
              <w:pStyle w:val="TableHeadingcenter"/>
              <w:keepNext w:val="0"/>
              <w:widowControl w:val="0"/>
            </w:pPr>
            <w:r w:rsidRPr="00F507B4">
              <w:t>IGB</w:t>
            </w:r>
            <w:r>
              <w:t xml:space="preserve"> plus lifestyle</w:t>
            </w:r>
          </w:p>
        </w:tc>
        <w:tc>
          <w:tcPr>
            <w:tcW w:w="1946" w:type="dxa"/>
          </w:tcPr>
          <w:p w14:paraId="5918D127" w14:textId="77777777" w:rsidR="00B156AA" w:rsidRPr="00F507B4" w:rsidRDefault="00B156AA" w:rsidP="00B156AA">
            <w:pPr>
              <w:pStyle w:val="TableHeadingcenter"/>
              <w:keepNext w:val="0"/>
              <w:widowControl w:val="0"/>
            </w:pPr>
            <w:r w:rsidRPr="00F507B4">
              <w:t>Lifestyle</w:t>
            </w:r>
          </w:p>
        </w:tc>
        <w:tc>
          <w:tcPr>
            <w:tcW w:w="2251" w:type="dxa"/>
          </w:tcPr>
          <w:p w14:paraId="281CAEAB" w14:textId="77777777" w:rsidR="00B156AA" w:rsidRPr="00F507B4" w:rsidRDefault="00B156AA" w:rsidP="00B156AA">
            <w:pPr>
              <w:pStyle w:val="TableHeadingcenter"/>
              <w:keepNext w:val="0"/>
              <w:widowControl w:val="0"/>
            </w:pPr>
            <w:r w:rsidRPr="00F507B4">
              <w:t>Difference</w:t>
            </w:r>
          </w:p>
        </w:tc>
      </w:tr>
      <w:tr w:rsidR="00B156AA" w:rsidRPr="00246C18" w14:paraId="0E63B022" w14:textId="77777777" w:rsidTr="00B156AA">
        <w:tc>
          <w:tcPr>
            <w:tcW w:w="2961" w:type="dxa"/>
            <w:tcBorders>
              <w:right w:val="nil"/>
            </w:tcBorders>
          </w:tcPr>
          <w:p w14:paraId="29AC5298" w14:textId="77777777" w:rsidR="00B156AA" w:rsidRPr="00246C18" w:rsidRDefault="00B156AA" w:rsidP="00B156AA">
            <w:pPr>
              <w:pStyle w:val="TableHeading"/>
              <w:keepNext w:val="0"/>
              <w:widowControl w:val="0"/>
            </w:pPr>
            <w:r w:rsidRPr="00246C18">
              <w:t>Costs</w:t>
            </w:r>
          </w:p>
        </w:tc>
        <w:tc>
          <w:tcPr>
            <w:tcW w:w="1858" w:type="dxa"/>
            <w:tcBorders>
              <w:left w:val="nil"/>
              <w:right w:val="nil"/>
            </w:tcBorders>
          </w:tcPr>
          <w:p w14:paraId="52E9612B" w14:textId="77777777" w:rsidR="00B156AA" w:rsidRPr="008C3708" w:rsidRDefault="00B156AA" w:rsidP="00B156AA">
            <w:pPr>
              <w:pStyle w:val="TableTextLeft"/>
              <w:keepNext w:val="0"/>
              <w:widowControl w:val="0"/>
            </w:pPr>
          </w:p>
        </w:tc>
        <w:tc>
          <w:tcPr>
            <w:tcW w:w="1946" w:type="dxa"/>
            <w:tcBorders>
              <w:left w:val="nil"/>
              <w:right w:val="nil"/>
            </w:tcBorders>
          </w:tcPr>
          <w:p w14:paraId="5E418131" w14:textId="77777777" w:rsidR="00B156AA" w:rsidRPr="008C3708" w:rsidRDefault="00B156AA" w:rsidP="00B156AA">
            <w:pPr>
              <w:pStyle w:val="TableTextLeft"/>
              <w:keepNext w:val="0"/>
              <w:widowControl w:val="0"/>
            </w:pPr>
          </w:p>
        </w:tc>
        <w:tc>
          <w:tcPr>
            <w:tcW w:w="2251" w:type="dxa"/>
            <w:tcBorders>
              <w:left w:val="nil"/>
            </w:tcBorders>
          </w:tcPr>
          <w:p w14:paraId="12061516" w14:textId="77777777" w:rsidR="00B156AA" w:rsidRPr="008C3708" w:rsidRDefault="00B156AA" w:rsidP="00B156AA">
            <w:pPr>
              <w:pStyle w:val="TableTextLeft"/>
              <w:keepNext w:val="0"/>
              <w:widowControl w:val="0"/>
            </w:pPr>
          </w:p>
        </w:tc>
      </w:tr>
      <w:tr w:rsidR="00B156AA" w14:paraId="7E7C438A" w14:textId="77777777" w:rsidTr="00B156AA">
        <w:tc>
          <w:tcPr>
            <w:tcW w:w="2961" w:type="dxa"/>
          </w:tcPr>
          <w:p w14:paraId="2168B23D" w14:textId="77777777" w:rsidR="00B156AA" w:rsidRDefault="00B156AA" w:rsidP="00B156AA">
            <w:pPr>
              <w:pStyle w:val="TableTextLeft"/>
              <w:keepNext w:val="0"/>
              <w:widowControl w:val="0"/>
            </w:pPr>
            <w:r>
              <w:t>Intervention costs</w:t>
            </w:r>
          </w:p>
        </w:tc>
        <w:tc>
          <w:tcPr>
            <w:tcW w:w="1858" w:type="dxa"/>
          </w:tcPr>
          <w:p w14:paraId="488A963E" w14:textId="40387395" w:rsidR="00B156AA" w:rsidRPr="008C3708" w:rsidRDefault="00B156AA" w:rsidP="00B156AA">
            <w:pPr>
              <w:pStyle w:val="TableTextcenter"/>
              <w:keepNext w:val="0"/>
              <w:widowControl w:val="0"/>
            </w:pPr>
            <w:r w:rsidRPr="008C3708">
              <w:t>$</w:t>
            </w:r>
            <w:r w:rsidR="00117124" w:rsidRPr="008C3708">
              <w:t>redacted</w:t>
            </w:r>
          </w:p>
        </w:tc>
        <w:tc>
          <w:tcPr>
            <w:tcW w:w="1946" w:type="dxa"/>
          </w:tcPr>
          <w:p w14:paraId="07B29853" w14:textId="3D8D7546" w:rsidR="00B156AA" w:rsidRPr="008C3708" w:rsidRDefault="00B156AA" w:rsidP="00B156AA">
            <w:pPr>
              <w:pStyle w:val="TableTextcenter"/>
              <w:keepNext w:val="0"/>
              <w:widowControl w:val="0"/>
            </w:pPr>
            <w:r w:rsidRPr="008C3708">
              <w:t>$</w:t>
            </w:r>
            <w:r w:rsidR="00117124" w:rsidRPr="008C3708">
              <w:t>redacted</w:t>
            </w:r>
          </w:p>
        </w:tc>
        <w:tc>
          <w:tcPr>
            <w:tcW w:w="2251" w:type="dxa"/>
          </w:tcPr>
          <w:p w14:paraId="698A6CC9" w14:textId="201BEFFD" w:rsidR="00B156AA" w:rsidRPr="008C3708" w:rsidRDefault="00B156AA" w:rsidP="00117124">
            <w:pPr>
              <w:pStyle w:val="TableTextcenter"/>
              <w:keepNext w:val="0"/>
              <w:widowControl w:val="0"/>
            </w:pPr>
            <w:r w:rsidRPr="008C3708">
              <w:t>$</w:t>
            </w:r>
            <w:r w:rsidR="00117124" w:rsidRPr="008C3708">
              <w:t>redacted</w:t>
            </w:r>
          </w:p>
        </w:tc>
      </w:tr>
      <w:tr w:rsidR="00B156AA" w14:paraId="6DBDC2E6" w14:textId="77777777" w:rsidTr="00B156AA">
        <w:tc>
          <w:tcPr>
            <w:tcW w:w="2961" w:type="dxa"/>
          </w:tcPr>
          <w:p w14:paraId="00381440" w14:textId="77777777" w:rsidR="00B156AA" w:rsidRDefault="00B156AA" w:rsidP="00B156AA">
            <w:pPr>
              <w:pStyle w:val="TableTextLeft"/>
              <w:keepNext w:val="0"/>
              <w:widowControl w:val="0"/>
            </w:pPr>
            <w:r>
              <w:t>IGB device and procedure-related Serious adverse events</w:t>
            </w:r>
          </w:p>
        </w:tc>
        <w:tc>
          <w:tcPr>
            <w:tcW w:w="1858" w:type="dxa"/>
          </w:tcPr>
          <w:p w14:paraId="026D8C55" w14:textId="6655ADA8" w:rsidR="00B156AA" w:rsidRPr="008C3708" w:rsidRDefault="00B156AA" w:rsidP="00B156AA">
            <w:pPr>
              <w:pStyle w:val="TableTextcenter"/>
              <w:keepNext w:val="0"/>
              <w:widowControl w:val="0"/>
            </w:pPr>
            <w:r w:rsidRPr="008C3708">
              <w:t>$</w:t>
            </w:r>
            <w:r w:rsidR="00117124" w:rsidRPr="008C3708">
              <w:t>redacted</w:t>
            </w:r>
          </w:p>
        </w:tc>
        <w:tc>
          <w:tcPr>
            <w:tcW w:w="1946" w:type="dxa"/>
          </w:tcPr>
          <w:p w14:paraId="3FAD4B62" w14:textId="353C39EB" w:rsidR="00B156AA" w:rsidRPr="008C3708" w:rsidRDefault="00B156AA" w:rsidP="00B156AA">
            <w:pPr>
              <w:pStyle w:val="TableTextcenter"/>
              <w:keepNext w:val="0"/>
              <w:widowControl w:val="0"/>
            </w:pPr>
            <w:r w:rsidRPr="008C3708">
              <w:t>$</w:t>
            </w:r>
            <w:r w:rsidR="00117124" w:rsidRPr="008C3708">
              <w:t>redacted</w:t>
            </w:r>
          </w:p>
        </w:tc>
        <w:tc>
          <w:tcPr>
            <w:tcW w:w="2251" w:type="dxa"/>
          </w:tcPr>
          <w:p w14:paraId="7631C0C9" w14:textId="7A841641" w:rsidR="00B156AA" w:rsidRPr="008C3708" w:rsidRDefault="00B156AA" w:rsidP="00B156AA">
            <w:pPr>
              <w:pStyle w:val="TableTextcenter"/>
              <w:keepNext w:val="0"/>
              <w:widowControl w:val="0"/>
            </w:pPr>
            <w:r w:rsidRPr="008C3708">
              <w:t>$</w:t>
            </w:r>
            <w:r w:rsidR="00117124" w:rsidRPr="008C3708">
              <w:t>redacted</w:t>
            </w:r>
          </w:p>
        </w:tc>
      </w:tr>
      <w:tr w:rsidR="00B156AA" w14:paraId="3ABDECB5" w14:textId="77777777" w:rsidTr="00B156AA">
        <w:tc>
          <w:tcPr>
            <w:tcW w:w="2961" w:type="dxa"/>
          </w:tcPr>
          <w:p w14:paraId="23EAD057" w14:textId="77777777" w:rsidR="00B156AA" w:rsidRDefault="00B156AA" w:rsidP="00B156AA">
            <w:pPr>
              <w:pStyle w:val="TableTextLeft"/>
              <w:keepNext w:val="0"/>
              <w:widowControl w:val="0"/>
            </w:pPr>
            <w:r>
              <w:t>Ongoing treatment costs</w:t>
            </w:r>
          </w:p>
        </w:tc>
        <w:tc>
          <w:tcPr>
            <w:tcW w:w="1858" w:type="dxa"/>
          </w:tcPr>
          <w:p w14:paraId="02476AE8" w14:textId="46E82368" w:rsidR="00B156AA" w:rsidRPr="008C3708" w:rsidRDefault="00B156AA" w:rsidP="00B156AA">
            <w:pPr>
              <w:pStyle w:val="TableTextcenter"/>
              <w:keepNext w:val="0"/>
              <w:widowControl w:val="0"/>
            </w:pPr>
            <w:r w:rsidRPr="008C3708">
              <w:t>$</w:t>
            </w:r>
            <w:r w:rsidR="00117124" w:rsidRPr="008C3708">
              <w:t>redacted</w:t>
            </w:r>
          </w:p>
        </w:tc>
        <w:tc>
          <w:tcPr>
            <w:tcW w:w="1946" w:type="dxa"/>
          </w:tcPr>
          <w:p w14:paraId="08DCFCD5" w14:textId="4AF131A2" w:rsidR="00B156AA" w:rsidRPr="008C3708" w:rsidRDefault="00B156AA" w:rsidP="00B156AA">
            <w:pPr>
              <w:pStyle w:val="TableTextcenter"/>
              <w:keepNext w:val="0"/>
              <w:widowControl w:val="0"/>
            </w:pPr>
            <w:r w:rsidRPr="008C3708">
              <w:t>$</w:t>
            </w:r>
            <w:r w:rsidR="00117124" w:rsidRPr="008C3708">
              <w:t>redacted</w:t>
            </w:r>
          </w:p>
        </w:tc>
        <w:tc>
          <w:tcPr>
            <w:tcW w:w="2251" w:type="dxa"/>
          </w:tcPr>
          <w:p w14:paraId="20DC33DA" w14:textId="414B5D34" w:rsidR="00B156AA" w:rsidRPr="008C3708" w:rsidRDefault="00B156AA" w:rsidP="00117124">
            <w:pPr>
              <w:pStyle w:val="TableTextcenter"/>
              <w:keepNext w:val="0"/>
              <w:widowControl w:val="0"/>
            </w:pPr>
            <w:r w:rsidRPr="008C3708">
              <w:t>$</w:t>
            </w:r>
            <w:r w:rsidR="00117124" w:rsidRPr="008C3708">
              <w:t>redacted</w:t>
            </w:r>
          </w:p>
        </w:tc>
      </w:tr>
      <w:tr w:rsidR="00B156AA" w14:paraId="09B5F11B" w14:textId="77777777" w:rsidTr="00B156AA">
        <w:tc>
          <w:tcPr>
            <w:tcW w:w="2961" w:type="dxa"/>
          </w:tcPr>
          <w:p w14:paraId="232EA107" w14:textId="77777777" w:rsidR="00B156AA" w:rsidRDefault="00B156AA" w:rsidP="00B156AA">
            <w:pPr>
              <w:pStyle w:val="TableTextLeft"/>
              <w:keepNext w:val="0"/>
              <w:widowControl w:val="0"/>
            </w:pPr>
            <w:r>
              <w:t>Total</w:t>
            </w:r>
          </w:p>
        </w:tc>
        <w:tc>
          <w:tcPr>
            <w:tcW w:w="1858" w:type="dxa"/>
          </w:tcPr>
          <w:p w14:paraId="4EE44D6D" w14:textId="61FBA2A9" w:rsidR="00B156AA" w:rsidRPr="008C3708" w:rsidRDefault="00B156AA" w:rsidP="00B156AA">
            <w:pPr>
              <w:pStyle w:val="TableTextcenter"/>
              <w:keepNext w:val="0"/>
              <w:widowControl w:val="0"/>
            </w:pPr>
            <w:r w:rsidRPr="008C3708">
              <w:t>$</w:t>
            </w:r>
            <w:r w:rsidR="00117124" w:rsidRPr="008C3708">
              <w:t>redacted</w:t>
            </w:r>
          </w:p>
        </w:tc>
        <w:tc>
          <w:tcPr>
            <w:tcW w:w="1946" w:type="dxa"/>
          </w:tcPr>
          <w:p w14:paraId="277B3E2B" w14:textId="3FE0FA6E" w:rsidR="00B156AA" w:rsidRPr="008C3708" w:rsidRDefault="00B156AA" w:rsidP="00117124">
            <w:pPr>
              <w:pStyle w:val="TableTextcenter"/>
              <w:keepNext w:val="0"/>
              <w:widowControl w:val="0"/>
            </w:pPr>
            <w:r w:rsidRPr="008C3708">
              <w:t>$</w:t>
            </w:r>
            <w:r w:rsidR="00117124" w:rsidRPr="008C3708">
              <w:t>redacted</w:t>
            </w:r>
          </w:p>
        </w:tc>
        <w:tc>
          <w:tcPr>
            <w:tcW w:w="2251" w:type="dxa"/>
          </w:tcPr>
          <w:p w14:paraId="3E0CBCDB" w14:textId="10813578" w:rsidR="00B156AA" w:rsidRPr="008C3708" w:rsidRDefault="00B156AA" w:rsidP="00B156AA">
            <w:pPr>
              <w:pStyle w:val="TableTextcenter"/>
              <w:keepNext w:val="0"/>
              <w:widowControl w:val="0"/>
            </w:pPr>
            <w:r w:rsidRPr="008C3708">
              <w:t>$</w:t>
            </w:r>
            <w:r w:rsidR="00117124" w:rsidRPr="008C3708">
              <w:t>redacted</w:t>
            </w:r>
          </w:p>
        </w:tc>
      </w:tr>
      <w:tr w:rsidR="00B156AA" w:rsidRPr="00246C18" w14:paraId="4846F24B" w14:textId="77777777" w:rsidTr="00B156AA">
        <w:tc>
          <w:tcPr>
            <w:tcW w:w="2961" w:type="dxa"/>
            <w:tcBorders>
              <w:right w:val="nil"/>
            </w:tcBorders>
          </w:tcPr>
          <w:p w14:paraId="23EF6098" w14:textId="77777777" w:rsidR="00B156AA" w:rsidRPr="00246C18" w:rsidRDefault="00B156AA" w:rsidP="00B156AA">
            <w:pPr>
              <w:pStyle w:val="TableHeading"/>
              <w:keepNext w:val="0"/>
              <w:widowControl w:val="0"/>
            </w:pPr>
            <w:r w:rsidRPr="00246C18">
              <w:t>Outcomes (Fuller 2013)</w:t>
            </w:r>
          </w:p>
        </w:tc>
        <w:tc>
          <w:tcPr>
            <w:tcW w:w="1858" w:type="dxa"/>
            <w:tcBorders>
              <w:left w:val="nil"/>
              <w:right w:val="nil"/>
            </w:tcBorders>
          </w:tcPr>
          <w:p w14:paraId="31595B25" w14:textId="77777777" w:rsidR="00B156AA" w:rsidRPr="00246C18" w:rsidRDefault="00B156AA" w:rsidP="00B156AA">
            <w:pPr>
              <w:pStyle w:val="TableTextcenter"/>
              <w:keepNext w:val="0"/>
              <w:widowControl w:val="0"/>
            </w:pPr>
          </w:p>
        </w:tc>
        <w:tc>
          <w:tcPr>
            <w:tcW w:w="1946" w:type="dxa"/>
            <w:tcBorders>
              <w:left w:val="nil"/>
              <w:right w:val="nil"/>
            </w:tcBorders>
          </w:tcPr>
          <w:p w14:paraId="4C0A6F8F" w14:textId="77777777" w:rsidR="00B156AA" w:rsidRPr="00246C18" w:rsidRDefault="00B156AA" w:rsidP="00B156AA">
            <w:pPr>
              <w:pStyle w:val="TableTextcenter"/>
              <w:keepNext w:val="0"/>
              <w:widowControl w:val="0"/>
            </w:pPr>
          </w:p>
        </w:tc>
        <w:tc>
          <w:tcPr>
            <w:tcW w:w="2251" w:type="dxa"/>
            <w:tcBorders>
              <w:left w:val="nil"/>
            </w:tcBorders>
          </w:tcPr>
          <w:p w14:paraId="4766A7FA" w14:textId="77777777" w:rsidR="00B156AA" w:rsidRPr="00246C18" w:rsidRDefault="00B156AA" w:rsidP="00B156AA">
            <w:pPr>
              <w:pStyle w:val="TableTextcenter"/>
              <w:keepNext w:val="0"/>
              <w:widowControl w:val="0"/>
            </w:pPr>
          </w:p>
        </w:tc>
      </w:tr>
      <w:tr w:rsidR="00B156AA" w14:paraId="03D2614F" w14:textId="77777777" w:rsidTr="00B156AA">
        <w:tc>
          <w:tcPr>
            <w:tcW w:w="2961" w:type="dxa"/>
          </w:tcPr>
          <w:p w14:paraId="64CA043B" w14:textId="77777777" w:rsidR="00B156AA" w:rsidRDefault="00B156AA" w:rsidP="00B156AA">
            <w:pPr>
              <w:pStyle w:val="TableTextLeft"/>
              <w:keepNext w:val="0"/>
              <w:widowControl w:val="0"/>
            </w:pPr>
            <w:r>
              <w:t>BMI at Month 12 (kg/m</w:t>
            </w:r>
            <w:r w:rsidRPr="008F4C60">
              <w:rPr>
                <w:vertAlign w:val="superscript"/>
              </w:rPr>
              <w:t>2</w:t>
            </w:r>
            <w:r>
              <w:t>)</w:t>
            </w:r>
          </w:p>
        </w:tc>
        <w:tc>
          <w:tcPr>
            <w:tcW w:w="1858" w:type="dxa"/>
          </w:tcPr>
          <w:p w14:paraId="3511353C" w14:textId="77777777" w:rsidR="00B156AA" w:rsidRDefault="00B156AA" w:rsidP="00B156AA">
            <w:pPr>
              <w:pStyle w:val="TableTextcenter"/>
              <w:keepNext w:val="0"/>
              <w:widowControl w:val="0"/>
            </w:pPr>
            <w:r>
              <w:t>27.4</w:t>
            </w:r>
          </w:p>
        </w:tc>
        <w:tc>
          <w:tcPr>
            <w:tcW w:w="1946" w:type="dxa"/>
          </w:tcPr>
          <w:p w14:paraId="7034048D" w14:textId="77777777" w:rsidR="00B156AA" w:rsidRDefault="00B156AA" w:rsidP="00B156AA">
            <w:pPr>
              <w:pStyle w:val="TableTextcenter"/>
              <w:keepNext w:val="0"/>
              <w:widowControl w:val="0"/>
            </w:pPr>
            <w:r>
              <w:t>30.8</w:t>
            </w:r>
          </w:p>
        </w:tc>
        <w:tc>
          <w:tcPr>
            <w:tcW w:w="2251" w:type="dxa"/>
          </w:tcPr>
          <w:p w14:paraId="169F998D" w14:textId="77777777" w:rsidR="00B156AA" w:rsidRDefault="00B156AA" w:rsidP="00B156AA">
            <w:pPr>
              <w:pStyle w:val="TableTextcenter"/>
              <w:keepNext w:val="0"/>
              <w:widowControl w:val="0"/>
            </w:pPr>
            <w:r>
              <w:t>-3.4</w:t>
            </w:r>
          </w:p>
        </w:tc>
      </w:tr>
      <w:tr w:rsidR="00B156AA" w14:paraId="0AB3FE34" w14:textId="77777777" w:rsidTr="00B156AA">
        <w:tc>
          <w:tcPr>
            <w:tcW w:w="2961" w:type="dxa"/>
          </w:tcPr>
          <w:p w14:paraId="38EBD82F" w14:textId="77777777" w:rsidR="00B156AA" w:rsidRDefault="00B156AA" w:rsidP="00B156AA">
            <w:pPr>
              <w:pStyle w:val="TableTextLeft"/>
              <w:keepNext w:val="0"/>
              <w:widowControl w:val="0"/>
            </w:pPr>
            <w:r>
              <w:t>Weight reduction from baseline (kg)</w:t>
            </w:r>
          </w:p>
        </w:tc>
        <w:tc>
          <w:tcPr>
            <w:tcW w:w="1858" w:type="dxa"/>
          </w:tcPr>
          <w:p w14:paraId="4AD15DAA" w14:textId="77777777" w:rsidR="00B156AA" w:rsidRDefault="00B156AA" w:rsidP="00B156AA">
            <w:pPr>
              <w:pStyle w:val="TableTextcenter"/>
              <w:keepNext w:val="0"/>
              <w:widowControl w:val="0"/>
            </w:pPr>
            <w:r>
              <w:t>14.4</w:t>
            </w:r>
          </w:p>
        </w:tc>
        <w:tc>
          <w:tcPr>
            <w:tcW w:w="1946" w:type="dxa"/>
          </w:tcPr>
          <w:p w14:paraId="5D030D63" w14:textId="77777777" w:rsidR="00B156AA" w:rsidRDefault="00B156AA" w:rsidP="00B156AA">
            <w:pPr>
              <w:pStyle w:val="TableTextcenter"/>
              <w:keepNext w:val="0"/>
              <w:widowControl w:val="0"/>
            </w:pPr>
            <w:r>
              <w:t>5.1</w:t>
            </w:r>
          </w:p>
        </w:tc>
        <w:tc>
          <w:tcPr>
            <w:tcW w:w="2251" w:type="dxa"/>
          </w:tcPr>
          <w:p w14:paraId="59256581" w14:textId="77777777" w:rsidR="00B156AA" w:rsidRDefault="00B156AA" w:rsidP="00B156AA">
            <w:pPr>
              <w:pStyle w:val="TableTextcenter"/>
              <w:keepNext w:val="0"/>
              <w:widowControl w:val="0"/>
            </w:pPr>
            <w:r>
              <w:t>9.3</w:t>
            </w:r>
          </w:p>
        </w:tc>
      </w:tr>
      <w:tr w:rsidR="00B156AA" w14:paraId="39169D91" w14:textId="77777777" w:rsidTr="00B156AA">
        <w:tc>
          <w:tcPr>
            <w:tcW w:w="2961" w:type="dxa"/>
          </w:tcPr>
          <w:p w14:paraId="362BB96E" w14:textId="77777777" w:rsidR="00B156AA" w:rsidRDefault="00B156AA" w:rsidP="00B156AA">
            <w:pPr>
              <w:pStyle w:val="TableTextLeft"/>
              <w:keepNext w:val="0"/>
              <w:widowControl w:val="0"/>
            </w:pPr>
            <w:r>
              <w:t>QALYs</w:t>
            </w:r>
          </w:p>
        </w:tc>
        <w:tc>
          <w:tcPr>
            <w:tcW w:w="1858" w:type="dxa"/>
          </w:tcPr>
          <w:p w14:paraId="46756EB4" w14:textId="77777777" w:rsidR="00B156AA" w:rsidRDefault="00B156AA" w:rsidP="00B156AA">
            <w:pPr>
              <w:pStyle w:val="TableTextcenter"/>
              <w:keepNext w:val="0"/>
              <w:widowControl w:val="0"/>
            </w:pPr>
            <w:r w:rsidRPr="00AB2A1F">
              <w:t>1.123</w:t>
            </w:r>
          </w:p>
        </w:tc>
        <w:tc>
          <w:tcPr>
            <w:tcW w:w="1946" w:type="dxa"/>
          </w:tcPr>
          <w:p w14:paraId="2224BCA5" w14:textId="77777777" w:rsidR="00B156AA" w:rsidRDefault="00B156AA" w:rsidP="00B156AA">
            <w:pPr>
              <w:pStyle w:val="TableTextcenter"/>
              <w:keepNext w:val="0"/>
              <w:widowControl w:val="0"/>
            </w:pPr>
            <w:r w:rsidRPr="00AB2A1F">
              <w:t>1.104</w:t>
            </w:r>
          </w:p>
        </w:tc>
        <w:tc>
          <w:tcPr>
            <w:tcW w:w="2251" w:type="dxa"/>
          </w:tcPr>
          <w:p w14:paraId="7665C3D4" w14:textId="77777777" w:rsidR="00B156AA" w:rsidRDefault="00B156AA" w:rsidP="00B156AA">
            <w:pPr>
              <w:pStyle w:val="TableTextcenter"/>
              <w:keepNext w:val="0"/>
              <w:widowControl w:val="0"/>
            </w:pPr>
            <w:r w:rsidRPr="00AB2A1F">
              <w:t>0.020</w:t>
            </w:r>
          </w:p>
        </w:tc>
      </w:tr>
    </w:tbl>
    <w:p w14:paraId="33A79FC4" w14:textId="77777777" w:rsidR="00B156AA" w:rsidRDefault="00B156AA" w:rsidP="00B156AA">
      <w:pPr>
        <w:pStyle w:val="TFAbbrevs18"/>
        <w:keepNext w:val="0"/>
        <w:keepLines w:val="0"/>
        <w:widowControl w:val="0"/>
      </w:pPr>
      <w:r>
        <w:t>Abbreviations: BMI, body mass index; IGB, intragastric balloon; QALY, quality-adjusted life-year</w:t>
      </w:r>
    </w:p>
    <w:p w14:paraId="40A8DEBF" w14:textId="77777777" w:rsidR="00BC1364" w:rsidRPr="00F715D1" w:rsidRDefault="00BC1364" w:rsidP="00F715D1">
      <w:pPr>
        <w:pStyle w:val="Heading1"/>
      </w:pPr>
      <w:r w:rsidRPr="00F715D1">
        <w:lastRenderedPageBreak/>
        <w:t>Financial/budgetary impacts</w:t>
      </w:r>
    </w:p>
    <w:p w14:paraId="323FD543" w14:textId="6614976B" w:rsidR="00B156AA" w:rsidRDefault="00B156AA" w:rsidP="00B044E4">
      <w:pPr>
        <w:spacing w:after="240"/>
      </w:pPr>
      <w:r w:rsidRPr="005C061E">
        <w:t xml:space="preserve">An epidemiological approach has been used to estimate the financial implications of the introduction of </w:t>
      </w:r>
      <w:r w:rsidRPr="0027499A">
        <w:t>the IGB</w:t>
      </w:r>
      <w:r w:rsidRPr="005C061E">
        <w:t>.</w:t>
      </w:r>
      <w:r>
        <w:t xml:space="preserve"> The financial impact analysis assumes there are no other changes in the use of other medical services except those associated with the insertion and removal of the IGB. </w:t>
      </w:r>
      <w:r w:rsidRPr="00897FC5">
        <w:t>The financial implications to the MBS resulting from the proposed listing of IGB are summarised in</w:t>
      </w:r>
      <w:r>
        <w:t xml:space="preserve"> Table 8.</w:t>
      </w:r>
    </w:p>
    <w:p w14:paraId="55E54088" w14:textId="77777777" w:rsidR="00B156AA" w:rsidRPr="00DD6B45" w:rsidRDefault="00B156AA" w:rsidP="00DD6B45">
      <w:pPr>
        <w:rPr>
          <w:rFonts w:ascii="Arial Narrow" w:hAnsi="Arial Narrow"/>
          <w:b/>
          <w:sz w:val="20"/>
        </w:rPr>
      </w:pPr>
      <w:bookmarkStart w:id="21" w:name="_Ref534180403"/>
      <w:bookmarkStart w:id="22" w:name="_Toc1371965"/>
      <w:r w:rsidRPr="00DD6B45">
        <w:rPr>
          <w:rFonts w:ascii="Arial Narrow" w:hAnsi="Arial Narrow"/>
          <w:b/>
          <w:sz w:val="20"/>
        </w:rPr>
        <w:t xml:space="preserve">Table </w:t>
      </w:r>
      <w:bookmarkEnd w:id="21"/>
      <w:r w:rsidRPr="00DD6B45">
        <w:rPr>
          <w:rFonts w:ascii="Arial Narrow" w:hAnsi="Arial Narrow"/>
          <w:b/>
          <w:sz w:val="20"/>
        </w:rPr>
        <w:t>8</w:t>
      </w:r>
      <w:r w:rsidRPr="00DD6B45">
        <w:rPr>
          <w:rFonts w:ascii="Arial Narrow" w:hAnsi="Arial Narrow"/>
          <w:b/>
          <w:sz w:val="20"/>
        </w:rPr>
        <w:tab/>
        <w:t>Total costs to the MBS associated with IGB insertion and removal</w:t>
      </w:r>
      <w:bookmarkEnd w:id="22"/>
    </w:p>
    <w:tbl>
      <w:tblPr>
        <w:tblStyle w:val="TableGrid"/>
        <w:tblW w:w="5000" w:type="pct"/>
        <w:tblLayout w:type="fixed"/>
        <w:tblLook w:val="04A0" w:firstRow="1" w:lastRow="0" w:firstColumn="1" w:lastColumn="0" w:noHBand="0" w:noVBand="1"/>
        <w:tblCaption w:val="Total costs to the MBS associated with IGB insertion and removal"/>
        <w:tblDescription w:val="This table provides a summary of the financial impact of the proposed new medical service over the next five years."/>
      </w:tblPr>
      <w:tblGrid>
        <w:gridCol w:w="3115"/>
        <w:gridCol w:w="7"/>
        <w:gridCol w:w="1183"/>
        <w:gridCol w:w="1179"/>
        <w:gridCol w:w="1179"/>
        <w:gridCol w:w="1179"/>
        <w:gridCol w:w="1174"/>
      </w:tblGrid>
      <w:tr w:rsidR="00B156AA" w:rsidRPr="00A12852" w14:paraId="70C18330" w14:textId="77777777" w:rsidTr="00DD6B45">
        <w:trPr>
          <w:trHeight w:val="300"/>
          <w:tblHeader/>
        </w:trPr>
        <w:tc>
          <w:tcPr>
            <w:tcW w:w="1731" w:type="pct"/>
            <w:gridSpan w:val="2"/>
          </w:tcPr>
          <w:p w14:paraId="56E98F66" w14:textId="77777777" w:rsidR="00B156AA" w:rsidRPr="00A12852" w:rsidRDefault="00B156AA" w:rsidP="00B156AA">
            <w:pPr>
              <w:keepNext/>
              <w:tabs>
                <w:tab w:val="left" w:pos="851"/>
              </w:tabs>
              <w:spacing w:before="40" w:after="40"/>
              <w:ind w:left="851" w:hanging="851"/>
              <w:rPr>
                <w:rFonts w:ascii="Arial Narrow" w:hAnsi="Arial Narrow"/>
                <w:b/>
                <w:sz w:val="20"/>
              </w:rPr>
            </w:pPr>
            <w:r w:rsidRPr="00A12852">
              <w:rPr>
                <w:rFonts w:ascii="Arial Narrow" w:hAnsi="Arial Narrow"/>
                <w:b/>
                <w:color w:val="FFFFFF" w:themeColor="background1"/>
                <w:sz w:val="20"/>
              </w:rPr>
              <w:t>-</w:t>
            </w:r>
          </w:p>
        </w:tc>
        <w:tc>
          <w:tcPr>
            <w:tcW w:w="656" w:type="pct"/>
          </w:tcPr>
          <w:p w14:paraId="592F2EC5" w14:textId="77777777" w:rsidR="00B156AA" w:rsidRPr="00A12852" w:rsidRDefault="00B156AA" w:rsidP="00B156AA">
            <w:pPr>
              <w:keepNext/>
              <w:tabs>
                <w:tab w:val="left" w:pos="851"/>
              </w:tabs>
              <w:spacing w:before="40" w:after="40"/>
              <w:ind w:left="851" w:hanging="851"/>
              <w:jc w:val="center"/>
              <w:rPr>
                <w:rFonts w:ascii="Arial Narrow" w:hAnsi="Arial Narrow"/>
                <w:b/>
                <w:sz w:val="20"/>
              </w:rPr>
            </w:pPr>
            <w:r w:rsidRPr="00A12852">
              <w:rPr>
                <w:rFonts w:ascii="Arial Narrow" w:hAnsi="Arial Narrow"/>
                <w:b/>
                <w:sz w:val="20"/>
              </w:rPr>
              <w:t>2019</w:t>
            </w:r>
          </w:p>
        </w:tc>
        <w:tc>
          <w:tcPr>
            <w:tcW w:w="654" w:type="pct"/>
          </w:tcPr>
          <w:p w14:paraId="022218EE" w14:textId="77777777" w:rsidR="00B156AA" w:rsidRPr="00A12852" w:rsidRDefault="00B156AA" w:rsidP="00B156AA">
            <w:pPr>
              <w:keepNext/>
              <w:tabs>
                <w:tab w:val="left" w:pos="851"/>
              </w:tabs>
              <w:spacing w:before="40" w:after="40"/>
              <w:ind w:left="851" w:hanging="851"/>
              <w:jc w:val="center"/>
              <w:rPr>
                <w:rFonts w:ascii="Arial Narrow" w:hAnsi="Arial Narrow"/>
                <w:b/>
                <w:sz w:val="20"/>
              </w:rPr>
            </w:pPr>
            <w:r w:rsidRPr="00A12852">
              <w:rPr>
                <w:rFonts w:ascii="Arial Narrow" w:hAnsi="Arial Narrow"/>
                <w:b/>
                <w:sz w:val="20"/>
              </w:rPr>
              <w:t>2020</w:t>
            </w:r>
          </w:p>
        </w:tc>
        <w:tc>
          <w:tcPr>
            <w:tcW w:w="654" w:type="pct"/>
          </w:tcPr>
          <w:p w14:paraId="7123225F" w14:textId="77777777" w:rsidR="00B156AA" w:rsidRPr="00A12852" w:rsidRDefault="00B156AA" w:rsidP="00B156AA">
            <w:pPr>
              <w:keepNext/>
              <w:tabs>
                <w:tab w:val="left" w:pos="851"/>
              </w:tabs>
              <w:spacing w:before="40" w:after="40"/>
              <w:ind w:left="851" w:hanging="851"/>
              <w:jc w:val="center"/>
              <w:rPr>
                <w:rFonts w:ascii="Arial Narrow" w:hAnsi="Arial Narrow"/>
                <w:b/>
                <w:sz w:val="20"/>
              </w:rPr>
            </w:pPr>
            <w:r w:rsidRPr="00A12852">
              <w:rPr>
                <w:rFonts w:ascii="Arial Narrow" w:hAnsi="Arial Narrow"/>
                <w:b/>
                <w:sz w:val="20"/>
              </w:rPr>
              <w:t>2021</w:t>
            </w:r>
          </w:p>
        </w:tc>
        <w:tc>
          <w:tcPr>
            <w:tcW w:w="654" w:type="pct"/>
          </w:tcPr>
          <w:p w14:paraId="6BEA9464" w14:textId="77777777" w:rsidR="00B156AA" w:rsidRPr="00A12852" w:rsidRDefault="00B156AA" w:rsidP="00B156AA">
            <w:pPr>
              <w:keepNext/>
              <w:tabs>
                <w:tab w:val="left" w:pos="851"/>
              </w:tabs>
              <w:spacing w:before="40" w:after="40"/>
              <w:ind w:left="851" w:hanging="851"/>
              <w:jc w:val="center"/>
              <w:rPr>
                <w:rFonts w:ascii="Arial Narrow" w:hAnsi="Arial Narrow"/>
                <w:b/>
                <w:sz w:val="20"/>
              </w:rPr>
            </w:pPr>
            <w:r w:rsidRPr="00A12852">
              <w:rPr>
                <w:rFonts w:ascii="Arial Narrow" w:hAnsi="Arial Narrow"/>
                <w:b/>
                <w:sz w:val="20"/>
              </w:rPr>
              <w:t>2022</w:t>
            </w:r>
          </w:p>
        </w:tc>
        <w:tc>
          <w:tcPr>
            <w:tcW w:w="651" w:type="pct"/>
          </w:tcPr>
          <w:p w14:paraId="214BB73E" w14:textId="77777777" w:rsidR="00B156AA" w:rsidRPr="00A12852" w:rsidRDefault="00B156AA" w:rsidP="00B156AA">
            <w:pPr>
              <w:keepNext/>
              <w:tabs>
                <w:tab w:val="left" w:pos="851"/>
              </w:tabs>
              <w:spacing w:before="40" w:after="40"/>
              <w:ind w:left="851" w:hanging="851"/>
              <w:jc w:val="center"/>
              <w:rPr>
                <w:rFonts w:ascii="Arial Narrow" w:hAnsi="Arial Narrow"/>
                <w:b/>
                <w:sz w:val="20"/>
              </w:rPr>
            </w:pPr>
            <w:r w:rsidRPr="00A12852">
              <w:rPr>
                <w:rFonts w:ascii="Arial Narrow" w:hAnsi="Arial Narrow"/>
                <w:b/>
                <w:sz w:val="20"/>
              </w:rPr>
              <w:t>2023</w:t>
            </w:r>
          </w:p>
        </w:tc>
      </w:tr>
      <w:tr w:rsidR="00117124" w:rsidRPr="008C3708" w14:paraId="3F467DC3" w14:textId="77777777" w:rsidTr="00DD6B45">
        <w:trPr>
          <w:trHeight w:val="300"/>
        </w:trPr>
        <w:tc>
          <w:tcPr>
            <w:tcW w:w="1731" w:type="pct"/>
            <w:gridSpan w:val="2"/>
          </w:tcPr>
          <w:p w14:paraId="4AD2B515" w14:textId="77777777" w:rsidR="00117124" w:rsidRPr="00A12852" w:rsidRDefault="00117124" w:rsidP="00117124">
            <w:pPr>
              <w:pStyle w:val="Tabletext0"/>
            </w:pPr>
            <w:r>
              <w:t>Estimated number of patients undertaking IGB insertion and removal</w:t>
            </w:r>
          </w:p>
        </w:tc>
        <w:tc>
          <w:tcPr>
            <w:tcW w:w="656" w:type="pct"/>
          </w:tcPr>
          <w:p w14:paraId="1079CF28" w14:textId="6A5472E0" w:rsidR="00117124" w:rsidRPr="008C3708" w:rsidRDefault="00117124" w:rsidP="00117124">
            <w:pPr>
              <w:pStyle w:val="TableTextcenter"/>
            </w:pPr>
            <w:r w:rsidRPr="008C3708">
              <w:t>redacted</w:t>
            </w:r>
          </w:p>
        </w:tc>
        <w:tc>
          <w:tcPr>
            <w:tcW w:w="654" w:type="pct"/>
          </w:tcPr>
          <w:p w14:paraId="2C0CF3EB" w14:textId="795257EE" w:rsidR="00117124" w:rsidRPr="008C3708" w:rsidRDefault="00117124" w:rsidP="00117124">
            <w:pPr>
              <w:pStyle w:val="TableTextcenter"/>
            </w:pPr>
            <w:r w:rsidRPr="008C3708">
              <w:t>redacted</w:t>
            </w:r>
          </w:p>
        </w:tc>
        <w:tc>
          <w:tcPr>
            <w:tcW w:w="654" w:type="pct"/>
          </w:tcPr>
          <w:p w14:paraId="07F655AB" w14:textId="64349811" w:rsidR="00117124" w:rsidRPr="008C3708" w:rsidRDefault="00117124" w:rsidP="00117124">
            <w:pPr>
              <w:pStyle w:val="TableTextcenter"/>
            </w:pPr>
            <w:r w:rsidRPr="008C3708">
              <w:t>redacted</w:t>
            </w:r>
          </w:p>
        </w:tc>
        <w:tc>
          <w:tcPr>
            <w:tcW w:w="654" w:type="pct"/>
          </w:tcPr>
          <w:p w14:paraId="104125B0" w14:textId="712D746E" w:rsidR="00117124" w:rsidRPr="008C3708" w:rsidRDefault="00117124" w:rsidP="00117124">
            <w:pPr>
              <w:pStyle w:val="TableTextcenter"/>
            </w:pPr>
            <w:r w:rsidRPr="008C3708">
              <w:t>redacted</w:t>
            </w:r>
          </w:p>
        </w:tc>
        <w:tc>
          <w:tcPr>
            <w:tcW w:w="651" w:type="pct"/>
          </w:tcPr>
          <w:p w14:paraId="2E4F9CFE" w14:textId="78C412F2" w:rsidR="00117124" w:rsidRPr="008C3708" w:rsidRDefault="00117124" w:rsidP="00117124">
            <w:pPr>
              <w:pStyle w:val="TableTextcenter"/>
            </w:pPr>
            <w:r w:rsidRPr="008C3708">
              <w:t>redacted</w:t>
            </w:r>
          </w:p>
        </w:tc>
      </w:tr>
      <w:tr w:rsidR="00B156AA" w:rsidRPr="008C3708" w14:paraId="3BA6E8C7" w14:textId="77777777" w:rsidTr="00DD6B45">
        <w:trPr>
          <w:trHeight w:val="300"/>
        </w:trPr>
        <w:tc>
          <w:tcPr>
            <w:tcW w:w="1727" w:type="pct"/>
          </w:tcPr>
          <w:p w14:paraId="0E53723E" w14:textId="77777777" w:rsidR="00B156AA" w:rsidRPr="007D5881" w:rsidRDefault="00B156AA" w:rsidP="00B156AA">
            <w:pPr>
              <w:pStyle w:val="Tabletext0"/>
              <w:rPr>
                <w:rStyle w:val="Strong"/>
              </w:rPr>
            </w:pPr>
            <w:r w:rsidRPr="007D5881">
              <w:rPr>
                <w:rStyle w:val="Strong"/>
              </w:rPr>
              <w:t xml:space="preserve">IGB insertion </w:t>
            </w:r>
            <w:r>
              <w:rPr>
                <w:b/>
                <w:szCs w:val="20"/>
              </w:rPr>
              <w:t>(proposed MBS items)</w:t>
            </w:r>
          </w:p>
        </w:tc>
        <w:tc>
          <w:tcPr>
            <w:tcW w:w="660" w:type="pct"/>
            <w:gridSpan w:val="2"/>
          </w:tcPr>
          <w:p w14:paraId="3252642E" w14:textId="77777777" w:rsidR="00B156AA" w:rsidRPr="008C3708" w:rsidRDefault="00B156AA" w:rsidP="00B156AA">
            <w:pPr>
              <w:pStyle w:val="TableTextcenter"/>
              <w:rPr>
                <w:b/>
                <w:color w:val="FFFFFF" w:themeColor="background1"/>
                <w:szCs w:val="20"/>
              </w:rPr>
            </w:pPr>
          </w:p>
        </w:tc>
        <w:tc>
          <w:tcPr>
            <w:tcW w:w="654" w:type="pct"/>
          </w:tcPr>
          <w:p w14:paraId="1DDA0045" w14:textId="77777777" w:rsidR="00B156AA" w:rsidRPr="008C3708" w:rsidRDefault="00B156AA" w:rsidP="00B156AA">
            <w:pPr>
              <w:pStyle w:val="TableTextcenter"/>
              <w:rPr>
                <w:b/>
                <w:color w:val="FFFFFF" w:themeColor="background1"/>
                <w:szCs w:val="20"/>
              </w:rPr>
            </w:pPr>
          </w:p>
        </w:tc>
        <w:tc>
          <w:tcPr>
            <w:tcW w:w="654" w:type="pct"/>
          </w:tcPr>
          <w:p w14:paraId="4F491C73" w14:textId="77777777" w:rsidR="00B156AA" w:rsidRPr="008C3708" w:rsidRDefault="00B156AA" w:rsidP="00B156AA">
            <w:pPr>
              <w:pStyle w:val="TableTextcenter"/>
              <w:rPr>
                <w:b/>
                <w:color w:val="FFFFFF" w:themeColor="background1"/>
                <w:szCs w:val="20"/>
              </w:rPr>
            </w:pPr>
          </w:p>
        </w:tc>
        <w:tc>
          <w:tcPr>
            <w:tcW w:w="654" w:type="pct"/>
          </w:tcPr>
          <w:p w14:paraId="42D54942" w14:textId="77777777" w:rsidR="00B156AA" w:rsidRPr="008C3708" w:rsidRDefault="00B156AA" w:rsidP="00B156AA">
            <w:pPr>
              <w:pStyle w:val="TableTextcenter"/>
              <w:rPr>
                <w:b/>
                <w:color w:val="FFFFFF" w:themeColor="background1"/>
                <w:szCs w:val="20"/>
              </w:rPr>
            </w:pPr>
          </w:p>
        </w:tc>
        <w:tc>
          <w:tcPr>
            <w:tcW w:w="651" w:type="pct"/>
          </w:tcPr>
          <w:p w14:paraId="0B684EE2" w14:textId="77777777" w:rsidR="00B156AA" w:rsidRPr="008C3708" w:rsidRDefault="00B156AA" w:rsidP="00B156AA">
            <w:pPr>
              <w:pStyle w:val="TableTextcenter"/>
              <w:rPr>
                <w:b/>
                <w:color w:val="FFFFFF" w:themeColor="background1"/>
                <w:szCs w:val="20"/>
              </w:rPr>
            </w:pPr>
          </w:p>
        </w:tc>
      </w:tr>
      <w:tr w:rsidR="00117124" w:rsidRPr="008C3708" w14:paraId="6F12B2D1" w14:textId="77777777" w:rsidTr="00DD6B45">
        <w:trPr>
          <w:trHeight w:val="300"/>
        </w:trPr>
        <w:tc>
          <w:tcPr>
            <w:tcW w:w="1731" w:type="pct"/>
            <w:gridSpan w:val="2"/>
          </w:tcPr>
          <w:p w14:paraId="0D3CE85F" w14:textId="77777777" w:rsidR="00117124" w:rsidRPr="00A12852" w:rsidRDefault="00117124" w:rsidP="00117124">
            <w:pPr>
              <w:pStyle w:val="Tabletext0"/>
              <w:rPr>
                <w:szCs w:val="20"/>
              </w:rPr>
            </w:pPr>
            <w:r w:rsidRPr="00A12852">
              <w:t xml:space="preserve">Number of </w:t>
            </w:r>
            <w:r w:rsidRPr="00A12852">
              <w:rPr>
                <w:szCs w:val="20"/>
              </w:rPr>
              <w:t>services</w:t>
            </w:r>
          </w:p>
        </w:tc>
        <w:tc>
          <w:tcPr>
            <w:tcW w:w="656" w:type="pct"/>
          </w:tcPr>
          <w:p w14:paraId="74AB4253" w14:textId="6273C4A6" w:rsidR="00117124" w:rsidRPr="008C3708" w:rsidRDefault="00117124" w:rsidP="00117124">
            <w:pPr>
              <w:pStyle w:val="TableTextcenter"/>
            </w:pPr>
            <w:r w:rsidRPr="008C3708">
              <w:t>redacted</w:t>
            </w:r>
          </w:p>
        </w:tc>
        <w:tc>
          <w:tcPr>
            <w:tcW w:w="654" w:type="pct"/>
          </w:tcPr>
          <w:p w14:paraId="691C64BC" w14:textId="159D6F13" w:rsidR="00117124" w:rsidRPr="008C3708" w:rsidRDefault="00117124" w:rsidP="00117124">
            <w:pPr>
              <w:pStyle w:val="TableTextcenter"/>
            </w:pPr>
            <w:r w:rsidRPr="008C3708">
              <w:t>redacted</w:t>
            </w:r>
          </w:p>
        </w:tc>
        <w:tc>
          <w:tcPr>
            <w:tcW w:w="654" w:type="pct"/>
          </w:tcPr>
          <w:p w14:paraId="0151606F" w14:textId="491A3804" w:rsidR="00117124" w:rsidRPr="008C3708" w:rsidRDefault="00117124" w:rsidP="00117124">
            <w:pPr>
              <w:pStyle w:val="TableTextcenter"/>
            </w:pPr>
            <w:r w:rsidRPr="008C3708">
              <w:t>redacted</w:t>
            </w:r>
          </w:p>
        </w:tc>
        <w:tc>
          <w:tcPr>
            <w:tcW w:w="654" w:type="pct"/>
          </w:tcPr>
          <w:p w14:paraId="29ED3786" w14:textId="388955D9" w:rsidR="00117124" w:rsidRPr="008C3708" w:rsidRDefault="00117124" w:rsidP="00117124">
            <w:pPr>
              <w:pStyle w:val="TableTextcenter"/>
            </w:pPr>
            <w:r w:rsidRPr="008C3708">
              <w:t>redacted</w:t>
            </w:r>
          </w:p>
        </w:tc>
        <w:tc>
          <w:tcPr>
            <w:tcW w:w="651" w:type="pct"/>
          </w:tcPr>
          <w:p w14:paraId="0C77E82D" w14:textId="10FD0960" w:rsidR="00117124" w:rsidRPr="008C3708" w:rsidRDefault="00117124" w:rsidP="00117124">
            <w:pPr>
              <w:pStyle w:val="TableTextcenter"/>
            </w:pPr>
            <w:r w:rsidRPr="008C3708">
              <w:t>redacted</w:t>
            </w:r>
          </w:p>
        </w:tc>
      </w:tr>
      <w:tr w:rsidR="00117124" w:rsidRPr="008C3708" w14:paraId="34B70482" w14:textId="77777777" w:rsidTr="00DD6B45">
        <w:trPr>
          <w:trHeight w:val="300"/>
        </w:trPr>
        <w:tc>
          <w:tcPr>
            <w:tcW w:w="1731" w:type="pct"/>
            <w:gridSpan w:val="2"/>
          </w:tcPr>
          <w:p w14:paraId="3B62E16B" w14:textId="77777777" w:rsidR="00117124" w:rsidRPr="00A12852" w:rsidRDefault="00117124" w:rsidP="00117124">
            <w:pPr>
              <w:pStyle w:val="Tabletext0"/>
            </w:pPr>
            <w:r w:rsidRPr="00A12852">
              <w:t>MBS costs</w:t>
            </w:r>
          </w:p>
        </w:tc>
        <w:tc>
          <w:tcPr>
            <w:tcW w:w="656" w:type="pct"/>
          </w:tcPr>
          <w:p w14:paraId="5B6E8DE0" w14:textId="3741577C" w:rsidR="00117124" w:rsidRPr="008C3708" w:rsidRDefault="00117124" w:rsidP="00117124">
            <w:pPr>
              <w:pStyle w:val="TableTextcenter"/>
            </w:pPr>
            <w:r w:rsidRPr="008C3708">
              <w:t>$redacted</w:t>
            </w:r>
          </w:p>
        </w:tc>
        <w:tc>
          <w:tcPr>
            <w:tcW w:w="654" w:type="pct"/>
          </w:tcPr>
          <w:p w14:paraId="3B45B992" w14:textId="7F8ADE70" w:rsidR="00117124" w:rsidRPr="008C3708" w:rsidRDefault="00117124" w:rsidP="00117124">
            <w:pPr>
              <w:pStyle w:val="TableTextcenter"/>
            </w:pPr>
            <w:r w:rsidRPr="008C3708">
              <w:t>$redacted</w:t>
            </w:r>
          </w:p>
        </w:tc>
        <w:tc>
          <w:tcPr>
            <w:tcW w:w="654" w:type="pct"/>
          </w:tcPr>
          <w:p w14:paraId="7CECDECB" w14:textId="79DAB6E1" w:rsidR="00117124" w:rsidRPr="008C3708" w:rsidRDefault="00117124" w:rsidP="00117124">
            <w:pPr>
              <w:pStyle w:val="TableTextcenter"/>
            </w:pPr>
            <w:r w:rsidRPr="008C3708">
              <w:t>$redacted</w:t>
            </w:r>
          </w:p>
        </w:tc>
        <w:tc>
          <w:tcPr>
            <w:tcW w:w="654" w:type="pct"/>
          </w:tcPr>
          <w:p w14:paraId="262BF9E6" w14:textId="2F3D7549" w:rsidR="00117124" w:rsidRPr="008C3708" w:rsidRDefault="00117124" w:rsidP="00117124">
            <w:pPr>
              <w:pStyle w:val="TableTextcenter"/>
            </w:pPr>
            <w:r w:rsidRPr="008C3708">
              <w:t>$redacted</w:t>
            </w:r>
          </w:p>
        </w:tc>
        <w:tc>
          <w:tcPr>
            <w:tcW w:w="651" w:type="pct"/>
          </w:tcPr>
          <w:p w14:paraId="001EB29E" w14:textId="30AA7D08" w:rsidR="00117124" w:rsidRPr="008C3708" w:rsidRDefault="00117124" w:rsidP="00117124">
            <w:pPr>
              <w:pStyle w:val="TableTextcenter"/>
            </w:pPr>
            <w:r w:rsidRPr="008C3708">
              <w:t>$redacted</w:t>
            </w:r>
          </w:p>
        </w:tc>
      </w:tr>
      <w:tr w:rsidR="00117124" w:rsidRPr="008C3708" w14:paraId="59CCF55A" w14:textId="77777777" w:rsidTr="00DD6B45">
        <w:trPr>
          <w:trHeight w:val="300"/>
        </w:trPr>
        <w:tc>
          <w:tcPr>
            <w:tcW w:w="1731" w:type="pct"/>
            <w:gridSpan w:val="2"/>
          </w:tcPr>
          <w:p w14:paraId="6C34B00A" w14:textId="77777777" w:rsidR="00117124" w:rsidRPr="00A12852" w:rsidRDefault="00117124" w:rsidP="00117124">
            <w:pPr>
              <w:pStyle w:val="Tabletext0"/>
            </w:pPr>
            <w:r w:rsidRPr="00A12852">
              <w:t>MBS rebate (85%)</w:t>
            </w:r>
          </w:p>
        </w:tc>
        <w:tc>
          <w:tcPr>
            <w:tcW w:w="656" w:type="pct"/>
          </w:tcPr>
          <w:p w14:paraId="3C525C6E" w14:textId="694EA1FD" w:rsidR="00117124" w:rsidRPr="008C3708" w:rsidRDefault="00117124" w:rsidP="00117124">
            <w:pPr>
              <w:pStyle w:val="TableTextcenter"/>
            </w:pPr>
            <w:r w:rsidRPr="008C3708">
              <w:t>$redacted</w:t>
            </w:r>
          </w:p>
        </w:tc>
        <w:tc>
          <w:tcPr>
            <w:tcW w:w="654" w:type="pct"/>
          </w:tcPr>
          <w:p w14:paraId="3EB0B7E9" w14:textId="63292A50" w:rsidR="00117124" w:rsidRPr="008C3708" w:rsidRDefault="00117124" w:rsidP="00117124">
            <w:pPr>
              <w:pStyle w:val="TableTextcenter"/>
            </w:pPr>
            <w:r w:rsidRPr="008C3708">
              <w:t>$redacted</w:t>
            </w:r>
          </w:p>
        </w:tc>
        <w:tc>
          <w:tcPr>
            <w:tcW w:w="654" w:type="pct"/>
          </w:tcPr>
          <w:p w14:paraId="1C8C3838" w14:textId="75BA275A" w:rsidR="00117124" w:rsidRPr="008C3708" w:rsidRDefault="00117124" w:rsidP="00117124">
            <w:pPr>
              <w:pStyle w:val="TableTextcenter"/>
            </w:pPr>
            <w:r w:rsidRPr="008C3708">
              <w:t>$redacted</w:t>
            </w:r>
          </w:p>
        </w:tc>
        <w:tc>
          <w:tcPr>
            <w:tcW w:w="654" w:type="pct"/>
          </w:tcPr>
          <w:p w14:paraId="4A557643" w14:textId="19B5B51B" w:rsidR="00117124" w:rsidRPr="008C3708" w:rsidRDefault="00117124" w:rsidP="00117124">
            <w:pPr>
              <w:pStyle w:val="TableTextcenter"/>
            </w:pPr>
            <w:r w:rsidRPr="008C3708">
              <w:t>$redacted</w:t>
            </w:r>
          </w:p>
        </w:tc>
        <w:tc>
          <w:tcPr>
            <w:tcW w:w="651" w:type="pct"/>
          </w:tcPr>
          <w:p w14:paraId="4BA6D1D7" w14:textId="5979E6F4" w:rsidR="00117124" w:rsidRPr="008C3708" w:rsidRDefault="00117124" w:rsidP="00117124">
            <w:pPr>
              <w:pStyle w:val="TableTextcenter"/>
            </w:pPr>
            <w:r w:rsidRPr="008C3708">
              <w:t>$redacted</w:t>
            </w:r>
          </w:p>
        </w:tc>
      </w:tr>
      <w:tr w:rsidR="00117124" w:rsidRPr="008C3708" w14:paraId="2D974F1A" w14:textId="77777777" w:rsidTr="00DD6B45">
        <w:trPr>
          <w:trHeight w:val="300"/>
        </w:trPr>
        <w:tc>
          <w:tcPr>
            <w:tcW w:w="1731" w:type="pct"/>
            <w:gridSpan w:val="2"/>
          </w:tcPr>
          <w:p w14:paraId="26ED6C24" w14:textId="77777777" w:rsidR="00117124" w:rsidRPr="00A12852" w:rsidRDefault="00117124" w:rsidP="00117124">
            <w:pPr>
              <w:pStyle w:val="Tabletext0"/>
            </w:pPr>
            <w:r w:rsidRPr="00A12852">
              <w:t>Patient cont</w:t>
            </w:r>
            <w:r w:rsidRPr="00A12852">
              <w:rPr>
                <w:szCs w:val="20"/>
              </w:rPr>
              <w:t>ribution</w:t>
            </w:r>
          </w:p>
        </w:tc>
        <w:tc>
          <w:tcPr>
            <w:tcW w:w="656" w:type="pct"/>
          </w:tcPr>
          <w:p w14:paraId="7D5A70E0" w14:textId="30927D84" w:rsidR="00117124" w:rsidRPr="008C3708" w:rsidRDefault="00117124" w:rsidP="00117124">
            <w:pPr>
              <w:pStyle w:val="TableTextcenter"/>
            </w:pPr>
            <w:r w:rsidRPr="008C3708">
              <w:t>$redacted</w:t>
            </w:r>
          </w:p>
        </w:tc>
        <w:tc>
          <w:tcPr>
            <w:tcW w:w="654" w:type="pct"/>
          </w:tcPr>
          <w:p w14:paraId="11A92C60" w14:textId="6DDB242C" w:rsidR="00117124" w:rsidRPr="008C3708" w:rsidRDefault="00117124" w:rsidP="00117124">
            <w:pPr>
              <w:pStyle w:val="TableTextcenter"/>
            </w:pPr>
            <w:r w:rsidRPr="008C3708">
              <w:t>$redacted</w:t>
            </w:r>
          </w:p>
        </w:tc>
        <w:tc>
          <w:tcPr>
            <w:tcW w:w="654" w:type="pct"/>
          </w:tcPr>
          <w:p w14:paraId="2218210A" w14:textId="5514D8DF" w:rsidR="00117124" w:rsidRPr="008C3708" w:rsidRDefault="00117124" w:rsidP="00117124">
            <w:pPr>
              <w:pStyle w:val="TableTextcenter"/>
            </w:pPr>
            <w:r w:rsidRPr="008C3708">
              <w:t>$redacted</w:t>
            </w:r>
          </w:p>
        </w:tc>
        <w:tc>
          <w:tcPr>
            <w:tcW w:w="654" w:type="pct"/>
          </w:tcPr>
          <w:p w14:paraId="12B83F06" w14:textId="53845C31" w:rsidR="00117124" w:rsidRPr="008C3708" w:rsidRDefault="00117124" w:rsidP="00117124">
            <w:pPr>
              <w:pStyle w:val="TableTextcenter"/>
            </w:pPr>
            <w:r w:rsidRPr="008C3708">
              <w:t>$redacted</w:t>
            </w:r>
          </w:p>
        </w:tc>
        <w:tc>
          <w:tcPr>
            <w:tcW w:w="651" w:type="pct"/>
          </w:tcPr>
          <w:p w14:paraId="41567A1C" w14:textId="1133AA23" w:rsidR="00117124" w:rsidRPr="008C3708" w:rsidRDefault="00117124" w:rsidP="00117124">
            <w:pPr>
              <w:pStyle w:val="TableTextcenter"/>
            </w:pPr>
            <w:r w:rsidRPr="008C3708">
              <w:t>$redacted</w:t>
            </w:r>
          </w:p>
        </w:tc>
      </w:tr>
      <w:tr w:rsidR="00B156AA" w:rsidRPr="008C3708" w14:paraId="70AE64F4" w14:textId="77777777" w:rsidTr="00DD6B45">
        <w:trPr>
          <w:trHeight w:val="300"/>
        </w:trPr>
        <w:tc>
          <w:tcPr>
            <w:tcW w:w="1727" w:type="pct"/>
          </w:tcPr>
          <w:p w14:paraId="20C26480" w14:textId="77777777" w:rsidR="00B156AA" w:rsidRPr="007D5881" w:rsidRDefault="00B156AA" w:rsidP="00B156AA">
            <w:pPr>
              <w:pStyle w:val="Tabletext0"/>
              <w:rPr>
                <w:rStyle w:val="Strong"/>
              </w:rPr>
            </w:pPr>
            <w:r w:rsidRPr="007D5881">
              <w:rPr>
                <w:rStyle w:val="Strong"/>
              </w:rPr>
              <w:t>IGB removal</w:t>
            </w:r>
            <w:r>
              <w:rPr>
                <w:b/>
                <w:szCs w:val="20"/>
              </w:rPr>
              <w:t xml:space="preserve"> (proposed MBS items)</w:t>
            </w:r>
          </w:p>
        </w:tc>
        <w:tc>
          <w:tcPr>
            <w:tcW w:w="660" w:type="pct"/>
            <w:gridSpan w:val="2"/>
          </w:tcPr>
          <w:p w14:paraId="5C9643FC" w14:textId="77777777" w:rsidR="00B156AA" w:rsidRPr="008C3708" w:rsidRDefault="00B156AA" w:rsidP="00B156AA">
            <w:pPr>
              <w:pStyle w:val="TableTextcenter"/>
              <w:rPr>
                <w:b/>
                <w:color w:val="FFFFFF" w:themeColor="background1"/>
                <w:szCs w:val="20"/>
              </w:rPr>
            </w:pPr>
          </w:p>
        </w:tc>
        <w:tc>
          <w:tcPr>
            <w:tcW w:w="654" w:type="pct"/>
          </w:tcPr>
          <w:p w14:paraId="0BBB1150" w14:textId="77777777" w:rsidR="00B156AA" w:rsidRPr="008C3708" w:rsidRDefault="00B156AA" w:rsidP="00B156AA">
            <w:pPr>
              <w:pStyle w:val="TableTextcenter"/>
              <w:rPr>
                <w:b/>
                <w:color w:val="FFFFFF" w:themeColor="background1"/>
                <w:szCs w:val="20"/>
              </w:rPr>
            </w:pPr>
          </w:p>
        </w:tc>
        <w:tc>
          <w:tcPr>
            <w:tcW w:w="654" w:type="pct"/>
          </w:tcPr>
          <w:p w14:paraId="2293D9B8" w14:textId="77777777" w:rsidR="00B156AA" w:rsidRPr="008C3708" w:rsidRDefault="00B156AA" w:rsidP="00B156AA">
            <w:pPr>
              <w:pStyle w:val="TableTextcenter"/>
              <w:rPr>
                <w:b/>
                <w:color w:val="FFFFFF" w:themeColor="background1"/>
                <w:szCs w:val="20"/>
              </w:rPr>
            </w:pPr>
          </w:p>
        </w:tc>
        <w:tc>
          <w:tcPr>
            <w:tcW w:w="654" w:type="pct"/>
          </w:tcPr>
          <w:p w14:paraId="1D142F67" w14:textId="77777777" w:rsidR="00B156AA" w:rsidRPr="008C3708" w:rsidRDefault="00B156AA" w:rsidP="00B156AA">
            <w:pPr>
              <w:pStyle w:val="TableTextcenter"/>
              <w:rPr>
                <w:b/>
                <w:color w:val="FFFFFF" w:themeColor="background1"/>
                <w:szCs w:val="20"/>
              </w:rPr>
            </w:pPr>
          </w:p>
        </w:tc>
        <w:tc>
          <w:tcPr>
            <w:tcW w:w="651" w:type="pct"/>
          </w:tcPr>
          <w:p w14:paraId="2A6B47CE" w14:textId="77777777" w:rsidR="00B156AA" w:rsidRPr="008C3708" w:rsidRDefault="00B156AA" w:rsidP="00B156AA">
            <w:pPr>
              <w:pStyle w:val="TableTextcenter"/>
              <w:rPr>
                <w:b/>
                <w:color w:val="FFFFFF" w:themeColor="background1"/>
                <w:szCs w:val="20"/>
              </w:rPr>
            </w:pPr>
          </w:p>
        </w:tc>
      </w:tr>
      <w:tr w:rsidR="00117124" w:rsidRPr="008C3708" w14:paraId="4DE9427E" w14:textId="77777777" w:rsidTr="00DD6B45">
        <w:trPr>
          <w:trHeight w:val="300"/>
        </w:trPr>
        <w:tc>
          <w:tcPr>
            <w:tcW w:w="1731" w:type="pct"/>
            <w:gridSpan w:val="2"/>
          </w:tcPr>
          <w:p w14:paraId="6D63CA8A" w14:textId="77777777" w:rsidR="00117124" w:rsidRPr="00A12852" w:rsidRDefault="00117124" w:rsidP="00117124">
            <w:pPr>
              <w:pStyle w:val="Tabletext0"/>
            </w:pPr>
            <w:r w:rsidRPr="00A12852">
              <w:t xml:space="preserve">Number of </w:t>
            </w:r>
            <w:r w:rsidRPr="00A12852">
              <w:rPr>
                <w:szCs w:val="20"/>
              </w:rPr>
              <w:t>services</w:t>
            </w:r>
          </w:p>
        </w:tc>
        <w:tc>
          <w:tcPr>
            <w:tcW w:w="656" w:type="pct"/>
          </w:tcPr>
          <w:p w14:paraId="285E1189" w14:textId="57259C2A" w:rsidR="00117124" w:rsidRPr="008C3708" w:rsidRDefault="00117124" w:rsidP="00117124">
            <w:pPr>
              <w:pStyle w:val="TableTextcenter"/>
            </w:pPr>
            <w:r w:rsidRPr="008C3708">
              <w:t>redacted</w:t>
            </w:r>
          </w:p>
        </w:tc>
        <w:tc>
          <w:tcPr>
            <w:tcW w:w="654" w:type="pct"/>
          </w:tcPr>
          <w:p w14:paraId="3BD382EC" w14:textId="608D117B" w:rsidR="00117124" w:rsidRPr="008C3708" w:rsidRDefault="00117124" w:rsidP="00117124">
            <w:pPr>
              <w:pStyle w:val="TableTextcenter"/>
            </w:pPr>
            <w:r w:rsidRPr="008C3708">
              <w:t>redacted</w:t>
            </w:r>
          </w:p>
        </w:tc>
        <w:tc>
          <w:tcPr>
            <w:tcW w:w="654" w:type="pct"/>
          </w:tcPr>
          <w:p w14:paraId="3C525C85" w14:textId="2B85615B" w:rsidR="00117124" w:rsidRPr="008C3708" w:rsidRDefault="00117124" w:rsidP="00117124">
            <w:pPr>
              <w:pStyle w:val="TableTextcenter"/>
            </w:pPr>
            <w:r w:rsidRPr="008C3708">
              <w:t>redacted</w:t>
            </w:r>
          </w:p>
        </w:tc>
        <w:tc>
          <w:tcPr>
            <w:tcW w:w="654" w:type="pct"/>
          </w:tcPr>
          <w:p w14:paraId="3EB42A6A" w14:textId="7FDF1977" w:rsidR="00117124" w:rsidRPr="008C3708" w:rsidRDefault="00117124" w:rsidP="00117124">
            <w:pPr>
              <w:pStyle w:val="TableTextcenter"/>
            </w:pPr>
            <w:r w:rsidRPr="008C3708">
              <w:t>redacted</w:t>
            </w:r>
          </w:p>
        </w:tc>
        <w:tc>
          <w:tcPr>
            <w:tcW w:w="651" w:type="pct"/>
          </w:tcPr>
          <w:p w14:paraId="20CC0505" w14:textId="3DA75A86" w:rsidR="00117124" w:rsidRPr="008C3708" w:rsidRDefault="00117124" w:rsidP="00117124">
            <w:pPr>
              <w:pStyle w:val="TableTextcenter"/>
            </w:pPr>
            <w:r w:rsidRPr="008C3708">
              <w:t>redacted</w:t>
            </w:r>
          </w:p>
        </w:tc>
      </w:tr>
      <w:tr w:rsidR="00117124" w:rsidRPr="008C3708" w14:paraId="592DB67A" w14:textId="77777777" w:rsidTr="00DD6B45">
        <w:trPr>
          <w:trHeight w:val="300"/>
        </w:trPr>
        <w:tc>
          <w:tcPr>
            <w:tcW w:w="1731" w:type="pct"/>
            <w:gridSpan w:val="2"/>
          </w:tcPr>
          <w:p w14:paraId="08A8C607" w14:textId="77777777" w:rsidR="00117124" w:rsidRPr="00A12852" w:rsidRDefault="00117124" w:rsidP="00117124">
            <w:pPr>
              <w:pStyle w:val="Tabletext0"/>
            </w:pPr>
            <w:r w:rsidRPr="00A12852">
              <w:t>MBS costs</w:t>
            </w:r>
          </w:p>
        </w:tc>
        <w:tc>
          <w:tcPr>
            <w:tcW w:w="656" w:type="pct"/>
          </w:tcPr>
          <w:p w14:paraId="4DC19D62" w14:textId="185D68AD" w:rsidR="00117124" w:rsidRPr="008C3708" w:rsidRDefault="00117124" w:rsidP="00117124">
            <w:pPr>
              <w:pStyle w:val="TableTextcenter"/>
            </w:pPr>
            <w:r w:rsidRPr="008C3708">
              <w:t>$redacted</w:t>
            </w:r>
          </w:p>
        </w:tc>
        <w:tc>
          <w:tcPr>
            <w:tcW w:w="654" w:type="pct"/>
          </w:tcPr>
          <w:p w14:paraId="17BFA434" w14:textId="0070ED35" w:rsidR="00117124" w:rsidRPr="008C3708" w:rsidRDefault="00117124" w:rsidP="00117124">
            <w:pPr>
              <w:pStyle w:val="TableTextcenter"/>
            </w:pPr>
            <w:r w:rsidRPr="008C3708">
              <w:t>$redacted</w:t>
            </w:r>
          </w:p>
        </w:tc>
        <w:tc>
          <w:tcPr>
            <w:tcW w:w="654" w:type="pct"/>
          </w:tcPr>
          <w:p w14:paraId="2E0B0C13" w14:textId="111DC880" w:rsidR="00117124" w:rsidRPr="008C3708" w:rsidRDefault="00117124" w:rsidP="00117124">
            <w:pPr>
              <w:pStyle w:val="TableTextcenter"/>
            </w:pPr>
            <w:r w:rsidRPr="008C3708">
              <w:t>$redacted</w:t>
            </w:r>
          </w:p>
        </w:tc>
        <w:tc>
          <w:tcPr>
            <w:tcW w:w="654" w:type="pct"/>
          </w:tcPr>
          <w:p w14:paraId="78DAFCAE" w14:textId="4916E5DF" w:rsidR="00117124" w:rsidRPr="008C3708" w:rsidRDefault="00117124" w:rsidP="00117124">
            <w:pPr>
              <w:pStyle w:val="TableTextcenter"/>
            </w:pPr>
            <w:r w:rsidRPr="008C3708">
              <w:t>$redacted</w:t>
            </w:r>
          </w:p>
        </w:tc>
        <w:tc>
          <w:tcPr>
            <w:tcW w:w="651" w:type="pct"/>
          </w:tcPr>
          <w:p w14:paraId="041C9FDE" w14:textId="3EC3B56D" w:rsidR="00117124" w:rsidRPr="008C3708" w:rsidRDefault="00117124" w:rsidP="00117124">
            <w:pPr>
              <w:pStyle w:val="TableTextcenter"/>
            </w:pPr>
            <w:r w:rsidRPr="008C3708">
              <w:t>$redacted</w:t>
            </w:r>
          </w:p>
        </w:tc>
      </w:tr>
      <w:tr w:rsidR="00117124" w:rsidRPr="008C3708" w14:paraId="49A385CC" w14:textId="77777777" w:rsidTr="00DD6B45">
        <w:trPr>
          <w:trHeight w:val="300"/>
        </w:trPr>
        <w:tc>
          <w:tcPr>
            <w:tcW w:w="1731" w:type="pct"/>
            <w:gridSpan w:val="2"/>
          </w:tcPr>
          <w:p w14:paraId="49BE5451" w14:textId="77777777" w:rsidR="00117124" w:rsidRPr="00A12852" w:rsidRDefault="00117124" w:rsidP="00117124">
            <w:pPr>
              <w:pStyle w:val="Tabletext0"/>
            </w:pPr>
            <w:r w:rsidRPr="00A12852">
              <w:t>MBS rebate (85%)</w:t>
            </w:r>
          </w:p>
        </w:tc>
        <w:tc>
          <w:tcPr>
            <w:tcW w:w="656" w:type="pct"/>
          </w:tcPr>
          <w:p w14:paraId="25B573C8" w14:textId="5C27F045" w:rsidR="00117124" w:rsidRPr="008C3708" w:rsidRDefault="00117124" w:rsidP="00117124">
            <w:pPr>
              <w:pStyle w:val="TableTextcenter"/>
            </w:pPr>
            <w:r w:rsidRPr="008C3708">
              <w:t>$redacted</w:t>
            </w:r>
          </w:p>
        </w:tc>
        <w:tc>
          <w:tcPr>
            <w:tcW w:w="654" w:type="pct"/>
          </w:tcPr>
          <w:p w14:paraId="3D2776A7" w14:textId="72C649AE" w:rsidR="00117124" w:rsidRPr="008C3708" w:rsidRDefault="00117124" w:rsidP="00117124">
            <w:pPr>
              <w:pStyle w:val="TableTextcenter"/>
            </w:pPr>
            <w:r w:rsidRPr="008C3708">
              <w:t>$redacted</w:t>
            </w:r>
          </w:p>
        </w:tc>
        <w:tc>
          <w:tcPr>
            <w:tcW w:w="654" w:type="pct"/>
          </w:tcPr>
          <w:p w14:paraId="2DFFCAF2" w14:textId="63C2115E" w:rsidR="00117124" w:rsidRPr="008C3708" w:rsidRDefault="00117124" w:rsidP="00117124">
            <w:pPr>
              <w:pStyle w:val="TableTextcenter"/>
            </w:pPr>
            <w:r w:rsidRPr="008C3708">
              <w:t>$redacted</w:t>
            </w:r>
          </w:p>
        </w:tc>
        <w:tc>
          <w:tcPr>
            <w:tcW w:w="654" w:type="pct"/>
          </w:tcPr>
          <w:p w14:paraId="49197D6E" w14:textId="15E7F1D3" w:rsidR="00117124" w:rsidRPr="008C3708" w:rsidRDefault="00117124" w:rsidP="00117124">
            <w:pPr>
              <w:pStyle w:val="TableTextcenter"/>
            </w:pPr>
            <w:r w:rsidRPr="008C3708">
              <w:t>$redacted</w:t>
            </w:r>
          </w:p>
        </w:tc>
        <w:tc>
          <w:tcPr>
            <w:tcW w:w="651" w:type="pct"/>
          </w:tcPr>
          <w:p w14:paraId="71EDC4CB" w14:textId="2B7ACA09" w:rsidR="00117124" w:rsidRPr="008C3708" w:rsidRDefault="00117124" w:rsidP="00117124">
            <w:pPr>
              <w:pStyle w:val="TableTextcenter"/>
            </w:pPr>
            <w:r w:rsidRPr="008C3708">
              <w:t>$redacted</w:t>
            </w:r>
          </w:p>
        </w:tc>
      </w:tr>
      <w:tr w:rsidR="00117124" w:rsidRPr="008C3708" w14:paraId="69030BA2" w14:textId="77777777" w:rsidTr="00DD6B45">
        <w:trPr>
          <w:trHeight w:val="300"/>
        </w:trPr>
        <w:tc>
          <w:tcPr>
            <w:tcW w:w="1731" w:type="pct"/>
            <w:gridSpan w:val="2"/>
          </w:tcPr>
          <w:p w14:paraId="2150CC3C" w14:textId="77777777" w:rsidR="00117124" w:rsidRPr="00A12852" w:rsidRDefault="00117124" w:rsidP="00117124">
            <w:pPr>
              <w:pStyle w:val="Tabletext0"/>
            </w:pPr>
            <w:r w:rsidRPr="00A12852">
              <w:t>Patient cont</w:t>
            </w:r>
            <w:r w:rsidRPr="00A12852">
              <w:rPr>
                <w:szCs w:val="20"/>
              </w:rPr>
              <w:t>ribution</w:t>
            </w:r>
          </w:p>
        </w:tc>
        <w:tc>
          <w:tcPr>
            <w:tcW w:w="656" w:type="pct"/>
          </w:tcPr>
          <w:p w14:paraId="33B7ED91" w14:textId="4DE25BD3" w:rsidR="00117124" w:rsidRPr="008C3708" w:rsidRDefault="00117124" w:rsidP="00117124">
            <w:pPr>
              <w:pStyle w:val="TableTextcenter"/>
            </w:pPr>
            <w:r w:rsidRPr="008C3708">
              <w:t>$redacted</w:t>
            </w:r>
          </w:p>
        </w:tc>
        <w:tc>
          <w:tcPr>
            <w:tcW w:w="654" w:type="pct"/>
          </w:tcPr>
          <w:p w14:paraId="3221B05D" w14:textId="7673C5F3" w:rsidR="00117124" w:rsidRPr="008C3708" w:rsidRDefault="00117124" w:rsidP="00117124">
            <w:pPr>
              <w:pStyle w:val="TableTextcenter"/>
            </w:pPr>
            <w:r w:rsidRPr="008C3708">
              <w:t>$redacted</w:t>
            </w:r>
          </w:p>
        </w:tc>
        <w:tc>
          <w:tcPr>
            <w:tcW w:w="654" w:type="pct"/>
          </w:tcPr>
          <w:p w14:paraId="5177ADB6" w14:textId="421B2B11" w:rsidR="00117124" w:rsidRPr="008C3708" w:rsidRDefault="00117124" w:rsidP="00117124">
            <w:pPr>
              <w:pStyle w:val="TableTextcenter"/>
            </w:pPr>
            <w:r w:rsidRPr="008C3708">
              <w:t>$redacted</w:t>
            </w:r>
          </w:p>
        </w:tc>
        <w:tc>
          <w:tcPr>
            <w:tcW w:w="654" w:type="pct"/>
          </w:tcPr>
          <w:p w14:paraId="774FF55B" w14:textId="1BCC2741" w:rsidR="00117124" w:rsidRPr="008C3708" w:rsidRDefault="00117124" w:rsidP="00117124">
            <w:pPr>
              <w:pStyle w:val="TableTextcenter"/>
            </w:pPr>
            <w:r w:rsidRPr="008C3708">
              <w:t>$redacted</w:t>
            </w:r>
          </w:p>
        </w:tc>
        <w:tc>
          <w:tcPr>
            <w:tcW w:w="651" w:type="pct"/>
          </w:tcPr>
          <w:p w14:paraId="5184A6E2" w14:textId="3B6E3401" w:rsidR="00117124" w:rsidRPr="008C3708" w:rsidRDefault="00117124" w:rsidP="00117124">
            <w:pPr>
              <w:pStyle w:val="TableTextcenter"/>
            </w:pPr>
            <w:r w:rsidRPr="008C3708">
              <w:t>$redacted</w:t>
            </w:r>
          </w:p>
        </w:tc>
      </w:tr>
      <w:tr w:rsidR="00B156AA" w:rsidRPr="008C3708" w14:paraId="2E72C939" w14:textId="77777777" w:rsidTr="00DD6B45">
        <w:trPr>
          <w:trHeight w:val="300"/>
        </w:trPr>
        <w:tc>
          <w:tcPr>
            <w:tcW w:w="1727" w:type="pct"/>
          </w:tcPr>
          <w:p w14:paraId="34E23665" w14:textId="77777777" w:rsidR="00B156AA" w:rsidRPr="00A12852" w:rsidRDefault="00B156AA" w:rsidP="00B156AA">
            <w:pPr>
              <w:pStyle w:val="Tabletext0"/>
              <w:rPr>
                <w:b/>
                <w:szCs w:val="20"/>
              </w:rPr>
            </w:pPr>
            <w:r w:rsidRPr="007D5881">
              <w:rPr>
                <w:rStyle w:val="Strong"/>
              </w:rPr>
              <w:t>IGB insertion and removal</w:t>
            </w:r>
            <w:r>
              <w:rPr>
                <w:b/>
                <w:szCs w:val="20"/>
              </w:rPr>
              <w:t xml:space="preserve"> (proposed MBS items)</w:t>
            </w:r>
          </w:p>
        </w:tc>
        <w:tc>
          <w:tcPr>
            <w:tcW w:w="660" w:type="pct"/>
            <w:gridSpan w:val="2"/>
          </w:tcPr>
          <w:p w14:paraId="654D93C9" w14:textId="77777777" w:rsidR="00B156AA" w:rsidRPr="008C3708" w:rsidRDefault="00B156AA" w:rsidP="00B156AA">
            <w:pPr>
              <w:pStyle w:val="TableTextcenter"/>
              <w:rPr>
                <w:b/>
                <w:color w:val="FFFFFF" w:themeColor="background1"/>
                <w:szCs w:val="20"/>
              </w:rPr>
            </w:pPr>
            <w:r w:rsidRPr="008C3708">
              <w:rPr>
                <w:b/>
                <w:color w:val="FFFFFF" w:themeColor="background1"/>
                <w:szCs w:val="20"/>
              </w:rPr>
              <w:t>-</w:t>
            </w:r>
          </w:p>
        </w:tc>
        <w:tc>
          <w:tcPr>
            <w:tcW w:w="654" w:type="pct"/>
          </w:tcPr>
          <w:p w14:paraId="6C2B70B7" w14:textId="77777777" w:rsidR="00B156AA" w:rsidRPr="008C3708" w:rsidRDefault="00B156AA" w:rsidP="00B156AA">
            <w:pPr>
              <w:pStyle w:val="TableTextcenter"/>
              <w:rPr>
                <w:b/>
                <w:color w:val="FFFFFF" w:themeColor="background1"/>
                <w:szCs w:val="20"/>
              </w:rPr>
            </w:pPr>
            <w:r w:rsidRPr="008C3708">
              <w:rPr>
                <w:b/>
                <w:color w:val="FFFFFF" w:themeColor="background1"/>
                <w:szCs w:val="20"/>
              </w:rPr>
              <w:t>-</w:t>
            </w:r>
          </w:p>
        </w:tc>
        <w:tc>
          <w:tcPr>
            <w:tcW w:w="654" w:type="pct"/>
          </w:tcPr>
          <w:p w14:paraId="59900F7F" w14:textId="77777777" w:rsidR="00B156AA" w:rsidRPr="008C3708" w:rsidRDefault="00B156AA" w:rsidP="00B156AA">
            <w:pPr>
              <w:pStyle w:val="TableTextcenter"/>
              <w:rPr>
                <w:b/>
                <w:color w:val="FFFFFF" w:themeColor="background1"/>
                <w:szCs w:val="20"/>
              </w:rPr>
            </w:pPr>
            <w:r w:rsidRPr="008C3708">
              <w:rPr>
                <w:b/>
                <w:color w:val="FFFFFF" w:themeColor="background1"/>
                <w:szCs w:val="20"/>
              </w:rPr>
              <w:t>-</w:t>
            </w:r>
          </w:p>
        </w:tc>
        <w:tc>
          <w:tcPr>
            <w:tcW w:w="654" w:type="pct"/>
          </w:tcPr>
          <w:p w14:paraId="06AF4E16" w14:textId="77777777" w:rsidR="00B156AA" w:rsidRPr="008C3708" w:rsidRDefault="00B156AA" w:rsidP="00B156AA">
            <w:pPr>
              <w:pStyle w:val="TableTextcenter"/>
              <w:rPr>
                <w:b/>
                <w:color w:val="FFFFFF" w:themeColor="background1"/>
                <w:szCs w:val="20"/>
              </w:rPr>
            </w:pPr>
            <w:r w:rsidRPr="008C3708">
              <w:rPr>
                <w:b/>
                <w:color w:val="FFFFFF" w:themeColor="background1"/>
                <w:szCs w:val="20"/>
              </w:rPr>
              <w:t>-</w:t>
            </w:r>
          </w:p>
        </w:tc>
        <w:tc>
          <w:tcPr>
            <w:tcW w:w="651" w:type="pct"/>
          </w:tcPr>
          <w:p w14:paraId="0E535865" w14:textId="77777777" w:rsidR="00B156AA" w:rsidRPr="008C3708" w:rsidRDefault="00B156AA" w:rsidP="00B156AA">
            <w:pPr>
              <w:pStyle w:val="TableTextcenter"/>
              <w:rPr>
                <w:b/>
                <w:color w:val="FFFFFF" w:themeColor="background1"/>
                <w:szCs w:val="20"/>
              </w:rPr>
            </w:pPr>
            <w:r w:rsidRPr="008C3708">
              <w:rPr>
                <w:b/>
                <w:color w:val="FFFFFF" w:themeColor="background1"/>
                <w:szCs w:val="20"/>
              </w:rPr>
              <w:t>-</w:t>
            </w:r>
          </w:p>
        </w:tc>
      </w:tr>
      <w:tr w:rsidR="00117124" w:rsidRPr="008C3708" w14:paraId="356FC702" w14:textId="77777777" w:rsidTr="00DD6B45">
        <w:trPr>
          <w:trHeight w:val="315"/>
        </w:trPr>
        <w:tc>
          <w:tcPr>
            <w:tcW w:w="1731" w:type="pct"/>
            <w:gridSpan w:val="2"/>
          </w:tcPr>
          <w:p w14:paraId="049E61D5" w14:textId="77777777" w:rsidR="00117124" w:rsidRPr="00A12852" w:rsidRDefault="00117124" w:rsidP="00117124">
            <w:pPr>
              <w:pStyle w:val="Tabletext0"/>
            </w:pPr>
            <w:r w:rsidRPr="00A12852">
              <w:t xml:space="preserve">Number of </w:t>
            </w:r>
            <w:r w:rsidRPr="00A12852">
              <w:rPr>
                <w:szCs w:val="20"/>
              </w:rPr>
              <w:t>services</w:t>
            </w:r>
          </w:p>
        </w:tc>
        <w:tc>
          <w:tcPr>
            <w:tcW w:w="656" w:type="pct"/>
          </w:tcPr>
          <w:p w14:paraId="4B1BDEDA" w14:textId="56DB3733" w:rsidR="00117124" w:rsidRPr="008C3708" w:rsidRDefault="00117124" w:rsidP="00117124">
            <w:pPr>
              <w:pStyle w:val="TableTextcenter"/>
            </w:pPr>
            <w:r w:rsidRPr="008C3708">
              <w:t>redacted</w:t>
            </w:r>
          </w:p>
        </w:tc>
        <w:tc>
          <w:tcPr>
            <w:tcW w:w="654" w:type="pct"/>
          </w:tcPr>
          <w:p w14:paraId="07412D10" w14:textId="69634A59" w:rsidR="00117124" w:rsidRPr="008C3708" w:rsidRDefault="00117124" w:rsidP="00117124">
            <w:pPr>
              <w:pStyle w:val="TableTextcenter"/>
            </w:pPr>
            <w:r w:rsidRPr="008C3708">
              <w:t>redacted</w:t>
            </w:r>
          </w:p>
        </w:tc>
        <w:tc>
          <w:tcPr>
            <w:tcW w:w="654" w:type="pct"/>
          </w:tcPr>
          <w:p w14:paraId="6A6A6673" w14:textId="6B3FB350" w:rsidR="00117124" w:rsidRPr="008C3708" w:rsidRDefault="00117124" w:rsidP="00117124">
            <w:pPr>
              <w:pStyle w:val="TableTextcenter"/>
            </w:pPr>
            <w:r w:rsidRPr="008C3708">
              <w:t>redacted</w:t>
            </w:r>
          </w:p>
        </w:tc>
        <w:tc>
          <w:tcPr>
            <w:tcW w:w="654" w:type="pct"/>
          </w:tcPr>
          <w:p w14:paraId="0EE926FE" w14:textId="01C896A1" w:rsidR="00117124" w:rsidRPr="008C3708" w:rsidRDefault="00117124" w:rsidP="00117124">
            <w:pPr>
              <w:pStyle w:val="TableTextcenter"/>
            </w:pPr>
            <w:r w:rsidRPr="008C3708">
              <w:t>redacted</w:t>
            </w:r>
          </w:p>
        </w:tc>
        <w:tc>
          <w:tcPr>
            <w:tcW w:w="651" w:type="pct"/>
          </w:tcPr>
          <w:p w14:paraId="21899041" w14:textId="11266D05" w:rsidR="00117124" w:rsidRPr="008C3708" w:rsidRDefault="00117124" w:rsidP="00117124">
            <w:pPr>
              <w:pStyle w:val="TableTextcenter"/>
            </w:pPr>
            <w:r w:rsidRPr="008C3708">
              <w:t>redacted</w:t>
            </w:r>
          </w:p>
        </w:tc>
      </w:tr>
      <w:tr w:rsidR="00117124" w:rsidRPr="008C3708" w14:paraId="79944DFF" w14:textId="77777777" w:rsidTr="00DD6B45">
        <w:trPr>
          <w:trHeight w:val="315"/>
        </w:trPr>
        <w:tc>
          <w:tcPr>
            <w:tcW w:w="1731" w:type="pct"/>
            <w:gridSpan w:val="2"/>
          </w:tcPr>
          <w:p w14:paraId="1C3276D0" w14:textId="77777777" w:rsidR="00117124" w:rsidRPr="00183E4D" w:rsidRDefault="00117124" w:rsidP="00117124">
            <w:pPr>
              <w:pStyle w:val="Tabletext0"/>
              <w:rPr>
                <w:szCs w:val="20"/>
              </w:rPr>
            </w:pPr>
            <w:r w:rsidRPr="00A12852">
              <w:t>MBS costs</w:t>
            </w:r>
          </w:p>
        </w:tc>
        <w:tc>
          <w:tcPr>
            <w:tcW w:w="656" w:type="pct"/>
          </w:tcPr>
          <w:p w14:paraId="5704D04B" w14:textId="2DA01719" w:rsidR="00117124" w:rsidRPr="008C3708" w:rsidRDefault="00117124" w:rsidP="00117124">
            <w:pPr>
              <w:pStyle w:val="TableTextcenter"/>
            </w:pPr>
            <w:r w:rsidRPr="008C3708">
              <w:t>$redacted</w:t>
            </w:r>
          </w:p>
        </w:tc>
        <w:tc>
          <w:tcPr>
            <w:tcW w:w="654" w:type="pct"/>
          </w:tcPr>
          <w:p w14:paraId="6EB7B911" w14:textId="28D8B226" w:rsidR="00117124" w:rsidRPr="008C3708" w:rsidRDefault="00117124" w:rsidP="00117124">
            <w:pPr>
              <w:pStyle w:val="TableTextcenter"/>
            </w:pPr>
            <w:r w:rsidRPr="008C3708">
              <w:t>$redacted</w:t>
            </w:r>
          </w:p>
        </w:tc>
        <w:tc>
          <w:tcPr>
            <w:tcW w:w="654" w:type="pct"/>
          </w:tcPr>
          <w:p w14:paraId="1943A9A1" w14:textId="2F02074D" w:rsidR="00117124" w:rsidRPr="008C3708" w:rsidRDefault="00117124" w:rsidP="00117124">
            <w:pPr>
              <w:pStyle w:val="TableTextcenter"/>
            </w:pPr>
            <w:r w:rsidRPr="008C3708">
              <w:t>$redacted</w:t>
            </w:r>
          </w:p>
        </w:tc>
        <w:tc>
          <w:tcPr>
            <w:tcW w:w="654" w:type="pct"/>
          </w:tcPr>
          <w:p w14:paraId="53CF410E" w14:textId="5CFC4DDA" w:rsidR="00117124" w:rsidRPr="008C3708" w:rsidRDefault="00117124" w:rsidP="00117124">
            <w:pPr>
              <w:pStyle w:val="TableTextcenter"/>
            </w:pPr>
            <w:r w:rsidRPr="008C3708">
              <w:t>$redacted</w:t>
            </w:r>
          </w:p>
        </w:tc>
        <w:tc>
          <w:tcPr>
            <w:tcW w:w="651" w:type="pct"/>
          </w:tcPr>
          <w:p w14:paraId="50FF9F6F" w14:textId="3C0278DC" w:rsidR="00117124" w:rsidRPr="008C3708" w:rsidRDefault="00117124" w:rsidP="00117124">
            <w:pPr>
              <w:pStyle w:val="TableTextcenter"/>
            </w:pPr>
            <w:r w:rsidRPr="008C3708">
              <w:t>$redacted</w:t>
            </w:r>
          </w:p>
        </w:tc>
      </w:tr>
      <w:tr w:rsidR="00117124" w:rsidRPr="008C3708" w14:paraId="764FB107" w14:textId="77777777" w:rsidTr="00DD6B45">
        <w:trPr>
          <w:trHeight w:val="300"/>
        </w:trPr>
        <w:tc>
          <w:tcPr>
            <w:tcW w:w="1731" w:type="pct"/>
            <w:gridSpan w:val="2"/>
          </w:tcPr>
          <w:p w14:paraId="49812653" w14:textId="77777777" w:rsidR="00117124" w:rsidRPr="00183E4D" w:rsidRDefault="00117124" w:rsidP="00117124">
            <w:pPr>
              <w:pStyle w:val="Tabletext0"/>
              <w:rPr>
                <w:szCs w:val="20"/>
              </w:rPr>
            </w:pPr>
            <w:r w:rsidRPr="00A12852">
              <w:t>MBS rebate (85%)</w:t>
            </w:r>
          </w:p>
        </w:tc>
        <w:tc>
          <w:tcPr>
            <w:tcW w:w="656" w:type="pct"/>
          </w:tcPr>
          <w:p w14:paraId="7AA80D33" w14:textId="3CE195EA" w:rsidR="00117124" w:rsidRPr="008C3708" w:rsidRDefault="00117124" w:rsidP="00117124">
            <w:pPr>
              <w:pStyle w:val="TableTextcenter"/>
            </w:pPr>
            <w:r w:rsidRPr="008C3708">
              <w:t>$redacted</w:t>
            </w:r>
          </w:p>
        </w:tc>
        <w:tc>
          <w:tcPr>
            <w:tcW w:w="654" w:type="pct"/>
          </w:tcPr>
          <w:p w14:paraId="1C0F4F92" w14:textId="10A08CE0" w:rsidR="00117124" w:rsidRPr="008C3708" w:rsidRDefault="00117124" w:rsidP="00117124">
            <w:pPr>
              <w:pStyle w:val="TableTextcenter"/>
            </w:pPr>
            <w:r w:rsidRPr="008C3708">
              <w:t>$redacted</w:t>
            </w:r>
          </w:p>
        </w:tc>
        <w:tc>
          <w:tcPr>
            <w:tcW w:w="654" w:type="pct"/>
          </w:tcPr>
          <w:p w14:paraId="126C5933" w14:textId="0A5A163F" w:rsidR="00117124" w:rsidRPr="008C3708" w:rsidRDefault="00117124" w:rsidP="00117124">
            <w:pPr>
              <w:pStyle w:val="TableTextcenter"/>
            </w:pPr>
            <w:r w:rsidRPr="008C3708">
              <w:t>$redacted</w:t>
            </w:r>
          </w:p>
        </w:tc>
        <w:tc>
          <w:tcPr>
            <w:tcW w:w="654" w:type="pct"/>
          </w:tcPr>
          <w:p w14:paraId="61A6C61A" w14:textId="5BCF5A18" w:rsidR="00117124" w:rsidRPr="008C3708" w:rsidRDefault="00117124" w:rsidP="00117124">
            <w:pPr>
              <w:pStyle w:val="TableTextcenter"/>
            </w:pPr>
            <w:r w:rsidRPr="008C3708">
              <w:t>$redacted</w:t>
            </w:r>
          </w:p>
        </w:tc>
        <w:tc>
          <w:tcPr>
            <w:tcW w:w="651" w:type="pct"/>
          </w:tcPr>
          <w:p w14:paraId="560AC5B6" w14:textId="131F8C52" w:rsidR="00117124" w:rsidRPr="008C3708" w:rsidRDefault="00117124" w:rsidP="00117124">
            <w:pPr>
              <w:pStyle w:val="TableTextcenter"/>
            </w:pPr>
            <w:r w:rsidRPr="008C3708">
              <w:t>$redacted</w:t>
            </w:r>
          </w:p>
        </w:tc>
      </w:tr>
      <w:tr w:rsidR="00117124" w:rsidRPr="008C3708" w14:paraId="710B3C55" w14:textId="77777777" w:rsidTr="00DD6B45">
        <w:trPr>
          <w:trHeight w:val="300"/>
        </w:trPr>
        <w:tc>
          <w:tcPr>
            <w:tcW w:w="1731" w:type="pct"/>
            <w:gridSpan w:val="2"/>
          </w:tcPr>
          <w:p w14:paraId="6A47588B" w14:textId="77777777" w:rsidR="00117124" w:rsidRPr="00183E4D" w:rsidRDefault="00117124" w:rsidP="00117124">
            <w:pPr>
              <w:pStyle w:val="Tabletext0"/>
              <w:rPr>
                <w:szCs w:val="20"/>
              </w:rPr>
            </w:pPr>
            <w:r w:rsidRPr="00A12852">
              <w:t>Patient cont</w:t>
            </w:r>
            <w:r w:rsidRPr="00A12852">
              <w:rPr>
                <w:szCs w:val="20"/>
              </w:rPr>
              <w:t>ribution</w:t>
            </w:r>
          </w:p>
        </w:tc>
        <w:tc>
          <w:tcPr>
            <w:tcW w:w="656" w:type="pct"/>
          </w:tcPr>
          <w:p w14:paraId="4E1CC834" w14:textId="34C95D30" w:rsidR="00117124" w:rsidRPr="008C3708" w:rsidRDefault="00117124" w:rsidP="00117124">
            <w:pPr>
              <w:pStyle w:val="TableTextcenter"/>
            </w:pPr>
            <w:r w:rsidRPr="008C3708">
              <w:t>$redacted</w:t>
            </w:r>
          </w:p>
        </w:tc>
        <w:tc>
          <w:tcPr>
            <w:tcW w:w="654" w:type="pct"/>
          </w:tcPr>
          <w:p w14:paraId="41394876" w14:textId="6E573634" w:rsidR="00117124" w:rsidRPr="008C3708" w:rsidRDefault="00117124" w:rsidP="00117124">
            <w:pPr>
              <w:pStyle w:val="TableTextcenter"/>
            </w:pPr>
            <w:r w:rsidRPr="008C3708">
              <w:t>$redacted</w:t>
            </w:r>
          </w:p>
        </w:tc>
        <w:tc>
          <w:tcPr>
            <w:tcW w:w="654" w:type="pct"/>
          </w:tcPr>
          <w:p w14:paraId="4D9D9AFA" w14:textId="3F26326A" w:rsidR="00117124" w:rsidRPr="008C3708" w:rsidRDefault="00117124" w:rsidP="00117124">
            <w:pPr>
              <w:pStyle w:val="TableTextcenter"/>
            </w:pPr>
            <w:r w:rsidRPr="008C3708">
              <w:t>$redacted</w:t>
            </w:r>
          </w:p>
        </w:tc>
        <w:tc>
          <w:tcPr>
            <w:tcW w:w="654" w:type="pct"/>
          </w:tcPr>
          <w:p w14:paraId="324F46EE" w14:textId="7711D17E" w:rsidR="00117124" w:rsidRPr="008C3708" w:rsidRDefault="00117124" w:rsidP="00117124">
            <w:pPr>
              <w:pStyle w:val="TableTextcenter"/>
            </w:pPr>
            <w:r w:rsidRPr="008C3708">
              <w:t>$redacted</w:t>
            </w:r>
          </w:p>
        </w:tc>
        <w:tc>
          <w:tcPr>
            <w:tcW w:w="651" w:type="pct"/>
          </w:tcPr>
          <w:p w14:paraId="2660F7B2" w14:textId="54B8611F" w:rsidR="00117124" w:rsidRPr="008C3708" w:rsidRDefault="00117124" w:rsidP="00117124">
            <w:pPr>
              <w:pStyle w:val="TableTextcenter"/>
            </w:pPr>
            <w:r w:rsidRPr="008C3708">
              <w:t>$redacted</w:t>
            </w:r>
          </w:p>
        </w:tc>
      </w:tr>
      <w:tr w:rsidR="00B156AA" w:rsidRPr="008C3708" w14:paraId="7E066D16" w14:textId="77777777" w:rsidTr="00DD6B45">
        <w:trPr>
          <w:trHeight w:val="300"/>
        </w:trPr>
        <w:tc>
          <w:tcPr>
            <w:tcW w:w="1727" w:type="pct"/>
          </w:tcPr>
          <w:p w14:paraId="57166C75" w14:textId="77777777" w:rsidR="00B156AA" w:rsidRPr="00947980" w:rsidRDefault="00B156AA" w:rsidP="00B156AA">
            <w:pPr>
              <w:pStyle w:val="Tabletext0"/>
              <w:rPr>
                <w:b/>
                <w:szCs w:val="20"/>
              </w:rPr>
            </w:pPr>
            <w:r w:rsidRPr="007D5881">
              <w:rPr>
                <w:rStyle w:val="Strong"/>
              </w:rPr>
              <w:t>IGB insertion and removal</w:t>
            </w:r>
            <w:r>
              <w:rPr>
                <w:b/>
                <w:szCs w:val="20"/>
              </w:rPr>
              <w:t xml:space="preserve"> (other MBS items)</w:t>
            </w:r>
          </w:p>
        </w:tc>
        <w:tc>
          <w:tcPr>
            <w:tcW w:w="660" w:type="pct"/>
            <w:gridSpan w:val="2"/>
          </w:tcPr>
          <w:p w14:paraId="124BADC8" w14:textId="77777777" w:rsidR="00B156AA" w:rsidRPr="008C3708" w:rsidRDefault="00B156AA" w:rsidP="00B156AA">
            <w:pPr>
              <w:pStyle w:val="TableTextcenter"/>
            </w:pPr>
          </w:p>
        </w:tc>
        <w:tc>
          <w:tcPr>
            <w:tcW w:w="654" w:type="pct"/>
          </w:tcPr>
          <w:p w14:paraId="7C568CFF" w14:textId="77777777" w:rsidR="00B156AA" w:rsidRPr="008C3708" w:rsidRDefault="00B156AA" w:rsidP="00B156AA">
            <w:pPr>
              <w:pStyle w:val="TableTextcenter"/>
            </w:pPr>
          </w:p>
        </w:tc>
        <w:tc>
          <w:tcPr>
            <w:tcW w:w="654" w:type="pct"/>
          </w:tcPr>
          <w:p w14:paraId="1F6C0D72" w14:textId="77777777" w:rsidR="00B156AA" w:rsidRPr="008C3708" w:rsidRDefault="00B156AA" w:rsidP="00B156AA">
            <w:pPr>
              <w:pStyle w:val="TableTextcenter"/>
            </w:pPr>
          </w:p>
        </w:tc>
        <w:tc>
          <w:tcPr>
            <w:tcW w:w="654" w:type="pct"/>
          </w:tcPr>
          <w:p w14:paraId="0F4C9D2B" w14:textId="77777777" w:rsidR="00B156AA" w:rsidRPr="008C3708" w:rsidRDefault="00B156AA" w:rsidP="00B156AA">
            <w:pPr>
              <w:pStyle w:val="TableTextcenter"/>
            </w:pPr>
          </w:p>
        </w:tc>
        <w:tc>
          <w:tcPr>
            <w:tcW w:w="651" w:type="pct"/>
          </w:tcPr>
          <w:p w14:paraId="09362A6E" w14:textId="77777777" w:rsidR="00B156AA" w:rsidRPr="008C3708" w:rsidRDefault="00B156AA" w:rsidP="00B156AA">
            <w:pPr>
              <w:pStyle w:val="TableTextcenter"/>
            </w:pPr>
          </w:p>
        </w:tc>
      </w:tr>
      <w:tr w:rsidR="00117124" w:rsidRPr="008C3708" w14:paraId="53EBE984" w14:textId="77777777" w:rsidTr="00DD6B45">
        <w:trPr>
          <w:trHeight w:val="300"/>
        </w:trPr>
        <w:tc>
          <w:tcPr>
            <w:tcW w:w="1731" w:type="pct"/>
            <w:gridSpan w:val="2"/>
          </w:tcPr>
          <w:p w14:paraId="5793EEDC" w14:textId="77777777" w:rsidR="00117124" w:rsidRPr="00183E4D" w:rsidRDefault="00117124" w:rsidP="00117124">
            <w:pPr>
              <w:pStyle w:val="Tabletext0"/>
              <w:rPr>
                <w:szCs w:val="20"/>
              </w:rPr>
            </w:pPr>
            <w:r w:rsidRPr="00A12852">
              <w:t>MBS costs</w:t>
            </w:r>
          </w:p>
        </w:tc>
        <w:tc>
          <w:tcPr>
            <w:tcW w:w="656" w:type="pct"/>
          </w:tcPr>
          <w:p w14:paraId="613F5027" w14:textId="165BF428" w:rsidR="00117124" w:rsidRPr="008C3708" w:rsidRDefault="00117124" w:rsidP="00117124">
            <w:pPr>
              <w:pStyle w:val="TableTextcenter"/>
            </w:pPr>
            <w:r w:rsidRPr="008C3708">
              <w:t>$redacted</w:t>
            </w:r>
          </w:p>
        </w:tc>
        <w:tc>
          <w:tcPr>
            <w:tcW w:w="654" w:type="pct"/>
          </w:tcPr>
          <w:p w14:paraId="54F2C707" w14:textId="67DF3BA4" w:rsidR="00117124" w:rsidRPr="008C3708" w:rsidRDefault="00117124" w:rsidP="00117124">
            <w:pPr>
              <w:pStyle w:val="TableTextcenter"/>
            </w:pPr>
            <w:r w:rsidRPr="008C3708">
              <w:t>$redacted</w:t>
            </w:r>
          </w:p>
        </w:tc>
        <w:tc>
          <w:tcPr>
            <w:tcW w:w="654" w:type="pct"/>
          </w:tcPr>
          <w:p w14:paraId="00CA2FBD" w14:textId="48B89C42" w:rsidR="00117124" w:rsidRPr="008C3708" w:rsidRDefault="00117124" w:rsidP="00117124">
            <w:pPr>
              <w:pStyle w:val="TableTextcenter"/>
            </w:pPr>
            <w:r w:rsidRPr="008C3708">
              <w:t>$redacted</w:t>
            </w:r>
          </w:p>
        </w:tc>
        <w:tc>
          <w:tcPr>
            <w:tcW w:w="654" w:type="pct"/>
          </w:tcPr>
          <w:p w14:paraId="6796111E" w14:textId="04D2F196" w:rsidR="00117124" w:rsidRPr="008C3708" w:rsidRDefault="00117124" w:rsidP="00117124">
            <w:pPr>
              <w:pStyle w:val="TableTextcenter"/>
            </w:pPr>
            <w:r w:rsidRPr="008C3708">
              <w:t>$redacted</w:t>
            </w:r>
          </w:p>
        </w:tc>
        <w:tc>
          <w:tcPr>
            <w:tcW w:w="651" w:type="pct"/>
          </w:tcPr>
          <w:p w14:paraId="031B933B" w14:textId="58090E1F" w:rsidR="00117124" w:rsidRPr="008C3708" w:rsidRDefault="00117124" w:rsidP="00117124">
            <w:pPr>
              <w:pStyle w:val="TableTextcenter"/>
            </w:pPr>
            <w:r w:rsidRPr="008C3708">
              <w:t>$redacted</w:t>
            </w:r>
          </w:p>
        </w:tc>
      </w:tr>
      <w:tr w:rsidR="00117124" w:rsidRPr="008C3708" w14:paraId="4D3B6147" w14:textId="77777777" w:rsidTr="00DD6B45">
        <w:trPr>
          <w:trHeight w:val="300"/>
        </w:trPr>
        <w:tc>
          <w:tcPr>
            <w:tcW w:w="1731" w:type="pct"/>
            <w:gridSpan w:val="2"/>
          </w:tcPr>
          <w:p w14:paraId="1C6A57CE" w14:textId="77777777" w:rsidR="00117124" w:rsidRPr="00183E4D" w:rsidRDefault="00117124" w:rsidP="00117124">
            <w:pPr>
              <w:pStyle w:val="Tabletext0"/>
              <w:rPr>
                <w:szCs w:val="20"/>
              </w:rPr>
            </w:pPr>
            <w:r w:rsidRPr="00A12852">
              <w:t>MBS rebate (85%)</w:t>
            </w:r>
          </w:p>
        </w:tc>
        <w:tc>
          <w:tcPr>
            <w:tcW w:w="656" w:type="pct"/>
          </w:tcPr>
          <w:p w14:paraId="36B74511" w14:textId="7A7B402B" w:rsidR="00117124" w:rsidRPr="008C3708" w:rsidRDefault="00117124" w:rsidP="00117124">
            <w:pPr>
              <w:pStyle w:val="TableTextcenter"/>
            </w:pPr>
            <w:r w:rsidRPr="008C3708">
              <w:t>$redacted</w:t>
            </w:r>
          </w:p>
        </w:tc>
        <w:tc>
          <w:tcPr>
            <w:tcW w:w="654" w:type="pct"/>
          </w:tcPr>
          <w:p w14:paraId="2FE15EBD" w14:textId="1A148773" w:rsidR="00117124" w:rsidRPr="008C3708" w:rsidRDefault="00117124" w:rsidP="00117124">
            <w:pPr>
              <w:pStyle w:val="TableTextcenter"/>
            </w:pPr>
            <w:r w:rsidRPr="008C3708">
              <w:t>$redacted</w:t>
            </w:r>
          </w:p>
        </w:tc>
        <w:tc>
          <w:tcPr>
            <w:tcW w:w="654" w:type="pct"/>
          </w:tcPr>
          <w:p w14:paraId="73FC5006" w14:textId="1A59B3EF" w:rsidR="00117124" w:rsidRPr="008C3708" w:rsidRDefault="00117124" w:rsidP="00117124">
            <w:pPr>
              <w:pStyle w:val="TableTextcenter"/>
            </w:pPr>
            <w:r w:rsidRPr="008C3708">
              <w:t>$redacted</w:t>
            </w:r>
          </w:p>
        </w:tc>
        <w:tc>
          <w:tcPr>
            <w:tcW w:w="654" w:type="pct"/>
          </w:tcPr>
          <w:p w14:paraId="3196EE71" w14:textId="5803538E" w:rsidR="00117124" w:rsidRPr="008C3708" w:rsidRDefault="00117124" w:rsidP="00117124">
            <w:pPr>
              <w:pStyle w:val="TableTextcenter"/>
            </w:pPr>
            <w:r w:rsidRPr="008C3708">
              <w:t>$redacted</w:t>
            </w:r>
          </w:p>
        </w:tc>
        <w:tc>
          <w:tcPr>
            <w:tcW w:w="651" w:type="pct"/>
          </w:tcPr>
          <w:p w14:paraId="06462D10" w14:textId="170E24BD" w:rsidR="00117124" w:rsidRPr="008C3708" w:rsidRDefault="00117124" w:rsidP="00117124">
            <w:pPr>
              <w:pStyle w:val="TableTextcenter"/>
            </w:pPr>
            <w:r w:rsidRPr="008C3708">
              <w:t>$redacted</w:t>
            </w:r>
          </w:p>
        </w:tc>
      </w:tr>
      <w:tr w:rsidR="00117124" w:rsidRPr="008C3708" w14:paraId="0570BCAC" w14:textId="77777777" w:rsidTr="00DD6B45">
        <w:trPr>
          <w:trHeight w:val="300"/>
        </w:trPr>
        <w:tc>
          <w:tcPr>
            <w:tcW w:w="1731" w:type="pct"/>
            <w:gridSpan w:val="2"/>
          </w:tcPr>
          <w:p w14:paraId="7A0FCFE9" w14:textId="77777777" w:rsidR="00117124" w:rsidRPr="00183E4D" w:rsidRDefault="00117124" w:rsidP="00117124">
            <w:pPr>
              <w:pStyle w:val="Tabletext0"/>
              <w:rPr>
                <w:szCs w:val="20"/>
              </w:rPr>
            </w:pPr>
            <w:r w:rsidRPr="00A12852">
              <w:t>Patient cont</w:t>
            </w:r>
            <w:r w:rsidRPr="00A12852">
              <w:rPr>
                <w:szCs w:val="20"/>
              </w:rPr>
              <w:t>ribution</w:t>
            </w:r>
          </w:p>
        </w:tc>
        <w:tc>
          <w:tcPr>
            <w:tcW w:w="656" w:type="pct"/>
          </w:tcPr>
          <w:p w14:paraId="4BA805CB" w14:textId="00435490" w:rsidR="00117124" w:rsidRPr="008C3708" w:rsidRDefault="00117124" w:rsidP="00117124">
            <w:pPr>
              <w:pStyle w:val="TableTextcenter"/>
            </w:pPr>
            <w:r w:rsidRPr="008C3708">
              <w:t>$redacted</w:t>
            </w:r>
          </w:p>
        </w:tc>
        <w:tc>
          <w:tcPr>
            <w:tcW w:w="654" w:type="pct"/>
          </w:tcPr>
          <w:p w14:paraId="07F3292C" w14:textId="14D45CE2" w:rsidR="00117124" w:rsidRPr="008C3708" w:rsidRDefault="00117124" w:rsidP="00117124">
            <w:pPr>
              <w:pStyle w:val="TableTextcenter"/>
            </w:pPr>
            <w:r w:rsidRPr="008C3708">
              <w:t>$redacted</w:t>
            </w:r>
          </w:p>
        </w:tc>
        <w:tc>
          <w:tcPr>
            <w:tcW w:w="654" w:type="pct"/>
          </w:tcPr>
          <w:p w14:paraId="167F2A18" w14:textId="202ECC0F" w:rsidR="00117124" w:rsidRPr="008C3708" w:rsidRDefault="00117124" w:rsidP="00117124">
            <w:pPr>
              <w:pStyle w:val="TableTextcenter"/>
            </w:pPr>
            <w:r w:rsidRPr="008C3708">
              <w:t>$redacted</w:t>
            </w:r>
          </w:p>
        </w:tc>
        <w:tc>
          <w:tcPr>
            <w:tcW w:w="654" w:type="pct"/>
          </w:tcPr>
          <w:p w14:paraId="277E9B89" w14:textId="77FCE8A0" w:rsidR="00117124" w:rsidRPr="008C3708" w:rsidRDefault="00117124" w:rsidP="00117124">
            <w:pPr>
              <w:pStyle w:val="TableTextcenter"/>
            </w:pPr>
            <w:r w:rsidRPr="008C3708">
              <w:t>$redacted</w:t>
            </w:r>
          </w:p>
        </w:tc>
        <w:tc>
          <w:tcPr>
            <w:tcW w:w="651" w:type="pct"/>
          </w:tcPr>
          <w:p w14:paraId="3F218ED1" w14:textId="13BD5BDA" w:rsidR="00117124" w:rsidRPr="008C3708" w:rsidRDefault="00117124" w:rsidP="00117124">
            <w:pPr>
              <w:pStyle w:val="TableTextcenter"/>
            </w:pPr>
            <w:r w:rsidRPr="008C3708">
              <w:t>$redacted</w:t>
            </w:r>
          </w:p>
        </w:tc>
      </w:tr>
      <w:tr w:rsidR="00B156AA" w:rsidRPr="008C3708" w14:paraId="6DD19FC9" w14:textId="77777777" w:rsidTr="00DD6B45">
        <w:trPr>
          <w:trHeight w:val="300"/>
        </w:trPr>
        <w:tc>
          <w:tcPr>
            <w:tcW w:w="1731" w:type="pct"/>
            <w:gridSpan w:val="2"/>
          </w:tcPr>
          <w:p w14:paraId="5102D6AB" w14:textId="77777777" w:rsidR="00B156AA" w:rsidRPr="00BB7F5E" w:rsidRDefault="00B156AA" w:rsidP="00B156AA">
            <w:pPr>
              <w:pStyle w:val="Tabletext0"/>
              <w:rPr>
                <w:b/>
                <w:szCs w:val="20"/>
              </w:rPr>
            </w:pPr>
            <w:r w:rsidRPr="007D5881">
              <w:rPr>
                <w:rStyle w:val="Strong"/>
              </w:rPr>
              <w:t>Total cost to the MBS</w:t>
            </w:r>
          </w:p>
        </w:tc>
        <w:tc>
          <w:tcPr>
            <w:tcW w:w="656" w:type="pct"/>
          </w:tcPr>
          <w:p w14:paraId="74F24332" w14:textId="77777777" w:rsidR="00B156AA" w:rsidRPr="008C3708" w:rsidRDefault="00B156AA" w:rsidP="00B156AA">
            <w:pPr>
              <w:pStyle w:val="TableTextcenter"/>
            </w:pPr>
          </w:p>
        </w:tc>
        <w:tc>
          <w:tcPr>
            <w:tcW w:w="654" w:type="pct"/>
          </w:tcPr>
          <w:p w14:paraId="0D08D6A5" w14:textId="77777777" w:rsidR="00B156AA" w:rsidRPr="008C3708" w:rsidRDefault="00B156AA" w:rsidP="00B156AA">
            <w:pPr>
              <w:pStyle w:val="TableTextcenter"/>
            </w:pPr>
          </w:p>
        </w:tc>
        <w:tc>
          <w:tcPr>
            <w:tcW w:w="654" w:type="pct"/>
          </w:tcPr>
          <w:p w14:paraId="271F26A0" w14:textId="77777777" w:rsidR="00B156AA" w:rsidRPr="008C3708" w:rsidRDefault="00B156AA" w:rsidP="00B156AA">
            <w:pPr>
              <w:pStyle w:val="TableTextcenter"/>
            </w:pPr>
          </w:p>
        </w:tc>
        <w:tc>
          <w:tcPr>
            <w:tcW w:w="654" w:type="pct"/>
          </w:tcPr>
          <w:p w14:paraId="711981D1" w14:textId="77777777" w:rsidR="00B156AA" w:rsidRPr="008C3708" w:rsidRDefault="00B156AA" w:rsidP="00B156AA">
            <w:pPr>
              <w:pStyle w:val="TableTextcenter"/>
            </w:pPr>
          </w:p>
        </w:tc>
        <w:tc>
          <w:tcPr>
            <w:tcW w:w="651" w:type="pct"/>
          </w:tcPr>
          <w:p w14:paraId="7A9629E1" w14:textId="77777777" w:rsidR="00B156AA" w:rsidRPr="008C3708" w:rsidRDefault="00B156AA" w:rsidP="00B156AA">
            <w:pPr>
              <w:pStyle w:val="TableTextcenter"/>
            </w:pPr>
          </w:p>
        </w:tc>
      </w:tr>
      <w:tr w:rsidR="00117124" w:rsidRPr="008C3708" w14:paraId="04DF1A51" w14:textId="77777777" w:rsidTr="00DD6B45">
        <w:trPr>
          <w:trHeight w:val="300"/>
        </w:trPr>
        <w:tc>
          <w:tcPr>
            <w:tcW w:w="1731" w:type="pct"/>
            <w:gridSpan w:val="2"/>
          </w:tcPr>
          <w:p w14:paraId="1DEBD663" w14:textId="77777777" w:rsidR="00117124" w:rsidRPr="00183E4D" w:rsidRDefault="00117124" w:rsidP="00117124">
            <w:pPr>
              <w:pStyle w:val="Tabletext0"/>
              <w:rPr>
                <w:szCs w:val="20"/>
              </w:rPr>
            </w:pPr>
            <w:r w:rsidRPr="00A12852">
              <w:t>MBS costs</w:t>
            </w:r>
          </w:p>
        </w:tc>
        <w:tc>
          <w:tcPr>
            <w:tcW w:w="656" w:type="pct"/>
          </w:tcPr>
          <w:p w14:paraId="7B8C4AE2" w14:textId="05DDB228" w:rsidR="00117124" w:rsidRPr="008C3708" w:rsidRDefault="00117124" w:rsidP="00117124">
            <w:pPr>
              <w:pStyle w:val="TableTextcenter"/>
            </w:pPr>
            <w:r w:rsidRPr="008C3708">
              <w:t>$redacted</w:t>
            </w:r>
          </w:p>
        </w:tc>
        <w:tc>
          <w:tcPr>
            <w:tcW w:w="654" w:type="pct"/>
          </w:tcPr>
          <w:p w14:paraId="5021C5C6" w14:textId="50E04DC8" w:rsidR="00117124" w:rsidRPr="008C3708" w:rsidRDefault="00117124" w:rsidP="00117124">
            <w:pPr>
              <w:pStyle w:val="TableTextcenter"/>
            </w:pPr>
            <w:r w:rsidRPr="008C3708">
              <w:t>$redacted</w:t>
            </w:r>
          </w:p>
        </w:tc>
        <w:tc>
          <w:tcPr>
            <w:tcW w:w="654" w:type="pct"/>
          </w:tcPr>
          <w:p w14:paraId="3AAD1891" w14:textId="6B5947C2" w:rsidR="00117124" w:rsidRPr="008C3708" w:rsidRDefault="00117124" w:rsidP="00117124">
            <w:pPr>
              <w:pStyle w:val="TableTextcenter"/>
            </w:pPr>
            <w:r w:rsidRPr="008C3708">
              <w:t>$redacted</w:t>
            </w:r>
          </w:p>
        </w:tc>
        <w:tc>
          <w:tcPr>
            <w:tcW w:w="654" w:type="pct"/>
          </w:tcPr>
          <w:p w14:paraId="1D945223" w14:textId="452FDF0D" w:rsidR="00117124" w:rsidRPr="008C3708" w:rsidRDefault="00117124" w:rsidP="00117124">
            <w:pPr>
              <w:pStyle w:val="TableTextcenter"/>
            </w:pPr>
            <w:r w:rsidRPr="008C3708">
              <w:t>$redacted</w:t>
            </w:r>
          </w:p>
        </w:tc>
        <w:tc>
          <w:tcPr>
            <w:tcW w:w="651" w:type="pct"/>
          </w:tcPr>
          <w:p w14:paraId="5E1FCBED" w14:textId="38890523" w:rsidR="00117124" w:rsidRPr="008C3708" w:rsidRDefault="00117124" w:rsidP="00117124">
            <w:pPr>
              <w:pStyle w:val="TableTextcenter"/>
            </w:pPr>
            <w:r w:rsidRPr="008C3708">
              <w:t>$redacted</w:t>
            </w:r>
          </w:p>
        </w:tc>
      </w:tr>
      <w:tr w:rsidR="00117124" w:rsidRPr="008C3708" w14:paraId="4C48A786" w14:textId="77777777" w:rsidTr="00DD6B45">
        <w:trPr>
          <w:trHeight w:val="300"/>
        </w:trPr>
        <w:tc>
          <w:tcPr>
            <w:tcW w:w="1731" w:type="pct"/>
            <w:gridSpan w:val="2"/>
          </w:tcPr>
          <w:p w14:paraId="7E015962" w14:textId="77777777" w:rsidR="00117124" w:rsidRPr="00183E4D" w:rsidRDefault="00117124" w:rsidP="00117124">
            <w:pPr>
              <w:pStyle w:val="Tabletext0"/>
              <w:rPr>
                <w:szCs w:val="20"/>
              </w:rPr>
            </w:pPr>
            <w:r w:rsidRPr="00A12852">
              <w:t>MBS rebate (85%)</w:t>
            </w:r>
          </w:p>
        </w:tc>
        <w:tc>
          <w:tcPr>
            <w:tcW w:w="656" w:type="pct"/>
          </w:tcPr>
          <w:p w14:paraId="14CEFB24" w14:textId="6A06926B" w:rsidR="00117124" w:rsidRPr="008C3708" w:rsidRDefault="00117124" w:rsidP="00117124">
            <w:pPr>
              <w:pStyle w:val="TableTextcenter"/>
            </w:pPr>
            <w:r w:rsidRPr="008C3708">
              <w:t>$redacted</w:t>
            </w:r>
          </w:p>
        </w:tc>
        <w:tc>
          <w:tcPr>
            <w:tcW w:w="654" w:type="pct"/>
          </w:tcPr>
          <w:p w14:paraId="63855557" w14:textId="799EAA3C" w:rsidR="00117124" w:rsidRPr="008C3708" w:rsidRDefault="00117124" w:rsidP="00117124">
            <w:pPr>
              <w:pStyle w:val="TableTextcenter"/>
            </w:pPr>
            <w:r w:rsidRPr="008C3708">
              <w:t>$redacted</w:t>
            </w:r>
          </w:p>
        </w:tc>
        <w:tc>
          <w:tcPr>
            <w:tcW w:w="654" w:type="pct"/>
          </w:tcPr>
          <w:p w14:paraId="0D27CC77" w14:textId="70CDD42F" w:rsidR="00117124" w:rsidRPr="008C3708" w:rsidRDefault="00117124" w:rsidP="00117124">
            <w:pPr>
              <w:pStyle w:val="TableTextcenter"/>
            </w:pPr>
            <w:r w:rsidRPr="008C3708">
              <w:t>$redacted</w:t>
            </w:r>
          </w:p>
        </w:tc>
        <w:tc>
          <w:tcPr>
            <w:tcW w:w="654" w:type="pct"/>
          </w:tcPr>
          <w:p w14:paraId="4ADBAD3F" w14:textId="2F5544E4" w:rsidR="00117124" w:rsidRPr="008C3708" w:rsidRDefault="00117124" w:rsidP="00117124">
            <w:pPr>
              <w:pStyle w:val="TableTextcenter"/>
            </w:pPr>
            <w:r w:rsidRPr="008C3708">
              <w:t>$redacted</w:t>
            </w:r>
          </w:p>
        </w:tc>
        <w:tc>
          <w:tcPr>
            <w:tcW w:w="651" w:type="pct"/>
          </w:tcPr>
          <w:p w14:paraId="689236AE" w14:textId="64F14CF8" w:rsidR="00117124" w:rsidRPr="008C3708" w:rsidRDefault="00117124" w:rsidP="00117124">
            <w:pPr>
              <w:pStyle w:val="TableTextcenter"/>
            </w:pPr>
            <w:r w:rsidRPr="008C3708">
              <w:t>$redacted</w:t>
            </w:r>
          </w:p>
        </w:tc>
      </w:tr>
      <w:tr w:rsidR="00117124" w:rsidRPr="008C3708" w14:paraId="05914741" w14:textId="77777777" w:rsidTr="00DD6B45">
        <w:trPr>
          <w:trHeight w:val="300"/>
        </w:trPr>
        <w:tc>
          <w:tcPr>
            <w:tcW w:w="1731" w:type="pct"/>
            <w:gridSpan w:val="2"/>
          </w:tcPr>
          <w:p w14:paraId="1A4F9241" w14:textId="77777777" w:rsidR="00117124" w:rsidRPr="00183E4D" w:rsidRDefault="00117124" w:rsidP="00117124">
            <w:pPr>
              <w:pStyle w:val="Tabletext0"/>
              <w:rPr>
                <w:szCs w:val="20"/>
              </w:rPr>
            </w:pPr>
            <w:r w:rsidRPr="00A12852">
              <w:t>Patient contribution</w:t>
            </w:r>
          </w:p>
        </w:tc>
        <w:tc>
          <w:tcPr>
            <w:tcW w:w="656" w:type="pct"/>
          </w:tcPr>
          <w:p w14:paraId="79AA8188" w14:textId="1B64879E" w:rsidR="00117124" w:rsidRPr="008C3708" w:rsidRDefault="00117124" w:rsidP="00117124">
            <w:pPr>
              <w:pStyle w:val="TableTextcenter"/>
            </w:pPr>
            <w:r w:rsidRPr="008C3708">
              <w:t>$redacted</w:t>
            </w:r>
          </w:p>
        </w:tc>
        <w:tc>
          <w:tcPr>
            <w:tcW w:w="654" w:type="pct"/>
          </w:tcPr>
          <w:p w14:paraId="1D3827E8" w14:textId="689BEBD7" w:rsidR="00117124" w:rsidRPr="008C3708" w:rsidRDefault="00117124" w:rsidP="00117124">
            <w:pPr>
              <w:pStyle w:val="TableTextcenter"/>
            </w:pPr>
            <w:r w:rsidRPr="008C3708">
              <w:t>$redacted</w:t>
            </w:r>
          </w:p>
        </w:tc>
        <w:tc>
          <w:tcPr>
            <w:tcW w:w="654" w:type="pct"/>
          </w:tcPr>
          <w:p w14:paraId="0E5FBF88" w14:textId="517E9C8E" w:rsidR="00117124" w:rsidRPr="008C3708" w:rsidRDefault="00117124" w:rsidP="00117124">
            <w:pPr>
              <w:pStyle w:val="TableTextcenter"/>
            </w:pPr>
            <w:r w:rsidRPr="008C3708">
              <w:t>$redacted</w:t>
            </w:r>
          </w:p>
        </w:tc>
        <w:tc>
          <w:tcPr>
            <w:tcW w:w="654" w:type="pct"/>
          </w:tcPr>
          <w:p w14:paraId="0A438C7E" w14:textId="67E983A0" w:rsidR="00117124" w:rsidRPr="008C3708" w:rsidRDefault="00117124" w:rsidP="00117124">
            <w:pPr>
              <w:pStyle w:val="TableTextcenter"/>
            </w:pPr>
            <w:r w:rsidRPr="008C3708">
              <w:t>$redacted</w:t>
            </w:r>
          </w:p>
        </w:tc>
        <w:tc>
          <w:tcPr>
            <w:tcW w:w="651" w:type="pct"/>
          </w:tcPr>
          <w:p w14:paraId="5C716735" w14:textId="28659BD5" w:rsidR="00117124" w:rsidRPr="008C3708" w:rsidRDefault="00117124" w:rsidP="00117124">
            <w:pPr>
              <w:pStyle w:val="TableTextcenter"/>
            </w:pPr>
            <w:r w:rsidRPr="008C3708">
              <w:t>$redacted</w:t>
            </w:r>
          </w:p>
        </w:tc>
      </w:tr>
    </w:tbl>
    <w:p w14:paraId="31674AC7" w14:textId="77777777" w:rsidR="00B156AA" w:rsidRPr="00834F9A" w:rsidRDefault="00B156AA" w:rsidP="00B156AA">
      <w:pPr>
        <w:pStyle w:val="Tablenotes"/>
      </w:pPr>
      <w:r>
        <w:t xml:space="preserve">Abbreviations: </w:t>
      </w:r>
      <w:r w:rsidRPr="00A12852">
        <w:t>IGB</w:t>
      </w:r>
      <w:r>
        <w:t>, intragastric balloon; MBS, Medical Benefits Scheme</w:t>
      </w:r>
      <w:r w:rsidRPr="00B02E35">
        <w:rPr>
          <w:szCs w:val="24"/>
          <w:u w:val="single"/>
        </w:rPr>
        <w:t xml:space="preserve"> </w:t>
      </w:r>
    </w:p>
    <w:p w14:paraId="62AC76AD" w14:textId="77777777" w:rsidR="006A0D97" w:rsidRPr="00F715D1" w:rsidRDefault="006A0D97" w:rsidP="00F715D1">
      <w:pPr>
        <w:pStyle w:val="Heading1"/>
      </w:pPr>
      <w:r w:rsidRPr="00F715D1">
        <w:lastRenderedPageBreak/>
        <w:t>Key issues from ESC for MSAC</w:t>
      </w:r>
    </w:p>
    <w:tbl>
      <w:tblPr>
        <w:tblStyle w:val="TableGrid"/>
        <w:tblW w:w="0" w:type="auto"/>
        <w:tblLook w:val="04A0" w:firstRow="1" w:lastRow="0" w:firstColumn="1" w:lastColumn="0" w:noHBand="0" w:noVBand="1"/>
        <w:tblCaption w:val="14. Key issues from ESC for MSAC"/>
      </w:tblPr>
      <w:tblGrid>
        <w:gridCol w:w="4077"/>
        <w:gridCol w:w="4939"/>
      </w:tblGrid>
      <w:tr w:rsidR="00B156AA" w:rsidRPr="00553A57" w14:paraId="484E82CC" w14:textId="77777777" w:rsidTr="00B156AA">
        <w:trPr>
          <w:tblHeader/>
        </w:trPr>
        <w:tc>
          <w:tcPr>
            <w:tcW w:w="4077" w:type="dxa"/>
          </w:tcPr>
          <w:p w14:paraId="0D51C881" w14:textId="77777777" w:rsidR="00B156AA" w:rsidRPr="00553A57" w:rsidRDefault="00B156AA" w:rsidP="00B156AA">
            <w:pPr>
              <w:pStyle w:val="TableHeading"/>
              <w:rPr>
                <w:rFonts w:ascii="Arial" w:hAnsi="Arial" w:cs="Arial"/>
                <w:szCs w:val="22"/>
              </w:rPr>
            </w:pPr>
            <w:r w:rsidRPr="00553A57">
              <w:rPr>
                <w:rFonts w:ascii="Arial" w:hAnsi="Arial" w:cs="Arial"/>
                <w:szCs w:val="22"/>
              </w:rPr>
              <w:t>ESC key issue</w:t>
            </w:r>
          </w:p>
        </w:tc>
        <w:tc>
          <w:tcPr>
            <w:tcW w:w="4939" w:type="dxa"/>
          </w:tcPr>
          <w:p w14:paraId="1585C7CB" w14:textId="77777777" w:rsidR="00B156AA" w:rsidRPr="00553A57" w:rsidRDefault="00B156AA" w:rsidP="00B156AA">
            <w:pPr>
              <w:pStyle w:val="TableHeading"/>
              <w:rPr>
                <w:rFonts w:ascii="Arial" w:hAnsi="Arial" w:cs="Arial"/>
                <w:szCs w:val="22"/>
              </w:rPr>
            </w:pPr>
            <w:r w:rsidRPr="00553A57">
              <w:rPr>
                <w:rFonts w:ascii="Arial" w:hAnsi="Arial" w:cs="Arial"/>
                <w:szCs w:val="22"/>
              </w:rPr>
              <w:t>ESC advice to MSAC</w:t>
            </w:r>
          </w:p>
        </w:tc>
      </w:tr>
      <w:tr w:rsidR="00B156AA" w:rsidRPr="00553A57" w14:paraId="75739938" w14:textId="77777777" w:rsidTr="00B156AA">
        <w:trPr>
          <w:trHeight w:val="736"/>
        </w:trPr>
        <w:tc>
          <w:tcPr>
            <w:tcW w:w="4077" w:type="dxa"/>
            <w:hideMark/>
          </w:tcPr>
          <w:p w14:paraId="06FCB3F7" w14:textId="77777777" w:rsidR="00B156AA" w:rsidRPr="00553A57" w:rsidRDefault="00B156AA" w:rsidP="00B156AA">
            <w:pPr>
              <w:pStyle w:val="TableText"/>
              <w:rPr>
                <w:rFonts w:ascii="Arial" w:hAnsi="Arial" w:cs="Arial"/>
                <w:sz w:val="20"/>
                <w:szCs w:val="22"/>
              </w:rPr>
            </w:pPr>
            <w:r w:rsidRPr="00553A57">
              <w:rPr>
                <w:rFonts w:ascii="Arial" w:hAnsi="Arial" w:cs="Arial"/>
                <w:sz w:val="20"/>
                <w:szCs w:val="22"/>
              </w:rPr>
              <w:t xml:space="preserve">Evaluation limited to 6-month </w:t>
            </w:r>
            <w:proofErr w:type="spellStart"/>
            <w:r w:rsidRPr="00553A57">
              <w:rPr>
                <w:rFonts w:ascii="Arial" w:hAnsi="Arial" w:cs="Arial"/>
                <w:sz w:val="20"/>
                <w:szCs w:val="22"/>
              </w:rPr>
              <w:t>Orbera</w:t>
            </w:r>
            <w:proofErr w:type="spellEnd"/>
            <w:r w:rsidRPr="00553A57">
              <w:rPr>
                <w:rFonts w:ascii="Arial" w:hAnsi="Arial" w:cs="Arial"/>
                <w:sz w:val="20"/>
                <w:szCs w:val="22"/>
              </w:rPr>
              <w:t xml:space="preserve"> IGB</w:t>
            </w:r>
          </w:p>
        </w:tc>
        <w:tc>
          <w:tcPr>
            <w:tcW w:w="4939" w:type="dxa"/>
            <w:hideMark/>
          </w:tcPr>
          <w:p w14:paraId="2790B4C4" w14:textId="77777777" w:rsidR="00B156AA" w:rsidRPr="00553A57" w:rsidRDefault="00B156AA" w:rsidP="00B156AA">
            <w:pPr>
              <w:pStyle w:val="TableText"/>
              <w:rPr>
                <w:rFonts w:ascii="Arial" w:hAnsi="Arial" w:cs="Arial"/>
                <w:sz w:val="20"/>
                <w:szCs w:val="22"/>
              </w:rPr>
            </w:pPr>
            <w:r w:rsidRPr="00553A57">
              <w:rPr>
                <w:rFonts w:ascii="Arial" w:hAnsi="Arial" w:cs="Arial"/>
                <w:sz w:val="20"/>
                <w:szCs w:val="22"/>
              </w:rPr>
              <w:t>Decide whether to have generic item or limit it to 6 months only.</w:t>
            </w:r>
          </w:p>
        </w:tc>
      </w:tr>
      <w:tr w:rsidR="00B156AA" w:rsidRPr="00553A57" w14:paraId="5305539F" w14:textId="77777777" w:rsidTr="00B156AA">
        <w:trPr>
          <w:trHeight w:val="631"/>
        </w:trPr>
        <w:tc>
          <w:tcPr>
            <w:tcW w:w="4077" w:type="dxa"/>
            <w:hideMark/>
          </w:tcPr>
          <w:p w14:paraId="6EC9E743" w14:textId="77777777" w:rsidR="00B156AA" w:rsidRPr="00553A57" w:rsidRDefault="00B156AA" w:rsidP="00B156AA">
            <w:pPr>
              <w:pStyle w:val="TableText"/>
              <w:rPr>
                <w:rFonts w:ascii="Arial" w:hAnsi="Arial" w:cs="Arial"/>
                <w:sz w:val="20"/>
                <w:szCs w:val="22"/>
              </w:rPr>
            </w:pPr>
            <w:r w:rsidRPr="00553A57">
              <w:rPr>
                <w:rFonts w:ascii="Arial" w:hAnsi="Arial" w:cs="Arial"/>
                <w:sz w:val="20"/>
                <w:szCs w:val="22"/>
              </w:rPr>
              <w:t>RCT evidence covers a broader population (BMI 30–40 kg/m</w:t>
            </w:r>
            <w:r w:rsidRPr="00553A57">
              <w:rPr>
                <w:rFonts w:ascii="Arial" w:hAnsi="Arial" w:cs="Arial"/>
                <w:sz w:val="20"/>
                <w:szCs w:val="22"/>
                <w:vertAlign w:val="superscript"/>
              </w:rPr>
              <w:t>2</w:t>
            </w:r>
            <w:r w:rsidRPr="00553A57">
              <w:rPr>
                <w:rFonts w:ascii="Arial" w:hAnsi="Arial" w:cs="Arial"/>
                <w:sz w:val="20"/>
                <w:szCs w:val="22"/>
              </w:rPr>
              <w:t>) than the application (30–34.9 kg/m</w:t>
            </w:r>
            <w:r w:rsidRPr="00553A57">
              <w:rPr>
                <w:rFonts w:ascii="Arial" w:hAnsi="Arial" w:cs="Arial"/>
                <w:sz w:val="20"/>
                <w:szCs w:val="22"/>
                <w:vertAlign w:val="superscript"/>
              </w:rPr>
              <w:t>2</w:t>
            </w:r>
            <w:r w:rsidRPr="00553A57">
              <w:rPr>
                <w:rFonts w:ascii="Arial" w:hAnsi="Arial" w:cs="Arial"/>
                <w:sz w:val="20"/>
                <w:szCs w:val="22"/>
              </w:rPr>
              <w:t>), age limited to &lt;65 years</w:t>
            </w:r>
          </w:p>
        </w:tc>
        <w:tc>
          <w:tcPr>
            <w:tcW w:w="4939" w:type="dxa"/>
            <w:hideMark/>
          </w:tcPr>
          <w:p w14:paraId="52B9E129" w14:textId="77777777" w:rsidR="00B156AA" w:rsidRPr="00553A57" w:rsidRDefault="00B156AA" w:rsidP="00B156AA">
            <w:pPr>
              <w:pStyle w:val="TableText"/>
              <w:rPr>
                <w:rFonts w:ascii="Arial" w:hAnsi="Arial" w:cs="Arial"/>
                <w:sz w:val="20"/>
                <w:szCs w:val="22"/>
              </w:rPr>
            </w:pPr>
            <w:proofErr w:type="spellStart"/>
            <w:r w:rsidRPr="00553A57">
              <w:rPr>
                <w:rFonts w:ascii="Arial" w:hAnsi="Arial" w:cs="Arial"/>
                <w:sz w:val="20"/>
                <w:szCs w:val="22"/>
              </w:rPr>
              <w:t>Orbera</w:t>
            </w:r>
            <w:proofErr w:type="spellEnd"/>
            <w:r w:rsidRPr="00553A57">
              <w:rPr>
                <w:rFonts w:ascii="Arial" w:hAnsi="Arial" w:cs="Arial"/>
                <w:sz w:val="20"/>
                <w:szCs w:val="22"/>
              </w:rPr>
              <w:t xml:space="preserve"> safety and effectiveness is likely to be similar in the narrower BMI group.</w:t>
            </w:r>
          </w:p>
          <w:p w14:paraId="3FFFCA6B" w14:textId="77777777" w:rsidR="00B156AA" w:rsidRPr="00553A57" w:rsidRDefault="00B156AA" w:rsidP="00B156AA">
            <w:pPr>
              <w:pStyle w:val="TableText"/>
              <w:rPr>
                <w:rFonts w:ascii="Arial" w:hAnsi="Arial" w:cs="Arial"/>
                <w:sz w:val="20"/>
                <w:szCs w:val="22"/>
              </w:rPr>
            </w:pPr>
            <w:r w:rsidRPr="00553A57">
              <w:rPr>
                <w:rFonts w:ascii="Arial" w:hAnsi="Arial" w:cs="Arial"/>
                <w:sz w:val="20"/>
                <w:szCs w:val="22"/>
              </w:rPr>
              <w:t>MBS bariatric surgery items have no upper age limit.</w:t>
            </w:r>
          </w:p>
        </w:tc>
      </w:tr>
      <w:tr w:rsidR="00B156AA" w:rsidRPr="00553A57" w14:paraId="4D4A1B81" w14:textId="77777777" w:rsidTr="00B156AA">
        <w:trPr>
          <w:trHeight w:val="744"/>
        </w:trPr>
        <w:tc>
          <w:tcPr>
            <w:tcW w:w="4077" w:type="dxa"/>
            <w:hideMark/>
          </w:tcPr>
          <w:p w14:paraId="0E65D20E" w14:textId="77777777" w:rsidR="00B156AA" w:rsidRPr="00553A57" w:rsidRDefault="00B156AA" w:rsidP="00B156AA">
            <w:pPr>
              <w:pStyle w:val="TableText"/>
              <w:rPr>
                <w:rFonts w:ascii="Arial" w:hAnsi="Arial" w:cs="Arial"/>
                <w:sz w:val="20"/>
                <w:szCs w:val="22"/>
              </w:rPr>
            </w:pPr>
            <w:r w:rsidRPr="00553A57">
              <w:rPr>
                <w:rFonts w:ascii="Arial" w:hAnsi="Arial" w:cs="Arial"/>
                <w:sz w:val="20"/>
                <w:szCs w:val="22"/>
              </w:rPr>
              <w:t>Safety concerns</w:t>
            </w:r>
          </w:p>
        </w:tc>
        <w:tc>
          <w:tcPr>
            <w:tcW w:w="4939" w:type="dxa"/>
            <w:hideMark/>
          </w:tcPr>
          <w:p w14:paraId="73382E03" w14:textId="77777777" w:rsidR="00B156AA" w:rsidRPr="00553A57" w:rsidRDefault="00B156AA" w:rsidP="00B156AA">
            <w:pPr>
              <w:pStyle w:val="TableText"/>
              <w:rPr>
                <w:rFonts w:ascii="Arial" w:hAnsi="Arial" w:cs="Arial"/>
                <w:sz w:val="20"/>
                <w:szCs w:val="22"/>
              </w:rPr>
            </w:pPr>
            <w:r w:rsidRPr="00553A57">
              <w:rPr>
                <w:rFonts w:ascii="Arial" w:hAnsi="Arial" w:cs="Arial"/>
                <w:sz w:val="20"/>
                <w:szCs w:val="22"/>
              </w:rPr>
              <w:t>Frequent adverse events and high attrition (premature IGB removal) rate are likely to reduce effectiveness.</w:t>
            </w:r>
          </w:p>
        </w:tc>
      </w:tr>
      <w:tr w:rsidR="00B156AA" w:rsidRPr="00553A57" w14:paraId="652066A5" w14:textId="77777777" w:rsidTr="00B156AA">
        <w:trPr>
          <w:trHeight w:val="244"/>
        </w:trPr>
        <w:tc>
          <w:tcPr>
            <w:tcW w:w="4077" w:type="dxa"/>
            <w:hideMark/>
          </w:tcPr>
          <w:p w14:paraId="2F0E0BCA" w14:textId="77777777" w:rsidR="00B156AA" w:rsidRPr="00553A57" w:rsidRDefault="00B156AA" w:rsidP="00B156AA">
            <w:pPr>
              <w:pStyle w:val="TableText"/>
              <w:rPr>
                <w:rFonts w:ascii="Arial" w:hAnsi="Arial" w:cs="Arial"/>
                <w:sz w:val="20"/>
                <w:szCs w:val="22"/>
              </w:rPr>
            </w:pPr>
            <w:r w:rsidRPr="00553A57">
              <w:rPr>
                <w:rFonts w:ascii="Arial" w:hAnsi="Arial" w:cs="Arial"/>
                <w:sz w:val="20"/>
                <w:szCs w:val="22"/>
              </w:rPr>
              <w:t>Statistically, and probably clinically, significant short-term improvement in weight loss (</w:t>
            </w:r>
            <w:r w:rsidRPr="00553A57">
              <w:rPr>
                <w:rFonts w:ascii="Arial" w:hAnsi="Arial" w:cs="Arial"/>
                <w:i/>
                <w:sz w:val="20"/>
                <w:szCs w:val="22"/>
              </w:rPr>
              <w:t>vs</w:t>
            </w:r>
            <w:r w:rsidRPr="00553A57">
              <w:rPr>
                <w:rFonts w:ascii="Arial" w:hAnsi="Arial" w:cs="Arial"/>
                <w:sz w:val="20"/>
                <w:szCs w:val="22"/>
              </w:rPr>
              <w:t>. lifestyle) but sustainability of improvement is highly uncertain</w:t>
            </w:r>
          </w:p>
        </w:tc>
        <w:tc>
          <w:tcPr>
            <w:tcW w:w="4939" w:type="dxa"/>
            <w:hideMark/>
          </w:tcPr>
          <w:p w14:paraId="48E71BC0" w14:textId="77777777" w:rsidR="00B156AA" w:rsidRPr="00553A57" w:rsidRDefault="00B156AA" w:rsidP="00B156AA">
            <w:pPr>
              <w:pStyle w:val="TableText"/>
              <w:rPr>
                <w:rFonts w:ascii="Arial" w:hAnsi="Arial" w:cs="Arial"/>
                <w:sz w:val="20"/>
                <w:szCs w:val="22"/>
              </w:rPr>
            </w:pPr>
            <w:r w:rsidRPr="00553A57">
              <w:rPr>
                <w:rFonts w:ascii="Arial" w:hAnsi="Arial" w:cs="Arial"/>
                <w:sz w:val="20"/>
                <w:szCs w:val="22"/>
              </w:rPr>
              <w:t>RCT follow-up limited to 12 months. Observational studies indicate a high likelihood of substantial weight regain.  </w:t>
            </w:r>
          </w:p>
        </w:tc>
      </w:tr>
      <w:tr w:rsidR="00B156AA" w:rsidRPr="00553A57" w14:paraId="44142C03" w14:textId="77777777" w:rsidTr="00B156AA">
        <w:trPr>
          <w:trHeight w:val="1062"/>
        </w:trPr>
        <w:tc>
          <w:tcPr>
            <w:tcW w:w="4077" w:type="dxa"/>
            <w:hideMark/>
          </w:tcPr>
          <w:p w14:paraId="270EB63D" w14:textId="77777777" w:rsidR="00B156AA" w:rsidRPr="00553A57" w:rsidRDefault="00B156AA" w:rsidP="00B156AA">
            <w:pPr>
              <w:pStyle w:val="TableText"/>
              <w:rPr>
                <w:rFonts w:ascii="Arial" w:hAnsi="Arial" w:cs="Arial"/>
                <w:sz w:val="20"/>
                <w:szCs w:val="22"/>
              </w:rPr>
            </w:pPr>
            <w:r w:rsidRPr="00553A57">
              <w:rPr>
                <w:rFonts w:ascii="Arial" w:hAnsi="Arial" w:cs="Arial"/>
                <w:sz w:val="20"/>
                <w:szCs w:val="22"/>
              </w:rPr>
              <w:t>Although focus of the application is type 2 diabetes mellitus (T2DM), no high-quality evidence of T2DM control/remission is provided</w:t>
            </w:r>
          </w:p>
        </w:tc>
        <w:tc>
          <w:tcPr>
            <w:tcW w:w="4939" w:type="dxa"/>
            <w:hideMark/>
          </w:tcPr>
          <w:p w14:paraId="7A720405" w14:textId="77777777" w:rsidR="00B156AA" w:rsidRPr="00553A57" w:rsidRDefault="00B156AA" w:rsidP="00B156AA">
            <w:pPr>
              <w:pStyle w:val="TableText"/>
              <w:rPr>
                <w:rFonts w:ascii="Arial" w:hAnsi="Arial" w:cs="Arial"/>
                <w:sz w:val="20"/>
                <w:szCs w:val="22"/>
              </w:rPr>
            </w:pPr>
            <w:r w:rsidRPr="00553A57">
              <w:rPr>
                <w:rFonts w:ascii="Arial" w:hAnsi="Arial" w:cs="Arial"/>
                <w:sz w:val="20"/>
                <w:szCs w:val="22"/>
              </w:rPr>
              <w:t>While there is linked evidence from RCTs of successful weight loss, which is likely to benefit T2DM, the durability of any effect is highly uncertain.</w:t>
            </w:r>
          </w:p>
          <w:p w14:paraId="0311270F" w14:textId="77777777" w:rsidR="00B156AA" w:rsidRPr="00553A57" w:rsidRDefault="00B156AA" w:rsidP="00B156AA">
            <w:pPr>
              <w:pStyle w:val="TableText"/>
              <w:rPr>
                <w:rFonts w:ascii="Arial" w:hAnsi="Arial" w:cs="Arial"/>
                <w:sz w:val="20"/>
                <w:szCs w:val="22"/>
              </w:rPr>
            </w:pPr>
            <w:r w:rsidRPr="00553A57">
              <w:rPr>
                <w:rFonts w:ascii="Arial" w:hAnsi="Arial" w:cs="Arial"/>
                <w:sz w:val="20"/>
                <w:szCs w:val="22"/>
              </w:rPr>
              <w:t>IGB has not been compared to pharmacotherapy for obesity or T2DM. </w:t>
            </w:r>
          </w:p>
        </w:tc>
      </w:tr>
      <w:tr w:rsidR="00B156AA" w:rsidRPr="00553A57" w14:paraId="17C757A6" w14:textId="77777777" w:rsidTr="00B156AA">
        <w:trPr>
          <w:trHeight w:val="561"/>
        </w:trPr>
        <w:tc>
          <w:tcPr>
            <w:tcW w:w="4077" w:type="dxa"/>
            <w:hideMark/>
          </w:tcPr>
          <w:p w14:paraId="54E94675" w14:textId="77777777" w:rsidR="00B156AA" w:rsidRPr="00553A57" w:rsidRDefault="00B156AA" w:rsidP="00B156AA">
            <w:pPr>
              <w:pStyle w:val="TableText"/>
              <w:rPr>
                <w:rFonts w:ascii="Arial" w:hAnsi="Arial" w:cs="Arial"/>
                <w:sz w:val="20"/>
                <w:szCs w:val="22"/>
              </w:rPr>
            </w:pPr>
            <w:r w:rsidRPr="00553A57">
              <w:rPr>
                <w:rFonts w:ascii="Arial" w:hAnsi="Arial" w:cs="Arial"/>
                <w:sz w:val="20"/>
                <w:szCs w:val="22"/>
              </w:rPr>
              <w:t>Cost of IGB</w:t>
            </w:r>
          </w:p>
        </w:tc>
        <w:tc>
          <w:tcPr>
            <w:tcW w:w="4939" w:type="dxa"/>
            <w:hideMark/>
          </w:tcPr>
          <w:p w14:paraId="1440DF68" w14:textId="77777777" w:rsidR="00B156AA" w:rsidRPr="00553A57" w:rsidRDefault="00B156AA" w:rsidP="00B156AA">
            <w:pPr>
              <w:pStyle w:val="TableText"/>
              <w:rPr>
                <w:rFonts w:ascii="Arial" w:hAnsi="Arial" w:cs="Arial"/>
                <w:sz w:val="20"/>
                <w:szCs w:val="22"/>
              </w:rPr>
            </w:pPr>
            <w:r w:rsidRPr="00553A57">
              <w:rPr>
                <w:rFonts w:ascii="Arial" w:hAnsi="Arial" w:cs="Arial"/>
                <w:sz w:val="20"/>
                <w:szCs w:val="22"/>
              </w:rPr>
              <w:t>Is IGB eligible for the Prostheses List?</w:t>
            </w:r>
          </w:p>
        </w:tc>
      </w:tr>
      <w:tr w:rsidR="00B156AA" w:rsidRPr="00553A57" w14:paraId="06465381" w14:textId="77777777" w:rsidTr="00B156AA">
        <w:trPr>
          <w:trHeight w:val="1198"/>
        </w:trPr>
        <w:tc>
          <w:tcPr>
            <w:tcW w:w="4077" w:type="dxa"/>
            <w:hideMark/>
          </w:tcPr>
          <w:p w14:paraId="557A3DFD" w14:textId="77777777" w:rsidR="00B156AA" w:rsidRPr="00553A57" w:rsidRDefault="00B156AA" w:rsidP="00B156AA">
            <w:pPr>
              <w:pStyle w:val="TableText"/>
              <w:rPr>
                <w:rFonts w:ascii="Arial" w:hAnsi="Arial" w:cs="Arial"/>
                <w:sz w:val="20"/>
                <w:szCs w:val="22"/>
              </w:rPr>
            </w:pPr>
            <w:r w:rsidRPr="00553A57">
              <w:rPr>
                <w:rFonts w:ascii="Arial" w:hAnsi="Arial" w:cs="Arial"/>
                <w:sz w:val="20"/>
                <w:szCs w:val="22"/>
              </w:rPr>
              <w:t>Item descriptor</w:t>
            </w:r>
          </w:p>
        </w:tc>
        <w:tc>
          <w:tcPr>
            <w:tcW w:w="4939" w:type="dxa"/>
            <w:hideMark/>
          </w:tcPr>
          <w:p w14:paraId="4DA90613" w14:textId="77777777" w:rsidR="00B156AA" w:rsidRPr="00553A57" w:rsidRDefault="00B156AA" w:rsidP="00B156AA">
            <w:pPr>
              <w:pStyle w:val="Bullet"/>
              <w:numPr>
                <w:ilvl w:val="0"/>
                <w:numId w:val="27"/>
              </w:numPr>
              <w:spacing w:after="120" w:line="240" w:lineRule="auto"/>
              <w:contextualSpacing w:val="0"/>
              <w:rPr>
                <w:rFonts w:ascii="Arial" w:hAnsi="Arial" w:cs="Arial"/>
                <w:sz w:val="20"/>
              </w:rPr>
            </w:pPr>
            <w:r w:rsidRPr="00553A57">
              <w:rPr>
                <w:rFonts w:ascii="Arial" w:hAnsi="Arial" w:cs="Arial"/>
                <w:sz w:val="20"/>
              </w:rPr>
              <w:t>Should it be generic or specific?</w:t>
            </w:r>
          </w:p>
          <w:p w14:paraId="685AE7B5" w14:textId="77777777" w:rsidR="00B156AA" w:rsidRPr="00553A57" w:rsidRDefault="00B156AA" w:rsidP="00B156AA">
            <w:pPr>
              <w:pStyle w:val="Bullet"/>
              <w:numPr>
                <w:ilvl w:val="0"/>
                <w:numId w:val="27"/>
              </w:numPr>
              <w:spacing w:after="120" w:line="240" w:lineRule="auto"/>
              <w:contextualSpacing w:val="0"/>
              <w:rPr>
                <w:rFonts w:ascii="Arial" w:hAnsi="Arial" w:cs="Arial"/>
                <w:sz w:val="20"/>
              </w:rPr>
            </w:pPr>
            <w:r w:rsidRPr="00553A57">
              <w:rPr>
                <w:rFonts w:ascii="Arial" w:hAnsi="Arial" w:cs="Arial"/>
                <w:sz w:val="20"/>
              </w:rPr>
              <w:t>Should use be limited to once per lifetime?</w:t>
            </w:r>
          </w:p>
          <w:p w14:paraId="0277FEAC" w14:textId="77777777" w:rsidR="00B156AA" w:rsidRPr="00553A57" w:rsidRDefault="00B156AA" w:rsidP="00B156AA">
            <w:pPr>
              <w:pStyle w:val="Bullet"/>
              <w:numPr>
                <w:ilvl w:val="0"/>
                <w:numId w:val="27"/>
              </w:numPr>
              <w:spacing w:after="120" w:line="240" w:lineRule="auto"/>
              <w:contextualSpacing w:val="0"/>
              <w:rPr>
                <w:rFonts w:ascii="Arial" w:hAnsi="Arial" w:cs="Arial"/>
                <w:sz w:val="20"/>
              </w:rPr>
            </w:pPr>
            <w:r w:rsidRPr="00553A57">
              <w:rPr>
                <w:rFonts w:ascii="Arial" w:hAnsi="Arial" w:cs="Arial"/>
                <w:sz w:val="20"/>
              </w:rPr>
              <w:t>Should it specify that IGB is intended as an adjunct to lifestyle interventions and pharmacotherapy?</w:t>
            </w:r>
          </w:p>
          <w:p w14:paraId="5071BFE2" w14:textId="77777777" w:rsidR="00B156AA" w:rsidRPr="00553A57" w:rsidRDefault="00B156AA" w:rsidP="00B156AA">
            <w:pPr>
              <w:pStyle w:val="Bullet"/>
              <w:numPr>
                <w:ilvl w:val="0"/>
                <w:numId w:val="27"/>
              </w:numPr>
              <w:spacing w:after="120" w:line="240" w:lineRule="auto"/>
              <w:contextualSpacing w:val="0"/>
              <w:rPr>
                <w:rFonts w:ascii="Arial" w:hAnsi="Arial" w:cs="Arial"/>
                <w:sz w:val="20"/>
              </w:rPr>
            </w:pPr>
            <w:r w:rsidRPr="00553A57">
              <w:rPr>
                <w:rFonts w:ascii="Arial" w:hAnsi="Arial" w:cs="Arial"/>
                <w:sz w:val="20"/>
              </w:rPr>
              <w:t>‘Failed first-line treatment’ needs to be defined</w:t>
            </w:r>
          </w:p>
          <w:p w14:paraId="36DB322C" w14:textId="77777777" w:rsidR="00B156AA" w:rsidRPr="00553A57" w:rsidRDefault="00B156AA" w:rsidP="00B156AA">
            <w:pPr>
              <w:pStyle w:val="Bullet"/>
              <w:numPr>
                <w:ilvl w:val="0"/>
                <w:numId w:val="27"/>
              </w:numPr>
              <w:spacing w:after="120" w:line="240" w:lineRule="auto"/>
              <w:contextualSpacing w:val="0"/>
              <w:rPr>
                <w:rFonts w:ascii="Arial" w:hAnsi="Arial" w:cs="Arial"/>
                <w:sz w:val="20"/>
              </w:rPr>
            </w:pPr>
            <w:r w:rsidRPr="00553A57">
              <w:rPr>
                <w:rFonts w:ascii="Arial" w:hAnsi="Arial" w:cs="Arial"/>
                <w:sz w:val="20"/>
              </w:rPr>
              <w:t>Fee should be justified.</w:t>
            </w:r>
          </w:p>
          <w:p w14:paraId="12209023" w14:textId="77777777" w:rsidR="00B156AA" w:rsidRPr="00553A57" w:rsidRDefault="00B156AA" w:rsidP="00B156AA">
            <w:pPr>
              <w:pStyle w:val="Bullet"/>
              <w:numPr>
                <w:ilvl w:val="0"/>
                <w:numId w:val="27"/>
              </w:numPr>
              <w:spacing w:after="120" w:line="240" w:lineRule="auto"/>
              <w:contextualSpacing w:val="0"/>
              <w:rPr>
                <w:rFonts w:ascii="Arial" w:hAnsi="Arial" w:cs="Arial"/>
                <w:sz w:val="20"/>
              </w:rPr>
            </w:pPr>
            <w:r w:rsidRPr="00553A57">
              <w:rPr>
                <w:rFonts w:ascii="Arial" w:hAnsi="Arial" w:cs="Arial"/>
                <w:sz w:val="20"/>
              </w:rPr>
              <w:t>Should there be billing restrictions (e.g. co-claiming, EMSN considerations)?</w:t>
            </w:r>
          </w:p>
        </w:tc>
      </w:tr>
    </w:tbl>
    <w:p w14:paraId="2D822D66" w14:textId="10F53260" w:rsidR="00B156AA" w:rsidRPr="00EA073F" w:rsidRDefault="00B156AA" w:rsidP="00B044E4">
      <w:pPr>
        <w:tabs>
          <w:tab w:val="left" w:pos="2265"/>
          <w:tab w:val="left" w:pos="3420"/>
          <w:tab w:val="left" w:pos="4320"/>
        </w:tabs>
        <w:spacing w:before="240" w:after="120"/>
        <w:rPr>
          <w:b/>
        </w:rPr>
      </w:pPr>
      <w:r w:rsidRPr="00C737BB">
        <w:rPr>
          <w:b/>
        </w:rPr>
        <w:t>ESC Discussion</w:t>
      </w:r>
    </w:p>
    <w:p w14:paraId="079A77A1" w14:textId="74F2A538" w:rsidR="00B156AA" w:rsidRDefault="00B156AA" w:rsidP="00B044E4">
      <w:pPr>
        <w:spacing w:after="240"/>
      </w:pPr>
      <w:r>
        <w:t>Application 1515 requests Medicare Benefits Schedule (MBS) listing of the endoscopic placement and removal of an intragastric balloon (IGB) for the treatment of patients aged ≥18 years with a body mass index (BMI) of 30.0–34.9 kg/m</w:t>
      </w:r>
      <w:r w:rsidRPr="00470CCA">
        <w:rPr>
          <w:vertAlign w:val="superscript"/>
        </w:rPr>
        <w:t>2</w:t>
      </w:r>
      <w:r>
        <w:t xml:space="preserve"> who have poorly controlled type 2 diabetes mellitus (T2DM) and who have failed first-line treatment options for obesity. ESC noted that this range of BMIs was chosen because these patients are not eligible for MBS rebates for bariatric surgery.</w:t>
      </w:r>
    </w:p>
    <w:p w14:paraId="3C17D39B" w14:textId="766DB845" w:rsidR="00B156AA" w:rsidRDefault="00B156AA" w:rsidP="00B044E4">
      <w:pPr>
        <w:spacing w:after="240"/>
      </w:pPr>
      <w:r>
        <w:t>ESC noted that the title of the application has been changed to incorporate T2DM, but there is no evidence to specifically address this population.</w:t>
      </w:r>
    </w:p>
    <w:p w14:paraId="791DC3B0" w14:textId="77777777" w:rsidR="00B156AA" w:rsidRDefault="00B156AA" w:rsidP="00B156AA">
      <w:pPr>
        <w:pStyle w:val="NormalBeforeBullet"/>
      </w:pPr>
      <w:r>
        <w:t>ESC noted a number of issues with the item descriptor:</w:t>
      </w:r>
    </w:p>
    <w:p w14:paraId="05E923BD" w14:textId="77777777" w:rsidR="00B156AA" w:rsidRPr="007A5185" w:rsidRDefault="00B156AA" w:rsidP="00B156AA">
      <w:pPr>
        <w:pStyle w:val="Bullet"/>
        <w:numPr>
          <w:ilvl w:val="0"/>
          <w:numId w:val="27"/>
        </w:numPr>
        <w:spacing w:after="120" w:line="240" w:lineRule="auto"/>
        <w:contextualSpacing w:val="0"/>
        <w:rPr>
          <w:rFonts w:ascii="Times New Roman" w:hAnsi="Times New Roman" w:cs="Times New Roman"/>
          <w:sz w:val="24"/>
          <w:szCs w:val="24"/>
        </w:rPr>
      </w:pPr>
      <w:r w:rsidRPr="007A5185">
        <w:rPr>
          <w:rFonts w:ascii="Times New Roman" w:hAnsi="Times New Roman" w:cs="Times New Roman"/>
          <w:sz w:val="24"/>
          <w:szCs w:val="24"/>
        </w:rPr>
        <w:t xml:space="preserve">The descriptor does not limit the number of insertions that can be performed; ESC queried whether </w:t>
      </w:r>
      <w:r>
        <w:rPr>
          <w:rFonts w:ascii="Times New Roman" w:hAnsi="Times New Roman" w:cs="Times New Roman"/>
          <w:sz w:val="24"/>
          <w:szCs w:val="24"/>
        </w:rPr>
        <w:t>there should be a cap on the number of services per patient</w:t>
      </w:r>
      <w:r w:rsidRPr="007A5185">
        <w:rPr>
          <w:rFonts w:ascii="Times New Roman" w:hAnsi="Times New Roman" w:cs="Times New Roman"/>
          <w:sz w:val="24"/>
          <w:szCs w:val="24"/>
        </w:rPr>
        <w:t>. ESC noted the applicant’s statement in the pre-ESC response that it is most commonly used once per lifetime, and that modelling has also been based on the assumption of once per lifetime.</w:t>
      </w:r>
    </w:p>
    <w:p w14:paraId="5C0CB33E" w14:textId="77777777" w:rsidR="00B156AA" w:rsidRPr="007A5185" w:rsidRDefault="00B156AA" w:rsidP="00B156AA">
      <w:pPr>
        <w:pStyle w:val="Bullet"/>
        <w:numPr>
          <w:ilvl w:val="0"/>
          <w:numId w:val="27"/>
        </w:numPr>
        <w:spacing w:after="120" w:line="240" w:lineRule="auto"/>
        <w:contextualSpacing w:val="0"/>
        <w:rPr>
          <w:rFonts w:ascii="Times New Roman" w:hAnsi="Times New Roman" w:cs="Times New Roman"/>
          <w:sz w:val="24"/>
          <w:szCs w:val="24"/>
        </w:rPr>
      </w:pPr>
      <w:r w:rsidRPr="007A5185">
        <w:rPr>
          <w:rFonts w:ascii="Times New Roman" w:hAnsi="Times New Roman" w:cs="Times New Roman"/>
          <w:sz w:val="24"/>
          <w:szCs w:val="24"/>
        </w:rPr>
        <w:lastRenderedPageBreak/>
        <w:t xml:space="preserve">The evidence base is restricted to the </w:t>
      </w:r>
      <w:proofErr w:type="spellStart"/>
      <w:r w:rsidRPr="007A5185">
        <w:rPr>
          <w:rFonts w:ascii="Times New Roman" w:hAnsi="Times New Roman" w:cs="Times New Roman"/>
          <w:sz w:val="24"/>
          <w:szCs w:val="24"/>
        </w:rPr>
        <w:t>Orbera</w:t>
      </w:r>
      <w:proofErr w:type="spellEnd"/>
      <w:r w:rsidRPr="007A5185">
        <w:rPr>
          <w:rFonts w:ascii="Times New Roman" w:hAnsi="Times New Roman" w:cs="Times New Roman"/>
          <w:sz w:val="24"/>
          <w:szCs w:val="24"/>
        </w:rPr>
        <w:t xml:space="preserve"> device, which is currently approved by the TGA to be left in place for 6 months only. The </w:t>
      </w:r>
      <w:proofErr w:type="spellStart"/>
      <w:r w:rsidRPr="007A5185">
        <w:rPr>
          <w:rFonts w:ascii="Times New Roman" w:hAnsi="Times New Roman" w:cs="Times New Roman"/>
          <w:sz w:val="24"/>
          <w:szCs w:val="24"/>
        </w:rPr>
        <w:t>Spatz</w:t>
      </w:r>
      <w:proofErr w:type="spellEnd"/>
      <w:r w:rsidRPr="007A5185">
        <w:rPr>
          <w:rFonts w:ascii="Times New Roman" w:hAnsi="Times New Roman" w:cs="Times New Roman"/>
          <w:sz w:val="24"/>
          <w:szCs w:val="24"/>
        </w:rPr>
        <w:t xml:space="preserve"> device can be adjusted </w:t>
      </w:r>
      <w:r w:rsidRPr="007A5185">
        <w:rPr>
          <w:rFonts w:ascii="Times New Roman" w:hAnsi="Times New Roman" w:cs="Times New Roman"/>
          <w:i/>
          <w:sz w:val="24"/>
          <w:szCs w:val="24"/>
        </w:rPr>
        <w:t>in situ</w:t>
      </w:r>
      <w:r w:rsidRPr="007A5185">
        <w:rPr>
          <w:rFonts w:ascii="Times New Roman" w:hAnsi="Times New Roman" w:cs="Times New Roman"/>
          <w:sz w:val="24"/>
          <w:szCs w:val="24"/>
        </w:rPr>
        <w:t xml:space="preserve"> and can be left in place for 12 months. ESC suggested that</w:t>
      </w:r>
      <w:r>
        <w:rPr>
          <w:rFonts w:ascii="Times New Roman" w:hAnsi="Times New Roman" w:cs="Times New Roman"/>
          <w:sz w:val="24"/>
          <w:szCs w:val="24"/>
        </w:rPr>
        <w:t>,</w:t>
      </w:r>
      <w:r w:rsidRPr="007A5185">
        <w:rPr>
          <w:rFonts w:ascii="Times New Roman" w:hAnsi="Times New Roman" w:cs="Times New Roman"/>
          <w:sz w:val="24"/>
          <w:szCs w:val="24"/>
        </w:rPr>
        <w:t xml:space="preserve"> for a generic MBS item, the descriptor could be changed to something like ‘fluid-filled, single-balloon IGB that can remain in the stomach for 6 or 12 months’. </w:t>
      </w:r>
    </w:p>
    <w:p w14:paraId="6E454A75" w14:textId="77777777" w:rsidR="00B156AA" w:rsidRPr="007A5185" w:rsidRDefault="00B156AA" w:rsidP="00B156AA">
      <w:pPr>
        <w:pStyle w:val="Bullet"/>
        <w:numPr>
          <w:ilvl w:val="0"/>
          <w:numId w:val="27"/>
        </w:numPr>
        <w:spacing w:after="120" w:line="240" w:lineRule="auto"/>
        <w:contextualSpacing w:val="0"/>
        <w:rPr>
          <w:rFonts w:ascii="Times New Roman" w:hAnsi="Times New Roman" w:cs="Times New Roman"/>
          <w:sz w:val="24"/>
          <w:szCs w:val="24"/>
        </w:rPr>
      </w:pPr>
      <w:r w:rsidRPr="007A5185">
        <w:rPr>
          <w:rFonts w:ascii="Times New Roman" w:hAnsi="Times New Roman" w:cs="Times New Roman"/>
          <w:sz w:val="24"/>
          <w:szCs w:val="24"/>
        </w:rPr>
        <w:t>‘Failed first-line treatments’ is not defined. ESC noted that the applicant clarified in the</w:t>
      </w:r>
      <w:r>
        <w:rPr>
          <w:rFonts w:ascii="Times New Roman" w:hAnsi="Times New Roman" w:cs="Times New Roman"/>
          <w:sz w:val="24"/>
          <w:szCs w:val="24"/>
        </w:rPr>
        <w:t xml:space="preserve">ir </w:t>
      </w:r>
      <w:r w:rsidRPr="007A5185">
        <w:rPr>
          <w:rFonts w:ascii="Times New Roman" w:hAnsi="Times New Roman" w:cs="Times New Roman"/>
          <w:sz w:val="24"/>
          <w:szCs w:val="24"/>
        </w:rPr>
        <w:t xml:space="preserve">response </w:t>
      </w:r>
      <w:r>
        <w:rPr>
          <w:rFonts w:ascii="Times New Roman" w:hAnsi="Times New Roman" w:cs="Times New Roman"/>
          <w:sz w:val="24"/>
          <w:szCs w:val="24"/>
        </w:rPr>
        <w:t xml:space="preserve">to the PASC Outcomes </w:t>
      </w:r>
      <w:r w:rsidRPr="007A5185">
        <w:rPr>
          <w:rFonts w:ascii="Times New Roman" w:hAnsi="Times New Roman" w:cs="Times New Roman"/>
          <w:sz w:val="24"/>
          <w:szCs w:val="24"/>
        </w:rPr>
        <w:t>that this relates to treatment for obesity, not T2DM.</w:t>
      </w:r>
      <w:r>
        <w:rPr>
          <w:rFonts w:ascii="Times New Roman" w:hAnsi="Times New Roman" w:cs="Times New Roman"/>
          <w:sz w:val="24"/>
          <w:szCs w:val="24"/>
        </w:rPr>
        <w:t xml:space="preserve"> (MSAC may wish to consider if this is an appropriate definition).</w:t>
      </w:r>
      <w:r w:rsidRPr="007A5185">
        <w:rPr>
          <w:rFonts w:ascii="Times New Roman" w:hAnsi="Times New Roman" w:cs="Times New Roman"/>
          <w:sz w:val="24"/>
          <w:szCs w:val="24"/>
        </w:rPr>
        <w:t xml:space="preserve"> The</w:t>
      </w:r>
      <w:r>
        <w:rPr>
          <w:rFonts w:ascii="Times New Roman" w:hAnsi="Times New Roman" w:cs="Times New Roman"/>
          <w:sz w:val="24"/>
          <w:szCs w:val="24"/>
        </w:rPr>
        <w:t>n</w:t>
      </w:r>
      <w:r w:rsidRPr="007A5185">
        <w:rPr>
          <w:rFonts w:ascii="Times New Roman" w:hAnsi="Times New Roman" w:cs="Times New Roman"/>
          <w:sz w:val="24"/>
          <w:szCs w:val="24"/>
        </w:rPr>
        <w:t xml:space="preserve"> the descriptor should be amended to reflect this.</w:t>
      </w:r>
    </w:p>
    <w:p w14:paraId="73464AC9" w14:textId="77777777" w:rsidR="00B156AA" w:rsidRPr="007A5185" w:rsidRDefault="00B156AA" w:rsidP="00B156AA">
      <w:pPr>
        <w:pStyle w:val="Bullet"/>
        <w:numPr>
          <w:ilvl w:val="0"/>
          <w:numId w:val="27"/>
        </w:numPr>
        <w:spacing w:after="120" w:line="240" w:lineRule="auto"/>
        <w:contextualSpacing w:val="0"/>
        <w:rPr>
          <w:rFonts w:ascii="Times New Roman" w:hAnsi="Times New Roman" w:cs="Times New Roman"/>
          <w:sz w:val="24"/>
          <w:szCs w:val="24"/>
        </w:rPr>
      </w:pPr>
      <w:r w:rsidRPr="007A5185">
        <w:rPr>
          <w:rFonts w:ascii="Times New Roman" w:hAnsi="Times New Roman" w:cs="Times New Roman"/>
          <w:sz w:val="24"/>
          <w:szCs w:val="24"/>
        </w:rPr>
        <w:t>The descriptor states that placement of an IGB can be delivered as a standalone procedure. However, ESC noted that it is intended to be used as an adjunct to lifestyle interventions and pharmacotherapy, whic</w:t>
      </w:r>
      <w:bookmarkStart w:id="23" w:name="Editing"/>
      <w:bookmarkEnd w:id="23"/>
      <w:r w:rsidRPr="007A5185">
        <w:rPr>
          <w:rFonts w:ascii="Times New Roman" w:hAnsi="Times New Roman" w:cs="Times New Roman"/>
          <w:sz w:val="24"/>
          <w:szCs w:val="24"/>
        </w:rPr>
        <w:t xml:space="preserve">h should be reflected in the descriptor. </w:t>
      </w:r>
    </w:p>
    <w:p w14:paraId="6AAFEA97" w14:textId="77777777" w:rsidR="00B156AA" w:rsidRPr="007A5185" w:rsidRDefault="00B156AA" w:rsidP="00B156AA">
      <w:pPr>
        <w:pStyle w:val="Bullet"/>
        <w:numPr>
          <w:ilvl w:val="0"/>
          <w:numId w:val="27"/>
        </w:numPr>
        <w:spacing w:after="120" w:line="240" w:lineRule="auto"/>
        <w:contextualSpacing w:val="0"/>
        <w:rPr>
          <w:rFonts w:ascii="Times New Roman" w:hAnsi="Times New Roman" w:cs="Times New Roman"/>
          <w:sz w:val="24"/>
          <w:szCs w:val="24"/>
        </w:rPr>
      </w:pPr>
      <w:r w:rsidRPr="007A5185">
        <w:rPr>
          <w:rFonts w:ascii="Times New Roman" w:hAnsi="Times New Roman" w:cs="Times New Roman"/>
          <w:sz w:val="24"/>
          <w:szCs w:val="24"/>
        </w:rPr>
        <w:t>There is no age limit beyond 18 years; however, the evidence base is restricted to patients up to 65 years. ESC noted that MBS bariatric surgery items have no upper age limit.</w:t>
      </w:r>
    </w:p>
    <w:p w14:paraId="79C7A082" w14:textId="77777777" w:rsidR="00B156AA" w:rsidRPr="007A5185" w:rsidRDefault="00B156AA" w:rsidP="00B156AA">
      <w:pPr>
        <w:pStyle w:val="Bullet"/>
        <w:numPr>
          <w:ilvl w:val="0"/>
          <w:numId w:val="27"/>
        </w:numPr>
        <w:spacing w:after="120" w:line="240" w:lineRule="auto"/>
        <w:contextualSpacing w:val="0"/>
        <w:rPr>
          <w:rFonts w:ascii="Times New Roman" w:hAnsi="Times New Roman" w:cs="Times New Roman"/>
          <w:sz w:val="24"/>
          <w:szCs w:val="24"/>
        </w:rPr>
      </w:pPr>
      <w:r w:rsidRPr="007A5185">
        <w:rPr>
          <w:rFonts w:ascii="Times New Roman" w:hAnsi="Times New Roman" w:cs="Times New Roman"/>
          <w:sz w:val="24"/>
          <w:szCs w:val="24"/>
        </w:rPr>
        <w:t>The Department commented on the applicant using a range of BMI rather than a class of obesity; however, ESC considered a BMI range to be acceptable.</w:t>
      </w:r>
    </w:p>
    <w:p w14:paraId="7A658C84" w14:textId="0E3E8C70" w:rsidR="00B156AA" w:rsidRPr="00AA3A79" w:rsidRDefault="00B156AA" w:rsidP="00B156AA">
      <w:pPr>
        <w:pStyle w:val="BulletLast"/>
        <w:numPr>
          <w:ilvl w:val="0"/>
          <w:numId w:val="27"/>
        </w:numPr>
      </w:pPr>
      <w:r>
        <w:t>ESC noted that the same fee has been listed for both insertion and removal. Although c</w:t>
      </w:r>
      <w:r w:rsidRPr="00AA3A79">
        <w:t>onsultation feedback suggests that device removal requires similar or higher effort compared with device placement</w:t>
      </w:r>
      <w:r>
        <w:t>, the applicant (in the pre-ESC response) states that both procedures take a similar amount of time and that the same fee is warranted</w:t>
      </w:r>
      <w:r w:rsidRPr="00AA3A79">
        <w:t>.</w:t>
      </w:r>
      <w:r>
        <w:t xml:space="preserve"> ESC noted that the suggested fee is </w:t>
      </w:r>
      <w:r w:rsidR="00117124" w:rsidRPr="006A2BF8">
        <w:rPr>
          <w:b/>
          <w:color w:val="auto"/>
        </w:rPr>
        <w:t>redacted</w:t>
      </w:r>
      <w:r w:rsidRPr="006A2BF8">
        <w:rPr>
          <w:color w:val="auto"/>
        </w:rPr>
        <w:t xml:space="preserve"> </w:t>
      </w:r>
      <w:r>
        <w:t xml:space="preserve">of MBS fees for endoscopic gastrointestinal procedures, which generally range from $184 - $357, and that this amount has not been justified. </w:t>
      </w:r>
    </w:p>
    <w:p w14:paraId="57B17C13" w14:textId="34A856B9" w:rsidR="00B156AA" w:rsidRDefault="00B156AA" w:rsidP="00B044E4">
      <w:pPr>
        <w:spacing w:after="240"/>
      </w:pPr>
      <w:r>
        <w:t>ESC noted that t</w:t>
      </w:r>
      <w:r w:rsidRPr="00D001D1">
        <w:t>he PICO specified patients with</w:t>
      </w:r>
      <w:r>
        <w:t xml:space="preserve"> a</w:t>
      </w:r>
      <w:r w:rsidRPr="00D001D1">
        <w:t xml:space="preserve"> BMI </w:t>
      </w:r>
      <w:r>
        <w:t xml:space="preserve">of </w:t>
      </w:r>
      <w:r w:rsidRPr="00D001D1">
        <w:t>30</w:t>
      </w:r>
      <w:r>
        <w:t>–</w:t>
      </w:r>
      <w:r w:rsidRPr="00D001D1">
        <w:t>34.9</w:t>
      </w:r>
      <w:r>
        <w:t> </w:t>
      </w:r>
      <w:r w:rsidRPr="00D001D1">
        <w:t>kg/m</w:t>
      </w:r>
      <w:r w:rsidRPr="00725B02">
        <w:rPr>
          <w:vertAlign w:val="superscript"/>
        </w:rPr>
        <w:t>2</w:t>
      </w:r>
      <w:r w:rsidRPr="00D001D1">
        <w:t xml:space="preserve"> with uncontrolled T2DM who have failed first</w:t>
      </w:r>
      <w:r>
        <w:t>-</w:t>
      </w:r>
      <w:r w:rsidRPr="00D001D1">
        <w:t>line treatments</w:t>
      </w:r>
      <w:r>
        <w:t>. However, t</w:t>
      </w:r>
      <w:r w:rsidRPr="00D001D1">
        <w:t>he clinical RCT evidence is broader</w:t>
      </w:r>
      <w:r>
        <w:t>:</w:t>
      </w:r>
      <w:r w:rsidRPr="00D001D1">
        <w:t xml:space="preserve"> patients with BMI 30</w:t>
      </w:r>
      <w:r>
        <w:t>–</w:t>
      </w:r>
      <w:r w:rsidRPr="00D001D1">
        <w:t>40</w:t>
      </w:r>
      <w:r>
        <w:t> </w:t>
      </w:r>
      <w:r w:rsidRPr="00D001D1">
        <w:t>kg/m</w:t>
      </w:r>
      <w:r w:rsidRPr="00725B02">
        <w:rPr>
          <w:vertAlign w:val="superscript"/>
        </w:rPr>
        <w:t>2</w:t>
      </w:r>
      <w:r w:rsidRPr="00D001D1">
        <w:t xml:space="preserve"> who have failed first</w:t>
      </w:r>
      <w:r>
        <w:t>-</w:t>
      </w:r>
      <w:r w:rsidRPr="00D001D1">
        <w:t xml:space="preserve">line treatments and do not specifically have T2DM. </w:t>
      </w:r>
      <w:r>
        <w:t xml:space="preserve">ESC considered that </w:t>
      </w:r>
      <w:proofErr w:type="spellStart"/>
      <w:r w:rsidRPr="00CA23EE">
        <w:t>Orbera</w:t>
      </w:r>
      <w:proofErr w:type="spellEnd"/>
      <w:r w:rsidRPr="00CA23EE">
        <w:t xml:space="preserve"> safety </w:t>
      </w:r>
      <w:r>
        <w:t>and</w:t>
      </w:r>
      <w:r w:rsidRPr="00CA23EE">
        <w:t xml:space="preserve"> effectiveness</w:t>
      </w:r>
      <w:r>
        <w:t xml:space="preserve"> is</w:t>
      </w:r>
      <w:r w:rsidRPr="00CA23EE">
        <w:t xml:space="preserve"> likely to be similar in </w:t>
      </w:r>
      <w:r>
        <w:t xml:space="preserve">the </w:t>
      </w:r>
      <w:r w:rsidRPr="00CA23EE">
        <w:t>narrower BMI group</w:t>
      </w:r>
      <w:r>
        <w:t>.</w:t>
      </w:r>
    </w:p>
    <w:p w14:paraId="4EF1BC45" w14:textId="77777777" w:rsidR="00B156AA" w:rsidRDefault="00B156AA" w:rsidP="00B156AA">
      <w:r>
        <w:t xml:space="preserve">ESC noted that </w:t>
      </w:r>
      <w:r w:rsidRPr="00D001D1">
        <w:t>PASC suggested assess</w:t>
      </w:r>
      <w:r>
        <w:t>ment of</w:t>
      </w:r>
      <w:r w:rsidRPr="00D001D1">
        <w:t xml:space="preserve"> IGB uptake rate (not from bariatric surgery) and multiple insertions</w:t>
      </w:r>
      <w:r>
        <w:t>; however,</w:t>
      </w:r>
      <w:r w:rsidRPr="00D001D1">
        <w:t xml:space="preserve"> </w:t>
      </w:r>
      <w:r>
        <w:t>this</w:t>
      </w:r>
      <w:r w:rsidRPr="00D001D1">
        <w:t xml:space="preserve"> has not been included in the </w:t>
      </w:r>
      <w:r>
        <w:t>C</w:t>
      </w:r>
      <w:r w:rsidRPr="00D001D1">
        <w:t xml:space="preserve">ontracted </w:t>
      </w:r>
      <w:r>
        <w:t>A</w:t>
      </w:r>
      <w:r w:rsidRPr="00D001D1">
        <w:t xml:space="preserve">ssessment. </w:t>
      </w:r>
    </w:p>
    <w:p w14:paraId="1A23EFAA" w14:textId="583F7449" w:rsidR="00B156AA" w:rsidRDefault="00B156AA" w:rsidP="00B044E4">
      <w:pPr>
        <w:spacing w:after="240"/>
      </w:pPr>
      <w:r>
        <w:t>ESC noted that IGB plus lifestyle intervention is less safe than lifestyle intervention alone, but no comparisons were made with pharmacotherapy. ESC considered that, o</w:t>
      </w:r>
      <w:r w:rsidRPr="000D2A4E">
        <w:t xml:space="preserve">verall, the effectiveness of IGB plus lifestyle compared to lifestyle intervention alone is uncertain. </w:t>
      </w:r>
      <w:r>
        <w:t>In addition, t</w:t>
      </w:r>
      <w:r w:rsidRPr="000D2A4E">
        <w:t xml:space="preserve">here is a high risk of bias in both </w:t>
      </w:r>
      <w:r>
        <w:t xml:space="preserve">the </w:t>
      </w:r>
      <w:proofErr w:type="spellStart"/>
      <w:r w:rsidRPr="000D2A4E">
        <w:t>Courcoulas</w:t>
      </w:r>
      <w:proofErr w:type="spellEnd"/>
      <w:r w:rsidRPr="000D2A4E">
        <w:t xml:space="preserve"> </w:t>
      </w:r>
      <w:r>
        <w:t>(</w:t>
      </w:r>
      <w:r w:rsidRPr="000D2A4E">
        <w:t>2017</w:t>
      </w:r>
      <w:r>
        <w:t>)</w:t>
      </w:r>
      <w:r w:rsidRPr="000D2A4E">
        <w:t xml:space="preserve"> and Fuller </w:t>
      </w:r>
      <w:r>
        <w:t>(</w:t>
      </w:r>
      <w:r w:rsidRPr="000D2A4E">
        <w:t>2013</w:t>
      </w:r>
      <w:r>
        <w:t>) RCTs</w:t>
      </w:r>
      <w:r w:rsidRPr="000D2A4E">
        <w:t>, which could be attributable to the open-label</w:t>
      </w:r>
      <w:r w:rsidR="00B044E4">
        <w:t xml:space="preserve"> design and the attrition rate.</w:t>
      </w:r>
    </w:p>
    <w:p w14:paraId="0373B6A4" w14:textId="174FC280" w:rsidR="00B156AA" w:rsidRDefault="00B156AA" w:rsidP="00B044E4">
      <w:pPr>
        <w:spacing w:after="240"/>
      </w:pPr>
      <w:r w:rsidRPr="000D2A4E">
        <w:t>The meta-analysis results from the two RCTs on weight loss outcomes significantly favoured IGB plus lifestyle over lifestyle alone. However, weight regain from 6</w:t>
      </w:r>
      <w:r>
        <w:t>–</w:t>
      </w:r>
      <w:r w:rsidRPr="000D2A4E">
        <w:t>12</w:t>
      </w:r>
      <w:r>
        <w:t> </w:t>
      </w:r>
      <w:r w:rsidRPr="000D2A4E">
        <w:t>months was substantial in both studies. The effect size of the weight loss outcomes was consistently smaller at 12</w:t>
      </w:r>
      <w:r>
        <w:t> </w:t>
      </w:r>
      <w:r w:rsidRPr="000D2A4E">
        <w:t>months than 6</w:t>
      </w:r>
      <w:r>
        <w:t> </w:t>
      </w:r>
      <w:r w:rsidRPr="000D2A4E">
        <w:t>months. Given that the follow-up period is only for 12</w:t>
      </w:r>
      <w:r>
        <w:t> </w:t>
      </w:r>
      <w:r w:rsidRPr="000D2A4E">
        <w:t>months, it is uncertain whether the effectiveness of the IGB plus lifestyle intervention can be sustained</w:t>
      </w:r>
      <w:r>
        <w:t xml:space="preserve"> in the</w:t>
      </w:r>
      <w:r w:rsidRPr="000D2A4E">
        <w:t xml:space="preserve"> longer term. </w:t>
      </w:r>
      <w:r>
        <w:t>Specifically, t</w:t>
      </w:r>
      <w:r w:rsidRPr="000D2A4E">
        <w:t>here is a lack of RCT or high-quality observational evidence to support effectiveness beyond 12</w:t>
      </w:r>
      <w:r>
        <w:t> </w:t>
      </w:r>
      <w:r w:rsidRPr="000D2A4E">
        <w:t>months.</w:t>
      </w:r>
    </w:p>
    <w:p w14:paraId="09327325" w14:textId="77777777" w:rsidR="00B156AA" w:rsidRDefault="00B156AA" w:rsidP="00B156AA">
      <w:r>
        <w:t xml:space="preserve">ESC noted that although use of an IGB resulted in more weight loss and an improved </w:t>
      </w:r>
      <w:r w:rsidRPr="00444783">
        <w:t>quality of life</w:t>
      </w:r>
      <w:r>
        <w:t xml:space="preserve"> (</w:t>
      </w:r>
      <w:proofErr w:type="spellStart"/>
      <w:r>
        <w:t>QoL</w:t>
      </w:r>
      <w:proofErr w:type="spellEnd"/>
      <w:r>
        <w:t>) score initially, there was substantial weight regain before the end of the follow-up period. In addition, observational studies did not support</w:t>
      </w:r>
      <w:r w:rsidRPr="0052794B">
        <w:t xml:space="preserve"> longer-term maintenance of </w:t>
      </w:r>
      <w:r>
        <w:t>weight</w:t>
      </w:r>
      <w:r w:rsidRPr="0052794B">
        <w:t xml:space="preserve"> loss</w:t>
      </w:r>
      <w:r>
        <w:t xml:space="preserve"> with adjunct IGB</w:t>
      </w:r>
      <w:r w:rsidRPr="0052794B">
        <w:t>.</w:t>
      </w:r>
    </w:p>
    <w:p w14:paraId="41B10B12" w14:textId="01FDC04C" w:rsidR="00B156AA" w:rsidRPr="00B044E4" w:rsidRDefault="00B156AA" w:rsidP="00B044E4">
      <w:pPr>
        <w:spacing w:after="240"/>
      </w:pPr>
      <w:r>
        <w:lastRenderedPageBreak/>
        <w:t>ESC noted that</w:t>
      </w:r>
      <w:r w:rsidRPr="00444783">
        <w:t xml:space="preserve"> </w:t>
      </w:r>
      <w:r>
        <w:t xml:space="preserve">the </w:t>
      </w:r>
      <w:r w:rsidRPr="008E3CA7">
        <w:t xml:space="preserve">IGB </w:t>
      </w:r>
      <w:r>
        <w:t xml:space="preserve">was </w:t>
      </w:r>
      <w:r w:rsidRPr="008E3CA7">
        <w:t>removed before 6 mo</w:t>
      </w:r>
      <w:r>
        <w:t>nths</w:t>
      </w:r>
      <w:r w:rsidRPr="008E3CA7">
        <w:t xml:space="preserve"> in 9.7% </w:t>
      </w:r>
      <w:r>
        <w:t xml:space="preserve">of patients in the </w:t>
      </w:r>
      <w:r w:rsidRPr="008E3CA7">
        <w:t>Fuller 2013</w:t>
      </w:r>
      <w:r>
        <w:t xml:space="preserve"> study. In </w:t>
      </w:r>
      <w:proofErr w:type="spellStart"/>
      <w:r w:rsidRPr="008E3CA7">
        <w:t>Courcoulas</w:t>
      </w:r>
      <w:proofErr w:type="spellEnd"/>
      <w:r w:rsidRPr="008E3CA7">
        <w:t xml:space="preserve"> 2017</w:t>
      </w:r>
      <w:r>
        <w:t>,</w:t>
      </w:r>
      <w:r w:rsidRPr="008E3CA7">
        <w:t xml:space="preserve"> 18.8% </w:t>
      </w:r>
      <w:r>
        <w:t>of patients had the device removed early due to adverse events, half of which were classified as serious adverse events of device intolerance. ESC considered that t</w:t>
      </w:r>
      <w:r w:rsidRPr="00444783">
        <w:t>his could be a major concern, as the disutility associated with the early removal may be high</w:t>
      </w:r>
      <w:r>
        <w:t>,</w:t>
      </w:r>
      <w:r w:rsidRPr="00444783">
        <w:t xml:space="preserve"> and weight loss and </w:t>
      </w:r>
      <w:proofErr w:type="spellStart"/>
      <w:r>
        <w:t>QoL</w:t>
      </w:r>
      <w:proofErr w:type="spellEnd"/>
      <w:r w:rsidRPr="00444783">
        <w:t xml:space="preserve"> benefits may not be achieved for these patients.</w:t>
      </w:r>
    </w:p>
    <w:p w14:paraId="3A1D5745" w14:textId="0B7E3D1E" w:rsidR="00B156AA" w:rsidRPr="00B03B82" w:rsidRDefault="00B156AA" w:rsidP="00B044E4">
      <w:pPr>
        <w:spacing w:after="240"/>
        <w:rPr>
          <w:szCs w:val="24"/>
        </w:rPr>
      </w:pPr>
      <w:r w:rsidRPr="00B03B82">
        <w:rPr>
          <w:szCs w:val="24"/>
        </w:rPr>
        <w:t>ESC noted that no probabilistic sensitivity analysis</w:t>
      </w:r>
      <w:r>
        <w:rPr>
          <w:szCs w:val="24"/>
        </w:rPr>
        <w:t xml:space="preserve"> (SA)</w:t>
      </w:r>
      <w:r w:rsidRPr="00B03B82">
        <w:rPr>
          <w:szCs w:val="24"/>
        </w:rPr>
        <w:t xml:space="preserve"> was done; only one- and two-way sensitivity analyses. The modelled results were most sensitive to baseline BMI of patients and BMI utility inputs. </w:t>
      </w:r>
      <w:r>
        <w:rPr>
          <w:szCs w:val="24"/>
        </w:rPr>
        <w:t>Specifically, c</w:t>
      </w:r>
      <w:r w:rsidRPr="00B03B82">
        <w:rPr>
          <w:szCs w:val="24"/>
        </w:rPr>
        <w:t>hanges to baseline BMI (above or below 32.5) had a large impact on the ICER. The model was also highly sensitive to the duration of treatment effect. ESC noted that the key drivers mostly favour the comparator</w:t>
      </w:r>
      <w:r>
        <w:rPr>
          <w:szCs w:val="24"/>
        </w:rPr>
        <w:t xml:space="preserve"> (i.e. SA ICER &gt; Base case ICER).</w:t>
      </w:r>
    </w:p>
    <w:p w14:paraId="12A9B3DB" w14:textId="77777777" w:rsidR="00B156AA" w:rsidRPr="00B03B82" w:rsidRDefault="00B156AA" w:rsidP="00B156AA">
      <w:pPr>
        <w:pStyle w:val="NormalBeforeBullet"/>
        <w:rPr>
          <w:szCs w:val="24"/>
        </w:rPr>
      </w:pPr>
      <w:r w:rsidRPr="00B03B82">
        <w:rPr>
          <w:szCs w:val="24"/>
        </w:rPr>
        <w:t>ESC noted there are several issues</w:t>
      </w:r>
      <w:r>
        <w:rPr>
          <w:szCs w:val="24"/>
        </w:rPr>
        <w:t xml:space="preserve"> (as outlined by the Critique)</w:t>
      </w:r>
      <w:r w:rsidRPr="00B03B82">
        <w:rPr>
          <w:szCs w:val="24"/>
        </w:rPr>
        <w:t xml:space="preserve"> with the estimates of budget implications</w:t>
      </w:r>
      <w:r>
        <w:rPr>
          <w:szCs w:val="24"/>
        </w:rPr>
        <w:t>,</w:t>
      </w:r>
      <w:r w:rsidRPr="00B03B82">
        <w:rPr>
          <w:szCs w:val="24"/>
        </w:rPr>
        <w:t xml:space="preserve"> </w:t>
      </w:r>
      <w:r>
        <w:rPr>
          <w:szCs w:val="24"/>
        </w:rPr>
        <w:t>which make the financial estimates uncertain</w:t>
      </w:r>
      <w:r w:rsidRPr="00B03B82">
        <w:rPr>
          <w:szCs w:val="24"/>
        </w:rPr>
        <w:t xml:space="preserve">: </w:t>
      </w:r>
    </w:p>
    <w:p w14:paraId="13659E78" w14:textId="77777777" w:rsidR="00B156AA" w:rsidRPr="00B03B82" w:rsidRDefault="00B156AA" w:rsidP="00B156AA">
      <w:pPr>
        <w:pStyle w:val="Bullet"/>
        <w:numPr>
          <w:ilvl w:val="0"/>
          <w:numId w:val="27"/>
        </w:numPr>
        <w:spacing w:after="120" w:line="240" w:lineRule="auto"/>
        <w:contextualSpacing w:val="0"/>
        <w:rPr>
          <w:rFonts w:ascii="Times New Roman" w:hAnsi="Times New Roman" w:cs="Times New Roman"/>
          <w:sz w:val="24"/>
          <w:szCs w:val="24"/>
        </w:rPr>
      </w:pPr>
      <w:r w:rsidRPr="00B03B82">
        <w:rPr>
          <w:rFonts w:ascii="Times New Roman" w:hAnsi="Times New Roman" w:cs="Times New Roman"/>
          <w:sz w:val="24"/>
          <w:szCs w:val="24"/>
        </w:rPr>
        <w:t xml:space="preserve">The uptake rate for the IGB procedure is the most uncertain parameter and this has a large effect on estimates. PASC’s suggestion to reassess uptake for IGB was partially addressed in the sensitivity analysis. Varying the bariatric surgery uptake rate by 1% each way may not sufficiently capture the high uncertainty of the parameter. </w:t>
      </w:r>
    </w:p>
    <w:p w14:paraId="3C7D2721" w14:textId="6CB84C17" w:rsidR="00B156AA" w:rsidRPr="00B03B82" w:rsidRDefault="00B156AA" w:rsidP="00B156AA">
      <w:pPr>
        <w:pStyle w:val="Bullet"/>
        <w:numPr>
          <w:ilvl w:val="0"/>
          <w:numId w:val="27"/>
        </w:numPr>
        <w:spacing w:after="120" w:line="240" w:lineRule="auto"/>
        <w:contextualSpacing w:val="0"/>
        <w:rPr>
          <w:rFonts w:ascii="Times New Roman" w:hAnsi="Times New Roman" w:cs="Times New Roman"/>
          <w:sz w:val="24"/>
          <w:szCs w:val="24"/>
        </w:rPr>
      </w:pPr>
      <w:r w:rsidRPr="00B03B82">
        <w:rPr>
          <w:rFonts w:ascii="Times New Roman" w:hAnsi="Times New Roman" w:cs="Times New Roman"/>
          <w:sz w:val="24"/>
          <w:szCs w:val="24"/>
        </w:rPr>
        <w:t xml:space="preserve">It is unclear who bears the costs of the IGB device, which may have implications for government health budgets. </w:t>
      </w:r>
      <w:r w:rsidRPr="00B03B82">
        <w:rPr>
          <w:rFonts w:ascii="Times New Roman" w:hAnsi="Times New Roman" w:cs="Times New Roman"/>
          <w:snapToGrid w:val="0"/>
          <w:sz w:val="24"/>
          <w:szCs w:val="24"/>
        </w:rPr>
        <w:t>ESC noted that the IGB device costs up to $</w:t>
      </w:r>
      <w:r w:rsidR="00117124" w:rsidRPr="00117124">
        <w:rPr>
          <w:rFonts w:ascii="Times New Roman" w:hAnsi="Times New Roman" w:cs="Times New Roman"/>
          <w:b/>
          <w:snapToGrid w:val="0"/>
          <w:sz w:val="24"/>
          <w:szCs w:val="24"/>
        </w:rPr>
        <w:t>redacted</w:t>
      </w:r>
      <w:r w:rsidRPr="00B03B82">
        <w:rPr>
          <w:rFonts w:ascii="Times New Roman" w:hAnsi="Times New Roman" w:cs="Times New Roman"/>
          <w:snapToGrid w:val="0"/>
          <w:sz w:val="24"/>
          <w:szCs w:val="24"/>
        </w:rPr>
        <w:t xml:space="preserve"> and is not currently listed on the Prostheses List</w:t>
      </w:r>
      <w:r w:rsidR="00A25E8B">
        <w:rPr>
          <w:rFonts w:ascii="Times New Roman" w:hAnsi="Times New Roman" w:cs="Times New Roman"/>
          <w:snapToGrid w:val="0"/>
          <w:sz w:val="24"/>
          <w:szCs w:val="24"/>
        </w:rPr>
        <w:t>.</w:t>
      </w:r>
      <w:r w:rsidRPr="00B03B82">
        <w:rPr>
          <w:rFonts w:ascii="Times New Roman" w:hAnsi="Times New Roman" w:cs="Times New Roman"/>
          <w:snapToGrid w:val="0"/>
          <w:sz w:val="24"/>
          <w:szCs w:val="24"/>
        </w:rPr>
        <w:t xml:space="preserve"> </w:t>
      </w:r>
      <w:r w:rsidR="00A25E8B">
        <w:rPr>
          <w:rFonts w:ascii="Times New Roman" w:hAnsi="Times New Roman" w:cs="Times New Roman"/>
          <w:snapToGrid w:val="0"/>
          <w:sz w:val="24"/>
          <w:szCs w:val="24"/>
        </w:rPr>
        <w:t>Consequently,</w:t>
      </w:r>
      <w:r w:rsidR="00A25E8B" w:rsidRPr="00B03B82">
        <w:rPr>
          <w:rFonts w:ascii="Times New Roman" w:hAnsi="Times New Roman" w:cs="Times New Roman"/>
          <w:snapToGrid w:val="0"/>
          <w:sz w:val="24"/>
          <w:szCs w:val="24"/>
        </w:rPr>
        <w:t xml:space="preserve"> </w:t>
      </w:r>
      <w:r w:rsidR="00A25E8B">
        <w:rPr>
          <w:rFonts w:ascii="Times New Roman" w:hAnsi="Times New Roman" w:cs="Times New Roman"/>
          <w:snapToGrid w:val="0"/>
          <w:sz w:val="24"/>
          <w:szCs w:val="24"/>
        </w:rPr>
        <w:t>the IGB device cost</w:t>
      </w:r>
      <w:r w:rsidR="00A25E8B" w:rsidRPr="00B03B82">
        <w:rPr>
          <w:rFonts w:ascii="Times New Roman" w:hAnsi="Times New Roman" w:cs="Times New Roman"/>
          <w:snapToGrid w:val="0"/>
          <w:sz w:val="24"/>
          <w:szCs w:val="24"/>
        </w:rPr>
        <w:t xml:space="preserve"> </w:t>
      </w:r>
      <w:r w:rsidRPr="00B03B82">
        <w:rPr>
          <w:rFonts w:ascii="Times New Roman" w:hAnsi="Times New Roman" w:cs="Times New Roman"/>
          <w:snapToGrid w:val="0"/>
          <w:sz w:val="24"/>
          <w:szCs w:val="24"/>
        </w:rPr>
        <w:t>is unlikely to be covered by private health insurance. The applicant has notified the Department that they intend to submit an application for the device to be prostheses listed, pending the MSAC outcome.</w:t>
      </w:r>
    </w:p>
    <w:p w14:paraId="2852E60C" w14:textId="77777777" w:rsidR="00B156AA" w:rsidRPr="00CC282F" w:rsidRDefault="00B156AA" w:rsidP="00B156AA">
      <w:pPr>
        <w:pStyle w:val="BulletLast"/>
        <w:numPr>
          <w:ilvl w:val="0"/>
          <w:numId w:val="27"/>
        </w:numPr>
      </w:pPr>
      <w:r w:rsidRPr="00B03B82">
        <w:rPr>
          <w:szCs w:val="24"/>
        </w:rPr>
        <w:t xml:space="preserve">Costs of complications, adverse events and monthly visits to an operating physician were not included in the estimation of budget implications, so the budget impact is underestimated.  </w:t>
      </w:r>
    </w:p>
    <w:p w14:paraId="0F5011A9" w14:textId="7B358639" w:rsidR="00B156AA" w:rsidRPr="00B02E35" w:rsidRDefault="00B156AA" w:rsidP="00B156AA">
      <w:pPr>
        <w:rPr>
          <w:b/>
        </w:rPr>
      </w:pPr>
      <w:r>
        <w:t xml:space="preserve">ESC confirmed that this is a Type C procedure: it is usually done as </w:t>
      </w:r>
      <w:r w:rsidR="00601550">
        <w:t xml:space="preserve">a </w:t>
      </w:r>
      <w:r>
        <w:t>day</w:t>
      </w:r>
      <w:r w:rsidR="00601550">
        <w:t>-</w:t>
      </w:r>
      <w:r>
        <w:t xml:space="preserve">hospital procedure. </w:t>
      </w:r>
    </w:p>
    <w:p w14:paraId="0DC235D2" w14:textId="77777777" w:rsidR="00D90A38" w:rsidRPr="00F715D1" w:rsidRDefault="00BC1364" w:rsidP="00F715D1">
      <w:pPr>
        <w:pStyle w:val="Heading1"/>
      </w:pPr>
      <w:r w:rsidRPr="00F715D1">
        <w:t>Other significant factors</w:t>
      </w:r>
    </w:p>
    <w:p w14:paraId="6E978052" w14:textId="4F6B2C40" w:rsidR="00BC1364" w:rsidRPr="00EA073F" w:rsidRDefault="00BC1364" w:rsidP="00F715D1">
      <w:pPr>
        <w:spacing w:after="240"/>
        <w:rPr>
          <w:szCs w:val="24"/>
        </w:rPr>
      </w:pPr>
      <w:r w:rsidRPr="00EA073F">
        <w:rPr>
          <w:szCs w:val="24"/>
        </w:rPr>
        <w:t>Nil</w:t>
      </w:r>
    </w:p>
    <w:p w14:paraId="4522AB1F" w14:textId="77777777" w:rsidR="00BC1364" w:rsidRPr="00F715D1" w:rsidRDefault="00BC1364" w:rsidP="00F715D1">
      <w:pPr>
        <w:pStyle w:val="Heading1"/>
      </w:pPr>
      <w:r w:rsidRPr="00F715D1">
        <w:t xml:space="preserve">Applicant’s comments on MSAC’s </w:t>
      </w:r>
      <w:r w:rsidR="00DA56AA" w:rsidRPr="00F715D1">
        <w:t>Public Summary Document</w:t>
      </w:r>
    </w:p>
    <w:p w14:paraId="383667E1" w14:textId="4E71431A" w:rsidR="000E113D" w:rsidRPr="00B044E4" w:rsidRDefault="000E113D" w:rsidP="00B044E4">
      <w:pPr>
        <w:pStyle w:val="KMC16ES-text"/>
        <w:jc w:val="left"/>
        <w:rPr>
          <w:rFonts w:ascii="Times New Roman" w:hAnsi="Times New Roman" w:cs="Times New Roman"/>
          <w:sz w:val="24"/>
          <w:szCs w:val="24"/>
        </w:rPr>
      </w:pPr>
      <w:r w:rsidRPr="00B044E4">
        <w:rPr>
          <w:rFonts w:ascii="Times New Roman" w:hAnsi="Times New Roman" w:cs="Times New Roman"/>
          <w:sz w:val="24"/>
          <w:szCs w:val="24"/>
        </w:rPr>
        <w:t xml:space="preserve">Apollo is committed to making </w:t>
      </w:r>
      <w:proofErr w:type="spellStart"/>
      <w:r w:rsidRPr="00B044E4">
        <w:rPr>
          <w:rFonts w:ascii="Times New Roman" w:hAnsi="Times New Roman" w:cs="Times New Roman"/>
          <w:sz w:val="24"/>
          <w:szCs w:val="24"/>
        </w:rPr>
        <w:t>Orbera</w:t>
      </w:r>
      <w:proofErr w:type="spellEnd"/>
      <w:r w:rsidRPr="00B044E4">
        <w:rPr>
          <w:rFonts w:ascii="Times New Roman" w:hAnsi="Times New Roman" w:cs="Times New Roman"/>
          <w:sz w:val="24"/>
          <w:szCs w:val="24"/>
        </w:rPr>
        <w:t xml:space="preserve"> available to patients who are not eligible for bariatric surgery. </w:t>
      </w:r>
      <w:proofErr w:type="spellStart"/>
      <w:r w:rsidRPr="00B044E4">
        <w:rPr>
          <w:rFonts w:ascii="Times New Roman" w:hAnsi="Times New Roman" w:cs="Times New Roman"/>
          <w:sz w:val="24"/>
          <w:szCs w:val="24"/>
        </w:rPr>
        <w:t>Orbera</w:t>
      </w:r>
      <w:proofErr w:type="spellEnd"/>
      <w:r w:rsidRPr="00B044E4">
        <w:rPr>
          <w:rFonts w:ascii="Times New Roman" w:hAnsi="Times New Roman" w:cs="Times New Roman"/>
          <w:sz w:val="24"/>
          <w:szCs w:val="24"/>
        </w:rPr>
        <w:t xml:space="preserve"> provides an effective treatment option for some people with moderate obesity (Class I obesity: body mass index (BMI) 30-34.9 kg/m2) with T2DM</w:t>
      </w:r>
      <w:r w:rsidR="003B28B3" w:rsidRPr="00B044E4">
        <w:rPr>
          <w:rFonts w:ascii="Times New Roman" w:hAnsi="Times New Roman" w:cs="Times New Roman"/>
          <w:sz w:val="24"/>
          <w:szCs w:val="24"/>
        </w:rPr>
        <w:t xml:space="preserve">; these patients </w:t>
      </w:r>
      <w:r w:rsidRPr="00B044E4">
        <w:rPr>
          <w:rFonts w:ascii="Times New Roman" w:hAnsi="Times New Roman" w:cs="Times New Roman"/>
          <w:sz w:val="24"/>
          <w:szCs w:val="24"/>
        </w:rPr>
        <w:t>hav</w:t>
      </w:r>
      <w:r w:rsidR="003B28B3" w:rsidRPr="00B044E4">
        <w:rPr>
          <w:rFonts w:ascii="Times New Roman" w:hAnsi="Times New Roman" w:cs="Times New Roman"/>
          <w:sz w:val="24"/>
          <w:szCs w:val="24"/>
        </w:rPr>
        <w:t>ing</w:t>
      </w:r>
      <w:r w:rsidRPr="00B044E4">
        <w:rPr>
          <w:rFonts w:ascii="Times New Roman" w:hAnsi="Times New Roman" w:cs="Times New Roman"/>
          <w:sz w:val="24"/>
          <w:szCs w:val="24"/>
        </w:rPr>
        <w:t xml:space="preserve"> tried and failed first line treatment options including lifestyle modification and pharmacotherapy</w:t>
      </w:r>
      <w:r w:rsidR="003B28B3" w:rsidRPr="00B044E4">
        <w:rPr>
          <w:rFonts w:ascii="Times New Roman" w:hAnsi="Times New Roman" w:cs="Times New Roman"/>
          <w:sz w:val="24"/>
          <w:szCs w:val="24"/>
        </w:rPr>
        <w:t xml:space="preserve"> (</w:t>
      </w:r>
      <w:r w:rsidRPr="00B044E4">
        <w:rPr>
          <w:rFonts w:ascii="Times New Roman" w:hAnsi="Times New Roman" w:cs="Times New Roman"/>
          <w:sz w:val="24"/>
          <w:szCs w:val="24"/>
        </w:rPr>
        <w:t>both of which have demonstrated very limited effectiveness in providing sustainable weight reduction</w:t>
      </w:r>
      <w:r w:rsidR="003B28B3" w:rsidRPr="00B044E4">
        <w:rPr>
          <w:rFonts w:ascii="Times New Roman" w:hAnsi="Times New Roman" w:cs="Times New Roman"/>
          <w:sz w:val="24"/>
          <w:szCs w:val="24"/>
        </w:rPr>
        <w:t>)</w:t>
      </w:r>
      <w:r w:rsidR="00362445">
        <w:rPr>
          <w:rFonts w:ascii="Times New Roman" w:hAnsi="Times New Roman" w:cs="Times New Roman"/>
          <w:sz w:val="24"/>
          <w:szCs w:val="24"/>
        </w:rPr>
        <w:t xml:space="preserve">. </w:t>
      </w:r>
      <w:r w:rsidRPr="00B044E4">
        <w:rPr>
          <w:rFonts w:ascii="Times New Roman" w:hAnsi="Times New Roman" w:cs="Times New Roman"/>
          <w:sz w:val="24"/>
          <w:szCs w:val="24"/>
        </w:rPr>
        <w:t xml:space="preserve">Of all the endoscopic bariatric therapies, IGBs, and specifically </w:t>
      </w:r>
      <w:proofErr w:type="spellStart"/>
      <w:r w:rsidRPr="00B044E4">
        <w:rPr>
          <w:rFonts w:ascii="Times New Roman" w:hAnsi="Times New Roman" w:cs="Times New Roman"/>
          <w:sz w:val="24"/>
          <w:szCs w:val="24"/>
        </w:rPr>
        <w:t>Orbera</w:t>
      </w:r>
      <w:proofErr w:type="spellEnd"/>
      <w:r w:rsidRPr="00B044E4">
        <w:rPr>
          <w:rFonts w:ascii="Times New Roman" w:hAnsi="Times New Roman" w:cs="Times New Roman"/>
          <w:sz w:val="24"/>
          <w:szCs w:val="24"/>
        </w:rPr>
        <w:t>, have the greatest amount of clinical experience</w:t>
      </w:r>
      <w:r w:rsidR="00F86C37" w:rsidRPr="00B044E4">
        <w:rPr>
          <w:rFonts w:ascii="Times New Roman" w:hAnsi="Times New Roman" w:cs="Times New Roman"/>
          <w:sz w:val="24"/>
          <w:szCs w:val="24"/>
        </w:rPr>
        <w:t xml:space="preserve"> with over 350 clinical publications globally</w:t>
      </w:r>
      <w:r w:rsidRPr="00B044E4">
        <w:rPr>
          <w:rFonts w:ascii="Times New Roman" w:hAnsi="Times New Roman" w:cs="Times New Roman"/>
          <w:sz w:val="24"/>
          <w:szCs w:val="24"/>
        </w:rPr>
        <w:t xml:space="preserve"> including randomised evidence supporting their use </w:t>
      </w:r>
      <w:r w:rsidRPr="00B044E4">
        <w:rPr>
          <w:rFonts w:ascii="Times New Roman" w:hAnsi="Times New Roman" w:cs="Times New Roman"/>
          <w:sz w:val="24"/>
          <w:szCs w:val="24"/>
        </w:rPr>
        <w:fldChar w:fldCharType="begin">
          <w:fldData xml:space="preserve">PEVuZE5vdGU+PENpdGU+PEF1dGhvcj5TdGF2cm91PC9BdXRob3I+PFllYXI+MjAxOTwvWWVhcj48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</w:fldData>
        </w:fldChar>
      </w:r>
      <w:r w:rsidRPr="00B044E4">
        <w:rPr>
          <w:rFonts w:ascii="Times New Roman" w:hAnsi="Times New Roman" w:cs="Times New Roman"/>
          <w:sz w:val="24"/>
          <w:szCs w:val="24"/>
        </w:rPr>
        <w:instrText xml:space="preserve"> ADDIN EN.CITE </w:instrText>
      </w:r>
      <w:r w:rsidRPr="00B044E4">
        <w:rPr>
          <w:rFonts w:ascii="Times New Roman" w:hAnsi="Times New Roman" w:cs="Times New Roman"/>
          <w:sz w:val="24"/>
          <w:szCs w:val="24"/>
        </w:rPr>
        <w:fldChar w:fldCharType="begin">
          <w:fldData xml:space="preserve">PEVuZE5vdGU+PENpdGU+PEF1dGhvcj5TdGF2cm91PC9BdXRob3I+PFllYXI+MjAxOTwvWWVhcj48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</w:fldData>
        </w:fldChar>
      </w:r>
      <w:r w:rsidRPr="00B044E4">
        <w:rPr>
          <w:rFonts w:ascii="Times New Roman" w:hAnsi="Times New Roman" w:cs="Times New Roman"/>
          <w:sz w:val="24"/>
          <w:szCs w:val="24"/>
        </w:rPr>
        <w:instrText xml:space="preserve"> ADDIN EN.CITE.DATA </w:instrText>
      </w:r>
      <w:r w:rsidRPr="00B044E4">
        <w:rPr>
          <w:rFonts w:ascii="Times New Roman" w:hAnsi="Times New Roman" w:cs="Times New Roman"/>
          <w:sz w:val="24"/>
          <w:szCs w:val="24"/>
        </w:rPr>
      </w:r>
      <w:r w:rsidRPr="00B044E4">
        <w:rPr>
          <w:rFonts w:ascii="Times New Roman" w:hAnsi="Times New Roman" w:cs="Times New Roman"/>
          <w:sz w:val="24"/>
          <w:szCs w:val="24"/>
        </w:rPr>
        <w:fldChar w:fldCharType="end"/>
      </w:r>
      <w:r w:rsidRPr="00B044E4">
        <w:rPr>
          <w:rFonts w:ascii="Times New Roman" w:hAnsi="Times New Roman" w:cs="Times New Roman"/>
          <w:sz w:val="24"/>
          <w:szCs w:val="24"/>
        </w:rPr>
      </w:r>
      <w:r w:rsidRPr="00B044E4">
        <w:rPr>
          <w:rFonts w:ascii="Times New Roman" w:hAnsi="Times New Roman" w:cs="Times New Roman"/>
          <w:sz w:val="24"/>
          <w:szCs w:val="24"/>
        </w:rPr>
        <w:fldChar w:fldCharType="separate"/>
      </w:r>
      <w:r w:rsidRPr="00B044E4">
        <w:rPr>
          <w:rFonts w:ascii="Times New Roman" w:hAnsi="Times New Roman" w:cs="Times New Roman"/>
          <w:sz w:val="24"/>
          <w:szCs w:val="24"/>
        </w:rPr>
        <w:t>(American Society for Gastrointestinal Endoscopy 2015, Stavrou, Tsaousi et al. 2019)</w:t>
      </w:r>
      <w:r w:rsidRPr="00B044E4">
        <w:rPr>
          <w:rFonts w:ascii="Times New Roman" w:hAnsi="Times New Roman" w:cs="Times New Roman"/>
          <w:sz w:val="24"/>
          <w:szCs w:val="24"/>
        </w:rPr>
        <w:fldChar w:fldCharType="end"/>
      </w:r>
      <w:r w:rsidR="00B044E4">
        <w:rPr>
          <w:rFonts w:ascii="Times New Roman" w:hAnsi="Times New Roman" w:cs="Times New Roman"/>
          <w:sz w:val="24"/>
          <w:szCs w:val="24"/>
        </w:rPr>
        <w:t xml:space="preserve">. </w:t>
      </w:r>
      <w:r w:rsidRPr="00B044E4">
        <w:rPr>
          <w:rFonts w:ascii="Times New Roman" w:hAnsi="Times New Roman" w:cs="Times New Roman"/>
          <w:sz w:val="24"/>
          <w:szCs w:val="24"/>
        </w:rPr>
        <w:t xml:space="preserve">IGB placement has been established as a relatively straightforward, safe and well tolerated, minimally invasive procedure for obesity management, by filling the gap between numerous conventional measures and bariatric surgery </w:t>
      </w:r>
      <w:r w:rsidRPr="00B044E4">
        <w:rPr>
          <w:rFonts w:ascii="Times New Roman" w:hAnsi="Times New Roman" w:cs="Times New Roman"/>
          <w:sz w:val="24"/>
          <w:szCs w:val="24"/>
        </w:rPr>
        <w:fldChar w:fldCharType="begin"/>
      </w:r>
      <w:r w:rsidRPr="00B044E4">
        <w:rPr>
          <w:rFonts w:ascii="Times New Roman" w:hAnsi="Times New Roman" w:cs="Times New Roman"/>
          <w:sz w:val="24"/>
          <w:szCs w:val="24"/>
        </w:rPr>
        <w:instrText xml:space="preserve"> ADDIN EN.CITE &lt;EndNote&gt;&lt;Cite&gt;&lt;Author&gt;Laing&lt;/Author&gt;&lt;Year&gt;2017&lt;/Year&gt;&lt;RecNum&gt;51&lt;/RecNum&gt;&lt;DisplayText&gt;(Laing, Pham et al. 2017)&lt;/DisplayText&gt;&lt;record&gt;&lt;rec-number&gt;51&lt;/rec-number&gt;&lt;foreign-keys&gt;&lt;key app="EN" db-id="5xd5rvxakeexzlezrr3pe90vs50z9p5rwp0t" timestamp="1563506434"&gt;51&lt;/key&gt;&lt;/foreign-keys&gt;&lt;ref-type name="Journal Article"&gt;17&lt;/ref-type&gt;&lt;contributors&gt;&lt;authors&gt;&lt;author&gt;Laing, P.&lt;/author&gt;&lt;author&gt;Pham, T.&lt;/author&gt;&lt;author&gt;Taylor, L. J.&lt;/author&gt;&lt;author&gt;Fang, J.&lt;/author&gt;&lt;/authors&gt;&lt;/contributors&gt;&lt;auth-address&gt;Department of Gastroenterology and Hepatology, University of Utah, Salt Lake City, UT, USA.&amp;#xD;Department of Gastroenterology and Hepatology, University of Utah, Salt Lake City, UT, USA. john.fang@hsc.utah.edu.&lt;/auth-address&gt;&lt;titles&gt;&lt;title&gt;Filling the Void: A Review of Intragastric Balloons for Obesity&lt;/title&gt;&lt;secondary-title&gt;Dig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sciences&lt;/abbr-1&gt;&lt;/alt-periodical&gt;&lt;pages&gt;1399-1408&lt;/pages&gt;&lt;volume&gt;62&lt;/volume&gt;&lt;number&gt;6&lt;/number&gt;&lt;edition&gt;2017/04/20&lt;/edition&gt;&lt;keywords&gt;&lt;keyword&gt;Bariatrics/adverse effects/*instrumentation&lt;/keyword&gt;&lt;keyword&gt;Contraindications&lt;/keyword&gt;&lt;keyword&gt;*Gastric Balloon/adverse effects&lt;/keyword&gt;&lt;keyword&gt;Humans&lt;/keyword&gt;&lt;keyword&gt;Obesity/*therapy&lt;/keyword&gt;&lt;keyword&gt;Treatment Outcome&lt;/keyword&gt;&lt;keyword&gt;*Bariatric medicine&lt;/keyword&gt;&lt;keyword&gt;*Intragastric balloon&lt;/keyword&gt;&lt;keyword&gt;*Obalon&lt;/keyword&gt;&lt;keyword&gt;*Orbera&lt;/keyword&gt;&lt;keyword&gt;*ReShape Duo&lt;/keyword&gt;&lt;keyword&gt;*Weight loss&lt;/keyword&gt;&lt;/keywords&gt;&lt;dates&gt;&lt;year&gt;2017&lt;/year&gt;&lt;pub-dates&gt;&lt;date&gt;Jun&lt;/date&gt;&lt;/pub-dates&gt;&lt;/dates&gt;&lt;isbn&gt;0163-2116&lt;/isbn&gt;&lt;accession-num&gt;28421456&lt;/accession-num&gt;&lt;urls&gt;&lt;/urls&gt;&lt;electronic-resource-num&gt;10.1007/s10620-017-4566-2&lt;/electronic-resource-num&gt;&lt;remote-database-provider&gt;NLM&lt;/remote-database-provider&gt;&lt;language&gt;eng&lt;/language&gt;&lt;/record&gt;&lt;/Cite&gt;&lt;/EndNote&gt;</w:instrText>
      </w:r>
      <w:r w:rsidRPr="00B044E4">
        <w:rPr>
          <w:rFonts w:ascii="Times New Roman" w:hAnsi="Times New Roman" w:cs="Times New Roman"/>
          <w:sz w:val="24"/>
          <w:szCs w:val="24"/>
        </w:rPr>
        <w:fldChar w:fldCharType="separate"/>
      </w:r>
      <w:r w:rsidRPr="00B044E4">
        <w:rPr>
          <w:rFonts w:ascii="Times New Roman" w:hAnsi="Times New Roman" w:cs="Times New Roman"/>
          <w:sz w:val="24"/>
          <w:szCs w:val="24"/>
        </w:rPr>
        <w:t>(Laing, Pham et al. 2017)</w:t>
      </w:r>
      <w:r w:rsidRPr="00B044E4">
        <w:rPr>
          <w:rFonts w:ascii="Times New Roman" w:hAnsi="Times New Roman" w:cs="Times New Roman"/>
          <w:sz w:val="24"/>
          <w:szCs w:val="24"/>
        </w:rPr>
        <w:fldChar w:fldCharType="end"/>
      </w:r>
      <w:r w:rsidRPr="00B044E4">
        <w:rPr>
          <w:rFonts w:ascii="Times New Roman" w:hAnsi="Times New Roman" w:cs="Times New Roman"/>
          <w:sz w:val="24"/>
          <w:szCs w:val="24"/>
        </w:rPr>
        <w:t>.</w:t>
      </w:r>
      <w:r w:rsidR="003B28B3" w:rsidRPr="00B044E4">
        <w:rPr>
          <w:rFonts w:ascii="Times New Roman" w:hAnsi="Times New Roman" w:cs="Times New Roman"/>
          <w:sz w:val="24"/>
          <w:szCs w:val="24"/>
        </w:rPr>
        <w:t xml:space="preserve"> </w:t>
      </w:r>
      <w:r w:rsidR="007675E2" w:rsidRPr="00B044E4">
        <w:rPr>
          <w:rFonts w:ascii="Times New Roman" w:hAnsi="Times New Roman" w:cs="Times New Roman"/>
          <w:sz w:val="24"/>
          <w:szCs w:val="24"/>
          <w:lang w:val="en-US"/>
        </w:rPr>
        <w:t xml:space="preserve">All the adverse events that occurred globally up to date have been </w:t>
      </w:r>
      <w:r w:rsidR="007675E2" w:rsidRPr="00B044E4">
        <w:rPr>
          <w:rFonts w:ascii="Times New Roman" w:hAnsi="Times New Roman" w:cs="Times New Roman"/>
          <w:sz w:val="24"/>
          <w:szCs w:val="24"/>
          <w:u w:val="single"/>
          <w:lang w:val="en-US"/>
        </w:rPr>
        <w:t>self-reported</w:t>
      </w:r>
      <w:r w:rsidR="007675E2" w:rsidRPr="00B044E4">
        <w:rPr>
          <w:rFonts w:ascii="Times New Roman" w:hAnsi="Times New Roman" w:cs="Times New Roman"/>
          <w:sz w:val="24"/>
          <w:szCs w:val="24"/>
          <w:lang w:val="en-US"/>
        </w:rPr>
        <w:t xml:space="preserve"> by Apollo Endosurgery and we will continue </w:t>
      </w:r>
      <w:r w:rsidR="007675E2" w:rsidRPr="00B044E4">
        <w:rPr>
          <w:rFonts w:ascii="Times New Roman" w:hAnsi="Times New Roman" w:cs="Times New Roman"/>
          <w:sz w:val="24"/>
          <w:szCs w:val="24"/>
          <w:lang w:val="en-US"/>
        </w:rPr>
        <w:lastRenderedPageBreak/>
        <w:t>doing this, as we are conscious about the safety of our products.</w:t>
      </w:r>
      <w:r w:rsidR="00BB53F5" w:rsidRPr="00B044E4">
        <w:rPr>
          <w:rFonts w:ascii="Times New Roman" w:hAnsi="Times New Roman" w:cs="Times New Roman"/>
          <w:sz w:val="24"/>
          <w:szCs w:val="24"/>
          <w:lang w:val="en-US"/>
        </w:rPr>
        <w:t xml:space="preserve"> </w:t>
      </w:r>
      <w:r w:rsidR="00F86C37" w:rsidRPr="00B044E4">
        <w:rPr>
          <w:rFonts w:ascii="Times New Roman" w:hAnsi="Times New Roman" w:cs="Times New Roman"/>
          <w:sz w:val="24"/>
          <w:szCs w:val="24"/>
        </w:rPr>
        <w:t xml:space="preserve">The American Society for Gastrointestinal Endoscopy (ASGE) systematic review and meta-analysis of endoscopic bariatric therapies reports that pain and nausea are the most common side effect of </w:t>
      </w:r>
      <w:proofErr w:type="spellStart"/>
      <w:r w:rsidR="00F86C37" w:rsidRPr="00B044E4">
        <w:rPr>
          <w:rFonts w:ascii="Times New Roman" w:hAnsi="Times New Roman" w:cs="Times New Roman"/>
          <w:sz w:val="24"/>
          <w:szCs w:val="24"/>
        </w:rPr>
        <w:t>Orbera</w:t>
      </w:r>
      <w:proofErr w:type="spellEnd"/>
      <w:r w:rsidR="00F86C37" w:rsidRPr="00B044E4">
        <w:rPr>
          <w:rFonts w:ascii="Times New Roman" w:hAnsi="Times New Roman" w:cs="Times New Roman"/>
          <w:sz w:val="24"/>
          <w:szCs w:val="24"/>
        </w:rPr>
        <w:t xml:space="preserve"> with serious AEs rare (an incidence of migration and gastric perforation of 1.4% and 0.1%, respectively)</w:t>
      </w:r>
      <w:r w:rsidR="00BB53F5" w:rsidRPr="00B044E4">
        <w:rPr>
          <w:rFonts w:ascii="Times New Roman" w:hAnsi="Times New Roman" w:cs="Times New Roman"/>
          <w:sz w:val="24"/>
          <w:szCs w:val="24"/>
        </w:rPr>
        <w:t>.</w:t>
      </w:r>
      <w:r w:rsidR="00F86C37" w:rsidRPr="00B044E4">
        <w:rPr>
          <w:rFonts w:ascii="Times New Roman" w:hAnsi="Times New Roman" w:cs="Times New Roman"/>
          <w:sz w:val="24"/>
          <w:szCs w:val="24"/>
        </w:rPr>
        <w:t xml:space="preserve"> </w:t>
      </w:r>
      <w:proofErr w:type="spellStart"/>
      <w:r w:rsidR="00D55F25" w:rsidRPr="00B044E4">
        <w:rPr>
          <w:rFonts w:ascii="Times New Roman" w:hAnsi="Times New Roman" w:cs="Times New Roman"/>
          <w:sz w:val="24"/>
          <w:szCs w:val="24"/>
          <w:lang w:val="en-US"/>
        </w:rPr>
        <w:t>Orbera</w:t>
      </w:r>
      <w:proofErr w:type="spellEnd"/>
      <w:r w:rsidR="00D55F25" w:rsidRPr="00B044E4">
        <w:rPr>
          <w:rFonts w:ascii="Times New Roman" w:hAnsi="Times New Roman" w:cs="Times New Roman"/>
          <w:sz w:val="24"/>
          <w:szCs w:val="24"/>
          <w:lang w:val="en-US"/>
        </w:rPr>
        <w:t xml:space="preserve"> is the most widely reported on ball</w:t>
      </w:r>
      <w:r w:rsidR="00362445">
        <w:rPr>
          <w:rFonts w:ascii="Times New Roman" w:hAnsi="Times New Roman" w:cs="Times New Roman"/>
          <w:sz w:val="24"/>
          <w:szCs w:val="24"/>
          <w:lang w:val="en-US"/>
        </w:rPr>
        <w:t>oon in peer review literature. </w:t>
      </w:r>
      <w:r w:rsidR="007675E2" w:rsidRPr="00B044E4">
        <w:rPr>
          <w:rFonts w:ascii="Times New Roman" w:hAnsi="Times New Roman" w:cs="Times New Roman"/>
          <w:sz w:val="24"/>
          <w:szCs w:val="24"/>
        </w:rPr>
        <w:t>Any patient death related to a medical procedure is a tragedy.</w:t>
      </w:r>
      <w:r w:rsidR="007675E2" w:rsidRPr="00B044E4">
        <w:rPr>
          <w:rFonts w:ascii="Times New Roman" w:hAnsi="Times New Roman" w:cs="Times New Roman"/>
          <w:sz w:val="24"/>
          <w:szCs w:val="24"/>
          <w:lang w:val="en-US"/>
        </w:rPr>
        <w:t xml:space="preserve"> </w:t>
      </w:r>
      <w:proofErr w:type="spellStart"/>
      <w:r w:rsidR="00D55F25" w:rsidRPr="00B044E4">
        <w:rPr>
          <w:rFonts w:ascii="Times New Roman" w:hAnsi="Times New Roman" w:cs="Times New Roman"/>
          <w:sz w:val="24"/>
          <w:szCs w:val="24"/>
          <w:lang w:val="en-US"/>
        </w:rPr>
        <w:t>Orbera</w:t>
      </w:r>
      <w:proofErr w:type="spellEnd"/>
      <w:r w:rsidR="00D55F25" w:rsidRPr="00B044E4">
        <w:rPr>
          <w:rFonts w:ascii="Times New Roman" w:hAnsi="Times New Roman" w:cs="Times New Roman"/>
          <w:sz w:val="24"/>
          <w:szCs w:val="24"/>
          <w:lang w:val="en-US"/>
        </w:rPr>
        <w:t xml:space="preserve"> has a strong safety profile</w:t>
      </w:r>
      <w:r w:rsidR="00BB53F5" w:rsidRPr="00B044E4">
        <w:rPr>
          <w:rFonts w:ascii="Times New Roman" w:hAnsi="Times New Roman" w:cs="Times New Roman"/>
          <w:sz w:val="24"/>
          <w:szCs w:val="24"/>
          <w:lang w:val="en-US"/>
        </w:rPr>
        <w:t xml:space="preserve"> with gastric perforation rate of 0.01%, Esophageal perforation &lt;0.01%, Pancreatitis of &lt;0.01% and spontaneous </w:t>
      </w:r>
      <w:proofErr w:type="spellStart"/>
      <w:r w:rsidR="00BB53F5" w:rsidRPr="00B044E4">
        <w:rPr>
          <w:rFonts w:ascii="Times New Roman" w:hAnsi="Times New Roman" w:cs="Times New Roman"/>
          <w:sz w:val="24"/>
          <w:szCs w:val="24"/>
          <w:lang w:val="en-US"/>
        </w:rPr>
        <w:t>hyperinflaction</w:t>
      </w:r>
      <w:proofErr w:type="spellEnd"/>
      <w:r w:rsidR="00BB53F5" w:rsidRPr="00B044E4">
        <w:rPr>
          <w:rFonts w:ascii="Times New Roman" w:hAnsi="Times New Roman" w:cs="Times New Roman"/>
          <w:sz w:val="24"/>
          <w:szCs w:val="24"/>
          <w:lang w:val="en-US"/>
        </w:rPr>
        <w:t xml:space="preserve"> of 0.07%</w:t>
      </w:r>
      <w:r w:rsidR="00D55F25" w:rsidRPr="00B044E4">
        <w:rPr>
          <w:rFonts w:ascii="Times New Roman" w:hAnsi="Times New Roman" w:cs="Times New Roman"/>
          <w:sz w:val="24"/>
          <w:szCs w:val="24"/>
          <w:lang w:val="en-US"/>
        </w:rPr>
        <w:t xml:space="preserve"> with a global mortality rate of less than 0.01% (or, less than 1% of 1%), and more than 295,000 </w:t>
      </w:r>
      <w:proofErr w:type="spellStart"/>
      <w:r w:rsidR="00D55F25" w:rsidRPr="00B044E4">
        <w:rPr>
          <w:rFonts w:ascii="Times New Roman" w:hAnsi="Times New Roman" w:cs="Times New Roman"/>
          <w:sz w:val="24"/>
          <w:szCs w:val="24"/>
          <w:lang w:val="en-US"/>
        </w:rPr>
        <w:t>Orbera</w:t>
      </w:r>
      <w:proofErr w:type="spellEnd"/>
      <w:r w:rsidR="00D55F25" w:rsidRPr="00B044E4">
        <w:rPr>
          <w:rFonts w:ascii="Times New Roman" w:hAnsi="Times New Roman" w:cs="Times New Roman"/>
          <w:sz w:val="24"/>
          <w:szCs w:val="24"/>
          <w:lang w:val="en-US"/>
        </w:rPr>
        <w:t xml:space="preserve"> balloons have been distributed worldwide.</w:t>
      </w:r>
      <w:r w:rsidR="00BB53F5" w:rsidRPr="00B044E4">
        <w:rPr>
          <w:rFonts w:ascii="Times New Roman" w:hAnsi="Times New Roman" w:cs="Times New Roman"/>
          <w:sz w:val="24"/>
          <w:szCs w:val="24"/>
          <w:lang w:val="en-US"/>
        </w:rPr>
        <w:t xml:space="preserve"> </w:t>
      </w:r>
      <w:r w:rsidR="003B28B3" w:rsidRPr="00B044E4">
        <w:rPr>
          <w:rFonts w:ascii="Times New Roman" w:hAnsi="Times New Roman" w:cs="Times New Roman"/>
          <w:sz w:val="24"/>
          <w:szCs w:val="24"/>
        </w:rPr>
        <w:t>Further evidence of the valu</w:t>
      </w:r>
      <w:r w:rsidR="00B044E4">
        <w:rPr>
          <w:rFonts w:ascii="Times New Roman" w:hAnsi="Times New Roman" w:cs="Times New Roman"/>
          <w:sz w:val="24"/>
          <w:szCs w:val="24"/>
        </w:rPr>
        <w:t xml:space="preserve">e of </w:t>
      </w:r>
      <w:proofErr w:type="spellStart"/>
      <w:r w:rsidR="00B044E4">
        <w:rPr>
          <w:rFonts w:ascii="Times New Roman" w:hAnsi="Times New Roman" w:cs="Times New Roman"/>
          <w:sz w:val="24"/>
          <w:szCs w:val="24"/>
        </w:rPr>
        <w:t>Orbera</w:t>
      </w:r>
      <w:proofErr w:type="spellEnd"/>
      <w:r w:rsidR="00B044E4">
        <w:rPr>
          <w:rFonts w:ascii="Times New Roman" w:hAnsi="Times New Roman" w:cs="Times New Roman"/>
          <w:sz w:val="24"/>
          <w:szCs w:val="24"/>
        </w:rPr>
        <w:t xml:space="preserve"> is the addition of </w:t>
      </w:r>
      <w:r w:rsidRPr="00B044E4">
        <w:rPr>
          <w:rFonts w:ascii="Times New Roman" w:hAnsi="Times New Roman" w:cs="Times New Roman"/>
          <w:sz w:val="24"/>
          <w:szCs w:val="24"/>
        </w:rPr>
        <w:t xml:space="preserve">IGBs to the American Society for Metabolic and Bariatric Surgery (ASMBS) list of approved procedures and devices in 2018 following IGB approvals by the FDA in 2015 </w:t>
      </w:r>
      <w:r w:rsidRPr="00B044E4">
        <w:rPr>
          <w:rFonts w:ascii="Times New Roman" w:hAnsi="Times New Roman" w:cs="Times New Roman"/>
          <w:sz w:val="24"/>
          <w:szCs w:val="24"/>
        </w:rPr>
        <w:fldChar w:fldCharType="begin">
          <w:fldData xml:space="preserve">PEVuZE5vdGU+PENpdGU+PEF1dGhvcj5BbWluaWFuPC9BdXRob3I+PFllYXI+MjAxODwvWWVhcj48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=
</w:fldData>
        </w:fldChar>
      </w:r>
      <w:r w:rsidRPr="00B044E4">
        <w:rPr>
          <w:rFonts w:ascii="Times New Roman" w:hAnsi="Times New Roman" w:cs="Times New Roman"/>
          <w:sz w:val="24"/>
          <w:szCs w:val="24"/>
        </w:rPr>
        <w:instrText xml:space="preserve"> ADDIN EN.CITE </w:instrText>
      </w:r>
      <w:r w:rsidRPr="00B044E4">
        <w:rPr>
          <w:rFonts w:ascii="Times New Roman" w:hAnsi="Times New Roman" w:cs="Times New Roman"/>
          <w:sz w:val="24"/>
          <w:szCs w:val="24"/>
        </w:rPr>
        <w:fldChar w:fldCharType="begin">
          <w:fldData xml:space="preserve">PEVuZE5vdGU+PENpdGU+PEF1dGhvcj5BbWluaWFuPC9BdXRob3I+PFllYXI+MjAxODwvWWVhcj48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=
</w:fldData>
        </w:fldChar>
      </w:r>
      <w:r w:rsidRPr="00B044E4">
        <w:rPr>
          <w:rFonts w:ascii="Times New Roman" w:hAnsi="Times New Roman" w:cs="Times New Roman"/>
          <w:sz w:val="24"/>
          <w:szCs w:val="24"/>
        </w:rPr>
        <w:instrText xml:space="preserve"> ADDIN EN.CITE.DATA </w:instrText>
      </w:r>
      <w:r w:rsidRPr="00B044E4">
        <w:rPr>
          <w:rFonts w:ascii="Times New Roman" w:hAnsi="Times New Roman" w:cs="Times New Roman"/>
          <w:sz w:val="24"/>
          <w:szCs w:val="24"/>
        </w:rPr>
      </w:r>
      <w:r w:rsidRPr="00B044E4">
        <w:rPr>
          <w:rFonts w:ascii="Times New Roman" w:hAnsi="Times New Roman" w:cs="Times New Roman"/>
          <w:sz w:val="24"/>
          <w:szCs w:val="24"/>
        </w:rPr>
        <w:fldChar w:fldCharType="end"/>
      </w:r>
      <w:r w:rsidRPr="00B044E4">
        <w:rPr>
          <w:rFonts w:ascii="Times New Roman" w:hAnsi="Times New Roman" w:cs="Times New Roman"/>
          <w:sz w:val="24"/>
          <w:szCs w:val="24"/>
        </w:rPr>
      </w:r>
      <w:r w:rsidRPr="00B044E4">
        <w:rPr>
          <w:rFonts w:ascii="Times New Roman" w:hAnsi="Times New Roman" w:cs="Times New Roman"/>
          <w:sz w:val="24"/>
          <w:szCs w:val="24"/>
        </w:rPr>
        <w:fldChar w:fldCharType="separate"/>
      </w:r>
      <w:r w:rsidRPr="00B044E4">
        <w:rPr>
          <w:rFonts w:ascii="Times New Roman" w:hAnsi="Times New Roman" w:cs="Times New Roman"/>
          <w:sz w:val="24"/>
          <w:szCs w:val="24"/>
        </w:rPr>
        <w:t>(Aminian, Chang et al. 2018)</w:t>
      </w:r>
      <w:r w:rsidRPr="00B044E4">
        <w:rPr>
          <w:rFonts w:ascii="Times New Roman" w:hAnsi="Times New Roman" w:cs="Times New Roman"/>
          <w:sz w:val="24"/>
          <w:szCs w:val="24"/>
        </w:rPr>
        <w:fldChar w:fldCharType="end"/>
      </w:r>
      <w:r w:rsidRPr="00B044E4">
        <w:rPr>
          <w:rFonts w:ascii="Times New Roman" w:hAnsi="Times New Roman" w:cs="Times New Roman"/>
          <w:sz w:val="24"/>
          <w:szCs w:val="24"/>
        </w:rPr>
        <w:t xml:space="preserve">.  </w:t>
      </w:r>
      <w:r w:rsidR="00811EA1" w:rsidRPr="00B044E4">
        <w:rPr>
          <w:rFonts w:ascii="Times New Roman" w:hAnsi="Times New Roman" w:cs="Times New Roman"/>
          <w:sz w:val="24"/>
          <w:szCs w:val="24"/>
        </w:rPr>
        <w:t xml:space="preserve">Lastly with regards to long term data, Apollo did provide data on patients 3 years </w:t>
      </w:r>
      <w:r w:rsidR="00F264A7" w:rsidRPr="00B044E4">
        <w:rPr>
          <w:rFonts w:ascii="Times New Roman" w:hAnsi="Times New Roman" w:cs="Times New Roman"/>
          <w:sz w:val="24"/>
          <w:szCs w:val="24"/>
        </w:rPr>
        <w:t>post</w:t>
      </w:r>
      <w:r w:rsidR="00811EA1" w:rsidRPr="00B044E4">
        <w:rPr>
          <w:rFonts w:ascii="Times New Roman" w:hAnsi="Times New Roman" w:cs="Times New Roman"/>
          <w:sz w:val="24"/>
          <w:szCs w:val="24"/>
        </w:rPr>
        <w:t xml:space="preserve"> removal (</w:t>
      </w:r>
      <w:proofErr w:type="spellStart"/>
      <w:r w:rsidR="00811EA1" w:rsidRPr="00B044E4">
        <w:rPr>
          <w:rFonts w:ascii="Times New Roman" w:hAnsi="Times New Roman" w:cs="Times New Roman"/>
          <w:sz w:val="24"/>
          <w:szCs w:val="24"/>
        </w:rPr>
        <w:t>Genco</w:t>
      </w:r>
      <w:proofErr w:type="spellEnd"/>
      <w:r w:rsidR="00811EA1" w:rsidRPr="00B044E4">
        <w:rPr>
          <w:rFonts w:ascii="Times New Roman" w:hAnsi="Times New Roman" w:cs="Times New Roman"/>
          <w:sz w:val="24"/>
          <w:szCs w:val="24"/>
        </w:rPr>
        <w:t xml:space="preserve"> et al. 201</w:t>
      </w:r>
      <w:r w:rsidR="00D511C4" w:rsidRPr="00B044E4">
        <w:rPr>
          <w:rFonts w:ascii="Times New Roman" w:hAnsi="Times New Roman" w:cs="Times New Roman"/>
          <w:sz w:val="24"/>
          <w:szCs w:val="24"/>
        </w:rPr>
        <w:t>3</w:t>
      </w:r>
      <w:r w:rsidR="00811EA1" w:rsidRPr="00B044E4">
        <w:rPr>
          <w:rFonts w:ascii="Times New Roman" w:hAnsi="Times New Roman" w:cs="Times New Roman"/>
          <w:sz w:val="24"/>
          <w:szCs w:val="24"/>
        </w:rPr>
        <w:t xml:space="preserve">) which shows that patients average BMI is reduced after 3 years, with many patients maintaining the weight loss achieved by the 6-month balloon treatment in the medium term (42 months) </w:t>
      </w:r>
      <w:r w:rsidR="00811EA1" w:rsidRPr="00B044E4">
        <w:rPr>
          <w:rFonts w:ascii="Times New Roman" w:hAnsi="Times New Roman" w:cs="Times New Roman"/>
          <w:sz w:val="24"/>
          <w:szCs w:val="24"/>
        </w:rPr>
        <w:fldChar w:fldCharType="begin">
          <w:fldData xml:space="preserve">PEVuZE5vdGU+PENpdGU+PEF1dGhvcj5HZW5jbzwvQXV0aG9yPjxZZWFyPjIwMTM8L1llYXI+PFJl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=
</w:fldData>
        </w:fldChar>
      </w:r>
      <w:r w:rsidR="00811EA1" w:rsidRPr="00B044E4">
        <w:rPr>
          <w:rFonts w:ascii="Times New Roman" w:hAnsi="Times New Roman" w:cs="Times New Roman"/>
          <w:sz w:val="24"/>
          <w:szCs w:val="24"/>
        </w:rPr>
        <w:instrText xml:space="preserve"> ADDIN EN.CITE </w:instrText>
      </w:r>
      <w:r w:rsidR="00811EA1" w:rsidRPr="00B044E4">
        <w:rPr>
          <w:rFonts w:ascii="Times New Roman" w:hAnsi="Times New Roman" w:cs="Times New Roman"/>
          <w:sz w:val="24"/>
          <w:szCs w:val="24"/>
        </w:rPr>
        <w:fldChar w:fldCharType="begin">
          <w:fldData xml:space="preserve">PEVuZE5vdGU+PENpdGU+PEF1dGhvcj5HZW5jbzwvQXV0aG9yPjxZZWFyPjIwMTM8L1llYXI+PFJl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=
</w:fldData>
        </w:fldChar>
      </w:r>
      <w:r w:rsidR="00811EA1" w:rsidRPr="00B044E4">
        <w:rPr>
          <w:rFonts w:ascii="Times New Roman" w:hAnsi="Times New Roman" w:cs="Times New Roman"/>
          <w:sz w:val="24"/>
          <w:szCs w:val="24"/>
        </w:rPr>
        <w:instrText xml:space="preserve"> ADDIN EN.CITE.DATA </w:instrText>
      </w:r>
      <w:r w:rsidR="00811EA1" w:rsidRPr="00B044E4">
        <w:rPr>
          <w:rFonts w:ascii="Times New Roman" w:hAnsi="Times New Roman" w:cs="Times New Roman"/>
          <w:sz w:val="24"/>
          <w:szCs w:val="24"/>
        </w:rPr>
      </w:r>
      <w:r w:rsidR="00811EA1" w:rsidRPr="00B044E4">
        <w:rPr>
          <w:rFonts w:ascii="Times New Roman" w:hAnsi="Times New Roman" w:cs="Times New Roman"/>
          <w:sz w:val="24"/>
          <w:szCs w:val="24"/>
        </w:rPr>
        <w:fldChar w:fldCharType="end"/>
      </w:r>
      <w:r w:rsidR="00811EA1" w:rsidRPr="00B044E4">
        <w:rPr>
          <w:rFonts w:ascii="Times New Roman" w:hAnsi="Times New Roman" w:cs="Times New Roman"/>
          <w:sz w:val="24"/>
          <w:szCs w:val="24"/>
        </w:rPr>
      </w:r>
      <w:r w:rsidR="00811EA1" w:rsidRPr="00B044E4">
        <w:rPr>
          <w:rFonts w:ascii="Times New Roman" w:hAnsi="Times New Roman" w:cs="Times New Roman"/>
          <w:sz w:val="24"/>
          <w:szCs w:val="24"/>
        </w:rPr>
        <w:fldChar w:fldCharType="separate"/>
      </w:r>
      <w:r w:rsidR="00811EA1" w:rsidRPr="00B044E4">
        <w:rPr>
          <w:rFonts w:ascii="Times New Roman" w:hAnsi="Times New Roman" w:cs="Times New Roman"/>
          <w:sz w:val="24"/>
          <w:szCs w:val="24"/>
        </w:rPr>
        <w:t>(Genco, Lopez-Nava et al. 2013)</w:t>
      </w:r>
      <w:r w:rsidR="00811EA1" w:rsidRPr="00B044E4">
        <w:rPr>
          <w:rFonts w:ascii="Times New Roman" w:hAnsi="Times New Roman" w:cs="Times New Roman"/>
          <w:sz w:val="24"/>
          <w:szCs w:val="24"/>
        </w:rPr>
        <w:fldChar w:fldCharType="end"/>
      </w:r>
      <w:r w:rsidR="00811EA1" w:rsidRPr="00B044E4">
        <w:rPr>
          <w:rFonts w:ascii="Times New Roman" w:hAnsi="Times New Roman" w:cs="Times New Roman"/>
          <w:sz w:val="24"/>
          <w:szCs w:val="24"/>
        </w:rPr>
        <w:t>.  Mean BMI fell from 28.6±0.4 at baseline to 25.4±2.6 kg/m2 at 6 months and to 27.0±3.1 kg/m</w:t>
      </w:r>
      <w:r w:rsidR="00811EA1" w:rsidRPr="00B044E4">
        <w:rPr>
          <w:rFonts w:ascii="Times New Roman" w:hAnsi="Times New Roman" w:cs="Times New Roman"/>
          <w:sz w:val="24"/>
          <w:szCs w:val="24"/>
          <w:vertAlign w:val="superscript"/>
        </w:rPr>
        <w:t>2</w:t>
      </w:r>
      <w:r w:rsidR="00811EA1" w:rsidRPr="00B044E4">
        <w:rPr>
          <w:rFonts w:ascii="Times New Roman" w:hAnsi="Times New Roman" w:cs="Times New Roman"/>
          <w:sz w:val="24"/>
          <w:szCs w:val="24"/>
        </w:rPr>
        <w:t xml:space="preserve"> at 3 years from </w:t>
      </w:r>
      <w:proofErr w:type="spellStart"/>
      <w:r w:rsidR="00811EA1" w:rsidRPr="00B044E4">
        <w:rPr>
          <w:rFonts w:ascii="Times New Roman" w:hAnsi="Times New Roman" w:cs="Times New Roman"/>
          <w:sz w:val="24"/>
          <w:szCs w:val="24"/>
        </w:rPr>
        <w:t>Orbera</w:t>
      </w:r>
      <w:proofErr w:type="spellEnd"/>
      <w:r w:rsidR="00B044E4">
        <w:rPr>
          <w:rFonts w:ascii="Times New Roman" w:hAnsi="Times New Roman" w:cs="Times New Roman"/>
          <w:sz w:val="24"/>
          <w:szCs w:val="24"/>
        </w:rPr>
        <w:t xml:space="preserve"> removal. </w:t>
      </w:r>
      <w:r w:rsidR="00811EA1" w:rsidRPr="00B044E4">
        <w:rPr>
          <w:rFonts w:ascii="Times New Roman" w:hAnsi="Times New Roman" w:cs="Times New Roman"/>
          <w:sz w:val="24"/>
          <w:szCs w:val="24"/>
        </w:rPr>
        <w:t>The mean % excess weight loss (EWL) was 55.6 % at 6</w:t>
      </w:r>
      <w:r w:rsidR="00B044E4">
        <w:rPr>
          <w:rFonts w:ascii="Times New Roman" w:hAnsi="Times New Roman" w:cs="Times New Roman"/>
          <w:sz w:val="24"/>
          <w:szCs w:val="24"/>
        </w:rPr>
        <w:t xml:space="preserve"> months and 29.1 % at 3 years. </w:t>
      </w:r>
      <w:r w:rsidR="00811EA1" w:rsidRPr="00B044E4">
        <w:rPr>
          <w:rFonts w:ascii="Times New Roman" w:hAnsi="Times New Roman" w:cs="Times New Roman"/>
          <w:sz w:val="24"/>
          <w:szCs w:val="24"/>
        </w:rPr>
        <w:t>At 3 years the incidence of diabetes as a co-morbidity was still reduced from baseline (i.e. 15% of patients at baseline, 8% at</w:t>
      </w:r>
      <w:r w:rsidR="00B044E4">
        <w:rPr>
          <w:rFonts w:ascii="Times New Roman" w:hAnsi="Times New Roman" w:cs="Times New Roman"/>
          <w:sz w:val="24"/>
          <w:szCs w:val="24"/>
        </w:rPr>
        <w:t xml:space="preserve"> 6 months and 10% at 3 years). </w:t>
      </w:r>
      <w:r w:rsidR="00811EA1" w:rsidRPr="00B044E4">
        <w:rPr>
          <w:rFonts w:ascii="Times New Roman" w:hAnsi="Times New Roman" w:cs="Times New Roman"/>
          <w:sz w:val="24"/>
          <w:szCs w:val="24"/>
        </w:rPr>
        <w:t xml:space="preserve">The demonstrated ongoing benefit in reducing co-morbidities is clinically important, with co-morbidities the main driver of obesity-related health expenditure in Class 1 obesity in Australia </w:t>
      </w:r>
      <w:r w:rsidR="00811EA1" w:rsidRPr="00B044E4">
        <w:rPr>
          <w:rFonts w:ascii="Times New Roman" w:hAnsi="Times New Roman" w:cs="Times New Roman"/>
          <w:sz w:val="24"/>
          <w:szCs w:val="24"/>
        </w:rPr>
        <w:fldChar w:fldCharType="begin">
          <w:fldData xml:space="preserve">PEVuZE5vdGU+PENpdGU+PEF1dGhvcj5CdWNobXVlbGxlcjwvQXV0aG9yPjxZZWFyPjIwMTU8L1ll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</w:fldData>
        </w:fldChar>
      </w:r>
      <w:r w:rsidR="00811EA1" w:rsidRPr="00B044E4">
        <w:rPr>
          <w:rFonts w:ascii="Times New Roman" w:hAnsi="Times New Roman" w:cs="Times New Roman"/>
          <w:sz w:val="24"/>
          <w:szCs w:val="24"/>
        </w:rPr>
        <w:instrText xml:space="preserve"> ADDIN EN.CITE </w:instrText>
      </w:r>
      <w:r w:rsidR="00811EA1" w:rsidRPr="00B044E4">
        <w:rPr>
          <w:rFonts w:ascii="Times New Roman" w:hAnsi="Times New Roman" w:cs="Times New Roman"/>
          <w:sz w:val="24"/>
          <w:szCs w:val="24"/>
        </w:rPr>
        <w:fldChar w:fldCharType="begin">
          <w:fldData xml:space="preserve">PEVuZE5vdGU+PENpdGU+PEF1dGhvcj5CdWNobXVlbGxlcjwvQXV0aG9yPjxZZWFyPjIwMTU8L1ll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</w:fldData>
        </w:fldChar>
      </w:r>
      <w:r w:rsidR="00811EA1" w:rsidRPr="00B044E4">
        <w:rPr>
          <w:rFonts w:ascii="Times New Roman" w:hAnsi="Times New Roman" w:cs="Times New Roman"/>
          <w:sz w:val="24"/>
          <w:szCs w:val="24"/>
        </w:rPr>
        <w:instrText xml:space="preserve"> ADDIN EN.CITE.DATA </w:instrText>
      </w:r>
      <w:r w:rsidR="00811EA1" w:rsidRPr="00B044E4">
        <w:rPr>
          <w:rFonts w:ascii="Times New Roman" w:hAnsi="Times New Roman" w:cs="Times New Roman"/>
          <w:sz w:val="24"/>
          <w:szCs w:val="24"/>
        </w:rPr>
      </w:r>
      <w:r w:rsidR="00811EA1" w:rsidRPr="00B044E4">
        <w:rPr>
          <w:rFonts w:ascii="Times New Roman" w:hAnsi="Times New Roman" w:cs="Times New Roman"/>
          <w:sz w:val="24"/>
          <w:szCs w:val="24"/>
        </w:rPr>
        <w:fldChar w:fldCharType="end"/>
      </w:r>
      <w:r w:rsidR="00811EA1" w:rsidRPr="00B044E4">
        <w:rPr>
          <w:rFonts w:ascii="Times New Roman" w:hAnsi="Times New Roman" w:cs="Times New Roman"/>
          <w:sz w:val="24"/>
          <w:szCs w:val="24"/>
        </w:rPr>
      </w:r>
      <w:r w:rsidR="00811EA1" w:rsidRPr="00B044E4">
        <w:rPr>
          <w:rFonts w:ascii="Times New Roman" w:hAnsi="Times New Roman" w:cs="Times New Roman"/>
          <w:sz w:val="24"/>
          <w:szCs w:val="24"/>
        </w:rPr>
        <w:fldChar w:fldCharType="separate"/>
      </w:r>
      <w:r w:rsidR="00811EA1" w:rsidRPr="00B044E4">
        <w:rPr>
          <w:rFonts w:ascii="Times New Roman" w:hAnsi="Times New Roman" w:cs="Times New Roman"/>
          <w:sz w:val="24"/>
          <w:szCs w:val="24"/>
        </w:rPr>
        <w:t>(Buchmueller and Johar 2015)</w:t>
      </w:r>
      <w:r w:rsidR="00811EA1" w:rsidRPr="00B044E4">
        <w:rPr>
          <w:rFonts w:ascii="Times New Roman" w:hAnsi="Times New Roman" w:cs="Times New Roman"/>
          <w:sz w:val="24"/>
          <w:szCs w:val="24"/>
        </w:rPr>
        <w:fldChar w:fldCharType="end"/>
      </w:r>
      <w:r w:rsidR="00811EA1" w:rsidRPr="00B044E4">
        <w:rPr>
          <w:rFonts w:ascii="Times New Roman" w:hAnsi="Times New Roman" w:cs="Times New Roman"/>
          <w:sz w:val="24"/>
          <w:szCs w:val="24"/>
        </w:rPr>
        <w:t>.</w:t>
      </w:r>
      <w:r w:rsidR="00B044E4">
        <w:rPr>
          <w:rFonts w:ascii="Times New Roman" w:hAnsi="Times New Roman" w:cs="Times New Roman"/>
          <w:sz w:val="24"/>
          <w:szCs w:val="24"/>
        </w:rPr>
        <w:t xml:space="preserve"> </w:t>
      </w:r>
      <w:r w:rsidR="007914AB" w:rsidRPr="00B044E4">
        <w:rPr>
          <w:rFonts w:ascii="Times New Roman" w:hAnsi="Times New Roman" w:cs="Times New Roman"/>
          <w:sz w:val="24"/>
          <w:szCs w:val="24"/>
        </w:rPr>
        <w:t>There is a need for less-</w:t>
      </w:r>
      <w:r w:rsidR="00BE3157" w:rsidRPr="00B044E4">
        <w:rPr>
          <w:rFonts w:ascii="Times New Roman" w:hAnsi="Times New Roman" w:cs="Times New Roman"/>
          <w:sz w:val="24"/>
          <w:szCs w:val="24"/>
        </w:rPr>
        <w:t>invasive</w:t>
      </w:r>
      <w:r w:rsidR="007914AB" w:rsidRPr="00B044E4">
        <w:rPr>
          <w:rFonts w:ascii="Times New Roman" w:hAnsi="Times New Roman" w:cs="Times New Roman"/>
          <w:sz w:val="24"/>
          <w:szCs w:val="24"/>
        </w:rPr>
        <w:t xml:space="preserve"> weight loss interventions to bridge the current gap in</w:t>
      </w:r>
      <w:r w:rsidR="00140F4E" w:rsidRPr="00B044E4">
        <w:rPr>
          <w:rFonts w:ascii="Times New Roman" w:hAnsi="Times New Roman" w:cs="Times New Roman"/>
          <w:sz w:val="24"/>
          <w:szCs w:val="24"/>
        </w:rPr>
        <w:t xml:space="preserve"> </w:t>
      </w:r>
      <w:r w:rsidR="007914AB" w:rsidRPr="00B044E4">
        <w:rPr>
          <w:rFonts w:ascii="Times New Roman" w:hAnsi="Times New Roman" w:cs="Times New Roman"/>
          <w:sz w:val="24"/>
          <w:szCs w:val="24"/>
        </w:rPr>
        <w:t>o</w:t>
      </w:r>
      <w:r w:rsidR="00140F4E" w:rsidRPr="00B044E4">
        <w:rPr>
          <w:rFonts w:ascii="Times New Roman" w:hAnsi="Times New Roman" w:cs="Times New Roman"/>
          <w:sz w:val="24"/>
          <w:szCs w:val="24"/>
        </w:rPr>
        <w:t>ur</w:t>
      </w:r>
      <w:r w:rsidR="007914AB" w:rsidRPr="00B044E4">
        <w:rPr>
          <w:rFonts w:ascii="Times New Roman" w:hAnsi="Times New Roman" w:cs="Times New Roman"/>
          <w:sz w:val="24"/>
          <w:szCs w:val="24"/>
        </w:rPr>
        <w:t xml:space="preserve"> management approach to obesity and also to improve access</w:t>
      </w:r>
      <w:r w:rsidR="00140F4E" w:rsidRPr="00B044E4">
        <w:rPr>
          <w:rFonts w:ascii="Times New Roman" w:hAnsi="Times New Roman" w:cs="Times New Roman"/>
          <w:sz w:val="24"/>
          <w:szCs w:val="24"/>
        </w:rPr>
        <w:t xml:space="preserve"> to treatment options</w:t>
      </w:r>
      <w:r w:rsidR="00B044E4" w:rsidRPr="00B044E4">
        <w:rPr>
          <w:rFonts w:ascii="Times New Roman" w:hAnsi="Times New Roman" w:cs="Times New Roman"/>
          <w:sz w:val="24"/>
          <w:szCs w:val="24"/>
        </w:rPr>
        <w:t>.</w:t>
      </w:r>
    </w:p>
    <w:p w14:paraId="7E782038" w14:textId="77777777" w:rsidR="00BC1364" w:rsidRPr="00F715D1" w:rsidRDefault="00271F18" w:rsidP="00F715D1">
      <w:pPr>
        <w:pStyle w:val="Heading1"/>
      </w:pPr>
      <w:r w:rsidRPr="00F715D1">
        <w:t>Further information on MSAC</w:t>
      </w:r>
    </w:p>
    <w:p w14:paraId="6178F3E9"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8"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9"/>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0F4F31" w16cid:durableId="213EF7A5"/>
  <w16cid:commentId w16cid:paraId="642AD625" w16cid:durableId="215D8111"/>
  <w16cid:commentId w16cid:paraId="6A491FBE" w16cid:durableId="213EF7AD"/>
  <w16cid:commentId w16cid:paraId="546CE84B" w16cid:durableId="215D8113"/>
  <w16cid:commentId w16cid:paraId="2A44398E" w16cid:durableId="2149BCBF"/>
  <w16cid:commentId w16cid:paraId="01DA4064" w16cid:durableId="215D8115"/>
  <w16cid:commentId w16cid:paraId="64F71824" w16cid:durableId="213EF7D7"/>
  <w16cid:commentId w16cid:paraId="06C6F658" w16cid:durableId="215D8117"/>
  <w16cid:commentId w16cid:paraId="574ADE08" w16cid:durableId="213EF7E1"/>
  <w16cid:commentId w16cid:paraId="4699A381" w16cid:durableId="215D8119"/>
  <w16cid:commentId w16cid:paraId="2099E799" w16cid:durableId="213EF840"/>
  <w16cid:commentId w16cid:paraId="039ABB20" w16cid:durableId="215D811B"/>
  <w16cid:commentId w16cid:paraId="1271FC4F" w16cid:durableId="213EF877"/>
  <w16cid:commentId w16cid:paraId="2847346A" w16cid:durableId="215D811D"/>
  <w16cid:commentId w16cid:paraId="384BD9B4" w16cid:durableId="213EF8A3"/>
  <w16cid:commentId w16cid:paraId="3E8CBB68" w16cid:durableId="215D811F"/>
  <w16cid:commentId w16cid:paraId="4FC852C3" w16cid:durableId="213EF8B4"/>
  <w16cid:commentId w16cid:paraId="5F93E296" w16cid:durableId="215D8121"/>
  <w16cid:commentId w16cid:paraId="0B91E235" w16cid:durableId="213EF8C9"/>
  <w16cid:commentId w16cid:paraId="06E4D55C" w16cid:durableId="215D81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5E326" w14:textId="77777777" w:rsidR="008C3708" w:rsidRDefault="008C3708" w:rsidP="00065623">
      <w:r>
        <w:separator/>
      </w:r>
    </w:p>
  </w:endnote>
  <w:endnote w:type="continuationSeparator" w:id="0">
    <w:p w14:paraId="07D19FEE" w14:textId="77777777" w:rsidR="008C3708" w:rsidRDefault="008C370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UI Semibold">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DB9B" w14:textId="77777777" w:rsidR="00EB0241" w:rsidRDefault="00EB0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86032"/>
      <w:docPartObj>
        <w:docPartGallery w:val="Page Numbers (Bottom of Page)"/>
        <w:docPartUnique/>
      </w:docPartObj>
    </w:sdtPr>
    <w:sdtEndPr>
      <w:rPr>
        <w:noProof/>
      </w:rPr>
    </w:sdtEndPr>
    <w:sdtContent>
      <w:p w14:paraId="39D22AE0" w14:textId="576F44A6" w:rsidR="008C3708" w:rsidRDefault="008C3708">
        <w:pPr>
          <w:pStyle w:val="Footer"/>
          <w:jc w:val="right"/>
        </w:pPr>
        <w:r>
          <w:fldChar w:fldCharType="begin"/>
        </w:r>
        <w:r>
          <w:instrText xml:space="preserve"> PAGE   \* MERGEFORMAT </w:instrText>
        </w:r>
        <w:r>
          <w:fldChar w:fldCharType="separate"/>
        </w:r>
        <w:r w:rsidR="003D74B9">
          <w:rPr>
            <w:noProof/>
          </w:rPr>
          <w:t>5</w:t>
        </w:r>
        <w:r>
          <w:rPr>
            <w:noProof/>
          </w:rPr>
          <w:fldChar w:fldCharType="end"/>
        </w:r>
      </w:p>
    </w:sdtContent>
  </w:sdt>
  <w:p w14:paraId="4EC3A725" w14:textId="77777777" w:rsidR="008C3708" w:rsidRDefault="008C3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8AB7" w14:textId="77777777" w:rsidR="00EB0241" w:rsidRDefault="00EB02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0F1AA6EB" w14:textId="0946B23D" w:rsidR="008C3708" w:rsidRDefault="008C3708">
        <w:pPr>
          <w:pStyle w:val="Footer"/>
          <w:jc w:val="right"/>
        </w:pPr>
        <w:r>
          <w:fldChar w:fldCharType="begin"/>
        </w:r>
        <w:r>
          <w:instrText xml:space="preserve"> PAGE   \* MERGEFORMAT </w:instrText>
        </w:r>
        <w:r>
          <w:fldChar w:fldCharType="separate"/>
        </w:r>
        <w:r w:rsidR="003D74B9">
          <w:rPr>
            <w:noProof/>
          </w:rPr>
          <w:t>17</w:t>
        </w:r>
        <w:r>
          <w:rPr>
            <w:noProof/>
          </w:rPr>
          <w:fldChar w:fldCharType="end"/>
        </w:r>
      </w:p>
    </w:sdtContent>
  </w:sdt>
  <w:p w14:paraId="0C823541" w14:textId="77777777" w:rsidR="008C3708" w:rsidRDefault="008C3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FE27F" w14:textId="77777777" w:rsidR="008C3708" w:rsidRDefault="008C3708" w:rsidP="00065623">
      <w:r>
        <w:separator/>
      </w:r>
    </w:p>
  </w:footnote>
  <w:footnote w:type="continuationSeparator" w:id="0">
    <w:p w14:paraId="2736C314" w14:textId="77777777" w:rsidR="008C3708" w:rsidRDefault="008C3708"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9453" w14:textId="77777777" w:rsidR="00EB0241" w:rsidRDefault="00EB0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E78F" w14:textId="77777777" w:rsidR="00EB0241" w:rsidRDefault="00EB0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466E" w14:textId="77777777" w:rsidR="00EB0241" w:rsidRDefault="00EB0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7FB1DB3"/>
    <w:multiLevelType w:val="hybridMultilevel"/>
    <w:tmpl w:val="218A1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51B1730"/>
    <w:multiLevelType w:val="hybridMultilevel"/>
    <w:tmpl w:val="1E62E2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D903835"/>
    <w:multiLevelType w:val="singleLevel"/>
    <w:tmpl w:val="767631E6"/>
    <w:lvl w:ilvl="0">
      <w:numFmt w:val="bullet"/>
      <w:pStyle w:val="Bullet"/>
      <w:lvlText w:val=""/>
      <w:lvlJc w:val="left"/>
      <w:pPr>
        <w:tabs>
          <w:tab w:val="num" w:pos="1440"/>
        </w:tabs>
        <w:ind w:left="1440" w:hanging="720"/>
      </w:pPr>
      <w:rPr>
        <w:rFonts w:ascii="Symbol" w:hAnsi="Symbol" w:hint="default"/>
        <w:sz w:val="22"/>
      </w:rPr>
    </w:lvl>
  </w:abstractNum>
  <w:abstractNum w:abstractNumId="20"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FBA0B51"/>
    <w:multiLevelType w:val="hybridMultilevel"/>
    <w:tmpl w:val="4C40A1E0"/>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05449A"/>
    <w:multiLevelType w:val="hybridMultilevel"/>
    <w:tmpl w:val="25F45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E81FDC"/>
    <w:multiLevelType w:val="hybridMultilevel"/>
    <w:tmpl w:val="B6A09CF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
  </w:num>
  <w:num w:numId="4">
    <w:abstractNumId w:val="17"/>
  </w:num>
  <w:num w:numId="5">
    <w:abstractNumId w:val="11"/>
  </w:num>
  <w:num w:numId="6">
    <w:abstractNumId w:val="16"/>
  </w:num>
  <w:num w:numId="7">
    <w:abstractNumId w:val="21"/>
  </w:num>
  <w:num w:numId="8">
    <w:abstractNumId w:val="12"/>
  </w:num>
  <w:num w:numId="9">
    <w:abstractNumId w:val="30"/>
  </w:num>
  <w:num w:numId="10">
    <w:abstractNumId w:val="0"/>
  </w:num>
  <w:num w:numId="11">
    <w:abstractNumId w:val="20"/>
  </w:num>
  <w:num w:numId="12">
    <w:abstractNumId w:val="22"/>
  </w:num>
  <w:num w:numId="13">
    <w:abstractNumId w:val="5"/>
  </w:num>
  <w:num w:numId="14">
    <w:abstractNumId w:val="26"/>
  </w:num>
  <w:num w:numId="15">
    <w:abstractNumId w:val="18"/>
  </w:num>
  <w:num w:numId="16">
    <w:abstractNumId w:val="23"/>
  </w:num>
  <w:num w:numId="17">
    <w:abstractNumId w:val="13"/>
  </w:num>
  <w:num w:numId="18">
    <w:abstractNumId w:val="14"/>
  </w:num>
  <w:num w:numId="19">
    <w:abstractNumId w:val="25"/>
  </w:num>
  <w:num w:numId="20">
    <w:abstractNumId w:val="24"/>
  </w:num>
  <w:num w:numId="21">
    <w:abstractNumId w:val="3"/>
  </w:num>
  <w:num w:numId="22">
    <w:abstractNumId w:val="10"/>
  </w:num>
  <w:num w:numId="23">
    <w:abstractNumId w:val="2"/>
  </w:num>
  <w:num w:numId="24">
    <w:abstractNumId w:val="8"/>
  </w:num>
  <w:num w:numId="25">
    <w:abstractNumId w:val="6"/>
  </w:num>
  <w:num w:numId="26">
    <w:abstractNumId w:val="19"/>
  </w:num>
  <w:num w:numId="27">
    <w:abstractNumId w:val="29"/>
  </w:num>
  <w:num w:numId="28">
    <w:abstractNumId w:val="28"/>
  </w:num>
  <w:num w:numId="29">
    <w:abstractNumId w:val="27"/>
  </w:num>
  <w:num w:numId="30">
    <w:abstractNumId w:val="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47606"/>
    <w:rsid w:val="00065623"/>
    <w:rsid w:val="000756B9"/>
    <w:rsid w:val="00096B67"/>
    <w:rsid w:val="00096DAF"/>
    <w:rsid w:val="000A5491"/>
    <w:rsid w:val="000C0EBC"/>
    <w:rsid w:val="000C2F47"/>
    <w:rsid w:val="000D2B9A"/>
    <w:rsid w:val="000D6C00"/>
    <w:rsid w:val="000E113D"/>
    <w:rsid w:val="000E4E04"/>
    <w:rsid w:val="000F14B4"/>
    <w:rsid w:val="000F75DF"/>
    <w:rsid w:val="0010075C"/>
    <w:rsid w:val="001023DC"/>
    <w:rsid w:val="00117124"/>
    <w:rsid w:val="001203C4"/>
    <w:rsid w:val="001328FA"/>
    <w:rsid w:val="00140F4E"/>
    <w:rsid w:val="00147AAF"/>
    <w:rsid w:val="00147B3F"/>
    <w:rsid w:val="001552C0"/>
    <w:rsid w:val="00157E4F"/>
    <w:rsid w:val="001640B1"/>
    <w:rsid w:val="0018435E"/>
    <w:rsid w:val="001B34F4"/>
    <w:rsid w:val="002041A1"/>
    <w:rsid w:val="002054F0"/>
    <w:rsid w:val="00230D6B"/>
    <w:rsid w:val="00232068"/>
    <w:rsid w:val="002330F2"/>
    <w:rsid w:val="00243D9E"/>
    <w:rsid w:val="00253B66"/>
    <w:rsid w:val="00261245"/>
    <w:rsid w:val="00261DF1"/>
    <w:rsid w:val="00271F18"/>
    <w:rsid w:val="00275C74"/>
    <w:rsid w:val="00282779"/>
    <w:rsid w:val="0028334D"/>
    <w:rsid w:val="002904E9"/>
    <w:rsid w:val="002B1BD2"/>
    <w:rsid w:val="002B7FFA"/>
    <w:rsid w:val="002C2BCF"/>
    <w:rsid w:val="002F279D"/>
    <w:rsid w:val="002F43B8"/>
    <w:rsid w:val="00336856"/>
    <w:rsid w:val="0034554D"/>
    <w:rsid w:val="00352224"/>
    <w:rsid w:val="00362445"/>
    <w:rsid w:val="003671E6"/>
    <w:rsid w:val="00384272"/>
    <w:rsid w:val="00386D67"/>
    <w:rsid w:val="003945B8"/>
    <w:rsid w:val="003B28B3"/>
    <w:rsid w:val="003D74B9"/>
    <w:rsid w:val="003D7F29"/>
    <w:rsid w:val="00405A6B"/>
    <w:rsid w:val="00407B1F"/>
    <w:rsid w:val="0041184F"/>
    <w:rsid w:val="00414C57"/>
    <w:rsid w:val="0041758C"/>
    <w:rsid w:val="004305AD"/>
    <w:rsid w:val="004539DE"/>
    <w:rsid w:val="00495698"/>
    <w:rsid w:val="004A2CF1"/>
    <w:rsid w:val="004C3035"/>
    <w:rsid w:val="004C307F"/>
    <w:rsid w:val="004E4BA8"/>
    <w:rsid w:val="004F340F"/>
    <w:rsid w:val="004F7B7C"/>
    <w:rsid w:val="00517AD6"/>
    <w:rsid w:val="0052243D"/>
    <w:rsid w:val="00532435"/>
    <w:rsid w:val="00550354"/>
    <w:rsid w:val="00553A57"/>
    <w:rsid w:val="00571236"/>
    <w:rsid w:val="0057581F"/>
    <w:rsid w:val="005953A1"/>
    <w:rsid w:val="005A4362"/>
    <w:rsid w:val="005B5434"/>
    <w:rsid w:val="005D0332"/>
    <w:rsid w:val="005D0D8C"/>
    <w:rsid w:val="005E3B50"/>
    <w:rsid w:val="00601550"/>
    <w:rsid w:val="00662AC8"/>
    <w:rsid w:val="00662D07"/>
    <w:rsid w:val="006678E6"/>
    <w:rsid w:val="00674B40"/>
    <w:rsid w:val="006776AE"/>
    <w:rsid w:val="006A0D97"/>
    <w:rsid w:val="006A2BF8"/>
    <w:rsid w:val="006B1F86"/>
    <w:rsid w:val="006C0A91"/>
    <w:rsid w:val="007054BB"/>
    <w:rsid w:val="00707064"/>
    <w:rsid w:val="00730683"/>
    <w:rsid w:val="0075261F"/>
    <w:rsid w:val="0075468E"/>
    <w:rsid w:val="007665D8"/>
    <w:rsid w:val="00766E36"/>
    <w:rsid w:val="007675E2"/>
    <w:rsid w:val="007765F4"/>
    <w:rsid w:val="00776633"/>
    <w:rsid w:val="00784D53"/>
    <w:rsid w:val="007914AB"/>
    <w:rsid w:val="00797797"/>
    <w:rsid w:val="007A63C9"/>
    <w:rsid w:val="007B32D1"/>
    <w:rsid w:val="007B7095"/>
    <w:rsid w:val="007C0D1B"/>
    <w:rsid w:val="007D24E1"/>
    <w:rsid w:val="007D6288"/>
    <w:rsid w:val="007E7505"/>
    <w:rsid w:val="007F4CE9"/>
    <w:rsid w:val="007F4E20"/>
    <w:rsid w:val="008055BB"/>
    <w:rsid w:val="00811EA1"/>
    <w:rsid w:val="00822C7E"/>
    <w:rsid w:val="00847060"/>
    <w:rsid w:val="00847A36"/>
    <w:rsid w:val="00856A33"/>
    <w:rsid w:val="00892620"/>
    <w:rsid w:val="008C3708"/>
    <w:rsid w:val="008C7D37"/>
    <w:rsid w:val="008D5885"/>
    <w:rsid w:val="008D5BEF"/>
    <w:rsid w:val="00923FA2"/>
    <w:rsid w:val="0094613B"/>
    <w:rsid w:val="0096060D"/>
    <w:rsid w:val="00974A50"/>
    <w:rsid w:val="0097585A"/>
    <w:rsid w:val="009924B0"/>
    <w:rsid w:val="009942C9"/>
    <w:rsid w:val="009B35C4"/>
    <w:rsid w:val="009C630A"/>
    <w:rsid w:val="009E0D98"/>
    <w:rsid w:val="00A068A1"/>
    <w:rsid w:val="00A1207D"/>
    <w:rsid w:val="00A12FD8"/>
    <w:rsid w:val="00A25E8B"/>
    <w:rsid w:val="00A33E8B"/>
    <w:rsid w:val="00A346FC"/>
    <w:rsid w:val="00A559BB"/>
    <w:rsid w:val="00A846F2"/>
    <w:rsid w:val="00A84F93"/>
    <w:rsid w:val="00AB1AC5"/>
    <w:rsid w:val="00AB3BFC"/>
    <w:rsid w:val="00AC4F2E"/>
    <w:rsid w:val="00AD0C37"/>
    <w:rsid w:val="00AD178F"/>
    <w:rsid w:val="00AD385F"/>
    <w:rsid w:val="00AE1B55"/>
    <w:rsid w:val="00AE6E2A"/>
    <w:rsid w:val="00B03EAB"/>
    <w:rsid w:val="00B044E4"/>
    <w:rsid w:val="00B156AA"/>
    <w:rsid w:val="00B200BE"/>
    <w:rsid w:val="00B301B4"/>
    <w:rsid w:val="00B31E9C"/>
    <w:rsid w:val="00B35595"/>
    <w:rsid w:val="00B51C6D"/>
    <w:rsid w:val="00B54E50"/>
    <w:rsid w:val="00B83DD2"/>
    <w:rsid w:val="00B86D64"/>
    <w:rsid w:val="00BA4AC5"/>
    <w:rsid w:val="00BB53F5"/>
    <w:rsid w:val="00BC0A39"/>
    <w:rsid w:val="00BC1364"/>
    <w:rsid w:val="00BC2667"/>
    <w:rsid w:val="00BC7DE9"/>
    <w:rsid w:val="00BE3157"/>
    <w:rsid w:val="00BF479B"/>
    <w:rsid w:val="00C02577"/>
    <w:rsid w:val="00C204FB"/>
    <w:rsid w:val="00C20BEE"/>
    <w:rsid w:val="00C2158D"/>
    <w:rsid w:val="00C23FAA"/>
    <w:rsid w:val="00C60190"/>
    <w:rsid w:val="00C67DD2"/>
    <w:rsid w:val="00C725CB"/>
    <w:rsid w:val="00C737BB"/>
    <w:rsid w:val="00C76F5C"/>
    <w:rsid w:val="00C96BAD"/>
    <w:rsid w:val="00CA6944"/>
    <w:rsid w:val="00CB0F8E"/>
    <w:rsid w:val="00CB7E7D"/>
    <w:rsid w:val="00CC2911"/>
    <w:rsid w:val="00CF0C6D"/>
    <w:rsid w:val="00CF7307"/>
    <w:rsid w:val="00CF7C68"/>
    <w:rsid w:val="00D124FA"/>
    <w:rsid w:val="00D340DE"/>
    <w:rsid w:val="00D511C4"/>
    <w:rsid w:val="00D55723"/>
    <w:rsid w:val="00D55F25"/>
    <w:rsid w:val="00D62FAD"/>
    <w:rsid w:val="00D64355"/>
    <w:rsid w:val="00D70450"/>
    <w:rsid w:val="00D755CB"/>
    <w:rsid w:val="00D83BFD"/>
    <w:rsid w:val="00D90A38"/>
    <w:rsid w:val="00D9442D"/>
    <w:rsid w:val="00DA0515"/>
    <w:rsid w:val="00DA171E"/>
    <w:rsid w:val="00DA56AA"/>
    <w:rsid w:val="00DB12A9"/>
    <w:rsid w:val="00DB5833"/>
    <w:rsid w:val="00DD2858"/>
    <w:rsid w:val="00DD6B45"/>
    <w:rsid w:val="00E0138F"/>
    <w:rsid w:val="00E03E33"/>
    <w:rsid w:val="00E059E0"/>
    <w:rsid w:val="00E3642A"/>
    <w:rsid w:val="00E415C4"/>
    <w:rsid w:val="00E50016"/>
    <w:rsid w:val="00E50EAA"/>
    <w:rsid w:val="00E656D6"/>
    <w:rsid w:val="00E977EE"/>
    <w:rsid w:val="00EA073F"/>
    <w:rsid w:val="00EA2F24"/>
    <w:rsid w:val="00EA5D22"/>
    <w:rsid w:val="00EA67A2"/>
    <w:rsid w:val="00EB0241"/>
    <w:rsid w:val="00EB630F"/>
    <w:rsid w:val="00EB6B6F"/>
    <w:rsid w:val="00EC4F98"/>
    <w:rsid w:val="00EC634A"/>
    <w:rsid w:val="00F12F02"/>
    <w:rsid w:val="00F264A7"/>
    <w:rsid w:val="00F32E0D"/>
    <w:rsid w:val="00F35134"/>
    <w:rsid w:val="00F37B9C"/>
    <w:rsid w:val="00F41812"/>
    <w:rsid w:val="00F67071"/>
    <w:rsid w:val="00F715D1"/>
    <w:rsid w:val="00F72715"/>
    <w:rsid w:val="00F73333"/>
    <w:rsid w:val="00F86C37"/>
    <w:rsid w:val="00F95D8F"/>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CFE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B156AA"/>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rsid w:val="00065623"/>
    <w:rPr>
      <w:sz w:val="20"/>
    </w:rPr>
  </w:style>
  <w:style w:type="character" w:customStyle="1" w:styleId="FootnoteTextChar">
    <w:name w:val="Footnote Text Char"/>
    <w:basedOn w:val="DefaultParagraphFont"/>
    <w:link w:val="FootnoteText"/>
    <w:uiPriority w:val="99"/>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B156AA"/>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B156A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B156AA"/>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B156AA"/>
    <w:rPr>
      <w:rFonts w:ascii="Arial Narrow" w:eastAsia="Times New Roman" w:hAnsi="Arial Narrow" w:cs="Tahoma"/>
      <w:b/>
      <w:noProof/>
      <w:sz w:val="20"/>
      <w:szCs w:val="20"/>
    </w:rPr>
  </w:style>
  <w:style w:type="paragraph" w:customStyle="1" w:styleId="Bullet">
    <w:name w:val="Bullet"/>
    <w:basedOn w:val="Normal"/>
    <w:qFormat/>
    <w:rsid w:val="00B156AA"/>
    <w:pPr>
      <w:numPr>
        <w:numId w:val="26"/>
      </w:numPr>
      <w:tabs>
        <w:tab w:val="clear" w:pos="1440"/>
        <w:tab w:val="num" w:pos="1287"/>
      </w:tabs>
      <w:spacing w:after="240" w:line="312" w:lineRule="auto"/>
      <w:ind w:left="851" w:hanging="454"/>
      <w:contextualSpacing/>
    </w:pPr>
    <w:rPr>
      <w:rFonts w:ascii="Calibri" w:hAnsi="Calibri" w:cs="Tahoma"/>
      <w:sz w:val="22"/>
      <w:szCs w:val="22"/>
    </w:rPr>
  </w:style>
  <w:style w:type="paragraph" w:customStyle="1" w:styleId="TableText">
    <w:name w:val="TableText"/>
    <w:basedOn w:val="Normal"/>
    <w:rsid w:val="00B156AA"/>
    <w:pPr>
      <w:keepNext/>
      <w:spacing w:before="60" w:after="60"/>
    </w:pPr>
    <w:rPr>
      <w:color w:val="000000"/>
      <w:sz w:val="21"/>
      <w:szCs w:val="21"/>
    </w:rPr>
  </w:style>
  <w:style w:type="paragraph" w:customStyle="1" w:styleId="BulletBeforeDash">
    <w:name w:val="BulletBeforeDash"/>
    <w:basedOn w:val="Normal"/>
    <w:rsid w:val="00B156AA"/>
    <w:pPr>
      <w:numPr>
        <w:numId w:val="27"/>
      </w:numPr>
    </w:pPr>
    <w:rPr>
      <w:color w:val="000000"/>
    </w:rPr>
  </w:style>
  <w:style w:type="paragraph" w:customStyle="1" w:styleId="BulletLast">
    <w:name w:val="BulletLast"/>
    <w:basedOn w:val="Bullet"/>
    <w:qFormat/>
    <w:rsid w:val="00B156AA"/>
    <w:pPr>
      <w:numPr>
        <w:numId w:val="0"/>
      </w:numPr>
      <w:tabs>
        <w:tab w:val="num" w:pos="1080"/>
      </w:tabs>
      <w:spacing w:line="240" w:lineRule="auto"/>
      <w:ind w:left="1080" w:hanging="360"/>
      <w:contextualSpacing w:val="0"/>
    </w:pPr>
    <w:rPr>
      <w:rFonts w:ascii="Times New Roman" w:hAnsi="Times New Roman" w:cs="Times New Roman"/>
      <w:color w:val="000000"/>
      <w:sz w:val="24"/>
      <w:szCs w:val="20"/>
    </w:rPr>
  </w:style>
  <w:style w:type="paragraph" w:customStyle="1" w:styleId="NormalBeforeBullet">
    <w:name w:val="NormalBeforeBullet"/>
    <w:basedOn w:val="Normal"/>
    <w:qFormat/>
    <w:rsid w:val="00B156AA"/>
    <w:pPr>
      <w:keepNext/>
      <w:spacing w:after="120"/>
    </w:pPr>
    <w:rPr>
      <w:color w:val="000000"/>
    </w:rPr>
  </w:style>
  <w:style w:type="paragraph" w:customStyle="1" w:styleId="Tabletext0">
    <w:name w:val="Table text"/>
    <w:basedOn w:val="Normal"/>
    <w:link w:val="TabletextChar"/>
    <w:qFormat/>
    <w:rsid w:val="00B156AA"/>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0"/>
    <w:rsid w:val="00B156AA"/>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B156AA"/>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156AA"/>
    <w:rPr>
      <w:rFonts w:ascii="Arial Narrow" w:eastAsia="Times New Roman" w:hAnsi="Arial Narrow" w:cs="Arial"/>
      <w:b/>
      <w:bCs/>
      <w:iCs/>
      <w:sz w:val="20"/>
      <w:szCs w:val="20"/>
      <w:lang w:eastAsia="en-US"/>
    </w:rPr>
  </w:style>
  <w:style w:type="paragraph" w:customStyle="1" w:styleId="TFAbbrevs18">
    <w:name w:val="TFAbbrevs+18"/>
    <w:basedOn w:val="Normal"/>
    <w:next w:val="Normal"/>
    <w:qFormat/>
    <w:rsid w:val="00B156AA"/>
    <w:pPr>
      <w:keepNext/>
      <w:keepLines/>
      <w:spacing w:after="360"/>
      <w:contextualSpacing/>
    </w:pPr>
    <w:rPr>
      <w:rFonts w:ascii="Arial Narrow" w:hAnsi="Arial Narrow"/>
      <w:color w:val="000000"/>
      <w:sz w:val="18"/>
      <w:szCs w:val="18"/>
    </w:rPr>
  </w:style>
  <w:style w:type="character" w:customStyle="1" w:styleId="ListParagraphChar">
    <w:name w:val="List Paragraph Char"/>
    <w:aliases w:val="Styl moj Char,Akapit z listą1 Char,Akapit z listą11 Char"/>
    <w:link w:val="ListParagraph"/>
    <w:uiPriority w:val="99"/>
    <w:rsid w:val="00B156AA"/>
    <w:rPr>
      <w:rFonts w:eastAsia="Times New Roman"/>
      <w:sz w:val="24"/>
      <w:szCs w:val="20"/>
    </w:rPr>
  </w:style>
  <w:style w:type="character" w:styleId="Strong">
    <w:name w:val="Strong"/>
    <w:uiPriority w:val="22"/>
    <w:locked/>
    <w:rsid w:val="00B156AA"/>
    <w:rPr>
      <w:b/>
      <w:bCs/>
    </w:rPr>
  </w:style>
  <w:style w:type="table" w:customStyle="1" w:styleId="TableGrid1">
    <w:name w:val="Table Grid1"/>
    <w:basedOn w:val="TableNormal"/>
    <w:next w:val="TableGrid"/>
    <w:rsid w:val="00B156AA"/>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Semibold" w:hAnsi="@Yu Gothic UI Semibold"/>
        <w:b w:val="0"/>
        <w:sz w:val="20"/>
      </w:rPr>
    </w:tblStylePr>
  </w:style>
  <w:style w:type="paragraph" w:customStyle="1" w:styleId="TableTextcenter">
    <w:name w:val="Table Text center"/>
    <w:basedOn w:val="Normal"/>
    <w:qFormat/>
    <w:rsid w:val="00B156AA"/>
    <w:pPr>
      <w:keepNext/>
      <w:spacing w:before="40" w:after="40"/>
      <w:jc w:val="center"/>
    </w:pPr>
    <w:rPr>
      <w:rFonts w:ascii="Arial Narrow" w:hAnsi="Arial Narrow" w:cs="Tahoma"/>
      <w:sz w:val="20"/>
      <w:szCs w:val="22"/>
      <w:lang w:eastAsia="en-US"/>
    </w:rPr>
  </w:style>
  <w:style w:type="paragraph" w:customStyle="1" w:styleId="TableHeadingcenter">
    <w:name w:val="Table Heading center"/>
    <w:basedOn w:val="TableTextcenter"/>
    <w:next w:val="TableTextcenter"/>
    <w:qFormat/>
    <w:rsid w:val="00B156AA"/>
    <w:rPr>
      <w:b/>
    </w:rPr>
  </w:style>
  <w:style w:type="character" w:customStyle="1" w:styleId="label">
    <w:name w:val="label"/>
    <w:basedOn w:val="DefaultParagraphFont"/>
    <w:rsid w:val="00B156AA"/>
  </w:style>
  <w:style w:type="paragraph" w:customStyle="1" w:styleId="Evidenceprofiletableleft">
    <w:name w:val="Evidence profile table left"/>
    <w:basedOn w:val="Normal"/>
    <w:qFormat/>
    <w:rsid w:val="00B156AA"/>
    <w:pPr>
      <w:keepLines/>
      <w:spacing w:before="40" w:after="40"/>
    </w:pPr>
    <w:rPr>
      <w:rFonts w:ascii="Arial Narrow" w:hAnsi="Arial Narrow" w:cs="Tahoma"/>
      <w:sz w:val="18"/>
      <w:szCs w:val="18"/>
      <w:lang w:eastAsia="en-US"/>
    </w:rPr>
  </w:style>
  <w:style w:type="paragraph" w:customStyle="1" w:styleId="TableTextLeft">
    <w:name w:val="Table Text Left"/>
    <w:basedOn w:val="Tabletext0"/>
    <w:link w:val="TableTextLeftChar"/>
    <w:qFormat/>
    <w:rsid w:val="00B156AA"/>
    <w:pPr>
      <w:keepNext/>
    </w:pPr>
    <w:rPr>
      <w:rFonts w:cs="Tahoma"/>
      <w:szCs w:val="22"/>
    </w:rPr>
  </w:style>
  <w:style w:type="character" w:customStyle="1" w:styleId="TableTextLeftChar">
    <w:name w:val="Table Text Left Char"/>
    <w:link w:val="TableTextLeft"/>
    <w:rsid w:val="00B156AA"/>
    <w:rPr>
      <w:rFonts w:ascii="Arial Narrow" w:eastAsia="Times New Roman" w:hAnsi="Arial Narrow" w:cs="Tahoma"/>
      <w:sz w:val="20"/>
      <w:lang w:eastAsia="en-US"/>
    </w:rPr>
  </w:style>
  <w:style w:type="paragraph" w:customStyle="1" w:styleId="TableHeading0">
    <w:name w:val="Table Heading"/>
    <w:basedOn w:val="TableHeading"/>
    <w:next w:val="Tabletext0"/>
    <w:rsid w:val="00B156AA"/>
    <w:pPr>
      <w:keepLines/>
      <w:ind w:left="0" w:firstLine="0"/>
      <w:jc w:val="left"/>
    </w:pPr>
    <w:rPr>
      <w:noProof w:val="0"/>
    </w:rPr>
  </w:style>
  <w:style w:type="paragraph" w:customStyle="1" w:styleId="TableText1">
    <w:name w:val="Table Text"/>
    <w:basedOn w:val="Normal"/>
    <w:link w:val="TableTextChar0"/>
    <w:qFormat/>
    <w:rsid w:val="00B156AA"/>
    <w:pPr>
      <w:keepNext/>
      <w:spacing w:before="40" w:after="40"/>
    </w:pPr>
    <w:rPr>
      <w:rFonts w:ascii="Arial Narrow" w:hAnsi="Arial Narrow" w:cs="Tahoma"/>
      <w:sz w:val="20"/>
      <w:szCs w:val="22"/>
      <w:lang w:eastAsia="en-US"/>
    </w:rPr>
  </w:style>
  <w:style w:type="character" w:customStyle="1" w:styleId="TableTextChar0">
    <w:name w:val="Table Text Char"/>
    <w:link w:val="TableText1"/>
    <w:rsid w:val="00B156AA"/>
    <w:rPr>
      <w:rFonts w:ascii="Arial Narrow" w:eastAsia="Times New Roman" w:hAnsi="Arial Narrow" w:cs="Tahoma"/>
      <w:sz w:val="20"/>
      <w:lang w:eastAsia="en-US"/>
    </w:rPr>
  </w:style>
  <w:style w:type="character" w:customStyle="1" w:styleId="cell-value">
    <w:name w:val="cell-value"/>
    <w:basedOn w:val="DefaultParagraphFont"/>
    <w:rsid w:val="00B156AA"/>
  </w:style>
  <w:style w:type="character" w:customStyle="1" w:styleId="cell">
    <w:name w:val="cell"/>
    <w:basedOn w:val="DefaultParagraphFont"/>
    <w:rsid w:val="00B156AA"/>
  </w:style>
  <w:style w:type="paragraph" w:customStyle="1" w:styleId="Tablenotes">
    <w:name w:val="Tablenotes"/>
    <w:basedOn w:val="Normal"/>
    <w:link w:val="TablenotesChar"/>
    <w:autoRedefine/>
    <w:qFormat/>
    <w:rsid w:val="00B156AA"/>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B156AA"/>
    <w:rPr>
      <w:rFonts w:ascii="Arial Narrow" w:eastAsia="Times New Roman" w:hAnsi="Arial Narrow" w:cs="Arial"/>
      <w:snapToGrid w:val="0"/>
      <w:sz w:val="18"/>
      <w:szCs w:val="20"/>
      <w:lang w:eastAsia="en-US"/>
    </w:rPr>
  </w:style>
  <w:style w:type="paragraph" w:customStyle="1" w:styleId="Submissionnormal">
    <w:name w:val="Submission normal"/>
    <w:basedOn w:val="Normal"/>
    <w:link w:val="SubmissionnormalChar"/>
    <w:qFormat/>
    <w:rsid w:val="000E113D"/>
    <w:pPr>
      <w:spacing w:after="120"/>
      <w:jc w:val="both"/>
    </w:pPr>
    <w:rPr>
      <w:rFonts w:ascii="Arial Narrow" w:eastAsiaTheme="minorHAnsi" w:hAnsi="Arial Narrow" w:cstheme="minorBidi"/>
      <w:noProof/>
      <w:sz w:val="22"/>
      <w:szCs w:val="22"/>
    </w:rPr>
  </w:style>
  <w:style w:type="character" w:customStyle="1" w:styleId="SubmissionnormalChar">
    <w:name w:val="Submission normal Char"/>
    <w:basedOn w:val="DefaultParagraphFont"/>
    <w:link w:val="Submissionnormal"/>
    <w:rsid w:val="000E113D"/>
    <w:rPr>
      <w:rFonts w:ascii="Arial Narrow" w:eastAsiaTheme="minorHAnsi" w:hAnsi="Arial Narrow" w:cstheme="minorBidi"/>
      <w:noProof/>
    </w:rPr>
  </w:style>
  <w:style w:type="paragraph" w:customStyle="1" w:styleId="KMC16ES-text">
    <w:name w:val="KMC16 ES - text"/>
    <w:basedOn w:val="Normal"/>
    <w:qFormat/>
    <w:rsid w:val="00140F4E"/>
    <w:pPr>
      <w:spacing w:after="40"/>
      <w:jc w:val="both"/>
    </w:pPr>
    <w:rPr>
      <w:rFonts w:ascii="Arial Narrow" w:eastAsiaTheme="minorHAnsi" w:hAnsi="Arial Narrow"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3285">
      <w:bodyDiv w:val="1"/>
      <w:marLeft w:val="0"/>
      <w:marRight w:val="0"/>
      <w:marTop w:val="0"/>
      <w:marBottom w:val="0"/>
      <w:divBdr>
        <w:top w:val="none" w:sz="0" w:space="0" w:color="auto"/>
        <w:left w:val="none" w:sz="0" w:space="0" w:color="auto"/>
        <w:bottom w:val="none" w:sz="0" w:space="0" w:color="auto"/>
        <w:right w:val="none" w:sz="0" w:space="0" w:color="auto"/>
      </w:divBdr>
    </w:div>
    <w:div w:id="413665681">
      <w:bodyDiv w:val="1"/>
      <w:marLeft w:val="0"/>
      <w:marRight w:val="0"/>
      <w:marTop w:val="0"/>
      <w:marBottom w:val="0"/>
      <w:divBdr>
        <w:top w:val="none" w:sz="0" w:space="0" w:color="auto"/>
        <w:left w:val="none" w:sz="0" w:space="0" w:color="auto"/>
        <w:bottom w:val="none" w:sz="0" w:space="0" w:color="auto"/>
        <w:right w:val="none" w:sz="0" w:space="0" w:color="auto"/>
      </w:divBdr>
    </w:div>
    <w:div w:id="104139367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3820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msa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39F83-018E-4247-A6D5-FA9D71FE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6850</Words>
  <Characters>39875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1515 - Final PSD_redacted</vt:lpstr>
    </vt:vector>
  </TitlesOfParts>
  <Company/>
  <LinksUpToDate>false</LinksUpToDate>
  <CharactersWithSpaces>46632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1515 - Final PSD_redacted</dc:title>
  <dc:creator/>
  <cp:lastModifiedBy/>
  <cp:revision>1</cp:revision>
  <dcterms:created xsi:type="dcterms:W3CDTF">2019-11-06T00:57:00Z</dcterms:created>
  <dcterms:modified xsi:type="dcterms:W3CDTF">2019-11-06T02:08:00Z</dcterms:modified>
</cp:coreProperties>
</file>