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C09A"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69E481D" wp14:editId="41414AB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2E8CF5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8678FC1" w14:textId="77777777" w:rsidR="00BC1364" w:rsidRPr="00F715D1" w:rsidRDefault="00BC1364" w:rsidP="002B77DF">
      <w:pPr>
        <w:pStyle w:val="Subtitle"/>
      </w:pPr>
      <w:r w:rsidRPr="00F715D1">
        <w:t xml:space="preserve">Application No. </w:t>
      </w:r>
      <w:r w:rsidR="00221AF6">
        <w:t>1431.1</w:t>
      </w:r>
      <w:r w:rsidRPr="00F715D1">
        <w:t xml:space="preserve"> </w:t>
      </w:r>
      <w:r w:rsidRPr="003533B8">
        <w:t xml:space="preserve">– </w:t>
      </w:r>
      <w:r w:rsidR="00221AF6" w:rsidRPr="00221AF6">
        <w:t>HbA1c point of care test for the diagnosis and management of diabetes mellitus</w:t>
      </w:r>
    </w:p>
    <w:p w14:paraId="7802B3B5" w14:textId="77C721AA"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2B77DF">
        <w:rPr>
          <w:rFonts w:ascii="Arial" w:hAnsi="Arial" w:cs="Arial"/>
          <w:b/>
          <w:szCs w:val="24"/>
        </w:rPr>
        <w:t>:</w:t>
      </w:r>
      <w:r w:rsidR="00221AF6">
        <w:rPr>
          <w:rFonts w:ascii="Arial" w:hAnsi="Arial" w:cs="Arial"/>
          <w:b/>
          <w:szCs w:val="24"/>
        </w:rPr>
        <w:tab/>
      </w:r>
      <w:proofErr w:type="spellStart"/>
      <w:r w:rsidR="00034DA1">
        <w:rPr>
          <w:rFonts w:ascii="Arial" w:hAnsi="Arial" w:cs="Arial"/>
          <w:b/>
          <w:szCs w:val="24"/>
        </w:rPr>
        <w:t>HTAnalysts</w:t>
      </w:r>
      <w:proofErr w:type="spellEnd"/>
    </w:p>
    <w:p w14:paraId="1AB51A5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119D9">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6119D9">
        <w:rPr>
          <w:rFonts w:ascii="Arial" w:hAnsi="Arial" w:cs="Arial"/>
          <w:b/>
          <w:szCs w:val="24"/>
        </w:rPr>
        <w:t>28-29 March 2019</w:t>
      </w:r>
    </w:p>
    <w:p w14:paraId="30C16C7B" w14:textId="77777777" w:rsidR="0041184F" w:rsidRPr="00B03EAB" w:rsidRDefault="006A0D97" w:rsidP="000934B8">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076B667B" w14:textId="77777777" w:rsidR="003D7F29" w:rsidRDefault="003D7F29" w:rsidP="00F715D1">
      <w:pPr>
        <w:pStyle w:val="Heading1"/>
      </w:pPr>
      <w:r w:rsidRPr="00F715D1">
        <w:t>Purpose of application</w:t>
      </w:r>
      <w:r w:rsidR="00822C7E" w:rsidRPr="00F715D1">
        <w:t xml:space="preserve"> </w:t>
      </w:r>
    </w:p>
    <w:p w14:paraId="3E472E36" w14:textId="1F85C9D9" w:rsidR="009A1034" w:rsidRPr="009A1034" w:rsidRDefault="009A1034" w:rsidP="009A1034">
      <w:r>
        <w:t xml:space="preserve">An application for the resubmission of </w:t>
      </w:r>
      <w:r w:rsidRPr="009E2BCD">
        <w:t>glycated haemoglobin (</w:t>
      </w:r>
      <w:r w:rsidRPr="009E2BCD">
        <w:rPr>
          <w:rFonts w:eastAsia="SimSun"/>
          <w:lang w:eastAsia="zh-CN"/>
        </w:rPr>
        <w:t>HbA1c) Point of Care (</w:t>
      </w:r>
      <w:proofErr w:type="spellStart"/>
      <w:r w:rsidRPr="009E2BCD">
        <w:rPr>
          <w:rFonts w:eastAsia="SimSun"/>
          <w:lang w:eastAsia="zh-CN"/>
        </w:rPr>
        <w:t>PoC</w:t>
      </w:r>
      <w:proofErr w:type="spellEnd"/>
      <w:r w:rsidRPr="009E2BCD">
        <w:rPr>
          <w:rFonts w:eastAsia="SimSun"/>
          <w:lang w:eastAsia="zh-CN"/>
        </w:rPr>
        <w:t>) testing for the management of patients with diabetes mellitus</w:t>
      </w:r>
      <w:r>
        <w:rPr>
          <w:rFonts w:eastAsia="SimSun"/>
          <w:lang w:eastAsia="zh-CN"/>
        </w:rPr>
        <w:t xml:space="preserve"> </w:t>
      </w:r>
      <w:proofErr w:type="gramStart"/>
      <w:r w:rsidRPr="009E2BCD">
        <w:t>was received</w:t>
      </w:r>
      <w:proofErr w:type="gramEnd"/>
      <w:r w:rsidRPr="009E2BCD">
        <w:t xml:space="preserve"> from </w:t>
      </w:r>
      <w:proofErr w:type="spellStart"/>
      <w:r w:rsidR="00407E0C">
        <w:t>HTAnalysts</w:t>
      </w:r>
      <w:proofErr w:type="spellEnd"/>
      <w:r w:rsidR="00407E0C" w:rsidRPr="009E2BCD">
        <w:t xml:space="preserve"> </w:t>
      </w:r>
      <w:r w:rsidRPr="009E2BCD">
        <w:t>for IVD Australia</w:t>
      </w:r>
      <w:r w:rsidRPr="00B94DB5">
        <w:t xml:space="preserve"> by the Department of Health</w:t>
      </w:r>
      <w:r w:rsidRPr="00F12C67">
        <w:t>.</w:t>
      </w:r>
    </w:p>
    <w:p w14:paraId="4BC4A9EE" w14:textId="77777777" w:rsidR="00E977EE" w:rsidRPr="00F715D1" w:rsidRDefault="00E977EE" w:rsidP="00F715D1">
      <w:pPr>
        <w:pStyle w:val="Heading1"/>
      </w:pPr>
      <w:r w:rsidRPr="00F715D1">
        <w:t>MSAC’s advice to the Minister</w:t>
      </w:r>
    </w:p>
    <w:p w14:paraId="733C0F20" w14:textId="6143646A" w:rsidR="00E6602A" w:rsidRDefault="00E6602A" w:rsidP="005C7F8E">
      <w:pPr>
        <w:spacing w:before="240"/>
        <w:rPr>
          <w:bCs/>
          <w:szCs w:val="24"/>
        </w:rPr>
      </w:pPr>
      <w:r w:rsidRPr="00275289">
        <w:rPr>
          <w:szCs w:val="24"/>
        </w:rPr>
        <w:t xml:space="preserve">MSAC indicated it was </w:t>
      </w:r>
      <w:r w:rsidR="0052140E">
        <w:rPr>
          <w:szCs w:val="24"/>
        </w:rPr>
        <w:t>supportive of</w:t>
      </w:r>
      <w:r w:rsidRPr="00275289">
        <w:rPr>
          <w:szCs w:val="24"/>
        </w:rPr>
        <w:t xml:space="preserve"> MBS listing of HbA1c </w:t>
      </w:r>
      <w:proofErr w:type="spellStart"/>
      <w:r w:rsidR="005C7F8E">
        <w:rPr>
          <w:bCs/>
          <w:szCs w:val="24"/>
        </w:rPr>
        <w:t>PoC</w:t>
      </w:r>
      <w:proofErr w:type="spellEnd"/>
      <w:r w:rsidRPr="00275289">
        <w:rPr>
          <w:bCs/>
          <w:szCs w:val="24"/>
        </w:rPr>
        <w:t xml:space="preserve"> testing for the management and monitoring of established diabetes mel</w:t>
      </w:r>
      <w:r w:rsidR="005C7F8E">
        <w:rPr>
          <w:bCs/>
          <w:szCs w:val="24"/>
        </w:rPr>
        <w:t xml:space="preserve">litus, including in pregnancy. </w:t>
      </w:r>
    </w:p>
    <w:p w14:paraId="171CDB79" w14:textId="0D48F292" w:rsidR="00BC7987" w:rsidRDefault="00E6602A" w:rsidP="005C7F8E">
      <w:pPr>
        <w:spacing w:before="240"/>
        <w:rPr>
          <w:bCs/>
          <w:szCs w:val="24"/>
        </w:rPr>
      </w:pPr>
      <w:r>
        <w:rPr>
          <w:bCs/>
          <w:szCs w:val="24"/>
        </w:rPr>
        <w:t>Before</w:t>
      </w:r>
      <w:r w:rsidRPr="00275289">
        <w:rPr>
          <w:bCs/>
          <w:szCs w:val="24"/>
        </w:rPr>
        <w:t xml:space="preserve"> making a final recommendation</w:t>
      </w:r>
      <w:r w:rsidR="0052140E">
        <w:rPr>
          <w:bCs/>
          <w:szCs w:val="24"/>
        </w:rPr>
        <w:t>,</w:t>
      </w:r>
      <w:r w:rsidRPr="00275289">
        <w:rPr>
          <w:bCs/>
          <w:szCs w:val="24"/>
        </w:rPr>
        <w:t xml:space="preserve"> MSAC advised that, to ensure good</w:t>
      </w:r>
      <w:r>
        <w:rPr>
          <w:bCs/>
          <w:szCs w:val="24"/>
        </w:rPr>
        <w:t xml:space="preserve"> </w:t>
      </w:r>
      <w:r w:rsidRPr="00275289">
        <w:rPr>
          <w:bCs/>
          <w:szCs w:val="24"/>
        </w:rPr>
        <w:t>testing practice and cost-neutrality, the appropriate quality assurance standards and accreditation of pr</w:t>
      </w:r>
      <w:r w:rsidR="0084762D">
        <w:rPr>
          <w:bCs/>
          <w:szCs w:val="24"/>
        </w:rPr>
        <w:t xml:space="preserve">actices </w:t>
      </w:r>
      <w:r w:rsidRPr="00275289">
        <w:rPr>
          <w:bCs/>
          <w:szCs w:val="24"/>
        </w:rPr>
        <w:t>need</w:t>
      </w:r>
      <w:r w:rsidR="00BC7987">
        <w:rPr>
          <w:bCs/>
          <w:szCs w:val="24"/>
        </w:rPr>
        <w:t>s</w:t>
      </w:r>
      <w:r w:rsidRPr="00275289">
        <w:rPr>
          <w:bCs/>
          <w:szCs w:val="24"/>
        </w:rPr>
        <w:t xml:space="preserve"> to be determined</w:t>
      </w:r>
      <w:r>
        <w:rPr>
          <w:bCs/>
          <w:szCs w:val="24"/>
        </w:rPr>
        <w:t>,</w:t>
      </w:r>
      <w:r w:rsidRPr="00275289">
        <w:rPr>
          <w:bCs/>
          <w:szCs w:val="24"/>
        </w:rPr>
        <w:t xml:space="preserve"> along with costs. </w:t>
      </w:r>
      <w:r w:rsidR="00BC7987">
        <w:rPr>
          <w:bCs/>
          <w:szCs w:val="24"/>
        </w:rPr>
        <w:t xml:space="preserve">MSAC noted that it is desirable that there be </w:t>
      </w:r>
      <w:r w:rsidR="008A6717">
        <w:rPr>
          <w:bCs/>
          <w:szCs w:val="24"/>
        </w:rPr>
        <w:t xml:space="preserve">a </w:t>
      </w:r>
      <w:r w:rsidR="00BC7987">
        <w:rPr>
          <w:bCs/>
          <w:szCs w:val="24"/>
        </w:rPr>
        <w:t>sing</w:t>
      </w:r>
      <w:r w:rsidR="00846D51">
        <w:rPr>
          <w:bCs/>
          <w:szCs w:val="24"/>
        </w:rPr>
        <w:t>l</w:t>
      </w:r>
      <w:r w:rsidR="00BC7987">
        <w:rPr>
          <w:bCs/>
          <w:szCs w:val="24"/>
        </w:rPr>
        <w:t xml:space="preserve">e set of standards and that the </w:t>
      </w:r>
      <w:r w:rsidR="00BC7987" w:rsidRPr="002A2543">
        <w:rPr>
          <w:rFonts w:cs="Arial"/>
        </w:rPr>
        <w:t>National Pathology Accreditation Advisory Council</w:t>
      </w:r>
      <w:r w:rsidR="00BC7987">
        <w:rPr>
          <w:rFonts w:cs="Arial"/>
        </w:rPr>
        <w:t xml:space="preserve"> (NPAAC)</w:t>
      </w:r>
      <w:r w:rsidR="00BC7987" w:rsidRPr="007E752B">
        <w:rPr>
          <w:rFonts w:cs="Arial"/>
        </w:rPr>
        <w:t xml:space="preserve"> </w:t>
      </w:r>
      <w:r w:rsidR="00BC7987">
        <w:rPr>
          <w:rFonts w:cs="Arial"/>
        </w:rPr>
        <w:t>is currently undertaking</w:t>
      </w:r>
      <w:r w:rsidR="0084762D">
        <w:rPr>
          <w:rFonts w:cs="Arial"/>
        </w:rPr>
        <w:t xml:space="preserve"> a review of</w:t>
      </w:r>
      <w:r w:rsidR="00BC7987">
        <w:rPr>
          <w:rFonts w:cs="Arial"/>
        </w:rPr>
        <w:t xml:space="preserve"> its </w:t>
      </w:r>
      <w:r w:rsidR="00BC7987" w:rsidRPr="00673708">
        <w:rPr>
          <w:rFonts w:cs="Arial"/>
          <w:i/>
        </w:rPr>
        <w:t>Guidelines for point of care testing</w:t>
      </w:r>
      <w:r w:rsidR="00BC7987">
        <w:rPr>
          <w:rFonts w:cs="Arial"/>
          <w:i/>
        </w:rPr>
        <w:t>.</w:t>
      </w:r>
    </w:p>
    <w:p w14:paraId="61D2A1A8" w14:textId="09EA1B38" w:rsidR="00E6602A" w:rsidRPr="00275289" w:rsidRDefault="00E6602A" w:rsidP="005C7F8E">
      <w:pPr>
        <w:spacing w:before="240"/>
        <w:rPr>
          <w:bCs/>
          <w:szCs w:val="24"/>
        </w:rPr>
      </w:pPr>
      <w:r w:rsidRPr="00275289">
        <w:rPr>
          <w:bCs/>
          <w:szCs w:val="24"/>
        </w:rPr>
        <w:t xml:space="preserve">The cost-minimisation calculation also needs to be re-examined to take into account concerns </w:t>
      </w:r>
      <w:proofErr w:type="gramStart"/>
      <w:r w:rsidRPr="00275289">
        <w:rPr>
          <w:bCs/>
          <w:szCs w:val="24"/>
        </w:rPr>
        <w:t>about</w:t>
      </w:r>
      <w:proofErr w:type="gramEnd"/>
      <w:r w:rsidRPr="00275289">
        <w:rPr>
          <w:bCs/>
          <w:szCs w:val="24"/>
        </w:rPr>
        <w:t xml:space="preserve"> the coning assumptions, the updated costs of accreditation and quality assurance</w:t>
      </w:r>
      <w:r>
        <w:rPr>
          <w:bCs/>
          <w:szCs w:val="24"/>
        </w:rPr>
        <w:t>,</w:t>
      </w:r>
      <w:r w:rsidRPr="00275289">
        <w:rPr>
          <w:bCs/>
          <w:szCs w:val="24"/>
        </w:rPr>
        <w:t xml:space="preserve"> and to reflect the costs of different test devices. Further consolidation o</w:t>
      </w:r>
      <w:r w:rsidR="005C7F8E">
        <w:rPr>
          <w:bCs/>
          <w:szCs w:val="24"/>
        </w:rPr>
        <w:t xml:space="preserve">f the application’s utilisation </w:t>
      </w:r>
      <w:r w:rsidRPr="00275289">
        <w:rPr>
          <w:bCs/>
          <w:szCs w:val="24"/>
        </w:rPr>
        <w:t>estimates is also required.</w:t>
      </w:r>
    </w:p>
    <w:p w14:paraId="68909FAB" w14:textId="77777777" w:rsidR="00E6602A" w:rsidRDefault="00E6602A" w:rsidP="000934B8">
      <w:pPr>
        <w:spacing w:before="240"/>
      </w:pPr>
      <w:r w:rsidRPr="00275289">
        <w:rPr>
          <w:bCs/>
        </w:rPr>
        <w:t xml:space="preserve">MSAC requested that this information </w:t>
      </w:r>
      <w:proofErr w:type="gramStart"/>
      <w:r w:rsidRPr="00275289">
        <w:rPr>
          <w:bCs/>
        </w:rPr>
        <w:t>be provided</w:t>
      </w:r>
      <w:proofErr w:type="gramEnd"/>
      <w:r w:rsidRPr="00275289">
        <w:rPr>
          <w:bCs/>
        </w:rPr>
        <w:t xml:space="preserve"> to the MSAC Executive for review</w:t>
      </w:r>
      <w:r>
        <w:rPr>
          <w:bCs/>
        </w:rPr>
        <w:t>,</w:t>
      </w:r>
      <w:r w:rsidRPr="00275289">
        <w:t xml:space="preserve"> with </w:t>
      </w:r>
      <w:r>
        <w:t xml:space="preserve">reconsideration by </w:t>
      </w:r>
      <w:r w:rsidRPr="00275289">
        <w:t>MSAC out-of-session if considered necessary by the MSAC Executive</w:t>
      </w:r>
      <w:r w:rsidRPr="00275289">
        <w:rPr>
          <w:bCs/>
        </w:rPr>
        <w:t>.</w:t>
      </w:r>
    </w:p>
    <w:p w14:paraId="0F4A43B5" w14:textId="77777777" w:rsidR="00550354" w:rsidRPr="00F715D1" w:rsidRDefault="00550354" w:rsidP="00F715D1">
      <w:pPr>
        <w:pStyle w:val="Heading1"/>
      </w:pPr>
      <w:r w:rsidRPr="00F715D1">
        <w:t xml:space="preserve">Summary of consideration and rationale for MSAC’s advice </w:t>
      </w:r>
    </w:p>
    <w:p w14:paraId="2F142F67" w14:textId="5AB325DB" w:rsidR="00200E40" w:rsidRDefault="00200E40" w:rsidP="005C1607">
      <w:pPr>
        <w:spacing w:before="120" w:after="120"/>
      </w:pPr>
      <w:r>
        <w:t xml:space="preserve">MSAC noted that this is </w:t>
      </w:r>
      <w:r w:rsidR="009F27BF">
        <w:t xml:space="preserve">a </w:t>
      </w:r>
      <w:r>
        <w:t>resubmission of Application 1431. MSAC recalled that, in July</w:t>
      </w:r>
      <w:r w:rsidR="00EC542E">
        <w:t> </w:t>
      </w:r>
      <w:r>
        <w:t>2017, MSAC considered the safety, clinical effectiveness and cost-effective</w:t>
      </w:r>
      <w:r w:rsidR="005C7F8E">
        <w:t xml:space="preserve">ness of HbA1c </w:t>
      </w:r>
      <w:proofErr w:type="spellStart"/>
      <w:r>
        <w:t>PoC</w:t>
      </w:r>
      <w:proofErr w:type="spellEnd"/>
      <w:r>
        <w:t xml:space="preserve"> testing as an alternative to HbA1c testing in an accredited pathology laboratory for the diagnosis and management of diabetes. MSAC recalled that it did not support public </w:t>
      </w:r>
      <w:r>
        <w:lastRenderedPageBreak/>
        <w:t xml:space="preserve">funding for HbA1c </w:t>
      </w:r>
      <w:proofErr w:type="spellStart"/>
      <w:r>
        <w:t>PoC</w:t>
      </w:r>
      <w:proofErr w:type="spellEnd"/>
      <w:r>
        <w:t xml:space="preserve"> tests for the diagnosis of diabetes and deferred its advice for the monitoring of glycaemic management in patients with established diabetes, pending:</w:t>
      </w:r>
    </w:p>
    <w:p w14:paraId="346B422F" w14:textId="77777777" w:rsidR="00200E40" w:rsidRDefault="00200E40" w:rsidP="005C1607">
      <w:pPr>
        <w:pStyle w:val="Bullet"/>
        <w:numPr>
          <w:ilvl w:val="0"/>
          <w:numId w:val="32"/>
        </w:numPr>
        <w:tabs>
          <w:tab w:val="clear" w:pos="360"/>
        </w:tabs>
        <w:spacing w:before="120"/>
        <w:ind w:left="1135" w:hanging="284"/>
      </w:pPr>
      <w:r>
        <w:t>further data and advice on an accreditation framework</w:t>
      </w:r>
      <w:r w:rsidR="00D0322A">
        <w:t>;</w:t>
      </w:r>
    </w:p>
    <w:p w14:paraId="11D6CEA8" w14:textId="77777777" w:rsidR="00200E40" w:rsidRDefault="00200E40" w:rsidP="005C1607">
      <w:pPr>
        <w:pStyle w:val="Bullet"/>
        <w:numPr>
          <w:ilvl w:val="0"/>
          <w:numId w:val="32"/>
        </w:numPr>
        <w:tabs>
          <w:tab w:val="clear" w:pos="360"/>
        </w:tabs>
        <w:spacing w:before="120"/>
        <w:ind w:left="1135" w:hanging="284"/>
      </w:pPr>
      <w:r>
        <w:t xml:space="preserve">a reduction in, or further justification of, the proposed fee for HbA1c </w:t>
      </w:r>
      <w:proofErr w:type="spellStart"/>
      <w:r>
        <w:t>PoC</w:t>
      </w:r>
      <w:proofErr w:type="spellEnd"/>
      <w:r>
        <w:t xml:space="preserve"> testing compared with the laboratory test fee</w:t>
      </w:r>
      <w:r w:rsidR="00D0322A">
        <w:t>; and</w:t>
      </w:r>
    </w:p>
    <w:p w14:paraId="22C7CBB2" w14:textId="77777777" w:rsidR="005C1607" w:rsidRDefault="00200E40" w:rsidP="005C1607">
      <w:pPr>
        <w:pStyle w:val="BulletBeforeDash"/>
        <w:numPr>
          <w:ilvl w:val="0"/>
          <w:numId w:val="32"/>
        </w:numPr>
        <w:tabs>
          <w:tab w:val="clear" w:pos="360"/>
        </w:tabs>
        <w:spacing w:before="120" w:after="120"/>
        <w:ind w:left="1135" w:hanging="284"/>
      </w:pPr>
      <w:proofErr w:type="gramStart"/>
      <w:r>
        <w:t>an</w:t>
      </w:r>
      <w:proofErr w:type="gramEnd"/>
      <w:r>
        <w:t xml:space="preserve"> updated economic evaluation. </w:t>
      </w:r>
    </w:p>
    <w:p w14:paraId="63029253" w14:textId="52DDD1D5" w:rsidR="009A3690" w:rsidRDefault="009A3690" w:rsidP="000934B8">
      <w:pPr>
        <w:pStyle w:val="BulletLast"/>
        <w:numPr>
          <w:ilvl w:val="0"/>
          <w:numId w:val="0"/>
        </w:numPr>
      </w:pPr>
      <w:r>
        <w:t xml:space="preserve">MSAC noted that no new literature </w:t>
      </w:r>
      <w:proofErr w:type="gramStart"/>
      <w:r>
        <w:t>has been identified</w:t>
      </w:r>
      <w:proofErr w:type="gramEnd"/>
      <w:r>
        <w:t xml:space="preserve"> since the original submission and that therefore the clinical claim (non-inferior clinical safety and non-inferior effectiveness) remains unchanged from the original submission.</w:t>
      </w:r>
    </w:p>
    <w:p w14:paraId="74B46A2B" w14:textId="701EEAE7" w:rsidR="00200E40" w:rsidRDefault="00200E40" w:rsidP="005C1607">
      <w:pPr>
        <w:spacing w:before="240"/>
      </w:pPr>
      <w:r>
        <w:t>MSAC noted the proposed item descriptor in this resubmission</w:t>
      </w:r>
      <w:r w:rsidR="00135EA6">
        <w:t xml:space="preserve"> sets out test performance and accreditation requirements aimed at quality service </w:t>
      </w:r>
      <w:proofErr w:type="gramStart"/>
      <w:r w:rsidR="00135EA6">
        <w:t>provision which</w:t>
      </w:r>
      <w:proofErr w:type="gramEnd"/>
      <w:r w:rsidR="00135EA6">
        <w:t xml:space="preserve"> are discussed bel</w:t>
      </w:r>
      <w:r w:rsidR="005C1607">
        <w:t xml:space="preserve">ow. </w:t>
      </w:r>
      <w:r w:rsidR="00135EA6">
        <w:t>The proposed item</w:t>
      </w:r>
      <w:r w:rsidR="005C1607">
        <w:t xml:space="preserve"> </w:t>
      </w:r>
      <w:r>
        <w:t xml:space="preserve">is </w:t>
      </w:r>
      <w:r w:rsidRPr="0097670B">
        <w:t>consistent with existing MBS HbA1c items</w:t>
      </w:r>
      <w:r>
        <w:t xml:space="preserve">. </w:t>
      </w:r>
    </w:p>
    <w:p w14:paraId="2AF3A25E" w14:textId="1E2B74D8" w:rsidR="00200E40" w:rsidRDefault="00135EA6" w:rsidP="000934B8">
      <w:pPr>
        <w:spacing w:before="240" w:after="240"/>
        <w:rPr>
          <w:rFonts w:cs="Arial"/>
        </w:rPr>
      </w:pPr>
      <w:r>
        <w:rPr>
          <w:rFonts w:cs="Arial"/>
        </w:rPr>
        <w:t>In contrast to testing for diagnosis of diabetes where diagnostic accur</w:t>
      </w:r>
      <w:r w:rsidR="00BC7987">
        <w:rPr>
          <w:rFonts w:cs="Arial"/>
        </w:rPr>
        <w:t>a</w:t>
      </w:r>
      <w:r>
        <w:rPr>
          <w:rFonts w:cs="Arial"/>
        </w:rPr>
        <w:t xml:space="preserve">cy of the test is critical, </w:t>
      </w:r>
      <w:r w:rsidR="00200E40">
        <w:rPr>
          <w:rFonts w:cs="Arial"/>
        </w:rPr>
        <w:t xml:space="preserve">MSAC noted that the accuracy of the </w:t>
      </w:r>
      <w:r>
        <w:rPr>
          <w:rFonts w:cs="Arial"/>
        </w:rPr>
        <w:t xml:space="preserve">test in </w:t>
      </w:r>
      <w:r w:rsidR="007A156B">
        <w:rPr>
          <w:rFonts w:cs="Arial"/>
        </w:rPr>
        <w:t>m</w:t>
      </w:r>
      <w:r w:rsidR="007A156B">
        <w:t>onitoring</w:t>
      </w:r>
      <w:r w:rsidR="007A156B">
        <w:rPr>
          <w:rFonts w:cs="Arial"/>
        </w:rPr>
        <w:t xml:space="preserve"> patients with established diabetes is not</w:t>
      </w:r>
      <w:r w:rsidR="00200E40">
        <w:rPr>
          <w:rFonts w:cs="Arial"/>
        </w:rPr>
        <w:t xml:space="preserve"> critical</w:t>
      </w:r>
      <w:r w:rsidR="00D0322A">
        <w:rPr>
          <w:rFonts w:cs="Arial"/>
        </w:rPr>
        <w:t xml:space="preserve"> as long as the patient continues to </w:t>
      </w:r>
      <w:proofErr w:type="gramStart"/>
      <w:r w:rsidR="00D0322A">
        <w:rPr>
          <w:rFonts w:cs="Arial"/>
        </w:rPr>
        <w:t>be monitored</w:t>
      </w:r>
      <w:proofErr w:type="gramEnd"/>
      <w:r w:rsidR="00D0322A">
        <w:rPr>
          <w:rFonts w:cs="Arial"/>
        </w:rPr>
        <w:t xml:space="preserve"> by the same method</w:t>
      </w:r>
      <w:r>
        <w:rPr>
          <w:rFonts w:cs="Arial"/>
        </w:rPr>
        <w:t>. However, MSAC note</w:t>
      </w:r>
      <w:r w:rsidR="00BC7987">
        <w:rPr>
          <w:rFonts w:cs="Arial"/>
        </w:rPr>
        <w:t>d</w:t>
      </w:r>
      <w:r>
        <w:rPr>
          <w:rFonts w:cs="Arial"/>
        </w:rPr>
        <w:t xml:space="preserve"> that</w:t>
      </w:r>
      <w:r w:rsidR="00200E40">
        <w:rPr>
          <w:rFonts w:cs="Arial"/>
        </w:rPr>
        <w:t xml:space="preserve"> </w:t>
      </w:r>
      <w:r>
        <w:rPr>
          <w:rFonts w:cs="Arial"/>
        </w:rPr>
        <w:t xml:space="preserve">the applicant had advised requirements for test performance </w:t>
      </w:r>
      <w:r w:rsidR="009F27BF">
        <w:rPr>
          <w:rFonts w:cs="Arial"/>
        </w:rPr>
        <w:t xml:space="preserve">and these </w:t>
      </w:r>
      <w:r>
        <w:rPr>
          <w:rFonts w:cs="Arial"/>
        </w:rPr>
        <w:t>appeared reasonable.</w:t>
      </w:r>
    </w:p>
    <w:p w14:paraId="38F55A69" w14:textId="642A6412" w:rsidR="00200E40" w:rsidRDefault="00200E40" w:rsidP="000934B8">
      <w:pPr>
        <w:spacing w:after="240"/>
      </w:pPr>
      <w:r>
        <w:t xml:space="preserve">MSAC noted that </w:t>
      </w:r>
      <w:r w:rsidRPr="00D0370F">
        <w:t>compar</w:t>
      </w:r>
      <w:r w:rsidR="009A3690">
        <w:t xml:space="preserve">ed to </w:t>
      </w:r>
      <w:r w:rsidRPr="00D0370F">
        <w:t>pathology laboratory testing</w:t>
      </w:r>
      <w:r w:rsidR="009A3690">
        <w:t xml:space="preserve">, </w:t>
      </w:r>
      <w:r w:rsidRPr="00D0370F">
        <w:t>key</w:t>
      </w:r>
      <w:r w:rsidR="009A3690">
        <w:t xml:space="preserve"> </w:t>
      </w:r>
      <w:r w:rsidRPr="00D0370F">
        <w:t xml:space="preserve">issues are whether </w:t>
      </w:r>
      <w:proofErr w:type="gramStart"/>
      <w:r w:rsidR="009A3690">
        <w:t xml:space="preserve">the </w:t>
      </w:r>
      <w:r>
        <w:t>cost</w:t>
      </w:r>
      <w:r w:rsidRPr="00D0370F">
        <w:t xml:space="preserve"> </w:t>
      </w:r>
      <w:r w:rsidR="009A3690">
        <w:t xml:space="preserve">of </w:t>
      </w:r>
      <w:proofErr w:type="spellStart"/>
      <w:r w:rsidR="009A3690">
        <w:t>P</w:t>
      </w:r>
      <w:r w:rsidR="00270974">
        <w:t>o</w:t>
      </w:r>
      <w:r w:rsidR="009A3690">
        <w:t>C</w:t>
      </w:r>
      <w:proofErr w:type="spellEnd"/>
      <w:r w:rsidR="00270974">
        <w:t xml:space="preserve"> test</w:t>
      </w:r>
      <w:r w:rsidR="009A3690">
        <w:t xml:space="preserve"> </w:t>
      </w:r>
      <w:r w:rsidRPr="00D0370F">
        <w:t xml:space="preserve">can be </w:t>
      </w:r>
      <w:r>
        <w:t>offset</w:t>
      </w:r>
      <w:r w:rsidRPr="00D0370F">
        <w:t xml:space="preserve"> </w:t>
      </w:r>
      <w:r w:rsidR="009A3690">
        <w:t>by reduced numbers of consultations</w:t>
      </w:r>
      <w:proofErr w:type="gramEnd"/>
      <w:r w:rsidR="009A3690">
        <w:t xml:space="preserve"> </w:t>
      </w:r>
      <w:r w:rsidR="009F27BF">
        <w:t>because</w:t>
      </w:r>
      <w:r w:rsidR="009A3690">
        <w:t xml:space="preserve"> attendance to discuss the outcome of testing </w:t>
      </w:r>
      <w:r w:rsidR="009F27BF">
        <w:t xml:space="preserve">are no longer required. Further </w:t>
      </w:r>
      <w:r w:rsidR="009A3690">
        <w:t>benefit</w:t>
      </w:r>
      <w:r w:rsidR="009F27BF">
        <w:t>s</w:t>
      </w:r>
      <w:r w:rsidRPr="00D0370F">
        <w:t xml:space="preserve"> </w:t>
      </w:r>
      <w:r>
        <w:t>to</w:t>
      </w:r>
      <w:r w:rsidRPr="00D0370F">
        <w:t xml:space="preserve"> patients </w:t>
      </w:r>
      <w:r w:rsidR="009F27BF">
        <w:t xml:space="preserve">flow from </w:t>
      </w:r>
      <w:r w:rsidRPr="00D0370F">
        <w:t>not having to return for another appointment</w:t>
      </w:r>
      <w:r w:rsidR="00596625">
        <w:t>.</w:t>
      </w:r>
      <w:r w:rsidRPr="00D0370F">
        <w:t xml:space="preserve"> </w:t>
      </w:r>
      <w:r w:rsidR="007A156B">
        <w:t xml:space="preserve">As well as improving convenience, </w:t>
      </w:r>
      <w:proofErr w:type="spellStart"/>
      <w:r w:rsidR="007A156B">
        <w:t>P</w:t>
      </w:r>
      <w:r w:rsidR="00270974">
        <w:t>o</w:t>
      </w:r>
      <w:r w:rsidR="007A156B">
        <w:t>C</w:t>
      </w:r>
      <w:proofErr w:type="spellEnd"/>
      <w:r w:rsidR="007A156B">
        <w:t xml:space="preserve"> testing provides an opportunity for more timely change in management and the prospect of better diabetes management</w:t>
      </w:r>
      <w:r w:rsidR="00846D51">
        <w:t xml:space="preserve">, although there are, </w:t>
      </w:r>
      <w:proofErr w:type="gramStart"/>
      <w:r w:rsidR="00846D51">
        <w:t>as yet</w:t>
      </w:r>
      <w:proofErr w:type="gramEnd"/>
      <w:r w:rsidR="00846D51">
        <w:t>, no data to support the la</w:t>
      </w:r>
      <w:r w:rsidR="0052140E">
        <w:t>t</w:t>
      </w:r>
      <w:r w:rsidR="00846D51">
        <w:t xml:space="preserve">ter. </w:t>
      </w:r>
      <w:r>
        <w:t xml:space="preserve">MSAC noted that, although patient convenience alone should not drive decisions, </w:t>
      </w:r>
      <w:proofErr w:type="gramStart"/>
      <w:r>
        <w:t>consumers</w:t>
      </w:r>
      <w:proofErr w:type="gramEnd"/>
      <w:r>
        <w:t xml:space="preserve"> </w:t>
      </w:r>
      <w:r w:rsidR="009F27BF">
        <w:t xml:space="preserve">value ready access to </w:t>
      </w:r>
      <w:r>
        <w:t xml:space="preserve">health care professionals </w:t>
      </w:r>
      <w:r w:rsidR="009F27BF">
        <w:t>where decisions can be made at the point of care.</w:t>
      </w:r>
    </w:p>
    <w:p w14:paraId="318105FC" w14:textId="6810B97A" w:rsidR="00200E40" w:rsidRPr="000934B8" w:rsidRDefault="00200E40" w:rsidP="000934B8">
      <w:pPr>
        <w:spacing w:after="240"/>
        <w:rPr>
          <w:rFonts w:cs="Arial"/>
        </w:rPr>
      </w:pPr>
      <w:r w:rsidRPr="00D673B3">
        <w:t>In response to MSAC’s request for further economic analysis, the</w:t>
      </w:r>
      <w:r w:rsidRPr="00C27964">
        <w:rPr>
          <w:rFonts w:cs="Arial"/>
        </w:rPr>
        <w:t xml:space="preserve"> resubmission presented a cost-minimisation analysis (base case) with a cost-utility analysis presented as </w:t>
      </w:r>
      <w:r w:rsidR="005C7F8E">
        <w:rPr>
          <w:rFonts w:cs="Arial"/>
        </w:rPr>
        <w:t xml:space="preserve">a </w:t>
      </w:r>
      <w:r w:rsidRPr="00C27964">
        <w:rPr>
          <w:rFonts w:cs="Arial"/>
        </w:rPr>
        <w:t>sensitivity analysis</w:t>
      </w:r>
      <w:r>
        <w:rPr>
          <w:rFonts w:cs="Arial"/>
        </w:rPr>
        <w:t>. ESC considered the</w:t>
      </w:r>
      <w:r w:rsidR="00846D51">
        <w:rPr>
          <w:rFonts w:cs="Arial"/>
        </w:rPr>
        <w:t xml:space="preserve"> cost-minimisation approach </w:t>
      </w:r>
      <w:r>
        <w:rPr>
          <w:rFonts w:cs="Arial"/>
        </w:rPr>
        <w:t>to be appropriate</w:t>
      </w:r>
      <w:r w:rsidR="00C87F14">
        <w:rPr>
          <w:rFonts w:cs="Arial"/>
        </w:rPr>
        <w:t>.</w:t>
      </w:r>
      <w:r w:rsidRPr="00B57C9A">
        <w:rPr>
          <w:rFonts w:cs="Arial"/>
        </w:rPr>
        <w:t xml:space="preserve"> </w:t>
      </w:r>
      <w:r w:rsidR="00846D51">
        <w:rPr>
          <w:rFonts w:cs="Arial"/>
        </w:rPr>
        <w:t xml:space="preserve">However, </w:t>
      </w:r>
      <w:r w:rsidRPr="00B57C9A">
        <w:rPr>
          <w:rFonts w:cs="Arial"/>
        </w:rPr>
        <w:t xml:space="preserve">MSAC noted that </w:t>
      </w:r>
      <w:r w:rsidR="00C87F14" w:rsidRPr="00B57C9A">
        <w:rPr>
          <w:rFonts w:cs="Arial"/>
        </w:rPr>
        <w:t xml:space="preserve">at the proposed MBS fee, </w:t>
      </w:r>
      <w:r w:rsidR="0084762D">
        <w:rPr>
          <w:rFonts w:cs="Arial"/>
        </w:rPr>
        <w:t>th</w:t>
      </w:r>
      <w:r w:rsidRPr="00B57C9A">
        <w:rPr>
          <w:rFonts w:cs="Arial"/>
        </w:rPr>
        <w:t>e</w:t>
      </w:r>
      <w:r w:rsidR="00C87F14" w:rsidRPr="00B57C9A">
        <w:rPr>
          <w:rFonts w:cs="Arial"/>
        </w:rPr>
        <w:t xml:space="preserve"> applicant</w:t>
      </w:r>
      <w:r w:rsidR="008A6717">
        <w:rPr>
          <w:rFonts w:cs="Arial"/>
        </w:rPr>
        <w:t>’</w:t>
      </w:r>
      <w:r w:rsidR="00C87F14" w:rsidRPr="00B57C9A">
        <w:rPr>
          <w:rFonts w:cs="Arial"/>
        </w:rPr>
        <w:t>s claim that the</w:t>
      </w:r>
      <w:r w:rsidRPr="00B57C9A">
        <w:rPr>
          <w:rFonts w:cs="Arial"/>
        </w:rPr>
        <w:t xml:space="preserve"> </w:t>
      </w:r>
      <w:proofErr w:type="spellStart"/>
      <w:r w:rsidRPr="00B57C9A">
        <w:rPr>
          <w:rFonts w:cs="Arial"/>
        </w:rPr>
        <w:t>PoC</w:t>
      </w:r>
      <w:proofErr w:type="spellEnd"/>
      <w:r w:rsidRPr="00B57C9A">
        <w:rPr>
          <w:rFonts w:cs="Arial"/>
        </w:rPr>
        <w:t xml:space="preserve"> test </w:t>
      </w:r>
      <w:r w:rsidR="00C87F14" w:rsidRPr="00B57C9A">
        <w:rPr>
          <w:rFonts w:cs="Arial"/>
        </w:rPr>
        <w:t>will cost no more than laboratory testings is only valid if the</w:t>
      </w:r>
      <w:r w:rsidRPr="00B57C9A">
        <w:rPr>
          <w:rFonts w:cs="Arial"/>
        </w:rPr>
        <w:t xml:space="preserve"> assumption </w:t>
      </w:r>
      <w:proofErr w:type="gramStart"/>
      <w:r w:rsidR="009F27BF">
        <w:rPr>
          <w:rFonts w:cs="Arial"/>
        </w:rPr>
        <w:t>is accepted</w:t>
      </w:r>
      <w:proofErr w:type="gramEnd"/>
      <w:r w:rsidR="009F27BF">
        <w:rPr>
          <w:rFonts w:cs="Arial"/>
        </w:rPr>
        <w:t xml:space="preserve"> </w:t>
      </w:r>
      <w:r w:rsidRPr="00B57C9A">
        <w:rPr>
          <w:rFonts w:cs="Arial"/>
        </w:rPr>
        <w:t xml:space="preserve">that only one laboratory test per year is </w:t>
      </w:r>
      <w:r w:rsidR="00007B97">
        <w:rPr>
          <w:rFonts w:cs="Arial"/>
        </w:rPr>
        <w:t xml:space="preserve">currently </w:t>
      </w:r>
      <w:r w:rsidRPr="00B57C9A">
        <w:rPr>
          <w:rFonts w:cs="Arial"/>
        </w:rPr>
        <w:t>con</w:t>
      </w:r>
      <w:r w:rsidR="00007B97">
        <w:rPr>
          <w:rFonts w:cs="Arial"/>
        </w:rPr>
        <w:t xml:space="preserve">ed. </w:t>
      </w:r>
      <w:r w:rsidR="00C87F14" w:rsidRPr="00B57C9A">
        <w:rPr>
          <w:rFonts w:cs="Arial"/>
        </w:rPr>
        <w:t>If more than one laboratory HbA1c test is subj</w:t>
      </w:r>
      <w:r w:rsidR="00846D51">
        <w:rPr>
          <w:rFonts w:cs="Arial"/>
        </w:rPr>
        <w:t xml:space="preserve">ect to coning in a year, then </w:t>
      </w:r>
      <w:proofErr w:type="spellStart"/>
      <w:r w:rsidR="00846D51">
        <w:rPr>
          <w:rFonts w:cs="Arial"/>
        </w:rPr>
        <w:t>Po</w:t>
      </w:r>
      <w:r w:rsidR="00C87F14" w:rsidRPr="00B57C9A">
        <w:rPr>
          <w:rFonts w:cs="Arial"/>
        </w:rPr>
        <w:t>C</w:t>
      </w:r>
      <w:proofErr w:type="spellEnd"/>
      <w:r w:rsidR="00C87F14" w:rsidRPr="00B57C9A">
        <w:rPr>
          <w:rFonts w:cs="Arial"/>
        </w:rPr>
        <w:t xml:space="preserve"> testing becomes more expensive than laboratory testing</w:t>
      </w:r>
      <w:r w:rsidR="0084762D">
        <w:rPr>
          <w:rFonts w:cs="Arial"/>
        </w:rPr>
        <w:t xml:space="preserve">. </w:t>
      </w:r>
      <w:r w:rsidR="00C87F14">
        <w:rPr>
          <w:rFonts w:cs="Arial"/>
        </w:rPr>
        <w:t xml:space="preserve">MSAC considered that the applicant’s </w:t>
      </w:r>
      <w:r w:rsidR="00874DD4">
        <w:rPr>
          <w:rFonts w:cs="Arial"/>
        </w:rPr>
        <w:t>claim that</w:t>
      </w:r>
      <w:r w:rsidR="00C87F14">
        <w:rPr>
          <w:rFonts w:cs="Arial"/>
        </w:rPr>
        <w:t xml:space="preserve"> only one laboratory H</w:t>
      </w:r>
      <w:r w:rsidR="00846D51">
        <w:rPr>
          <w:rFonts w:cs="Arial"/>
        </w:rPr>
        <w:t>b</w:t>
      </w:r>
      <w:r w:rsidR="00C87F14">
        <w:rPr>
          <w:rFonts w:cs="Arial"/>
        </w:rPr>
        <w:t xml:space="preserve">A1c test per year would be subject to coning to be </w:t>
      </w:r>
      <w:r w:rsidR="00874DD4">
        <w:rPr>
          <w:rFonts w:cs="Arial"/>
        </w:rPr>
        <w:t xml:space="preserve">poorly justified.  The MSAC requested further work </w:t>
      </w:r>
      <w:proofErr w:type="gramStart"/>
      <w:r w:rsidR="00846D51">
        <w:rPr>
          <w:rFonts w:cs="Arial"/>
        </w:rPr>
        <w:t xml:space="preserve">be </w:t>
      </w:r>
      <w:r w:rsidR="00874DD4">
        <w:rPr>
          <w:rFonts w:cs="Arial"/>
        </w:rPr>
        <w:t>undertaken</w:t>
      </w:r>
      <w:proofErr w:type="gramEnd"/>
      <w:r w:rsidR="00874DD4">
        <w:rPr>
          <w:rFonts w:cs="Arial"/>
        </w:rPr>
        <w:t xml:space="preserve"> to determine the extent to which HbA1c tests are currently coned.</w:t>
      </w:r>
    </w:p>
    <w:p w14:paraId="3DCF55A9" w14:textId="6A24BB77" w:rsidR="00200E40" w:rsidRDefault="00200E40" w:rsidP="00200E40">
      <w:pPr>
        <w:rPr>
          <w:rFonts w:cs="Arial"/>
        </w:rPr>
      </w:pPr>
      <w:r>
        <w:rPr>
          <w:rFonts w:cs="Arial"/>
        </w:rPr>
        <w:t>The</w:t>
      </w:r>
      <w:r w:rsidRPr="009E539D">
        <w:rPr>
          <w:rFonts w:cs="Arial"/>
        </w:rPr>
        <w:t xml:space="preserve"> resubmission addressed MSAC’s concerns </w:t>
      </w:r>
      <w:r>
        <w:rPr>
          <w:rFonts w:cs="Arial"/>
        </w:rPr>
        <w:t>about</w:t>
      </w:r>
      <w:r w:rsidRPr="009E539D">
        <w:rPr>
          <w:rFonts w:cs="Arial"/>
        </w:rPr>
        <w:t xml:space="preserve"> the </w:t>
      </w:r>
      <w:r w:rsidR="00270974">
        <w:rPr>
          <w:rFonts w:cs="Arial"/>
        </w:rPr>
        <w:t xml:space="preserve">proposed MBS </w:t>
      </w:r>
      <w:r w:rsidRPr="009E539D">
        <w:rPr>
          <w:rFonts w:cs="Arial"/>
        </w:rPr>
        <w:t xml:space="preserve">fee by </w:t>
      </w:r>
      <w:r w:rsidR="00270974">
        <w:rPr>
          <w:rFonts w:cs="Arial"/>
        </w:rPr>
        <w:t xml:space="preserve">reducing the fee </w:t>
      </w:r>
      <w:r w:rsidRPr="009E539D">
        <w:rPr>
          <w:rFonts w:cs="Arial"/>
        </w:rPr>
        <w:t>$27.57 to $22.60</w:t>
      </w:r>
      <w:r>
        <w:rPr>
          <w:rFonts w:cs="Arial"/>
        </w:rPr>
        <w:t>; however,</w:t>
      </w:r>
      <w:r w:rsidRPr="009E539D">
        <w:rPr>
          <w:rFonts w:cs="Arial"/>
        </w:rPr>
        <w:t xml:space="preserve"> </w:t>
      </w:r>
      <w:r>
        <w:rPr>
          <w:rFonts w:cs="Arial"/>
        </w:rPr>
        <w:t xml:space="preserve">MSAC noted that </w:t>
      </w:r>
      <w:r w:rsidRPr="009E539D">
        <w:rPr>
          <w:rFonts w:cs="Arial"/>
        </w:rPr>
        <w:t>the fee has been largely determined b</w:t>
      </w:r>
      <w:r w:rsidR="00874DD4">
        <w:rPr>
          <w:rFonts w:cs="Arial"/>
        </w:rPr>
        <w:t>ased on</w:t>
      </w:r>
      <w:r w:rsidRPr="009E539D">
        <w:rPr>
          <w:rFonts w:cs="Arial"/>
        </w:rPr>
        <w:t xml:space="preserve"> expert opinion and assumptions</w:t>
      </w:r>
      <w:r w:rsidR="00874DD4">
        <w:rPr>
          <w:rFonts w:cs="Arial"/>
        </w:rPr>
        <w:t xml:space="preserve"> that </w:t>
      </w:r>
      <w:proofErr w:type="gramStart"/>
      <w:r w:rsidR="00874DD4">
        <w:rPr>
          <w:rFonts w:cs="Arial"/>
        </w:rPr>
        <w:t>cannot be verified</w:t>
      </w:r>
      <w:proofErr w:type="gramEnd"/>
      <w:r w:rsidR="00874DD4">
        <w:rPr>
          <w:rFonts w:cs="Arial"/>
        </w:rPr>
        <w:t>.</w:t>
      </w:r>
      <w:r w:rsidRPr="009E539D">
        <w:rPr>
          <w:rFonts w:cs="Arial"/>
        </w:rPr>
        <w:t xml:space="preserve"> Training costs associated with accreditation were estimated by the applicant to be $240 per </w:t>
      </w:r>
      <w:r>
        <w:rPr>
          <w:rFonts w:cs="Arial"/>
        </w:rPr>
        <w:t>year</w:t>
      </w:r>
      <w:r w:rsidRPr="009E539D">
        <w:rPr>
          <w:rFonts w:cs="Arial"/>
        </w:rPr>
        <w:t xml:space="preserve"> per </w:t>
      </w:r>
      <w:r>
        <w:rPr>
          <w:rFonts w:cs="Arial"/>
        </w:rPr>
        <w:t>general practitioner (</w:t>
      </w:r>
      <w:r w:rsidRPr="009E539D">
        <w:rPr>
          <w:rFonts w:cs="Arial"/>
        </w:rPr>
        <w:t>GP</w:t>
      </w:r>
      <w:r>
        <w:rPr>
          <w:rFonts w:cs="Arial"/>
        </w:rPr>
        <w:t>)</w:t>
      </w:r>
      <w:r w:rsidRPr="009E539D">
        <w:rPr>
          <w:rFonts w:cs="Arial"/>
        </w:rPr>
        <w:t>, calculated over a 5</w:t>
      </w:r>
      <w:r>
        <w:rPr>
          <w:rFonts w:cs="Arial"/>
        </w:rPr>
        <w:t>-year period ($400 in Year 1 and $200 in Y</w:t>
      </w:r>
      <w:r w:rsidRPr="009E539D">
        <w:rPr>
          <w:rFonts w:cs="Arial"/>
        </w:rPr>
        <w:t>ears 2</w:t>
      </w:r>
      <w:r>
        <w:rPr>
          <w:rFonts w:cs="Arial"/>
        </w:rPr>
        <w:t>–</w:t>
      </w:r>
      <w:r w:rsidRPr="009E539D">
        <w:rPr>
          <w:rFonts w:cs="Arial"/>
        </w:rPr>
        <w:t xml:space="preserve">5). The resubmission states the costs attributed to the quality assurance (QA) program have reduced from $420 </w:t>
      </w:r>
      <w:r>
        <w:rPr>
          <w:rFonts w:cs="Arial"/>
        </w:rPr>
        <w:t>in</w:t>
      </w:r>
      <w:r w:rsidRPr="009E539D">
        <w:rPr>
          <w:rFonts w:cs="Arial"/>
        </w:rPr>
        <w:t xml:space="preserve"> the original submission to $330 based on updated costs for enrolment in</w:t>
      </w:r>
      <w:r>
        <w:rPr>
          <w:rFonts w:cs="Arial"/>
        </w:rPr>
        <w:t xml:space="preserve"> a</w:t>
      </w:r>
      <w:r w:rsidRPr="009E539D">
        <w:rPr>
          <w:rFonts w:cs="Arial"/>
        </w:rPr>
        <w:t xml:space="preserve"> </w:t>
      </w:r>
      <w:proofErr w:type="spellStart"/>
      <w:r w:rsidRPr="009E539D">
        <w:rPr>
          <w:rFonts w:cs="Arial"/>
        </w:rPr>
        <w:t>PoC</w:t>
      </w:r>
      <w:proofErr w:type="spellEnd"/>
      <w:r>
        <w:rPr>
          <w:rFonts w:cs="Arial"/>
        </w:rPr>
        <w:t xml:space="preserve"> testing </w:t>
      </w:r>
      <w:r w:rsidRPr="009E539D">
        <w:rPr>
          <w:rFonts w:cs="Arial"/>
        </w:rPr>
        <w:t xml:space="preserve">QA program. There is no indication </w:t>
      </w:r>
      <w:r>
        <w:rPr>
          <w:rFonts w:cs="Arial"/>
        </w:rPr>
        <w:t>of whether</w:t>
      </w:r>
      <w:r w:rsidRPr="009E539D">
        <w:rPr>
          <w:rFonts w:cs="Arial"/>
        </w:rPr>
        <w:t xml:space="preserve"> there are costs beyond the initial training years or ongoing QA. These costs </w:t>
      </w:r>
      <w:proofErr w:type="gramStart"/>
      <w:r w:rsidRPr="009E539D">
        <w:rPr>
          <w:rFonts w:cs="Arial"/>
        </w:rPr>
        <w:t>have been incorporated</w:t>
      </w:r>
      <w:proofErr w:type="gramEnd"/>
      <w:r w:rsidRPr="009E539D">
        <w:rPr>
          <w:rFonts w:cs="Arial"/>
        </w:rPr>
        <w:t xml:space="preserve"> into the fee</w:t>
      </w:r>
      <w:r>
        <w:rPr>
          <w:rFonts w:cs="Arial"/>
        </w:rPr>
        <w:t>;</w:t>
      </w:r>
      <w:r w:rsidRPr="009E539D">
        <w:rPr>
          <w:rFonts w:cs="Arial"/>
        </w:rPr>
        <w:t xml:space="preserve"> however</w:t>
      </w:r>
      <w:r>
        <w:rPr>
          <w:rFonts w:cs="Arial"/>
        </w:rPr>
        <w:t>,</w:t>
      </w:r>
      <w:r w:rsidRPr="009E539D">
        <w:rPr>
          <w:rFonts w:cs="Arial"/>
        </w:rPr>
        <w:t xml:space="preserve"> no data </w:t>
      </w:r>
      <w:r>
        <w:rPr>
          <w:rFonts w:cs="Arial"/>
        </w:rPr>
        <w:t xml:space="preserve">were </w:t>
      </w:r>
      <w:r w:rsidRPr="009E539D">
        <w:rPr>
          <w:rFonts w:cs="Arial"/>
        </w:rPr>
        <w:t>provided to justify these estimates.</w:t>
      </w:r>
    </w:p>
    <w:p w14:paraId="78B1589E" w14:textId="481A4C95" w:rsidR="00846D51" w:rsidRDefault="00200E40" w:rsidP="000934B8">
      <w:pPr>
        <w:spacing w:before="240" w:after="240"/>
        <w:rPr>
          <w:rFonts w:cs="Arial"/>
        </w:rPr>
      </w:pPr>
      <w:r w:rsidRPr="00215FBA">
        <w:lastRenderedPageBreak/>
        <w:t>MSAC also noted the</w:t>
      </w:r>
      <w:r>
        <w:t xml:space="preserve"> uncertainty </w:t>
      </w:r>
      <w:r w:rsidR="00B57C9A">
        <w:t>in claimed</w:t>
      </w:r>
      <w:r w:rsidRPr="00215FBA">
        <w:t xml:space="preserve"> financial impact</w:t>
      </w:r>
      <w:r w:rsidR="008A6717">
        <w:t xml:space="preserve"> of adding </w:t>
      </w:r>
      <w:proofErr w:type="spellStart"/>
      <w:r w:rsidR="001324F9">
        <w:t>PoC</w:t>
      </w:r>
      <w:proofErr w:type="spellEnd"/>
      <w:r w:rsidR="001324F9">
        <w:t xml:space="preserve"> H</w:t>
      </w:r>
      <w:r w:rsidR="00EC28F2">
        <w:t>b</w:t>
      </w:r>
      <w:r w:rsidR="001324F9">
        <w:t>A1c test</w:t>
      </w:r>
      <w:r w:rsidR="008A6717">
        <w:t>ing</w:t>
      </w:r>
      <w:r w:rsidR="001324F9">
        <w:t xml:space="preserve"> to the MBS</w:t>
      </w:r>
      <w:r>
        <w:t>.</w:t>
      </w:r>
      <w:r w:rsidRPr="00215FBA">
        <w:t xml:space="preserve"> </w:t>
      </w:r>
      <w:r w:rsidRPr="001E5D74">
        <w:rPr>
          <w:rFonts w:cs="Arial"/>
        </w:rPr>
        <w:t>There are no data to support the</w:t>
      </w:r>
      <w:r w:rsidR="001324F9">
        <w:rPr>
          <w:rFonts w:cs="Arial"/>
        </w:rPr>
        <w:t xml:space="preserve"> claim that </w:t>
      </w:r>
      <w:r w:rsidRPr="001E5D74">
        <w:rPr>
          <w:rFonts w:cs="Arial"/>
        </w:rPr>
        <w:t xml:space="preserve">5% </w:t>
      </w:r>
      <w:r w:rsidR="00AB2662">
        <w:rPr>
          <w:rFonts w:cs="Arial"/>
        </w:rPr>
        <w:t xml:space="preserve">of </w:t>
      </w:r>
      <w:proofErr w:type="spellStart"/>
      <w:r w:rsidR="00AB2662">
        <w:rPr>
          <w:rFonts w:cs="Arial"/>
        </w:rPr>
        <w:t>unconed</w:t>
      </w:r>
      <w:proofErr w:type="spellEnd"/>
      <w:r w:rsidR="00AB2662">
        <w:rPr>
          <w:rFonts w:cs="Arial"/>
        </w:rPr>
        <w:t xml:space="preserve"> laboratory HbA1c tests</w:t>
      </w:r>
      <w:r w:rsidR="001324F9">
        <w:rPr>
          <w:rFonts w:cs="Arial"/>
        </w:rPr>
        <w:t xml:space="preserve"> </w:t>
      </w:r>
      <w:proofErr w:type="gramStart"/>
      <w:r w:rsidR="001324F9">
        <w:rPr>
          <w:rFonts w:cs="Arial"/>
        </w:rPr>
        <w:t>will be replaced</w:t>
      </w:r>
      <w:proofErr w:type="gramEnd"/>
      <w:r w:rsidR="001324F9">
        <w:rPr>
          <w:rFonts w:cs="Arial"/>
        </w:rPr>
        <w:t xml:space="preserve"> with </w:t>
      </w:r>
      <w:proofErr w:type="spellStart"/>
      <w:r w:rsidR="001324F9">
        <w:rPr>
          <w:rFonts w:cs="Arial"/>
        </w:rPr>
        <w:t>PoC</w:t>
      </w:r>
      <w:proofErr w:type="spellEnd"/>
      <w:r w:rsidR="001324F9">
        <w:rPr>
          <w:rFonts w:cs="Arial"/>
        </w:rPr>
        <w:t xml:space="preserve"> tests</w:t>
      </w:r>
      <w:r w:rsidR="00AB2662">
        <w:rPr>
          <w:rFonts w:cs="Arial"/>
        </w:rPr>
        <w:t xml:space="preserve"> </w:t>
      </w:r>
      <w:r w:rsidRPr="001E5D74">
        <w:rPr>
          <w:rFonts w:cs="Arial"/>
        </w:rPr>
        <w:t>after 5 years. In additi</w:t>
      </w:r>
      <w:r w:rsidR="005C7F8E">
        <w:rPr>
          <w:rFonts w:cs="Arial"/>
        </w:rPr>
        <w:t xml:space="preserve">on, the amortisation costs </w:t>
      </w:r>
      <w:proofErr w:type="gramStart"/>
      <w:r w:rsidR="005C7F8E">
        <w:rPr>
          <w:rFonts w:cs="Arial"/>
        </w:rPr>
        <w:t xml:space="preserve">were </w:t>
      </w:r>
      <w:r w:rsidRPr="001E5D74">
        <w:rPr>
          <w:rFonts w:cs="Arial"/>
        </w:rPr>
        <w:t>calculated</w:t>
      </w:r>
      <w:proofErr w:type="gramEnd"/>
      <w:r w:rsidRPr="001E5D74">
        <w:rPr>
          <w:rFonts w:cs="Arial"/>
        </w:rPr>
        <w:t xml:space="preserve"> based on the machine being used </w:t>
      </w:r>
      <w:r>
        <w:rPr>
          <w:rFonts w:cs="Arial"/>
        </w:rPr>
        <w:t>six</w:t>
      </w:r>
      <w:r w:rsidRPr="001E5D74">
        <w:rPr>
          <w:rFonts w:cs="Arial"/>
        </w:rPr>
        <w:t> times</w:t>
      </w:r>
      <w:r>
        <w:rPr>
          <w:rFonts w:cs="Arial"/>
        </w:rPr>
        <w:t xml:space="preserve"> per </w:t>
      </w:r>
      <w:r w:rsidRPr="001E5D74">
        <w:rPr>
          <w:rFonts w:cs="Arial"/>
        </w:rPr>
        <w:t xml:space="preserve">week, but most machines will be used by group practices, not by an individual GP, and therefore </w:t>
      </w:r>
      <w:r w:rsidR="00270974">
        <w:rPr>
          <w:rFonts w:cs="Arial"/>
        </w:rPr>
        <w:t>may well</w:t>
      </w:r>
      <w:r w:rsidRPr="001E5D74">
        <w:rPr>
          <w:rFonts w:cs="Arial"/>
        </w:rPr>
        <w:t xml:space="preserve"> be used more often.</w:t>
      </w:r>
      <w:r>
        <w:rPr>
          <w:rFonts w:cs="Arial"/>
        </w:rPr>
        <w:t xml:space="preserve"> </w:t>
      </w:r>
      <w:r w:rsidR="00B57C9A">
        <w:rPr>
          <w:rFonts w:cs="Arial"/>
        </w:rPr>
        <w:t xml:space="preserve"> </w:t>
      </w:r>
    </w:p>
    <w:p w14:paraId="41ED9B9B" w14:textId="6886167D" w:rsidR="00702A0E" w:rsidRDefault="00702A0E" w:rsidP="000934B8">
      <w:pPr>
        <w:spacing w:after="240"/>
        <w:rPr>
          <w:lang w:val="de-DE"/>
        </w:rPr>
      </w:pPr>
      <w:r>
        <w:rPr>
          <w:rFonts w:cs="Arial"/>
        </w:rPr>
        <w:t>If</w:t>
      </w:r>
      <w:r w:rsidR="00AB2662">
        <w:rPr>
          <w:rFonts w:cs="Arial"/>
        </w:rPr>
        <w:t xml:space="preserve"> the assumption around </w:t>
      </w:r>
      <w:r>
        <w:rPr>
          <w:rFonts w:cs="Arial"/>
        </w:rPr>
        <w:t xml:space="preserve">practice usage (6 times per week or 350 times per year) is considered in the context of the estimated uptake rate (5% or </w:t>
      </w:r>
      <w:r>
        <w:rPr>
          <w:lang w:val="de-DE"/>
        </w:rPr>
        <w:t xml:space="preserve">103,306 tests per year), it would appear the </w:t>
      </w:r>
      <w:r w:rsidR="00846D51">
        <w:rPr>
          <w:lang w:val="de-DE"/>
        </w:rPr>
        <w:t>applicant</w:t>
      </w:r>
      <w:r>
        <w:rPr>
          <w:lang w:val="de-DE"/>
        </w:rPr>
        <w:t xml:space="preserve"> expects only around 295 medical practices will take up PoC. </w:t>
      </w:r>
      <w:r w:rsidR="00846D51">
        <w:rPr>
          <w:lang w:val="de-DE"/>
        </w:rPr>
        <w:t xml:space="preserve"> If usage per GP practice is higher, the number of practices taking up P</w:t>
      </w:r>
      <w:r w:rsidR="00EC28F2">
        <w:rPr>
          <w:lang w:val="de-DE"/>
        </w:rPr>
        <w:t>o</w:t>
      </w:r>
      <w:r w:rsidR="00846D51">
        <w:rPr>
          <w:lang w:val="de-DE"/>
        </w:rPr>
        <w:t xml:space="preserve">C would need to be </w:t>
      </w:r>
      <w:r w:rsidR="001324F9">
        <w:rPr>
          <w:lang w:val="de-DE"/>
        </w:rPr>
        <w:t xml:space="preserve">considerably </w:t>
      </w:r>
      <w:r w:rsidR="00846D51">
        <w:rPr>
          <w:lang w:val="de-DE"/>
        </w:rPr>
        <w:t xml:space="preserve">less than 295 for overall usage to remain within the 103,306 </w:t>
      </w:r>
      <w:r w:rsidR="00EC28F2">
        <w:rPr>
          <w:lang w:val="de-DE"/>
        </w:rPr>
        <w:t>PoC</w:t>
      </w:r>
      <w:r w:rsidR="00846D51">
        <w:rPr>
          <w:lang w:val="de-DE"/>
        </w:rPr>
        <w:t xml:space="preserve"> tests estimated by the submission. </w:t>
      </w:r>
      <w:r w:rsidR="001324F9">
        <w:rPr>
          <w:lang w:val="de-DE"/>
        </w:rPr>
        <w:t xml:space="preserve"> Overall, MSAC considered the applicant</w:t>
      </w:r>
      <w:r w:rsidR="00EC28F2">
        <w:rPr>
          <w:lang w:val="de-DE"/>
        </w:rPr>
        <w:t>‘</w:t>
      </w:r>
      <w:r w:rsidR="001324F9">
        <w:rPr>
          <w:lang w:val="de-DE"/>
        </w:rPr>
        <w:t xml:space="preserve">s assumptions around practice usage and uptake rates to </w:t>
      </w:r>
      <w:r w:rsidR="0052140E">
        <w:rPr>
          <w:lang w:val="de-DE"/>
        </w:rPr>
        <w:t xml:space="preserve">be </w:t>
      </w:r>
      <w:r w:rsidR="001324F9">
        <w:rPr>
          <w:lang w:val="de-DE"/>
        </w:rPr>
        <w:t>poorly jusitified.</w:t>
      </w:r>
    </w:p>
    <w:p w14:paraId="16BD29F9" w14:textId="25264B62" w:rsidR="000934B8" w:rsidRDefault="00702A0E" w:rsidP="00200E40">
      <w:pPr>
        <w:rPr>
          <w:lang w:val="de-DE"/>
        </w:rPr>
      </w:pPr>
      <w:r>
        <w:rPr>
          <w:lang w:val="de-DE"/>
        </w:rPr>
        <w:t xml:space="preserve">MSAC noted that if </w:t>
      </w:r>
      <w:r w:rsidR="001324F9">
        <w:rPr>
          <w:lang w:val="de-DE"/>
        </w:rPr>
        <w:t xml:space="preserve">both </w:t>
      </w:r>
      <w:r>
        <w:rPr>
          <w:lang w:val="de-DE"/>
        </w:rPr>
        <w:t>the uptake rates for PoC H</w:t>
      </w:r>
      <w:r w:rsidR="00EC28F2">
        <w:rPr>
          <w:lang w:val="de-DE"/>
        </w:rPr>
        <w:t>b</w:t>
      </w:r>
      <w:r>
        <w:rPr>
          <w:lang w:val="de-DE"/>
        </w:rPr>
        <w:t>A1c and the number of currently coned laboratory HbA1</w:t>
      </w:r>
      <w:r w:rsidR="008A6717">
        <w:rPr>
          <w:lang w:val="de-DE"/>
        </w:rPr>
        <w:t>c</w:t>
      </w:r>
      <w:r>
        <w:rPr>
          <w:lang w:val="de-DE"/>
        </w:rPr>
        <w:t xml:space="preserve"> services are underestimated, then the inclusion of a P</w:t>
      </w:r>
      <w:r w:rsidR="00EC28F2">
        <w:rPr>
          <w:lang w:val="de-DE"/>
        </w:rPr>
        <w:t>o</w:t>
      </w:r>
      <w:r>
        <w:rPr>
          <w:lang w:val="de-DE"/>
        </w:rPr>
        <w:t xml:space="preserve">C test in the MBS </w:t>
      </w:r>
      <w:r w:rsidR="001324F9">
        <w:rPr>
          <w:lang w:val="de-DE"/>
        </w:rPr>
        <w:t>will</w:t>
      </w:r>
      <w:r>
        <w:rPr>
          <w:lang w:val="de-DE"/>
        </w:rPr>
        <w:t xml:space="preserve"> </w:t>
      </w:r>
      <w:r w:rsidR="00846D51">
        <w:rPr>
          <w:lang w:val="de-DE"/>
        </w:rPr>
        <w:t>be associated with a large additional cost.</w:t>
      </w:r>
    </w:p>
    <w:p w14:paraId="550E5E1D" w14:textId="7E80B6F4" w:rsidR="00200E40" w:rsidRPr="007E752B" w:rsidRDefault="00200E40" w:rsidP="000934B8">
      <w:pPr>
        <w:spacing w:before="240" w:after="240"/>
        <w:rPr>
          <w:rFonts w:cs="Arial"/>
        </w:rPr>
      </w:pPr>
      <w:r>
        <w:rPr>
          <w:rFonts w:cs="Arial"/>
        </w:rPr>
        <w:t>MSAC noted that o</w:t>
      </w:r>
      <w:r w:rsidRPr="007E752B">
        <w:rPr>
          <w:rFonts w:cs="Arial"/>
        </w:rPr>
        <w:t xml:space="preserve">ne of the primary issues identified in </w:t>
      </w:r>
      <w:r>
        <w:rPr>
          <w:rFonts w:cs="Arial"/>
        </w:rPr>
        <w:t xml:space="preserve">the original application </w:t>
      </w:r>
      <w:r w:rsidRPr="007E752B">
        <w:rPr>
          <w:rFonts w:cs="Arial"/>
        </w:rPr>
        <w:t xml:space="preserve">was the lack of a quality framework for </w:t>
      </w:r>
      <w:proofErr w:type="spellStart"/>
      <w:r w:rsidRPr="007E752B">
        <w:rPr>
          <w:rFonts w:cs="Arial"/>
        </w:rPr>
        <w:t>PoC</w:t>
      </w:r>
      <w:proofErr w:type="spellEnd"/>
      <w:r>
        <w:rPr>
          <w:rFonts w:cs="Arial"/>
        </w:rPr>
        <w:t xml:space="preserve"> testing</w:t>
      </w:r>
      <w:r w:rsidRPr="007E752B">
        <w:rPr>
          <w:rFonts w:cs="Arial"/>
        </w:rPr>
        <w:t xml:space="preserve"> </w:t>
      </w:r>
      <w:r>
        <w:rPr>
          <w:rFonts w:cs="Arial"/>
        </w:rPr>
        <w:t xml:space="preserve">on which </w:t>
      </w:r>
      <w:r w:rsidRPr="007E752B">
        <w:rPr>
          <w:rFonts w:cs="Arial"/>
        </w:rPr>
        <w:t>accreditation</w:t>
      </w:r>
      <w:r>
        <w:rPr>
          <w:rFonts w:cs="Arial"/>
        </w:rPr>
        <w:t xml:space="preserve"> could be based</w:t>
      </w:r>
      <w:r w:rsidRPr="007E752B">
        <w:rPr>
          <w:rFonts w:cs="Arial"/>
        </w:rPr>
        <w:t xml:space="preserve">. </w:t>
      </w:r>
      <w:r>
        <w:rPr>
          <w:rFonts w:cs="Arial"/>
        </w:rPr>
        <w:t>The resubmission</w:t>
      </w:r>
      <w:r w:rsidRPr="007E752B">
        <w:rPr>
          <w:rFonts w:cs="Arial"/>
        </w:rPr>
        <w:t xml:space="preserve"> proposes using the </w:t>
      </w:r>
      <w:r w:rsidRPr="002A2543">
        <w:rPr>
          <w:rFonts w:cs="Arial"/>
        </w:rPr>
        <w:t xml:space="preserve">Royal Australian College of General Practitioners </w:t>
      </w:r>
      <w:r>
        <w:rPr>
          <w:rFonts w:cs="Arial"/>
        </w:rPr>
        <w:t>(</w:t>
      </w:r>
      <w:r w:rsidRPr="007E752B">
        <w:rPr>
          <w:rFonts w:cs="Arial"/>
        </w:rPr>
        <w:t>RACGP</w:t>
      </w:r>
      <w:r>
        <w:rPr>
          <w:rFonts w:cs="Arial"/>
        </w:rPr>
        <w:t>)</w:t>
      </w:r>
      <w:r w:rsidRPr="007E752B">
        <w:rPr>
          <w:rFonts w:cs="Arial"/>
        </w:rPr>
        <w:t xml:space="preserve"> </w:t>
      </w:r>
      <w:proofErr w:type="spellStart"/>
      <w:r w:rsidRPr="007E752B">
        <w:rPr>
          <w:rFonts w:cs="Arial"/>
        </w:rPr>
        <w:t>PoC</w:t>
      </w:r>
      <w:proofErr w:type="spellEnd"/>
      <w:r>
        <w:rPr>
          <w:rFonts w:cs="Arial"/>
        </w:rPr>
        <w:t xml:space="preserve"> testing </w:t>
      </w:r>
      <w:r w:rsidRPr="007E752B">
        <w:rPr>
          <w:rFonts w:cs="Arial"/>
        </w:rPr>
        <w:t xml:space="preserve">standards that </w:t>
      </w:r>
      <w:proofErr w:type="gramStart"/>
      <w:r w:rsidRPr="007E752B">
        <w:rPr>
          <w:rFonts w:cs="Arial"/>
        </w:rPr>
        <w:t>were published</w:t>
      </w:r>
      <w:proofErr w:type="gramEnd"/>
      <w:r w:rsidRPr="007E752B">
        <w:rPr>
          <w:rFonts w:cs="Arial"/>
        </w:rPr>
        <w:t xml:space="preserve"> in October 2018.</w:t>
      </w:r>
      <w:r>
        <w:rPr>
          <w:rFonts w:cs="Arial"/>
        </w:rPr>
        <w:t xml:space="preserve"> This is a </w:t>
      </w:r>
      <w:r w:rsidRPr="007E752B">
        <w:rPr>
          <w:rFonts w:cs="Arial"/>
        </w:rPr>
        <w:t xml:space="preserve">voluntary accreditation module that medical practices can seek to </w:t>
      </w:r>
      <w:proofErr w:type="gramStart"/>
      <w:r w:rsidRPr="007E752B">
        <w:rPr>
          <w:rFonts w:cs="Arial"/>
        </w:rPr>
        <w:t>be accredited</w:t>
      </w:r>
      <w:proofErr w:type="gramEnd"/>
      <w:r w:rsidRPr="007E752B">
        <w:rPr>
          <w:rFonts w:cs="Arial"/>
        </w:rPr>
        <w:t xml:space="preserve"> to in addition to the main GP accreditation standards. Although ESC </w:t>
      </w:r>
      <w:r>
        <w:rPr>
          <w:rFonts w:cs="Arial"/>
        </w:rPr>
        <w:t xml:space="preserve">(at its meeting in February 2019) </w:t>
      </w:r>
      <w:r w:rsidRPr="007E752B">
        <w:rPr>
          <w:rFonts w:cs="Arial"/>
        </w:rPr>
        <w:t xml:space="preserve">indicated that they considered the RACGP </w:t>
      </w:r>
      <w:proofErr w:type="spellStart"/>
      <w:r w:rsidRPr="007E752B">
        <w:rPr>
          <w:rFonts w:cs="Arial"/>
        </w:rPr>
        <w:t>PoC</w:t>
      </w:r>
      <w:proofErr w:type="spellEnd"/>
      <w:r>
        <w:rPr>
          <w:rFonts w:cs="Arial"/>
        </w:rPr>
        <w:t xml:space="preserve"> testing </w:t>
      </w:r>
      <w:r w:rsidRPr="007E752B">
        <w:rPr>
          <w:rFonts w:cs="Arial"/>
        </w:rPr>
        <w:t xml:space="preserve">standards </w:t>
      </w:r>
      <w:r>
        <w:rPr>
          <w:rFonts w:cs="Arial"/>
        </w:rPr>
        <w:t>to be</w:t>
      </w:r>
      <w:r w:rsidRPr="007E752B">
        <w:rPr>
          <w:rFonts w:cs="Arial"/>
        </w:rPr>
        <w:t xml:space="preserve"> appropriate, </w:t>
      </w:r>
      <w:r w:rsidR="00AB2662">
        <w:rPr>
          <w:rFonts w:cs="Arial"/>
        </w:rPr>
        <w:t xml:space="preserve">MSAC </w:t>
      </w:r>
      <w:r w:rsidRPr="007E752B">
        <w:rPr>
          <w:rFonts w:cs="Arial"/>
        </w:rPr>
        <w:t xml:space="preserve">recommended that further consultation be </w:t>
      </w:r>
      <w:r w:rsidR="008A6717">
        <w:rPr>
          <w:rFonts w:cs="Arial"/>
        </w:rPr>
        <w:t>under</w:t>
      </w:r>
      <w:r w:rsidRPr="007E752B">
        <w:rPr>
          <w:rFonts w:cs="Arial"/>
        </w:rPr>
        <w:t xml:space="preserve">taken to gain insight into how the standards are being used. Since the publication of the RACGP standards in October 2018, there has yet to be a medical practice seek accreditation </w:t>
      </w:r>
      <w:r w:rsidR="0052140E">
        <w:rPr>
          <w:rFonts w:cs="Arial"/>
        </w:rPr>
        <w:t>under</w:t>
      </w:r>
      <w:r w:rsidR="0052140E" w:rsidRPr="007E752B">
        <w:rPr>
          <w:rFonts w:cs="Arial"/>
        </w:rPr>
        <w:t xml:space="preserve"> </w:t>
      </w:r>
      <w:r w:rsidRPr="007E752B">
        <w:rPr>
          <w:rFonts w:cs="Arial"/>
        </w:rPr>
        <w:t xml:space="preserve">the standards. </w:t>
      </w:r>
      <w:r>
        <w:rPr>
          <w:rFonts w:cs="Arial"/>
        </w:rPr>
        <w:t xml:space="preserve">However, </w:t>
      </w:r>
      <w:r w:rsidRPr="007E752B">
        <w:rPr>
          <w:rFonts w:cs="Arial"/>
        </w:rPr>
        <w:t>MSAC</w:t>
      </w:r>
      <w:r>
        <w:rPr>
          <w:rFonts w:cs="Arial"/>
        </w:rPr>
        <w:t xml:space="preserve"> support for this application</w:t>
      </w:r>
      <w:r w:rsidRPr="007E752B">
        <w:rPr>
          <w:rFonts w:cs="Arial"/>
        </w:rPr>
        <w:t xml:space="preserve"> may incentiv</w:t>
      </w:r>
      <w:r>
        <w:rPr>
          <w:rFonts w:cs="Arial"/>
        </w:rPr>
        <w:t>ise</w:t>
      </w:r>
      <w:r w:rsidRPr="007E752B">
        <w:rPr>
          <w:rFonts w:cs="Arial"/>
        </w:rPr>
        <w:t xml:space="preserve"> medical practices to seek accreditation to the RACGP </w:t>
      </w:r>
      <w:proofErr w:type="spellStart"/>
      <w:r w:rsidRPr="007E752B">
        <w:rPr>
          <w:rFonts w:cs="Arial"/>
        </w:rPr>
        <w:t>PoC</w:t>
      </w:r>
      <w:proofErr w:type="spellEnd"/>
      <w:r>
        <w:rPr>
          <w:rFonts w:cs="Arial"/>
        </w:rPr>
        <w:t xml:space="preserve"> testing</w:t>
      </w:r>
      <w:r w:rsidRPr="007E752B">
        <w:rPr>
          <w:rFonts w:cs="Arial"/>
        </w:rPr>
        <w:t xml:space="preserve"> standard.</w:t>
      </w:r>
    </w:p>
    <w:p w14:paraId="063A2C9B" w14:textId="693D5799" w:rsidR="00200E40" w:rsidRPr="000934B8" w:rsidRDefault="00200E40" w:rsidP="000934B8">
      <w:pPr>
        <w:spacing w:after="240"/>
      </w:pPr>
      <w:r>
        <w:rPr>
          <w:rFonts w:cs="Arial"/>
        </w:rPr>
        <w:t xml:space="preserve">MSAC also noted that the </w:t>
      </w:r>
      <w:r w:rsidRPr="002A2543">
        <w:rPr>
          <w:rFonts w:cs="Arial"/>
        </w:rPr>
        <w:t>National Pathology Accreditation Advisory Council</w:t>
      </w:r>
      <w:r>
        <w:rPr>
          <w:rFonts w:cs="Arial"/>
        </w:rPr>
        <w:t xml:space="preserve"> (NPAAC)</w:t>
      </w:r>
      <w:r w:rsidRPr="007E752B">
        <w:rPr>
          <w:rFonts w:cs="Arial"/>
        </w:rPr>
        <w:t xml:space="preserve"> published </w:t>
      </w:r>
      <w:r>
        <w:rPr>
          <w:rFonts w:cs="Arial"/>
        </w:rPr>
        <w:t>its own</w:t>
      </w:r>
      <w:r w:rsidRPr="007E752B">
        <w:rPr>
          <w:rFonts w:cs="Arial"/>
        </w:rPr>
        <w:t xml:space="preserve"> </w:t>
      </w:r>
      <w:r w:rsidRPr="00673708">
        <w:rPr>
          <w:rFonts w:cs="Arial"/>
          <w:i/>
        </w:rPr>
        <w:t>Guidelines for point of care testing</w:t>
      </w:r>
      <w:r>
        <w:rPr>
          <w:rFonts w:cs="Arial"/>
        </w:rPr>
        <w:t>,</w:t>
      </w:r>
      <w:r w:rsidRPr="007E752B">
        <w:rPr>
          <w:rFonts w:cs="Arial"/>
        </w:rPr>
        <w:t xml:space="preserve"> </w:t>
      </w:r>
      <w:r>
        <w:rPr>
          <w:rFonts w:cs="Arial"/>
        </w:rPr>
        <w:t xml:space="preserve">in </w:t>
      </w:r>
      <w:r w:rsidRPr="007E752B">
        <w:rPr>
          <w:rFonts w:cs="Arial"/>
        </w:rPr>
        <w:t>2015</w:t>
      </w:r>
      <w:r>
        <w:rPr>
          <w:rFonts w:cs="Arial"/>
        </w:rPr>
        <w:t>,</w:t>
      </w:r>
      <w:r w:rsidRPr="007E752B">
        <w:rPr>
          <w:rFonts w:cs="Arial"/>
        </w:rPr>
        <w:t xml:space="preserve"> for users of </w:t>
      </w:r>
      <w:proofErr w:type="spellStart"/>
      <w:r w:rsidRPr="007E752B">
        <w:rPr>
          <w:rFonts w:cs="Arial"/>
        </w:rPr>
        <w:t>PoC</w:t>
      </w:r>
      <w:proofErr w:type="spellEnd"/>
      <w:r>
        <w:rPr>
          <w:rFonts w:cs="Arial"/>
        </w:rPr>
        <w:t xml:space="preserve"> testing </w:t>
      </w:r>
      <w:r w:rsidR="008A6717">
        <w:rPr>
          <w:rFonts w:cs="Arial"/>
        </w:rPr>
        <w:t>in both laboratory</w:t>
      </w:r>
      <w:r w:rsidRPr="007E752B">
        <w:rPr>
          <w:rFonts w:cs="Arial"/>
        </w:rPr>
        <w:t xml:space="preserve"> and non-laboratory settings</w:t>
      </w:r>
      <w:r>
        <w:rPr>
          <w:rFonts w:cs="Arial"/>
        </w:rPr>
        <w:t xml:space="preserve">. NPAAC </w:t>
      </w:r>
      <w:r w:rsidRPr="007E752B">
        <w:rPr>
          <w:rFonts w:cs="Arial"/>
        </w:rPr>
        <w:t xml:space="preserve">recently </w:t>
      </w:r>
      <w:r>
        <w:rPr>
          <w:rFonts w:cs="Arial"/>
        </w:rPr>
        <w:t>started</w:t>
      </w:r>
      <w:r w:rsidRPr="007E752B">
        <w:rPr>
          <w:rFonts w:cs="Arial"/>
        </w:rPr>
        <w:t xml:space="preserve"> a review of </w:t>
      </w:r>
      <w:r>
        <w:rPr>
          <w:rFonts w:cs="Arial"/>
        </w:rPr>
        <w:t>these</w:t>
      </w:r>
      <w:r w:rsidR="00270974">
        <w:rPr>
          <w:rFonts w:cs="Arial"/>
        </w:rPr>
        <w:t xml:space="preserve"> guidelines</w:t>
      </w:r>
      <w:r>
        <w:rPr>
          <w:rFonts w:cs="Arial"/>
        </w:rPr>
        <w:t>,</w:t>
      </w:r>
      <w:r w:rsidRPr="007E752B">
        <w:rPr>
          <w:rFonts w:cs="Arial"/>
        </w:rPr>
        <w:t xml:space="preserve"> with the </w:t>
      </w:r>
      <w:r>
        <w:rPr>
          <w:rFonts w:cs="Arial"/>
        </w:rPr>
        <w:t>aim</w:t>
      </w:r>
      <w:r w:rsidRPr="007E752B">
        <w:rPr>
          <w:rFonts w:cs="Arial"/>
        </w:rPr>
        <w:t xml:space="preserve"> of revising them into accreditation standards that </w:t>
      </w:r>
      <w:proofErr w:type="gramStart"/>
      <w:r w:rsidRPr="007E752B">
        <w:rPr>
          <w:rFonts w:cs="Arial"/>
        </w:rPr>
        <w:t>can be used</w:t>
      </w:r>
      <w:proofErr w:type="gramEnd"/>
      <w:r w:rsidRPr="007E752B">
        <w:rPr>
          <w:rFonts w:cs="Arial"/>
        </w:rPr>
        <w:t xml:space="preserve"> </w:t>
      </w:r>
      <w:r>
        <w:rPr>
          <w:rFonts w:cs="Arial"/>
        </w:rPr>
        <w:t>to assess</w:t>
      </w:r>
      <w:r w:rsidRPr="007E752B">
        <w:rPr>
          <w:rFonts w:cs="Arial"/>
        </w:rPr>
        <w:t xml:space="preserve"> laboratories that use </w:t>
      </w:r>
      <w:proofErr w:type="spellStart"/>
      <w:r w:rsidRPr="007E752B">
        <w:rPr>
          <w:rFonts w:cs="Arial"/>
        </w:rPr>
        <w:t>PoC</w:t>
      </w:r>
      <w:proofErr w:type="spellEnd"/>
      <w:r>
        <w:rPr>
          <w:rFonts w:cs="Arial"/>
        </w:rPr>
        <w:t xml:space="preserve"> testing </w:t>
      </w:r>
      <w:r w:rsidRPr="007E752B">
        <w:rPr>
          <w:rFonts w:cs="Arial"/>
        </w:rPr>
        <w:t>devices</w:t>
      </w:r>
      <w:r>
        <w:rPr>
          <w:rFonts w:cs="Arial"/>
        </w:rPr>
        <w:t xml:space="preserve">. </w:t>
      </w:r>
      <w:r w:rsidR="00270974">
        <w:rPr>
          <w:rFonts w:cs="Arial"/>
        </w:rPr>
        <w:t>NPAAC has advised that t</w:t>
      </w:r>
      <w:r>
        <w:rPr>
          <w:rFonts w:cs="Arial"/>
        </w:rPr>
        <w:t>he guidelines could also</w:t>
      </w:r>
      <w:r w:rsidRPr="007E752B">
        <w:rPr>
          <w:rFonts w:cs="Arial"/>
        </w:rPr>
        <w:t xml:space="preserve"> provide a model for minimum best practice standards for the use of </w:t>
      </w:r>
      <w:proofErr w:type="spellStart"/>
      <w:r w:rsidRPr="007E752B">
        <w:rPr>
          <w:rFonts w:cs="Arial"/>
        </w:rPr>
        <w:t>PoC</w:t>
      </w:r>
      <w:proofErr w:type="spellEnd"/>
      <w:r>
        <w:rPr>
          <w:rFonts w:cs="Arial"/>
        </w:rPr>
        <w:t xml:space="preserve"> testing</w:t>
      </w:r>
      <w:r w:rsidRPr="007E752B">
        <w:rPr>
          <w:rFonts w:cs="Arial"/>
        </w:rPr>
        <w:t xml:space="preserve"> devices </w:t>
      </w:r>
      <w:r>
        <w:rPr>
          <w:rFonts w:cs="Arial"/>
        </w:rPr>
        <w:t>in</w:t>
      </w:r>
      <w:r w:rsidRPr="007E752B">
        <w:rPr>
          <w:rFonts w:cs="Arial"/>
        </w:rPr>
        <w:t xml:space="preserve"> other health</w:t>
      </w:r>
      <w:r>
        <w:rPr>
          <w:rFonts w:cs="Arial"/>
        </w:rPr>
        <w:t xml:space="preserve"> </w:t>
      </w:r>
      <w:r w:rsidRPr="007E752B">
        <w:rPr>
          <w:rFonts w:cs="Arial"/>
        </w:rPr>
        <w:t xml:space="preserve">care settings. </w:t>
      </w:r>
      <w:proofErr w:type="gramStart"/>
      <w:r>
        <w:rPr>
          <w:rFonts w:cs="Arial"/>
        </w:rPr>
        <w:t xml:space="preserve">MSAC questioned whether there should be two separate accreditation standards and </w:t>
      </w:r>
      <w:r w:rsidR="005C7F8E">
        <w:rPr>
          <w:rFonts w:cs="Arial"/>
        </w:rPr>
        <w:t>supports the view</w:t>
      </w:r>
      <w:r>
        <w:rPr>
          <w:rFonts w:cs="Arial"/>
        </w:rPr>
        <w:t xml:space="preserve"> that a single </w:t>
      </w:r>
      <w:r w:rsidR="00270974">
        <w:rPr>
          <w:rFonts w:cs="Arial"/>
        </w:rPr>
        <w:t xml:space="preserve">set of </w:t>
      </w:r>
      <w:r>
        <w:rPr>
          <w:rFonts w:cs="Arial"/>
        </w:rPr>
        <w:t>standard</w:t>
      </w:r>
      <w:r w:rsidR="00270974">
        <w:rPr>
          <w:rFonts w:cs="Arial"/>
        </w:rPr>
        <w:t>s</w:t>
      </w:r>
      <w:r>
        <w:rPr>
          <w:rFonts w:cs="Arial"/>
        </w:rPr>
        <w:t xml:space="preserve"> would be preferable.</w:t>
      </w:r>
      <w:proofErr w:type="gramEnd"/>
      <w:r>
        <w:rPr>
          <w:rFonts w:cs="Arial"/>
        </w:rPr>
        <w:t xml:space="preserve"> </w:t>
      </w:r>
      <w:r w:rsidR="00270974">
        <w:rPr>
          <w:rFonts w:cs="Arial"/>
        </w:rPr>
        <w:t xml:space="preserve">NPAAC advised and MSAC </w:t>
      </w:r>
      <w:proofErr w:type="gramStart"/>
      <w:r w:rsidR="00270974">
        <w:rPr>
          <w:rFonts w:cs="Arial"/>
        </w:rPr>
        <w:t>noted</w:t>
      </w:r>
      <w:proofErr w:type="gramEnd"/>
      <w:r w:rsidR="00270974">
        <w:rPr>
          <w:rFonts w:cs="Arial"/>
        </w:rPr>
        <w:t xml:space="preserve"> </w:t>
      </w:r>
      <w:proofErr w:type="gramStart"/>
      <w:r w:rsidR="00270974">
        <w:rPr>
          <w:rFonts w:cs="Arial"/>
        </w:rPr>
        <w:t>that the accrediting body need not be</w:t>
      </w:r>
      <w:proofErr w:type="gramEnd"/>
      <w:r w:rsidR="00270974">
        <w:rPr>
          <w:rFonts w:cs="Arial"/>
        </w:rPr>
        <w:t xml:space="preserve"> the same across the system. This function </w:t>
      </w:r>
      <w:proofErr w:type="gramStart"/>
      <w:r w:rsidR="00270974">
        <w:rPr>
          <w:rFonts w:cs="Arial"/>
        </w:rPr>
        <w:t>is currently undert</w:t>
      </w:r>
      <w:r w:rsidR="005C7F8E">
        <w:rPr>
          <w:rFonts w:cs="Arial"/>
        </w:rPr>
        <w:t>aken</w:t>
      </w:r>
      <w:proofErr w:type="gramEnd"/>
      <w:r w:rsidR="005C7F8E">
        <w:rPr>
          <w:rFonts w:cs="Arial"/>
        </w:rPr>
        <w:t xml:space="preserve"> by NATA for the pathology </w:t>
      </w:r>
      <w:r w:rsidR="00270974">
        <w:rPr>
          <w:rFonts w:cs="Arial"/>
        </w:rPr>
        <w:t>sector</w:t>
      </w:r>
      <w:r w:rsidR="000934B8">
        <w:t>.</w:t>
      </w:r>
    </w:p>
    <w:p w14:paraId="56A16634" w14:textId="4926A42D" w:rsidR="000934B8" w:rsidRDefault="00200E40">
      <w:pPr>
        <w:rPr>
          <w:rFonts w:cs="Arial"/>
        </w:rPr>
      </w:pPr>
      <w:r>
        <w:rPr>
          <w:rFonts w:cs="Arial"/>
        </w:rPr>
        <w:t xml:space="preserve">MSAC noted that </w:t>
      </w:r>
      <w:r w:rsidRPr="007E752B">
        <w:rPr>
          <w:rFonts w:cs="Arial"/>
        </w:rPr>
        <w:t xml:space="preserve">the Department has recently engaged a consultant to undertake an independent mapping analysis of the pathology quality standards and RACGP standards, in addition to some further exploration and analysis of </w:t>
      </w:r>
      <w:proofErr w:type="spellStart"/>
      <w:r w:rsidRPr="007E752B">
        <w:rPr>
          <w:rFonts w:cs="Arial"/>
        </w:rPr>
        <w:t>PoC</w:t>
      </w:r>
      <w:proofErr w:type="spellEnd"/>
      <w:r>
        <w:rPr>
          <w:rFonts w:cs="Arial"/>
        </w:rPr>
        <w:t xml:space="preserve"> testing </w:t>
      </w:r>
      <w:r w:rsidRPr="007E752B">
        <w:rPr>
          <w:rFonts w:cs="Arial"/>
        </w:rPr>
        <w:t>in laboratory and non-laboratory health</w:t>
      </w:r>
      <w:r>
        <w:rPr>
          <w:rFonts w:cs="Arial"/>
        </w:rPr>
        <w:t xml:space="preserve"> </w:t>
      </w:r>
      <w:r w:rsidRPr="007E752B">
        <w:rPr>
          <w:rFonts w:cs="Arial"/>
        </w:rPr>
        <w:t>care settings, which is expected to inform the Department’s policy consideration</w:t>
      </w:r>
      <w:r>
        <w:rPr>
          <w:rFonts w:cs="Arial"/>
        </w:rPr>
        <w:t xml:space="preserve">. In addition, </w:t>
      </w:r>
      <w:r w:rsidRPr="007E752B">
        <w:rPr>
          <w:rFonts w:cs="Arial"/>
        </w:rPr>
        <w:t xml:space="preserve">there are different costs associated with accreditation assessments of pathology laboratories as opposed to medical practices, which </w:t>
      </w:r>
      <w:proofErr w:type="gramStart"/>
      <w:r w:rsidRPr="007E752B">
        <w:rPr>
          <w:rFonts w:cs="Arial"/>
        </w:rPr>
        <w:t>can be attributed</w:t>
      </w:r>
      <w:proofErr w:type="gramEnd"/>
      <w:r>
        <w:rPr>
          <w:rFonts w:cs="Arial"/>
        </w:rPr>
        <w:t>,</w:t>
      </w:r>
      <w:r w:rsidRPr="007E752B">
        <w:rPr>
          <w:rFonts w:cs="Arial"/>
        </w:rPr>
        <w:t xml:space="preserve"> in part</w:t>
      </w:r>
      <w:r>
        <w:rPr>
          <w:rFonts w:cs="Arial"/>
        </w:rPr>
        <w:t>,</w:t>
      </w:r>
      <w:r w:rsidRPr="007E752B">
        <w:rPr>
          <w:rFonts w:cs="Arial"/>
        </w:rPr>
        <w:t xml:space="preserve"> </w:t>
      </w:r>
      <w:r w:rsidR="00EC28F2" w:rsidRPr="007E752B">
        <w:rPr>
          <w:rFonts w:cs="Arial"/>
        </w:rPr>
        <w:t xml:space="preserve">to </w:t>
      </w:r>
      <w:r w:rsidRPr="007E752B">
        <w:rPr>
          <w:rFonts w:cs="Arial"/>
        </w:rPr>
        <w:t xml:space="preserve">the number of recognised accreditation assessment bodies. This </w:t>
      </w:r>
      <w:proofErr w:type="gramStart"/>
      <w:r w:rsidRPr="007E752B">
        <w:rPr>
          <w:rFonts w:cs="Arial"/>
        </w:rPr>
        <w:t xml:space="preserve">is an issue related to </w:t>
      </w:r>
      <w:proofErr w:type="spellStart"/>
      <w:r w:rsidRPr="007E752B">
        <w:rPr>
          <w:rFonts w:cs="Arial"/>
        </w:rPr>
        <w:t>PoC</w:t>
      </w:r>
      <w:proofErr w:type="spellEnd"/>
      <w:r>
        <w:rPr>
          <w:rFonts w:cs="Arial"/>
        </w:rPr>
        <w:t xml:space="preserve"> testing </w:t>
      </w:r>
      <w:r w:rsidRPr="007E752B">
        <w:rPr>
          <w:rFonts w:cs="Arial"/>
        </w:rPr>
        <w:t>that</w:t>
      </w:r>
      <w:proofErr w:type="gramEnd"/>
      <w:r w:rsidRPr="007E752B">
        <w:rPr>
          <w:rFonts w:cs="Arial"/>
        </w:rPr>
        <w:t xml:space="preserve"> is under consideration by the Department.</w:t>
      </w:r>
      <w:r w:rsidR="000934B8">
        <w:rPr>
          <w:rFonts w:cs="Arial"/>
        </w:rPr>
        <w:br w:type="page"/>
      </w:r>
    </w:p>
    <w:p w14:paraId="3527E138" w14:textId="77777777" w:rsidR="00BC1364" w:rsidRDefault="00BC1364" w:rsidP="00F715D1">
      <w:pPr>
        <w:pStyle w:val="Heading1"/>
      </w:pPr>
      <w:r w:rsidRPr="00F715D1">
        <w:lastRenderedPageBreak/>
        <w:t>Background</w:t>
      </w:r>
    </w:p>
    <w:p w14:paraId="0BA53ADC" w14:textId="77777777" w:rsidR="005C7F8E" w:rsidRDefault="00031241" w:rsidP="00031241">
      <w:r>
        <w:t xml:space="preserve">This is the first resubmission of Application 1431. </w:t>
      </w:r>
    </w:p>
    <w:p w14:paraId="55F7DF4F" w14:textId="0FEB5923" w:rsidR="00031241" w:rsidRDefault="00031241" w:rsidP="005C7F8E">
      <w:pPr>
        <w:spacing w:before="240"/>
      </w:pPr>
      <w:r>
        <w:t>At its July 2017 meeting, MSAC:</w:t>
      </w:r>
    </w:p>
    <w:p w14:paraId="213EBBDC" w14:textId="77777777" w:rsidR="00031241" w:rsidRDefault="00031241" w:rsidP="00031241">
      <w:pPr>
        <w:pStyle w:val="ListParagraph"/>
        <w:numPr>
          <w:ilvl w:val="0"/>
          <w:numId w:val="28"/>
        </w:numPr>
      </w:pPr>
      <w:r>
        <w:t>d</w:t>
      </w:r>
      <w:r w:rsidRPr="00B82B87">
        <w:t>eferred its advice for the monitoring of glycaemic management in patients with established diabetes (including in pregnancy) [1431 Public Summary Document (PSD) 2017, pp2-3]; and</w:t>
      </w:r>
    </w:p>
    <w:p w14:paraId="7EB99872" w14:textId="77777777" w:rsidR="00031241" w:rsidRDefault="00031241" w:rsidP="00031241">
      <w:pPr>
        <w:pStyle w:val="ListParagraph"/>
        <w:numPr>
          <w:ilvl w:val="0"/>
          <w:numId w:val="28"/>
        </w:numPr>
      </w:pPr>
      <w:r w:rsidRPr="00B82B87">
        <w:t xml:space="preserve">did not support public funding for HbA1c </w:t>
      </w:r>
      <w:proofErr w:type="spellStart"/>
      <w:r w:rsidRPr="00B82B87">
        <w:t>PoC</w:t>
      </w:r>
      <w:proofErr w:type="spellEnd"/>
      <w:r w:rsidRPr="00B82B87">
        <w:t xml:space="preserve"> testing for the diagnosis of diabetes based on insufficient evidence demonstrating accuracy in terms of analytical or clinical validity for diagnostic purposes [1431 PSD 2017, p1]. </w:t>
      </w:r>
    </w:p>
    <w:p w14:paraId="311A5017" w14:textId="44C63183" w:rsidR="00031241" w:rsidRDefault="00031241" w:rsidP="005C7F8E">
      <w:pPr>
        <w:spacing w:before="240"/>
      </w:pPr>
      <w:r w:rsidRPr="00B82B87">
        <w:t xml:space="preserve">The MSAC also noted that the application presented limited information on the use of HbA1c </w:t>
      </w:r>
      <w:proofErr w:type="spellStart"/>
      <w:r w:rsidRPr="00B82B87">
        <w:t>PoC</w:t>
      </w:r>
      <w:proofErr w:type="spellEnd"/>
      <w:r w:rsidRPr="00B82B87">
        <w:t xml:space="preserve"> testing for the diagnosis of diabetes, and no evidence for the use of HbA1c </w:t>
      </w:r>
      <w:proofErr w:type="spellStart"/>
      <w:r w:rsidRPr="00B82B87">
        <w:t>PoC</w:t>
      </w:r>
      <w:proofErr w:type="spellEnd"/>
      <w:r w:rsidRPr="00B82B87">
        <w:t xml:space="preserve"> testing in pregnant women with established diabetes [1431 PSD 2017, p2].</w:t>
      </w:r>
    </w:p>
    <w:p w14:paraId="0266547F" w14:textId="769D1192" w:rsidR="005C7F8E" w:rsidRPr="00031241" w:rsidRDefault="005C7F8E" w:rsidP="005C7F8E">
      <w:pPr>
        <w:spacing w:before="240"/>
      </w:pPr>
      <w:r>
        <w:t>Further information is available in the Public Summary Document on the MSAC website.</w:t>
      </w:r>
    </w:p>
    <w:p w14:paraId="597F53CD" w14:textId="77777777" w:rsidR="00BC1364" w:rsidRDefault="00BC1364" w:rsidP="00F715D1">
      <w:pPr>
        <w:pStyle w:val="Heading1"/>
      </w:pPr>
      <w:r w:rsidRPr="00F715D1">
        <w:t>Prerequisites to implementation of any funding advice</w:t>
      </w:r>
    </w:p>
    <w:p w14:paraId="26648661" w14:textId="79E34201" w:rsidR="00031241" w:rsidRDefault="00031241" w:rsidP="000934B8">
      <w:pPr>
        <w:spacing w:after="240"/>
        <w:rPr>
          <w:rFonts w:eastAsia="SimSun"/>
          <w:lang w:eastAsia="zh-CN"/>
        </w:rPr>
      </w:pPr>
      <w:r w:rsidRPr="00EC7748">
        <w:rPr>
          <w:rFonts w:eastAsia="SimSun"/>
          <w:lang w:eastAsia="zh-CN"/>
        </w:rPr>
        <w:t xml:space="preserve">HbA1c tests are Class 2 </w:t>
      </w:r>
      <w:r w:rsidRPr="00291183">
        <w:rPr>
          <w:rFonts w:eastAsia="SimSun"/>
          <w:i/>
          <w:lang w:eastAsia="zh-CN"/>
        </w:rPr>
        <w:t xml:space="preserve">in vitro </w:t>
      </w:r>
      <w:r w:rsidRPr="00291183">
        <w:rPr>
          <w:rFonts w:eastAsia="SimSun"/>
          <w:lang w:eastAsia="zh-CN"/>
        </w:rPr>
        <w:t>diagnostics</w:t>
      </w:r>
      <w:r w:rsidRPr="00291183">
        <w:rPr>
          <w:rFonts w:eastAsia="SimSun"/>
          <w:i/>
          <w:lang w:eastAsia="zh-CN"/>
        </w:rPr>
        <w:t xml:space="preserve"> </w:t>
      </w:r>
      <w:r>
        <w:rPr>
          <w:rFonts w:eastAsia="SimSun"/>
          <w:lang w:eastAsia="zh-CN"/>
        </w:rPr>
        <w:t>(IVD)</w:t>
      </w:r>
      <w:r w:rsidRPr="00EC7748">
        <w:rPr>
          <w:rFonts w:eastAsia="SimSun"/>
          <w:lang w:eastAsia="zh-CN"/>
        </w:rPr>
        <w:t xml:space="preserve"> and must be included on the Australian Register of Therapeutic Goods (ARTG) by the </w:t>
      </w:r>
      <w:r>
        <w:rPr>
          <w:rFonts w:eastAsia="SimSun"/>
          <w:lang w:eastAsia="zh-CN"/>
        </w:rPr>
        <w:t>Therapeutic Goods Administration (</w:t>
      </w:r>
      <w:r w:rsidRPr="00EC7748">
        <w:rPr>
          <w:rFonts w:eastAsia="SimSun"/>
          <w:lang w:eastAsia="zh-CN"/>
        </w:rPr>
        <w:t>TGA</w:t>
      </w:r>
      <w:r>
        <w:rPr>
          <w:rFonts w:eastAsia="SimSun"/>
          <w:lang w:eastAsia="zh-CN"/>
        </w:rPr>
        <w:t>)</w:t>
      </w:r>
      <w:r w:rsidRPr="00EC7748">
        <w:rPr>
          <w:rFonts w:eastAsia="SimSun"/>
          <w:lang w:eastAsia="zh-CN"/>
        </w:rPr>
        <w:t xml:space="preserve"> before </w:t>
      </w:r>
      <w:proofErr w:type="gramStart"/>
      <w:r w:rsidRPr="00EC7748">
        <w:rPr>
          <w:rFonts w:eastAsia="SimSun"/>
          <w:lang w:eastAsia="zh-CN"/>
        </w:rPr>
        <w:t>bei</w:t>
      </w:r>
      <w:r>
        <w:rPr>
          <w:rFonts w:eastAsia="SimSun"/>
          <w:lang w:eastAsia="zh-CN"/>
        </w:rPr>
        <w:t>ng supplied</w:t>
      </w:r>
      <w:proofErr w:type="gramEnd"/>
      <w:r>
        <w:rPr>
          <w:rFonts w:eastAsia="SimSun"/>
          <w:lang w:eastAsia="zh-CN"/>
        </w:rPr>
        <w:t xml:space="preserve"> in Australia. All </w:t>
      </w:r>
      <w:proofErr w:type="spellStart"/>
      <w:r>
        <w:rPr>
          <w:rFonts w:eastAsia="SimSun"/>
          <w:lang w:eastAsia="zh-CN"/>
        </w:rPr>
        <w:t>Po</w:t>
      </w:r>
      <w:r w:rsidRPr="00EC7748">
        <w:rPr>
          <w:rFonts w:eastAsia="SimSun"/>
          <w:lang w:eastAsia="zh-CN"/>
        </w:rPr>
        <w:t>C</w:t>
      </w:r>
      <w:proofErr w:type="spellEnd"/>
      <w:r w:rsidRPr="00EC7748">
        <w:rPr>
          <w:rFonts w:eastAsia="SimSun"/>
          <w:lang w:eastAsia="zh-CN"/>
        </w:rPr>
        <w:t xml:space="preserve"> test instruments undergo mandatory technical review by the </w:t>
      </w:r>
      <w:proofErr w:type="gramStart"/>
      <w:r w:rsidRPr="00EC7748">
        <w:rPr>
          <w:rFonts w:eastAsia="SimSun"/>
          <w:lang w:eastAsia="zh-CN"/>
        </w:rPr>
        <w:t>TGA which</w:t>
      </w:r>
      <w:proofErr w:type="gramEnd"/>
      <w:r w:rsidRPr="00EC7748">
        <w:rPr>
          <w:rFonts w:eastAsia="SimSun"/>
          <w:lang w:eastAsia="zh-CN"/>
        </w:rPr>
        <w:t xml:space="preserve"> assesses the test’s analytical performance and suitability for use at the point of care</w:t>
      </w:r>
      <w:r w:rsidR="000934B8">
        <w:rPr>
          <w:rFonts w:eastAsia="SimSun"/>
          <w:lang w:eastAsia="zh-CN"/>
        </w:rPr>
        <w:t>.</w:t>
      </w:r>
    </w:p>
    <w:p w14:paraId="58487831" w14:textId="26E0AF6C" w:rsidR="00031241" w:rsidRPr="005C7F8E" w:rsidRDefault="00031241" w:rsidP="00031241">
      <w:pPr>
        <w:rPr>
          <w:rFonts w:eastAsia="SimSun"/>
          <w:lang w:eastAsia="zh-CN"/>
        </w:rPr>
      </w:pPr>
      <w:r w:rsidRPr="00B27D37">
        <w:rPr>
          <w:rFonts w:eastAsia="SimSun"/>
          <w:lang w:eastAsia="zh-CN"/>
        </w:rPr>
        <w:t xml:space="preserve">It </w:t>
      </w:r>
      <w:proofErr w:type="gramStart"/>
      <w:r w:rsidRPr="00B27D37">
        <w:rPr>
          <w:rFonts w:eastAsia="SimSun"/>
          <w:lang w:eastAsia="zh-CN"/>
        </w:rPr>
        <w:t>is proposed</w:t>
      </w:r>
      <w:proofErr w:type="gramEnd"/>
      <w:r w:rsidRPr="00B27D37">
        <w:rPr>
          <w:rFonts w:eastAsia="SimSun"/>
          <w:lang w:eastAsia="zh-CN"/>
        </w:rPr>
        <w:t xml:space="preserve"> that accreditation to the </w:t>
      </w:r>
      <w:r>
        <w:rPr>
          <w:rFonts w:eastAsia="SimSun"/>
          <w:lang w:eastAsia="zh-CN"/>
        </w:rPr>
        <w:t>Royal Australian College of General Practitioners (</w:t>
      </w:r>
      <w:r w:rsidRPr="00B27D37">
        <w:rPr>
          <w:rFonts w:eastAsia="SimSun"/>
          <w:lang w:eastAsia="zh-CN"/>
        </w:rPr>
        <w:t>RACGP</w:t>
      </w:r>
      <w:r>
        <w:rPr>
          <w:rFonts w:eastAsia="SimSun"/>
          <w:lang w:eastAsia="zh-CN"/>
        </w:rPr>
        <w:t>)</w:t>
      </w:r>
      <w:r w:rsidRPr="00B27D37">
        <w:rPr>
          <w:rFonts w:eastAsia="SimSun"/>
          <w:lang w:eastAsia="zh-CN"/>
        </w:rPr>
        <w:t xml:space="preserve"> </w:t>
      </w:r>
      <w:proofErr w:type="spellStart"/>
      <w:r w:rsidRPr="00B27D37">
        <w:rPr>
          <w:rFonts w:eastAsia="SimSun"/>
          <w:lang w:eastAsia="zh-CN"/>
        </w:rPr>
        <w:t>PoC</w:t>
      </w:r>
      <w:proofErr w:type="spellEnd"/>
      <w:r w:rsidRPr="00B27D37">
        <w:rPr>
          <w:rFonts w:eastAsia="SimSun"/>
          <w:lang w:eastAsia="zh-CN"/>
        </w:rPr>
        <w:t xml:space="preserve"> testing Standards (requesting medical practitioner or medical practitioner’s organisation) will be required to claim the MBS item.</w:t>
      </w:r>
    </w:p>
    <w:p w14:paraId="6F37C1D8" w14:textId="77777777" w:rsidR="00BC1364" w:rsidRPr="00F715D1" w:rsidRDefault="00BC1364" w:rsidP="00F715D1">
      <w:pPr>
        <w:pStyle w:val="Heading1"/>
      </w:pPr>
      <w:r w:rsidRPr="00F715D1">
        <w:t>Proposal for public funding</w:t>
      </w:r>
    </w:p>
    <w:p w14:paraId="689670F9" w14:textId="5D550AA0" w:rsidR="001046A1" w:rsidRDefault="00031241">
      <w:r>
        <w:t xml:space="preserve">The proposed </w:t>
      </w:r>
      <w:r w:rsidRPr="00183E4D">
        <w:t xml:space="preserve">MBS item descriptor </w:t>
      </w:r>
      <w:r>
        <w:t xml:space="preserve">for HbA1c </w:t>
      </w:r>
      <w:proofErr w:type="spellStart"/>
      <w:r>
        <w:t>PoC</w:t>
      </w:r>
      <w:proofErr w:type="spellEnd"/>
      <w:r>
        <w:t xml:space="preserve"> testing in the management of patients with established diabetes (with a maximum of three tes</w:t>
      </w:r>
      <w:r w:rsidR="005C7F8E">
        <w:t xml:space="preserve">ts per patient in 12 months) </w:t>
      </w:r>
      <w:proofErr w:type="gramStart"/>
      <w:r w:rsidR="005C7F8E">
        <w:t xml:space="preserve">is </w:t>
      </w:r>
      <w:r>
        <w:t>presented</w:t>
      </w:r>
      <w:proofErr w:type="gramEnd"/>
      <w:r>
        <w:t xml:space="preserve"> in </w:t>
      </w:r>
      <w:r w:rsidR="001046A1" w:rsidRPr="00AE4BFA">
        <w:rPr>
          <w:szCs w:val="24"/>
        </w:rPr>
        <w:fldChar w:fldCharType="begin"/>
      </w:r>
      <w:r w:rsidR="001046A1" w:rsidRPr="00AE4BFA">
        <w:rPr>
          <w:szCs w:val="24"/>
        </w:rPr>
        <w:instrText xml:space="preserve"> REF _Ref10621984 \h </w:instrText>
      </w:r>
      <w:r w:rsidR="001046A1" w:rsidRPr="00AE4BFA">
        <w:rPr>
          <w:szCs w:val="24"/>
        </w:rPr>
      </w:r>
      <w:r w:rsidR="00AE4BFA" w:rsidRPr="00AE4BFA">
        <w:rPr>
          <w:szCs w:val="24"/>
        </w:rPr>
        <w:instrText xml:space="preserve"> \* MERGEFORMAT </w:instrText>
      </w:r>
      <w:r w:rsidR="001046A1" w:rsidRPr="00AE4BFA">
        <w:rPr>
          <w:szCs w:val="24"/>
        </w:rPr>
        <w:fldChar w:fldCharType="separate"/>
      </w:r>
      <w:r w:rsidR="00AE4BFA" w:rsidRPr="00AE4BFA">
        <w:rPr>
          <w:szCs w:val="24"/>
        </w:rPr>
        <w:t xml:space="preserve">Table </w:t>
      </w:r>
      <w:r w:rsidR="00AE4BFA" w:rsidRPr="00AE4BFA">
        <w:rPr>
          <w:noProof/>
          <w:szCs w:val="24"/>
        </w:rPr>
        <w:t>1</w:t>
      </w:r>
      <w:r w:rsidR="001046A1" w:rsidRPr="00AE4BFA">
        <w:rPr>
          <w:szCs w:val="24"/>
        </w:rPr>
        <w:fldChar w:fldCharType="end"/>
      </w:r>
      <w:r>
        <w:t>, with the descriptor notes</w:t>
      </w:r>
      <w:bookmarkStart w:id="0" w:name="_Ref532378246"/>
      <w:bookmarkStart w:id="1" w:name="_Toc534796345"/>
      <w:r w:rsidR="000934B8">
        <w:t xml:space="preserve"> provided below the descriptor.</w:t>
      </w:r>
      <w:r w:rsidR="001046A1">
        <w:br w:type="page"/>
      </w:r>
    </w:p>
    <w:p w14:paraId="22FD7676" w14:textId="3CE2D23C" w:rsidR="00031241" w:rsidRPr="00995BBA" w:rsidRDefault="00031241" w:rsidP="00995BBA">
      <w:pPr>
        <w:rPr>
          <w:rFonts w:ascii="Arial Narrow" w:hAnsi="Arial Narrow"/>
          <w:b/>
          <w:sz w:val="20"/>
        </w:rPr>
      </w:pPr>
      <w:bookmarkStart w:id="2" w:name="_Ref10621984"/>
      <w:r w:rsidRPr="00995BBA">
        <w:rPr>
          <w:rFonts w:ascii="Arial Narrow" w:hAnsi="Arial Narrow"/>
          <w:b/>
          <w:sz w:val="20"/>
        </w:rPr>
        <w:lastRenderedPageBreak/>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1</w:t>
      </w:r>
      <w:r w:rsidRPr="00995BBA">
        <w:rPr>
          <w:rFonts w:ascii="Arial Narrow" w:hAnsi="Arial Narrow"/>
          <w:b/>
          <w:sz w:val="20"/>
        </w:rPr>
        <w:fldChar w:fldCharType="end"/>
      </w:r>
      <w:bookmarkEnd w:id="0"/>
      <w:bookmarkEnd w:id="2"/>
      <w:r w:rsidRPr="00995BBA">
        <w:rPr>
          <w:rFonts w:ascii="Arial Narrow" w:hAnsi="Arial Narrow"/>
          <w:b/>
          <w:sz w:val="20"/>
        </w:rPr>
        <w:tab/>
        <w:t xml:space="preserve">Proposed MBS item descriptor </w:t>
      </w:r>
      <w:bookmarkEnd w:id="1"/>
    </w:p>
    <w:tbl>
      <w:tblPr>
        <w:tblStyle w:val="Summarybox1"/>
        <w:tblW w:w="5000" w:type="pct"/>
        <w:tblLook w:val="04A0" w:firstRow="1" w:lastRow="0" w:firstColumn="1" w:lastColumn="0" w:noHBand="0" w:noVBand="1"/>
        <w:tblCaption w:val="Proposed MBS item descriptor (underlined represents applicant’s updated item descriptor)"/>
        <w:tblDescription w:val="This table provides the proposed description of the requested Medicare Benefits Schedule item."/>
      </w:tblPr>
      <w:tblGrid>
        <w:gridCol w:w="9016"/>
      </w:tblGrid>
      <w:tr w:rsidR="00031241" w:rsidRPr="00183E4D" w14:paraId="1A9B83F9" w14:textId="77777777" w:rsidTr="00995BBA">
        <w:trPr>
          <w:tblHeader/>
        </w:trPr>
        <w:tc>
          <w:tcPr>
            <w:tcW w:w="5000" w:type="pct"/>
          </w:tcPr>
          <w:p w14:paraId="70B63EFE" w14:textId="77777777" w:rsidR="00031241" w:rsidRDefault="00031241" w:rsidP="00135EA6">
            <w:pPr>
              <w:pStyle w:val="Tabletext"/>
              <w:rPr>
                <w:rFonts w:cstheme="minorBidi"/>
                <w:b/>
              </w:rPr>
            </w:pPr>
            <w:r w:rsidRPr="00EC7748">
              <w:rPr>
                <w:rFonts w:eastAsia="SimSun"/>
                <w:b/>
                <w:lang w:eastAsia="zh-CN"/>
              </w:rPr>
              <w:t>Category 6 – PATHOLOGY SERVICES</w:t>
            </w:r>
            <w:r>
              <w:rPr>
                <w:b/>
                <w:lang w:eastAsia="zh-CN"/>
              </w:rPr>
              <w:tab/>
            </w:r>
            <w:r>
              <w:rPr>
                <w:b/>
                <w:lang w:eastAsia="zh-CN"/>
              </w:rPr>
              <w:tab/>
            </w:r>
            <w:r w:rsidRPr="00EC7748">
              <w:rPr>
                <w:rFonts w:eastAsia="SimSun"/>
                <w:b/>
                <w:lang w:eastAsia="zh-CN"/>
              </w:rPr>
              <w:t>Group P9 – SIMPLE BASIC PATHOLOGY TESTS</w:t>
            </w:r>
          </w:p>
        </w:tc>
      </w:tr>
      <w:tr w:rsidR="00031241" w:rsidRPr="00183E4D" w14:paraId="28294E10" w14:textId="77777777" w:rsidTr="00995BBA">
        <w:tc>
          <w:tcPr>
            <w:tcW w:w="5000" w:type="pct"/>
          </w:tcPr>
          <w:p w14:paraId="5B2297EF" w14:textId="77777777" w:rsidR="00031241" w:rsidRDefault="00031241" w:rsidP="00135EA6">
            <w:pPr>
              <w:pStyle w:val="Tabletext"/>
            </w:pPr>
            <w:r w:rsidRPr="00EC7748">
              <w:rPr>
                <w:rFonts w:eastAsia="SimSun"/>
                <w:lang w:eastAsia="zh-CN"/>
              </w:rPr>
              <w:t>MBS [item number]</w:t>
            </w:r>
          </w:p>
          <w:p w14:paraId="78B319E6" w14:textId="3AEEF156" w:rsidR="00031241" w:rsidRDefault="00031241" w:rsidP="000934B8">
            <w:pPr>
              <w:pStyle w:val="Tabletext"/>
              <w:spacing w:after="120"/>
            </w:pPr>
            <w:proofErr w:type="gramStart"/>
            <w:r w:rsidRPr="00EC7748">
              <w:rPr>
                <w:rFonts w:eastAsia="SimSun"/>
                <w:lang w:eastAsia="zh-CN"/>
              </w:rPr>
              <w:t>Quantitation of glycated haemoglobin</w:t>
            </w:r>
            <w:r>
              <w:rPr>
                <w:rFonts w:eastAsia="SimSun"/>
              </w:rPr>
              <w:t xml:space="preserve"> (HbA1c)</w:t>
            </w:r>
            <w:r w:rsidRPr="00EC7748">
              <w:rPr>
                <w:rFonts w:eastAsia="SimSun"/>
                <w:lang w:eastAsia="zh-CN"/>
              </w:rPr>
              <w:t xml:space="preserve"> via </w:t>
            </w:r>
            <w:r>
              <w:rPr>
                <w:rFonts w:eastAsia="SimSun"/>
                <w:lang w:eastAsia="zh-CN"/>
              </w:rPr>
              <w:t>P</w:t>
            </w:r>
            <w:r w:rsidRPr="00EC7748">
              <w:rPr>
                <w:rFonts w:eastAsia="SimSun"/>
                <w:lang w:eastAsia="zh-CN"/>
              </w:rPr>
              <w:t xml:space="preserve">oint of </w:t>
            </w:r>
            <w:r>
              <w:rPr>
                <w:rFonts w:eastAsia="SimSun"/>
                <w:lang w:eastAsia="zh-CN"/>
              </w:rPr>
              <w:t>C</w:t>
            </w:r>
            <w:r w:rsidRPr="00EC7748">
              <w:rPr>
                <w:rFonts w:eastAsia="SimSun"/>
                <w:lang w:eastAsia="zh-CN"/>
              </w:rPr>
              <w:t xml:space="preserve">are testing performed using a National </w:t>
            </w:r>
            <w:proofErr w:type="spellStart"/>
            <w:r w:rsidRPr="00EC7748">
              <w:rPr>
                <w:rFonts w:eastAsia="SimSun"/>
                <w:lang w:eastAsia="zh-CN"/>
              </w:rPr>
              <w:t>Glycohemoglobin</w:t>
            </w:r>
            <w:proofErr w:type="spellEnd"/>
            <w:r w:rsidRPr="00EC7748">
              <w:rPr>
                <w:rFonts w:eastAsia="SimSun"/>
                <w:lang w:eastAsia="zh-CN"/>
              </w:rPr>
              <w:t xml:space="preserve"> Standardization Program (NGSP) certified instrument with a total coefficient of variation (CV) &lt;3.0% </w:t>
            </w:r>
            <w:r w:rsidRPr="006A3CBD">
              <w:rPr>
                <w:rFonts w:eastAsia="SimSun"/>
              </w:rPr>
              <w:t xml:space="preserve">at 48 </w:t>
            </w:r>
            <w:proofErr w:type="spellStart"/>
            <w:r w:rsidRPr="006A3CBD">
              <w:rPr>
                <w:rFonts w:eastAsia="SimSun"/>
              </w:rPr>
              <w:t>mmol</w:t>
            </w:r>
            <w:proofErr w:type="spellEnd"/>
            <w:r w:rsidRPr="006A3CBD">
              <w:rPr>
                <w:rFonts w:eastAsia="SimSun"/>
              </w:rPr>
              <w:t>/</w:t>
            </w:r>
            <w:proofErr w:type="spellStart"/>
            <w:r w:rsidRPr="006A3CBD">
              <w:rPr>
                <w:rFonts w:eastAsia="SimSun"/>
              </w:rPr>
              <w:t>mol</w:t>
            </w:r>
            <w:proofErr w:type="spellEnd"/>
            <w:r w:rsidRPr="006A3CBD">
              <w:rPr>
                <w:rFonts w:eastAsia="SimSun"/>
              </w:rPr>
              <w:t xml:space="preserve"> (6.5%) </w:t>
            </w:r>
            <w:r>
              <w:rPr>
                <w:rFonts w:eastAsia="SimSun"/>
              </w:rPr>
              <w:t>i</w:t>
            </w:r>
            <w:r w:rsidRPr="00EC7748">
              <w:rPr>
                <w:rFonts w:eastAsia="SimSun"/>
                <w:lang w:eastAsia="zh-CN"/>
              </w:rPr>
              <w:t xml:space="preserve">n the management of established diabetes; a maximum of three </w:t>
            </w:r>
            <w:r>
              <w:rPr>
                <w:rFonts w:eastAsia="SimSun"/>
                <w:lang w:eastAsia="zh-CN"/>
              </w:rPr>
              <w:t>P</w:t>
            </w:r>
            <w:r w:rsidRPr="00EC7748">
              <w:rPr>
                <w:rFonts w:eastAsia="SimSun"/>
                <w:lang w:eastAsia="zh-CN"/>
              </w:rPr>
              <w:t xml:space="preserve">oint of </w:t>
            </w:r>
            <w:r>
              <w:rPr>
                <w:rFonts w:eastAsia="SimSun"/>
                <w:lang w:eastAsia="zh-CN"/>
              </w:rPr>
              <w:t>C</w:t>
            </w:r>
            <w:r w:rsidRPr="00EC7748">
              <w:rPr>
                <w:rFonts w:eastAsia="SimSun"/>
                <w:lang w:eastAsia="zh-CN"/>
              </w:rPr>
              <w:t>are tests in a 12 month period and a maximum of four glycated haemoglobin tests in total (</w:t>
            </w:r>
            <w:r>
              <w:rPr>
                <w:rFonts w:eastAsia="SimSun"/>
              </w:rPr>
              <w:t>P</w:t>
            </w:r>
            <w:r w:rsidRPr="00EC7748">
              <w:rPr>
                <w:rFonts w:eastAsia="SimSun"/>
                <w:lang w:eastAsia="zh-CN"/>
              </w:rPr>
              <w:t xml:space="preserve">oint of </w:t>
            </w:r>
            <w:r>
              <w:rPr>
                <w:rFonts w:eastAsia="SimSun"/>
              </w:rPr>
              <w:t>C</w:t>
            </w:r>
            <w:r w:rsidRPr="00EC7748">
              <w:rPr>
                <w:rFonts w:eastAsia="SimSun"/>
                <w:lang w:eastAsia="zh-CN"/>
              </w:rPr>
              <w:t>are and laboratory) in a 12 month period.</w:t>
            </w:r>
            <w:proofErr w:type="gramEnd"/>
            <w:r w:rsidRPr="00EC7748">
              <w:rPr>
                <w:rFonts w:eastAsia="SimSun"/>
                <w:lang w:eastAsia="zh-CN"/>
              </w:rPr>
              <w:t xml:space="preserve"> (Item is subject to rule 25).</w:t>
            </w:r>
          </w:p>
          <w:p w14:paraId="09F57229" w14:textId="77777777" w:rsidR="00031241" w:rsidRDefault="00031241" w:rsidP="00135EA6">
            <w:pPr>
              <w:pStyle w:val="Tabletext"/>
            </w:pPr>
            <w:r w:rsidRPr="00EC7748">
              <w:rPr>
                <w:rFonts w:eastAsia="SimSun"/>
                <w:lang w:eastAsia="zh-CN"/>
              </w:rPr>
              <w:t xml:space="preserve">(Item is subject to </w:t>
            </w:r>
            <w:r w:rsidRPr="006559A2">
              <w:rPr>
                <w:rFonts w:eastAsia="SimSun"/>
                <w:lang w:eastAsia="zh-CN"/>
              </w:rPr>
              <w:t>RACGP</w:t>
            </w:r>
            <w:r w:rsidRPr="00EC7748">
              <w:rPr>
                <w:rFonts w:eastAsia="SimSun"/>
                <w:lang w:eastAsia="zh-CN"/>
              </w:rPr>
              <w:t xml:space="preserve"> Point of Care Testing Standards accreditation requirements. Item is subject to restrictions in rule PR.9.X of explanatory notes to this category)</w:t>
            </w:r>
          </w:p>
        </w:tc>
      </w:tr>
      <w:tr w:rsidR="00031241" w:rsidRPr="00183E4D" w14:paraId="67035368" w14:textId="77777777" w:rsidTr="00995BBA">
        <w:tc>
          <w:tcPr>
            <w:tcW w:w="5000" w:type="pct"/>
          </w:tcPr>
          <w:p w14:paraId="53A47402" w14:textId="77777777" w:rsidR="00031241" w:rsidRDefault="00031241" w:rsidP="00135EA6">
            <w:pPr>
              <w:pStyle w:val="Tabletext"/>
              <w:rPr>
                <w:rFonts w:cstheme="minorBidi"/>
                <w:b/>
              </w:rPr>
            </w:pPr>
            <w:r w:rsidRPr="00EC7748">
              <w:rPr>
                <w:rFonts w:eastAsia="SimSun"/>
                <w:lang w:eastAsia="zh-CN"/>
              </w:rPr>
              <w:t xml:space="preserve">Fee: $22.60 </w:t>
            </w:r>
            <w:r w:rsidRPr="00EC7748">
              <w:rPr>
                <w:rFonts w:eastAsia="SimSun"/>
                <w:bCs/>
                <w:lang w:eastAsia="zh-CN"/>
              </w:rPr>
              <w:t>Benefit:</w:t>
            </w:r>
            <w:r w:rsidRPr="00EC7748">
              <w:rPr>
                <w:rFonts w:eastAsia="SimSun"/>
                <w:lang w:eastAsia="zh-CN"/>
              </w:rPr>
              <w:t> 75% =</w:t>
            </w:r>
            <w:r>
              <w:rPr>
                <w:rFonts w:eastAsia="SimSun"/>
                <w:lang w:eastAsia="zh-CN"/>
              </w:rPr>
              <w:t> </w:t>
            </w:r>
            <w:r w:rsidRPr="00EC7748">
              <w:rPr>
                <w:rFonts w:eastAsia="SimSun"/>
                <w:lang w:eastAsia="zh-CN"/>
              </w:rPr>
              <w:t>$16.95 85% =</w:t>
            </w:r>
            <w:r>
              <w:rPr>
                <w:rFonts w:eastAsia="SimSun"/>
                <w:lang w:eastAsia="zh-CN"/>
              </w:rPr>
              <w:t> </w:t>
            </w:r>
            <w:r w:rsidRPr="00EC7748">
              <w:rPr>
                <w:rFonts w:eastAsia="SimSun"/>
                <w:lang w:eastAsia="zh-CN"/>
              </w:rPr>
              <w:t>$19.20</w:t>
            </w:r>
          </w:p>
        </w:tc>
      </w:tr>
    </w:tbl>
    <w:p w14:paraId="05A39F17" w14:textId="77777777" w:rsidR="00031241" w:rsidRPr="00EF472B" w:rsidRDefault="00031241" w:rsidP="00031241">
      <w:pPr>
        <w:pStyle w:val="TableText0"/>
        <w:rPr>
          <w:rFonts w:cs="Times New Roman"/>
          <w:sz w:val="18"/>
        </w:rPr>
      </w:pPr>
      <w:r w:rsidRPr="00EF472B">
        <w:rPr>
          <w:rFonts w:eastAsia="SimSun" w:cs="Times New Roman"/>
          <w:sz w:val="18"/>
          <w:lang w:eastAsia="zh-CN"/>
        </w:rPr>
        <w:t>Proposed Use Rule and Explanatory Note:</w:t>
      </w:r>
    </w:p>
    <w:p w14:paraId="711AF4D1" w14:textId="77777777" w:rsidR="00031241" w:rsidRPr="00EF472B" w:rsidRDefault="00031241" w:rsidP="00031241">
      <w:pPr>
        <w:pStyle w:val="TableText0"/>
        <w:rPr>
          <w:rFonts w:cs="Times New Roman"/>
          <w:sz w:val="18"/>
        </w:rPr>
      </w:pPr>
      <w:r w:rsidRPr="00EF472B">
        <w:rPr>
          <w:rFonts w:eastAsia="SimSun" w:cs="Times New Roman"/>
          <w:sz w:val="18"/>
          <w:lang w:eastAsia="zh-CN"/>
        </w:rPr>
        <w:t>Rule 25(##):</w:t>
      </w:r>
      <w:r w:rsidRPr="00EF472B">
        <w:rPr>
          <w:rFonts w:cs="Times New Roman"/>
          <w:sz w:val="18"/>
          <w:lang w:eastAsia="zh-CN"/>
        </w:rPr>
        <w:tab/>
      </w:r>
      <w:r w:rsidRPr="00EF472B">
        <w:rPr>
          <w:rFonts w:eastAsia="SimSun" w:cs="Times New Roman"/>
          <w:sz w:val="18"/>
          <w:lang w:eastAsia="zh-CN"/>
        </w:rPr>
        <w:t xml:space="preserve">For any particular patient, item XXXX (HbA1c </w:t>
      </w:r>
      <w:r w:rsidRPr="00EF472B">
        <w:rPr>
          <w:rFonts w:eastAsia="SimSun" w:cs="Times New Roman"/>
          <w:sz w:val="18"/>
        </w:rPr>
        <w:t>Point of Care</w:t>
      </w:r>
      <w:r w:rsidRPr="00EF472B">
        <w:rPr>
          <w:rFonts w:eastAsia="SimSun" w:cs="Times New Roman"/>
          <w:sz w:val="18"/>
          <w:lang w:eastAsia="zh-CN"/>
        </w:rPr>
        <w:t xml:space="preserve"> testing) and item 66551 are not applicable more than four times in total in a </w:t>
      </w:r>
      <w:proofErr w:type="gramStart"/>
      <w:r w:rsidRPr="00EF472B">
        <w:rPr>
          <w:rFonts w:eastAsia="SimSun" w:cs="Times New Roman"/>
          <w:sz w:val="18"/>
          <w:lang w:eastAsia="zh-CN"/>
        </w:rPr>
        <w:t>12 month</w:t>
      </w:r>
      <w:proofErr w:type="gramEnd"/>
      <w:r w:rsidRPr="00EF472B">
        <w:rPr>
          <w:rFonts w:eastAsia="SimSun" w:cs="Times New Roman"/>
          <w:sz w:val="18"/>
          <w:lang w:eastAsia="zh-CN"/>
        </w:rPr>
        <w:t xml:space="preserve"> period, and item XXXX (HbA1c </w:t>
      </w:r>
      <w:r w:rsidRPr="00EF472B">
        <w:rPr>
          <w:rFonts w:eastAsia="SimSun" w:cs="Times New Roman"/>
          <w:sz w:val="18"/>
        </w:rPr>
        <w:t>Point of Care</w:t>
      </w:r>
      <w:r w:rsidRPr="00EF472B">
        <w:rPr>
          <w:rFonts w:eastAsia="SimSun" w:cs="Times New Roman"/>
          <w:sz w:val="18"/>
          <w:lang w:eastAsia="zh-CN"/>
        </w:rPr>
        <w:t xml:space="preserve"> testing) is not applicable more than three times in a 12 month period.</w:t>
      </w:r>
    </w:p>
    <w:p w14:paraId="322EF05C" w14:textId="77777777" w:rsidR="00031241" w:rsidRPr="00EF472B" w:rsidRDefault="00031241" w:rsidP="00031241">
      <w:pPr>
        <w:rPr>
          <w:rFonts w:ascii="Arial Narrow" w:hAnsi="Arial Narrow"/>
          <w:sz w:val="18"/>
        </w:rPr>
      </w:pPr>
      <w:r w:rsidRPr="00EF472B">
        <w:rPr>
          <w:rFonts w:ascii="Arial Narrow" w:eastAsia="SimSun" w:hAnsi="Arial Narrow"/>
          <w:sz w:val="18"/>
          <w:lang w:eastAsia="zh-CN"/>
        </w:rPr>
        <w:t>PR.9</w:t>
      </w:r>
      <w:proofErr w:type="gramStart"/>
      <w:r w:rsidRPr="00EF472B">
        <w:rPr>
          <w:rFonts w:ascii="Arial Narrow" w:eastAsia="SimSun" w:hAnsi="Arial Narrow"/>
          <w:sz w:val="18"/>
          <w:lang w:eastAsia="zh-CN"/>
        </w:rPr>
        <w:t>.#</w:t>
      </w:r>
      <w:proofErr w:type="gramEnd"/>
      <w:r w:rsidRPr="00EF472B">
        <w:rPr>
          <w:rFonts w:ascii="Arial Narrow" w:eastAsia="SimSun" w:hAnsi="Arial Narrow"/>
          <w:sz w:val="18"/>
          <w:lang w:eastAsia="zh-CN"/>
        </w:rPr>
        <w:t># Point of Care in General Practice item</w:t>
      </w:r>
    </w:p>
    <w:p w14:paraId="4DC7CBC4" w14:textId="77777777" w:rsidR="00031241" w:rsidRPr="00EF472B" w:rsidRDefault="00031241" w:rsidP="00031241">
      <w:pPr>
        <w:rPr>
          <w:rFonts w:ascii="Arial Narrow" w:hAnsi="Arial Narrow"/>
          <w:sz w:val="18"/>
        </w:rPr>
      </w:pPr>
      <w:r w:rsidRPr="00EF472B">
        <w:rPr>
          <w:rFonts w:ascii="Arial Narrow" w:eastAsia="SimSun" w:hAnsi="Arial Narrow"/>
          <w:sz w:val="18"/>
          <w:lang w:eastAsia="zh-CN"/>
        </w:rPr>
        <w:t xml:space="preserve">Item number XXXX (HbA1c Point of Care testing) </w:t>
      </w:r>
      <w:proofErr w:type="gramStart"/>
      <w:r w:rsidRPr="00EF472B">
        <w:rPr>
          <w:rFonts w:ascii="Arial Narrow" w:eastAsia="SimSun" w:hAnsi="Arial Narrow"/>
          <w:sz w:val="18"/>
          <w:lang w:eastAsia="zh-CN"/>
        </w:rPr>
        <w:t>can only be performed</w:t>
      </w:r>
      <w:proofErr w:type="gramEnd"/>
      <w:r w:rsidRPr="00EF472B">
        <w:rPr>
          <w:rFonts w:ascii="Arial Narrow" w:eastAsia="SimSun" w:hAnsi="Arial Narrow"/>
          <w:sz w:val="18"/>
          <w:lang w:eastAsia="zh-CN"/>
        </w:rPr>
        <w:t xml:space="preserve"> in the following circumstances:</w:t>
      </w:r>
    </w:p>
    <w:p w14:paraId="04E10FF3" w14:textId="77777777" w:rsidR="00031241" w:rsidRPr="00EF472B" w:rsidRDefault="00031241" w:rsidP="00031241">
      <w:pPr>
        <w:pStyle w:val="ListParagraph"/>
        <w:numPr>
          <w:ilvl w:val="0"/>
          <w:numId w:val="29"/>
        </w:numPr>
        <w:spacing w:after="160" w:line="256" w:lineRule="auto"/>
        <w:rPr>
          <w:rFonts w:ascii="Arial Narrow" w:hAnsi="Arial Narrow"/>
          <w:sz w:val="18"/>
        </w:rPr>
      </w:pPr>
      <w:r w:rsidRPr="00EF472B">
        <w:rPr>
          <w:rFonts w:ascii="Arial Narrow" w:eastAsia="SimSun" w:hAnsi="Arial Narrow"/>
          <w:sz w:val="18"/>
          <w:lang w:eastAsia="zh-CN"/>
        </w:rPr>
        <w:t>the service is rendered by or on behalf of a medical practitioner;</w:t>
      </w:r>
    </w:p>
    <w:p w14:paraId="492D866A" w14:textId="77777777" w:rsidR="00031241" w:rsidRPr="00EF472B" w:rsidRDefault="00031241" w:rsidP="00031241">
      <w:pPr>
        <w:pStyle w:val="ListParagraph"/>
        <w:numPr>
          <w:ilvl w:val="0"/>
          <w:numId w:val="29"/>
        </w:numPr>
        <w:spacing w:after="160" w:line="256" w:lineRule="auto"/>
        <w:rPr>
          <w:rFonts w:ascii="Arial Narrow" w:hAnsi="Arial Narrow"/>
          <w:sz w:val="18"/>
        </w:rPr>
      </w:pPr>
      <w:r w:rsidRPr="00EF472B">
        <w:rPr>
          <w:rFonts w:ascii="Arial Narrow" w:eastAsia="SimSun" w:hAnsi="Arial Narrow"/>
          <w:sz w:val="18"/>
          <w:lang w:eastAsia="zh-CN"/>
        </w:rPr>
        <w:t>the practitioner referred to in paragraph (a), or the organisation for which the practitioner works, is accredited to the RACGP Point of Care Testing Standards; and</w:t>
      </w:r>
    </w:p>
    <w:p w14:paraId="728A5FA1" w14:textId="77777777" w:rsidR="00031241" w:rsidRPr="00EF472B" w:rsidRDefault="00031241" w:rsidP="00031241">
      <w:pPr>
        <w:pStyle w:val="ListParagraph"/>
        <w:numPr>
          <w:ilvl w:val="0"/>
          <w:numId w:val="29"/>
        </w:numPr>
        <w:spacing w:after="160" w:line="256" w:lineRule="auto"/>
        <w:rPr>
          <w:rFonts w:ascii="Arial Narrow" w:hAnsi="Arial Narrow"/>
          <w:sz w:val="18"/>
        </w:rPr>
      </w:pPr>
      <w:r w:rsidRPr="00EF472B">
        <w:rPr>
          <w:rFonts w:ascii="Arial Narrow" w:eastAsia="SimSun" w:hAnsi="Arial Narrow"/>
          <w:sz w:val="18"/>
          <w:lang w:eastAsia="zh-CN"/>
        </w:rPr>
        <w:t>the service is provided in accordance with that accreditation; and</w:t>
      </w:r>
    </w:p>
    <w:p w14:paraId="41839C7F" w14:textId="77777777" w:rsidR="00031241" w:rsidRPr="00031241" w:rsidRDefault="00031241" w:rsidP="00031241">
      <w:pPr>
        <w:pStyle w:val="ListParagraph"/>
        <w:numPr>
          <w:ilvl w:val="0"/>
          <w:numId w:val="29"/>
        </w:numPr>
        <w:spacing w:after="160" w:line="256" w:lineRule="auto"/>
        <w:rPr>
          <w:rFonts w:ascii="Arial Narrow" w:hAnsi="Arial Narrow"/>
          <w:sz w:val="20"/>
        </w:rPr>
      </w:pPr>
      <w:proofErr w:type="gramStart"/>
      <w:r w:rsidRPr="00EF472B">
        <w:rPr>
          <w:rFonts w:ascii="Arial Narrow" w:eastAsia="SimSun" w:hAnsi="Arial Narrow"/>
          <w:sz w:val="18"/>
          <w:lang w:eastAsia="zh-CN"/>
        </w:rPr>
        <w:t>the</w:t>
      </w:r>
      <w:proofErr w:type="gramEnd"/>
      <w:r w:rsidRPr="00EF472B">
        <w:rPr>
          <w:rFonts w:ascii="Arial Narrow" w:eastAsia="SimSun" w:hAnsi="Arial Narrow"/>
          <w:sz w:val="18"/>
          <w:lang w:eastAsia="zh-CN"/>
        </w:rPr>
        <w:t xml:space="preserve"> practitioner referred to in paragraph (a) has determined the service to be necessary for his or her patient.</w:t>
      </w:r>
    </w:p>
    <w:p w14:paraId="71179B76" w14:textId="12B703E9" w:rsidR="00031241" w:rsidRDefault="00031241" w:rsidP="00031241">
      <w:pPr>
        <w:rPr>
          <w:rFonts w:eastAsia="SimSun"/>
          <w:lang w:eastAsia="zh-CN"/>
        </w:rPr>
      </w:pPr>
      <w:r>
        <w:t xml:space="preserve">The resubmission </w:t>
      </w:r>
      <w:r w:rsidR="005C7F8E">
        <w:t>suggested</w:t>
      </w:r>
      <w:r>
        <w:t xml:space="preserve"> the proposed item </w:t>
      </w:r>
      <w:proofErr w:type="gramStart"/>
      <w:r>
        <w:t>is placed</w:t>
      </w:r>
      <w:proofErr w:type="gramEnd"/>
      <w:r>
        <w:t xml:space="preserve"> in </w:t>
      </w:r>
      <w:r w:rsidRPr="00EC7748">
        <w:rPr>
          <w:rFonts w:eastAsia="SimSun"/>
          <w:lang w:eastAsia="zh-CN"/>
        </w:rPr>
        <w:t xml:space="preserve">Group P9 of the </w:t>
      </w:r>
      <w:r>
        <w:rPr>
          <w:rFonts w:eastAsia="SimSun"/>
          <w:lang w:eastAsia="zh-CN"/>
        </w:rPr>
        <w:t xml:space="preserve">MBS. </w:t>
      </w:r>
      <w:proofErr w:type="gramStart"/>
      <w:r w:rsidRPr="00921398">
        <w:rPr>
          <w:rFonts w:eastAsia="SimSun"/>
          <w:lang w:eastAsia="zh-CN"/>
        </w:rPr>
        <w:t>Services in this Group may be performed by a medical practitioner in the practitioner's surgery without the need to obtain Approved Pathology Authority, Approved Pathology Practitioner or Accredited Pathology Laboratory status</w:t>
      </w:r>
      <w:proofErr w:type="gramEnd"/>
      <w:r w:rsidRPr="00921398">
        <w:rPr>
          <w:rFonts w:eastAsia="SimSun"/>
          <w:lang w:eastAsia="zh-CN"/>
        </w:rPr>
        <w:t>.</w:t>
      </w:r>
    </w:p>
    <w:p w14:paraId="5E2D0CA1"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014A75BA" w14:textId="550D8AA1" w:rsidR="00031241" w:rsidRPr="00B02E35" w:rsidRDefault="005C7F8E" w:rsidP="00031241">
      <w:r>
        <w:t>See Application 1431 - Public Summary Document on the MSAC website</w:t>
      </w:r>
      <w:r w:rsidR="00031241">
        <w:rPr>
          <w:szCs w:val="24"/>
        </w:rPr>
        <w:t>.</w:t>
      </w:r>
    </w:p>
    <w:p w14:paraId="20931001" w14:textId="77777777" w:rsidR="00BC1364" w:rsidRPr="00F715D1" w:rsidRDefault="00BC1364" w:rsidP="00F715D1">
      <w:pPr>
        <w:pStyle w:val="Heading1"/>
      </w:pPr>
      <w:r w:rsidRPr="00F715D1">
        <w:t>Proposed intervention’s place in clinical management</w:t>
      </w:r>
    </w:p>
    <w:p w14:paraId="44D9A904" w14:textId="0BC58E46" w:rsidR="00031241" w:rsidRDefault="00031241" w:rsidP="00031241">
      <w:r>
        <w:t>In summary, p</w:t>
      </w:r>
      <w:r w:rsidRPr="00E74353">
        <w:t>ractitioners would perform the proposed medical service under the same circumstances as they would order the existing HbA1c tests and hence the clinical management algorithm will remain the same as current practice.</w:t>
      </w:r>
      <w:r>
        <w:t xml:space="preserve"> Use of HbA1c </w:t>
      </w:r>
      <w:proofErr w:type="spellStart"/>
      <w:r>
        <w:t>PoC</w:t>
      </w:r>
      <w:proofErr w:type="spellEnd"/>
      <w:r>
        <w:t xml:space="preserve"> testing </w:t>
      </w:r>
      <w:proofErr w:type="gramStart"/>
      <w:r>
        <w:t>is expected</w:t>
      </w:r>
      <w:proofErr w:type="gramEnd"/>
      <w:r>
        <w:t xml:space="preserve"> to replace HbA1c pathology laboratory testing. This was unchanged compared with</w:t>
      </w:r>
      <w:r w:rsidRPr="00564274">
        <w:t xml:space="preserve"> the previous application.</w:t>
      </w:r>
    </w:p>
    <w:p w14:paraId="6D35DBB3" w14:textId="77777777" w:rsidR="00BC1364" w:rsidRPr="00F715D1" w:rsidRDefault="00BC1364" w:rsidP="00F715D1">
      <w:pPr>
        <w:pStyle w:val="Heading1"/>
      </w:pPr>
      <w:r w:rsidRPr="00F715D1">
        <w:t xml:space="preserve">Comparator </w:t>
      </w:r>
    </w:p>
    <w:p w14:paraId="31D6168E" w14:textId="7A421A16" w:rsidR="005C7F8E" w:rsidRDefault="00031241" w:rsidP="00031241">
      <w:pPr>
        <w:rPr>
          <w:rFonts w:eastAsia="SimSun"/>
          <w:lang w:eastAsia="zh-CN"/>
        </w:rPr>
      </w:pPr>
      <w:r w:rsidRPr="00E74353">
        <w:t xml:space="preserve">The comparator for HbA1c </w:t>
      </w:r>
      <w:proofErr w:type="spellStart"/>
      <w:r w:rsidRPr="00E74353">
        <w:t>PoC</w:t>
      </w:r>
      <w:proofErr w:type="spellEnd"/>
      <w:r w:rsidRPr="00E74353">
        <w:t xml:space="preserve"> testing is HbA1c testing performed in a laboratory, i.e.</w:t>
      </w:r>
      <w:r w:rsidR="00EC542E">
        <w:t> </w:t>
      </w:r>
      <w:r w:rsidRPr="00996235">
        <w:rPr>
          <w:rFonts w:eastAsia="SimSun"/>
          <w:lang w:eastAsia="zh-CN"/>
        </w:rPr>
        <w:t>HbA1c pathology laboratory testing</w:t>
      </w:r>
      <w:r>
        <w:rPr>
          <w:rFonts w:eastAsia="SimSun"/>
          <w:lang w:eastAsia="zh-CN"/>
        </w:rPr>
        <w:t xml:space="preserve">. </w:t>
      </w:r>
    </w:p>
    <w:p w14:paraId="463A5112" w14:textId="3716692D" w:rsidR="00031241" w:rsidRDefault="00031241" w:rsidP="005C7F8E">
      <w:pPr>
        <w:spacing w:before="240"/>
        <w:rPr>
          <w:rFonts w:eastAsia="SimSun"/>
          <w:lang w:eastAsia="zh-CN"/>
        </w:rPr>
      </w:pPr>
      <w:r>
        <w:rPr>
          <w:rFonts w:eastAsia="SimSun"/>
          <w:lang w:eastAsia="zh-CN"/>
        </w:rPr>
        <w:t xml:space="preserve">MBS item 66551 was listed on 1 November 1998 for management of established diabetes. </w:t>
      </w:r>
      <w:r w:rsidRPr="0040488F">
        <w:rPr>
          <w:rFonts w:eastAsia="SimSun"/>
          <w:lang w:eastAsia="zh-CN"/>
        </w:rPr>
        <w:t>In addition, MBS item 66554 was listed on the same date for the management of pre-existing diabetes where the patient is pregnant.</w:t>
      </w:r>
    </w:p>
    <w:p w14:paraId="464500DF" w14:textId="77777777" w:rsidR="00BC1364" w:rsidRPr="00F715D1" w:rsidRDefault="00BC1364" w:rsidP="00F715D1">
      <w:pPr>
        <w:pStyle w:val="Heading1"/>
      </w:pPr>
      <w:r w:rsidRPr="00F715D1">
        <w:t>Comparative safety</w:t>
      </w:r>
    </w:p>
    <w:p w14:paraId="603F42FA" w14:textId="77777777" w:rsidR="00031241" w:rsidRDefault="00031241" w:rsidP="00031241">
      <w:r>
        <w:t xml:space="preserve">No new evidence </w:t>
      </w:r>
      <w:proofErr w:type="gramStart"/>
      <w:r>
        <w:t>was presented</w:t>
      </w:r>
      <w:proofErr w:type="gramEnd"/>
      <w:r>
        <w:t xml:space="preserve"> in the resubmission </w:t>
      </w:r>
      <w:r w:rsidRPr="003F6DE9">
        <w:t xml:space="preserve">evaluating the safety or effectiveness of HbA1c </w:t>
      </w:r>
      <w:proofErr w:type="spellStart"/>
      <w:r w:rsidRPr="003F6DE9">
        <w:t>PoC</w:t>
      </w:r>
      <w:proofErr w:type="spellEnd"/>
      <w:r w:rsidRPr="003F6DE9">
        <w:t xml:space="preserve"> testing compared with laboratory testing in the proposed patient population</w:t>
      </w:r>
      <w:r>
        <w:t xml:space="preserve">. The </w:t>
      </w:r>
      <w:r w:rsidRPr="004B7CE1">
        <w:rPr>
          <w:rFonts w:eastAsia="SimSun"/>
          <w:lang w:eastAsia="zh-CN"/>
        </w:rPr>
        <w:t xml:space="preserve">MSAC considered that there </w:t>
      </w:r>
      <w:r>
        <w:rPr>
          <w:rFonts w:eastAsia="SimSun"/>
          <w:lang w:eastAsia="zh-CN"/>
        </w:rPr>
        <w:t>were</w:t>
      </w:r>
      <w:r w:rsidRPr="004B7CE1">
        <w:rPr>
          <w:rFonts w:eastAsia="SimSun"/>
          <w:lang w:eastAsia="zh-CN"/>
        </w:rPr>
        <w:t xml:space="preserve"> no significant acute differences in the safety of the HbA1c </w:t>
      </w:r>
      <w:proofErr w:type="spellStart"/>
      <w:r w:rsidRPr="004B7CE1">
        <w:rPr>
          <w:rFonts w:eastAsia="SimSun"/>
          <w:lang w:eastAsia="zh-CN"/>
        </w:rPr>
        <w:t>PoC</w:t>
      </w:r>
      <w:proofErr w:type="spellEnd"/>
      <w:r w:rsidRPr="004B7CE1">
        <w:rPr>
          <w:rFonts w:eastAsia="SimSun"/>
          <w:lang w:eastAsia="zh-CN"/>
        </w:rPr>
        <w:t xml:space="preserve"> testing technique o</w:t>
      </w:r>
      <w:r>
        <w:rPr>
          <w:rFonts w:eastAsia="SimSun"/>
          <w:lang w:eastAsia="zh-CN"/>
        </w:rPr>
        <w:t xml:space="preserve">ver standard laboratory testing </w:t>
      </w:r>
      <w:r>
        <w:t>[1431 PSD 2017, p2].</w:t>
      </w:r>
    </w:p>
    <w:p w14:paraId="75F95419" w14:textId="77777777" w:rsidR="00031241" w:rsidRPr="00031241" w:rsidRDefault="00BC1364" w:rsidP="00031241">
      <w:pPr>
        <w:pStyle w:val="Heading1"/>
      </w:pPr>
      <w:r w:rsidRPr="00F715D1">
        <w:lastRenderedPageBreak/>
        <w:t>Comparative effectiveness</w:t>
      </w:r>
    </w:p>
    <w:p w14:paraId="4A6E0ECA" w14:textId="4912DEF4" w:rsidR="00031241" w:rsidRPr="00031241" w:rsidRDefault="00031241" w:rsidP="000934B8">
      <w:pPr>
        <w:spacing w:after="240"/>
      </w:pPr>
      <w:r>
        <w:t>The resubmission present</w:t>
      </w:r>
      <w:r w:rsidR="005C7F8E">
        <w:t>ed</w:t>
      </w:r>
      <w:r>
        <w:t xml:space="preserve"> an </w:t>
      </w:r>
      <w:r w:rsidRPr="003F6DE9">
        <w:t>updated and more detailed framework in accordance with advi</w:t>
      </w:r>
      <w:r>
        <w:t>ce from MSAC [1431 PSD 2017, p1</w:t>
      </w:r>
      <w:proofErr w:type="gramStart"/>
      <w:r>
        <w:t>]</w:t>
      </w:r>
      <w:r w:rsidRPr="003F6DE9">
        <w:t xml:space="preserve"> which</w:t>
      </w:r>
      <w:proofErr w:type="gramEnd"/>
      <w:r w:rsidRPr="003F6DE9">
        <w:t xml:space="preserve"> was based on the draft RACGP </w:t>
      </w:r>
      <w:proofErr w:type="spellStart"/>
      <w:r w:rsidRPr="003F6DE9">
        <w:t>PoC</w:t>
      </w:r>
      <w:proofErr w:type="spellEnd"/>
      <w:r w:rsidRPr="003F6DE9">
        <w:t xml:space="preserve"> testing Standards</w:t>
      </w:r>
      <w:r>
        <w:t xml:space="preserve">. Note, </w:t>
      </w:r>
      <w:r w:rsidRPr="00BC3E9D">
        <w:t xml:space="preserve">the final Standards </w:t>
      </w:r>
      <w:proofErr w:type="gramStart"/>
      <w:r w:rsidRPr="00BC3E9D">
        <w:t>were provided</w:t>
      </w:r>
      <w:proofErr w:type="gramEnd"/>
      <w:r w:rsidRPr="00BC3E9D">
        <w:t xml:space="preserve"> by the applicant during the </w:t>
      </w:r>
      <w:r>
        <w:t>Critique</w:t>
      </w:r>
      <w:r w:rsidRPr="00BC3E9D">
        <w:t>; the applicant advised that no relevant changes were found between the draft and final RACGP standards, and therefore stated no changes to the test cost were necessary.</w:t>
      </w:r>
    </w:p>
    <w:p w14:paraId="7B3A3285" w14:textId="77777777" w:rsidR="00031241" w:rsidRDefault="00F37B9C" w:rsidP="005C7F8E">
      <w:pPr>
        <w:tabs>
          <w:tab w:val="left" w:pos="720"/>
          <w:tab w:val="left" w:pos="1140"/>
        </w:tabs>
        <w:spacing w:after="120"/>
        <w:rPr>
          <w:b/>
          <w:szCs w:val="24"/>
        </w:rPr>
      </w:pPr>
      <w:r w:rsidRPr="00F37B9C">
        <w:rPr>
          <w:b/>
          <w:szCs w:val="24"/>
        </w:rPr>
        <w:t>Clinical Claim</w:t>
      </w:r>
    </w:p>
    <w:p w14:paraId="607387B6" w14:textId="71A94BF7" w:rsidR="00031241" w:rsidRDefault="00031241" w:rsidP="00F715D1">
      <w:pPr>
        <w:tabs>
          <w:tab w:val="left" w:pos="720"/>
          <w:tab w:val="left" w:pos="1140"/>
        </w:tabs>
        <w:spacing w:after="240"/>
        <w:rPr>
          <w:b/>
          <w:szCs w:val="24"/>
        </w:rPr>
      </w:pPr>
      <w:r>
        <w:rPr>
          <w:rFonts w:eastAsia="SimSun"/>
          <w:lang w:eastAsia="zh-CN"/>
        </w:rPr>
        <w:t>T</w:t>
      </w:r>
      <w:r w:rsidRPr="00EC7748">
        <w:rPr>
          <w:rFonts w:eastAsia="SimSun"/>
          <w:lang w:eastAsia="zh-CN"/>
        </w:rPr>
        <w:t xml:space="preserve">he clinical claim </w:t>
      </w:r>
      <w:r>
        <w:rPr>
          <w:rFonts w:eastAsia="SimSun"/>
          <w:lang w:eastAsia="zh-CN"/>
        </w:rPr>
        <w:t>previously</w:t>
      </w:r>
      <w:r w:rsidRPr="00EC7748">
        <w:rPr>
          <w:rFonts w:eastAsia="SimSun"/>
          <w:lang w:eastAsia="zh-CN"/>
        </w:rPr>
        <w:t xml:space="preserve"> reported remains the same for the purpose of this resubmission.</w:t>
      </w:r>
      <w:r>
        <w:rPr>
          <w:rFonts w:eastAsia="SimSun"/>
          <w:lang w:eastAsia="zh-CN"/>
        </w:rPr>
        <w:t xml:space="preserve"> Specifically, the </w:t>
      </w:r>
      <w:r w:rsidRPr="00EC7748">
        <w:rPr>
          <w:rFonts w:eastAsia="SimSun"/>
          <w:lang w:eastAsia="zh-CN"/>
        </w:rPr>
        <w:t>clinical claim</w:t>
      </w:r>
      <w:r>
        <w:rPr>
          <w:rFonts w:eastAsia="SimSun"/>
          <w:lang w:eastAsia="zh-CN"/>
        </w:rPr>
        <w:t xml:space="preserve"> was</w:t>
      </w:r>
      <w:r w:rsidRPr="00EC7748">
        <w:rPr>
          <w:rFonts w:eastAsia="SimSun"/>
          <w:lang w:eastAsia="zh-CN"/>
        </w:rPr>
        <w:t xml:space="preserve"> that relative to la</w:t>
      </w:r>
      <w:r>
        <w:rPr>
          <w:rFonts w:eastAsia="SimSun"/>
          <w:lang w:eastAsia="zh-CN"/>
        </w:rPr>
        <w:t xml:space="preserve">boratory HbA1c testing, HbA1c </w:t>
      </w:r>
      <w:proofErr w:type="spellStart"/>
      <w:r>
        <w:rPr>
          <w:rFonts w:eastAsia="SimSun"/>
          <w:lang w:eastAsia="zh-CN"/>
        </w:rPr>
        <w:t>Po</w:t>
      </w:r>
      <w:r w:rsidRPr="00EC7748">
        <w:rPr>
          <w:rFonts w:eastAsia="SimSun"/>
          <w:lang w:eastAsia="zh-CN"/>
        </w:rPr>
        <w:t>C</w:t>
      </w:r>
      <w:proofErr w:type="spellEnd"/>
      <w:r w:rsidRPr="00EC7748">
        <w:rPr>
          <w:rFonts w:eastAsia="SimSun"/>
          <w:lang w:eastAsia="zh-CN"/>
        </w:rPr>
        <w:t xml:space="preserve"> testing has non-inferior safety and effectiveness for the man</w:t>
      </w:r>
      <w:r>
        <w:rPr>
          <w:rFonts w:eastAsia="SimSun"/>
          <w:lang w:eastAsia="zh-CN"/>
        </w:rPr>
        <w:t>agement of established diabetes.</w:t>
      </w:r>
    </w:p>
    <w:p w14:paraId="4B2A4628" w14:textId="77777777" w:rsidR="00BC1364" w:rsidRPr="00F715D1" w:rsidRDefault="00BC1364" w:rsidP="00F715D1">
      <w:pPr>
        <w:pStyle w:val="Heading1"/>
      </w:pPr>
      <w:r w:rsidRPr="00F715D1">
        <w:t>Economic evaluation</w:t>
      </w:r>
    </w:p>
    <w:p w14:paraId="32BCC6D9" w14:textId="091FBEEE" w:rsidR="00031241" w:rsidRDefault="00031241" w:rsidP="000934B8">
      <w:pPr>
        <w:spacing w:after="240"/>
      </w:pPr>
      <w:r>
        <w:t xml:space="preserve">The summary of the resubmission’s economic evaluation </w:t>
      </w:r>
      <w:proofErr w:type="gramStart"/>
      <w:r>
        <w:t>is presented</w:t>
      </w:r>
      <w:proofErr w:type="gramEnd"/>
      <w:r>
        <w:t xml:space="preserve"> in </w:t>
      </w:r>
      <w:bookmarkStart w:id="3" w:name="_Ref379483368"/>
      <w:bookmarkStart w:id="4" w:name="_Ref394419656"/>
      <w:bookmarkStart w:id="5" w:name="_Toc534796346"/>
      <w:r w:rsidR="001046A1" w:rsidRPr="00277B4C">
        <w:rPr>
          <w:szCs w:val="24"/>
        </w:rPr>
        <w:fldChar w:fldCharType="begin"/>
      </w:r>
      <w:r w:rsidR="001046A1" w:rsidRPr="00277B4C">
        <w:rPr>
          <w:szCs w:val="24"/>
        </w:rPr>
        <w:instrText xml:space="preserve"> REF _Ref10622108 \h </w:instrText>
      </w:r>
      <w:r w:rsidR="001046A1" w:rsidRPr="00277B4C">
        <w:rPr>
          <w:szCs w:val="24"/>
        </w:rPr>
      </w:r>
      <w:r w:rsidR="00277B4C" w:rsidRPr="00277B4C">
        <w:rPr>
          <w:szCs w:val="24"/>
        </w:rPr>
        <w:instrText xml:space="preserve"> \* MERGEFORMAT </w:instrText>
      </w:r>
      <w:r w:rsidR="001046A1" w:rsidRPr="00277B4C">
        <w:rPr>
          <w:szCs w:val="24"/>
        </w:rPr>
        <w:fldChar w:fldCharType="separate"/>
      </w:r>
      <w:r w:rsidR="00AE4BFA" w:rsidRPr="00277B4C">
        <w:rPr>
          <w:szCs w:val="24"/>
        </w:rPr>
        <w:t xml:space="preserve">Table </w:t>
      </w:r>
      <w:r w:rsidR="00AE4BFA" w:rsidRPr="00277B4C">
        <w:rPr>
          <w:noProof/>
          <w:szCs w:val="24"/>
        </w:rPr>
        <w:t>2</w:t>
      </w:r>
      <w:r w:rsidR="001046A1" w:rsidRPr="00277B4C">
        <w:rPr>
          <w:szCs w:val="24"/>
        </w:rPr>
        <w:fldChar w:fldCharType="end"/>
      </w:r>
      <w:r w:rsidR="000934B8">
        <w:t>.</w:t>
      </w:r>
    </w:p>
    <w:p w14:paraId="0F25306D" w14:textId="59C9735E" w:rsidR="00031241" w:rsidRPr="00995BBA" w:rsidRDefault="00031241" w:rsidP="00995BBA">
      <w:pPr>
        <w:rPr>
          <w:rFonts w:ascii="Arial Narrow" w:hAnsi="Arial Narrow"/>
          <w:b/>
          <w:sz w:val="20"/>
        </w:rPr>
      </w:pPr>
      <w:bookmarkStart w:id="6" w:name="_Ref10622108"/>
      <w:r w:rsidRPr="00995BBA">
        <w:rPr>
          <w:rFonts w:ascii="Arial Narrow" w:hAnsi="Arial Narrow"/>
          <w:b/>
          <w:sz w:val="20"/>
        </w:rPr>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2</w:t>
      </w:r>
      <w:r w:rsidRPr="00995BBA">
        <w:rPr>
          <w:rFonts w:ascii="Arial Narrow" w:hAnsi="Arial Narrow"/>
          <w:b/>
          <w:sz w:val="20"/>
        </w:rPr>
        <w:fldChar w:fldCharType="end"/>
      </w:r>
      <w:bookmarkEnd w:id="3"/>
      <w:bookmarkEnd w:id="6"/>
      <w:r w:rsidRPr="00995BBA">
        <w:rPr>
          <w:rFonts w:ascii="Arial Narrow" w:hAnsi="Arial Narrow"/>
          <w:b/>
          <w:sz w:val="20"/>
        </w:rPr>
        <w:tab/>
        <w:t>Summary of the resubmission’s economic evaluation</w:t>
      </w:r>
      <w:bookmarkEnd w:id="4"/>
      <w:bookmarkEnd w:id="5"/>
      <w:r w:rsidRPr="00995BBA">
        <w:rPr>
          <w:rFonts w:ascii="Arial Narrow" w:hAnsi="Arial Narrow"/>
          <w:b/>
          <w:sz w:val="20"/>
        </w:rPr>
        <w:t xml:space="preserve"> </w:t>
      </w:r>
    </w:p>
    <w:tbl>
      <w:tblPr>
        <w:tblStyle w:val="Summarybox1"/>
        <w:tblW w:w="0" w:type="auto"/>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82"/>
        <w:gridCol w:w="5834"/>
      </w:tblGrid>
      <w:tr w:rsidR="00031241" w:rsidRPr="00183E4D" w14:paraId="2C2FFE85" w14:textId="77777777" w:rsidTr="00995BBA">
        <w:trPr>
          <w:trHeight w:val="20"/>
          <w:tblHeader/>
        </w:trPr>
        <w:tc>
          <w:tcPr>
            <w:tcW w:w="3184" w:type="dxa"/>
          </w:tcPr>
          <w:p w14:paraId="20BF84EA" w14:textId="77777777" w:rsidR="00031241" w:rsidRPr="00183E4D" w:rsidRDefault="00031241" w:rsidP="00135EA6">
            <w:pPr>
              <w:pStyle w:val="Tabletext"/>
              <w:rPr>
                <w:b/>
              </w:rPr>
            </w:pPr>
            <w:r w:rsidRPr="00183E4D">
              <w:rPr>
                <w:b/>
              </w:rPr>
              <w:t>Perspective</w:t>
            </w:r>
          </w:p>
        </w:tc>
        <w:tc>
          <w:tcPr>
            <w:tcW w:w="5837" w:type="dxa"/>
          </w:tcPr>
          <w:p w14:paraId="6E5ACB23" w14:textId="77777777" w:rsidR="00031241" w:rsidRPr="00183E4D" w:rsidRDefault="00031241" w:rsidP="00135EA6">
            <w:pPr>
              <w:pStyle w:val="TableText0"/>
            </w:pPr>
            <w:r w:rsidRPr="002A5B8E">
              <w:rPr>
                <w:rFonts w:eastAsia="SimSun"/>
                <w:szCs w:val="20"/>
                <w:lang w:eastAsia="zh-CN"/>
              </w:rPr>
              <w:t>Australian government</w:t>
            </w:r>
          </w:p>
        </w:tc>
      </w:tr>
      <w:tr w:rsidR="00031241" w:rsidRPr="00183E4D" w14:paraId="06D6B4B5" w14:textId="77777777" w:rsidTr="00995BBA">
        <w:trPr>
          <w:trHeight w:val="20"/>
        </w:trPr>
        <w:tc>
          <w:tcPr>
            <w:tcW w:w="3184" w:type="dxa"/>
          </w:tcPr>
          <w:p w14:paraId="4843F115" w14:textId="77777777" w:rsidR="00031241" w:rsidRPr="00183E4D" w:rsidRDefault="00031241" w:rsidP="00135EA6">
            <w:pPr>
              <w:pStyle w:val="Tabletext"/>
              <w:rPr>
                <w:b/>
              </w:rPr>
            </w:pPr>
            <w:r w:rsidRPr="00183E4D">
              <w:rPr>
                <w:b/>
              </w:rPr>
              <w:t>Comparator</w:t>
            </w:r>
          </w:p>
        </w:tc>
        <w:tc>
          <w:tcPr>
            <w:tcW w:w="5837" w:type="dxa"/>
          </w:tcPr>
          <w:p w14:paraId="71849861" w14:textId="77777777" w:rsidR="00031241" w:rsidRPr="00183E4D" w:rsidRDefault="00031241" w:rsidP="00135EA6">
            <w:pPr>
              <w:pStyle w:val="TableText0"/>
            </w:pPr>
            <w:r w:rsidRPr="002A5B8E">
              <w:rPr>
                <w:rFonts w:eastAsia="SimSun"/>
                <w:szCs w:val="20"/>
                <w:lang w:eastAsia="zh-CN"/>
              </w:rPr>
              <w:t>HbA1c pathology laboratory testing</w:t>
            </w:r>
          </w:p>
        </w:tc>
      </w:tr>
      <w:tr w:rsidR="00031241" w:rsidRPr="00183E4D" w14:paraId="393B723A" w14:textId="77777777" w:rsidTr="00995BBA">
        <w:trPr>
          <w:trHeight w:val="20"/>
        </w:trPr>
        <w:tc>
          <w:tcPr>
            <w:tcW w:w="3184" w:type="dxa"/>
          </w:tcPr>
          <w:p w14:paraId="75DF33C8" w14:textId="77777777" w:rsidR="00031241" w:rsidRPr="00183E4D" w:rsidRDefault="00031241" w:rsidP="00135EA6">
            <w:pPr>
              <w:pStyle w:val="Tabletext"/>
              <w:rPr>
                <w:b/>
              </w:rPr>
            </w:pPr>
            <w:r w:rsidRPr="00183E4D">
              <w:rPr>
                <w:b/>
              </w:rPr>
              <w:t>Type of economic evaluation</w:t>
            </w:r>
          </w:p>
        </w:tc>
        <w:tc>
          <w:tcPr>
            <w:tcW w:w="5837" w:type="dxa"/>
          </w:tcPr>
          <w:p w14:paraId="0ED26A0F" w14:textId="77777777" w:rsidR="00031241" w:rsidRPr="00183E4D" w:rsidRDefault="00031241" w:rsidP="00135EA6">
            <w:pPr>
              <w:pStyle w:val="TableText0"/>
            </w:pPr>
            <w:r>
              <w:t>Cost-minimisation (base case); cost utility provided in sensitivity analysis</w:t>
            </w:r>
          </w:p>
        </w:tc>
      </w:tr>
      <w:tr w:rsidR="00031241" w:rsidRPr="00183E4D" w14:paraId="6C4B64ED" w14:textId="77777777" w:rsidTr="00995BBA">
        <w:trPr>
          <w:trHeight w:val="20"/>
        </w:trPr>
        <w:tc>
          <w:tcPr>
            <w:tcW w:w="3184" w:type="dxa"/>
          </w:tcPr>
          <w:p w14:paraId="3899FE6D" w14:textId="77777777" w:rsidR="00031241" w:rsidRPr="00183E4D" w:rsidRDefault="00031241" w:rsidP="00135EA6">
            <w:pPr>
              <w:pStyle w:val="Tabletext"/>
              <w:rPr>
                <w:b/>
              </w:rPr>
            </w:pPr>
            <w:r w:rsidRPr="00183E4D">
              <w:rPr>
                <w:b/>
              </w:rPr>
              <w:t>Sources of evidence</w:t>
            </w:r>
          </w:p>
        </w:tc>
        <w:tc>
          <w:tcPr>
            <w:tcW w:w="5837" w:type="dxa"/>
          </w:tcPr>
          <w:p w14:paraId="06C26FE5" w14:textId="77777777" w:rsidR="00031241" w:rsidRPr="00183E4D" w:rsidRDefault="00031241" w:rsidP="00135EA6">
            <w:pPr>
              <w:pStyle w:val="TableText0"/>
            </w:pPr>
            <w:r>
              <w:rPr>
                <w:rFonts w:eastAsia="SimSun"/>
                <w:szCs w:val="20"/>
                <w:lang w:eastAsia="zh-CN"/>
              </w:rPr>
              <w:t xml:space="preserve">RCT </w:t>
            </w:r>
            <w:r w:rsidRPr="002A5B8E">
              <w:rPr>
                <w:rFonts w:eastAsia="SimSun"/>
                <w:szCs w:val="20"/>
                <w:lang w:eastAsia="zh-CN"/>
              </w:rPr>
              <w:t xml:space="preserve">of </w:t>
            </w:r>
            <w:proofErr w:type="spellStart"/>
            <w:r w:rsidRPr="002A5B8E">
              <w:rPr>
                <w:rFonts w:eastAsia="SimSun"/>
                <w:szCs w:val="20"/>
                <w:lang w:eastAsia="zh-CN"/>
              </w:rPr>
              <w:t>PoC</w:t>
            </w:r>
            <w:proofErr w:type="spellEnd"/>
            <w:r w:rsidRPr="002A5B8E">
              <w:rPr>
                <w:rFonts w:eastAsia="SimSun"/>
                <w:szCs w:val="20"/>
                <w:lang w:eastAsia="zh-CN"/>
              </w:rPr>
              <w:t xml:space="preserve"> testing in Australia; systematic review of economic evaluations</w:t>
            </w:r>
          </w:p>
        </w:tc>
      </w:tr>
      <w:tr w:rsidR="00031241" w:rsidRPr="00183E4D" w14:paraId="5DDADDB3" w14:textId="77777777" w:rsidTr="00995BBA">
        <w:trPr>
          <w:trHeight w:val="20"/>
        </w:trPr>
        <w:tc>
          <w:tcPr>
            <w:tcW w:w="3184" w:type="dxa"/>
            <w:hideMark/>
          </w:tcPr>
          <w:p w14:paraId="236BD5E8" w14:textId="77777777" w:rsidR="00031241" w:rsidRPr="00183E4D" w:rsidRDefault="00031241" w:rsidP="00135EA6">
            <w:pPr>
              <w:pStyle w:val="Tabletext"/>
              <w:rPr>
                <w:b/>
              </w:rPr>
            </w:pPr>
            <w:r w:rsidRPr="00183E4D">
              <w:rPr>
                <w:b/>
              </w:rPr>
              <w:t>Time horizon</w:t>
            </w:r>
          </w:p>
        </w:tc>
        <w:tc>
          <w:tcPr>
            <w:tcW w:w="5837" w:type="dxa"/>
            <w:hideMark/>
          </w:tcPr>
          <w:p w14:paraId="7AF9D7DB" w14:textId="77777777" w:rsidR="00031241" w:rsidRPr="00183E4D" w:rsidRDefault="00031241" w:rsidP="00135EA6">
            <w:pPr>
              <w:pStyle w:val="TableText0"/>
            </w:pPr>
            <w:r>
              <w:t>3 years</w:t>
            </w:r>
          </w:p>
        </w:tc>
      </w:tr>
      <w:tr w:rsidR="00031241" w:rsidRPr="00183E4D" w14:paraId="42C70E6F" w14:textId="77777777" w:rsidTr="00995BBA">
        <w:trPr>
          <w:trHeight w:val="20"/>
        </w:trPr>
        <w:tc>
          <w:tcPr>
            <w:tcW w:w="3184" w:type="dxa"/>
            <w:hideMark/>
          </w:tcPr>
          <w:p w14:paraId="307800A8" w14:textId="77777777" w:rsidR="00031241" w:rsidRPr="00183E4D" w:rsidRDefault="00031241" w:rsidP="00135EA6">
            <w:pPr>
              <w:pStyle w:val="Tabletext"/>
              <w:rPr>
                <w:b/>
              </w:rPr>
            </w:pPr>
            <w:r w:rsidRPr="00183E4D">
              <w:rPr>
                <w:b/>
              </w:rPr>
              <w:t>Outcomes</w:t>
            </w:r>
          </w:p>
        </w:tc>
        <w:tc>
          <w:tcPr>
            <w:tcW w:w="5837" w:type="dxa"/>
          </w:tcPr>
          <w:p w14:paraId="06BE04B4" w14:textId="77777777" w:rsidR="00031241" w:rsidRPr="00183E4D" w:rsidRDefault="00031241" w:rsidP="00135EA6">
            <w:pPr>
              <w:pStyle w:val="TableText0"/>
            </w:pPr>
            <w:r>
              <w:t>Incremental cost</w:t>
            </w:r>
          </w:p>
        </w:tc>
      </w:tr>
      <w:tr w:rsidR="00031241" w:rsidRPr="00183E4D" w14:paraId="09633E0F" w14:textId="77777777" w:rsidTr="00995BBA">
        <w:trPr>
          <w:trHeight w:val="20"/>
        </w:trPr>
        <w:tc>
          <w:tcPr>
            <w:tcW w:w="3184" w:type="dxa"/>
            <w:hideMark/>
          </w:tcPr>
          <w:p w14:paraId="69819622" w14:textId="77777777" w:rsidR="00031241" w:rsidRPr="00183E4D" w:rsidRDefault="00031241" w:rsidP="00135EA6">
            <w:pPr>
              <w:pStyle w:val="Tabletext"/>
              <w:rPr>
                <w:b/>
              </w:rPr>
            </w:pPr>
            <w:r w:rsidRPr="00183E4D">
              <w:rPr>
                <w:b/>
              </w:rPr>
              <w:t>Methods used to generate results</w:t>
            </w:r>
          </w:p>
        </w:tc>
        <w:tc>
          <w:tcPr>
            <w:tcW w:w="5837" w:type="dxa"/>
          </w:tcPr>
          <w:p w14:paraId="2B698014" w14:textId="77777777" w:rsidR="00031241" w:rsidRPr="00183E4D" w:rsidRDefault="00031241" w:rsidP="00135EA6">
            <w:pPr>
              <w:pStyle w:val="TableText0"/>
            </w:pPr>
            <w:r>
              <w:t>Cost comparison</w:t>
            </w:r>
          </w:p>
        </w:tc>
      </w:tr>
      <w:tr w:rsidR="00031241" w:rsidRPr="00183E4D" w14:paraId="315EF7EE" w14:textId="77777777" w:rsidTr="00995BBA">
        <w:trPr>
          <w:trHeight w:val="20"/>
        </w:trPr>
        <w:tc>
          <w:tcPr>
            <w:tcW w:w="3184" w:type="dxa"/>
            <w:hideMark/>
          </w:tcPr>
          <w:p w14:paraId="3F50812B" w14:textId="77777777" w:rsidR="00031241" w:rsidRPr="00183E4D" w:rsidRDefault="00031241" w:rsidP="00135EA6">
            <w:pPr>
              <w:pStyle w:val="Tabletext"/>
              <w:rPr>
                <w:b/>
              </w:rPr>
            </w:pPr>
            <w:r w:rsidRPr="00183E4D">
              <w:rPr>
                <w:b/>
              </w:rPr>
              <w:t>Cycle length</w:t>
            </w:r>
          </w:p>
        </w:tc>
        <w:tc>
          <w:tcPr>
            <w:tcW w:w="5837" w:type="dxa"/>
          </w:tcPr>
          <w:p w14:paraId="0E781F8C" w14:textId="77777777" w:rsidR="00031241" w:rsidRPr="00183E4D" w:rsidRDefault="00031241" w:rsidP="00135EA6">
            <w:pPr>
              <w:pStyle w:val="TableText0"/>
            </w:pPr>
            <w:r>
              <w:t>3 months</w:t>
            </w:r>
          </w:p>
        </w:tc>
      </w:tr>
      <w:tr w:rsidR="00031241" w:rsidRPr="00183E4D" w14:paraId="0DB0B420" w14:textId="77777777" w:rsidTr="00995BBA">
        <w:trPr>
          <w:trHeight w:val="20"/>
        </w:trPr>
        <w:tc>
          <w:tcPr>
            <w:tcW w:w="3184" w:type="dxa"/>
            <w:hideMark/>
          </w:tcPr>
          <w:p w14:paraId="235A3689" w14:textId="77777777" w:rsidR="00031241" w:rsidRPr="00183E4D" w:rsidRDefault="00031241" w:rsidP="00135EA6">
            <w:pPr>
              <w:pStyle w:val="Tabletext"/>
              <w:rPr>
                <w:b/>
              </w:rPr>
            </w:pPr>
            <w:r w:rsidRPr="00183E4D">
              <w:rPr>
                <w:b/>
              </w:rPr>
              <w:t>Discount rate</w:t>
            </w:r>
          </w:p>
        </w:tc>
        <w:tc>
          <w:tcPr>
            <w:tcW w:w="5837" w:type="dxa"/>
          </w:tcPr>
          <w:p w14:paraId="56EAEDC6" w14:textId="77777777" w:rsidR="00031241" w:rsidRPr="00183E4D" w:rsidRDefault="00031241" w:rsidP="00135EA6">
            <w:pPr>
              <w:pStyle w:val="TableText0"/>
            </w:pPr>
            <w:r>
              <w:t>5% per annum</w:t>
            </w:r>
          </w:p>
        </w:tc>
      </w:tr>
      <w:tr w:rsidR="00031241" w:rsidRPr="00183E4D" w14:paraId="5AFE873C" w14:textId="77777777" w:rsidTr="00995BBA">
        <w:trPr>
          <w:trHeight w:val="20"/>
        </w:trPr>
        <w:tc>
          <w:tcPr>
            <w:tcW w:w="3184" w:type="dxa"/>
            <w:hideMark/>
          </w:tcPr>
          <w:p w14:paraId="4EFAF861" w14:textId="77777777" w:rsidR="00031241" w:rsidRPr="00183E4D" w:rsidRDefault="00031241" w:rsidP="00135EA6">
            <w:pPr>
              <w:pStyle w:val="Tabletext"/>
              <w:rPr>
                <w:b/>
              </w:rPr>
            </w:pPr>
            <w:r w:rsidRPr="00183E4D">
              <w:rPr>
                <w:b/>
              </w:rPr>
              <w:t>Software packages used</w:t>
            </w:r>
          </w:p>
        </w:tc>
        <w:tc>
          <w:tcPr>
            <w:tcW w:w="5837" w:type="dxa"/>
          </w:tcPr>
          <w:p w14:paraId="0D178964" w14:textId="77777777" w:rsidR="00031241" w:rsidRPr="00183E4D" w:rsidRDefault="00031241" w:rsidP="00135EA6">
            <w:pPr>
              <w:pStyle w:val="TableText0"/>
            </w:pPr>
            <w:r>
              <w:t>Microsoft Excel 2016</w:t>
            </w:r>
          </w:p>
        </w:tc>
      </w:tr>
    </w:tbl>
    <w:p w14:paraId="7196F4B1" w14:textId="77777777" w:rsidR="00031241" w:rsidRDefault="00031241" w:rsidP="00031241">
      <w:pPr>
        <w:pStyle w:val="Tablenotes"/>
        <w:rPr>
          <w:rFonts w:eastAsia="SimSun"/>
        </w:rPr>
      </w:pPr>
      <w:r w:rsidRPr="007F4B14">
        <w:rPr>
          <w:rFonts w:eastAsia="SimSun"/>
        </w:rPr>
        <w:t>Source: Extracted from Table 6</w:t>
      </w:r>
      <w:r>
        <w:rPr>
          <w:rFonts w:eastAsia="SimSun"/>
        </w:rPr>
        <w:t>, p19</w:t>
      </w:r>
      <w:r w:rsidRPr="007F4B14">
        <w:rPr>
          <w:rFonts w:eastAsia="SimSun"/>
        </w:rPr>
        <w:t xml:space="preserve"> of the resubmission</w:t>
      </w:r>
    </w:p>
    <w:p w14:paraId="473619B8" w14:textId="77777777" w:rsidR="00031241" w:rsidRDefault="00031241" w:rsidP="00031241">
      <w:pPr>
        <w:pStyle w:val="Tablenotes"/>
        <w:rPr>
          <w:rFonts w:eastAsia="SimSun"/>
        </w:rPr>
      </w:pPr>
      <w:r>
        <w:rPr>
          <w:rFonts w:eastAsia="SimSun"/>
        </w:rPr>
        <w:t xml:space="preserve">HbA1c = glycated haemoglobin; </w:t>
      </w:r>
      <w:proofErr w:type="spellStart"/>
      <w:r>
        <w:rPr>
          <w:rFonts w:eastAsia="SimSun"/>
        </w:rPr>
        <w:t>PoC</w:t>
      </w:r>
      <w:proofErr w:type="spellEnd"/>
      <w:r>
        <w:rPr>
          <w:rFonts w:eastAsia="SimSun"/>
        </w:rPr>
        <w:t xml:space="preserve"> = Point of Care; RCT = r</w:t>
      </w:r>
      <w:r w:rsidRPr="002A5B8E">
        <w:rPr>
          <w:rFonts w:eastAsia="SimSun"/>
        </w:rPr>
        <w:t>andomised controlled trial</w:t>
      </w:r>
    </w:p>
    <w:p w14:paraId="61CB3378" w14:textId="32317637" w:rsidR="00C368DD" w:rsidRPr="00C368DD" w:rsidRDefault="00031241" w:rsidP="000934B8">
      <w:pPr>
        <w:spacing w:before="240" w:after="240"/>
      </w:pPr>
      <w:r>
        <w:t>The overall costs</w:t>
      </w:r>
      <w:r w:rsidRPr="00183E4D">
        <w:t xml:space="preserve"> and incremental costs as calculated for the </w:t>
      </w:r>
      <w:r>
        <w:t>testing strategy</w:t>
      </w:r>
      <w:r w:rsidRPr="00183E4D">
        <w:t xml:space="preserve"> and comparat</w:t>
      </w:r>
      <w:r>
        <w:t>ive testing strategy</w:t>
      </w:r>
      <w:r w:rsidRPr="00183E4D">
        <w:t xml:space="preserve"> in </w:t>
      </w:r>
      <w:r>
        <w:t>the model, and using</w:t>
      </w:r>
      <w:r w:rsidRPr="00183E4D">
        <w:t xml:space="preserve"> the base case assumption</w:t>
      </w:r>
      <w:r w:rsidR="00C368DD">
        <w:t xml:space="preserve">s </w:t>
      </w:r>
      <w:proofErr w:type="gramStart"/>
      <w:r w:rsidR="00C368DD">
        <w:t>are shown</w:t>
      </w:r>
      <w:proofErr w:type="gramEnd"/>
      <w:r w:rsidR="00C368DD">
        <w:t xml:space="preserve"> in </w:t>
      </w:r>
      <w:r w:rsidR="00C368DD" w:rsidRPr="00446965">
        <w:rPr>
          <w:szCs w:val="24"/>
        </w:rPr>
        <w:fldChar w:fldCharType="begin"/>
      </w:r>
      <w:r w:rsidR="00C368DD" w:rsidRPr="00446965">
        <w:rPr>
          <w:szCs w:val="24"/>
        </w:rPr>
        <w:instrText xml:space="preserve"> REF _Ref531788796 \h </w:instrText>
      </w:r>
      <w:r w:rsidR="00C368DD" w:rsidRPr="00446965">
        <w:rPr>
          <w:szCs w:val="24"/>
        </w:rPr>
      </w:r>
      <w:r w:rsidR="00446965" w:rsidRPr="00446965">
        <w:rPr>
          <w:szCs w:val="24"/>
        </w:rPr>
        <w:instrText xml:space="preserve"> \* MERGEFORMAT </w:instrText>
      </w:r>
      <w:r w:rsidR="00C368DD" w:rsidRPr="00446965">
        <w:rPr>
          <w:szCs w:val="24"/>
        </w:rPr>
        <w:fldChar w:fldCharType="separate"/>
      </w:r>
      <w:r w:rsidR="00AE4BFA" w:rsidRPr="00446965">
        <w:rPr>
          <w:rFonts w:eastAsia="SimSun"/>
          <w:szCs w:val="24"/>
        </w:rPr>
        <w:t xml:space="preserve">Table </w:t>
      </w:r>
      <w:r w:rsidR="00AE4BFA" w:rsidRPr="00446965">
        <w:rPr>
          <w:noProof/>
          <w:szCs w:val="24"/>
        </w:rPr>
        <w:t>3</w:t>
      </w:r>
      <w:r w:rsidR="00C368DD" w:rsidRPr="00446965">
        <w:rPr>
          <w:szCs w:val="24"/>
        </w:rPr>
        <w:fldChar w:fldCharType="end"/>
      </w:r>
      <w:r w:rsidR="00C368DD">
        <w:t>.</w:t>
      </w:r>
    </w:p>
    <w:p w14:paraId="2B441498" w14:textId="6C2EA8AF" w:rsidR="00031241" w:rsidRPr="00995BBA" w:rsidRDefault="00031241" w:rsidP="00995BBA">
      <w:pPr>
        <w:rPr>
          <w:rFonts w:ascii="Arial Narrow" w:hAnsi="Arial Narrow"/>
          <w:b/>
          <w:sz w:val="20"/>
        </w:rPr>
      </w:pPr>
      <w:bookmarkStart w:id="7" w:name="_Ref531788796"/>
      <w:bookmarkStart w:id="8" w:name="_Toc534796347"/>
      <w:r w:rsidRPr="00995BBA">
        <w:rPr>
          <w:rFonts w:ascii="Arial Narrow" w:eastAsia="SimSun" w:hAnsi="Arial Narrow"/>
          <w:b/>
          <w:sz w:val="20"/>
        </w:rPr>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3</w:t>
      </w:r>
      <w:r w:rsidRPr="00995BBA">
        <w:rPr>
          <w:rFonts w:ascii="Arial Narrow" w:hAnsi="Arial Narrow"/>
          <w:b/>
          <w:sz w:val="20"/>
        </w:rPr>
        <w:fldChar w:fldCharType="end"/>
      </w:r>
      <w:bookmarkEnd w:id="7"/>
      <w:r w:rsidRPr="00995BBA">
        <w:rPr>
          <w:rFonts w:ascii="Arial Narrow" w:hAnsi="Arial Narrow"/>
          <w:b/>
          <w:sz w:val="20"/>
        </w:rPr>
        <w:tab/>
      </w:r>
      <w:r w:rsidRPr="00995BBA">
        <w:rPr>
          <w:rFonts w:ascii="Arial Narrow" w:hAnsi="Arial Narrow"/>
          <w:b/>
          <w:sz w:val="20"/>
        </w:rPr>
        <w:tab/>
      </w:r>
      <w:r w:rsidRPr="00995BBA">
        <w:rPr>
          <w:rFonts w:ascii="Arial Narrow" w:eastAsia="SimSun" w:hAnsi="Arial Narrow"/>
          <w:b/>
          <w:sz w:val="20"/>
        </w:rPr>
        <w:t>Results of cost-minimisation analysis for HbA1c testing</w:t>
      </w:r>
      <w:bookmarkEnd w:id="8"/>
      <w:r w:rsidRPr="00995BBA">
        <w:rPr>
          <w:rFonts w:ascii="Arial Narrow" w:eastAsia="SimSun" w:hAnsi="Arial Narrow"/>
          <w:b/>
          <w:sz w:val="20"/>
        </w:rPr>
        <w:t xml:space="preserve"> </w:t>
      </w:r>
    </w:p>
    <w:tbl>
      <w:tblPr>
        <w:tblStyle w:val="Summarybox1"/>
        <w:tblW w:w="5000" w:type="pct"/>
        <w:tblLook w:val="04A0" w:firstRow="1" w:lastRow="0" w:firstColumn="1" w:lastColumn="0" w:noHBand="0" w:noVBand="1"/>
        <w:tblCaption w:val="Results of cost-minimisation analysis for HbA1c testing "/>
        <w:tblDescription w:val="discounted and undiscounted incremental cost differences"/>
      </w:tblPr>
      <w:tblGrid>
        <w:gridCol w:w="2873"/>
        <w:gridCol w:w="2048"/>
        <w:gridCol w:w="2048"/>
        <w:gridCol w:w="2047"/>
      </w:tblGrid>
      <w:tr w:rsidR="00031241" w:rsidRPr="00FC25CC" w14:paraId="2A872BBD" w14:textId="77777777" w:rsidTr="00995BBA">
        <w:trPr>
          <w:tblHeader/>
        </w:trPr>
        <w:tc>
          <w:tcPr>
            <w:tcW w:w="1593" w:type="pct"/>
          </w:tcPr>
          <w:p w14:paraId="6DD6D22C" w14:textId="77777777" w:rsidR="00031241" w:rsidRPr="00E45CBC" w:rsidRDefault="00031241" w:rsidP="00135EA6">
            <w:pPr>
              <w:pStyle w:val="Tabletext"/>
              <w:keepNext/>
              <w:rPr>
                <w:b/>
              </w:rPr>
            </w:pPr>
            <w:r w:rsidRPr="00EC7748">
              <w:rPr>
                <w:rFonts w:eastAsia="SimSun"/>
                <w:b/>
                <w:lang w:eastAsia="zh-CN"/>
              </w:rPr>
              <w:t>Step</w:t>
            </w:r>
          </w:p>
        </w:tc>
        <w:tc>
          <w:tcPr>
            <w:tcW w:w="1136" w:type="pct"/>
          </w:tcPr>
          <w:p w14:paraId="6549E2B6" w14:textId="77777777" w:rsidR="00031241" w:rsidRPr="000E1A71" w:rsidRDefault="00031241" w:rsidP="00135EA6">
            <w:pPr>
              <w:pStyle w:val="Tabletext"/>
              <w:keepNext/>
              <w:rPr>
                <w:b/>
                <w:vertAlign w:val="superscript"/>
              </w:rPr>
            </w:pPr>
            <w:proofErr w:type="spellStart"/>
            <w:r>
              <w:rPr>
                <w:rFonts w:eastAsia="SimSun"/>
                <w:b/>
                <w:lang w:eastAsia="zh-CN"/>
              </w:rPr>
              <w:t>Po</w:t>
            </w:r>
            <w:r w:rsidRPr="00EC7748">
              <w:rPr>
                <w:rFonts w:eastAsia="SimSun"/>
                <w:b/>
                <w:lang w:eastAsia="zh-CN"/>
              </w:rPr>
              <w:t>C</w:t>
            </w:r>
            <w:proofErr w:type="spellEnd"/>
            <w:r w:rsidRPr="00EC7748">
              <w:rPr>
                <w:rFonts w:eastAsia="SimSun"/>
                <w:b/>
                <w:lang w:eastAsia="zh-CN"/>
              </w:rPr>
              <w:t xml:space="preserve"> </w:t>
            </w:r>
            <w:proofErr w:type="spellStart"/>
            <w:r w:rsidRPr="00EC7748">
              <w:rPr>
                <w:rFonts w:eastAsia="SimSun"/>
                <w:b/>
                <w:lang w:eastAsia="zh-CN"/>
              </w:rPr>
              <w:t>testing</w:t>
            </w:r>
            <w:r w:rsidRPr="00E16C9F">
              <w:rPr>
                <w:rFonts w:eastAsia="SimSun"/>
                <w:b/>
                <w:i/>
                <w:vertAlign w:val="superscript"/>
                <w:lang w:eastAsia="zh-CN"/>
              </w:rPr>
              <w:t>a</w:t>
            </w:r>
            <w:proofErr w:type="spellEnd"/>
          </w:p>
        </w:tc>
        <w:tc>
          <w:tcPr>
            <w:tcW w:w="1136" w:type="pct"/>
          </w:tcPr>
          <w:p w14:paraId="5E8B3C5A" w14:textId="77777777" w:rsidR="00031241" w:rsidRPr="000E1A71" w:rsidRDefault="00031241" w:rsidP="00135EA6">
            <w:pPr>
              <w:pStyle w:val="Tabletext"/>
              <w:keepNext/>
              <w:rPr>
                <w:b/>
                <w:color w:val="C00000"/>
                <w:vertAlign w:val="superscript"/>
              </w:rPr>
            </w:pPr>
            <w:r w:rsidRPr="00EC7748">
              <w:rPr>
                <w:rFonts w:eastAsia="SimSun"/>
                <w:b/>
                <w:lang w:eastAsia="zh-CN"/>
              </w:rPr>
              <w:t xml:space="preserve">Pathology laboratory </w:t>
            </w:r>
            <w:proofErr w:type="spellStart"/>
            <w:r w:rsidRPr="00EC7748">
              <w:rPr>
                <w:rFonts w:eastAsia="SimSun"/>
                <w:b/>
                <w:lang w:eastAsia="zh-CN"/>
              </w:rPr>
              <w:t>testing</w:t>
            </w:r>
            <w:r w:rsidRPr="00BC3E9D">
              <w:rPr>
                <w:rFonts w:eastAsia="SimSun"/>
                <w:b/>
                <w:vertAlign w:val="superscript"/>
                <w:lang w:eastAsia="zh-CN"/>
              </w:rPr>
              <w:t>a</w:t>
            </w:r>
            <w:proofErr w:type="spellEnd"/>
          </w:p>
        </w:tc>
        <w:tc>
          <w:tcPr>
            <w:tcW w:w="1136" w:type="pct"/>
          </w:tcPr>
          <w:p w14:paraId="1E97398A" w14:textId="77777777" w:rsidR="00031241" w:rsidRPr="00FC25CC" w:rsidRDefault="00031241" w:rsidP="00135EA6">
            <w:pPr>
              <w:pStyle w:val="Tabletext"/>
              <w:keepNext/>
              <w:rPr>
                <w:b/>
              </w:rPr>
            </w:pPr>
            <w:r w:rsidRPr="00EC7748">
              <w:rPr>
                <w:rFonts w:eastAsia="SimSun"/>
                <w:b/>
                <w:lang w:eastAsia="zh-CN"/>
              </w:rPr>
              <w:t>Incremental difference</w:t>
            </w:r>
          </w:p>
        </w:tc>
      </w:tr>
      <w:tr w:rsidR="00031241" w:rsidRPr="00E45CBC" w14:paraId="2BB4270B" w14:textId="77777777" w:rsidTr="00995BBA">
        <w:tc>
          <w:tcPr>
            <w:tcW w:w="1593" w:type="pct"/>
          </w:tcPr>
          <w:p w14:paraId="1EA5CBE0" w14:textId="77777777" w:rsidR="00031241" w:rsidRPr="00F833E9" w:rsidRDefault="00031241" w:rsidP="00135EA6">
            <w:pPr>
              <w:pStyle w:val="Tabletext"/>
              <w:keepNext/>
              <w:rPr>
                <w:b/>
                <w:szCs w:val="18"/>
                <w:vertAlign w:val="superscript"/>
              </w:rPr>
            </w:pPr>
            <w:r w:rsidRPr="000E361C">
              <w:rPr>
                <w:rFonts w:eastAsia="SimSun"/>
                <w:b/>
                <w:szCs w:val="18"/>
                <w:lang w:eastAsia="zh-CN"/>
              </w:rPr>
              <w:t>Step 1: 18 months (Trial-based)</w:t>
            </w:r>
            <w:r w:rsidRPr="00E16C9F">
              <w:rPr>
                <w:rFonts w:eastAsia="SimSun"/>
                <w:b/>
                <w:i/>
                <w:szCs w:val="18"/>
                <w:vertAlign w:val="superscript"/>
                <w:lang w:eastAsia="zh-CN"/>
              </w:rPr>
              <w:t>b</w:t>
            </w:r>
          </w:p>
        </w:tc>
        <w:tc>
          <w:tcPr>
            <w:tcW w:w="1136" w:type="pct"/>
          </w:tcPr>
          <w:p w14:paraId="598B1E86" w14:textId="77777777" w:rsidR="00031241" w:rsidRPr="000E361C" w:rsidRDefault="00031241" w:rsidP="00135EA6">
            <w:pPr>
              <w:pStyle w:val="Tabletext"/>
              <w:keepNext/>
              <w:rPr>
                <w:szCs w:val="18"/>
              </w:rPr>
            </w:pPr>
          </w:p>
        </w:tc>
        <w:tc>
          <w:tcPr>
            <w:tcW w:w="1136" w:type="pct"/>
          </w:tcPr>
          <w:p w14:paraId="491EE5D4" w14:textId="77777777" w:rsidR="00031241" w:rsidRPr="000E361C" w:rsidRDefault="00031241" w:rsidP="00135EA6">
            <w:pPr>
              <w:pStyle w:val="Tabletext"/>
              <w:keepNext/>
              <w:rPr>
                <w:szCs w:val="18"/>
              </w:rPr>
            </w:pPr>
          </w:p>
        </w:tc>
        <w:tc>
          <w:tcPr>
            <w:tcW w:w="1136" w:type="pct"/>
          </w:tcPr>
          <w:p w14:paraId="4163C61D" w14:textId="77777777" w:rsidR="00031241" w:rsidRPr="000E361C" w:rsidRDefault="00031241" w:rsidP="00135EA6">
            <w:pPr>
              <w:pStyle w:val="Tabletext"/>
              <w:keepNext/>
              <w:rPr>
                <w:szCs w:val="18"/>
              </w:rPr>
            </w:pPr>
          </w:p>
        </w:tc>
      </w:tr>
      <w:tr w:rsidR="00031241" w:rsidRPr="00E45CBC" w14:paraId="27B1BEF1" w14:textId="77777777" w:rsidTr="00995BBA">
        <w:tc>
          <w:tcPr>
            <w:tcW w:w="1593" w:type="pct"/>
          </w:tcPr>
          <w:p w14:paraId="394AA90A" w14:textId="77777777" w:rsidR="00031241" w:rsidRPr="000E361C" w:rsidRDefault="00031241" w:rsidP="00135EA6">
            <w:pPr>
              <w:pStyle w:val="Tabletext"/>
              <w:keepNext/>
              <w:rPr>
                <w:szCs w:val="18"/>
              </w:rPr>
            </w:pPr>
            <w:r w:rsidRPr="000E361C">
              <w:rPr>
                <w:rFonts w:eastAsia="SimSun"/>
                <w:szCs w:val="18"/>
                <w:lang w:eastAsia="zh-CN"/>
              </w:rPr>
              <w:t>Cost</w:t>
            </w:r>
          </w:p>
        </w:tc>
        <w:tc>
          <w:tcPr>
            <w:tcW w:w="1136" w:type="pct"/>
          </w:tcPr>
          <w:p w14:paraId="0043A886" w14:textId="77777777" w:rsidR="00031241" w:rsidRPr="000E361C" w:rsidRDefault="00031241" w:rsidP="00135EA6">
            <w:pPr>
              <w:pStyle w:val="Tabletext"/>
              <w:keepNext/>
              <w:jc w:val="center"/>
              <w:rPr>
                <w:szCs w:val="18"/>
              </w:rPr>
            </w:pPr>
            <w:r w:rsidRPr="000E361C">
              <w:rPr>
                <w:rFonts w:eastAsia="SimSun"/>
                <w:szCs w:val="18"/>
                <w:lang w:eastAsia="zh-CN"/>
              </w:rPr>
              <w:t>$147.18</w:t>
            </w:r>
          </w:p>
        </w:tc>
        <w:tc>
          <w:tcPr>
            <w:tcW w:w="1136" w:type="pct"/>
          </w:tcPr>
          <w:p w14:paraId="3EA4BF86" w14:textId="77777777" w:rsidR="00031241" w:rsidRPr="000E361C" w:rsidRDefault="00031241" w:rsidP="00135EA6">
            <w:pPr>
              <w:pStyle w:val="Tabletext"/>
              <w:keepNext/>
              <w:jc w:val="center"/>
              <w:rPr>
                <w:szCs w:val="18"/>
              </w:rPr>
            </w:pPr>
            <w:r w:rsidRPr="000E361C">
              <w:rPr>
                <w:rFonts w:eastAsia="SimSun"/>
                <w:szCs w:val="18"/>
                <w:lang w:eastAsia="zh-CN"/>
              </w:rPr>
              <w:t>$148.18</w:t>
            </w:r>
          </w:p>
        </w:tc>
        <w:tc>
          <w:tcPr>
            <w:tcW w:w="1136" w:type="pct"/>
          </w:tcPr>
          <w:p w14:paraId="51543CEA" w14:textId="77777777" w:rsidR="00031241" w:rsidRPr="000E361C" w:rsidRDefault="00031241" w:rsidP="00135EA6">
            <w:pPr>
              <w:pStyle w:val="Tabletext"/>
              <w:keepNext/>
              <w:jc w:val="center"/>
              <w:rPr>
                <w:szCs w:val="18"/>
              </w:rPr>
            </w:pPr>
            <w:r w:rsidRPr="000E361C">
              <w:rPr>
                <w:rFonts w:eastAsia="SimSun"/>
                <w:szCs w:val="18"/>
                <w:lang w:eastAsia="zh-CN"/>
              </w:rPr>
              <w:t>-$1.00</w:t>
            </w:r>
          </w:p>
        </w:tc>
      </w:tr>
      <w:tr w:rsidR="00031241" w:rsidRPr="00E45CBC" w14:paraId="0ACBD1CC" w14:textId="77777777" w:rsidTr="00995BBA">
        <w:tc>
          <w:tcPr>
            <w:tcW w:w="1593" w:type="pct"/>
          </w:tcPr>
          <w:p w14:paraId="68F6E689" w14:textId="77777777" w:rsidR="00031241" w:rsidRPr="000E361C" w:rsidRDefault="00031241" w:rsidP="00135EA6">
            <w:pPr>
              <w:pStyle w:val="Tabletext"/>
              <w:keepNext/>
              <w:rPr>
                <w:szCs w:val="18"/>
              </w:rPr>
            </w:pPr>
            <w:r w:rsidRPr="000E361C">
              <w:rPr>
                <w:rFonts w:eastAsia="SimSun"/>
                <w:szCs w:val="18"/>
                <w:lang w:val="en-US" w:eastAsia="zh-CN"/>
              </w:rPr>
              <w:t>Cost (discounted)</w:t>
            </w:r>
          </w:p>
        </w:tc>
        <w:tc>
          <w:tcPr>
            <w:tcW w:w="1136" w:type="pct"/>
          </w:tcPr>
          <w:p w14:paraId="62F6FE71" w14:textId="77777777" w:rsidR="00031241" w:rsidRPr="000E361C" w:rsidRDefault="00031241" w:rsidP="00135EA6">
            <w:pPr>
              <w:pStyle w:val="Tabletext"/>
              <w:keepNext/>
              <w:jc w:val="center"/>
              <w:rPr>
                <w:szCs w:val="18"/>
              </w:rPr>
            </w:pPr>
            <w:r w:rsidRPr="000E361C">
              <w:rPr>
                <w:rFonts w:eastAsia="SimSun"/>
                <w:szCs w:val="18"/>
                <w:lang w:eastAsia="zh-CN"/>
              </w:rPr>
              <w:t>$141.80</w:t>
            </w:r>
          </w:p>
        </w:tc>
        <w:tc>
          <w:tcPr>
            <w:tcW w:w="1136" w:type="pct"/>
          </w:tcPr>
          <w:p w14:paraId="388C2BBD" w14:textId="77777777" w:rsidR="00031241" w:rsidRPr="000E361C" w:rsidRDefault="00031241" w:rsidP="00135EA6">
            <w:pPr>
              <w:pStyle w:val="Tabletext"/>
              <w:keepNext/>
              <w:jc w:val="center"/>
              <w:rPr>
                <w:szCs w:val="18"/>
              </w:rPr>
            </w:pPr>
            <w:r w:rsidRPr="000E361C">
              <w:rPr>
                <w:rFonts w:eastAsia="SimSun"/>
                <w:szCs w:val="18"/>
                <w:lang w:eastAsia="zh-CN"/>
              </w:rPr>
              <w:t>$142.76</w:t>
            </w:r>
          </w:p>
        </w:tc>
        <w:tc>
          <w:tcPr>
            <w:tcW w:w="1136" w:type="pct"/>
          </w:tcPr>
          <w:p w14:paraId="7476C0B5" w14:textId="77777777" w:rsidR="00031241" w:rsidRPr="000E361C" w:rsidRDefault="00031241" w:rsidP="00135EA6">
            <w:pPr>
              <w:pStyle w:val="Tabletext"/>
              <w:keepNext/>
              <w:jc w:val="center"/>
              <w:rPr>
                <w:szCs w:val="18"/>
              </w:rPr>
            </w:pPr>
            <w:r w:rsidRPr="000E361C">
              <w:rPr>
                <w:rFonts w:eastAsia="SimSun"/>
                <w:szCs w:val="18"/>
                <w:lang w:eastAsia="zh-CN"/>
              </w:rPr>
              <w:t>-$0.96</w:t>
            </w:r>
          </w:p>
        </w:tc>
      </w:tr>
      <w:tr w:rsidR="00031241" w:rsidRPr="00E45CBC" w14:paraId="1BDA803F" w14:textId="77777777" w:rsidTr="00995BBA">
        <w:tc>
          <w:tcPr>
            <w:tcW w:w="1593" w:type="pct"/>
          </w:tcPr>
          <w:p w14:paraId="483C4445" w14:textId="77777777" w:rsidR="00031241" w:rsidRPr="00F833E9" w:rsidRDefault="00031241" w:rsidP="00135EA6">
            <w:pPr>
              <w:pStyle w:val="Tabletext"/>
              <w:keepNext/>
              <w:rPr>
                <w:b/>
                <w:szCs w:val="18"/>
                <w:vertAlign w:val="superscript"/>
              </w:rPr>
            </w:pPr>
            <w:r>
              <w:rPr>
                <w:rFonts w:eastAsia="SimSun"/>
                <w:b/>
                <w:szCs w:val="18"/>
                <w:lang w:eastAsia="zh-CN"/>
              </w:rPr>
              <w:t>Step 2: 3 years (base-case)</w:t>
            </w:r>
            <w:r w:rsidRPr="00E16C9F">
              <w:rPr>
                <w:rFonts w:eastAsia="SimSun"/>
                <w:b/>
                <w:i/>
                <w:szCs w:val="18"/>
                <w:vertAlign w:val="superscript"/>
                <w:lang w:eastAsia="zh-CN"/>
              </w:rPr>
              <w:t>b</w:t>
            </w:r>
          </w:p>
        </w:tc>
        <w:tc>
          <w:tcPr>
            <w:tcW w:w="1136" w:type="pct"/>
          </w:tcPr>
          <w:p w14:paraId="4B13D7A5" w14:textId="77777777" w:rsidR="00031241" w:rsidRPr="000E361C" w:rsidRDefault="00031241" w:rsidP="00135EA6">
            <w:pPr>
              <w:pStyle w:val="Tabletext"/>
              <w:keepNext/>
              <w:rPr>
                <w:szCs w:val="18"/>
              </w:rPr>
            </w:pPr>
            <w:r w:rsidRPr="000E361C">
              <w:rPr>
                <w:rFonts w:eastAsia="SimSun"/>
                <w:b/>
                <w:szCs w:val="18"/>
                <w:lang w:eastAsia="zh-CN"/>
              </w:rPr>
              <w:t>(modelled)</w:t>
            </w:r>
          </w:p>
        </w:tc>
        <w:tc>
          <w:tcPr>
            <w:tcW w:w="1136" w:type="pct"/>
          </w:tcPr>
          <w:p w14:paraId="5344A0D8" w14:textId="77777777" w:rsidR="00031241" w:rsidRPr="000E361C" w:rsidRDefault="00031241" w:rsidP="00135EA6">
            <w:pPr>
              <w:pStyle w:val="Tabletext"/>
              <w:keepNext/>
              <w:rPr>
                <w:szCs w:val="18"/>
              </w:rPr>
            </w:pPr>
          </w:p>
        </w:tc>
        <w:tc>
          <w:tcPr>
            <w:tcW w:w="1136" w:type="pct"/>
          </w:tcPr>
          <w:p w14:paraId="0ADB5863" w14:textId="77777777" w:rsidR="00031241" w:rsidRPr="000E361C" w:rsidRDefault="00031241" w:rsidP="00135EA6">
            <w:pPr>
              <w:pStyle w:val="Tabletext"/>
              <w:keepNext/>
              <w:rPr>
                <w:szCs w:val="18"/>
              </w:rPr>
            </w:pPr>
          </w:p>
        </w:tc>
      </w:tr>
      <w:tr w:rsidR="00031241" w:rsidRPr="00E45CBC" w14:paraId="431E981D" w14:textId="77777777" w:rsidTr="00995BBA">
        <w:tc>
          <w:tcPr>
            <w:tcW w:w="1593" w:type="pct"/>
          </w:tcPr>
          <w:p w14:paraId="28769FCB" w14:textId="77777777" w:rsidR="00031241" w:rsidRPr="000E361C" w:rsidRDefault="00031241" w:rsidP="00135EA6">
            <w:pPr>
              <w:pStyle w:val="Tabletext"/>
              <w:keepNext/>
              <w:rPr>
                <w:szCs w:val="18"/>
              </w:rPr>
            </w:pPr>
            <w:r w:rsidRPr="000E361C">
              <w:rPr>
                <w:rFonts w:eastAsia="SimSun"/>
                <w:szCs w:val="18"/>
                <w:lang w:val="en-US" w:eastAsia="zh-CN"/>
              </w:rPr>
              <w:t xml:space="preserve">Cost </w:t>
            </w:r>
          </w:p>
        </w:tc>
        <w:tc>
          <w:tcPr>
            <w:tcW w:w="1136" w:type="pct"/>
          </w:tcPr>
          <w:p w14:paraId="69DCFD58" w14:textId="77777777" w:rsidR="00031241" w:rsidRPr="000E361C" w:rsidRDefault="00031241" w:rsidP="00135EA6">
            <w:pPr>
              <w:pStyle w:val="Tabletext"/>
              <w:keepNext/>
              <w:jc w:val="center"/>
              <w:rPr>
                <w:szCs w:val="18"/>
              </w:rPr>
            </w:pPr>
            <w:r w:rsidRPr="000E361C">
              <w:rPr>
                <w:rFonts w:eastAsia="SimSun"/>
                <w:szCs w:val="18"/>
                <w:lang w:eastAsia="zh-CN"/>
              </w:rPr>
              <w:t>$271.75</w:t>
            </w:r>
          </w:p>
        </w:tc>
        <w:tc>
          <w:tcPr>
            <w:tcW w:w="1136" w:type="pct"/>
          </w:tcPr>
          <w:p w14:paraId="5DF00790" w14:textId="77777777" w:rsidR="00031241" w:rsidRPr="000E361C" w:rsidRDefault="00031241" w:rsidP="00135EA6">
            <w:pPr>
              <w:pStyle w:val="Tabletext"/>
              <w:keepNext/>
              <w:jc w:val="center"/>
              <w:rPr>
                <w:szCs w:val="18"/>
              </w:rPr>
            </w:pPr>
            <w:r w:rsidRPr="000E361C">
              <w:rPr>
                <w:rFonts w:eastAsia="SimSun"/>
                <w:szCs w:val="18"/>
                <w:lang w:eastAsia="zh-CN"/>
              </w:rPr>
              <w:t>$273.55</w:t>
            </w:r>
          </w:p>
        </w:tc>
        <w:tc>
          <w:tcPr>
            <w:tcW w:w="1136" w:type="pct"/>
          </w:tcPr>
          <w:p w14:paraId="5C5EFD0C" w14:textId="77777777" w:rsidR="00031241" w:rsidRPr="000E361C" w:rsidRDefault="00031241" w:rsidP="00135EA6">
            <w:pPr>
              <w:pStyle w:val="Tabletext"/>
              <w:keepNext/>
              <w:jc w:val="center"/>
              <w:rPr>
                <w:szCs w:val="18"/>
              </w:rPr>
            </w:pPr>
            <w:r w:rsidRPr="000E361C">
              <w:rPr>
                <w:rFonts w:eastAsia="SimSun"/>
                <w:szCs w:val="18"/>
                <w:lang w:eastAsia="zh-CN"/>
              </w:rPr>
              <w:t>-$1.80</w:t>
            </w:r>
          </w:p>
        </w:tc>
      </w:tr>
      <w:tr w:rsidR="00031241" w:rsidRPr="00E45CBC" w14:paraId="6103153C" w14:textId="77777777" w:rsidTr="00995BBA">
        <w:tc>
          <w:tcPr>
            <w:tcW w:w="1593" w:type="pct"/>
          </w:tcPr>
          <w:p w14:paraId="07BE79D0" w14:textId="77777777" w:rsidR="00031241" w:rsidRPr="000E361C" w:rsidRDefault="00031241" w:rsidP="00135EA6">
            <w:pPr>
              <w:pStyle w:val="Tabletext"/>
              <w:keepNext/>
              <w:rPr>
                <w:szCs w:val="18"/>
              </w:rPr>
            </w:pPr>
            <w:r w:rsidRPr="000E361C">
              <w:rPr>
                <w:rFonts w:eastAsia="SimSun"/>
                <w:szCs w:val="18"/>
                <w:lang w:val="en-US" w:eastAsia="zh-CN"/>
              </w:rPr>
              <w:t>Cost (discounted)</w:t>
            </w:r>
          </w:p>
        </w:tc>
        <w:tc>
          <w:tcPr>
            <w:tcW w:w="1136" w:type="pct"/>
          </w:tcPr>
          <w:p w14:paraId="3153DBE8" w14:textId="77777777" w:rsidR="00031241" w:rsidRPr="000E361C" w:rsidRDefault="00031241" w:rsidP="00135EA6">
            <w:pPr>
              <w:pStyle w:val="Tabletext"/>
              <w:keepNext/>
              <w:jc w:val="center"/>
              <w:rPr>
                <w:szCs w:val="18"/>
              </w:rPr>
            </w:pPr>
            <w:r w:rsidRPr="000E361C">
              <w:rPr>
                <w:rFonts w:eastAsia="SimSun"/>
                <w:szCs w:val="18"/>
                <w:lang w:eastAsia="zh-CN"/>
              </w:rPr>
              <w:t>$252.83</w:t>
            </w:r>
          </w:p>
        </w:tc>
        <w:tc>
          <w:tcPr>
            <w:tcW w:w="1136" w:type="pct"/>
          </w:tcPr>
          <w:p w14:paraId="792827B9" w14:textId="77777777" w:rsidR="00031241" w:rsidRPr="000E361C" w:rsidRDefault="00031241" w:rsidP="00135EA6">
            <w:pPr>
              <w:pStyle w:val="Tabletext"/>
              <w:keepNext/>
              <w:jc w:val="center"/>
              <w:rPr>
                <w:szCs w:val="18"/>
              </w:rPr>
            </w:pPr>
            <w:r w:rsidRPr="000E361C">
              <w:rPr>
                <w:rFonts w:eastAsia="SimSun"/>
                <w:szCs w:val="18"/>
                <w:lang w:eastAsia="zh-CN"/>
              </w:rPr>
              <w:t>$254.50</w:t>
            </w:r>
          </w:p>
        </w:tc>
        <w:tc>
          <w:tcPr>
            <w:tcW w:w="1136" w:type="pct"/>
          </w:tcPr>
          <w:p w14:paraId="1488D93F" w14:textId="77777777" w:rsidR="00031241" w:rsidRPr="000E361C" w:rsidRDefault="00031241" w:rsidP="00135EA6">
            <w:pPr>
              <w:pStyle w:val="Tabletext"/>
              <w:keepNext/>
              <w:jc w:val="center"/>
              <w:rPr>
                <w:szCs w:val="18"/>
              </w:rPr>
            </w:pPr>
            <w:r w:rsidRPr="000E361C">
              <w:rPr>
                <w:rFonts w:eastAsia="SimSun"/>
                <w:szCs w:val="18"/>
                <w:lang w:eastAsia="zh-CN"/>
              </w:rPr>
              <w:t>-$1.67</w:t>
            </w:r>
          </w:p>
        </w:tc>
      </w:tr>
    </w:tbl>
    <w:p w14:paraId="4E528659" w14:textId="77777777" w:rsidR="00031241" w:rsidRPr="00195AAE" w:rsidRDefault="00031241" w:rsidP="00031241">
      <w:pPr>
        <w:pStyle w:val="Tablenotes"/>
        <w:rPr>
          <w:rFonts w:eastAsia="SimSun"/>
        </w:rPr>
      </w:pPr>
      <w:r>
        <w:rPr>
          <w:rFonts w:eastAsia="SimSun"/>
        </w:rPr>
        <w:t>Source: Table 12, p31 of the resubmission</w:t>
      </w:r>
    </w:p>
    <w:p w14:paraId="4EF8DF38" w14:textId="77777777" w:rsidR="00031241" w:rsidRPr="00E16C9F" w:rsidRDefault="00031241" w:rsidP="00031241">
      <w:pPr>
        <w:pStyle w:val="Tablenotes"/>
        <w:rPr>
          <w:rFonts w:eastAsia="SimSun"/>
        </w:rPr>
      </w:pPr>
      <w:r w:rsidRPr="00E16C9F">
        <w:rPr>
          <w:rFonts w:eastAsia="SimSun"/>
        </w:rPr>
        <w:t xml:space="preserve">GP = general practitioner; HbA1c = glycated haemoglobin; </w:t>
      </w:r>
      <w:proofErr w:type="spellStart"/>
      <w:r w:rsidRPr="00E16C9F">
        <w:rPr>
          <w:rFonts w:eastAsia="SimSun"/>
        </w:rPr>
        <w:t>PoC</w:t>
      </w:r>
      <w:proofErr w:type="spellEnd"/>
      <w:r w:rsidRPr="00E16C9F">
        <w:rPr>
          <w:rFonts w:eastAsia="SimSun"/>
        </w:rPr>
        <w:t xml:space="preserve"> = Point of Care</w:t>
      </w:r>
    </w:p>
    <w:p w14:paraId="3C984DD9" w14:textId="77777777" w:rsidR="00031241" w:rsidRPr="00E16C9F" w:rsidRDefault="00031241" w:rsidP="00031241">
      <w:pPr>
        <w:pStyle w:val="Tablecaption"/>
        <w:rPr>
          <w:rFonts w:eastAsia="SimSun"/>
          <w:i/>
          <w:sz w:val="18"/>
        </w:rPr>
      </w:pPr>
      <w:proofErr w:type="spellStart"/>
      <w:proofErr w:type="gramStart"/>
      <w:r w:rsidRPr="00E16C9F">
        <w:rPr>
          <w:rFonts w:eastAsia="SimSun"/>
          <w:i/>
          <w:sz w:val="18"/>
          <w:vertAlign w:val="superscript"/>
        </w:rPr>
        <w:t>a</w:t>
      </w:r>
      <w:proofErr w:type="spellEnd"/>
      <w:proofErr w:type="gramEnd"/>
      <w:r w:rsidRPr="00E16C9F">
        <w:rPr>
          <w:rFonts w:eastAsia="SimSun"/>
          <w:i/>
          <w:sz w:val="18"/>
          <w:vertAlign w:val="superscript"/>
        </w:rPr>
        <w:t xml:space="preserve"> </w:t>
      </w:r>
      <w:r w:rsidRPr="00E16C9F">
        <w:rPr>
          <w:rFonts w:eastAsia="SimSun"/>
          <w:i/>
          <w:sz w:val="18"/>
        </w:rPr>
        <w:t xml:space="preserve">In each model arm, 1 coned (34% taken from </w:t>
      </w:r>
      <w:proofErr w:type="spellStart"/>
      <w:r w:rsidRPr="00E16C9F">
        <w:rPr>
          <w:rFonts w:eastAsia="SimSun"/>
          <w:i/>
          <w:sz w:val="18"/>
        </w:rPr>
        <w:t>PoC</w:t>
      </w:r>
      <w:proofErr w:type="spellEnd"/>
      <w:r w:rsidRPr="00E16C9F">
        <w:rPr>
          <w:rFonts w:eastAsia="SimSun"/>
          <w:i/>
          <w:sz w:val="18"/>
        </w:rPr>
        <w:t xml:space="preserve"> test GP trial) pathology laboratory testing was applied annually to reflect item descriptor </w:t>
      </w:r>
    </w:p>
    <w:p w14:paraId="39EF43E4" w14:textId="77777777" w:rsidR="00031241" w:rsidRPr="00E16C9F" w:rsidRDefault="00031241" w:rsidP="00031241">
      <w:pPr>
        <w:pStyle w:val="Tablenotes"/>
        <w:spacing w:after="240"/>
        <w:rPr>
          <w:rFonts w:eastAsia="SimSun"/>
        </w:rPr>
      </w:pPr>
      <w:proofErr w:type="gramStart"/>
      <w:r w:rsidRPr="00E16C9F">
        <w:rPr>
          <w:rFonts w:eastAsia="SimSun"/>
          <w:vertAlign w:val="superscript"/>
        </w:rPr>
        <w:t>b</w:t>
      </w:r>
      <w:proofErr w:type="gramEnd"/>
      <w:r w:rsidRPr="00E16C9F">
        <w:rPr>
          <w:rFonts w:eastAsia="SimSun"/>
          <w:vertAlign w:val="superscript"/>
        </w:rPr>
        <w:t xml:space="preserve"> </w:t>
      </w:r>
      <w:r w:rsidRPr="00E16C9F">
        <w:rPr>
          <w:rFonts w:eastAsia="SimSun"/>
        </w:rPr>
        <w:t xml:space="preserve">Note the costing of HbA1c in both arms is based on the assumption that 4 HbA1c tests would be performed per patient per year (same as limits on item descriptor claims in 12 months for </w:t>
      </w:r>
      <w:proofErr w:type="spellStart"/>
      <w:r w:rsidRPr="00E16C9F">
        <w:rPr>
          <w:rFonts w:eastAsia="SimSun"/>
        </w:rPr>
        <w:t>PoC</w:t>
      </w:r>
      <w:proofErr w:type="spellEnd"/>
      <w:r w:rsidRPr="00E16C9F">
        <w:rPr>
          <w:rFonts w:eastAsia="SimSun"/>
        </w:rPr>
        <w:t xml:space="preserve"> and pathology laboratory testing)</w:t>
      </w:r>
    </w:p>
    <w:p w14:paraId="2B0C554D" w14:textId="1EDEA548" w:rsidR="00031241" w:rsidRDefault="00031241" w:rsidP="00031241">
      <w:pPr>
        <w:rPr>
          <w:rFonts w:eastAsia="SimSun"/>
          <w:lang w:eastAsia="zh-CN"/>
        </w:rPr>
      </w:pPr>
      <w:r w:rsidRPr="00E16C9F">
        <w:rPr>
          <w:rFonts w:eastAsia="SimSun"/>
          <w:lang w:eastAsia="zh-CN"/>
        </w:rPr>
        <w:t xml:space="preserve">The resubmission stated that the model was most sensitive to changes related to the number of tests coned, i.e. if two pathology laboratory tests are assumed to be coned at 34% rather </w:t>
      </w:r>
      <w:r w:rsidRPr="00E16C9F">
        <w:rPr>
          <w:rFonts w:eastAsia="SimSun"/>
          <w:lang w:eastAsia="zh-CN"/>
        </w:rPr>
        <w:lastRenderedPageBreak/>
        <w:t xml:space="preserve">than one in the pathology arm alone, HbA1c </w:t>
      </w:r>
      <w:proofErr w:type="spellStart"/>
      <w:r w:rsidRPr="00E16C9F">
        <w:rPr>
          <w:rFonts w:eastAsia="SimSun"/>
          <w:lang w:eastAsia="zh-CN"/>
        </w:rPr>
        <w:t>PoC</w:t>
      </w:r>
      <w:proofErr w:type="spellEnd"/>
      <w:r w:rsidRPr="00E16C9F">
        <w:rPr>
          <w:rFonts w:eastAsia="SimSun"/>
          <w:lang w:eastAsia="zh-CN"/>
        </w:rPr>
        <w:t xml:space="preserve"> testing is no longer a cost saving (incremental cost +$14.46 over 3 years). However, the resubmission stated that a more reasonable assumption was that the majority of patients would have a complete comprehensive pathology review (</w:t>
      </w:r>
      <w:r w:rsidR="0052140E">
        <w:rPr>
          <w:rFonts w:eastAsia="SimSun"/>
          <w:lang w:eastAsia="zh-CN"/>
        </w:rPr>
        <w:t xml:space="preserve">involving more </w:t>
      </w:r>
      <w:r w:rsidRPr="00E16C9F">
        <w:rPr>
          <w:rFonts w:eastAsia="SimSun"/>
          <w:lang w:eastAsia="zh-CN"/>
        </w:rPr>
        <w:t xml:space="preserve">than </w:t>
      </w:r>
      <w:proofErr w:type="gramStart"/>
      <w:r w:rsidRPr="00E16C9F">
        <w:rPr>
          <w:rFonts w:eastAsia="SimSun"/>
          <w:lang w:eastAsia="zh-CN"/>
        </w:rPr>
        <w:t>3</w:t>
      </w:r>
      <w:proofErr w:type="gramEnd"/>
      <w:r w:rsidRPr="00E16C9F">
        <w:rPr>
          <w:rFonts w:eastAsia="SimSun"/>
          <w:lang w:eastAsia="zh-CN"/>
        </w:rPr>
        <w:t xml:space="preserve"> tests) per 12 months.</w:t>
      </w:r>
    </w:p>
    <w:p w14:paraId="13312BCA" w14:textId="77777777" w:rsidR="00BC1364" w:rsidRPr="00F715D1" w:rsidRDefault="00BC1364" w:rsidP="00F715D1">
      <w:pPr>
        <w:pStyle w:val="Heading1"/>
      </w:pPr>
      <w:r w:rsidRPr="00F715D1">
        <w:t>Financial/budgetary impacts</w:t>
      </w:r>
    </w:p>
    <w:p w14:paraId="4EA2FCB4" w14:textId="7221241C" w:rsidR="00031241" w:rsidRPr="000934B8" w:rsidRDefault="00031241" w:rsidP="000934B8">
      <w:pPr>
        <w:spacing w:after="240"/>
      </w:pPr>
      <w:r>
        <w:t xml:space="preserve">The resubmission provided a brief update of the financial implications of listing HbA1c </w:t>
      </w:r>
      <w:proofErr w:type="spellStart"/>
      <w:r>
        <w:t>PoC</w:t>
      </w:r>
      <w:proofErr w:type="spellEnd"/>
      <w:r>
        <w:t xml:space="preserve"> testing on the MBS for the management of established diabetes. Using the same patient numbers from the previous application for the management population (MBS utilisation of item 66551 and coning an</w:t>
      </w:r>
      <w:r w:rsidR="008A6717">
        <w:t>d uptake rate assumptions), the resubmission</w:t>
      </w:r>
      <w:r>
        <w:t xml:space="preserve"> updated the budget impact </w:t>
      </w:r>
      <w:r w:rsidRPr="003A533D">
        <w:t>with the revised MBS item fee</w:t>
      </w:r>
      <w:r>
        <w:t xml:space="preserve">. Using the MBS Schedule Fees for HbA1c testing, the average cost of </w:t>
      </w:r>
      <w:proofErr w:type="spellStart"/>
      <w:r>
        <w:t>Po</w:t>
      </w:r>
      <w:r w:rsidRPr="003A533D">
        <w:t>C</w:t>
      </w:r>
      <w:proofErr w:type="spellEnd"/>
      <w:r w:rsidRPr="003A533D">
        <w:t xml:space="preserve"> testing</w:t>
      </w:r>
      <w:r>
        <w:t xml:space="preserve"> is $21.22 per quarter (3 </w:t>
      </w:r>
      <w:proofErr w:type="spellStart"/>
      <w:r>
        <w:t>Po</w:t>
      </w:r>
      <w:r w:rsidRPr="003A533D">
        <w:t>C</w:t>
      </w:r>
      <w:proofErr w:type="spellEnd"/>
      <w:r w:rsidRPr="003A533D">
        <w:t xml:space="preserve"> tests plus </w:t>
      </w:r>
      <w:r>
        <w:t>1</w:t>
      </w:r>
      <w:r w:rsidRPr="003A533D">
        <w:t xml:space="preserve"> pathology laboratory test (coned)) and the average cost of pathology laboratory testing is $21.37 (</w:t>
      </w:r>
      <w:r>
        <w:t>3</w:t>
      </w:r>
      <w:r w:rsidRPr="003A533D">
        <w:t xml:space="preserve"> pathology laboratory tests (</w:t>
      </w:r>
      <w:proofErr w:type="spellStart"/>
      <w:r>
        <w:t>unconed</w:t>
      </w:r>
      <w:proofErr w:type="spellEnd"/>
      <w:r>
        <w:t>) plus 1 test (coned</w:t>
      </w:r>
      <w:r w:rsidRPr="00166B73">
        <w:t>))</w:t>
      </w:r>
      <w:r>
        <w:t xml:space="preserve"> (</w:t>
      </w:r>
      <w:bookmarkStart w:id="9" w:name="_GoBack"/>
      <w:r w:rsidR="001046A1" w:rsidRPr="00453A94">
        <w:rPr>
          <w:szCs w:val="24"/>
        </w:rPr>
        <w:fldChar w:fldCharType="begin"/>
      </w:r>
      <w:r w:rsidR="001046A1" w:rsidRPr="00453A94">
        <w:rPr>
          <w:szCs w:val="24"/>
        </w:rPr>
        <w:instrText xml:space="preserve"> REF _Ref10622162 \h </w:instrText>
      </w:r>
      <w:r w:rsidR="001046A1" w:rsidRPr="00453A94">
        <w:rPr>
          <w:szCs w:val="24"/>
        </w:rPr>
      </w:r>
      <w:r w:rsidR="00453A94" w:rsidRPr="00453A94">
        <w:rPr>
          <w:szCs w:val="24"/>
        </w:rPr>
        <w:instrText xml:space="preserve"> \* MERGEFORMAT </w:instrText>
      </w:r>
      <w:r w:rsidR="001046A1" w:rsidRPr="00453A94">
        <w:rPr>
          <w:szCs w:val="24"/>
        </w:rPr>
        <w:fldChar w:fldCharType="separate"/>
      </w:r>
      <w:r w:rsidR="00AE4BFA" w:rsidRPr="00453A94">
        <w:rPr>
          <w:szCs w:val="24"/>
        </w:rPr>
        <w:t xml:space="preserve">Table </w:t>
      </w:r>
      <w:r w:rsidR="00AE4BFA" w:rsidRPr="00453A94">
        <w:rPr>
          <w:noProof/>
          <w:szCs w:val="24"/>
        </w:rPr>
        <w:t>4</w:t>
      </w:r>
      <w:r w:rsidR="001046A1" w:rsidRPr="00453A94">
        <w:rPr>
          <w:szCs w:val="24"/>
        </w:rPr>
        <w:fldChar w:fldCharType="end"/>
      </w:r>
      <w:r w:rsidR="000934B8" w:rsidRPr="00453A94">
        <w:rPr>
          <w:szCs w:val="24"/>
        </w:rPr>
        <w:t>)</w:t>
      </w:r>
      <w:bookmarkEnd w:id="9"/>
      <w:r w:rsidR="000934B8">
        <w:t>.</w:t>
      </w:r>
    </w:p>
    <w:p w14:paraId="5DC56FF0" w14:textId="7BD316FB" w:rsidR="00031241" w:rsidRPr="00995BBA" w:rsidRDefault="00031241" w:rsidP="00995BBA">
      <w:pPr>
        <w:rPr>
          <w:rFonts w:ascii="Arial Narrow" w:hAnsi="Arial Narrow"/>
          <w:b/>
          <w:sz w:val="20"/>
        </w:rPr>
      </w:pPr>
      <w:bookmarkStart w:id="10" w:name="_Ref10622162"/>
      <w:r w:rsidRPr="00995BBA">
        <w:rPr>
          <w:rFonts w:ascii="Arial Narrow" w:hAnsi="Arial Narrow"/>
          <w:b/>
          <w:sz w:val="20"/>
        </w:rPr>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4</w:t>
      </w:r>
      <w:r w:rsidRPr="00995BBA">
        <w:rPr>
          <w:rFonts w:ascii="Arial Narrow" w:hAnsi="Arial Narrow"/>
          <w:b/>
          <w:sz w:val="20"/>
        </w:rPr>
        <w:fldChar w:fldCharType="end"/>
      </w:r>
      <w:bookmarkStart w:id="11" w:name="_Toc534796349"/>
      <w:bookmarkEnd w:id="10"/>
      <w:r w:rsidRPr="00995BBA">
        <w:rPr>
          <w:rFonts w:ascii="Arial Narrow" w:hAnsi="Arial Narrow"/>
          <w:b/>
          <w:sz w:val="20"/>
        </w:rPr>
        <w:tab/>
        <w:t>Budget impact estimations for HbA1c testing (using average yearly MBS Schedule fee; 100% rebate)</w:t>
      </w:r>
      <w:bookmarkEnd w:id="11"/>
    </w:p>
    <w:tbl>
      <w:tblPr>
        <w:tblStyle w:val="Summarybox1"/>
        <w:tblW w:w="9067" w:type="dxa"/>
        <w:tblLayout w:type="fixed"/>
        <w:tblCellMar>
          <w:left w:w="28" w:type="dxa"/>
          <w:right w:w="28" w:type="dxa"/>
        </w:tblCellMar>
        <w:tblLook w:val="04A0" w:firstRow="1" w:lastRow="0" w:firstColumn="1" w:lastColumn="0" w:noHBand="0" w:noVBand="1"/>
        <w:tblCaption w:val="Budget impact estimations for HbA1c testing (using average yearly MBS Schedule fee; 100% rebate)"/>
        <w:tblDescription w:val="Summary of five year budget impact of listing the proposed service"/>
      </w:tblPr>
      <w:tblGrid>
        <w:gridCol w:w="3510"/>
        <w:gridCol w:w="1118"/>
        <w:gridCol w:w="1118"/>
        <w:gridCol w:w="1118"/>
        <w:gridCol w:w="1118"/>
        <w:gridCol w:w="1085"/>
      </w:tblGrid>
      <w:tr w:rsidR="00031241" w:rsidRPr="00E16C9F" w14:paraId="583E8E31" w14:textId="77777777" w:rsidTr="00135EA6">
        <w:trPr>
          <w:trHeight w:val="375"/>
          <w:tblHeader/>
        </w:trPr>
        <w:tc>
          <w:tcPr>
            <w:tcW w:w="3510" w:type="dxa"/>
            <w:tcBorders>
              <w:top w:val="single" w:sz="4" w:space="0" w:color="auto"/>
              <w:left w:val="single" w:sz="4" w:space="0" w:color="auto"/>
              <w:bottom w:val="single" w:sz="4" w:space="0" w:color="auto"/>
              <w:right w:val="single" w:sz="4" w:space="0" w:color="auto"/>
            </w:tcBorders>
            <w:noWrap/>
          </w:tcPr>
          <w:p w14:paraId="7A642F43" w14:textId="77777777" w:rsidR="00031241" w:rsidRPr="00031241" w:rsidRDefault="00031241" w:rsidP="00031241">
            <w:pPr>
              <w:pStyle w:val="TableText0"/>
              <w:rPr>
                <w:b/>
                <w:lang w:val="de-DE"/>
              </w:rPr>
            </w:pPr>
            <w:r w:rsidRPr="00031241">
              <w:rPr>
                <w:b/>
                <w:lang w:val="de-DE"/>
              </w:rPr>
              <w:t>Net cost to MBS</w:t>
            </w:r>
          </w:p>
        </w:tc>
        <w:tc>
          <w:tcPr>
            <w:tcW w:w="1118" w:type="dxa"/>
            <w:tcBorders>
              <w:top w:val="single" w:sz="4" w:space="0" w:color="auto"/>
              <w:left w:val="single" w:sz="4" w:space="0" w:color="auto"/>
              <w:bottom w:val="single" w:sz="4" w:space="0" w:color="auto"/>
              <w:right w:val="single" w:sz="4" w:space="0" w:color="auto"/>
            </w:tcBorders>
            <w:noWrap/>
          </w:tcPr>
          <w:p w14:paraId="70761ED0" w14:textId="77777777" w:rsidR="00031241" w:rsidRPr="00031241" w:rsidRDefault="00031241" w:rsidP="00031241">
            <w:pPr>
              <w:pStyle w:val="TableText0"/>
              <w:rPr>
                <w:b/>
                <w:lang w:val="de-DE"/>
              </w:rPr>
            </w:pPr>
            <w:r w:rsidRPr="00031241">
              <w:rPr>
                <w:b/>
                <w:lang w:val="de-DE"/>
              </w:rPr>
              <w:t>Year 1</w:t>
            </w:r>
          </w:p>
        </w:tc>
        <w:tc>
          <w:tcPr>
            <w:tcW w:w="1118" w:type="dxa"/>
            <w:tcBorders>
              <w:top w:val="single" w:sz="4" w:space="0" w:color="auto"/>
              <w:left w:val="single" w:sz="4" w:space="0" w:color="auto"/>
              <w:bottom w:val="single" w:sz="4" w:space="0" w:color="auto"/>
              <w:right w:val="single" w:sz="4" w:space="0" w:color="auto"/>
            </w:tcBorders>
            <w:noWrap/>
          </w:tcPr>
          <w:p w14:paraId="7E890CF7" w14:textId="77777777" w:rsidR="00031241" w:rsidRPr="00031241" w:rsidRDefault="00031241" w:rsidP="00031241">
            <w:pPr>
              <w:pStyle w:val="TableText0"/>
              <w:rPr>
                <w:b/>
                <w:lang w:val="de-DE"/>
              </w:rPr>
            </w:pPr>
            <w:r w:rsidRPr="00031241">
              <w:rPr>
                <w:b/>
                <w:lang w:val="de-DE"/>
              </w:rPr>
              <w:t>Year 2</w:t>
            </w:r>
          </w:p>
        </w:tc>
        <w:tc>
          <w:tcPr>
            <w:tcW w:w="1118" w:type="dxa"/>
            <w:tcBorders>
              <w:top w:val="single" w:sz="4" w:space="0" w:color="auto"/>
              <w:left w:val="single" w:sz="4" w:space="0" w:color="auto"/>
              <w:bottom w:val="single" w:sz="4" w:space="0" w:color="auto"/>
              <w:right w:val="single" w:sz="4" w:space="0" w:color="auto"/>
            </w:tcBorders>
            <w:noWrap/>
          </w:tcPr>
          <w:p w14:paraId="6AC36639" w14:textId="77777777" w:rsidR="00031241" w:rsidRPr="00031241" w:rsidRDefault="00031241" w:rsidP="00031241">
            <w:pPr>
              <w:pStyle w:val="TableText0"/>
              <w:rPr>
                <w:b/>
                <w:lang w:val="de-DE"/>
              </w:rPr>
            </w:pPr>
            <w:r w:rsidRPr="00031241">
              <w:rPr>
                <w:b/>
                <w:lang w:val="de-DE"/>
              </w:rPr>
              <w:t>Year 3</w:t>
            </w:r>
          </w:p>
        </w:tc>
        <w:tc>
          <w:tcPr>
            <w:tcW w:w="1118" w:type="dxa"/>
            <w:tcBorders>
              <w:top w:val="single" w:sz="4" w:space="0" w:color="auto"/>
              <w:left w:val="single" w:sz="4" w:space="0" w:color="auto"/>
              <w:bottom w:val="single" w:sz="4" w:space="0" w:color="auto"/>
              <w:right w:val="single" w:sz="4" w:space="0" w:color="auto"/>
            </w:tcBorders>
            <w:noWrap/>
          </w:tcPr>
          <w:p w14:paraId="65359AB5" w14:textId="77777777" w:rsidR="00031241" w:rsidRPr="00031241" w:rsidRDefault="00031241" w:rsidP="00031241">
            <w:pPr>
              <w:pStyle w:val="TableText0"/>
              <w:rPr>
                <w:b/>
                <w:lang w:val="de-DE"/>
              </w:rPr>
            </w:pPr>
            <w:r w:rsidRPr="00031241">
              <w:rPr>
                <w:b/>
                <w:lang w:val="de-DE"/>
              </w:rPr>
              <w:t>Year 4</w:t>
            </w:r>
          </w:p>
        </w:tc>
        <w:tc>
          <w:tcPr>
            <w:tcW w:w="1085" w:type="dxa"/>
            <w:tcBorders>
              <w:top w:val="single" w:sz="4" w:space="0" w:color="auto"/>
              <w:left w:val="single" w:sz="4" w:space="0" w:color="auto"/>
              <w:bottom w:val="single" w:sz="4" w:space="0" w:color="auto"/>
              <w:right w:val="single" w:sz="4" w:space="0" w:color="auto"/>
            </w:tcBorders>
          </w:tcPr>
          <w:p w14:paraId="547CF136" w14:textId="77777777" w:rsidR="00031241" w:rsidRPr="00031241" w:rsidRDefault="00031241" w:rsidP="00031241">
            <w:pPr>
              <w:pStyle w:val="TableText0"/>
              <w:rPr>
                <w:b/>
                <w:lang w:val="de-DE"/>
              </w:rPr>
            </w:pPr>
            <w:r w:rsidRPr="00031241">
              <w:rPr>
                <w:b/>
                <w:lang w:val="de-DE"/>
              </w:rPr>
              <w:t>Year 5</w:t>
            </w:r>
          </w:p>
        </w:tc>
      </w:tr>
      <w:tr w:rsidR="00031241" w:rsidRPr="00E16C9F" w14:paraId="71135939" w14:textId="77777777" w:rsidTr="00135EA6">
        <w:trPr>
          <w:trHeight w:val="375"/>
          <w:tblHeader/>
        </w:trPr>
        <w:tc>
          <w:tcPr>
            <w:tcW w:w="3510" w:type="dxa"/>
            <w:tcBorders>
              <w:top w:val="single" w:sz="4" w:space="0" w:color="auto"/>
              <w:left w:val="single" w:sz="4" w:space="0" w:color="auto"/>
              <w:bottom w:val="single" w:sz="4" w:space="0" w:color="auto"/>
              <w:right w:val="single" w:sz="4" w:space="0" w:color="auto"/>
            </w:tcBorders>
            <w:noWrap/>
            <w:hideMark/>
          </w:tcPr>
          <w:p w14:paraId="72E1C504" w14:textId="77777777" w:rsidR="00031241" w:rsidRPr="00031241" w:rsidRDefault="00031241" w:rsidP="00031241">
            <w:pPr>
              <w:pStyle w:val="TableText0"/>
              <w:rPr>
                <w:b/>
                <w:lang w:val="de-DE"/>
              </w:rPr>
            </w:pPr>
            <w:r w:rsidRPr="00031241">
              <w:rPr>
                <w:b/>
                <w:lang w:val="de-DE"/>
              </w:rPr>
              <w:t>-</w:t>
            </w:r>
          </w:p>
        </w:tc>
        <w:tc>
          <w:tcPr>
            <w:tcW w:w="1118" w:type="dxa"/>
            <w:tcBorders>
              <w:top w:val="single" w:sz="4" w:space="0" w:color="auto"/>
              <w:left w:val="single" w:sz="4" w:space="0" w:color="auto"/>
              <w:bottom w:val="single" w:sz="4" w:space="0" w:color="auto"/>
              <w:right w:val="single" w:sz="4" w:space="0" w:color="auto"/>
            </w:tcBorders>
            <w:noWrap/>
            <w:hideMark/>
          </w:tcPr>
          <w:p w14:paraId="5A5014C6" w14:textId="77777777" w:rsidR="00031241" w:rsidRPr="00031241" w:rsidRDefault="00031241" w:rsidP="00031241">
            <w:pPr>
              <w:pStyle w:val="TableText0"/>
              <w:rPr>
                <w:b/>
                <w:lang w:val="de-DE"/>
              </w:rPr>
            </w:pPr>
            <w:r w:rsidRPr="00031241">
              <w:rPr>
                <w:b/>
                <w:lang w:val="de-DE"/>
              </w:rPr>
              <w:t>2018</w:t>
            </w:r>
          </w:p>
        </w:tc>
        <w:tc>
          <w:tcPr>
            <w:tcW w:w="1118" w:type="dxa"/>
            <w:tcBorders>
              <w:top w:val="single" w:sz="4" w:space="0" w:color="auto"/>
              <w:left w:val="single" w:sz="4" w:space="0" w:color="auto"/>
              <w:bottom w:val="single" w:sz="4" w:space="0" w:color="auto"/>
              <w:right w:val="single" w:sz="4" w:space="0" w:color="auto"/>
            </w:tcBorders>
            <w:noWrap/>
            <w:hideMark/>
          </w:tcPr>
          <w:p w14:paraId="4D39E68A" w14:textId="77777777" w:rsidR="00031241" w:rsidRPr="00031241" w:rsidRDefault="00031241" w:rsidP="00031241">
            <w:pPr>
              <w:pStyle w:val="TableText0"/>
              <w:rPr>
                <w:b/>
                <w:lang w:val="de-DE"/>
              </w:rPr>
            </w:pPr>
            <w:r w:rsidRPr="00031241">
              <w:rPr>
                <w:b/>
                <w:lang w:val="de-DE"/>
              </w:rPr>
              <w:t>2019</w:t>
            </w:r>
          </w:p>
        </w:tc>
        <w:tc>
          <w:tcPr>
            <w:tcW w:w="1118" w:type="dxa"/>
            <w:tcBorders>
              <w:top w:val="single" w:sz="4" w:space="0" w:color="auto"/>
              <w:left w:val="single" w:sz="4" w:space="0" w:color="auto"/>
              <w:bottom w:val="single" w:sz="4" w:space="0" w:color="auto"/>
              <w:right w:val="single" w:sz="4" w:space="0" w:color="auto"/>
            </w:tcBorders>
            <w:noWrap/>
            <w:hideMark/>
          </w:tcPr>
          <w:p w14:paraId="414E2A94" w14:textId="77777777" w:rsidR="00031241" w:rsidRPr="00031241" w:rsidRDefault="00031241" w:rsidP="00031241">
            <w:pPr>
              <w:pStyle w:val="TableText0"/>
              <w:rPr>
                <w:b/>
                <w:lang w:val="de-DE"/>
              </w:rPr>
            </w:pPr>
            <w:r w:rsidRPr="00031241">
              <w:rPr>
                <w:b/>
                <w:lang w:val="de-DE"/>
              </w:rPr>
              <w:t>2020</w:t>
            </w:r>
          </w:p>
        </w:tc>
        <w:tc>
          <w:tcPr>
            <w:tcW w:w="1118" w:type="dxa"/>
            <w:tcBorders>
              <w:top w:val="single" w:sz="4" w:space="0" w:color="auto"/>
              <w:left w:val="single" w:sz="4" w:space="0" w:color="auto"/>
              <w:bottom w:val="single" w:sz="4" w:space="0" w:color="auto"/>
              <w:right w:val="single" w:sz="4" w:space="0" w:color="auto"/>
            </w:tcBorders>
            <w:noWrap/>
            <w:hideMark/>
          </w:tcPr>
          <w:p w14:paraId="6EC43F90" w14:textId="77777777" w:rsidR="00031241" w:rsidRPr="00031241" w:rsidRDefault="00031241" w:rsidP="00031241">
            <w:pPr>
              <w:pStyle w:val="TableText0"/>
              <w:rPr>
                <w:b/>
                <w:lang w:val="de-DE"/>
              </w:rPr>
            </w:pPr>
            <w:r w:rsidRPr="00031241">
              <w:rPr>
                <w:b/>
                <w:lang w:val="de-DE"/>
              </w:rPr>
              <w:t>2021</w:t>
            </w:r>
          </w:p>
        </w:tc>
        <w:tc>
          <w:tcPr>
            <w:tcW w:w="1085" w:type="dxa"/>
            <w:tcBorders>
              <w:top w:val="single" w:sz="4" w:space="0" w:color="auto"/>
              <w:left w:val="single" w:sz="4" w:space="0" w:color="auto"/>
              <w:bottom w:val="single" w:sz="4" w:space="0" w:color="auto"/>
              <w:right w:val="single" w:sz="4" w:space="0" w:color="auto"/>
            </w:tcBorders>
          </w:tcPr>
          <w:p w14:paraId="79C7624F" w14:textId="77777777" w:rsidR="00031241" w:rsidRPr="00031241" w:rsidRDefault="00031241" w:rsidP="00031241">
            <w:pPr>
              <w:pStyle w:val="TableText0"/>
              <w:rPr>
                <w:b/>
                <w:lang w:val="de-DE"/>
              </w:rPr>
            </w:pPr>
            <w:r w:rsidRPr="00031241">
              <w:rPr>
                <w:b/>
                <w:lang w:val="de-DE"/>
              </w:rPr>
              <w:t>2022</w:t>
            </w:r>
          </w:p>
        </w:tc>
      </w:tr>
      <w:tr w:rsidR="00031241" w:rsidRPr="00E16C9F" w14:paraId="1D47B29C"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tcPr>
          <w:p w14:paraId="0E52C889" w14:textId="77777777" w:rsidR="00031241" w:rsidRPr="00E16C9F" w:rsidRDefault="00031241" w:rsidP="00031241">
            <w:pPr>
              <w:pStyle w:val="TableText0"/>
            </w:pPr>
            <w:r w:rsidRPr="00E16C9F">
              <w:t xml:space="preserve">Uptake rate (switch to </w:t>
            </w:r>
            <w:proofErr w:type="spellStart"/>
            <w:r w:rsidRPr="00E16C9F">
              <w:t>PoC</w:t>
            </w:r>
            <w:proofErr w:type="spellEnd"/>
            <w:r w:rsidRPr="00E16C9F">
              <w:t>, from PATH)</w:t>
            </w:r>
          </w:p>
        </w:tc>
        <w:tc>
          <w:tcPr>
            <w:tcW w:w="1118" w:type="dxa"/>
            <w:tcBorders>
              <w:top w:val="single" w:sz="4" w:space="0" w:color="auto"/>
              <w:left w:val="single" w:sz="4" w:space="0" w:color="auto"/>
              <w:bottom w:val="single" w:sz="4" w:space="0" w:color="auto"/>
              <w:right w:val="single" w:sz="4" w:space="0" w:color="auto"/>
            </w:tcBorders>
            <w:noWrap/>
          </w:tcPr>
          <w:p w14:paraId="18E3E7BE" w14:textId="77777777" w:rsidR="00031241" w:rsidRPr="00E16C9F" w:rsidRDefault="00031241" w:rsidP="00031241">
            <w:pPr>
              <w:pStyle w:val="TableText0"/>
              <w:rPr>
                <w:lang w:val="de-DE"/>
              </w:rPr>
            </w:pPr>
            <w:r w:rsidRPr="00E16C9F">
              <w:rPr>
                <w:lang w:val="de-DE"/>
              </w:rPr>
              <w:t>1%</w:t>
            </w:r>
            <w:r w:rsidRPr="00E16C9F">
              <w:rPr>
                <w:vertAlign w:val="superscript"/>
                <w:lang w:val="de-DE"/>
              </w:rPr>
              <w:t>a</w:t>
            </w:r>
          </w:p>
        </w:tc>
        <w:tc>
          <w:tcPr>
            <w:tcW w:w="1118" w:type="dxa"/>
            <w:tcBorders>
              <w:top w:val="single" w:sz="4" w:space="0" w:color="auto"/>
              <w:left w:val="single" w:sz="4" w:space="0" w:color="auto"/>
              <w:bottom w:val="single" w:sz="4" w:space="0" w:color="auto"/>
              <w:right w:val="single" w:sz="4" w:space="0" w:color="auto"/>
            </w:tcBorders>
            <w:noWrap/>
          </w:tcPr>
          <w:p w14:paraId="7A3E31CC" w14:textId="77777777" w:rsidR="00031241" w:rsidRPr="00E16C9F" w:rsidRDefault="00031241" w:rsidP="00031241">
            <w:pPr>
              <w:pStyle w:val="TableText0"/>
              <w:rPr>
                <w:lang w:val="de-DE"/>
              </w:rPr>
            </w:pPr>
            <w:r w:rsidRPr="00E16C9F">
              <w:rPr>
                <w:lang w:val="de-DE"/>
              </w:rPr>
              <w:t>2%</w:t>
            </w:r>
          </w:p>
        </w:tc>
        <w:tc>
          <w:tcPr>
            <w:tcW w:w="1118" w:type="dxa"/>
            <w:tcBorders>
              <w:top w:val="single" w:sz="4" w:space="0" w:color="auto"/>
              <w:left w:val="single" w:sz="4" w:space="0" w:color="auto"/>
              <w:bottom w:val="single" w:sz="4" w:space="0" w:color="auto"/>
              <w:right w:val="single" w:sz="4" w:space="0" w:color="auto"/>
            </w:tcBorders>
            <w:noWrap/>
          </w:tcPr>
          <w:p w14:paraId="3F094DC7" w14:textId="77777777" w:rsidR="00031241" w:rsidRPr="00E16C9F" w:rsidRDefault="00031241" w:rsidP="00031241">
            <w:pPr>
              <w:pStyle w:val="TableText0"/>
              <w:rPr>
                <w:lang w:val="de-DE"/>
              </w:rPr>
            </w:pPr>
            <w:r w:rsidRPr="00E16C9F">
              <w:rPr>
                <w:lang w:val="de-DE"/>
              </w:rPr>
              <w:t>3%</w:t>
            </w:r>
          </w:p>
        </w:tc>
        <w:tc>
          <w:tcPr>
            <w:tcW w:w="1118" w:type="dxa"/>
            <w:tcBorders>
              <w:top w:val="single" w:sz="4" w:space="0" w:color="auto"/>
              <w:left w:val="single" w:sz="4" w:space="0" w:color="auto"/>
              <w:bottom w:val="single" w:sz="4" w:space="0" w:color="auto"/>
              <w:right w:val="single" w:sz="4" w:space="0" w:color="auto"/>
            </w:tcBorders>
            <w:noWrap/>
          </w:tcPr>
          <w:p w14:paraId="62F9B012" w14:textId="77777777" w:rsidR="00031241" w:rsidRPr="00E16C9F" w:rsidRDefault="00031241" w:rsidP="00031241">
            <w:pPr>
              <w:pStyle w:val="TableText0"/>
              <w:rPr>
                <w:lang w:val="de-DE"/>
              </w:rPr>
            </w:pPr>
            <w:r w:rsidRPr="00E16C9F">
              <w:rPr>
                <w:lang w:val="de-DE"/>
              </w:rPr>
              <w:t>4%</w:t>
            </w:r>
          </w:p>
        </w:tc>
        <w:tc>
          <w:tcPr>
            <w:tcW w:w="1085" w:type="dxa"/>
            <w:tcBorders>
              <w:top w:val="single" w:sz="4" w:space="0" w:color="auto"/>
              <w:left w:val="single" w:sz="4" w:space="0" w:color="auto"/>
              <w:bottom w:val="single" w:sz="4" w:space="0" w:color="auto"/>
              <w:right w:val="single" w:sz="4" w:space="0" w:color="auto"/>
            </w:tcBorders>
          </w:tcPr>
          <w:p w14:paraId="1FE48825" w14:textId="77777777" w:rsidR="00031241" w:rsidRPr="00E16C9F" w:rsidRDefault="00031241" w:rsidP="00031241">
            <w:pPr>
              <w:pStyle w:val="TableText0"/>
              <w:rPr>
                <w:lang w:val="de-DE"/>
              </w:rPr>
            </w:pPr>
            <w:r w:rsidRPr="00E16C9F">
              <w:rPr>
                <w:lang w:val="de-DE"/>
              </w:rPr>
              <w:t>5%</w:t>
            </w:r>
          </w:p>
        </w:tc>
      </w:tr>
      <w:tr w:rsidR="00031241" w:rsidRPr="00E16C9F" w14:paraId="21A72D95"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629BC2DE" w14:textId="77777777" w:rsidR="00031241" w:rsidRPr="00E16C9F" w:rsidRDefault="00031241" w:rsidP="00031241">
            <w:pPr>
              <w:pStyle w:val="TableText0"/>
            </w:pPr>
            <w:r w:rsidRPr="00E16C9F">
              <w:t xml:space="preserve">Number of HbA1c </w:t>
            </w:r>
            <w:proofErr w:type="spellStart"/>
            <w:r w:rsidRPr="00E16C9F">
              <w:t>PoC</w:t>
            </w:r>
            <w:proofErr w:type="spellEnd"/>
            <w:r w:rsidRPr="00E16C9F">
              <w:t xml:space="preserve"> test services substituted from PATH</w:t>
            </w:r>
          </w:p>
        </w:tc>
        <w:tc>
          <w:tcPr>
            <w:tcW w:w="1118" w:type="dxa"/>
            <w:tcBorders>
              <w:top w:val="single" w:sz="4" w:space="0" w:color="auto"/>
              <w:left w:val="single" w:sz="4" w:space="0" w:color="auto"/>
              <w:bottom w:val="single" w:sz="4" w:space="0" w:color="auto"/>
              <w:right w:val="single" w:sz="4" w:space="0" w:color="auto"/>
            </w:tcBorders>
            <w:noWrap/>
            <w:hideMark/>
          </w:tcPr>
          <w:p w14:paraId="0C8FA155" w14:textId="77777777" w:rsidR="00031241" w:rsidRPr="00E16C9F" w:rsidRDefault="00031241" w:rsidP="00031241">
            <w:pPr>
              <w:pStyle w:val="TableText0"/>
              <w:rPr>
                <w:lang w:val="de-DE"/>
              </w:rPr>
            </w:pPr>
            <w:r w:rsidRPr="00E16C9F">
              <w:rPr>
                <w:lang w:val="de-DE"/>
              </w:rPr>
              <w:t>18,662</w:t>
            </w:r>
          </w:p>
        </w:tc>
        <w:tc>
          <w:tcPr>
            <w:tcW w:w="1118" w:type="dxa"/>
            <w:tcBorders>
              <w:top w:val="single" w:sz="4" w:space="0" w:color="auto"/>
              <w:left w:val="single" w:sz="4" w:space="0" w:color="auto"/>
              <w:bottom w:val="single" w:sz="4" w:space="0" w:color="auto"/>
              <w:right w:val="single" w:sz="4" w:space="0" w:color="auto"/>
            </w:tcBorders>
            <w:noWrap/>
            <w:hideMark/>
          </w:tcPr>
          <w:p w14:paraId="7D2CF5D1" w14:textId="77777777" w:rsidR="00031241" w:rsidRPr="00E16C9F" w:rsidRDefault="00031241" w:rsidP="00031241">
            <w:pPr>
              <w:pStyle w:val="TableText0"/>
              <w:rPr>
                <w:lang w:val="de-DE"/>
              </w:rPr>
            </w:pPr>
            <w:r w:rsidRPr="00E16C9F">
              <w:rPr>
                <w:lang w:val="de-DE"/>
              </w:rPr>
              <w:t>38,285</w:t>
            </w:r>
          </w:p>
        </w:tc>
        <w:tc>
          <w:tcPr>
            <w:tcW w:w="1118" w:type="dxa"/>
            <w:tcBorders>
              <w:top w:val="single" w:sz="4" w:space="0" w:color="auto"/>
              <w:left w:val="single" w:sz="4" w:space="0" w:color="auto"/>
              <w:bottom w:val="single" w:sz="4" w:space="0" w:color="auto"/>
              <w:right w:val="single" w:sz="4" w:space="0" w:color="auto"/>
            </w:tcBorders>
            <w:noWrap/>
            <w:hideMark/>
          </w:tcPr>
          <w:p w14:paraId="40DF5F1E" w14:textId="77777777" w:rsidR="00031241" w:rsidRPr="00E16C9F" w:rsidRDefault="00031241" w:rsidP="00031241">
            <w:pPr>
              <w:pStyle w:val="TableText0"/>
              <w:rPr>
                <w:lang w:val="de-DE"/>
              </w:rPr>
            </w:pPr>
            <w:r w:rsidRPr="00E16C9F">
              <w:rPr>
                <w:lang w:val="de-DE"/>
              </w:rPr>
              <w:t>58,908</w:t>
            </w:r>
          </w:p>
        </w:tc>
        <w:tc>
          <w:tcPr>
            <w:tcW w:w="1118" w:type="dxa"/>
            <w:tcBorders>
              <w:top w:val="single" w:sz="4" w:space="0" w:color="auto"/>
              <w:left w:val="single" w:sz="4" w:space="0" w:color="auto"/>
              <w:bottom w:val="single" w:sz="4" w:space="0" w:color="auto"/>
              <w:right w:val="single" w:sz="4" w:space="0" w:color="auto"/>
            </w:tcBorders>
            <w:noWrap/>
            <w:hideMark/>
          </w:tcPr>
          <w:p w14:paraId="5450D60B" w14:textId="77777777" w:rsidR="00031241" w:rsidRPr="00E16C9F" w:rsidRDefault="00031241" w:rsidP="00031241">
            <w:pPr>
              <w:pStyle w:val="TableText0"/>
              <w:rPr>
                <w:lang w:val="de-DE"/>
              </w:rPr>
            </w:pPr>
            <w:r w:rsidRPr="00E16C9F">
              <w:rPr>
                <w:lang w:val="de-DE"/>
              </w:rPr>
              <w:t>80,568</w:t>
            </w:r>
          </w:p>
        </w:tc>
        <w:tc>
          <w:tcPr>
            <w:tcW w:w="1085" w:type="dxa"/>
            <w:tcBorders>
              <w:top w:val="single" w:sz="4" w:space="0" w:color="auto"/>
              <w:left w:val="single" w:sz="4" w:space="0" w:color="auto"/>
              <w:bottom w:val="single" w:sz="4" w:space="0" w:color="auto"/>
              <w:right w:val="single" w:sz="4" w:space="0" w:color="auto"/>
            </w:tcBorders>
          </w:tcPr>
          <w:p w14:paraId="3C303D29" w14:textId="77777777" w:rsidR="00031241" w:rsidRPr="00E16C9F" w:rsidRDefault="00031241" w:rsidP="00031241">
            <w:pPr>
              <w:pStyle w:val="TableText0"/>
              <w:rPr>
                <w:lang w:val="de-DE"/>
              </w:rPr>
            </w:pPr>
            <w:r w:rsidRPr="00E16C9F">
              <w:rPr>
                <w:lang w:val="de-DE"/>
              </w:rPr>
              <w:t>103,306</w:t>
            </w:r>
          </w:p>
        </w:tc>
      </w:tr>
      <w:tr w:rsidR="008A6717" w:rsidRPr="008A6717" w14:paraId="27C48C75"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258C5EE2" w14:textId="77777777" w:rsidR="00031241" w:rsidRPr="008A6717" w:rsidRDefault="00031241" w:rsidP="00031241">
            <w:pPr>
              <w:pStyle w:val="TableText0"/>
            </w:pPr>
            <w:r w:rsidRPr="008A6717">
              <w:t xml:space="preserve">Total cost of HbA1c </w:t>
            </w:r>
            <w:proofErr w:type="spellStart"/>
            <w:r w:rsidRPr="008A6717">
              <w:t>PoC</w:t>
            </w:r>
            <w:proofErr w:type="spellEnd"/>
            <w:r w:rsidRPr="008A6717">
              <w:t xml:space="preserve"> test</w:t>
            </w:r>
          </w:p>
        </w:tc>
        <w:tc>
          <w:tcPr>
            <w:tcW w:w="1118" w:type="dxa"/>
            <w:tcBorders>
              <w:top w:val="single" w:sz="4" w:space="0" w:color="auto"/>
              <w:left w:val="single" w:sz="4" w:space="0" w:color="auto"/>
              <w:bottom w:val="single" w:sz="4" w:space="0" w:color="auto"/>
              <w:right w:val="single" w:sz="4" w:space="0" w:color="auto"/>
            </w:tcBorders>
            <w:noWrap/>
            <w:hideMark/>
          </w:tcPr>
          <w:p w14:paraId="1520CEF5" w14:textId="77777777" w:rsidR="00031241" w:rsidRPr="008A6717" w:rsidRDefault="00031241" w:rsidP="00031241">
            <w:pPr>
              <w:pStyle w:val="TableText0"/>
              <w:rPr>
                <w:lang w:val="de-DE"/>
              </w:rPr>
            </w:pPr>
            <w:r w:rsidRPr="008A6717">
              <w:rPr>
                <w:lang w:val="de-DE"/>
              </w:rPr>
              <w:t>$396,036</w:t>
            </w:r>
          </w:p>
          <w:p w14:paraId="26B05217" w14:textId="77777777" w:rsidR="00031241" w:rsidRPr="008A6717" w:rsidRDefault="00031241" w:rsidP="00031241">
            <w:pPr>
              <w:pStyle w:val="TableText0"/>
              <w:rPr>
                <w:lang w:val="de-DE"/>
              </w:rPr>
            </w:pPr>
            <w:r w:rsidRPr="008A6717">
              <w:rPr>
                <w:i/>
                <w:lang w:val="de-DE"/>
              </w:rPr>
              <w:t>$396,045</w:t>
            </w:r>
          </w:p>
        </w:tc>
        <w:tc>
          <w:tcPr>
            <w:tcW w:w="1118" w:type="dxa"/>
            <w:tcBorders>
              <w:top w:val="single" w:sz="4" w:space="0" w:color="auto"/>
              <w:left w:val="single" w:sz="4" w:space="0" w:color="auto"/>
              <w:bottom w:val="single" w:sz="4" w:space="0" w:color="auto"/>
              <w:right w:val="single" w:sz="4" w:space="0" w:color="auto"/>
            </w:tcBorders>
            <w:noWrap/>
            <w:hideMark/>
          </w:tcPr>
          <w:p w14:paraId="554A01F6" w14:textId="77777777" w:rsidR="00031241" w:rsidRPr="008A6717" w:rsidRDefault="00031241" w:rsidP="00031241">
            <w:pPr>
              <w:pStyle w:val="TableText0"/>
              <w:rPr>
                <w:lang w:val="de-DE"/>
              </w:rPr>
            </w:pPr>
            <w:r w:rsidRPr="008A6717">
              <w:rPr>
                <w:lang w:val="de-DE"/>
              </w:rPr>
              <w:t>$812,487</w:t>
            </w:r>
          </w:p>
          <w:p w14:paraId="133A30C2" w14:textId="77777777" w:rsidR="00031241" w:rsidRPr="008A6717" w:rsidRDefault="00031241" w:rsidP="00031241">
            <w:pPr>
              <w:pStyle w:val="TableText0"/>
              <w:rPr>
                <w:lang w:val="de-DE"/>
              </w:rPr>
            </w:pPr>
            <w:r w:rsidRPr="008A6717">
              <w:rPr>
                <w:i/>
                <w:lang w:val="de-DE"/>
              </w:rPr>
              <w:t>$812,484</w:t>
            </w:r>
          </w:p>
        </w:tc>
        <w:tc>
          <w:tcPr>
            <w:tcW w:w="1118" w:type="dxa"/>
            <w:tcBorders>
              <w:top w:val="single" w:sz="4" w:space="0" w:color="auto"/>
              <w:left w:val="single" w:sz="4" w:space="0" w:color="auto"/>
              <w:bottom w:val="single" w:sz="4" w:space="0" w:color="auto"/>
              <w:right w:val="single" w:sz="4" w:space="0" w:color="auto"/>
            </w:tcBorders>
            <w:noWrap/>
            <w:hideMark/>
          </w:tcPr>
          <w:p w14:paraId="3A6D35A7" w14:textId="77777777" w:rsidR="00031241" w:rsidRPr="008A6717" w:rsidRDefault="00031241" w:rsidP="00031241">
            <w:pPr>
              <w:pStyle w:val="TableText0"/>
              <w:rPr>
                <w:lang w:val="de-DE"/>
              </w:rPr>
            </w:pPr>
            <w:r w:rsidRPr="008A6717">
              <w:rPr>
                <w:lang w:val="de-DE"/>
              </w:rPr>
              <w:t>$1,250,145</w:t>
            </w:r>
          </w:p>
          <w:p w14:paraId="0AB023D5" w14:textId="77777777" w:rsidR="00031241" w:rsidRPr="008A6717" w:rsidRDefault="00031241" w:rsidP="00031241">
            <w:pPr>
              <w:pStyle w:val="TableText0"/>
              <w:rPr>
                <w:lang w:val="de-DE"/>
              </w:rPr>
            </w:pPr>
            <w:r w:rsidRPr="008A6717">
              <w:rPr>
                <w:i/>
                <w:lang w:val="de-DE"/>
              </w:rPr>
              <w:t>$1,250,146</w:t>
            </w:r>
          </w:p>
        </w:tc>
        <w:tc>
          <w:tcPr>
            <w:tcW w:w="1118" w:type="dxa"/>
            <w:tcBorders>
              <w:top w:val="single" w:sz="4" w:space="0" w:color="auto"/>
              <w:left w:val="single" w:sz="4" w:space="0" w:color="auto"/>
              <w:bottom w:val="single" w:sz="4" w:space="0" w:color="auto"/>
              <w:right w:val="single" w:sz="4" w:space="0" w:color="auto"/>
            </w:tcBorders>
            <w:noWrap/>
            <w:hideMark/>
          </w:tcPr>
          <w:p w14:paraId="225B65E4" w14:textId="77777777" w:rsidR="00031241" w:rsidRPr="008A6717" w:rsidRDefault="00031241" w:rsidP="00031241">
            <w:pPr>
              <w:pStyle w:val="TableText0"/>
              <w:rPr>
                <w:lang w:val="de-DE"/>
              </w:rPr>
            </w:pPr>
            <w:r w:rsidRPr="008A6717">
              <w:rPr>
                <w:lang w:val="de-DE"/>
              </w:rPr>
              <w:t>$1,709,823</w:t>
            </w:r>
          </w:p>
          <w:p w14:paraId="2760A88E" w14:textId="77777777" w:rsidR="00031241" w:rsidRPr="008A6717" w:rsidRDefault="00031241" w:rsidP="00031241">
            <w:pPr>
              <w:pStyle w:val="TableText0"/>
              <w:rPr>
                <w:lang w:val="de-DE"/>
              </w:rPr>
            </w:pPr>
            <w:r w:rsidRPr="008A6717">
              <w:rPr>
                <w:i/>
                <w:lang w:val="de-DE"/>
              </w:rPr>
              <w:t>$1,709,814</w:t>
            </w:r>
          </w:p>
        </w:tc>
        <w:tc>
          <w:tcPr>
            <w:tcW w:w="1085" w:type="dxa"/>
            <w:tcBorders>
              <w:top w:val="single" w:sz="4" w:space="0" w:color="auto"/>
              <w:left w:val="single" w:sz="4" w:space="0" w:color="auto"/>
              <w:bottom w:val="single" w:sz="4" w:space="0" w:color="auto"/>
              <w:right w:val="single" w:sz="4" w:space="0" w:color="auto"/>
            </w:tcBorders>
          </w:tcPr>
          <w:p w14:paraId="422F296D" w14:textId="77777777" w:rsidR="00031241" w:rsidRPr="008A6717" w:rsidRDefault="00031241" w:rsidP="00031241">
            <w:pPr>
              <w:pStyle w:val="TableText0"/>
              <w:rPr>
                <w:lang w:val="de-DE"/>
              </w:rPr>
            </w:pPr>
            <w:r w:rsidRPr="008A6717">
              <w:rPr>
                <w:lang w:val="de-DE"/>
              </w:rPr>
              <w:t>$2,192,368</w:t>
            </w:r>
          </w:p>
          <w:p w14:paraId="26550C45" w14:textId="77777777" w:rsidR="00031241" w:rsidRPr="008A6717" w:rsidRDefault="00031241" w:rsidP="00031241">
            <w:pPr>
              <w:pStyle w:val="TableText0"/>
              <w:rPr>
                <w:lang w:val="de-DE"/>
              </w:rPr>
            </w:pPr>
            <w:r w:rsidRPr="008A6717">
              <w:rPr>
                <w:i/>
                <w:lang w:val="de-DE"/>
              </w:rPr>
              <w:t>$2,192,360</w:t>
            </w:r>
          </w:p>
        </w:tc>
      </w:tr>
      <w:tr w:rsidR="008A6717" w:rsidRPr="008A6717" w14:paraId="1E2D46E7"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3A4D32BB" w14:textId="77777777" w:rsidR="00031241" w:rsidRPr="008A6717" w:rsidRDefault="00031241" w:rsidP="00031241">
            <w:pPr>
              <w:pStyle w:val="TableText0"/>
            </w:pPr>
            <w:r w:rsidRPr="008A6717">
              <w:t>Number of HbA1c PATH tests performed</w:t>
            </w:r>
          </w:p>
        </w:tc>
        <w:tc>
          <w:tcPr>
            <w:tcW w:w="1118" w:type="dxa"/>
            <w:tcBorders>
              <w:top w:val="single" w:sz="4" w:space="0" w:color="auto"/>
              <w:left w:val="single" w:sz="4" w:space="0" w:color="auto"/>
              <w:bottom w:val="single" w:sz="4" w:space="0" w:color="auto"/>
              <w:right w:val="single" w:sz="4" w:space="0" w:color="auto"/>
            </w:tcBorders>
            <w:noWrap/>
            <w:hideMark/>
          </w:tcPr>
          <w:p w14:paraId="3E9FFBB0" w14:textId="77777777" w:rsidR="00031241" w:rsidRPr="008A6717" w:rsidRDefault="00031241" w:rsidP="00031241">
            <w:pPr>
              <w:pStyle w:val="TableText0"/>
              <w:rPr>
                <w:lang w:val="de-DE"/>
              </w:rPr>
            </w:pPr>
            <w:r w:rsidRPr="008A6717">
              <w:rPr>
                <w:lang w:val="de-DE"/>
              </w:rPr>
              <w:t>1,213,002</w:t>
            </w:r>
          </w:p>
        </w:tc>
        <w:tc>
          <w:tcPr>
            <w:tcW w:w="1118" w:type="dxa"/>
            <w:tcBorders>
              <w:top w:val="single" w:sz="4" w:space="0" w:color="auto"/>
              <w:left w:val="single" w:sz="4" w:space="0" w:color="auto"/>
              <w:bottom w:val="single" w:sz="4" w:space="0" w:color="auto"/>
              <w:right w:val="single" w:sz="4" w:space="0" w:color="auto"/>
            </w:tcBorders>
            <w:noWrap/>
            <w:hideMark/>
          </w:tcPr>
          <w:p w14:paraId="1A875AEB" w14:textId="77777777" w:rsidR="00031241" w:rsidRPr="008A6717" w:rsidRDefault="00031241" w:rsidP="00031241">
            <w:pPr>
              <w:pStyle w:val="TableText0"/>
              <w:rPr>
                <w:lang w:val="de-DE"/>
              </w:rPr>
            </w:pPr>
            <w:r w:rsidRPr="008A6717">
              <w:rPr>
                <w:lang w:val="de-DE"/>
              </w:rPr>
              <w:t>1,225,125</w:t>
            </w:r>
          </w:p>
        </w:tc>
        <w:tc>
          <w:tcPr>
            <w:tcW w:w="1118" w:type="dxa"/>
            <w:tcBorders>
              <w:top w:val="single" w:sz="4" w:space="0" w:color="auto"/>
              <w:left w:val="single" w:sz="4" w:space="0" w:color="auto"/>
              <w:bottom w:val="single" w:sz="4" w:space="0" w:color="auto"/>
              <w:right w:val="single" w:sz="4" w:space="0" w:color="auto"/>
            </w:tcBorders>
            <w:noWrap/>
            <w:hideMark/>
          </w:tcPr>
          <w:p w14:paraId="55B7A3E4" w14:textId="77777777" w:rsidR="00031241" w:rsidRPr="008A6717" w:rsidRDefault="00031241" w:rsidP="00031241">
            <w:pPr>
              <w:pStyle w:val="TableText0"/>
              <w:rPr>
                <w:lang w:val="de-DE"/>
              </w:rPr>
            </w:pPr>
            <w:r w:rsidRPr="008A6717">
              <w:rPr>
                <w:lang w:val="de-DE"/>
              </w:rPr>
              <w:t>1,237,067</w:t>
            </w:r>
          </w:p>
        </w:tc>
        <w:tc>
          <w:tcPr>
            <w:tcW w:w="1118" w:type="dxa"/>
            <w:tcBorders>
              <w:top w:val="single" w:sz="4" w:space="0" w:color="auto"/>
              <w:left w:val="single" w:sz="4" w:space="0" w:color="auto"/>
              <w:bottom w:val="single" w:sz="4" w:space="0" w:color="auto"/>
              <w:right w:val="single" w:sz="4" w:space="0" w:color="auto"/>
            </w:tcBorders>
            <w:noWrap/>
            <w:hideMark/>
          </w:tcPr>
          <w:p w14:paraId="0117365A" w14:textId="77777777" w:rsidR="00031241" w:rsidRPr="008A6717" w:rsidRDefault="00031241" w:rsidP="00031241">
            <w:pPr>
              <w:pStyle w:val="TableText0"/>
              <w:rPr>
                <w:lang w:val="de-DE"/>
              </w:rPr>
            </w:pPr>
            <w:r w:rsidRPr="008A6717">
              <w:rPr>
                <w:lang w:val="de-DE"/>
              </w:rPr>
              <w:t>1,248,811</w:t>
            </w:r>
          </w:p>
        </w:tc>
        <w:tc>
          <w:tcPr>
            <w:tcW w:w="1085" w:type="dxa"/>
            <w:tcBorders>
              <w:top w:val="single" w:sz="4" w:space="0" w:color="auto"/>
              <w:left w:val="single" w:sz="4" w:space="0" w:color="auto"/>
              <w:bottom w:val="single" w:sz="4" w:space="0" w:color="auto"/>
              <w:right w:val="single" w:sz="4" w:space="0" w:color="auto"/>
            </w:tcBorders>
          </w:tcPr>
          <w:p w14:paraId="728CC9F9" w14:textId="77777777" w:rsidR="00031241" w:rsidRPr="008A6717" w:rsidRDefault="00031241" w:rsidP="00031241">
            <w:pPr>
              <w:pStyle w:val="TableText0"/>
              <w:rPr>
                <w:lang w:val="de-DE"/>
              </w:rPr>
            </w:pPr>
            <w:r w:rsidRPr="008A6717">
              <w:rPr>
                <w:lang w:val="de-DE"/>
              </w:rPr>
              <w:t>$1,260,338</w:t>
            </w:r>
          </w:p>
        </w:tc>
      </w:tr>
      <w:tr w:rsidR="008A6717" w:rsidRPr="008A6717" w14:paraId="7E02E134"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4A05CB15" w14:textId="77777777" w:rsidR="00031241" w:rsidRPr="008A6717" w:rsidRDefault="00031241" w:rsidP="00031241">
            <w:pPr>
              <w:pStyle w:val="TableText0"/>
            </w:pPr>
            <w:r w:rsidRPr="008A6717">
              <w:t>Total cost of HbA1c pathology laboratory test</w:t>
            </w:r>
          </w:p>
        </w:tc>
        <w:tc>
          <w:tcPr>
            <w:tcW w:w="1118" w:type="dxa"/>
            <w:tcBorders>
              <w:top w:val="single" w:sz="4" w:space="0" w:color="auto"/>
              <w:left w:val="single" w:sz="4" w:space="0" w:color="auto"/>
              <w:bottom w:val="single" w:sz="4" w:space="0" w:color="auto"/>
              <w:right w:val="single" w:sz="4" w:space="0" w:color="auto"/>
            </w:tcBorders>
            <w:noWrap/>
            <w:hideMark/>
          </w:tcPr>
          <w:p w14:paraId="5B4CC330" w14:textId="77777777" w:rsidR="00031241" w:rsidRPr="008A6717" w:rsidRDefault="00031241" w:rsidP="00031241">
            <w:pPr>
              <w:pStyle w:val="TableText0"/>
              <w:rPr>
                <w:lang w:val="de-DE"/>
              </w:rPr>
            </w:pPr>
            <w:r w:rsidRPr="008A6717">
              <w:rPr>
                <w:lang w:val="de-DE"/>
              </w:rPr>
              <w:t>$25,924,288</w:t>
            </w:r>
          </w:p>
        </w:tc>
        <w:tc>
          <w:tcPr>
            <w:tcW w:w="1118" w:type="dxa"/>
            <w:tcBorders>
              <w:top w:val="single" w:sz="4" w:space="0" w:color="auto"/>
              <w:left w:val="single" w:sz="4" w:space="0" w:color="auto"/>
              <w:bottom w:val="single" w:sz="4" w:space="0" w:color="auto"/>
              <w:right w:val="single" w:sz="4" w:space="0" w:color="auto"/>
            </w:tcBorders>
            <w:noWrap/>
            <w:hideMark/>
          </w:tcPr>
          <w:p w14:paraId="2AE8EB1F" w14:textId="77777777" w:rsidR="00031241" w:rsidRPr="008A6717" w:rsidRDefault="00031241" w:rsidP="00031241">
            <w:pPr>
              <w:pStyle w:val="TableText0"/>
              <w:rPr>
                <w:lang w:val="de-DE"/>
              </w:rPr>
            </w:pPr>
            <w:r w:rsidRPr="008A6717">
              <w:rPr>
                <w:lang w:val="de-DE"/>
              </w:rPr>
              <w:t>$26,183,368</w:t>
            </w:r>
          </w:p>
        </w:tc>
        <w:tc>
          <w:tcPr>
            <w:tcW w:w="1118" w:type="dxa"/>
            <w:tcBorders>
              <w:top w:val="single" w:sz="4" w:space="0" w:color="auto"/>
              <w:left w:val="single" w:sz="4" w:space="0" w:color="auto"/>
              <w:bottom w:val="single" w:sz="4" w:space="0" w:color="auto"/>
              <w:right w:val="single" w:sz="4" w:space="0" w:color="auto"/>
            </w:tcBorders>
            <w:noWrap/>
            <w:hideMark/>
          </w:tcPr>
          <w:p w14:paraId="4490C034" w14:textId="77777777" w:rsidR="00031241" w:rsidRPr="008A6717" w:rsidRDefault="00031241" w:rsidP="00031241">
            <w:pPr>
              <w:pStyle w:val="TableText0"/>
              <w:rPr>
                <w:lang w:val="de-DE"/>
              </w:rPr>
            </w:pPr>
            <w:r w:rsidRPr="008A6717">
              <w:rPr>
                <w:lang w:val="de-DE"/>
              </w:rPr>
              <w:t>$26,438,597</w:t>
            </w:r>
          </w:p>
        </w:tc>
        <w:tc>
          <w:tcPr>
            <w:tcW w:w="1118" w:type="dxa"/>
            <w:tcBorders>
              <w:top w:val="single" w:sz="4" w:space="0" w:color="auto"/>
              <w:left w:val="single" w:sz="4" w:space="0" w:color="auto"/>
              <w:bottom w:val="single" w:sz="4" w:space="0" w:color="auto"/>
              <w:right w:val="single" w:sz="4" w:space="0" w:color="auto"/>
            </w:tcBorders>
            <w:noWrap/>
            <w:hideMark/>
          </w:tcPr>
          <w:p w14:paraId="002A70B9" w14:textId="77777777" w:rsidR="00031241" w:rsidRPr="008A6717" w:rsidRDefault="00031241" w:rsidP="00031241">
            <w:pPr>
              <w:pStyle w:val="TableText0"/>
              <w:rPr>
                <w:lang w:val="de-DE"/>
              </w:rPr>
            </w:pPr>
            <w:r w:rsidRPr="008A6717">
              <w:rPr>
                <w:lang w:val="de-DE"/>
              </w:rPr>
              <w:t>$26,689,580</w:t>
            </w:r>
          </w:p>
        </w:tc>
        <w:tc>
          <w:tcPr>
            <w:tcW w:w="1085" w:type="dxa"/>
            <w:tcBorders>
              <w:top w:val="single" w:sz="4" w:space="0" w:color="auto"/>
              <w:left w:val="single" w:sz="4" w:space="0" w:color="auto"/>
              <w:bottom w:val="single" w:sz="4" w:space="0" w:color="auto"/>
              <w:right w:val="single" w:sz="4" w:space="0" w:color="auto"/>
            </w:tcBorders>
          </w:tcPr>
          <w:p w14:paraId="773316E9" w14:textId="77777777" w:rsidR="00031241" w:rsidRPr="008A6717" w:rsidRDefault="00031241" w:rsidP="00031241">
            <w:pPr>
              <w:pStyle w:val="TableText0"/>
              <w:rPr>
                <w:lang w:val="de-DE"/>
              </w:rPr>
            </w:pPr>
            <w:r w:rsidRPr="008A6717">
              <w:rPr>
                <w:lang w:val="de-DE"/>
              </w:rPr>
              <w:t>$26,935,936</w:t>
            </w:r>
          </w:p>
        </w:tc>
      </w:tr>
      <w:tr w:rsidR="008A6717" w:rsidRPr="008A6717" w14:paraId="5C9AE2A8"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4F867A28" w14:textId="77777777" w:rsidR="00031241" w:rsidRPr="008A6717" w:rsidRDefault="00031241" w:rsidP="00031241">
            <w:pPr>
              <w:pStyle w:val="TableText0"/>
            </w:pPr>
            <w:r w:rsidRPr="008A6717">
              <w:t>Total number of services (</w:t>
            </w:r>
            <w:proofErr w:type="spellStart"/>
            <w:r w:rsidRPr="008A6717">
              <w:t>PoC</w:t>
            </w:r>
            <w:proofErr w:type="spellEnd"/>
            <w:r w:rsidRPr="008A6717">
              <w:t xml:space="preserve"> and PATH)</w:t>
            </w:r>
          </w:p>
        </w:tc>
        <w:tc>
          <w:tcPr>
            <w:tcW w:w="1118" w:type="dxa"/>
            <w:tcBorders>
              <w:top w:val="single" w:sz="4" w:space="0" w:color="auto"/>
              <w:left w:val="single" w:sz="4" w:space="0" w:color="auto"/>
              <w:bottom w:val="single" w:sz="4" w:space="0" w:color="auto"/>
              <w:right w:val="single" w:sz="4" w:space="0" w:color="auto"/>
            </w:tcBorders>
            <w:noWrap/>
            <w:hideMark/>
          </w:tcPr>
          <w:p w14:paraId="75092A84" w14:textId="77777777" w:rsidR="00031241" w:rsidRPr="008A6717" w:rsidRDefault="00031241" w:rsidP="00031241">
            <w:pPr>
              <w:pStyle w:val="TableText0"/>
              <w:rPr>
                <w:lang w:val="de-DE"/>
              </w:rPr>
            </w:pPr>
            <w:r w:rsidRPr="008A6717">
              <w:rPr>
                <w:lang w:val="de-DE"/>
              </w:rPr>
              <w:t>1,231,664</w:t>
            </w:r>
          </w:p>
        </w:tc>
        <w:tc>
          <w:tcPr>
            <w:tcW w:w="1118" w:type="dxa"/>
            <w:tcBorders>
              <w:top w:val="single" w:sz="4" w:space="0" w:color="auto"/>
              <w:left w:val="single" w:sz="4" w:space="0" w:color="auto"/>
              <w:bottom w:val="single" w:sz="4" w:space="0" w:color="auto"/>
              <w:right w:val="single" w:sz="4" w:space="0" w:color="auto"/>
            </w:tcBorders>
            <w:noWrap/>
            <w:hideMark/>
          </w:tcPr>
          <w:p w14:paraId="7BB10FEC" w14:textId="77777777" w:rsidR="00031241" w:rsidRPr="008A6717" w:rsidRDefault="00031241" w:rsidP="00031241">
            <w:pPr>
              <w:pStyle w:val="TableText0"/>
              <w:rPr>
                <w:lang w:val="de-DE"/>
              </w:rPr>
            </w:pPr>
            <w:r w:rsidRPr="008A6717">
              <w:rPr>
                <w:lang w:val="de-DE"/>
              </w:rPr>
              <w:t>1,263,410</w:t>
            </w:r>
          </w:p>
        </w:tc>
        <w:tc>
          <w:tcPr>
            <w:tcW w:w="1118" w:type="dxa"/>
            <w:tcBorders>
              <w:top w:val="single" w:sz="4" w:space="0" w:color="auto"/>
              <w:left w:val="single" w:sz="4" w:space="0" w:color="auto"/>
              <w:bottom w:val="single" w:sz="4" w:space="0" w:color="auto"/>
              <w:right w:val="single" w:sz="4" w:space="0" w:color="auto"/>
            </w:tcBorders>
            <w:noWrap/>
            <w:hideMark/>
          </w:tcPr>
          <w:p w14:paraId="52BCC83F" w14:textId="77777777" w:rsidR="00031241" w:rsidRPr="008A6717" w:rsidRDefault="00031241" w:rsidP="00031241">
            <w:pPr>
              <w:pStyle w:val="TableText0"/>
              <w:rPr>
                <w:lang w:val="de-DE"/>
              </w:rPr>
            </w:pPr>
            <w:r w:rsidRPr="008A6717">
              <w:rPr>
                <w:lang w:val="de-DE"/>
              </w:rPr>
              <w:t>1,295,975</w:t>
            </w:r>
          </w:p>
        </w:tc>
        <w:tc>
          <w:tcPr>
            <w:tcW w:w="1118" w:type="dxa"/>
            <w:tcBorders>
              <w:top w:val="single" w:sz="4" w:space="0" w:color="auto"/>
              <w:left w:val="single" w:sz="4" w:space="0" w:color="auto"/>
              <w:bottom w:val="single" w:sz="4" w:space="0" w:color="auto"/>
              <w:right w:val="single" w:sz="4" w:space="0" w:color="auto"/>
            </w:tcBorders>
            <w:noWrap/>
            <w:hideMark/>
          </w:tcPr>
          <w:p w14:paraId="2F5AE7F0" w14:textId="77777777" w:rsidR="00031241" w:rsidRPr="008A6717" w:rsidRDefault="00031241" w:rsidP="00031241">
            <w:pPr>
              <w:pStyle w:val="TableText0"/>
              <w:rPr>
                <w:lang w:val="de-DE"/>
              </w:rPr>
            </w:pPr>
            <w:r w:rsidRPr="008A6717">
              <w:rPr>
                <w:lang w:val="de-DE"/>
              </w:rPr>
              <w:t>1,329,379</w:t>
            </w:r>
          </w:p>
        </w:tc>
        <w:tc>
          <w:tcPr>
            <w:tcW w:w="1085" w:type="dxa"/>
            <w:tcBorders>
              <w:top w:val="single" w:sz="4" w:space="0" w:color="auto"/>
              <w:left w:val="single" w:sz="4" w:space="0" w:color="auto"/>
              <w:bottom w:val="single" w:sz="4" w:space="0" w:color="auto"/>
              <w:right w:val="single" w:sz="4" w:space="0" w:color="auto"/>
            </w:tcBorders>
          </w:tcPr>
          <w:p w14:paraId="4D80ADDD" w14:textId="77777777" w:rsidR="00031241" w:rsidRPr="008A6717" w:rsidRDefault="00031241" w:rsidP="00031241">
            <w:pPr>
              <w:pStyle w:val="TableText0"/>
              <w:rPr>
                <w:lang w:val="de-DE"/>
              </w:rPr>
            </w:pPr>
            <w:r w:rsidRPr="008A6717">
              <w:rPr>
                <w:lang w:val="de-DE"/>
              </w:rPr>
              <w:t>$1,363,644</w:t>
            </w:r>
          </w:p>
        </w:tc>
      </w:tr>
      <w:tr w:rsidR="008A6717" w:rsidRPr="008A6717" w14:paraId="451C1242"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3CF62C09" w14:textId="77777777" w:rsidR="00031241" w:rsidRPr="008A6717" w:rsidRDefault="00031241" w:rsidP="00031241">
            <w:pPr>
              <w:pStyle w:val="TableText0"/>
            </w:pPr>
            <w:r w:rsidRPr="008A6717">
              <w:t>Total costs associated with HbA1c tests (</w:t>
            </w:r>
            <w:proofErr w:type="spellStart"/>
            <w:r w:rsidRPr="008A6717">
              <w:t>PoC</w:t>
            </w:r>
            <w:proofErr w:type="spellEnd"/>
            <w:r w:rsidRPr="008A6717">
              <w:t xml:space="preserve"> and PATH)</w:t>
            </w:r>
          </w:p>
        </w:tc>
        <w:tc>
          <w:tcPr>
            <w:tcW w:w="1118" w:type="dxa"/>
            <w:tcBorders>
              <w:top w:val="single" w:sz="4" w:space="0" w:color="auto"/>
              <w:left w:val="single" w:sz="4" w:space="0" w:color="auto"/>
              <w:bottom w:val="single" w:sz="4" w:space="0" w:color="auto"/>
              <w:right w:val="single" w:sz="4" w:space="0" w:color="auto"/>
            </w:tcBorders>
            <w:noWrap/>
            <w:hideMark/>
          </w:tcPr>
          <w:p w14:paraId="4B04296A" w14:textId="77777777" w:rsidR="00031241" w:rsidRPr="008A6717" w:rsidRDefault="00031241" w:rsidP="00031241">
            <w:pPr>
              <w:pStyle w:val="TableText0"/>
              <w:rPr>
                <w:lang w:val="de-DE"/>
              </w:rPr>
            </w:pPr>
            <w:r w:rsidRPr="008A6717">
              <w:rPr>
                <w:lang w:val="de-DE"/>
              </w:rPr>
              <w:t>$26,320,324</w:t>
            </w:r>
          </w:p>
          <w:p w14:paraId="79B5A0AB" w14:textId="77777777" w:rsidR="00031241" w:rsidRPr="008A6717" w:rsidRDefault="00031241" w:rsidP="00031241">
            <w:pPr>
              <w:pStyle w:val="TableText0"/>
              <w:rPr>
                <w:lang w:val="de-DE"/>
              </w:rPr>
            </w:pPr>
            <w:r w:rsidRPr="008A6717">
              <w:rPr>
                <w:i/>
                <w:lang w:val="de-DE"/>
              </w:rPr>
              <w:t>$25,924,279</w:t>
            </w:r>
          </w:p>
        </w:tc>
        <w:tc>
          <w:tcPr>
            <w:tcW w:w="1118" w:type="dxa"/>
            <w:tcBorders>
              <w:top w:val="single" w:sz="4" w:space="0" w:color="auto"/>
              <w:left w:val="single" w:sz="4" w:space="0" w:color="auto"/>
              <w:bottom w:val="single" w:sz="4" w:space="0" w:color="auto"/>
              <w:right w:val="single" w:sz="4" w:space="0" w:color="auto"/>
            </w:tcBorders>
            <w:noWrap/>
            <w:hideMark/>
          </w:tcPr>
          <w:p w14:paraId="47E1C62B" w14:textId="77777777" w:rsidR="00031241" w:rsidRPr="008A6717" w:rsidRDefault="00031241" w:rsidP="00031241">
            <w:pPr>
              <w:pStyle w:val="TableText0"/>
              <w:rPr>
                <w:lang w:val="de-DE"/>
              </w:rPr>
            </w:pPr>
            <w:r w:rsidRPr="008A6717">
              <w:rPr>
                <w:lang w:val="de-DE"/>
              </w:rPr>
              <w:t>$26,995,856</w:t>
            </w:r>
          </w:p>
          <w:p w14:paraId="3B7C37D0" w14:textId="77777777" w:rsidR="00031241" w:rsidRPr="008A6717" w:rsidRDefault="00031241" w:rsidP="00031241">
            <w:pPr>
              <w:pStyle w:val="TableText0"/>
              <w:rPr>
                <w:lang w:val="de-DE"/>
              </w:rPr>
            </w:pPr>
            <w:r w:rsidRPr="008A6717">
              <w:rPr>
                <w:i/>
                <w:lang w:val="de-DE"/>
              </w:rPr>
              <w:t>$26,183,372</w:t>
            </w:r>
          </w:p>
        </w:tc>
        <w:tc>
          <w:tcPr>
            <w:tcW w:w="1118" w:type="dxa"/>
            <w:tcBorders>
              <w:top w:val="single" w:sz="4" w:space="0" w:color="auto"/>
              <w:left w:val="single" w:sz="4" w:space="0" w:color="auto"/>
              <w:bottom w:val="single" w:sz="4" w:space="0" w:color="auto"/>
              <w:right w:val="single" w:sz="4" w:space="0" w:color="auto"/>
            </w:tcBorders>
            <w:noWrap/>
            <w:hideMark/>
          </w:tcPr>
          <w:p w14:paraId="2775F863" w14:textId="77777777" w:rsidR="00031241" w:rsidRPr="008A6717" w:rsidRDefault="00031241" w:rsidP="00031241">
            <w:pPr>
              <w:pStyle w:val="TableText0"/>
              <w:rPr>
                <w:lang w:val="de-DE"/>
              </w:rPr>
            </w:pPr>
            <w:r w:rsidRPr="008A6717">
              <w:rPr>
                <w:lang w:val="de-DE"/>
              </w:rPr>
              <w:t>$27,688,742</w:t>
            </w:r>
          </w:p>
          <w:p w14:paraId="73C6AEED" w14:textId="77777777" w:rsidR="00031241" w:rsidRPr="008A6717" w:rsidRDefault="00031241" w:rsidP="00031241">
            <w:pPr>
              <w:pStyle w:val="TableText0"/>
              <w:rPr>
                <w:lang w:val="de-DE"/>
              </w:rPr>
            </w:pPr>
            <w:r w:rsidRPr="008A6717">
              <w:rPr>
                <w:i/>
                <w:lang w:val="de-DE"/>
              </w:rPr>
              <w:t>$27,688,742</w:t>
            </w:r>
          </w:p>
        </w:tc>
        <w:tc>
          <w:tcPr>
            <w:tcW w:w="1118" w:type="dxa"/>
            <w:tcBorders>
              <w:top w:val="single" w:sz="4" w:space="0" w:color="auto"/>
              <w:left w:val="single" w:sz="4" w:space="0" w:color="auto"/>
              <w:bottom w:val="single" w:sz="4" w:space="0" w:color="auto"/>
              <w:right w:val="single" w:sz="4" w:space="0" w:color="auto"/>
            </w:tcBorders>
            <w:noWrap/>
            <w:hideMark/>
          </w:tcPr>
          <w:p w14:paraId="2831A672" w14:textId="77777777" w:rsidR="00031241" w:rsidRPr="008A6717" w:rsidRDefault="00031241" w:rsidP="00031241">
            <w:pPr>
              <w:pStyle w:val="TableText0"/>
              <w:rPr>
                <w:lang w:val="de-DE"/>
              </w:rPr>
            </w:pPr>
            <w:r w:rsidRPr="008A6717">
              <w:rPr>
                <w:lang w:val="de-DE"/>
              </w:rPr>
              <w:t>$28,399,403</w:t>
            </w:r>
          </w:p>
          <w:p w14:paraId="13CB3012" w14:textId="77777777" w:rsidR="00031241" w:rsidRPr="008A6717" w:rsidRDefault="00031241" w:rsidP="00031241">
            <w:pPr>
              <w:pStyle w:val="TableText0"/>
              <w:rPr>
                <w:lang w:val="de-DE"/>
              </w:rPr>
            </w:pPr>
            <w:r w:rsidRPr="008A6717">
              <w:rPr>
                <w:i/>
                <w:lang w:val="de-DE"/>
              </w:rPr>
              <w:t>$26,689,589</w:t>
            </w:r>
          </w:p>
        </w:tc>
        <w:tc>
          <w:tcPr>
            <w:tcW w:w="1085" w:type="dxa"/>
            <w:tcBorders>
              <w:top w:val="single" w:sz="4" w:space="0" w:color="auto"/>
              <w:left w:val="single" w:sz="4" w:space="0" w:color="auto"/>
              <w:bottom w:val="single" w:sz="4" w:space="0" w:color="auto"/>
              <w:right w:val="single" w:sz="4" w:space="0" w:color="auto"/>
            </w:tcBorders>
          </w:tcPr>
          <w:p w14:paraId="74FFCF0B" w14:textId="77777777" w:rsidR="00031241" w:rsidRPr="008A6717" w:rsidRDefault="00031241" w:rsidP="00031241">
            <w:pPr>
              <w:pStyle w:val="TableText0"/>
              <w:rPr>
                <w:lang w:val="de-DE"/>
              </w:rPr>
            </w:pPr>
            <w:r w:rsidRPr="008A6717">
              <w:rPr>
                <w:lang w:val="de-DE"/>
              </w:rPr>
              <w:t>$29,128,304</w:t>
            </w:r>
          </w:p>
          <w:p w14:paraId="14B6D528" w14:textId="77777777" w:rsidR="00031241" w:rsidRPr="008A6717" w:rsidRDefault="00031241" w:rsidP="00031241">
            <w:pPr>
              <w:pStyle w:val="TableText0"/>
              <w:rPr>
                <w:lang w:val="de-DE"/>
              </w:rPr>
            </w:pPr>
            <w:r w:rsidRPr="008A6717">
              <w:rPr>
                <w:i/>
                <w:lang w:val="de-DE"/>
              </w:rPr>
              <w:t>$26,395,944</w:t>
            </w:r>
          </w:p>
        </w:tc>
      </w:tr>
      <w:tr w:rsidR="008A6717" w:rsidRPr="008A6717" w14:paraId="137E9958" w14:textId="77777777" w:rsidTr="00135EA6">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60F546B1" w14:textId="77777777" w:rsidR="00031241" w:rsidRPr="008A6717" w:rsidRDefault="00031241" w:rsidP="00031241">
            <w:pPr>
              <w:pStyle w:val="TableText0"/>
            </w:pPr>
            <w:r w:rsidRPr="008A6717">
              <w:t>Net change in test cost (</w:t>
            </w:r>
            <w:proofErr w:type="spellStart"/>
            <w:r w:rsidRPr="008A6717">
              <w:t>PoC</w:t>
            </w:r>
            <w:proofErr w:type="spellEnd"/>
            <w:r w:rsidRPr="008A6717">
              <w:t>: -$0.15 per test)</w:t>
            </w:r>
          </w:p>
        </w:tc>
        <w:tc>
          <w:tcPr>
            <w:tcW w:w="1118" w:type="dxa"/>
            <w:tcBorders>
              <w:top w:val="single" w:sz="4" w:space="0" w:color="auto"/>
              <w:left w:val="single" w:sz="4" w:space="0" w:color="auto"/>
              <w:bottom w:val="single" w:sz="4" w:space="0" w:color="auto"/>
              <w:right w:val="single" w:sz="4" w:space="0" w:color="auto"/>
            </w:tcBorders>
            <w:noWrap/>
            <w:hideMark/>
          </w:tcPr>
          <w:p w14:paraId="3CA5D08A" w14:textId="77777777" w:rsidR="00031241" w:rsidRPr="008A6717" w:rsidRDefault="00031241" w:rsidP="00031241">
            <w:pPr>
              <w:pStyle w:val="TableText0"/>
              <w:rPr>
                <w:lang w:val="de-DE"/>
              </w:rPr>
            </w:pPr>
            <w:r w:rsidRPr="008A6717">
              <w:rPr>
                <w:lang w:val="de-DE"/>
              </w:rPr>
              <w:t>-$2,799</w:t>
            </w:r>
          </w:p>
        </w:tc>
        <w:tc>
          <w:tcPr>
            <w:tcW w:w="1118" w:type="dxa"/>
            <w:tcBorders>
              <w:top w:val="single" w:sz="4" w:space="0" w:color="auto"/>
              <w:left w:val="single" w:sz="4" w:space="0" w:color="auto"/>
              <w:bottom w:val="single" w:sz="4" w:space="0" w:color="auto"/>
              <w:right w:val="single" w:sz="4" w:space="0" w:color="auto"/>
            </w:tcBorders>
            <w:noWrap/>
            <w:hideMark/>
          </w:tcPr>
          <w:p w14:paraId="403E089D" w14:textId="77777777" w:rsidR="00031241" w:rsidRPr="008A6717" w:rsidRDefault="00031241" w:rsidP="00031241">
            <w:pPr>
              <w:pStyle w:val="TableText0"/>
              <w:rPr>
                <w:lang w:val="de-DE"/>
              </w:rPr>
            </w:pPr>
            <w:r w:rsidRPr="008A6717">
              <w:rPr>
                <w:lang w:val="de-DE"/>
              </w:rPr>
              <w:t>-$5,743</w:t>
            </w:r>
          </w:p>
        </w:tc>
        <w:tc>
          <w:tcPr>
            <w:tcW w:w="1118" w:type="dxa"/>
            <w:tcBorders>
              <w:top w:val="single" w:sz="4" w:space="0" w:color="auto"/>
              <w:left w:val="single" w:sz="4" w:space="0" w:color="auto"/>
              <w:bottom w:val="single" w:sz="4" w:space="0" w:color="auto"/>
              <w:right w:val="single" w:sz="4" w:space="0" w:color="auto"/>
            </w:tcBorders>
            <w:noWrap/>
            <w:hideMark/>
          </w:tcPr>
          <w:p w14:paraId="26DD37A4" w14:textId="77777777" w:rsidR="00031241" w:rsidRPr="008A6717" w:rsidRDefault="00031241" w:rsidP="00031241">
            <w:pPr>
              <w:pStyle w:val="TableText0"/>
              <w:rPr>
                <w:lang w:val="de-DE"/>
              </w:rPr>
            </w:pPr>
            <w:r w:rsidRPr="008A6717">
              <w:rPr>
                <w:lang w:val="de-DE"/>
              </w:rPr>
              <w:t>-$8,836</w:t>
            </w:r>
          </w:p>
        </w:tc>
        <w:tc>
          <w:tcPr>
            <w:tcW w:w="1118" w:type="dxa"/>
            <w:tcBorders>
              <w:top w:val="single" w:sz="4" w:space="0" w:color="auto"/>
              <w:left w:val="single" w:sz="4" w:space="0" w:color="auto"/>
              <w:bottom w:val="single" w:sz="4" w:space="0" w:color="auto"/>
              <w:right w:val="single" w:sz="4" w:space="0" w:color="auto"/>
            </w:tcBorders>
            <w:noWrap/>
            <w:hideMark/>
          </w:tcPr>
          <w:p w14:paraId="0FAC68CC" w14:textId="77777777" w:rsidR="00031241" w:rsidRPr="008A6717" w:rsidRDefault="00031241" w:rsidP="00031241">
            <w:pPr>
              <w:pStyle w:val="TableText0"/>
              <w:rPr>
                <w:lang w:val="de-DE"/>
              </w:rPr>
            </w:pPr>
            <w:r w:rsidRPr="008A6717">
              <w:rPr>
                <w:lang w:val="de-DE"/>
              </w:rPr>
              <w:t>-$12,085</w:t>
            </w:r>
          </w:p>
        </w:tc>
        <w:tc>
          <w:tcPr>
            <w:tcW w:w="1085" w:type="dxa"/>
            <w:tcBorders>
              <w:top w:val="single" w:sz="4" w:space="0" w:color="auto"/>
              <w:left w:val="single" w:sz="4" w:space="0" w:color="auto"/>
              <w:bottom w:val="single" w:sz="4" w:space="0" w:color="auto"/>
              <w:right w:val="single" w:sz="4" w:space="0" w:color="auto"/>
            </w:tcBorders>
          </w:tcPr>
          <w:p w14:paraId="643D01E5" w14:textId="77777777" w:rsidR="00031241" w:rsidRPr="008A6717" w:rsidRDefault="00031241" w:rsidP="00031241">
            <w:pPr>
              <w:pStyle w:val="TableText0"/>
              <w:rPr>
                <w:lang w:val="de-DE"/>
              </w:rPr>
            </w:pPr>
            <w:r w:rsidRPr="008A6717">
              <w:rPr>
                <w:lang w:val="de-DE"/>
              </w:rPr>
              <w:t>-$15,496</w:t>
            </w:r>
          </w:p>
        </w:tc>
      </w:tr>
      <w:tr w:rsidR="008A6717" w:rsidRPr="008A6717" w14:paraId="0670D74E" w14:textId="77777777" w:rsidTr="00135EA6">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7ACD6EB3" w14:textId="77777777" w:rsidR="00031241" w:rsidRPr="008A6717" w:rsidRDefault="00031241" w:rsidP="00031241">
            <w:pPr>
              <w:pStyle w:val="TableText0"/>
            </w:pPr>
            <w:r w:rsidRPr="008A6717">
              <w:t>Total net change to the MBS</w:t>
            </w:r>
          </w:p>
        </w:tc>
        <w:tc>
          <w:tcPr>
            <w:tcW w:w="1118" w:type="dxa"/>
            <w:tcBorders>
              <w:top w:val="single" w:sz="4" w:space="0" w:color="auto"/>
              <w:left w:val="single" w:sz="4" w:space="0" w:color="auto"/>
              <w:bottom w:val="single" w:sz="4" w:space="0" w:color="auto"/>
              <w:right w:val="single" w:sz="4" w:space="0" w:color="auto"/>
            </w:tcBorders>
            <w:noWrap/>
            <w:hideMark/>
          </w:tcPr>
          <w:p w14:paraId="361CCFE6" w14:textId="77777777" w:rsidR="00031241" w:rsidRPr="008A6717" w:rsidRDefault="00031241" w:rsidP="00031241">
            <w:pPr>
              <w:pStyle w:val="TableText0"/>
              <w:rPr>
                <w:lang w:val="de-DE"/>
              </w:rPr>
            </w:pPr>
            <w:r w:rsidRPr="008A6717">
              <w:rPr>
                <w:lang w:val="de-DE"/>
              </w:rPr>
              <w:t>-$2,799</w:t>
            </w:r>
          </w:p>
        </w:tc>
        <w:tc>
          <w:tcPr>
            <w:tcW w:w="1118" w:type="dxa"/>
            <w:tcBorders>
              <w:top w:val="single" w:sz="4" w:space="0" w:color="auto"/>
              <w:left w:val="single" w:sz="4" w:space="0" w:color="auto"/>
              <w:bottom w:val="single" w:sz="4" w:space="0" w:color="auto"/>
              <w:right w:val="single" w:sz="4" w:space="0" w:color="auto"/>
            </w:tcBorders>
            <w:noWrap/>
            <w:hideMark/>
          </w:tcPr>
          <w:p w14:paraId="0A608299" w14:textId="77777777" w:rsidR="00031241" w:rsidRPr="008A6717" w:rsidRDefault="00031241" w:rsidP="00031241">
            <w:pPr>
              <w:pStyle w:val="TableText0"/>
              <w:rPr>
                <w:lang w:val="de-DE"/>
              </w:rPr>
            </w:pPr>
            <w:r w:rsidRPr="008A6717">
              <w:rPr>
                <w:lang w:val="de-DE"/>
              </w:rPr>
              <w:t>-$5,743</w:t>
            </w:r>
          </w:p>
        </w:tc>
        <w:tc>
          <w:tcPr>
            <w:tcW w:w="1118" w:type="dxa"/>
            <w:tcBorders>
              <w:top w:val="single" w:sz="4" w:space="0" w:color="auto"/>
              <w:left w:val="single" w:sz="4" w:space="0" w:color="auto"/>
              <w:bottom w:val="single" w:sz="4" w:space="0" w:color="auto"/>
              <w:right w:val="single" w:sz="4" w:space="0" w:color="auto"/>
            </w:tcBorders>
            <w:noWrap/>
            <w:hideMark/>
          </w:tcPr>
          <w:p w14:paraId="337EEB78" w14:textId="77777777" w:rsidR="00031241" w:rsidRPr="008A6717" w:rsidRDefault="00031241" w:rsidP="00031241">
            <w:pPr>
              <w:pStyle w:val="TableText0"/>
              <w:rPr>
                <w:lang w:val="de-DE"/>
              </w:rPr>
            </w:pPr>
            <w:r w:rsidRPr="008A6717">
              <w:rPr>
                <w:lang w:val="de-DE"/>
              </w:rPr>
              <w:t>-$8,836</w:t>
            </w:r>
          </w:p>
        </w:tc>
        <w:tc>
          <w:tcPr>
            <w:tcW w:w="1118" w:type="dxa"/>
            <w:tcBorders>
              <w:top w:val="single" w:sz="4" w:space="0" w:color="auto"/>
              <w:left w:val="single" w:sz="4" w:space="0" w:color="auto"/>
              <w:bottom w:val="single" w:sz="4" w:space="0" w:color="auto"/>
              <w:right w:val="single" w:sz="4" w:space="0" w:color="auto"/>
            </w:tcBorders>
            <w:noWrap/>
            <w:hideMark/>
          </w:tcPr>
          <w:p w14:paraId="271C23CD" w14:textId="77777777" w:rsidR="00031241" w:rsidRPr="008A6717" w:rsidRDefault="00031241" w:rsidP="00031241">
            <w:pPr>
              <w:pStyle w:val="TableText0"/>
              <w:rPr>
                <w:lang w:val="de-DE"/>
              </w:rPr>
            </w:pPr>
            <w:r w:rsidRPr="008A6717">
              <w:rPr>
                <w:lang w:val="de-DE"/>
              </w:rPr>
              <w:t>-$12,085</w:t>
            </w:r>
          </w:p>
        </w:tc>
        <w:tc>
          <w:tcPr>
            <w:tcW w:w="1085" w:type="dxa"/>
            <w:tcBorders>
              <w:top w:val="single" w:sz="4" w:space="0" w:color="auto"/>
              <w:left w:val="single" w:sz="4" w:space="0" w:color="auto"/>
              <w:bottom w:val="single" w:sz="4" w:space="0" w:color="auto"/>
              <w:right w:val="single" w:sz="4" w:space="0" w:color="auto"/>
            </w:tcBorders>
          </w:tcPr>
          <w:p w14:paraId="7D9634B4" w14:textId="77777777" w:rsidR="00031241" w:rsidRPr="008A6717" w:rsidRDefault="00031241" w:rsidP="00031241">
            <w:pPr>
              <w:pStyle w:val="TableText0"/>
              <w:rPr>
                <w:lang w:val="de-DE"/>
              </w:rPr>
            </w:pPr>
            <w:r w:rsidRPr="008A6717">
              <w:rPr>
                <w:lang w:val="de-DE"/>
              </w:rPr>
              <w:t>-$15,496</w:t>
            </w:r>
          </w:p>
        </w:tc>
      </w:tr>
    </w:tbl>
    <w:p w14:paraId="32006CD4" w14:textId="77777777" w:rsidR="00031241" w:rsidRPr="008A6717" w:rsidRDefault="00031241" w:rsidP="00031241">
      <w:pPr>
        <w:pStyle w:val="Tablenotes"/>
        <w:rPr>
          <w:rFonts w:eastAsia="SimSun"/>
        </w:rPr>
      </w:pPr>
      <w:r w:rsidRPr="008A6717">
        <w:rPr>
          <w:rFonts w:eastAsia="SimSun"/>
        </w:rPr>
        <w:t>Source = Table 18, p36 of the resubmission</w:t>
      </w:r>
    </w:p>
    <w:p w14:paraId="555BE246" w14:textId="77777777" w:rsidR="00031241" w:rsidRPr="008A6717" w:rsidRDefault="00031241" w:rsidP="00031241">
      <w:pPr>
        <w:pStyle w:val="TFAbbrevs0"/>
        <w:rPr>
          <w:rFonts w:eastAsia="SimSun"/>
          <w:snapToGrid w:val="0"/>
          <w:color w:val="auto"/>
          <w:lang w:eastAsia="zh-CN"/>
        </w:rPr>
      </w:pPr>
      <w:r w:rsidRPr="008A6717">
        <w:rPr>
          <w:rFonts w:eastAsia="SimSun"/>
          <w:snapToGrid w:val="0"/>
          <w:color w:val="auto"/>
          <w:lang w:eastAsia="zh-CN"/>
        </w:rPr>
        <w:t xml:space="preserve">HbA1c = glycated haemoglobin; MBS = Medicare Benefits Schedule; PATH = pathology laboratory testing; </w:t>
      </w:r>
      <w:proofErr w:type="spellStart"/>
      <w:r w:rsidRPr="008A6717">
        <w:rPr>
          <w:rFonts w:eastAsia="SimSun"/>
          <w:snapToGrid w:val="0"/>
          <w:color w:val="auto"/>
          <w:lang w:eastAsia="zh-CN"/>
        </w:rPr>
        <w:t>PoC</w:t>
      </w:r>
      <w:proofErr w:type="spellEnd"/>
      <w:r w:rsidRPr="008A6717">
        <w:rPr>
          <w:rFonts w:eastAsia="SimSun"/>
          <w:snapToGrid w:val="0"/>
          <w:color w:val="auto"/>
          <w:lang w:eastAsia="zh-CN"/>
        </w:rPr>
        <w:t xml:space="preserve"> = </w:t>
      </w:r>
      <w:r w:rsidRPr="008A6717">
        <w:rPr>
          <w:rFonts w:eastAsia="SimSun"/>
          <w:snapToGrid w:val="0"/>
          <w:color w:val="auto"/>
          <w:lang w:eastAsia="en-US"/>
        </w:rPr>
        <w:t>P</w:t>
      </w:r>
      <w:r w:rsidRPr="008A6717">
        <w:rPr>
          <w:rFonts w:eastAsia="SimSun"/>
          <w:snapToGrid w:val="0"/>
          <w:color w:val="auto"/>
          <w:lang w:eastAsia="zh-CN"/>
        </w:rPr>
        <w:t xml:space="preserve">oint of </w:t>
      </w:r>
      <w:r w:rsidRPr="008A6717">
        <w:rPr>
          <w:rFonts w:eastAsia="SimSun"/>
          <w:snapToGrid w:val="0"/>
          <w:color w:val="auto"/>
          <w:lang w:eastAsia="en-US"/>
        </w:rPr>
        <w:t>C</w:t>
      </w:r>
      <w:r w:rsidRPr="008A6717">
        <w:rPr>
          <w:rFonts w:eastAsia="SimSun"/>
          <w:snapToGrid w:val="0"/>
          <w:color w:val="auto"/>
          <w:lang w:eastAsia="zh-CN"/>
        </w:rPr>
        <w:t>are</w:t>
      </w:r>
    </w:p>
    <w:p w14:paraId="4104686D" w14:textId="77777777" w:rsidR="00031241" w:rsidRPr="008A6717" w:rsidRDefault="00031241" w:rsidP="00031241">
      <w:pPr>
        <w:pStyle w:val="TFAbbrevs0"/>
        <w:rPr>
          <w:snapToGrid w:val="0"/>
          <w:color w:val="auto"/>
        </w:rPr>
      </w:pPr>
      <w:proofErr w:type="gramStart"/>
      <w:r w:rsidRPr="008A6717">
        <w:rPr>
          <w:snapToGrid w:val="0"/>
          <w:color w:val="auto"/>
          <w:vertAlign w:val="superscript"/>
        </w:rPr>
        <w:t>a</w:t>
      </w:r>
      <w:proofErr w:type="gramEnd"/>
      <w:r w:rsidRPr="008A6717">
        <w:rPr>
          <w:snapToGrid w:val="0"/>
          <w:color w:val="auto"/>
          <w:vertAlign w:val="superscript"/>
        </w:rPr>
        <w:t xml:space="preserve"> </w:t>
      </w:r>
      <w:r w:rsidRPr="008A6717">
        <w:rPr>
          <w:snapToGrid w:val="0"/>
          <w:color w:val="auto"/>
        </w:rPr>
        <w:t xml:space="preserve">MBS utilisation of item 66551 in 2015/16 (coned: 1,200,715; coned &amp; </w:t>
      </w:r>
      <w:proofErr w:type="spellStart"/>
      <w:r w:rsidRPr="008A6717">
        <w:rPr>
          <w:snapToGrid w:val="0"/>
          <w:color w:val="auto"/>
        </w:rPr>
        <w:t>unconed</w:t>
      </w:r>
      <w:proofErr w:type="spellEnd"/>
      <w:r w:rsidRPr="008A6717">
        <w:rPr>
          <w:snapToGrid w:val="0"/>
          <w:color w:val="auto"/>
        </w:rPr>
        <w:t>: 1,866,158), with annual growth applied of 2.6%</w:t>
      </w:r>
    </w:p>
    <w:p w14:paraId="612704FF" w14:textId="77777777" w:rsidR="00031241" w:rsidRPr="008A6717" w:rsidRDefault="00031241" w:rsidP="00031241">
      <w:pPr>
        <w:pStyle w:val="Comment"/>
        <w:spacing w:after="120"/>
        <w:rPr>
          <w:rFonts w:ascii="Arial Narrow" w:hAnsi="Arial Narrow"/>
          <w:snapToGrid w:val="0"/>
          <w:color w:val="auto"/>
          <w:sz w:val="18"/>
          <w:lang w:eastAsia="en-US"/>
        </w:rPr>
      </w:pPr>
      <w:r w:rsidRPr="008A6717">
        <w:rPr>
          <w:rFonts w:ascii="Arial Narrow" w:hAnsi="Arial Narrow"/>
          <w:snapToGrid w:val="0"/>
          <w:color w:val="auto"/>
          <w:sz w:val="18"/>
          <w:lang w:eastAsia="en-US"/>
        </w:rPr>
        <w:t>Values in italics represents calculated during Critique</w:t>
      </w:r>
    </w:p>
    <w:p w14:paraId="26736206" w14:textId="33A2AC5A" w:rsidR="00031241" w:rsidRPr="000934B8" w:rsidRDefault="00031241" w:rsidP="00031241">
      <w:pPr>
        <w:rPr>
          <w:snapToGrid w:val="0"/>
          <w:lang w:eastAsia="en-US"/>
        </w:rPr>
      </w:pPr>
      <w:r>
        <w:rPr>
          <w:snapToGrid w:val="0"/>
          <w:lang w:eastAsia="en-US"/>
        </w:rPr>
        <w:t>The 85% rebate level for HbA1c testing (</w:t>
      </w:r>
      <w:proofErr w:type="spellStart"/>
      <w:r>
        <w:rPr>
          <w:snapToGrid w:val="0"/>
          <w:lang w:eastAsia="en-US"/>
        </w:rPr>
        <w:t>PoC</w:t>
      </w:r>
      <w:proofErr w:type="spellEnd"/>
      <w:r>
        <w:rPr>
          <w:snapToGrid w:val="0"/>
          <w:lang w:eastAsia="en-US"/>
        </w:rPr>
        <w:t xml:space="preserve"> and pathology; </w:t>
      </w:r>
      <w:r w:rsidRPr="003C09FA">
        <w:fldChar w:fldCharType="begin"/>
      </w:r>
      <w:r w:rsidRPr="003C09FA">
        <w:instrText xml:space="preserve"> REF _Ref534706392 \h </w:instrText>
      </w:r>
      <w:r>
        <w:instrText xml:space="preserve"> \* MERGEFORMAT </w:instrText>
      </w:r>
      <w:r w:rsidRPr="003C09FA">
        <w:fldChar w:fldCharType="separate"/>
      </w:r>
      <w:r w:rsidR="00AE4BFA" w:rsidRPr="00AE4BFA">
        <w:t>Table 5</w:t>
      </w:r>
      <w:r w:rsidRPr="003C09FA">
        <w:fldChar w:fldCharType="end"/>
      </w:r>
      <w:r>
        <w:rPr>
          <w:snapToGrid w:val="0"/>
          <w:lang w:eastAsia="en-US"/>
        </w:rPr>
        <w:t xml:space="preserve">) was considered more appropriate, </w:t>
      </w:r>
      <w:r w:rsidRPr="00541B77">
        <w:rPr>
          <w:snapToGrid w:val="0"/>
          <w:lang w:eastAsia="en-US"/>
        </w:rPr>
        <w:t>based on average MBS benefits paid from utilisation of MBS item 66551 over 2013/14 to 2017/18.</w:t>
      </w:r>
      <w:r>
        <w:rPr>
          <w:snapToGrid w:val="0"/>
          <w:lang w:eastAsia="en-US"/>
        </w:rPr>
        <w:t xml:space="preserve"> However, this made negligible impact to the total net cost to the MBS (compared with resubmission’s app</w:t>
      </w:r>
      <w:r w:rsidR="000934B8">
        <w:rPr>
          <w:snapToGrid w:val="0"/>
          <w:lang w:eastAsia="en-US"/>
        </w:rPr>
        <w:t>roach using 100% rebate level).</w:t>
      </w:r>
    </w:p>
    <w:p w14:paraId="3384457D" w14:textId="0A71AAA5" w:rsidR="00031241" w:rsidRPr="00995BBA" w:rsidRDefault="00031241" w:rsidP="00995BBA">
      <w:pPr>
        <w:keepNext/>
        <w:keepLines/>
        <w:rPr>
          <w:rFonts w:ascii="Arial Narrow" w:hAnsi="Arial Narrow"/>
          <w:b/>
          <w:sz w:val="20"/>
        </w:rPr>
      </w:pPr>
      <w:bookmarkStart w:id="12" w:name="_Ref534706392"/>
      <w:bookmarkStart w:id="13" w:name="_Toc534796376"/>
      <w:r w:rsidRPr="00995BBA">
        <w:rPr>
          <w:rFonts w:ascii="Arial Narrow" w:hAnsi="Arial Narrow"/>
          <w:b/>
          <w:sz w:val="20"/>
        </w:rPr>
        <w:lastRenderedPageBreak/>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5</w:t>
      </w:r>
      <w:r w:rsidRPr="00995BBA">
        <w:rPr>
          <w:rFonts w:ascii="Arial Narrow" w:hAnsi="Arial Narrow"/>
          <w:b/>
          <w:sz w:val="20"/>
        </w:rPr>
        <w:fldChar w:fldCharType="end"/>
      </w:r>
      <w:bookmarkEnd w:id="12"/>
      <w:r w:rsidRPr="00995BBA">
        <w:rPr>
          <w:rFonts w:ascii="Arial Narrow" w:hAnsi="Arial Narrow"/>
          <w:b/>
          <w:sz w:val="20"/>
        </w:rPr>
        <w:tab/>
        <w:t xml:space="preserve">Budget impact estimations for HbA1c testing (using average yearly 85% rebate for HbA1c </w:t>
      </w:r>
      <w:proofErr w:type="spellStart"/>
      <w:r w:rsidRPr="00995BBA">
        <w:rPr>
          <w:rFonts w:ascii="Arial Narrow" w:hAnsi="Arial Narrow"/>
          <w:b/>
          <w:sz w:val="20"/>
        </w:rPr>
        <w:t>testinga</w:t>
      </w:r>
      <w:proofErr w:type="spellEnd"/>
      <w:r w:rsidRPr="00995BBA">
        <w:rPr>
          <w:rFonts w:ascii="Arial Narrow" w:hAnsi="Arial Narrow"/>
          <w:b/>
          <w:sz w:val="20"/>
        </w:rPr>
        <w:t>)</w:t>
      </w:r>
      <w:bookmarkEnd w:id="13"/>
    </w:p>
    <w:tbl>
      <w:tblPr>
        <w:tblStyle w:val="Summarybox1"/>
        <w:tblW w:w="9100" w:type="dxa"/>
        <w:tblLayout w:type="fixed"/>
        <w:tblCellMar>
          <w:left w:w="28" w:type="dxa"/>
          <w:right w:w="28" w:type="dxa"/>
        </w:tblCellMar>
        <w:tblLook w:val="04A0" w:firstRow="1" w:lastRow="0" w:firstColumn="1" w:lastColumn="0" w:noHBand="0" w:noVBand="1"/>
        <w:tblCaption w:val="Budget impact estimations for HbA1c testing (using average yearly 85% rebate for HbA1c testing)"/>
        <w:tblDescription w:val="Summary of five year budget impact of listing the proposed service"/>
      </w:tblPr>
      <w:tblGrid>
        <w:gridCol w:w="3397"/>
        <w:gridCol w:w="1140"/>
        <w:gridCol w:w="1141"/>
        <w:gridCol w:w="1140"/>
        <w:gridCol w:w="1141"/>
        <w:gridCol w:w="1141"/>
      </w:tblGrid>
      <w:tr w:rsidR="008A6717" w:rsidRPr="008A6717" w14:paraId="6AECDD41" w14:textId="77777777" w:rsidTr="00135EA6">
        <w:trPr>
          <w:trHeight w:val="375"/>
          <w:tblHeader/>
        </w:trPr>
        <w:tc>
          <w:tcPr>
            <w:tcW w:w="3397" w:type="dxa"/>
            <w:tcBorders>
              <w:top w:val="single" w:sz="4" w:space="0" w:color="auto"/>
              <w:left w:val="single" w:sz="4" w:space="0" w:color="auto"/>
              <w:bottom w:val="single" w:sz="4" w:space="0" w:color="auto"/>
              <w:right w:val="single" w:sz="4" w:space="0" w:color="auto"/>
            </w:tcBorders>
            <w:noWrap/>
          </w:tcPr>
          <w:p w14:paraId="746AA6EC" w14:textId="77777777" w:rsidR="00031241" w:rsidRPr="008A6717" w:rsidRDefault="00031241" w:rsidP="00995BBA">
            <w:pPr>
              <w:pStyle w:val="TableText0"/>
              <w:keepLines/>
              <w:rPr>
                <w:b/>
                <w:lang w:val="de-DE"/>
              </w:rPr>
            </w:pPr>
            <w:r w:rsidRPr="008A6717">
              <w:rPr>
                <w:b/>
                <w:lang w:val="de-DE"/>
              </w:rPr>
              <w:t>Net cost to MBS</w:t>
            </w:r>
          </w:p>
        </w:tc>
        <w:tc>
          <w:tcPr>
            <w:tcW w:w="1140" w:type="dxa"/>
            <w:tcBorders>
              <w:top w:val="single" w:sz="4" w:space="0" w:color="auto"/>
              <w:left w:val="single" w:sz="4" w:space="0" w:color="auto"/>
              <w:bottom w:val="single" w:sz="4" w:space="0" w:color="auto"/>
              <w:right w:val="single" w:sz="4" w:space="0" w:color="auto"/>
            </w:tcBorders>
            <w:noWrap/>
          </w:tcPr>
          <w:p w14:paraId="3A9295C2" w14:textId="77777777" w:rsidR="00031241" w:rsidRPr="008A6717" w:rsidRDefault="00031241" w:rsidP="00995BBA">
            <w:pPr>
              <w:pStyle w:val="TableText0"/>
              <w:keepLines/>
              <w:rPr>
                <w:b/>
                <w:lang w:val="de-DE"/>
              </w:rPr>
            </w:pPr>
            <w:r w:rsidRPr="008A6717">
              <w:rPr>
                <w:b/>
                <w:lang w:val="de-DE"/>
              </w:rPr>
              <w:t>Year 1</w:t>
            </w:r>
          </w:p>
        </w:tc>
        <w:tc>
          <w:tcPr>
            <w:tcW w:w="1141" w:type="dxa"/>
            <w:tcBorders>
              <w:top w:val="single" w:sz="4" w:space="0" w:color="auto"/>
              <w:left w:val="single" w:sz="4" w:space="0" w:color="auto"/>
              <w:bottom w:val="single" w:sz="4" w:space="0" w:color="auto"/>
              <w:right w:val="single" w:sz="4" w:space="0" w:color="auto"/>
            </w:tcBorders>
            <w:noWrap/>
          </w:tcPr>
          <w:p w14:paraId="24880E37" w14:textId="77777777" w:rsidR="00031241" w:rsidRPr="008A6717" w:rsidRDefault="00031241" w:rsidP="00995BBA">
            <w:pPr>
              <w:pStyle w:val="TableText0"/>
              <w:keepLines/>
              <w:rPr>
                <w:b/>
                <w:lang w:val="de-DE"/>
              </w:rPr>
            </w:pPr>
            <w:r w:rsidRPr="008A6717">
              <w:rPr>
                <w:b/>
                <w:lang w:val="de-DE"/>
              </w:rPr>
              <w:t>Year 2</w:t>
            </w:r>
          </w:p>
        </w:tc>
        <w:tc>
          <w:tcPr>
            <w:tcW w:w="1140" w:type="dxa"/>
            <w:tcBorders>
              <w:top w:val="single" w:sz="4" w:space="0" w:color="auto"/>
              <w:left w:val="single" w:sz="4" w:space="0" w:color="auto"/>
              <w:bottom w:val="single" w:sz="4" w:space="0" w:color="auto"/>
              <w:right w:val="single" w:sz="4" w:space="0" w:color="auto"/>
            </w:tcBorders>
            <w:noWrap/>
          </w:tcPr>
          <w:p w14:paraId="12962C8C" w14:textId="77777777" w:rsidR="00031241" w:rsidRPr="008A6717" w:rsidRDefault="00031241" w:rsidP="00995BBA">
            <w:pPr>
              <w:pStyle w:val="TableText0"/>
              <w:keepLines/>
              <w:rPr>
                <w:b/>
                <w:lang w:val="de-DE"/>
              </w:rPr>
            </w:pPr>
            <w:r w:rsidRPr="008A6717">
              <w:rPr>
                <w:b/>
                <w:lang w:val="de-DE"/>
              </w:rPr>
              <w:t>Year 3</w:t>
            </w:r>
          </w:p>
        </w:tc>
        <w:tc>
          <w:tcPr>
            <w:tcW w:w="1141" w:type="dxa"/>
            <w:tcBorders>
              <w:top w:val="single" w:sz="4" w:space="0" w:color="auto"/>
              <w:left w:val="single" w:sz="4" w:space="0" w:color="auto"/>
              <w:bottom w:val="single" w:sz="4" w:space="0" w:color="auto"/>
              <w:right w:val="single" w:sz="4" w:space="0" w:color="auto"/>
            </w:tcBorders>
            <w:noWrap/>
          </w:tcPr>
          <w:p w14:paraId="2637C529" w14:textId="77777777" w:rsidR="00031241" w:rsidRPr="008A6717" w:rsidRDefault="00031241" w:rsidP="00995BBA">
            <w:pPr>
              <w:pStyle w:val="TableText0"/>
              <w:keepLines/>
              <w:rPr>
                <w:b/>
                <w:lang w:val="de-DE"/>
              </w:rPr>
            </w:pPr>
            <w:r w:rsidRPr="008A6717">
              <w:rPr>
                <w:b/>
                <w:lang w:val="de-DE"/>
              </w:rPr>
              <w:t>Year 4</w:t>
            </w:r>
          </w:p>
        </w:tc>
        <w:tc>
          <w:tcPr>
            <w:tcW w:w="1141" w:type="dxa"/>
            <w:tcBorders>
              <w:top w:val="single" w:sz="4" w:space="0" w:color="auto"/>
              <w:left w:val="single" w:sz="4" w:space="0" w:color="auto"/>
              <w:bottom w:val="single" w:sz="4" w:space="0" w:color="auto"/>
              <w:right w:val="single" w:sz="4" w:space="0" w:color="auto"/>
            </w:tcBorders>
          </w:tcPr>
          <w:p w14:paraId="4493889E" w14:textId="77777777" w:rsidR="00031241" w:rsidRPr="008A6717" w:rsidRDefault="00031241" w:rsidP="00995BBA">
            <w:pPr>
              <w:pStyle w:val="TableText0"/>
              <w:keepLines/>
              <w:rPr>
                <w:b/>
                <w:lang w:val="de-DE"/>
              </w:rPr>
            </w:pPr>
            <w:r w:rsidRPr="008A6717">
              <w:rPr>
                <w:b/>
                <w:lang w:val="de-DE"/>
              </w:rPr>
              <w:t>Year 5</w:t>
            </w:r>
          </w:p>
        </w:tc>
      </w:tr>
      <w:tr w:rsidR="008A6717" w:rsidRPr="008A6717" w14:paraId="41147292"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1BF0E7DF" w14:textId="77777777" w:rsidR="00031241" w:rsidRPr="008A6717" w:rsidRDefault="00031241" w:rsidP="00995BBA">
            <w:pPr>
              <w:pStyle w:val="TableText0"/>
              <w:keepLines/>
              <w:rPr>
                <w:b/>
                <w:lang w:val="de-DE"/>
              </w:rPr>
            </w:pPr>
            <w:r w:rsidRPr="008A6717">
              <w:rPr>
                <w:b/>
                <w:lang w:val="de-DE"/>
              </w:rPr>
              <w:t>-</w:t>
            </w:r>
          </w:p>
        </w:tc>
        <w:tc>
          <w:tcPr>
            <w:tcW w:w="1140" w:type="dxa"/>
            <w:tcBorders>
              <w:top w:val="single" w:sz="4" w:space="0" w:color="auto"/>
              <w:left w:val="single" w:sz="4" w:space="0" w:color="auto"/>
              <w:bottom w:val="single" w:sz="4" w:space="0" w:color="auto"/>
              <w:right w:val="single" w:sz="4" w:space="0" w:color="auto"/>
            </w:tcBorders>
            <w:noWrap/>
            <w:hideMark/>
          </w:tcPr>
          <w:p w14:paraId="03FC272A" w14:textId="77777777" w:rsidR="00031241" w:rsidRPr="008A6717" w:rsidRDefault="00031241" w:rsidP="00995BBA">
            <w:pPr>
              <w:pStyle w:val="TableText0"/>
              <w:keepLines/>
              <w:rPr>
                <w:b/>
                <w:lang w:val="de-DE"/>
              </w:rPr>
            </w:pPr>
            <w:r w:rsidRPr="008A6717">
              <w:rPr>
                <w:b/>
                <w:lang w:val="de-DE"/>
              </w:rPr>
              <w:t>2018</w:t>
            </w:r>
          </w:p>
        </w:tc>
        <w:tc>
          <w:tcPr>
            <w:tcW w:w="1141" w:type="dxa"/>
            <w:tcBorders>
              <w:top w:val="single" w:sz="4" w:space="0" w:color="auto"/>
              <w:left w:val="single" w:sz="4" w:space="0" w:color="auto"/>
              <w:bottom w:val="single" w:sz="4" w:space="0" w:color="auto"/>
              <w:right w:val="single" w:sz="4" w:space="0" w:color="auto"/>
            </w:tcBorders>
            <w:noWrap/>
            <w:hideMark/>
          </w:tcPr>
          <w:p w14:paraId="7B771EDE" w14:textId="77777777" w:rsidR="00031241" w:rsidRPr="008A6717" w:rsidRDefault="00031241" w:rsidP="00995BBA">
            <w:pPr>
              <w:pStyle w:val="TableText0"/>
              <w:keepLines/>
              <w:rPr>
                <w:b/>
                <w:lang w:val="de-DE"/>
              </w:rPr>
            </w:pPr>
            <w:r w:rsidRPr="008A6717">
              <w:rPr>
                <w:b/>
                <w:lang w:val="de-DE"/>
              </w:rPr>
              <w:t>2019</w:t>
            </w:r>
          </w:p>
        </w:tc>
        <w:tc>
          <w:tcPr>
            <w:tcW w:w="1140" w:type="dxa"/>
            <w:tcBorders>
              <w:top w:val="single" w:sz="4" w:space="0" w:color="auto"/>
              <w:left w:val="single" w:sz="4" w:space="0" w:color="auto"/>
              <w:bottom w:val="single" w:sz="4" w:space="0" w:color="auto"/>
              <w:right w:val="single" w:sz="4" w:space="0" w:color="auto"/>
            </w:tcBorders>
            <w:noWrap/>
            <w:hideMark/>
          </w:tcPr>
          <w:p w14:paraId="23E815B9" w14:textId="77777777" w:rsidR="00031241" w:rsidRPr="008A6717" w:rsidRDefault="00031241" w:rsidP="00995BBA">
            <w:pPr>
              <w:pStyle w:val="TableText0"/>
              <w:keepLines/>
              <w:rPr>
                <w:b/>
                <w:lang w:val="de-DE"/>
              </w:rPr>
            </w:pPr>
            <w:r w:rsidRPr="008A6717">
              <w:rPr>
                <w:b/>
                <w:lang w:val="de-DE"/>
              </w:rPr>
              <w:t>2020</w:t>
            </w:r>
          </w:p>
        </w:tc>
        <w:tc>
          <w:tcPr>
            <w:tcW w:w="1141" w:type="dxa"/>
            <w:tcBorders>
              <w:top w:val="single" w:sz="4" w:space="0" w:color="auto"/>
              <w:left w:val="single" w:sz="4" w:space="0" w:color="auto"/>
              <w:bottom w:val="single" w:sz="4" w:space="0" w:color="auto"/>
              <w:right w:val="single" w:sz="4" w:space="0" w:color="auto"/>
            </w:tcBorders>
            <w:noWrap/>
            <w:hideMark/>
          </w:tcPr>
          <w:p w14:paraId="1996236A" w14:textId="77777777" w:rsidR="00031241" w:rsidRPr="008A6717" w:rsidRDefault="00031241" w:rsidP="00995BBA">
            <w:pPr>
              <w:pStyle w:val="TableText0"/>
              <w:keepLines/>
              <w:rPr>
                <w:b/>
                <w:lang w:val="de-DE"/>
              </w:rPr>
            </w:pPr>
            <w:r w:rsidRPr="008A6717">
              <w:rPr>
                <w:b/>
                <w:lang w:val="de-DE"/>
              </w:rPr>
              <w:t>2021</w:t>
            </w:r>
          </w:p>
        </w:tc>
        <w:tc>
          <w:tcPr>
            <w:tcW w:w="1141" w:type="dxa"/>
            <w:tcBorders>
              <w:top w:val="single" w:sz="4" w:space="0" w:color="auto"/>
              <w:left w:val="single" w:sz="4" w:space="0" w:color="auto"/>
              <w:bottom w:val="single" w:sz="4" w:space="0" w:color="auto"/>
              <w:right w:val="single" w:sz="4" w:space="0" w:color="auto"/>
            </w:tcBorders>
          </w:tcPr>
          <w:p w14:paraId="2FD95EBE" w14:textId="77777777" w:rsidR="00031241" w:rsidRPr="008A6717" w:rsidRDefault="00031241" w:rsidP="00995BBA">
            <w:pPr>
              <w:pStyle w:val="TableText0"/>
              <w:keepLines/>
              <w:rPr>
                <w:b/>
                <w:lang w:val="de-DE"/>
              </w:rPr>
            </w:pPr>
            <w:r w:rsidRPr="008A6717">
              <w:rPr>
                <w:b/>
                <w:lang w:val="de-DE"/>
              </w:rPr>
              <w:t>2022</w:t>
            </w:r>
          </w:p>
        </w:tc>
      </w:tr>
      <w:tr w:rsidR="008A6717" w:rsidRPr="008A6717" w14:paraId="228BF6E3"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tcPr>
          <w:p w14:paraId="487C12D2" w14:textId="77777777" w:rsidR="00031241" w:rsidRPr="008A6717" w:rsidRDefault="00031241" w:rsidP="00031241">
            <w:pPr>
              <w:pStyle w:val="TableText0"/>
            </w:pPr>
            <w:r w:rsidRPr="008A6717">
              <w:t>Uptake rate (based on assumption)</w:t>
            </w:r>
          </w:p>
        </w:tc>
        <w:tc>
          <w:tcPr>
            <w:tcW w:w="1140" w:type="dxa"/>
            <w:tcBorders>
              <w:top w:val="single" w:sz="4" w:space="0" w:color="auto"/>
              <w:left w:val="single" w:sz="4" w:space="0" w:color="auto"/>
              <w:bottom w:val="single" w:sz="4" w:space="0" w:color="auto"/>
              <w:right w:val="single" w:sz="4" w:space="0" w:color="auto"/>
            </w:tcBorders>
            <w:noWrap/>
          </w:tcPr>
          <w:p w14:paraId="5AEADC94" w14:textId="77777777" w:rsidR="00031241" w:rsidRPr="008A6717" w:rsidRDefault="00031241" w:rsidP="00031241">
            <w:pPr>
              <w:pStyle w:val="TableText0"/>
              <w:rPr>
                <w:lang w:val="de-DE"/>
              </w:rPr>
            </w:pPr>
            <w:r w:rsidRPr="008A6717">
              <w:rPr>
                <w:lang w:val="de-DE"/>
              </w:rPr>
              <w:t>1%</w:t>
            </w:r>
          </w:p>
        </w:tc>
        <w:tc>
          <w:tcPr>
            <w:tcW w:w="1141" w:type="dxa"/>
            <w:tcBorders>
              <w:top w:val="single" w:sz="4" w:space="0" w:color="auto"/>
              <w:left w:val="single" w:sz="4" w:space="0" w:color="auto"/>
              <w:bottom w:val="single" w:sz="4" w:space="0" w:color="auto"/>
              <w:right w:val="single" w:sz="4" w:space="0" w:color="auto"/>
            </w:tcBorders>
            <w:noWrap/>
          </w:tcPr>
          <w:p w14:paraId="7F1CEEE1" w14:textId="77777777" w:rsidR="00031241" w:rsidRPr="008A6717" w:rsidRDefault="00031241" w:rsidP="00031241">
            <w:pPr>
              <w:pStyle w:val="TableText0"/>
              <w:rPr>
                <w:lang w:val="de-DE"/>
              </w:rPr>
            </w:pPr>
            <w:r w:rsidRPr="008A6717">
              <w:rPr>
                <w:lang w:val="de-DE"/>
              </w:rPr>
              <w:t>2%</w:t>
            </w:r>
          </w:p>
        </w:tc>
        <w:tc>
          <w:tcPr>
            <w:tcW w:w="1140" w:type="dxa"/>
            <w:tcBorders>
              <w:top w:val="single" w:sz="4" w:space="0" w:color="auto"/>
              <w:left w:val="single" w:sz="4" w:space="0" w:color="auto"/>
              <w:bottom w:val="single" w:sz="4" w:space="0" w:color="auto"/>
              <w:right w:val="single" w:sz="4" w:space="0" w:color="auto"/>
            </w:tcBorders>
            <w:noWrap/>
          </w:tcPr>
          <w:p w14:paraId="14053B22" w14:textId="77777777" w:rsidR="00031241" w:rsidRPr="008A6717" w:rsidRDefault="00031241" w:rsidP="00031241">
            <w:pPr>
              <w:pStyle w:val="TableText0"/>
              <w:rPr>
                <w:lang w:val="de-DE"/>
              </w:rPr>
            </w:pPr>
            <w:r w:rsidRPr="008A6717">
              <w:rPr>
                <w:lang w:val="de-DE"/>
              </w:rPr>
              <w:t>3%</w:t>
            </w:r>
          </w:p>
        </w:tc>
        <w:tc>
          <w:tcPr>
            <w:tcW w:w="1141" w:type="dxa"/>
            <w:tcBorders>
              <w:top w:val="single" w:sz="4" w:space="0" w:color="auto"/>
              <w:left w:val="single" w:sz="4" w:space="0" w:color="auto"/>
              <w:bottom w:val="single" w:sz="4" w:space="0" w:color="auto"/>
              <w:right w:val="single" w:sz="4" w:space="0" w:color="auto"/>
            </w:tcBorders>
            <w:noWrap/>
          </w:tcPr>
          <w:p w14:paraId="27BA318A" w14:textId="77777777" w:rsidR="00031241" w:rsidRPr="008A6717" w:rsidRDefault="00031241" w:rsidP="00031241">
            <w:pPr>
              <w:pStyle w:val="TableText0"/>
              <w:rPr>
                <w:lang w:val="de-DE"/>
              </w:rPr>
            </w:pPr>
            <w:r w:rsidRPr="008A6717">
              <w:rPr>
                <w:lang w:val="de-DE"/>
              </w:rPr>
              <w:t>4%</w:t>
            </w:r>
          </w:p>
        </w:tc>
        <w:tc>
          <w:tcPr>
            <w:tcW w:w="1141" w:type="dxa"/>
            <w:tcBorders>
              <w:top w:val="single" w:sz="4" w:space="0" w:color="auto"/>
              <w:left w:val="single" w:sz="4" w:space="0" w:color="auto"/>
              <w:bottom w:val="single" w:sz="4" w:space="0" w:color="auto"/>
              <w:right w:val="single" w:sz="4" w:space="0" w:color="auto"/>
            </w:tcBorders>
          </w:tcPr>
          <w:p w14:paraId="2D0B38BA" w14:textId="77777777" w:rsidR="00031241" w:rsidRPr="008A6717" w:rsidRDefault="00031241" w:rsidP="00031241">
            <w:pPr>
              <w:pStyle w:val="TableText0"/>
              <w:rPr>
                <w:lang w:val="de-DE"/>
              </w:rPr>
            </w:pPr>
            <w:r w:rsidRPr="008A6717">
              <w:rPr>
                <w:lang w:val="de-DE"/>
              </w:rPr>
              <w:t>5%</w:t>
            </w:r>
          </w:p>
        </w:tc>
      </w:tr>
      <w:tr w:rsidR="008A6717" w:rsidRPr="008A6717" w14:paraId="2C8D0AD0"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6E8B2898" w14:textId="77777777" w:rsidR="00031241" w:rsidRPr="008A6717" w:rsidRDefault="00031241" w:rsidP="00031241">
            <w:pPr>
              <w:pStyle w:val="TableText0"/>
            </w:pPr>
            <w:r w:rsidRPr="008A6717">
              <w:t xml:space="preserve">Number of HbA1c </w:t>
            </w:r>
            <w:proofErr w:type="spellStart"/>
            <w:r w:rsidRPr="008A6717">
              <w:t>PoC</w:t>
            </w:r>
            <w:proofErr w:type="spellEnd"/>
            <w:r w:rsidRPr="008A6717">
              <w:t xml:space="preserve"> test services substituted from pathology laboratory testing</w:t>
            </w:r>
          </w:p>
        </w:tc>
        <w:tc>
          <w:tcPr>
            <w:tcW w:w="1140" w:type="dxa"/>
            <w:tcBorders>
              <w:top w:val="single" w:sz="4" w:space="0" w:color="auto"/>
              <w:left w:val="single" w:sz="4" w:space="0" w:color="auto"/>
              <w:bottom w:val="single" w:sz="4" w:space="0" w:color="auto"/>
              <w:right w:val="single" w:sz="4" w:space="0" w:color="auto"/>
            </w:tcBorders>
            <w:noWrap/>
            <w:hideMark/>
          </w:tcPr>
          <w:p w14:paraId="6BA15005" w14:textId="77777777" w:rsidR="00031241" w:rsidRPr="008A6717" w:rsidRDefault="00031241" w:rsidP="00031241">
            <w:pPr>
              <w:pStyle w:val="TableText0"/>
              <w:rPr>
                <w:lang w:val="de-DE"/>
              </w:rPr>
            </w:pPr>
            <w:r w:rsidRPr="008A6717">
              <w:rPr>
                <w:lang w:val="de-DE"/>
              </w:rPr>
              <w:t>18,662</w:t>
            </w:r>
          </w:p>
        </w:tc>
        <w:tc>
          <w:tcPr>
            <w:tcW w:w="1141" w:type="dxa"/>
            <w:tcBorders>
              <w:top w:val="single" w:sz="4" w:space="0" w:color="auto"/>
              <w:left w:val="single" w:sz="4" w:space="0" w:color="auto"/>
              <w:bottom w:val="single" w:sz="4" w:space="0" w:color="auto"/>
              <w:right w:val="single" w:sz="4" w:space="0" w:color="auto"/>
            </w:tcBorders>
            <w:noWrap/>
            <w:hideMark/>
          </w:tcPr>
          <w:p w14:paraId="2687B2F3" w14:textId="77777777" w:rsidR="00031241" w:rsidRPr="008A6717" w:rsidRDefault="00031241" w:rsidP="00031241">
            <w:pPr>
              <w:pStyle w:val="TableText0"/>
              <w:rPr>
                <w:lang w:val="de-DE"/>
              </w:rPr>
            </w:pPr>
            <w:r w:rsidRPr="008A6717">
              <w:rPr>
                <w:lang w:val="de-DE"/>
              </w:rPr>
              <w:t>38,285</w:t>
            </w:r>
          </w:p>
        </w:tc>
        <w:tc>
          <w:tcPr>
            <w:tcW w:w="1140" w:type="dxa"/>
            <w:tcBorders>
              <w:top w:val="single" w:sz="4" w:space="0" w:color="auto"/>
              <w:left w:val="single" w:sz="4" w:space="0" w:color="auto"/>
              <w:bottom w:val="single" w:sz="4" w:space="0" w:color="auto"/>
              <w:right w:val="single" w:sz="4" w:space="0" w:color="auto"/>
            </w:tcBorders>
            <w:noWrap/>
            <w:hideMark/>
          </w:tcPr>
          <w:p w14:paraId="3EE8D3BE" w14:textId="77777777" w:rsidR="00031241" w:rsidRPr="008A6717" w:rsidRDefault="00031241" w:rsidP="00031241">
            <w:pPr>
              <w:pStyle w:val="TableText0"/>
              <w:rPr>
                <w:lang w:val="de-DE"/>
              </w:rPr>
            </w:pPr>
            <w:r w:rsidRPr="008A6717">
              <w:rPr>
                <w:lang w:val="de-DE"/>
              </w:rPr>
              <w:t>58,908</w:t>
            </w:r>
          </w:p>
        </w:tc>
        <w:tc>
          <w:tcPr>
            <w:tcW w:w="1141" w:type="dxa"/>
            <w:tcBorders>
              <w:top w:val="single" w:sz="4" w:space="0" w:color="auto"/>
              <w:left w:val="single" w:sz="4" w:space="0" w:color="auto"/>
              <w:bottom w:val="single" w:sz="4" w:space="0" w:color="auto"/>
              <w:right w:val="single" w:sz="4" w:space="0" w:color="auto"/>
            </w:tcBorders>
            <w:noWrap/>
            <w:hideMark/>
          </w:tcPr>
          <w:p w14:paraId="050FF419" w14:textId="77777777" w:rsidR="00031241" w:rsidRPr="008A6717" w:rsidRDefault="00031241" w:rsidP="00031241">
            <w:pPr>
              <w:pStyle w:val="TableText0"/>
              <w:rPr>
                <w:lang w:val="de-DE"/>
              </w:rPr>
            </w:pPr>
            <w:r w:rsidRPr="008A6717">
              <w:rPr>
                <w:lang w:val="de-DE"/>
              </w:rPr>
              <w:t>80,568</w:t>
            </w:r>
          </w:p>
        </w:tc>
        <w:tc>
          <w:tcPr>
            <w:tcW w:w="1141" w:type="dxa"/>
            <w:tcBorders>
              <w:top w:val="single" w:sz="4" w:space="0" w:color="auto"/>
              <w:left w:val="single" w:sz="4" w:space="0" w:color="auto"/>
              <w:bottom w:val="single" w:sz="4" w:space="0" w:color="auto"/>
              <w:right w:val="single" w:sz="4" w:space="0" w:color="auto"/>
            </w:tcBorders>
          </w:tcPr>
          <w:p w14:paraId="50140EEA" w14:textId="77777777" w:rsidR="00031241" w:rsidRPr="008A6717" w:rsidRDefault="00031241" w:rsidP="00031241">
            <w:pPr>
              <w:pStyle w:val="TableText0"/>
              <w:rPr>
                <w:lang w:val="de-DE"/>
              </w:rPr>
            </w:pPr>
            <w:r w:rsidRPr="008A6717">
              <w:rPr>
                <w:lang w:val="de-DE"/>
              </w:rPr>
              <w:t>103,306</w:t>
            </w:r>
          </w:p>
        </w:tc>
      </w:tr>
      <w:tr w:rsidR="008A6717" w:rsidRPr="008A6717" w14:paraId="31690D21"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39E4A54E" w14:textId="77777777" w:rsidR="00031241" w:rsidRPr="008A6717" w:rsidRDefault="00031241" w:rsidP="00031241">
            <w:pPr>
              <w:pStyle w:val="TableText0"/>
            </w:pPr>
            <w:r w:rsidRPr="008A6717">
              <w:t xml:space="preserve">Total cost of HbA1c </w:t>
            </w:r>
            <w:proofErr w:type="spellStart"/>
            <w:r w:rsidRPr="008A6717">
              <w:t>PoC</w:t>
            </w:r>
            <w:proofErr w:type="spellEnd"/>
            <w:r w:rsidRPr="008A6717">
              <w:t xml:space="preserve"> test  </w:t>
            </w:r>
          </w:p>
        </w:tc>
        <w:tc>
          <w:tcPr>
            <w:tcW w:w="1140" w:type="dxa"/>
            <w:tcBorders>
              <w:top w:val="single" w:sz="4" w:space="0" w:color="auto"/>
              <w:left w:val="single" w:sz="4" w:space="0" w:color="auto"/>
              <w:bottom w:val="single" w:sz="4" w:space="0" w:color="auto"/>
              <w:right w:val="single" w:sz="4" w:space="0" w:color="auto"/>
            </w:tcBorders>
            <w:noWrap/>
            <w:hideMark/>
          </w:tcPr>
          <w:p w14:paraId="13A66FB7" w14:textId="77777777" w:rsidR="00031241" w:rsidRPr="008A6717" w:rsidRDefault="00031241" w:rsidP="00031241">
            <w:pPr>
              <w:pStyle w:val="TableText0"/>
              <w:rPr>
                <w:lang w:val="de-DE"/>
              </w:rPr>
            </w:pPr>
            <w:r w:rsidRPr="008A6717">
              <w:t>$336,849</w:t>
            </w:r>
          </w:p>
        </w:tc>
        <w:tc>
          <w:tcPr>
            <w:tcW w:w="1141" w:type="dxa"/>
            <w:tcBorders>
              <w:top w:val="single" w:sz="4" w:space="0" w:color="auto"/>
              <w:left w:val="single" w:sz="4" w:space="0" w:color="auto"/>
              <w:bottom w:val="single" w:sz="4" w:space="0" w:color="auto"/>
              <w:right w:val="single" w:sz="4" w:space="0" w:color="auto"/>
            </w:tcBorders>
            <w:noWrap/>
            <w:hideMark/>
          </w:tcPr>
          <w:p w14:paraId="731872CE" w14:textId="77777777" w:rsidR="00031241" w:rsidRPr="008A6717" w:rsidRDefault="00031241" w:rsidP="00031241">
            <w:pPr>
              <w:pStyle w:val="TableText0"/>
              <w:rPr>
                <w:lang w:val="de-DE"/>
              </w:rPr>
            </w:pPr>
            <w:r w:rsidRPr="008A6717">
              <w:t>$812,484</w:t>
            </w:r>
          </w:p>
        </w:tc>
        <w:tc>
          <w:tcPr>
            <w:tcW w:w="1140" w:type="dxa"/>
            <w:tcBorders>
              <w:top w:val="single" w:sz="4" w:space="0" w:color="auto"/>
              <w:left w:val="single" w:sz="4" w:space="0" w:color="auto"/>
              <w:bottom w:val="single" w:sz="4" w:space="0" w:color="auto"/>
              <w:right w:val="single" w:sz="4" w:space="0" w:color="auto"/>
            </w:tcBorders>
            <w:noWrap/>
            <w:hideMark/>
          </w:tcPr>
          <w:p w14:paraId="0BF932F0" w14:textId="77777777" w:rsidR="00031241" w:rsidRPr="008A6717" w:rsidRDefault="00031241" w:rsidP="00031241">
            <w:pPr>
              <w:pStyle w:val="TableText0"/>
              <w:rPr>
                <w:lang w:val="de-DE"/>
              </w:rPr>
            </w:pPr>
            <w:r w:rsidRPr="008A6717">
              <w:t>$1,250,146</w:t>
            </w:r>
          </w:p>
        </w:tc>
        <w:tc>
          <w:tcPr>
            <w:tcW w:w="1141" w:type="dxa"/>
            <w:tcBorders>
              <w:top w:val="single" w:sz="4" w:space="0" w:color="auto"/>
              <w:left w:val="single" w:sz="4" w:space="0" w:color="auto"/>
              <w:bottom w:val="single" w:sz="4" w:space="0" w:color="auto"/>
              <w:right w:val="single" w:sz="4" w:space="0" w:color="auto"/>
            </w:tcBorders>
            <w:noWrap/>
            <w:hideMark/>
          </w:tcPr>
          <w:p w14:paraId="7223DC74" w14:textId="77777777" w:rsidR="00031241" w:rsidRPr="008A6717" w:rsidRDefault="00031241" w:rsidP="00031241">
            <w:pPr>
              <w:pStyle w:val="TableText0"/>
              <w:rPr>
                <w:lang w:val="de-DE"/>
              </w:rPr>
            </w:pPr>
            <w:r w:rsidRPr="008A6717">
              <w:t>$1,709,814</w:t>
            </w:r>
          </w:p>
        </w:tc>
        <w:tc>
          <w:tcPr>
            <w:tcW w:w="1141" w:type="dxa"/>
            <w:tcBorders>
              <w:top w:val="single" w:sz="4" w:space="0" w:color="auto"/>
              <w:left w:val="single" w:sz="4" w:space="0" w:color="auto"/>
              <w:bottom w:val="single" w:sz="4" w:space="0" w:color="auto"/>
              <w:right w:val="single" w:sz="4" w:space="0" w:color="auto"/>
            </w:tcBorders>
          </w:tcPr>
          <w:p w14:paraId="64CD41FA" w14:textId="77777777" w:rsidR="00031241" w:rsidRPr="008A6717" w:rsidRDefault="00031241" w:rsidP="00031241">
            <w:pPr>
              <w:pStyle w:val="TableText0"/>
              <w:rPr>
                <w:lang w:val="de-DE"/>
              </w:rPr>
            </w:pPr>
            <w:r w:rsidRPr="008A6717">
              <w:t>$2,192,360</w:t>
            </w:r>
          </w:p>
        </w:tc>
      </w:tr>
      <w:tr w:rsidR="008A6717" w:rsidRPr="008A6717" w14:paraId="4263D0BC"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262987C0" w14:textId="77777777" w:rsidR="00031241" w:rsidRPr="008A6717" w:rsidRDefault="00031241" w:rsidP="00031241">
            <w:pPr>
              <w:pStyle w:val="TableText0"/>
            </w:pPr>
            <w:r w:rsidRPr="008A6717">
              <w:t>Number of HbA1c PATH tests performed</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2249A5A5" w14:textId="77777777" w:rsidR="00031241" w:rsidRPr="008A6717" w:rsidRDefault="00031241" w:rsidP="00031241">
            <w:pPr>
              <w:pStyle w:val="TableText0"/>
              <w:rPr>
                <w:lang w:val="de-DE"/>
              </w:rPr>
            </w:pPr>
            <w:r w:rsidRPr="008A6717">
              <w:rPr>
                <w:lang w:val="de-DE"/>
              </w:rPr>
              <w:t>1,213,002</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7E647D0F" w14:textId="77777777" w:rsidR="00031241" w:rsidRPr="008A6717" w:rsidRDefault="00031241" w:rsidP="00031241">
            <w:pPr>
              <w:pStyle w:val="TableText0"/>
              <w:rPr>
                <w:lang w:val="de-DE"/>
              </w:rPr>
            </w:pPr>
            <w:r w:rsidRPr="008A6717">
              <w:rPr>
                <w:lang w:val="de-DE"/>
              </w:rPr>
              <w:t>1,225,125</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701EABA5" w14:textId="77777777" w:rsidR="00031241" w:rsidRPr="008A6717" w:rsidRDefault="00031241" w:rsidP="00031241">
            <w:pPr>
              <w:pStyle w:val="TableText0"/>
              <w:rPr>
                <w:lang w:val="de-DE"/>
              </w:rPr>
            </w:pPr>
            <w:r w:rsidRPr="008A6717">
              <w:rPr>
                <w:lang w:val="de-DE"/>
              </w:rPr>
              <w:t>1,237,067</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63ABDB3D" w14:textId="77777777" w:rsidR="00031241" w:rsidRPr="008A6717" w:rsidRDefault="00031241" w:rsidP="00031241">
            <w:pPr>
              <w:pStyle w:val="TableText0"/>
              <w:rPr>
                <w:lang w:val="de-DE"/>
              </w:rPr>
            </w:pPr>
            <w:r w:rsidRPr="008A6717">
              <w:rPr>
                <w:lang w:val="de-DE"/>
              </w:rPr>
              <w:t>1,248,811</w:t>
            </w:r>
          </w:p>
        </w:tc>
        <w:tc>
          <w:tcPr>
            <w:tcW w:w="1141" w:type="dxa"/>
            <w:tcBorders>
              <w:top w:val="single" w:sz="4" w:space="0" w:color="auto"/>
              <w:left w:val="single" w:sz="4" w:space="0" w:color="auto"/>
              <w:bottom w:val="single" w:sz="4" w:space="0" w:color="auto"/>
              <w:right w:val="single" w:sz="4" w:space="0" w:color="auto"/>
            </w:tcBorders>
            <w:vAlign w:val="bottom"/>
          </w:tcPr>
          <w:p w14:paraId="5306AE91" w14:textId="77777777" w:rsidR="00031241" w:rsidRPr="008A6717" w:rsidRDefault="00031241" w:rsidP="00031241">
            <w:pPr>
              <w:pStyle w:val="TableText0"/>
              <w:rPr>
                <w:lang w:val="de-DE"/>
              </w:rPr>
            </w:pPr>
            <w:r w:rsidRPr="008A6717">
              <w:rPr>
                <w:lang w:val="de-DE"/>
              </w:rPr>
              <w:t>1,260,338</w:t>
            </w:r>
          </w:p>
        </w:tc>
      </w:tr>
      <w:tr w:rsidR="008A6717" w:rsidRPr="008A6717" w14:paraId="53B396DA"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0A4B90E5" w14:textId="77777777" w:rsidR="00031241" w:rsidRPr="008A6717" w:rsidRDefault="00031241" w:rsidP="00031241">
            <w:pPr>
              <w:pStyle w:val="TableText0"/>
            </w:pPr>
            <w:r w:rsidRPr="008A6717">
              <w:t xml:space="preserve">Total cost of HbA1c PATH test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10025771" w14:textId="77777777" w:rsidR="00031241" w:rsidRPr="008A6717" w:rsidRDefault="00031241" w:rsidP="00031241">
            <w:pPr>
              <w:pStyle w:val="TableText0"/>
              <w:rPr>
                <w:i/>
                <w:lang w:val="de-DE"/>
              </w:rPr>
            </w:pPr>
            <w:r w:rsidRPr="008A6717">
              <w:rPr>
                <w:rFonts w:cs="Calibri"/>
                <w:i/>
                <w:lang w:val="de-DE"/>
              </w:rPr>
              <w:t>$22,049,452</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4E15102" w14:textId="77777777" w:rsidR="00031241" w:rsidRPr="008A6717" w:rsidRDefault="00031241" w:rsidP="00031241">
            <w:pPr>
              <w:pStyle w:val="TableText0"/>
              <w:rPr>
                <w:i/>
                <w:lang w:val="de-DE"/>
              </w:rPr>
            </w:pPr>
            <w:r w:rsidRPr="008A6717">
              <w:rPr>
                <w:rFonts w:cs="Calibri"/>
                <w:i/>
                <w:lang w:val="de-DE"/>
              </w:rPr>
              <w:t>$22,269,819</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12ED9418" w14:textId="77777777" w:rsidR="00031241" w:rsidRPr="008A6717" w:rsidRDefault="00031241" w:rsidP="00031241">
            <w:pPr>
              <w:pStyle w:val="TableText0"/>
              <w:rPr>
                <w:i/>
                <w:lang w:val="de-DE"/>
              </w:rPr>
            </w:pPr>
            <w:r w:rsidRPr="008A6717">
              <w:rPr>
                <w:rFonts w:cs="Calibri"/>
                <w:i/>
                <w:lang w:val="de-DE"/>
              </w:rPr>
              <w:t>$22,486,896</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3F571271" w14:textId="77777777" w:rsidR="00031241" w:rsidRPr="008A6717" w:rsidRDefault="00031241" w:rsidP="00031241">
            <w:pPr>
              <w:pStyle w:val="TableText0"/>
              <w:rPr>
                <w:i/>
                <w:lang w:val="de-DE"/>
              </w:rPr>
            </w:pPr>
            <w:r w:rsidRPr="008A6717">
              <w:rPr>
                <w:rFonts w:cs="Calibri"/>
                <w:i/>
                <w:lang w:val="de-DE"/>
              </w:rPr>
              <w:t>$22,700,374</w:t>
            </w:r>
          </w:p>
        </w:tc>
        <w:tc>
          <w:tcPr>
            <w:tcW w:w="1141" w:type="dxa"/>
            <w:tcBorders>
              <w:top w:val="single" w:sz="4" w:space="0" w:color="auto"/>
              <w:left w:val="single" w:sz="4" w:space="0" w:color="auto"/>
              <w:bottom w:val="single" w:sz="4" w:space="0" w:color="auto"/>
              <w:right w:val="single" w:sz="4" w:space="0" w:color="auto"/>
            </w:tcBorders>
            <w:vAlign w:val="bottom"/>
          </w:tcPr>
          <w:p w14:paraId="0A6B5BF6" w14:textId="77777777" w:rsidR="00031241" w:rsidRPr="008A6717" w:rsidRDefault="00031241" w:rsidP="00031241">
            <w:pPr>
              <w:pStyle w:val="TableText0"/>
              <w:rPr>
                <w:i/>
                <w:lang w:val="de-DE"/>
              </w:rPr>
            </w:pPr>
            <w:r w:rsidRPr="008A6717">
              <w:rPr>
                <w:rFonts w:cs="Calibri"/>
                <w:i/>
                <w:lang w:val="de-DE"/>
              </w:rPr>
              <w:t>$22,909,907</w:t>
            </w:r>
          </w:p>
        </w:tc>
      </w:tr>
      <w:tr w:rsidR="008A6717" w:rsidRPr="008A6717" w14:paraId="7AA6E359"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2BAF02A9" w14:textId="77777777" w:rsidR="00031241" w:rsidRPr="008A6717" w:rsidRDefault="00031241" w:rsidP="00031241">
            <w:pPr>
              <w:pStyle w:val="TableText0"/>
            </w:pPr>
            <w:r w:rsidRPr="008A6717">
              <w:t>Total number of services (</w:t>
            </w:r>
            <w:proofErr w:type="spellStart"/>
            <w:r w:rsidRPr="008A6717">
              <w:t>PoC</w:t>
            </w:r>
            <w:proofErr w:type="spellEnd"/>
            <w:r w:rsidRPr="008A6717">
              <w:t xml:space="preserve"> and PATH)</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7405E296" w14:textId="77777777" w:rsidR="00031241" w:rsidRPr="008A6717" w:rsidRDefault="00031241" w:rsidP="00031241">
            <w:pPr>
              <w:pStyle w:val="TableText0"/>
              <w:rPr>
                <w:lang w:val="de-DE"/>
              </w:rPr>
            </w:pPr>
            <w:r w:rsidRPr="008A6717">
              <w:rPr>
                <w:rFonts w:cs="Calibri"/>
                <w:lang w:val="de-DE"/>
              </w:rPr>
              <w:t>1,231,664</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20D2827D" w14:textId="77777777" w:rsidR="00031241" w:rsidRPr="008A6717" w:rsidRDefault="00031241" w:rsidP="00031241">
            <w:pPr>
              <w:pStyle w:val="TableText0"/>
              <w:rPr>
                <w:lang w:val="de-DE"/>
              </w:rPr>
            </w:pPr>
            <w:r w:rsidRPr="008A6717">
              <w:rPr>
                <w:rFonts w:cs="Calibri"/>
                <w:lang w:val="de-DE"/>
              </w:rPr>
              <w:t>1,263,410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46E4C1C3" w14:textId="77777777" w:rsidR="00031241" w:rsidRPr="008A6717" w:rsidRDefault="00031241" w:rsidP="00031241">
            <w:pPr>
              <w:pStyle w:val="TableText0"/>
              <w:rPr>
                <w:lang w:val="de-DE"/>
              </w:rPr>
            </w:pPr>
            <w:r w:rsidRPr="008A6717">
              <w:rPr>
                <w:rFonts w:cs="Calibri"/>
                <w:lang w:val="de-DE"/>
              </w:rPr>
              <w:t>1,295,975</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50EA3333" w14:textId="77777777" w:rsidR="00031241" w:rsidRPr="008A6717" w:rsidRDefault="00031241" w:rsidP="00031241">
            <w:pPr>
              <w:pStyle w:val="TableText0"/>
              <w:rPr>
                <w:lang w:val="de-DE"/>
              </w:rPr>
            </w:pPr>
            <w:r w:rsidRPr="008A6717">
              <w:rPr>
                <w:rFonts w:cs="Calibri"/>
                <w:lang w:val="de-DE"/>
              </w:rPr>
              <w:t>1,329,379</w:t>
            </w:r>
          </w:p>
        </w:tc>
        <w:tc>
          <w:tcPr>
            <w:tcW w:w="1141" w:type="dxa"/>
            <w:tcBorders>
              <w:top w:val="single" w:sz="4" w:space="0" w:color="auto"/>
              <w:left w:val="single" w:sz="4" w:space="0" w:color="auto"/>
              <w:bottom w:val="single" w:sz="4" w:space="0" w:color="auto"/>
              <w:right w:val="single" w:sz="4" w:space="0" w:color="auto"/>
            </w:tcBorders>
            <w:vAlign w:val="bottom"/>
          </w:tcPr>
          <w:p w14:paraId="43BB11CE" w14:textId="77777777" w:rsidR="00031241" w:rsidRPr="008A6717" w:rsidRDefault="00031241" w:rsidP="00031241">
            <w:pPr>
              <w:pStyle w:val="TableText0"/>
              <w:rPr>
                <w:lang w:val="de-DE"/>
              </w:rPr>
            </w:pPr>
            <w:r w:rsidRPr="008A6717">
              <w:rPr>
                <w:rFonts w:cs="Calibri"/>
                <w:lang w:val="de-DE"/>
              </w:rPr>
              <w:t>1,363,644</w:t>
            </w:r>
          </w:p>
        </w:tc>
      </w:tr>
      <w:tr w:rsidR="008A6717" w:rsidRPr="008A6717" w14:paraId="2E229142"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6F6CD387" w14:textId="77777777" w:rsidR="00031241" w:rsidRPr="008A6717" w:rsidRDefault="00031241" w:rsidP="00031241">
            <w:pPr>
              <w:pStyle w:val="TableText0"/>
            </w:pPr>
            <w:r w:rsidRPr="008A6717">
              <w:t>Total costs of HbA1c tests (</w:t>
            </w:r>
            <w:proofErr w:type="spellStart"/>
            <w:r w:rsidRPr="008A6717">
              <w:t>PoC</w:t>
            </w:r>
            <w:proofErr w:type="spellEnd"/>
            <w:r w:rsidRPr="008A6717">
              <w:t xml:space="preserve"> and PATH)</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3CFBC82C" w14:textId="77777777" w:rsidR="00031241" w:rsidRPr="008A6717" w:rsidRDefault="00031241" w:rsidP="00031241">
            <w:pPr>
              <w:pStyle w:val="TableText0"/>
              <w:rPr>
                <w:i/>
                <w:lang w:val="de-DE"/>
              </w:rPr>
            </w:pPr>
            <w:r w:rsidRPr="008A6717">
              <w:rPr>
                <w:rFonts w:cs="Calibri"/>
                <w:i/>
                <w:lang w:val="de-DE"/>
              </w:rPr>
              <w:t>$22,386,302</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223B09A4" w14:textId="77777777" w:rsidR="00031241" w:rsidRPr="008A6717" w:rsidRDefault="00031241" w:rsidP="00031241">
            <w:pPr>
              <w:pStyle w:val="TableText0"/>
              <w:rPr>
                <w:i/>
                <w:lang w:val="de-DE"/>
              </w:rPr>
            </w:pPr>
            <w:r w:rsidRPr="008A6717">
              <w:rPr>
                <w:rFonts w:cs="Calibri"/>
                <w:i/>
                <w:lang w:val="de-DE"/>
              </w:rPr>
              <w:t>$22,960,864</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4DEDA142" w14:textId="77777777" w:rsidR="00031241" w:rsidRPr="008A6717" w:rsidRDefault="00031241" w:rsidP="00031241">
            <w:pPr>
              <w:pStyle w:val="TableText0"/>
              <w:rPr>
                <w:i/>
                <w:lang w:val="de-DE"/>
              </w:rPr>
            </w:pPr>
            <w:r w:rsidRPr="008A6717">
              <w:rPr>
                <w:rFonts w:cs="Calibri"/>
                <w:i/>
                <w:lang w:val="de-DE"/>
              </w:rPr>
              <w:t>$23,550,186</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30504229" w14:textId="77777777" w:rsidR="00031241" w:rsidRPr="008A6717" w:rsidRDefault="00031241" w:rsidP="00031241">
            <w:pPr>
              <w:pStyle w:val="TableText0"/>
              <w:rPr>
                <w:i/>
                <w:lang w:val="de-DE"/>
              </w:rPr>
            </w:pPr>
            <w:r w:rsidRPr="008A6717">
              <w:rPr>
                <w:rFonts w:cs="Calibri"/>
                <w:i/>
                <w:lang w:val="de-DE"/>
              </w:rPr>
              <w:t>$24,154,627</w:t>
            </w:r>
          </w:p>
        </w:tc>
        <w:tc>
          <w:tcPr>
            <w:tcW w:w="1141" w:type="dxa"/>
            <w:tcBorders>
              <w:top w:val="single" w:sz="4" w:space="0" w:color="auto"/>
              <w:left w:val="single" w:sz="4" w:space="0" w:color="auto"/>
              <w:bottom w:val="single" w:sz="4" w:space="0" w:color="auto"/>
              <w:right w:val="single" w:sz="4" w:space="0" w:color="auto"/>
            </w:tcBorders>
            <w:vAlign w:val="bottom"/>
          </w:tcPr>
          <w:p w14:paraId="1206E8ED" w14:textId="77777777" w:rsidR="00031241" w:rsidRPr="008A6717" w:rsidRDefault="00031241" w:rsidP="00031241">
            <w:pPr>
              <w:pStyle w:val="TableText0"/>
              <w:rPr>
                <w:i/>
                <w:lang w:val="de-DE"/>
              </w:rPr>
            </w:pPr>
            <w:r w:rsidRPr="008A6717">
              <w:rPr>
                <w:rFonts w:cs="Calibri"/>
                <w:i/>
                <w:lang w:val="de-DE"/>
              </w:rPr>
              <w:t>$24,774,581</w:t>
            </w:r>
          </w:p>
        </w:tc>
      </w:tr>
      <w:tr w:rsidR="008A6717" w:rsidRPr="008A6717" w14:paraId="55B742AF" w14:textId="77777777" w:rsidTr="00135EA6">
        <w:trPr>
          <w:trHeight w:val="300"/>
        </w:trPr>
        <w:tc>
          <w:tcPr>
            <w:tcW w:w="3397" w:type="dxa"/>
            <w:tcBorders>
              <w:top w:val="single" w:sz="4" w:space="0" w:color="auto"/>
              <w:left w:val="single" w:sz="4" w:space="0" w:color="auto"/>
              <w:bottom w:val="single" w:sz="4" w:space="0" w:color="auto"/>
              <w:right w:val="single" w:sz="4" w:space="0" w:color="auto"/>
            </w:tcBorders>
            <w:noWrap/>
            <w:hideMark/>
          </w:tcPr>
          <w:p w14:paraId="7F2B5D8D" w14:textId="77777777" w:rsidR="00031241" w:rsidRPr="008A6717" w:rsidRDefault="00031241" w:rsidP="00031241">
            <w:pPr>
              <w:pStyle w:val="TableText0"/>
            </w:pPr>
            <w:r w:rsidRPr="008A6717">
              <w:t>Net change in test cost (-$0.13 per test)</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3DB0DC7D" w14:textId="77777777" w:rsidR="00031241" w:rsidRPr="008A6717" w:rsidRDefault="00031241" w:rsidP="00031241">
            <w:pPr>
              <w:pStyle w:val="TableText0"/>
              <w:rPr>
                <w:lang w:val="de-DE"/>
              </w:rPr>
            </w:pPr>
            <w:r w:rsidRPr="008A6717">
              <w:t>-$2,381</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5078166" w14:textId="77777777" w:rsidR="00031241" w:rsidRPr="008A6717" w:rsidRDefault="00031241" w:rsidP="00031241">
            <w:pPr>
              <w:pStyle w:val="TableText0"/>
              <w:rPr>
                <w:lang w:val="de-DE"/>
              </w:rPr>
            </w:pPr>
            <w:r w:rsidRPr="008A6717">
              <w:t>-$4,884</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4BFC05AA" w14:textId="77777777" w:rsidR="00031241" w:rsidRPr="008A6717" w:rsidRDefault="00031241" w:rsidP="00031241">
            <w:pPr>
              <w:pStyle w:val="TableText0"/>
              <w:rPr>
                <w:lang w:val="de-DE"/>
              </w:rPr>
            </w:pPr>
            <w:r w:rsidRPr="008A6717">
              <w:t>-$7,515</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1E721BE8" w14:textId="77777777" w:rsidR="00031241" w:rsidRPr="008A6717" w:rsidRDefault="00031241" w:rsidP="00031241">
            <w:pPr>
              <w:pStyle w:val="TableText0"/>
              <w:rPr>
                <w:lang w:val="de-DE"/>
              </w:rPr>
            </w:pPr>
            <w:r w:rsidRPr="008A6717">
              <w:t>-$10,279</w:t>
            </w:r>
          </w:p>
        </w:tc>
        <w:tc>
          <w:tcPr>
            <w:tcW w:w="1141" w:type="dxa"/>
            <w:tcBorders>
              <w:top w:val="single" w:sz="4" w:space="0" w:color="auto"/>
              <w:left w:val="single" w:sz="4" w:space="0" w:color="auto"/>
              <w:bottom w:val="single" w:sz="4" w:space="0" w:color="auto"/>
              <w:right w:val="single" w:sz="4" w:space="0" w:color="auto"/>
            </w:tcBorders>
            <w:vAlign w:val="bottom"/>
          </w:tcPr>
          <w:p w14:paraId="1AA56242" w14:textId="77777777" w:rsidR="00031241" w:rsidRPr="008A6717" w:rsidRDefault="00031241" w:rsidP="00031241">
            <w:pPr>
              <w:pStyle w:val="TableText0"/>
              <w:rPr>
                <w:lang w:val="de-DE"/>
              </w:rPr>
            </w:pPr>
            <w:r w:rsidRPr="008A6717">
              <w:t>-$13,180</w:t>
            </w:r>
          </w:p>
        </w:tc>
      </w:tr>
      <w:tr w:rsidR="008A6717" w:rsidRPr="008A6717" w14:paraId="2EF03B9B" w14:textId="77777777" w:rsidTr="00135EA6">
        <w:trPr>
          <w:trHeight w:val="300"/>
        </w:trPr>
        <w:tc>
          <w:tcPr>
            <w:tcW w:w="3397" w:type="dxa"/>
            <w:tcBorders>
              <w:top w:val="single" w:sz="4" w:space="0" w:color="auto"/>
              <w:left w:val="single" w:sz="4" w:space="0" w:color="auto"/>
              <w:bottom w:val="single" w:sz="4" w:space="0" w:color="auto"/>
              <w:right w:val="single" w:sz="4" w:space="0" w:color="auto"/>
            </w:tcBorders>
            <w:noWrap/>
            <w:hideMark/>
          </w:tcPr>
          <w:p w14:paraId="72862311" w14:textId="77777777" w:rsidR="00031241" w:rsidRPr="008A6717" w:rsidRDefault="00031241" w:rsidP="00031241">
            <w:pPr>
              <w:pStyle w:val="TableText0"/>
            </w:pPr>
            <w:r w:rsidRPr="008A6717">
              <w:t>Total net change to the MBS</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1EFC27CF" w14:textId="77777777" w:rsidR="00031241" w:rsidRPr="008A6717" w:rsidRDefault="00031241" w:rsidP="00031241">
            <w:pPr>
              <w:pStyle w:val="TableText0"/>
              <w:rPr>
                <w:lang w:val="de-DE"/>
              </w:rPr>
            </w:pPr>
            <w:r w:rsidRPr="008A6717">
              <w:t>-$2,381</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A8FE194" w14:textId="77777777" w:rsidR="00031241" w:rsidRPr="008A6717" w:rsidRDefault="00031241" w:rsidP="00031241">
            <w:pPr>
              <w:pStyle w:val="TableText0"/>
              <w:rPr>
                <w:lang w:val="de-DE"/>
              </w:rPr>
            </w:pPr>
            <w:r w:rsidRPr="008A6717">
              <w:t>-$4,884</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0CCDB925" w14:textId="77777777" w:rsidR="00031241" w:rsidRPr="008A6717" w:rsidRDefault="00031241" w:rsidP="00031241">
            <w:pPr>
              <w:pStyle w:val="TableText0"/>
              <w:rPr>
                <w:lang w:val="de-DE"/>
              </w:rPr>
            </w:pPr>
            <w:r w:rsidRPr="008A6717">
              <w:t>-$7,515</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B4473C4" w14:textId="77777777" w:rsidR="00031241" w:rsidRPr="008A6717" w:rsidRDefault="00031241" w:rsidP="00031241">
            <w:pPr>
              <w:pStyle w:val="TableText0"/>
              <w:rPr>
                <w:lang w:val="de-DE"/>
              </w:rPr>
            </w:pPr>
            <w:r w:rsidRPr="008A6717">
              <w:t>-$10,279</w:t>
            </w:r>
          </w:p>
        </w:tc>
        <w:tc>
          <w:tcPr>
            <w:tcW w:w="1141" w:type="dxa"/>
            <w:tcBorders>
              <w:top w:val="single" w:sz="4" w:space="0" w:color="auto"/>
              <w:left w:val="single" w:sz="4" w:space="0" w:color="auto"/>
              <w:bottom w:val="single" w:sz="4" w:space="0" w:color="auto"/>
              <w:right w:val="single" w:sz="4" w:space="0" w:color="auto"/>
            </w:tcBorders>
            <w:vAlign w:val="bottom"/>
          </w:tcPr>
          <w:p w14:paraId="1C1A104E" w14:textId="77777777" w:rsidR="00031241" w:rsidRPr="008A6717" w:rsidRDefault="00031241" w:rsidP="00031241">
            <w:pPr>
              <w:pStyle w:val="TableText0"/>
              <w:rPr>
                <w:lang w:val="de-DE"/>
              </w:rPr>
            </w:pPr>
            <w:r w:rsidRPr="008A6717">
              <w:t>-$13,180</w:t>
            </w:r>
          </w:p>
        </w:tc>
      </w:tr>
    </w:tbl>
    <w:p w14:paraId="512B76C9" w14:textId="77777777" w:rsidR="00031241" w:rsidRPr="008A6717" w:rsidRDefault="00031241" w:rsidP="00031241">
      <w:pPr>
        <w:pStyle w:val="Tablenotes"/>
        <w:rPr>
          <w:rFonts w:eastAsia="SimSun"/>
        </w:rPr>
      </w:pPr>
      <w:r w:rsidRPr="008A6717">
        <w:rPr>
          <w:rFonts w:eastAsia="SimSun"/>
        </w:rPr>
        <w:t xml:space="preserve">Source = </w:t>
      </w:r>
      <w:r w:rsidRPr="008A6717">
        <w:rPr>
          <w:rFonts w:eastAsia="SimSun"/>
          <w:i/>
        </w:rPr>
        <w:t>Compiled during Critique from Table 18, p36 of the resubmission</w:t>
      </w:r>
    </w:p>
    <w:p w14:paraId="0B78CFD2" w14:textId="77777777" w:rsidR="00031241" w:rsidRPr="008A6717" w:rsidRDefault="00031241" w:rsidP="005C7F8E">
      <w:pPr>
        <w:pStyle w:val="TFAbbrevs0"/>
        <w:keepNext w:val="0"/>
        <w:keepLines w:val="0"/>
        <w:rPr>
          <w:rFonts w:eastAsia="SimSun"/>
          <w:snapToGrid w:val="0"/>
          <w:color w:val="auto"/>
        </w:rPr>
      </w:pPr>
      <w:r w:rsidRPr="008A6717">
        <w:rPr>
          <w:rFonts w:eastAsia="SimSun"/>
          <w:snapToGrid w:val="0"/>
          <w:color w:val="auto"/>
        </w:rPr>
        <w:t xml:space="preserve">HbA1c = glycated haemoglobin; MBS = Medicare Benefits Schedule; PATH = pathology laboratory testing; </w:t>
      </w:r>
      <w:proofErr w:type="spellStart"/>
      <w:r w:rsidRPr="008A6717">
        <w:rPr>
          <w:rFonts w:eastAsia="SimSun"/>
          <w:snapToGrid w:val="0"/>
          <w:color w:val="auto"/>
        </w:rPr>
        <w:t>PoC</w:t>
      </w:r>
      <w:proofErr w:type="spellEnd"/>
      <w:r w:rsidRPr="008A6717">
        <w:rPr>
          <w:rFonts w:eastAsia="SimSun"/>
          <w:snapToGrid w:val="0"/>
          <w:color w:val="auto"/>
        </w:rPr>
        <w:t xml:space="preserve"> = </w:t>
      </w:r>
      <w:r w:rsidRPr="008A6717">
        <w:rPr>
          <w:rFonts w:eastAsia="SimSun"/>
          <w:snapToGrid w:val="0"/>
          <w:color w:val="auto"/>
          <w:lang w:eastAsia="en-US"/>
        </w:rPr>
        <w:t>P</w:t>
      </w:r>
      <w:r w:rsidRPr="008A6717">
        <w:rPr>
          <w:rFonts w:eastAsia="SimSun"/>
          <w:snapToGrid w:val="0"/>
          <w:color w:val="auto"/>
        </w:rPr>
        <w:t xml:space="preserve">oint of </w:t>
      </w:r>
      <w:r w:rsidRPr="008A6717">
        <w:rPr>
          <w:rFonts w:eastAsia="SimSun"/>
          <w:snapToGrid w:val="0"/>
          <w:color w:val="auto"/>
          <w:lang w:eastAsia="en-US"/>
        </w:rPr>
        <w:t>C</w:t>
      </w:r>
      <w:r w:rsidRPr="008A6717">
        <w:rPr>
          <w:rFonts w:eastAsia="SimSun"/>
          <w:snapToGrid w:val="0"/>
          <w:color w:val="auto"/>
        </w:rPr>
        <w:t>are</w:t>
      </w:r>
    </w:p>
    <w:p w14:paraId="34C953C0" w14:textId="77777777" w:rsidR="00031241" w:rsidRPr="008A6717" w:rsidRDefault="00031241" w:rsidP="005C7F8E">
      <w:pPr>
        <w:widowControl w:val="0"/>
        <w:rPr>
          <w:rFonts w:ascii="Arial Narrow" w:eastAsia="SimSun" w:hAnsi="Arial Narrow" w:cs="Arial"/>
          <w:i/>
          <w:snapToGrid w:val="0"/>
          <w:sz w:val="18"/>
          <w:lang w:eastAsia="zh-CN"/>
        </w:rPr>
      </w:pPr>
      <w:proofErr w:type="gramStart"/>
      <w:r w:rsidRPr="008A6717">
        <w:rPr>
          <w:rFonts w:ascii="Arial Narrow" w:eastAsia="SimSun" w:hAnsi="Arial Narrow" w:cs="Arial"/>
          <w:i/>
          <w:snapToGrid w:val="0"/>
          <w:sz w:val="18"/>
          <w:vertAlign w:val="superscript"/>
          <w:lang w:eastAsia="zh-CN"/>
        </w:rPr>
        <w:t>a</w:t>
      </w:r>
      <w:proofErr w:type="gramEnd"/>
      <w:r w:rsidRPr="008A6717">
        <w:rPr>
          <w:rFonts w:ascii="Arial Narrow" w:eastAsia="SimSun" w:hAnsi="Arial Narrow" w:cs="Arial"/>
          <w:i/>
          <w:snapToGrid w:val="0"/>
          <w:sz w:val="18"/>
          <w:vertAlign w:val="superscript"/>
          <w:lang w:eastAsia="zh-CN"/>
        </w:rPr>
        <w:t xml:space="preserve"> </w:t>
      </w:r>
      <w:r w:rsidRPr="008A6717">
        <w:rPr>
          <w:rFonts w:ascii="Arial Narrow" w:eastAsia="SimSun" w:hAnsi="Arial Narrow" w:cs="Arial"/>
          <w:i/>
          <w:snapToGrid w:val="0"/>
          <w:sz w:val="18"/>
          <w:lang w:eastAsia="zh-CN"/>
        </w:rPr>
        <w:t xml:space="preserve">Based from MBS utilisation for 66551 (HbA1c pathology testing in management population) from 2013/14 to 2017/18 </w:t>
      </w:r>
    </w:p>
    <w:p w14:paraId="2A9EC9E3" w14:textId="77777777" w:rsidR="006A0D97" w:rsidRPr="00F715D1" w:rsidRDefault="006A0D97" w:rsidP="005C7F8E">
      <w:pPr>
        <w:pStyle w:val="Heading1"/>
        <w:keepNext w:val="0"/>
        <w:keepLines w:val="0"/>
      </w:pPr>
      <w:r w:rsidRPr="00F715D1">
        <w:t>Key issues from ESC for MSAC</w:t>
      </w:r>
    </w:p>
    <w:tbl>
      <w:tblPr>
        <w:tblStyle w:val="TableGrid"/>
        <w:tblW w:w="0" w:type="auto"/>
        <w:tblCellMar>
          <w:left w:w="28" w:type="dxa"/>
          <w:right w:w="28" w:type="dxa"/>
        </w:tblCellMar>
        <w:tblLook w:val="04A0" w:firstRow="1" w:lastRow="0" w:firstColumn="1" w:lastColumn="0" w:noHBand="0" w:noVBand="1"/>
        <w:tblCaption w:val="Key issues from ESC for MSAC"/>
        <w:tblDescription w:val="Summary of key isssues"/>
      </w:tblPr>
      <w:tblGrid>
        <w:gridCol w:w="3823"/>
        <w:gridCol w:w="5193"/>
      </w:tblGrid>
      <w:tr w:rsidR="009A1034" w:rsidRPr="008A6717" w14:paraId="09FFDD7A" w14:textId="77777777" w:rsidTr="003D1B9A">
        <w:trPr>
          <w:tblHeader/>
        </w:trPr>
        <w:tc>
          <w:tcPr>
            <w:tcW w:w="0" w:type="auto"/>
            <w:tcBorders>
              <w:top w:val="single" w:sz="4" w:space="0" w:color="auto"/>
              <w:left w:val="single" w:sz="4" w:space="0" w:color="auto"/>
              <w:bottom w:val="single" w:sz="4" w:space="0" w:color="auto"/>
              <w:right w:val="single" w:sz="4" w:space="0" w:color="auto"/>
            </w:tcBorders>
            <w:hideMark/>
          </w:tcPr>
          <w:p w14:paraId="28B3DAD7" w14:textId="77777777" w:rsidR="009A1034" w:rsidRPr="008A6717" w:rsidRDefault="009A1034" w:rsidP="005C7F8E">
            <w:pPr>
              <w:pStyle w:val="Table"/>
              <w:keepNext w:val="0"/>
              <w:rPr>
                <w:rFonts w:ascii="Times New Roman" w:hAnsi="Times New Roman" w:cs="Times New Roman"/>
                <w:b/>
                <w:sz w:val="22"/>
                <w:szCs w:val="22"/>
              </w:rPr>
            </w:pPr>
            <w:r w:rsidRPr="008A6717">
              <w:rPr>
                <w:rFonts w:ascii="Times New Roman" w:hAnsi="Times New Roman" w:cs="Times New Roman"/>
                <w:b/>
                <w:sz w:val="22"/>
                <w:szCs w:val="22"/>
              </w:rPr>
              <w:t>ESC key issue</w:t>
            </w:r>
          </w:p>
        </w:tc>
        <w:tc>
          <w:tcPr>
            <w:tcW w:w="0" w:type="auto"/>
            <w:tcBorders>
              <w:top w:val="single" w:sz="4" w:space="0" w:color="auto"/>
              <w:left w:val="single" w:sz="4" w:space="0" w:color="auto"/>
              <w:bottom w:val="single" w:sz="4" w:space="0" w:color="auto"/>
              <w:right w:val="single" w:sz="4" w:space="0" w:color="auto"/>
            </w:tcBorders>
            <w:hideMark/>
          </w:tcPr>
          <w:p w14:paraId="16DF27A0" w14:textId="77777777" w:rsidR="009A1034" w:rsidRPr="008A6717" w:rsidRDefault="009A1034" w:rsidP="005C7F8E">
            <w:pPr>
              <w:pStyle w:val="Table"/>
              <w:keepNext w:val="0"/>
              <w:rPr>
                <w:rFonts w:ascii="Times New Roman" w:hAnsi="Times New Roman" w:cs="Times New Roman"/>
                <w:b/>
                <w:sz w:val="22"/>
                <w:szCs w:val="22"/>
              </w:rPr>
            </w:pPr>
            <w:r w:rsidRPr="008A6717">
              <w:rPr>
                <w:rFonts w:ascii="Times New Roman" w:hAnsi="Times New Roman" w:cs="Times New Roman"/>
                <w:b/>
                <w:sz w:val="22"/>
                <w:szCs w:val="22"/>
              </w:rPr>
              <w:t>ESC advice to MSAC</w:t>
            </w:r>
          </w:p>
        </w:tc>
      </w:tr>
      <w:tr w:rsidR="009A1034" w:rsidRPr="008A6717" w14:paraId="7EB323C9" w14:textId="77777777" w:rsidTr="00135EA6">
        <w:tc>
          <w:tcPr>
            <w:tcW w:w="0" w:type="auto"/>
            <w:tcBorders>
              <w:top w:val="single" w:sz="4" w:space="0" w:color="auto"/>
              <w:left w:val="single" w:sz="4" w:space="0" w:color="auto"/>
              <w:bottom w:val="single" w:sz="4" w:space="0" w:color="auto"/>
              <w:right w:val="single" w:sz="4" w:space="0" w:color="auto"/>
            </w:tcBorders>
            <w:hideMark/>
          </w:tcPr>
          <w:p w14:paraId="37E03536"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Including pregnant patients in the item descriptor</w:t>
            </w:r>
          </w:p>
        </w:tc>
        <w:tc>
          <w:tcPr>
            <w:tcW w:w="0" w:type="auto"/>
            <w:tcBorders>
              <w:top w:val="single" w:sz="4" w:space="0" w:color="auto"/>
              <w:left w:val="single" w:sz="4" w:space="0" w:color="auto"/>
              <w:bottom w:val="single" w:sz="4" w:space="0" w:color="auto"/>
              <w:right w:val="single" w:sz="4" w:space="0" w:color="auto"/>
            </w:tcBorders>
          </w:tcPr>
          <w:p w14:paraId="2F6632AF"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This is acceptable.</w:t>
            </w:r>
          </w:p>
        </w:tc>
      </w:tr>
      <w:tr w:rsidR="009A1034" w:rsidRPr="008A6717" w14:paraId="06131954" w14:textId="77777777" w:rsidTr="00135EA6">
        <w:tc>
          <w:tcPr>
            <w:tcW w:w="0" w:type="auto"/>
            <w:tcBorders>
              <w:top w:val="single" w:sz="4" w:space="0" w:color="auto"/>
              <w:left w:val="single" w:sz="4" w:space="0" w:color="auto"/>
              <w:bottom w:val="single" w:sz="4" w:space="0" w:color="auto"/>
              <w:right w:val="single" w:sz="4" w:space="0" w:color="auto"/>
            </w:tcBorders>
          </w:tcPr>
          <w:p w14:paraId="3970C969" w14:textId="6A752750"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Should the item descriptor for the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machine refer to the </w:t>
            </w:r>
            <w:r w:rsidR="008A6717" w:rsidRPr="008A6717">
              <w:rPr>
                <w:rFonts w:ascii="Times New Roman" w:hAnsi="Times New Roman" w:cs="Times New Roman"/>
                <w:sz w:val="22"/>
                <w:szCs w:val="22"/>
              </w:rPr>
              <w:t xml:space="preserve">National </w:t>
            </w:r>
            <w:proofErr w:type="spellStart"/>
            <w:r w:rsidR="008A6717" w:rsidRPr="008A6717">
              <w:rPr>
                <w:rFonts w:ascii="Times New Roman" w:hAnsi="Times New Roman" w:cs="Times New Roman"/>
                <w:sz w:val="22"/>
                <w:szCs w:val="22"/>
              </w:rPr>
              <w:t>Glycohemoglobin</w:t>
            </w:r>
            <w:proofErr w:type="spellEnd"/>
            <w:r w:rsidR="008A6717" w:rsidRPr="008A6717">
              <w:rPr>
                <w:rFonts w:ascii="Times New Roman" w:hAnsi="Times New Roman" w:cs="Times New Roman"/>
                <w:sz w:val="22"/>
                <w:szCs w:val="22"/>
              </w:rPr>
              <w:t xml:space="preserve"> Standardization Program (NGSP) </w:t>
            </w:r>
            <w:r w:rsidRPr="008A6717">
              <w:rPr>
                <w:rFonts w:ascii="Times New Roman" w:hAnsi="Times New Roman" w:cs="Times New Roman"/>
                <w:sz w:val="22"/>
                <w:szCs w:val="22"/>
              </w:rPr>
              <w:t>standards and the coefficient of variance?</w:t>
            </w:r>
          </w:p>
        </w:tc>
        <w:tc>
          <w:tcPr>
            <w:tcW w:w="0" w:type="auto"/>
            <w:tcBorders>
              <w:top w:val="single" w:sz="4" w:space="0" w:color="auto"/>
              <w:left w:val="single" w:sz="4" w:space="0" w:color="auto"/>
              <w:bottom w:val="single" w:sz="4" w:space="0" w:color="auto"/>
              <w:right w:val="single" w:sz="4" w:space="0" w:color="auto"/>
            </w:tcBorders>
          </w:tcPr>
          <w:p w14:paraId="36EB907F" w14:textId="2B722784"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Yes, it is important that the most appropriate machines </w:t>
            </w:r>
            <w:proofErr w:type="gramStart"/>
            <w:r w:rsidRPr="008A6717">
              <w:rPr>
                <w:rFonts w:ascii="Times New Roman" w:hAnsi="Times New Roman" w:cs="Times New Roman"/>
                <w:sz w:val="22"/>
                <w:szCs w:val="22"/>
              </w:rPr>
              <w:t>are</w:t>
            </w:r>
            <w:proofErr w:type="gramEnd"/>
            <w:r w:rsidRPr="008A6717">
              <w:rPr>
                <w:rFonts w:ascii="Times New Roman" w:hAnsi="Times New Roman" w:cs="Times New Roman"/>
                <w:sz w:val="22"/>
                <w:szCs w:val="22"/>
              </w:rPr>
              <w:t xml:space="preserve"> used for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testing.</w:t>
            </w:r>
          </w:p>
        </w:tc>
      </w:tr>
      <w:tr w:rsidR="009A1034" w:rsidRPr="008A6717" w14:paraId="1F9372C6" w14:textId="77777777" w:rsidTr="00135EA6">
        <w:tc>
          <w:tcPr>
            <w:tcW w:w="0" w:type="auto"/>
            <w:tcBorders>
              <w:top w:val="single" w:sz="4" w:space="0" w:color="auto"/>
              <w:left w:val="single" w:sz="4" w:space="0" w:color="auto"/>
              <w:bottom w:val="single" w:sz="4" w:space="0" w:color="auto"/>
              <w:right w:val="single" w:sz="4" w:space="0" w:color="auto"/>
            </w:tcBorders>
            <w:hideMark/>
          </w:tcPr>
          <w:p w14:paraId="25BF600B" w14:textId="5562CBAB"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Are the RACGP standards acceptable for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testing?</w:t>
            </w:r>
          </w:p>
        </w:tc>
        <w:tc>
          <w:tcPr>
            <w:tcW w:w="0" w:type="auto"/>
            <w:tcBorders>
              <w:top w:val="single" w:sz="4" w:space="0" w:color="auto"/>
              <w:left w:val="single" w:sz="4" w:space="0" w:color="auto"/>
              <w:bottom w:val="single" w:sz="4" w:space="0" w:color="auto"/>
              <w:right w:val="single" w:sz="4" w:space="0" w:color="auto"/>
            </w:tcBorders>
          </w:tcPr>
          <w:p w14:paraId="39D44623"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The RACGP standards are acceptable; however, since they </w:t>
            </w:r>
            <w:proofErr w:type="gramStart"/>
            <w:r w:rsidRPr="008A6717">
              <w:rPr>
                <w:rFonts w:ascii="Times New Roman" w:hAnsi="Times New Roman" w:cs="Times New Roman"/>
                <w:sz w:val="22"/>
                <w:szCs w:val="22"/>
              </w:rPr>
              <w:t>have only recently been released</w:t>
            </w:r>
            <w:proofErr w:type="gramEnd"/>
            <w:r w:rsidRPr="008A6717">
              <w:rPr>
                <w:rFonts w:ascii="Times New Roman" w:hAnsi="Times New Roman" w:cs="Times New Roman"/>
                <w:sz w:val="22"/>
                <w:szCs w:val="22"/>
              </w:rPr>
              <w:t>, further consultation will be helpful to see how they are being used.</w:t>
            </w:r>
          </w:p>
        </w:tc>
      </w:tr>
      <w:tr w:rsidR="009A1034" w:rsidRPr="008A6717" w14:paraId="5D8516EB" w14:textId="77777777" w:rsidTr="00135EA6">
        <w:tc>
          <w:tcPr>
            <w:tcW w:w="0" w:type="auto"/>
            <w:tcBorders>
              <w:top w:val="single" w:sz="4" w:space="0" w:color="auto"/>
              <w:left w:val="single" w:sz="4" w:space="0" w:color="auto"/>
              <w:bottom w:val="single" w:sz="4" w:space="0" w:color="auto"/>
              <w:right w:val="single" w:sz="4" w:space="0" w:color="auto"/>
            </w:tcBorders>
          </w:tcPr>
          <w:p w14:paraId="76A6E966"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Cost of accreditation</w:t>
            </w:r>
          </w:p>
        </w:tc>
        <w:tc>
          <w:tcPr>
            <w:tcW w:w="0" w:type="auto"/>
            <w:tcBorders>
              <w:top w:val="single" w:sz="4" w:space="0" w:color="auto"/>
              <w:left w:val="single" w:sz="4" w:space="0" w:color="auto"/>
              <w:bottom w:val="single" w:sz="4" w:space="0" w:color="auto"/>
              <w:right w:val="single" w:sz="4" w:space="0" w:color="auto"/>
            </w:tcBorders>
          </w:tcPr>
          <w:p w14:paraId="7C54D53A"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Resubmission now has $240 per year for training, $167 per year for accreditation (part of general costs, not included) and $330 per year for quality assurance. The </w:t>
            </w:r>
            <w:r w:rsidR="00031241" w:rsidRPr="008A6717">
              <w:rPr>
                <w:rFonts w:ascii="Times New Roman" w:hAnsi="Times New Roman" w:cs="Times New Roman"/>
                <w:sz w:val="22"/>
                <w:szCs w:val="22"/>
              </w:rPr>
              <w:t>Critique</w:t>
            </w:r>
            <w:r w:rsidRPr="008A6717">
              <w:rPr>
                <w:rFonts w:ascii="Times New Roman" w:hAnsi="Times New Roman" w:cs="Times New Roman"/>
                <w:sz w:val="22"/>
                <w:szCs w:val="22"/>
              </w:rPr>
              <w:t xml:space="preserve"> estimated incremental costs over 3 years of –$0.59 to –$2.51.</w:t>
            </w:r>
          </w:p>
        </w:tc>
      </w:tr>
      <w:tr w:rsidR="009A1034" w:rsidRPr="008A6717" w14:paraId="32811D6E" w14:textId="77777777" w:rsidTr="00135EA6">
        <w:tc>
          <w:tcPr>
            <w:tcW w:w="0" w:type="auto"/>
            <w:tcBorders>
              <w:top w:val="single" w:sz="4" w:space="0" w:color="auto"/>
              <w:left w:val="single" w:sz="4" w:space="0" w:color="auto"/>
              <w:bottom w:val="single" w:sz="4" w:space="0" w:color="auto"/>
              <w:right w:val="single" w:sz="4" w:space="0" w:color="auto"/>
            </w:tcBorders>
          </w:tcPr>
          <w:p w14:paraId="55CD1128"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Cost-minimisation analysis</w:t>
            </w:r>
          </w:p>
        </w:tc>
        <w:tc>
          <w:tcPr>
            <w:tcW w:w="0" w:type="auto"/>
            <w:tcBorders>
              <w:top w:val="single" w:sz="4" w:space="0" w:color="auto"/>
              <w:left w:val="single" w:sz="4" w:space="0" w:color="auto"/>
              <w:bottom w:val="single" w:sz="4" w:space="0" w:color="auto"/>
              <w:right w:val="single" w:sz="4" w:space="0" w:color="auto"/>
            </w:tcBorders>
          </w:tcPr>
          <w:p w14:paraId="371818ED" w14:textId="4A2C3B5C"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From this cost-minimisation analysis, the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test would only be cheaper than the laboratory test if MSAC accepts the assumption that only one laboratory test per year is subject to coning.</w:t>
            </w:r>
          </w:p>
        </w:tc>
      </w:tr>
      <w:tr w:rsidR="009A1034" w:rsidRPr="008A6717" w14:paraId="4A757D90" w14:textId="77777777" w:rsidTr="00135EA6">
        <w:tc>
          <w:tcPr>
            <w:tcW w:w="0" w:type="auto"/>
            <w:tcBorders>
              <w:top w:val="single" w:sz="4" w:space="0" w:color="auto"/>
              <w:left w:val="single" w:sz="4" w:space="0" w:color="auto"/>
              <w:bottom w:val="single" w:sz="4" w:space="0" w:color="auto"/>
              <w:right w:val="single" w:sz="4" w:space="0" w:color="auto"/>
            </w:tcBorders>
            <w:hideMark/>
          </w:tcPr>
          <w:p w14:paraId="1E52DCEE"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MBS rebate (85% or 100%)</w:t>
            </w:r>
          </w:p>
        </w:tc>
        <w:tc>
          <w:tcPr>
            <w:tcW w:w="0" w:type="auto"/>
            <w:tcBorders>
              <w:top w:val="single" w:sz="4" w:space="0" w:color="auto"/>
              <w:left w:val="single" w:sz="4" w:space="0" w:color="auto"/>
              <w:bottom w:val="single" w:sz="4" w:space="0" w:color="auto"/>
              <w:right w:val="single" w:sz="4" w:space="0" w:color="auto"/>
            </w:tcBorders>
          </w:tcPr>
          <w:p w14:paraId="6BF25360"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There will be cost saving to the budget of ~$13,000 by 2022 if the 85% rebate is applied (broadly similar to resubmission’s original financial estimates using 100% rebate level) and MSAC accepts the assumption that only one laboratory test per year is subject to coning.</w:t>
            </w:r>
          </w:p>
        </w:tc>
      </w:tr>
      <w:tr w:rsidR="009A1034" w:rsidRPr="008A6717" w14:paraId="360C3C21" w14:textId="77777777" w:rsidTr="00135EA6">
        <w:tc>
          <w:tcPr>
            <w:tcW w:w="0" w:type="auto"/>
            <w:tcBorders>
              <w:top w:val="single" w:sz="4" w:space="0" w:color="auto"/>
              <w:left w:val="single" w:sz="4" w:space="0" w:color="auto"/>
              <w:bottom w:val="single" w:sz="4" w:space="0" w:color="auto"/>
              <w:right w:val="single" w:sz="4" w:space="0" w:color="auto"/>
            </w:tcBorders>
          </w:tcPr>
          <w:p w14:paraId="185EE88A"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Restriction to testing three times per year</w:t>
            </w:r>
          </w:p>
        </w:tc>
        <w:tc>
          <w:tcPr>
            <w:tcW w:w="0" w:type="auto"/>
            <w:tcBorders>
              <w:top w:val="single" w:sz="4" w:space="0" w:color="auto"/>
              <w:left w:val="single" w:sz="4" w:space="0" w:color="auto"/>
              <w:bottom w:val="single" w:sz="4" w:space="0" w:color="auto"/>
              <w:right w:val="single" w:sz="4" w:space="0" w:color="auto"/>
            </w:tcBorders>
          </w:tcPr>
          <w:p w14:paraId="0C0BA6D7"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Compliance will be an issue.</w:t>
            </w:r>
          </w:p>
        </w:tc>
      </w:tr>
    </w:tbl>
    <w:p w14:paraId="38076265" w14:textId="72CC3A3D" w:rsidR="008A6717" w:rsidRDefault="008A6717">
      <w:pPr>
        <w:rPr>
          <w:b/>
          <w:bCs/>
          <w:iCs/>
          <w:color w:val="000000"/>
          <w:szCs w:val="28"/>
          <w:u w:val="single"/>
        </w:rPr>
      </w:pPr>
      <w:r>
        <w:rPr>
          <w:b/>
          <w:u w:val="single"/>
        </w:rPr>
        <w:br w:type="page"/>
      </w:r>
    </w:p>
    <w:p w14:paraId="0E6B9668" w14:textId="42184477" w:rsidR="009A1034" w:rsidRPr="003D1B9A" w:rsidRDefault="009A1034" w:rsidP="005C7F8E">
      <w:pPr>
        <w:pStyle w:val="Tablefooter"/>
        <w:keepNext w:val="0"/>
        <w:spacing w:before="240"/>
        <w:rPr>
          <w:rFonts w:ascii="Times New Roman" w:hAnsi="Times New Roman" w:cs="Times New Roman"/>
          <w:b/>
          <w:sz w:val="24"/>
          <w:u w:val="single"/>
        </w:rPr>
      </w:pPr>
      <w:r w:rsidRPr="003D1B9A">
        <w:rPr>
          <w:rFonts w:ascii="Times New Roman" w:hAnsi="Times New Roman" w:cs="Times New Roman"/>
          <w:b/>
          <w:sz w:val="24"/>
          <w:u w:val="single"/>
        </w:rPr>
        <w:lastRenderedPageBreak/>
        <w:t>ESC Discussion</w:t>
      </w:r>
    </w:p>
    <w:p w14:paraId="5075D425" w14:textId="1DEE02E7" w:rsidR="009A1034" w:rsidRPr="00975F3F" w:rsidRDefault="009A1034" w:rsidP="005C7F8E">
      <w:pPr>
        <w:spacing w:after="240"/>
      </w:pPr>
      <w:r>
        <w:rPr>
          <w:color w:val="000000"/>
        </w:rPr>
        <w:t xml:space="preserve">ESC noted that this is a </w:t>
      </w:r>
      <w:r w:rsidRPr="00BF3B7B">
        <w:rPr>
          <w:color w:val="000000"/>
        </w:rPr>
        <w:t>resubmission</w:t>
      </w:r>
      <w:r>
        <w:rPr>
          <w:color w:val="000000"/>
        </w:rPr>
        <w:t xml:space="preserve"> of Application 1431 requesting MBS listing of</w:t>
      </w:r>
      <w:r w:rsidRPr="00113B49">
        <w:rPr>
          <w:color w:val="000000"/>
        </w:rPr>
        <w:t xml:space="preserve"> HbA1c </w:t>
      </w:r>
      <w:r>
        <w:rPr>
          <w:color w:val="000000"/>
        </w:rPr>
        <w:t>point-of-care (</w:t>
      </w:r>
      <w:proofErr w:type="spellStart"/>
      <w:r w:rsidR="00EC28F2">
        <w:rPr>
          <w:color w:val="000000"/>
        </w:rPr>
        <w:t>PoC</w:t>
      </w:r>
      <w:proofErr w:type="spellEnd"/>
      <w:r>
        <w:rPr>
          <w:color w:val="000000"/>
        </w:rPr>
        <w:t>)</w:t>
      </w:r>
      <w:r w:rsidRPr="00113B49">
        <w:rPr>
          <w:color w:val="000000"/>
        </w:rPr>
        <w:t xml:space="preserve"> testing as an alternative to HbA1c testing in an accredited pathology laboratory </w:t>
      </w:r>
      <w:r>
        <w:rPr>
          <w:color w:val="000000"/>
        </w:rPr>
        <w:t>for the diagnosis and management of diabetes</w:t>
      </w:r>
      <w:r w:rsidRPr="00975F3F">
        <w:t>.</w:t>
      </w:r>
    </w:p>
    <w:p w14:paraId="53586A67" w14:textId="4EF22086" w:rsidR="009A1034" w:rsidRDefault="009A1034" w:rsidP="009A1034">
      <w:pPr>
        <w:spacing w:after="240"/>
        <w:rPr>
          <w:color w:val="000000"/>
        </w:rPr>
      </w:pPr>
      <w:r>
        <w:rPr>
          <w:color w:val="000000"/>
        </w:rPr>
        <w:t xml:space="preserve">ESC recalled that when Application 1431 </w:t>
      </w:r>
      <w:proofErr w:type="gramStart"/>
      <w:r>
        <w:rPr>
          <w:color w:val="000000"/>
        </w:rPr>
        <w:t>was first considered</w:t>
      </w:r>
      <w:proofErr w:type="gramEnd"/>
      <w:r>
        <w:rPr>
          <w:color w:val="000000"/>
        </w:rPr>
        <w:t xml:space="preserve"> in July 2017,</w:t>
      </w:r>
      <w:r w:rsidRPr="00113B49">
        <w:rPr>
          <w:color w:val="000000"/>
        </w:rPr>
        <w:t xml:space="preserve"> MSAC did not support public funding for HbA1c </w:t>
      </w:r>
      <w:proofErr w:type="spellStart"/>
      <w:r w:rsidR="00EC28F2">
        <w:rPr>
          <w:color w:val="000000"/>
        </w:rPr>
        <w:t>PoC</w:t>
      </w:r>
      <w:proofErr w:type="spellEnd"/>
      <w:r w:rsidRPr="00113B49">
        <w:rPr>
          <w:color w:val="000000"/>
        </w:rPr>
        <w:t xml:space="preserve"> tests for the diagnosis of diabetes based on insufficient evidence demonstrating accuracy in terms of analytical or clinical validity for diagnostic purposes. MSAC noted </w:t>
      </w:r>
      <w:r>
        <w:rPr>
          <w:color w:val="000000"/>
        </w:rPr>
        <w:t xml:space="preserve">at the time that </w:t>
      </w:r>
      <w:r w:rsidRPr="00113B49">
        <w:rPr>
          <w:color w:val="000000"/>
        </w:rPr>
        <w:t>many clinicians would request a confirmatory HbA1c laboratory test as well as blood tests for other risk factors associated with diabetes.</w:t>
      </w:r>
    </w:p>
    <w:p w14:paraId="01F6DEE4" w14:textId="77777777" w:rsidR="009A1034" w:rsidRPr="00113B49" w:rsidRDefault="009A1034" w:rsidP="009A1034">
      <w:pPr>
        <w:spacing w:after="240"/>
        <w:rPr>
          <w:color w:val="000000"/>
        </w:rPr>
      </w:pPr>
      <w:r w:rsidRPr="00113B49">
        <w:rPr>
          <w:color w:val="000000"/>
        </w:rPr>
        <w:t xml:space="preserve">MSAC noted that a resubmission for diagnosis of diabetes would need to </w:t>
      </w:r>
      <w:proofErr w:type="gramStart"/>
      <w:r w:rsidRPr="00113B49">
        <w:rPr>
          <w:color w:val="000000"/>
        </w:rPr>
        <w:t>be considered</w:t>
      </w:r>
      <w:proofErr w:type="gramEnd"/>
      <w:r w:rsidRPr="00113B49">
        <w:rPr>
          <w:color w:val="000000"/>
        </w:rPr>
        <w:t xml:space="preserve"> by ESC with new assay performance data to support a conclusion of improved accuracy.</w:t>
      </w:r>
    </w:p>
    <w:p w14:paraId="76D192C3" w14:textId="39D68EE5" w:rsidR="009A1034" w:rsidRPr="00113B49" w:rsidRDefault="009A1034" w:rsidP="009A1034">
      <w:pPr>
        <w:spacing w:after="120"/>
        <w:rPr>
          <w:color w:val="000000"/>
        </w:rPr>
      </w:pPr>
      <w:r>
        <w:rPr>
          <w:color w:val="000000"/>
        </w:rPr>
        <w:t xml:space="preserve">ESC recalled that </w:t>
      </w:r>
      <w:r w:rsidRPr="00113B49">
        <w:rPr>
          <w:color w:val="000000"/>
        </w:rPr>
        <w:t xml:space="preserve">MSAC deferred its advice </w:t>
      </w:r>
      <w:r>
        <w:rPr>
          <w:color w:val="000000"/>
        </w:rPr>
        <w:t xml:space="preserve">regarding funding </w:t>
      </w:r>
      <w:r w:rsidRPr="00113B49">
        <w:rPr>
          <w:color w:val="000000"/>
        </w:rPr>
        <w:t xml:space="preserve">for the monitoring of glycaemic management in patients with established diabetes. This was pending further data and advice on an accreditation framework, a reduction in or further justification of the proposed fee for HbA1c </w:t>
      </w:r>
      <w:proofErr w:type="spellStart"/>
      <w:r w:rsidR="00EC28F2">
        <w:rPr>
          <w:color w:val="000000"/>
        </w:rPr>
        <w:t>PoC</w:t>
      </w:r>
      <w:proofErr w:type="spellEnd"/>
      <w:r w:rsidRPr="00113B49">
        <w:rPr>
          <w:color w:val="000000"/>
        </w:rPr>
        <w:t xml:space="preserve"> testing compared to the laboratory test fee, and an updated economic evaluation. MSAC requested that the base-case of the revised economic analyses for management of diabetes should:</w:t>
      </w:r>
    </w:p>
    <w:p w14:paraId="60F83D0C" w14:textId="77777777" w:rsidR="009A1034" w:rsidRPr="009E4DED" w:rsidRDefault="009A1034" w:rsidP="009A1034">
      <w:pPr>
        <w:pStyle w:val="ListParagraph"/>
        <w:numPr>
          <w:ilvl w:val="0"/>
          <w:numId w:val="27"/>
        </w:numPr>
        <w:spacing w:after="240"/>
      </w:pPr>
      <w:r w:rsidRPr="009E4DED">
        <w:t>be for management alone</w:t>
      </w:r>
    </w:p>
    <w:p w14:paraId="2E4AF005" w14:textId="3C1DB5C1" w:rsidR="009A1034" w:rsidRPr="009E4DED" w:rsidRDefault="009A1034" w:rsidP="009A1034">
      <w:pPr>
        <w:pStyle w:val="ListParagraph"/>
        <w:numPr>
          <w:ilvl w:val="0"/>
          <w:numId w:val="27"/>
        </w:numPr>
        <w:spacing w:after="240"/>
      </w:pPr>
      <w:r w:rsidRPr="009E4DED">
        <w:t>include reduc</w:t>
      </w:r>
      <w:r>
        <w:t>ing the</w:t>
      </w:r>
      <w:r w:rsidRPr="009E4DED">
        <w:t xml:space="preserve"> HbA1c </w:t>
      </w:r>
      <w:proofErr w:type="spellStart"/>
      <w:r w:rsidR="00EC28F2">
        <w:t>PoC</w:t>
      </w:r>
      <w:proofErr w:type="spellEnd"/>
      <w:r w:rsidRPr="009E4DED">
        <w:t xml:space="preserve"> test fee </w:t>
      </w:r>
      <w:r>
        <w:t xml:space="preserve">down </w:t>
      </w:r>
      <w:r w:rsidRPr="009E4DED">
        <w:t>to the laboratory test cost</w:t>
      </w:r>
      <w:r w:rsidRPr="002D0679">
        <w:t xml:space="preserve"> </w:t>
      </w:r>
      <w:r w:rsidRPr="009E4DED">
        <w:t>or below</w:t>
      </w:r>
    </w:p>
    <w:p w14:paraId="0BE6B08F" w14:textId="77777777" w:rsidR="009A1034" w:rsidRPr="009E4DED" w:rsidRDefault="009A1034" w:rsidP="009A1034">
      <w:pPr>
        <w:pStyle w:val="ListParagraph"/>
        <w:numPr>
          <w:ilvl w:val="0"/>
          <w:numId w:val="27"/>
        </w:numPr>
        <w:spacing w:after="240"/>
      </w:pPr>
      <w:r w:rsidRPr="009E4DED">
        <w:t>account for updated accreditation costs</w:t>
      </w:r>
    </w:p>
    <w:p w14:paraId="2C100F07" w14:textId="5AD27D5C" w:rsidR="009A1034" w:rsidRPr="009E4DED" w:rsidRDefault="009A1034" w:rsidP="009A1034">
      <w:pPr>
        <w:pStyle w:val="ListParagraph"/>
        <w:numPr>
          <w:ilvl w:val="0"/>
          <w:numId w:val="27"/>
        </w:numPr>
        <w:spacing w:after="240"/>
      </w:pPr>
      <w:r w:rsidRPr="009E4DED">
        <w:t xml:space="preserve">factor in a frequency of </w:t>
      </w:r>
      <w:r>
        <w:t>3</w:t>
      </w:r>
      <w:r w:rsidRPr="009E4DED">
        <w:t xml:space="preserve">-monthly HbA1c </w:t>
      </w:r>
      <w:proofErr w:type="spellStart"/>
      <w:r w:rsidR="00EC28F2">
        <w:t>PoC</w:t>
      </w:r>
      <w:proofErr w:type="spellEnd"/>
      <w:r w:rsidRPr="009E4DED">
        <w:t xml:space="preserve"> tests</w:t>
      </w:r>
    </w:p>
    <w:p w14:paraId="7F1D5868" w14:textId="77777777" w:rsidR="009A1034" w:rsidRPr="009E4DED" w:rsidRDefault="009A1034" w:rsidP="009A1034">
      <w:pPr>
        <w:pStyle w:val="ListParagraph"/>
        <w:numPr>
          <w:ilvl w:val="0"/>
          <w:numId w:val="27"/>
        </w:numPr>
        <w:spacing w:after="240"/>
      </w:pPr>
      <w:proofErr w:type="gramStart"/>
      <w:r w:rsidRPr="009E4DED">
        <w:t>factor</w:t>
      </w:r>
      <w:proofErr w:type="gramEnd"/>
      <w:r w:rsidRPr="009E4DED">
        <w:t xml:space="preserve"> in alignment with laboratory tests conducted for patients on an annual basis.</w:t>
      </w:r>
    </w:p>
    <w:p w14:paraId="23D577F5" w14:textId="77777777" w:rsidR="009A1034" w:rsidRDefault="009A1034" w:rsidP="009A1034">
      <w:pPr>
        <w:spacing w:after="120"/>
        <w:rPr>
          <w:color w:val="000000"/>
        </w:rPr>
      </w:pPr>
      <w:r>
        <w:rPr>
          <w:color w:val="000000"/>
        </w:rPr>
        <w:t>ESC noted that t</w:t>
      </w:r>
      <w:r w:rsidRPr="009B5FF5">
        <w:rPr>
          <w:color w:val="000000"/>
        </w:rPr>
        <w:t>h</w:t>
      </w:r>
      <w:r>
        <w:rPr>
          <w:color w:val="000000"/>
        </w:rPr>
        <w:t>e</w:t>
      </w:r>
      <w:r w:rsidRPr="009B5FF5">
        <w:rPr>
          <w:color w:val="000000"/>
        </w:rPr>
        <w:t xml:space="preserve"> resubmission focuse</w:t>
      </w:r>
      <w:r>
        <w:rPr>
          <w:color w:val="000000"/>
        </w:rPr>
        <w:t>d</w:t>
      </w:r>
      <w:r w:rsidRPr="009B5FF5">
        <w:rPr>
          <w:color w:val="000000"/>
        </w:rPr>
        <w:t xml:space="preserve"> on a single patient population </w:t>
      </w:r>
      <w:r>
        <w:rPr>
          <w:color w:val="000000"/>
        </w:rPr>
        <w:t>(</w:t>
      </w:r>
      <w:r w:rsidRPr="009B5FF5">
        <w:rPr>
          <w:color w:val="000000"/>
        </w:rPr>
        <w:t>i</w:t>
      </w:r>
      <w:r>
        <w:rPr>
          <w:color w:val="000000"/>
        </w:rPr>
        <w:t>.</w:t>
      </w:r>
      <w:r w:rsidRPr="009B5FF5">
        <w:rPr>
          <w:color w:val="000000"/>
        </w:rPr>
        <w:t>e</w:t>
      </w:r>
      <w:r>
        <w:rPr>
          <w:color w:val="000000"/>
        </w:rPr>
        <w:t>. </w:t>
      </w:r>
      <w:r w:rsidRPr="009B5FF5">
        <w:rPr>
          <w:color w:val="000000"/>
        </w:rPr>
        <w:t>the management of diabetes</w:t>
      </w:r>
      <w:r>
        <w:rPr>
          <w:color w:val="000000"/>
        </w:rPr>
        <w:t>)</w:t>
      </w:r>
      <w:r w:rsidRPr="009B5FF5">
        <w:rPr>
          <w:color w:val="000000"/>
        </w:rPr>
        <w:t xml:space="preserve"> in a fit-for-purpose report specifically addressing key areas outlined by MSAC.</w:t>
      </w:r>
      <w:r>
        <w:rPr>
          <w:color w:val="000000"/>
        </w:rPr>
        <w:t xml:space="preserve"> The key changes in this resubmission were:</w:t>
      </w:r>
    </w:p>
    <w:p w14:paraId="4F67B451" w14:textId="2E075E3C" w:rsidR="009A1034" w:rsidRPr="00E563BD" w:rsidRDefault="009A1034" w:rsidP="009A1034">
      <w:pPr>
        <w:pStyle w:val="ListParagraph"/>
        <w:numPr>
          <w:ilvl w:val="0"/>
          <w:numId w:val="26"/>
        </w:numPr>
        <w:spacing w:after="240"/>
      </w:pPr>
      <w:proofErr w:type="gramStart"/>
      <w:r>
        <w:t>a</w:t>
      </w:r>
      <w:proofErr w:type="gramEnd"/>
      <w:r>
        <w:t xml:space="preserve"> revised item </w:t>
      </w:r>
      <w:r w:rsidRPr="00E563BD">
        <w:t>descriptor</w:t>
      </w:r>
      <w:r>
        <w:t xml:space="preserve"> (see </w:t>
      </w:r>
      <w:r w:rsidR="001046A1">
        <w:fldChar w:fldCharType="begin"/>
      </w:r>
      <w:r w:rsidR="001046A1">
        <w:instrText xml:space="preserve"> REF _Ref10621984 \h </w:instrText>
      </w:r>
      <w:r w:rsidR="001046A1">
        <w:fldChar w:fldCharType="separate"/>
      </w:r>
      <w:r w:rsidR="00AE4BFA" w:rsidRPr="00995BBA">
        <w:rPr>
          <w:rFonts w:ascii="Arial Narrow" w:hAnsi="Arial Narrow"/>
          <w:b/>
          <w:sz w:val="20"/>
        </w:rPr>
        <w:t xml:space="preserve">Table </w:t>
      </w:r>
      <w:r w:rsidR="00AE4BFA">
        <w:rPr>
          <w:rFonts w:ascii="Arial Narrow" w:hAnsi="Arial Narrow"/>
          <w:b/>
          <w:noProof/>
          <w:sz w:val="20"/>
        </w:rPr>
        <w:t>1</w:t>
      </w:r>
      <w:r w:rsidR="001046A1">
        <w:fldChar w:fldCharType="end"/>
      </w:r>
      <w:r>
        <w:t xml:space="preserve">). </w:t>
      </w:r>
    </w:p>
    <w:p w14:paraId="587D57BF" w14:textId="77777777" w:rsidR="009A1034" w:rsidRPr="00E563BD" w:rsidRDefault="009A1034" w:rsidP="009A1034">
      <w:pPr>
        <w:pStyle w:val="ListParagraph"/>
        <w:numPr>
          <w:ilvl w:val="0"/>
          <w:numId w:val="26"/>
        </w:numPr>
        <w:spacing w:after="240"/>
      </w:pPr>
      <w:r>
        <w:t>an updated and more detailed</w:t>
      </w:r>
      <w:r w:rsidRPr="00E563BD">
        <w:t xml:space="preserve"> accreditation standards framework </w:t>
      </w:r>
    </w:p>
    <w:p w14:paraId="5B9C2FCC" w14:textId="77777777" w:rsidR="009A1034" w:rsidRPr="00E563BD" w:rsidRDefault="009A1034" w:rsidP="009A1034">
      <w:pPr>
        <w:pStyle w:val="ListParagraph"/>
        <w:numPr>
          <w:ilvl w:val="0"/>
          <w:numId w:val="26"/>
        </w:numPr>
        <w:spacing w:after="240"/>
      </w:pPr>
      <w:r>
        <w:t>revision of t</w:t>
      </w:r>
      <w:r w:rsidRPr="00E563BD">
        <w:t>he cost of the test</w:t>
      </w:r>
      <w:r>
        <w:t xml:space="preserve"> </w:t>
      </w:r>
    </w:p>
    <w:p w14:paraId="11E29727" w14:textId="77777777" w:rsidR="009A1034" w:rsidRPr="00E563BD" w:rsidRDefault="009A1034" w:rsidP="009A1034">
      <w:pPr>
        <w:pStyle w:val="ListParagraph"/>
        <w:numPr>
          <w:ilvl w:val="0"/>
          <w:numId w:val="26"/>
        </w:numPr>
        <w:spacing w:after="240"/>
      </w:pPr>
      <w:r>
        <w:t>a</w:t>
      </w:r>
      <w:r w:rsidRPr="00E563BD">
        <w:t>n updated economic model and cost</w:t>
      </w:r>
      <w:r>
        <w:t>-</w:t>
      </w:r>
      <w:r w:rsidRPr="00E563BD">
        <w:t>minimi</w:t>
      </w:r>
      <w:r>
        <w:t>s</w:t>
      </w:r>
      <w:r w:rsidRPr="00E563BD">
        <w:t>ation model</w:t>
      </w:r>
      <w:r>
        <w:t>,</w:t>
      </w:r>
      <w:r w:rsidRPr="00E563BD">
        <w:t xml:space="preserve"> and updated assumptions </w:t>
      </w:r>
    </w:p>
    <w:p w14:paraId="3CCD782D" w14:textId="77777777" w:rsidR="009A1034" w:rsidRPr="00E563BD" w:rsidRDefault="009A1034" w:rsidP="009A1034">
      <w:pPr>
        <w:pStyle w:val="ListParagraph"/>
        <w:numPr>
          <w:ilvl w:val="0"/>
          <w:numId w:val="26"/>
        </w:numPr>
        <w:spacing w:after="240"/>
      </w:pPr>
      <w:proofErr w:type="gramStart"/>
      <w:r>
        <w:t>u</w:t>
      </w:r>
      <w:r w:rsidRPr="00E563BD">
        <w:t>pdated</w:t>
      </w:r>
      <w:proofErr w:type="gramEnd"/>
      <w:r w:rsidRPr="00E563BD">
        <w:t xml:space="preserve"> budgetary impact modelling</w:t>
      </w:r>
      <w:r>
        <w:t>.</w:t>
      </w:r>
    </w:p>
    <w:p w14:paraId="31883B5A" w14:textId="77777777" w:rsidR="009A1034" w:rsidRDefault="009A1034" w:rsidP="009A1034">
      <w:pPr>
        <w:spacing w:after="240"/>
        <w:rPr>
          <w:color w:val="000000"/>
        </w:rPr>
      </w:pPr>
      <w:r>
        <w:rPr>
          <w:color w:val="000000"/>
        </w:rPr>
        <w:t>ESC noted that the resubmission’s</w:t>
      </w:r>
      <w:r w:rsidRPr="009C02B7">
        <w:rPr>
          <w:color w:val="000000"/>
        </w:rPr>
        <w:t xml:space="preserve"> updated </w:t>
      </w:r>
      <w:r>
        <w:rPr>
          <w:color w:val="000000"/>
        </w:rPr>
        <w:t xml:space="preserve">literature </w:t>
      </w:r>
      <w:r w:rsidRPr="009C02B7">
        <w:rPr>
          <w:color w:val="000000"/>
        </w:rPr>
        <w:t xml:space="preserve">review </w:t>
      </w:r>
      <w:r>
        <w:rPr>
          <w:color w:val="000000"/>
        </w:rPr>
        <w:t>did not identify any new evidence</w:t>
      </w:r>
      <w:r w:rsidRPr="009C02B7">
        <w:rPr>
          <w:color w:val="000000"/>
        </w:rPr>
        <w:t xml:space="preserve"> and the clinical claim remain</w:t>
      </w:r>
      <w:r>
        <w:rPr>
          <w:color w:val="000000"/>
        </w:rPr>
        <w:t>ed</w:t>
      </w:r>
      <w:r w:rsidRPr="009C02B7">
        <w:rPr>
          <w:color w:val="000000"/>
        </w:rPr>
        <w:t xml:space="preserve"> unchanged from the original submission.</w:t>
      </w:r>
    </w:p>
    <w:p w14:paraId="5259BFD7" w14:textId="6399B472" w:rsidR="009A1034" w:rsidRPr="00BF3B7B" w:rsidRDefault="009A1034" w:rsidP="009A1034">
      <w:pPr>
        <w:spacing w:after="240"/>
        <w:rPr>
          <w:color w:val="000000"/>
        </w:rPr>
      </w:pPr>
      <w:r>
        <w:rPr>
          <w:color w:val="000000"/>
        </w:rPr>
        <w:t xml:space="preserve">ESC noted that </w:t>
      </w:r>
      <w:r w:rsidRPr="00113B49">
        <w:rPr>
          <w:color w:val="000000"/>
        </w:rPr>
        <w:t xml:space="preserve">no evidence </w:t>
      </w:r>
      <w:proofErr w:type="gramStart"/>
      <w:r>
        <w:rPr>
          <w:color w:val="000000"/>
        </w:rPr>
        <w:t>was presented</w:t>
      </w:r>
      <w:proofErr w:type="gramEnd"/>
      <w:r>
        <w:rPr>
          <w:color w:val="000000"/>
        </w:rPr>
        <w:t xml:space="preserve"> in the original submission</w:t>
      </w:r>
      <w:r w:rsidRPr="00113B49">
        <w:rPr>
          <w:color w:val="000000"/>
        </w:rPr>
        <w:t xml:space="preserve"> for the use of HbA1c </w:t>
      </w:r>
      <w:proofErr w:type="spellStart"/>
      <w:r w:rsidR="00EC28F2">
        <w:rPr>
          <w:color w:val="000000"/>
        </w:rPr>
        <w:t>PoC</w:t>
      </w:r>
      <w:proofErr w:type="spellEnd"/>
      <w:r w:rsidRPr="00113B49">
        <w:rPr>
          <w:color w:val="000000"/>
        </w:rPr>
        <w:t xml:space="preserve"> testing in pregnant women with established diabetes</w:t>
      </w:r>
      <w:r w:rsidR="008A6717">
        <w:rPr>
          <w:color w:val="000000"/>
        </w:rPr>
        <w:t>.</w:t>
      </w:r>
      <w:r>
        <w:rPr>
          <w:color w:val="000000"/>
        </w:rPr>
        <w:t xml:space="preserve"> However, ESC did not consider it problematic to include pregnant women in the revised descriptor, as this population could benefit from </w:t>
      </w:r>
      <w:proofErr w:type="spellStart"/>
      <w:r w:rsidR="00EC28F2">
        <w:rPr>
          <w:color w:val="000000"/>
        </w:rPr>
        <w:t>PoC</w:t>
      </w:r>
      <w:proofErr w:type="spellEnd"/>
      <w:r>
        <w:rPr>
          <w:color w:val="000000"/>
        </w:rPr>
        <w:t xml:space="preserve"> testing.</w:t>
      </w:r>
    </w:p>
    <w:p w14:paraId="58217445" w14:textId="77777777" w:rsidR="009A1034" w:rsidRDefault="009A1034" w:rsidP="009A1034">
      <w:pPr>
        <w:pStyle w:val="NormalWeb"/>
        <w:rPr>
          <w:color w:val="000000"/>
          <w:szCs w:val="20"/>
        </w:rPr>
      </w:pPr>
      <w:r>
        <w:rPr>
          <w:color w:val="000000"/>
          <w:szCs w:val="20"/>
        </w:rPr>
        <w:t>ESC noted t</w:t>
      </w:r>
      <w:r w:rsidRPr="00CB5B4A">
        <w:rPr>
          <w:color w:val="000000"/>
          <w:szCs w:val="20"/>
        </w:rPr>
        <w:t xml:space="preserve">he </w:t>
      </w:r>
      <w:r>
        <w:rPr>
          <w:color w:val="000000"/>
          <w:szCs w:val="20"/>
        </w:rPr>
        <w:t xml:space="preserve">statement in the </w:t>
      </w:r>
      <w:r w:rsidRPr="00CB5B4A">
        <w:rPr>
          <w:color w:val="000000"/>
          <w:szCs w:val="20"/>
        </w:rPr>
        <w:t>resubmission that MSAC</w:t>
      </w:r>
      <w:r>
        <w:rPr>
          <w:color w:val="000000"/>
          <w:szCs w:val="20"/>
        </w:rPr>
        <w:t>’</w:t>
      </w:r>
      <w:r w:rsidRPr="00CB5B4A">
        <w:rPr>
          <w:color w:val="000000"/>
          <w:szCs w:val="20"/>
        </w:rPr>
        <w:t>s concerns with the previous SBA</w:t>
      </w:r>
      <w:r>
        <w:rPr>
          <w:color w:val="000000"/>
          <w:szCs w:val="20"/>
        </w:rPr>
        <w:t xml:space="preserve"> (that</w:t>
      </w:r>
      <w:r w:rsidRPr="00CB5B4A">
        <w:rPr>
          <w:color w:val="000000"/>
          <w:szCs w:val="20"/>
        </w:rPr>
        <w:t xml:space="preserve"> proposed patients could receive four tests per year</w:t>
      </w:r>
      <w:r>
        <w:rPr>
          <w:color w:val="000000"/>
          <w:szCs w:val="20"/>
        </w:rPr>
        <w:t>)</w:t>
      </w:r>
      <w:r w:rsidRPr="00CB5B4A">
        <w:rPr>
          <w:color w:val="000000"/>
          <w:szCs w:val="20"/>
        </w:rPr>
        <w:t xml:space="preserve"> indicated that this item descriptor is subject to episode coning. Episode coning occurs generally when more than three MBS item numbers </w:t>
      </w:r>
      <w:proofErr w:type="gramStart"/>
      <w:r w:rsidRPr="00CB5B4A">
        <w:rPr>
          <w:color w:val="000000"/>
          <w:szCs w:val="20"/>
        </w:rPr>
        <w:t>are requested</w:t>
      </w:r>
      <w:proofErr w:type="gramEnd"/>
      <w:r w:rsidRPr="00CB5B4A">
        <w:rPr>
          <w:color w:val="000000"/>
          <w:szCs w:val="20"/>
        </w:rPr>
        <w:t xml:space="preserve"> for a patient in the same day</w:t>
      </w:r>
      <w:r>
        <w:rPr>
          <w:color w:val="000000"/>
          <w:szCs w:val="20"/>
        </w:rPr>
        <w:t>. This is</w:t>
      </w:r>
      <w:r w:rsidRPr="00CB5B4A">
        <w:rPr>
          <w:color w:val="000000"/>
          <w:szCs w:val="20"/>
        </w:rPr>
        <w:t xml:space="preserve"> usually via a comprehensive pathology assessment that </w:t>
      </w:r>
      <w:proofErr w:type="gramStart"/>
      <w:r w:rsidRPr="00CB5B4A">
        <w:rPr>
          <w:color w:val="000000"/>
          <w:szCs w:val="20"/>
        </w:rPr>
        <w:t>is generally ordered</w:t>
      </w:r>
      <w:proofErr w:type="gramEnd"/>
      <w:r w:rsidRPr="00CB5B4A">
        <w:rPr>
          <w:color w:val="000000"/>
          <w:szCs w:val="20"/>
        </w:rPr>
        <w:t xml:space="preserve"> for patients once every 12</w:t>
      </w:r>
      <w:r>
        <w:rPr>
          <w:color w:val="000000"/>
          <w:szCs w:val="20"/>
        </w:rPr>
        <w:t> </w:t>
      </w:r>
      <w:r w:rsidRPr="00CB5B4A">
        <w:rPr>
          <w:color w:val="000000"/>
          <w:szCs w:val="20"/>
        </w:rPr>
        <w:t xml:space="preserve">months to assess </w:t>
      </w:r>
      <w:r w:rsidRPr="00CB5B4A">
        <w:rPr>
          <w:color w:val="000000"/>
          <w:szCs w:val="20"/>
        </w:rPr>
        <w:lastRenderedPageBreak/>
        <w:t>other risk factors associated with the condition, such as kidney function tests, lipid levels and liver function tests. In such situations, Medicare only pays for the three most expensive items.</w:t>
      </w:r>
    </w:p>
    <w:p w14:paraId="16765AC1" w14:textId="77777777" w:rsidR="009A1034" w:rsidRPr="00CB5B4A" w:rsidRDefault="009A1034" w:rsidP="009A1034">
      <w:pPr>
        <w:pStyle w:val="NormalWeb"/>
        <w:rPr>
          <w:color w:val="000000"/>
          <w:szCs w:val="20"/>
        </w:rPr>
      </w:pPr>
      <w:r>
        <w:rPr>
          <w:color w:val="000000"/>
          <w:szCs w:val="20"/>
        </w:rPr>
        <w:t xml:space="preserve">ESC noted that including a cap of </w:t>
      </w:r>
      <w:r w:rsidRPr="00CB5B4A">
        <w:rPr>
          <w:color w:val="000000"/>
          <w:szCs w:val="20"/>
        </w:rPr>
        <w:t xml:space="preserve">three </w:t>
      </w:r>
      <w:proofErr w:type="spellStart"/>
      <w:r w:rsidRPr="00CB5B4A">
        <w:rPr>
          <w:color w:val="000000"/>
          <w:szCs w:val="20"/>
        </w:rPr>
        <w:t>PoC</w:t>
      </w:r>
      <w:proofErr w:type="spellEnd"/>
      <w:r w:rsidRPr="00CB5B4A">
        <w:rPr>
          <w:color w:val="000000"/>
          <w:szCs w:val="20"/>
        </w:rPr>
        <w:t xml:space="preserve"> tests per 12</w:t>
      </w:r>
      <w:r>
        <w:rPr>
          <w:color w:val="000000"/>
          <w:szCs w:val="20"/>
        </w:rPr>
        <w:t> </w:t>
      </w:r>
      <w:r w:rsidRPr="00CB5B4A">
        <w:rPr>
          <w:color w:val="000000"/>
          <w:szCs w:val="20"/>
        </w:rPr>
        <w:t xml:space="preserve">months </w:t>
      </w:r>
      <w:r>
        <w:rPr>
          <w:color w:val="000000"/>
          <w:szCs w:val="20"/>
        </w:rPr>
        <w:t xml:space="preserve">in the item descriptor will </w:t>
      </w:r>
      <w:r w:rsidRPr="00CB5B4A">
        <w:rPr>
          <w:color w:val="000000"/>
          <w:szCs w:val="20"/>
        </w:rPr>
        <w:t xml:space="preserve">avoid duplication </w:t>
      </w:r>
      <w:r>
        <w:rPr>
          <w:color w:val="000000"/>
          <w:szCs w:val="20"/>
        </w:rPr>
        <w:t>of</w:t>
      </w:r>
      <w:r w:rsidRPr="00CB5B4A">
        <w:rPr>
          <w:color w:val="000000"/>
          <w:szCs w:val="20"/>
        </w:rPr>
        <w:t xml:space="preserve"> HbA1c </w:t>
      </w:r>
      <w:proofErr w:type="spellStart"/>
      <w:r w:rsidRPr="00CB5B4A">
        <w:rPr>
          <w:color w:val="000000"/>
          <w:szCs w:val="20"/>
        </w:rPr>
        <w:t>PoC</w:t>
      </w:r>
      <w:proofErr w:type="spellEnd"/>
      <w:r w:rsidRPr="00CB5B4A">
        <w:rPr>
          <w:color w:val="000000"/>
          <w:szCs w:val="20"/>
        </w:rPr>
        <w:t xml:space="preserve"> testing </w:t>
      </w:r>
      <w:r>
        <w:rPr>
          <w:color w:val="000000"/>
          <w:szCs w:val="20"/>
        </w:rPr>
        <w:t xml:space="preserve">and </w:t>
      </w:r>
      <w:r w:rsidRPr="00CB5B4A">
        <w:rPr>
          <w:color w:val="000000"/>
          <w:szCs w:val="20"/>
        </w:rPr>
        <w:t>the HbA1c pathology test ordered within the routine yearly assessment</w:t>
      </w:r>
      <w:r>
        <w:rPr>
          <w:color w:val="000000"/>
          <w:szCs w:val="20"/>
        </w:rPr>
        <w:t>.</w:t>
      </w:r>
    </w:p>
    <w:p w14:paraId="55844FDD" w14:textId="1AAC646A" w:rsidR="009A1034" w:rsidRDefault="009A1034" w:rsidP="009A1034">
      <w:pPr>
        <w:spacing w:after="240"/>
        <w:rPr>
          <w:color w:val="000000"/>
        </w:rPr>
      </w:pPr>
      <w:r>
        <w:rPr>
          <w:color w:val="000000"/>
        </w:rPr>
        <w:t xml:space="preserve">ESC noted that limiting </w:t>
      </w:r>
      <w:proofErr w:type="spellStart"/>
      <w:r w:rsidR="00EC28F2">
        <w:rPr>
          <w:color w:val="000000"/>
        </w:rPr>
        <w:t>PoC</w:t>
      </w:r>
      <w:proofErr w:type="spellEnd"/>
      <w:r>
        <w:rPr>
          <w:color w:val="000000"/>
        </w:rPr>
        <w:t xml:space="preserve"> testing to three</w:t>
      </w:r>
      <w:r w:rsidRPr="00BF3B7B">
        <w:rPr>
          <w:color w:val="000000"/>
        </w:rPr>
        <w:t xml:space="preserve"> times per year could </w:t>
      </w:r>
      <w:r>
        <w:rPr>
          <w:color w:val="000000"/>
        </w:rPr>
        <w:t>result in</w:t>
      </w:r>
      <w:r w:rsidRPr="00BF3B7B">
        <w:rPr>
          <w:color w:val="000000"/>
        </w:rPr>
        <w:t xml:space="preserve"> a</w:t>
      </w:r>
      <w:r>
        <w:rPr>
          <w:color w:val="000000"/>
        </w:rPr>
        <w:t xml:space="preserve"> </w:t>
      </w:r>
      <w:r w:rsidRPr="00BF3B7B">
        <w:rPr>
          <w:color w:val="000000"/>
        </w:rPr>
        <w:t>compliance issue</w:t>
      </w:r>
      <w:r>
        <w:rPr>
          <w:color w:val="000000"/>
        </w:rPr>
        <w:t xml:space="preserve">. Currently, general practitioners (GP’s) can try to claim for the test, only to be denied reimbursement because </w:t>
      </w:r>
      <w:proofErr w:type="gramStart"/>
      <w:r>
        <w:rPr>
          <w:color w:val="000000"/>
        </w:rPr>
        <w:t>the patient has already been tested three times by other practitioners</w:t>
      </w:r>
      <w:proofErr w:type="gramEnd"/>
      <w:r>
        <w:rPr>
          <w:color w:val="000000"/>
        </w:rPr>
        <w:t>. Patients may not recall the previous tests or may not be forthcoming in sharing this information.</w:t>
      </w:r>
    </w:p>
    <w:p w14:paraId="4FF8C280" w14:textId="6294F8AB" w:rsidR="009A1034" w:rsidRDefault="009A1034" w:rsidP="009A1034">
      <w:pPr>
        <w:spacing w:after="240"/>
        <w:rPr>
          <w:color w:val="000000"/>
        </w:rPr>
      </w:pPr>
      <w:r>
        <w:rPr>
          <w:color w:val="000000"/>
        </w:rPr>
        <w:t xml:space="preserve">ESC noted that </w:t>
      </w:r>
      <w:r w:rsidRPr="009C02B7">
        <w:rPr>
          <w:color w:val="000000"/>
        </w:rPr>
        <w:t xml:space="preserve">the definition of the proposed medical service remains unchanged </w:t>
      </w:r>
      <w:r>
        <w:rPr>
          <w:color w:val="000000"/>
        </w:rPr>
        <w:t>from</w:t>
      </w:r>
      <w:r w:rsidRPr="009C02B7">
        <w:rPr>
          <w:color w:val="000000"/>
        </w:rPr>
        <w:t xml:space="preserve"> the original submission. The proposed item descriptor has been updated to incorporate a restriction based on the </w:t>
      </w:r>
      <w:proofErr w:type="spellStart"/>
      <w:r w:rsidR="00EC28F2">
        <w:rPr>
          <w:color w:val="000000"/>
        </w:rPr>
        <w:t>PoC</w:t>
      </w:r>
      <w:proofErr w:type="spellEnd"/>
      <w:r w:rsidRPr="009C02B7">
        <w:rPr>
          <w:color w:val="000000"/>
        </w:rPr>
        <w:t xml:space="preserve"> test device meeting generally acceptable performance criteria (i</w:t>
      </w:r>
      <w:r>
        <w:rPr>
          <w:color w:val="000000"/>
        </w:rPr>
        <w:t>.</w:t>
      </w:r>
      <w:r w:rsidRPr="009C02B7">
        <w:rPr>
          <w:color w:val="000000"/>
        </w:rPr>
        <w:t>e</w:t>
      </w:r>
      <w:r>
        <w:rPr>
          <w:color w:val="000000"/>
        </w:rPr>
        <w:t>. </w:t>
      </w:r>
      <w:r w:rsidRPr="009C02B7">
        <w:rPr>
          <w:color w:val="000000"/>
        </w:rPr>
        <w:t xml:space="preserve">a National </w:t>
      </w:r>
      <w:proofErr w:type="spellStart"/>
      <w:r w:rsidRPr="009C02B7">
        <w:rPr>
          <w:color w:val="000000"/>
        </w:rPr>
        <w:t>Glycohemoglobin</w:t>
      </w:r>
      <w:proofErr w:type="spellEnd"/>
      <w:r w:rsidRPr="009C02B7">
        <w:rPr>
          <w:color w:val="000000"/>
        </w:rPr>
        <w:t xml:space="preserve"> Standardization Program (NGSP) manufacturer certification and a total coefficient of variation (CV) &lt;3.0% at 48</w:t>
      </w:r>
      <w:r>
        <w:rPr>
          <w:color w:val="000000"/>
        </w:rPr>
        <w:t> </w:t>
      </w:r>
      <w:proofErr w:type="spellStart"/>
      <w:r w:rsidRPr="009C02B7">
        <w:rPr>
          <w:color w:val="000000"/>
        </w:rPr>
        <w:t>mmol</w:t>
      </w:r>
      <w:proofErr w:type="spellEnd"/>
      <w:r w:rsidRPr="009C02B7">
        <w:rPr>
          <w:color w:val="000000"/>
        </w:rPr>
        <w:t>/</w:t>
      </w:r>
      <w:proofErr w:type="spellStart"/>
      <w:r w:rsidRPr="009C02B7">
        <w:rPr>
          <w:color w:val="000000"/>
        </w:rPr>
        <w:t>mol</w:t>
      </w:r>
      <w:proofErr w:type="spellEnd"/>
      <w:r>
        <w:rPr>
          <w:color w:val="000000"/>
        </w:rPr>
        <w:t>)</w:t>
      </w:r>
      <w:r w:rsidRPr="009C02B7">
        <w:rPr>
          <w:color w:val="000000"/>
        </w:rPr>
        <w:t>.</w:t>
      </w:r>
      <w:r>
        <w:rPr>
          <w:color w:val="000000"/>
        </w:rPr>
        <w:t xml:space="preserve"> ESC agreed with the Assessment Group that including the CV was a useful way to ensure that only suitable machines </w:t>
      </w:r>
      <w:proofErr w:type="gramStart"/>
      <w:r>
        <w:rPr>
          <w:color w:val="000000"/>
        </w:rPr>
        <w:t>are used</w:t>
      </w:r>
      <w:proofErr w:type="gramEnd"/>
      <w:r>
        <w:rPr>
          <w:color w:val="000000"/>
        </w:rPr>
        <w:t xml:space="preserve"> in this test, given the range of machines available on the market.</w:t>
      </w:r>
    </w:p>
    <w:p w14:paraId="154A93F3" w14:textId="76B09DC1" w:rsidR="009A1034" w:rsidRDefault="009A1034" w:rsidP="009A1034">
      <w:pPr>
        <w:spacing w:after="240"/>
        <w:rPr>
          <w:color w:val="000000"/>
        </w:rPr>
      </w:pPr>
      <w:r>
        <w:rPr>
          <w:color w:val="000000"/>
        </w:rPr>
        <w:t xml:space="preserve">ESC noted that </w:t>
      </w:r>
      <w:r w:rsidRPr="009C02B7">
        <w:rPr>
          <w:color w:val="000000"/>
        </w:rPr>
        <w:t xml:space="preserve">the </w:t>
      </w:r>
      <w:r w:rsidRPr="008E529E">
        <w:rPr>
          <w:color w:val="000000"/>
        </w:rPr>
        <w:t xml:space="preserve">Royal Australian College of General Practitioners </w:t>
      </w:r>
      <w:r>
        <w:rPr>
          <w:color w:val="000000"/>
        </w:rPr>
        <w:t>(</w:t>
      </w:r>
      <w:r w:rsidRPr="009C02B7">
        <w:rPr>
          <w:color w:val="000000"/>
        </w:rPr>
        <w:t>RACGP</w:t>
      </w:r>
      <w:r>
        <w:rPr>
          <w:color w:val="000000"/>
        </w:rPr>
        <w:t>)</w:t>
      </w:r>
      <w:r w:rsidRPr="009C02B7">
        <w:rPr>
          <w:color w:val="000000"/>
        </w:rPr>
        <w:t xml:space="preserve"> </w:t>
      </w:r>
      <w:proofErr w:type="spellStart"/>
      <w:r w:rsidR="00EC28F2">
        <w:rPr>
          <w:color w:val="000000"/>
        </w:rPr>
        <w:t>PoC</w:t>
      </w:r>
      <w:proofErr w:type="spellEnd"/>
      <w:r w:rsidRPr="009C02B7">
        <w:rPr>
          <w:color w:val="000000"/>
        </w:rPr>
        <w:t xml:space="preserve"> testing </w:t>
      </w:r>
      <w:r>
        <w:rPr>
          <w:color w:val="000000"/>
        </w:rPr>
        <w:t>s</w:t>
      </w:r>
      <w:r w:rsidRPr="009C02B7">
        <w:rPr>
          <w:color w:val="000000"/>
        </w:rPr>
        <w:t xml:space="preserve">tandards </w:t>
      </w:r>
      <w:proofErr w:type="gramStart"/>
      <w:r>
        <w:rPr>
          <w:color w:val="000000"/>
        </w:rPr>
        <w:t>have recently been published</w:t>
      </w:r>
      <w:proofErr w:type="gramEnd"/>
      <w:r>
        <w:rPr>
          <w:color w:val="000000"/>
        </w:rPr>
        <w:t>; further consultation with the College will be required to see how these standards are working in practice.</w:t>
      </w:r>
      <w:r w:rsidRPr="009C02B7">
        <w:rPr>
          <w:color w:val="000000"/>
        </w:rPr>
        <w:t xml:space="preserve"> </w:t>
      </w:r>
      <w:proofErr w:type="spellStart"/>
      <w:r w:rsidR="00EC28F2">
        <w:rPr>
          <w:color w:val="000000"/>
        </w:rPr>
        <w:t>PoC</w:t>
      </w:r>
      <w:proofErr w:type="spellEnd"/>
      <w:r w:rsidRPr="009C02B7">
        <w:rPr>
          <w:color w:val="000000"/>
        </w:rPr>
        <w:t xml:space="preserve"> accreditation </w:t>
      </w:r>
      <w:r>
        <w:rPr>
          <w:color w:val="000000"/>
        </w:rPr>
        <w:t>will</w:t>
      </w:r>
      <w:r w:rsidRPr="009C02B7">
        <w:rPr>
          <w:color w:val="000000"/>
        </w:rPr>
        <w:t xml:space="preserve"> be conducted as part of overall </w:t>
      </w:r>
      <w:r>
        <w:rPr>
          <w:color w:val="000000"/>
        </w:rPr>
        <w:t>GP</w:t>
      </w:r>
      <w:r w:rsidRPr="009C02B7">
        <w:rPr>
          <w:color w:val="000000"/>
        </w:rPr>
        <w:t xml:space="preserve"> </w:t>
      </w:r>
      <w:r>
        <w:rPr>
          <w:color w:val="000000"/>
        </w:rPr>
        <w:t>a</w:t>
      </w:r>
      <w:r w:rsidRPr="009C02B7">
        <w:rPr>
          <w:color w:val="000000"/>
        </w:rPr>
        <w:t>ccreditation as an optional</w:t>
      </w:r>
      <w:r w:rsidR="00F26141">
        <w:rPr>
          <w:color w:val="000000"/>
        </w:rPr>
        <w:t xml:space="preserve"> module.</w:t>
      </w:r>
      <w:r w:rsidRPr="009C02B7">
        <w:rPr>
          <w:color w:val="000000"/>
        </w:rPr>
        <w:t xml:space="preserve"> </w:t>
      </w:r>
      <w:r>
        <w:rPr>
          <w:color w:val="000000"/>
        </w:rPr>
        <w:t>ESC noted that t</w:t>
      </w:r>
      <w:r w:rsidRPr="009C02B7">
        <w:rPr>
          <w:color w:val="000000"/>
        </w:rPr>
        <w:t xml:space="preserve">he requirements </w:t>
      </w:r>
      <w:r>
        <w:rPr>
          <w:color w:val="000000"/>
        </w:rPr>
        <w:t xml:space="preserve">of </w:t>
      </w:r>
      <w:r w:rsidRPr="009C02B7">
        <w:rPr>
          <w:color w:val="000000"/>
        </w:rPr>
        <w:t xml:space="preserve">the current version of the RACGP </w:t>
      </w:r>
      <w:proofErr w:type="spellStart"/>
      <w:r w:rsidR="00EC28F2">
        <w:rPr>
          <w:color w:val="000000"/>
        </w:rPr>
        <w:t>PoC</w:t>
      </w:r>
      <w:proofErr w:type="spellEnd"/>
      <w:r w:rsidRPr="009C02B7">
        <w:rPr>
          <w:color w:val="000000"/>
        </w:rPr>
        <w:t xml:space="preserve"> testing </w:t>
      </w:r>
      <w:r>
        <w:rPr>
          <w:color w:val="000000"/>
        </w:rPr>
        <w:t>s</w:t>
      </w:r>
      <w:r w:rsidRPr="009C02B7">
        <w:rPr>
          <w:color w:val="000000"/>
        </w:rPr>
        <w:t xml:space="preserve">tandards </w:t>
      </w:r>
      <w:proofErr w:type="gramStart"/>
      <w:r>
        <w:rPr>
          <w:color w:val="000000"/>
        </w:rPr>
        <w:t>were compared</w:t>
      </w:r>
      <w:proofErr w:type="gramEnd"/>
      <w:r>
        <w:rPr>
          <w:color w:val="000000"/>
        </w:rPr>
        <w:t xml:space="preserve"> with</w:t>
      </w:r>
      <w:r w:rsidRPr="009C02B7">
        <w:rPr>
          <w:color w:val="000000"/>
        </w:rPr>
        <w:t xml:space="preserve"> the National Pathology Accreditation Advisory Council (NPAAC) </w:t>
      </w:r>
      <w:proofErr w:type="spellStart"/>
      <w:r w:rsidR="00EC28F2">
        <w:rPr>
          <w:color w:val="000000"/>
        </w:rPr>
        <w:t>PoC</w:t>
      </w:r>
      <w:proofErr w:type="spellEnd"/>
      <w:r w:rsidRPr="009C02B7">
        <w:rPr>
          <w:color w:val="000000"/>
        </w:rPr>
        <w:t xml:space="preserve"> testing </w:t>
      </w:r>
      <w:r>
        <w:rPr>
          <w:color w:val="000000"/>
        </w:rPr>
        <w:t>g</w:t>
      </w:r>
      <w:r w:rsidRPr="009C02B7">
        <w:rPr>
          <w:color w:val="000000"/>
        </w:rPr>
        <w:t>uideline</w:t>
      </w:r>
      <w:r>
        <w:rPr>
          <w:color w:val="000000"/>
        </w:rPr>
        <w:t>. A</w:t>
      </w:r>
      <w:r w:rsidRPr="009C02B7">
        <w:rPr>
          <w:color w:val="000000"/>
        </w:rPr>
        <w:t xml:space="preserve">lthough the language, presentation and style are different between the two, </w:t>
      </w:r>
      <w:bookmarkStart w:id="14" w:name="_Hlk12437075"/>
      <w:r w:rsidRPr="009C02B7">
        <w:rPr>
          <w:color w:val="000000"/>
        </w:rPr>
        <w:t>the actual requirements are comparable and provide assurance of consistent quality</w:t>
      </w:r>
      <w:bookmarkEnd w:id="14"/>
      <w:r w:rsidRPr="009C02B7">
        <w:rPr>
          <w:color w:val="000000"/>
        </w:rPr>
        <w:t xml:space="preserve">. </w:t>
      </w:r>
    </w:p>
    <w:p w14:paraId="691A96E2" w14:textId="366247D3" w:rsidR="009A1034" w:rsidRPr="003B59BC" w:rsidRDefault="009A1034" w:rsidP="009A1034">
      <w:pPr>
        <w:spacing w:after="240"/>
        <w:rPr>
          <w:color w:val="000000"/>
        </w:rPr>
      </w:pPr>
      <w:r>
        <w:rPr>
          <w:color w:val="000000"/>
        </w:rPr>
        <w:t>ESC noted that t</w:t>
      </w:r>
      <w:r w:rsidRPr="003B59BC">
        <w:rPr>
          <w:color w:val="000000"/>
        </w:rPr>
        <w:t xml:space="preserve">he base-case result </w:t>
      </w:r>
      <w:r>
        <w:rPr>
          <w:color w:val="000000"/>
        </w:rPr>
        <w:t xml:space="preserve">in the original submission </w:t>
      </w:r>
      <w:r w:rsidRPr="003B59BC">
        <w:rPr>
          <w:color w:val="000000"/>
        </w:rPr>
        <w:t xml:space="preserve">showed HbA1c </w:t>
      </w:r>
      <w:proofErr w:type="spellStart"/>
      <w:r w:rsidR="00EC28F2">
        <w:rPr>
          <w:color w:val="000000"/>
        </w:rPr>
        <w:t>PoC</w:t>
      </w:r>
      <w:proofErr w:type="spellEnd"/>
      <w:r w:rsidRPr="003B59BC">
        <w:rPr>
          <w:color w:val="000000"/>
        </w:rPr>
        <w:t xml:space="preserve"> testing to be dominant (</w:t>
      </w:r>
      <w:r>
        <w:rPr>
          <w:color w:val="000000"/>
        </w:rPr>
        <w:t>i.e. </w:t>
      </w:r>
      <w:r w:rsidRPr="003B59BC">
        <w:rPr>
          <w:color w:val="000000"/>
        </w:rPr>
        <w:t xml:space="preserve">more effective and less costly) than HbA1c pathology laboratory testing (ICER </w:t>
      </w:r>
      <w:r>
        <w:rPr>
          <w:color w:val="000000"/>
        </w:rPr>
        <w:t>–</w:t>
      </w:r>
      <w:r w:rsidRPr="003B59BC">
        <w:rPr>
          <w:color w:val="000000"/>
        </w:rPr>
        <w:t>$31,747 per QALY gained)</w:t>
      </w:r>
      <w:r>
        <w:rPr>
          <w:color w:val="000000"/>
        </w:rPr>
        <w:t>. However,</w:t>
      </w:r>
      <w:r w:rsidRPr="003B59BC">
        <w:rPr>
          <w:color w:val="000000"/>
        </w:rPr>
        <w:t xml:space="preserve"> </w:t>
      </w:r>
      <w:r>
        <w:rPr>
          <w:color w:val="000000"/>
        </w:rPr>
        <w:t xml:space="preserve">MSAC considered that </w:t>
      </w:r>
      <w:r w:rsidRPr="003B59BC">
        <w:rPr>
          <w:color w:val="000000"/>
        </w:rPr>
        <w:t xml:space="preserve">there was uncertainty around the assumption that HbA1c </w:t>
      </w:r>
      <w:proofErr w:type="spellStart"/>
      <w:r w:rsidR="00EC28F2">
        <w:rPr>
          <w:color w:val="000000"/>
        </w:rPr>
        <w:t>PoC</w:t>
      </w:r>
      <w:proofErr w:type="spellEnd"/>
      <w:r w:rsidRPr="003B59BC">
        <w:rPr>
          <w:color w:val="000000"/>
        </w:rPr>
        <w:t xml:space="preserve"> testing would lead to a reduction in GP visits. </w:t>
      </w:r>
      <w:r>
        <w:rPr>
          <w:color w:val="000000"/>
        </w:rPr>
        <w:t>ESC recalled that the</w:t>
      </w:r>
      <w:r w:rsidRPr="003B59BC">
        <w:rPr>
          <w:color w:val="000000"/>
        </w:rPr>
        <w:t xml:space="preserve"> additional analysis of the economic model run by MSAC</w:t>
      </w:r>
      <w:r>
        <w:rPr>
          <w:color w:val="000000"/>
        </w:rPr>
        <w:t xml:space="preserve"> during its consideration of the original submission</w:t>
      </w:r>
      <w:r w:rsidRPr="003B59BC">
        <w:rPr>
          <w:color w:val="000000"/>
        </w:rPr>
        <w:t xml:space="preserve"> </w:t>
      </w:r>
      <w:r>
        <w:rPr>
          <w:color w:val="000000"/>
        </w:rPr>
        <w:t>showed</w:t>
      </w:r>
      <w:r w:rsidRPr="003B59BC">
        <w:rPr>
          <w:color w:val="000000"/>
        </w:rPr>
        <w:t xml:space="preserve"> no differences in hospital and pharmaceutical costs based on the non-significant cost difference results from the </w:t>
      </w:r>
      <w:proofErr w:type="spellStart"/>
      <w:r w:rsidR="00EC28F2">
        <w:rPr>
          <w:color w:val="000000"/>
        </w:rPr>
        <w:t>PoC</w:t>
      </w:r>
      <w:proofErr w:type="spellEnd"/>
      <w:r>
        <w:rPr>
          <w:color w:val="000000"/>
        </w:rPr>
        <w:t xml:space="preserve"> test</w:t>
      </w:r>
      <w:r w:rsidRPr="003B59BC">
        <w:rPr>
          <w:color w:val="000000"/>
        </w:rPr>
        <w:t xml:space="preserve"> GP </w:t>
      </w:r>
      <w:r>
        <w:rPr>
          <w:color w:val="000000"/>
        </w:rPr>
        <w:t>t</w:t>
      </w:r>
      <w:r w:rsidRPr="003B59BC">
        <w:rPr>
          <w:color w:val="000000"/>
        </w:rPr>
        <w:t xml:space="preserve">rial. </w:t>
      </w:r>
    </w:p>
    <w:p w14:paraId="3C1B527D" w14:textId="736A2FEF" w:rsidR="009A1034" w:rsidRPr="003B59BC" w:rsidRDefault="009A1034" w:rsidP="009A1034">
      <w:pPr>
        <w:spacing w:after="120"/>
        <w:rPr>
          <w:color w:val="000000"/>
        </w:rPr>
      </w:pPr>
      <w:r>
        <w:rPr>
          <w:color w:val="000000"/>
        </w:rPr>
        <w:t>ESC noted that MSAC requested t</w:t>
      </w:r>
      <w:r w:rsidRPr="003B59BC">
        <w:rPr>
          <w:color w:val="000000"/>
        </w:rPr>
        <w:t xml:space="preserve">he economic model </w:t>
      </w:r>
      <w:r>
        <w:rPr>
          <w:color w:val="000000"/>
        </w:rPr>
        <w:t xml:space="preserve">in the original submission </w:t>
      </w:r>
      <w:proofErr w:type="gramStart"/>
      <w:r>
        <w:rPr>
          <w:color w:val="000000"/>
        </w:rPr>
        <w:t>be updated</w:t>
      </w:r>
      <w:proofErr w:type="gramEnd"/>
      <w:r>
        <w:rPr>
          <w:color w:val="000000"/>
        </w:rPr>
        <w:t xml:space="preserve"> to </w:t>
      </w:r>
      <w:r w:rsidRPr="003B59BC">
        <w:rPr>
          <w:color w:val="000000"/>
        </w:rPr>
        <w:t>incorporat</w:t>
      </w:r>
      <w:r>
        <w:rPr>
          <w:color w:val="000000"/>
        </w:rPr>
        <w:t>e</w:t>
      </w:r>
      <w:r w:rsidRPr="003B59BC">
        <w:rPr>
          <w:color w:val="000000"/>
        </w:rPr>
        <w:t xml:space="preserve"> a reduced test fee. In response to MSAC’s request, the economic evaluation </w:t>
      </w:r>
      <w:proofErr w:type="gramStart"/>
      <w:r w:rsidRPr="003B59BC">
        <w:rPr>
          <w:color w:val="000000"/>
        </w:rPr>
        <w:t>has been amended</w:t>
      </w:r>
      <w:proofErr w:type="gramEnd"/>
      <w:r>
        <w:rPr>
          <w:color w:val="000000"/>
        </w:rPr>
        <w:t xml:space="preserve"> in the resubmission</w:t>
      </w:r>
      <w:r w:rsidRPr="003B59BC">
        <w:rPr>
          <w:color w:val="000000"/>
        </w:rPr>
        <w:t xml:space="preserve"> to a cost-minimisation analysis</w:t>
      </w:r>
      <w:r>
        <w:rPr>
          <w:color w:val="000000"/>
        </w:rPr>
        <w:t>. A</w:t>
      </w:r>
      <w:r w:rsidRPr="003B59BC">
        <w:rPr>
          <w:color w:val="000000"/>
        </w:rPr>
        <w:t xml:space="preserve"> cost-utility analysis </w:t>
      </w:r>
      <w:proofErr w:type="gramStart"/>
      <w:r>
        <w:rPr>
          <w:color w:val="000000"/>
        </w:rPr>
        <w:t xml:space="preserve">was also </w:t>
      </w:r>
      <w:r w:rsidRPr="003B59BC">
        <w:rPr>
          <w:color w:val="000000"/>
        </w:rPr>
        <w:t>presented</w:t>
      </w:r>
      <w:proofErr w:type="gramEnd"/>
      <w:r w:rsidRPr="003B59BC">
        <w:rPr>
          <w:color w:val="000000"/>
        </w:rPr>
        <w:t xml:space="preserve"> as a sensitivity analysis</w:t>
      </w:r>
      <w:r>
        <w:rPr>
          <w:color w:val="000000"/>
        </w:rPr>
        <w:t>,</w:t>
      </w:r>
      <w:r w:rsidRPr="003B59BC">
        <w:rPr>
          <w:color w:val="000000"/>
        </w:rPr>
        <w:t xml:space="preserve"> as </w:t>
      </w:r>
      <w:proofErr w:type="spellStart"/>
      <w:r w:rsidR="00EC28F2">
        <w:rPr>
          <w:color w:val="000000"/>
        </w:rPr>
        <w:t>PoC</w:t>
      </w:r>
      <w:proofErr w:type="spellEnd"/>
      <w:r w:rsidRPr="003B59BC">
        <w:rPr>
          <w:color w:val="000000"/>
        </w:rPr>
        <w:t xml:space="preserve"> HbA1c testing has been proven to increase control of diabetes. </w:t>
      </w:r>
      <w:r>
        <w:rPr>
          <w:color w:val="000000"/>
        </w:rPr>
        <w:t>Key changes to the model included:</w:t>
      </w:r>
    </w:p>
    <w:p w14:paraId="7F385EF2" w14:textId="4B4F9B6A" w:rsidR="009A1034" w:rsidRPr="003B59BC" w:rsidRDefault="009A1034" w:rsidP="009A1034">
      <w:pPr>
        <w:pStyle w:val="ListParagraph"/>
        <w:numPr>
          <w:ilvl w:val="0"/>
          <w:numId w:val="26"/>
        </w:numPr>
        <w:spacing w:after="240"/>
      </w:pPr>
      <w:r w:rsidRPr="003B59BC">
        <w:t xml:space="preserve">for the </w:t>
      </w:r>
      <w:proofErr w:type="spellStart"/>
      <w:r w:rsidR="00EC28F2">
        <w:t>PoC</w:t>
      </w:r>
      <w:proofErr w:type="spellEnd"/>
      <w:r w:rsidRPr="003B59BC">
        <w:t xml:space="preserve"> testing arm, the number of tests per year </w:t>
      </w:r>
      <w:r>
        <w:t>was</w:t>
      </w:r>
      <w:r w:rsidRPr="003B59BC">
        <w:t xml:space="preserve"> modified to align with the cap of three </w:t>
      </w:r>
      <w:proofErr w:type="spellStart"/>
      <w:r w:rsidR="00EC28F2">
        <w:t>PoC</w:t>
      </w:r>
      <w:proofErr w:type="spellEnd"/>
      <w:r w:rsidRPr="003B59BC">
        <w:t xml:space="preserve"> tests per year in the updated proposed MBS item descriptor and included costs for a fourth HbA1c test taking place via pathology laboratory testing</w:t>
      </w:r>
      <w:r>
        <w:t>;</w:t>
      </w:r>
      <w:r w:rsidRPr="003B59BC">
        <w:t xml:space="preserve"> </w:t>
      </w:r>
      <w:r>
        <w:t>a</w:t>
      </w:r>
      <w:r w:rsidRPr="003B59BC">
        <w:t>s such, the 34% coning rate was applied to one HbA1c pathology laboratory test per year</w:t>
      </w:r>
    </w:p>
    <w:p w14:paraId="309F6C71" w14:textId="77777777" w:rsidR="009A1034" w:rsidRPr="003B59BC" w:rsidRDefault="009A1034" w:rsidP="009A1034">
      <w:pPr>
        <w:pStyle w:val="ListParagraph"/>
        <w:numPr>
          <w:ilvl w:val="0"/>
          <w:numId w:val="26"/>
        </w:numPr>
        <w:spacing w:after="240"/>
      </w:pPr>
      <w:proofErr w:type="gramStart"/>
      <w:r w:rsidRPr="003B59BC">
        <w:t>in the original submission</w:t>
      </w:r>
      <w:r>
        <w:t>,</w:t>
      </w:r>
      <w:r w:rsidRPr="003B59BC">
        <w:t xml:space="preserve"> all pathology laboratory tests</w:t>
      </w:r>
      <w:r>
        <w:t xml:space="preserve"> (MBS item 66551)</w:t>
      </w:r>
      <w:r w:rsidRPr="003B59BC">
        <w:t xml:space="preserve"> were assumed to be subject to coning</w:t>
      </w:r>
      <w:r>
        <w:t>;</w:t>
      </w:r>
      <w:r w:rsidRPr="003B59BC">
        <w:t xml:space="preserve"> however</w:t>
      </w:r>
      <w:r>
        <w:t>,</w:t>
      </w:r>
      <w:r w:rsidRPr="003B59BC">
        <w:t xml:space="preserve"> in th</w:t>
      </w:r>
      <w:r>
        <w:t>e</w:t>
      </w:r>
      <w:r w:rsidRPr="003B59BC">
        <w:t xml:space="preserve"> resubmission it was assumed that only one of these tests </w:t>
      </w:r>
      <w:r>
        <w:t xml:space="preserve">per year </w:t>
      </w:r>
      <w:r w:rsidRPr="003B59BC">
        <w:t>was subject to coning</w:t>
      </w:r>
      <w:r>
        <w:t xml:space="preserve">, resulting in the MBS-listed </w:t>
      </w:r>
      <w:r>
        <w:lastRenderedPageBreak/>
        <w:t>price of $16.80 reduced by 34% for one of the pathology laboratory tests of each model arm</w:t>
      </w:r>
      <w:r w:rsidRPr="003B59BC">
        <w:t xml:space="preserve"> (per advice from the post-</w:t>
      </w:r>
      <w:r>
        <w:t xml:space="preserve">MSAC </w:t>
      </w:r>
      <w:r w:rsidRPr="003B59BC">
        <w:t>debrief in November 2017)</w:t>
      </w:r>
      <w:r>
        <w:t>.</w:t>
      </w:r>
      <w:proofErr w:type="gramEnd"/>
      <w:r>
        <w:t xml:space="preserve"> </w:t>
      </w:r>
    </w:p>
    <w:p w14:paraId="6F0FEEB5" w14:textId="77777777" w:rsidR="009A1034" w:rsidRPr="003B59BC" w:rsidRDefault="009A1034" w:rsidP="009A1034">
      <w:pPr>
        <w:pStyle w:val="ListParagraph"/>
        <w:numPr>
          <w:ilvl w:val="0"/>
          <w:numId w:val="26"/>
        </w:numPr>
        <w:spacing w:after="240"/>
      </w:pPr>
      <w:r w:rsidRPr="003B59BC">
        <w:t>costs associated with GP visits were removed as these were assumed to be neutral across both groups</w:t>
      </w:r>
      <w:r>
        <w:t xml:space="preserve"> </w:t>
      </w:r>
    </w:p>
    <w:p w14:paraId="514596C8" w14:textId="77777777" w:rsidR="009A1034" w:rsidRPr="003B59BC" w:rsidRDefault="009A1034" w:rsidP="009A1034">
      <w:pPr>
        <w:pStyle w:val="ListParagraph"/>
        <w:numPr>
          <w:ilvl w:val="0"/>
          <w:numId w:val="26"/>
        </w:numPr>
        <w:spacing w:after="240"/>
      </w:pPr>
      <w:proofErr w:type="gramStart"/>
      <w:r w:rsidRPr="003B59BC">
        <w:t>pharmaceutical</w:t>
      </w:r>
      <w:proofErr w:type="gramEnd"/>
      <w:r>
        <w:t>-</w:t>
      </w:r>
      <w:r w:rsidRPr="003B59BC">
        <w:t xml:space="preserve"> and hospital</w:t>
      </w:r>
      <w:r>
        <w:t>-</w:t>
      </w:r>
      <w:r w:rsidRPr="003B59BC">
        <w:t>related costs were removed</w:t>
      </w:r>
      <w:r>
        <w:t>.</w:t>
      </w:r>
    </w:p>
    <w:p w14:paraId="75B64866" w14:textId="77777777" w:rsidR="009A1034" w:rsidRPr="003B59BC" w:rsidRDefault="009A1034" w:rsidP="009A1034">
      <w:pPr>
        <w:spacing w:after="120"/>
        <w:rPr>
          <w:color w:val="000000"/>
        </w:rPr>
      </w:pPr>
      <w:r w:rsidRPr="003B59BC">
        <w:rPr>
          <w:color w:val="000000"/>
        </w:rPr>
        <w:t>The updated economic evaluat</w:t>
      </w:r>
      <w:r>
        <w:rPr>
          <w:color w:val="000000"/>
        </w:rPr>
        <w:t xml:space="preserve">ion </w:t>
      </w:r>
      <w:proofErr w:type="gramStart"/>
      <w:r>
        <w:rPr>
          <w:color w:val="000000"/>
        </w:rPr>
        <w:t>was simplified</w:t>
      </w:r>
      <w:proofErr w:type="gramEnd"/>
      <w:r>
        <w:rPr>
          <w:color w:val="000000"/>
        </w:rPr>
        <w:t xml:space="preserve"> to two steps:</w:t>
      </w:r>
    </w:p>
    <w:p w14:paraId="6D0477C6" w14:textId="480A1802" w:rsidR="009A1034" w:rsidRPr="003B59BC" w:rsidRDefault="009A1034" w:rsidP="009A1034">
      <w:pPr>
        <w:pStyle w:val="ListParagraph"/>
        <w:numPr>
          <w:ilvl w:val="0"/>
          <w:numId w:val="26"/>
        </w:numPr>
        <w:spacing w:after="240"/>
      </w:pPr>
      <w:r w:rsidRPr="003B59BC">
        <w:t>Step 1 – a trial-based cost-minimisation model (</w:t>
      </w:r>
      <w:r>
        <w:t>i.e. </w:t>
      </w:r>
      <w:r w:rsidRPr="003B59BC">
        <w:t xml:space="preserve">derived from the </w:t>
      </w:r>
      <w:proofErr w:type="spellStart"/>
      <w:r w:rsidR="00EC28F2">
        <w:t>PoC</w:t>
      </w:r>
      <w:proofErr w:type="spellEnd"/>
      <w:r w:rsidRPr="003B59BC">
        <w:t xml:space="preserve"> test GP trial results over 18</w:t>
      </w:r>
      <w:r>
        <w:t> </w:t>
      </w:r>
      <w:r w:rsidRPr="003B59BC">
        <w:t>months) yielding an incremental cost</w:t>
      </w:r>
    </w:p>
    <w:p w14:paraId="5F73D78C" w14:textId="4647F126" w:rsidR="009A1034" w:rsidRPr="003B59BC" w:rsidRDefault="009A1034" w:rsidP="009A1034">
      <w:pPr>
        <w:pStyle w:val="ListParagraph"/>
        <w:numPr>
          <w:ilvl w:val="0"/>
          <w:numId w:val="26"/>
        </w:numPr>
        <w:spacing w:after="240"/>
      </w:pPr>
      <w:r w:rsidRPr="003B59BC">
        <w:t>Step 2 – a cost-minimisation model (</w:t>
      </w:r>
      <w:r>
        <w:t>i.e. </w:t>
      </w:r>
      <w:r w:rsidRPr="003B59BC">
        <w:t xml:space="preserve">derived from the </w:t>
      </w:r>
      <w:proofErr w:type="spellStart"/>
      <w:r w:rsidR="00EC28F2">
        <w:t>PoC</w:t>
      </w:r>
      <w:proofErr w:type="spellEnd"/>
      <w:r w:rsidRPr="003B59BC">
        <w:t xml:space="preserve"> test GP trial</w:t>
      </w:r>
      <w:r>
        <w:t xml:space="preserve"> results</w:t>
      </w:r>
      <w:r w:rsidRPr="003B59BC">
        <w:t xml:space="preserve"> over 18</w:t>
      </w:r>
      <w:r>
        <w:t> </w:t>
      </w:r>
      <w:r w:rsidRPr="003B59BC">
        <w:t>months and extrapolated to 3</w:t>
      </w:r>
      <w:r>
        <w:t> </w:t>
      </w:r>
      <w:r w:rsidRPr="003B59BC">
        <w:t xml:space="preserve">years) yielding an incremental cost. </w:t>
      </w:r>
    </w:p>
    <w:p w14:paraId="7A20EFFF" w14:textId="50FB1246" w:rsidR="009A1034" w:rsidRPr="00BF1859" w:rsidRDefault="009A1034" w:rsidP="009A1034">
      <w:pPr>
        <w:spacing w:after="240"/>
        <w:rPr>
          <w:color w:val="000000"/>
        </w:rPr>
      </w:pPr>
      <w:r w:rsidRPr="00BF1859">
        <w:rPr>
          <w:color w:val="000000"/>
        </w:rPr>
        <w:t xml:space="preserve">ESC confirmed that </w:t>
      </w:r>
      <w:r>
        <w:rPr>
          <w:color w:val="000000"/>
        </w:rPr>
        <w:t>the cost-minimisation approach</w:t>
      </w:r>
      <w:r w:rsidRPr="00BF1859">
        <w:rPr>
          <w:color w:val="000000"/>
        </w:rPr>
        <w:t xml:space="preserve"> </w:t>
      </w:r>
      <w:r>
        <w:rPr>
          <w:color w:val="000000"/>
        </w:rPr>
        <w:t>was</w:t>
      </w:r>
      <w:r w:rsidRPr="00BF1859">
        <w:rPr>
          <w:color w:val="000000"/>
        </w:rPr>
        <w:t xml:space="preserve"> appropriate</w:t>
      </w:r>
      <w:r>
        <w:rPr>
          <w:color w:val="000000"/>
        </w:rPr>
        <w:t>,</w:t>
      </w:r>
      <w:r w:rsidRPr="00BF1859">
        <w:rPr>
          <w:color w:val="000000"/>
        </w:rPr>
        <w:t xml:space="preserve"> a</w:t>
      </w:r>
      <w:r>
        <w:rPr>
          <w:color w:val="000000"/>
        </w:rPr>
        <w:t>s</w:t>
      </w:r>
      <w:r w:rsidRPr="00BF1859">
        <w:rPr>
          <w:color w:val="000000"/>
        </w:rPr>
        <w:t xml:space="preserve"> request</w:t>
      </w:r>
      <w:r>
        <w:rPr>
          <w:color w:val="000000"/>
        </w:rPr>
        <w:t>ed by</w:t>
      </w:r>
      <w:r w:rsidRPr="00BF1859">
        <w:rPr>
          <w:color w:val="000000"/>
        </w:rPr>
        <w:t xml:space="preserve"> MSAC.</w:t>
      </w:r>
      <w:r>
        <w:rPr>
          <w:color w:val="000000"/>
        </w:rPr>
        <w:t xml:space="preserve"> ESC advised that, from this cost-minimisation analysis, the </w:t>
      </w:r>
      <w:proofErr w:type="spellStart"/>
      <w:r w:rsidR="00EC28F2">
        <w:rPr>
          <w:color w:val="000000"/>
        </w:rPr>
        <w:t>PoC</w:t>
      </w:r>
      <w:proofErr w:type="spellEnd"/>
      <w:r>
        <w:rPr>
          <w:color w:val="000000"/>
        </w:rPr>
        <w:t xml:space="preserve"> test would only be cheaper than the laboratory test if MSAC accepts the assumption that only one laboratory test per year is subject to coning.</w:t>
      </w:r>
    </w:p>
    <w:p w14:paraId="5CA3F72E" w14:textId="77777777" w:rsidR="009A1034" w:rsidRDefault="009A1034" w:rsidP="009A1034">
      <w:pPr>
        <w:spacing w:after="240"/>
        <w:rPr>
          <w:color w:val="000000"/>
        </w:rPr>
      </w:pPr>
      <w:r>
        <w:rPr>
          <w:color w:val="000000"/>
        </w:rPr>
        <w:t xml:space="preserve">ESC recalled that </w:t>
      </w:r>
      <w:r w:rsidRPr="00614E79">
        <w:rPr>
          <w:color w:val="000000"/>
        </w:rPr>
        <w:t xml:space="preserve">MSAC suggested a reduced fee (or further justification of the proposed test fee </w:t>
      </w:r>
      <w:r>
        <w:rPr>
          <w:color w:val="000000"/>
        </w:rPr>
        <w:t>compared to the</w:t>
      </w:r>
      <w:r w:rsidRPr="00614E79">
        <w:rPr>
          <w:color w:val="000000"/>
        </w:rPr>
        <w:t xml:space="preserve"> laboratory test fee) </w:t>
      </w:r>
      <w:proofErr w:type="gramStart"/>
      <w:r w:rsidRPr="00614E79">
        <w:rPr>
          <w:color w:val="000000"/>
        </w:rPr>
        <w:t>be presented</w:t>
      </w:r>
      <w:proofErr w:type="gramEnd"/>
      <w:r w:rsidRPr="00614E79">
        <w:rPr>
          <w:color w:val="000000"/>
        </w:rPr>
        <w:t xml:space="preserve"> in the resubmission</w:t>
      </w:r>
      <w:r>
        <w:rPr>
          <w:color w:val="000000"/>
        </w:rPr>
        <w:t>.</w:t>
      </w:r>
      <w:r w:rsidRPr="00614E79">
        <w:rPr>
          <w:color w:val="000000"/>
        </w:rPr>
        <w:t xml:space="preserve"> </w:t>
      </w:r>
      <w:r>
        <w:rPr>
          <w:color w:val="000000"/>
        </w:rPr>
        <w:t>I</w:t>
      </w:r>
      <w:r w:rsidRPr="00614E79">
        <w:rPr>
          <w:color w:val="000000"/>
        </w:rPr>
        <w:t>n alignment with this recommendation</w:t>
      </w:r>
      <w:r>
        <w:rPr>
          <w:color w:val="000000"/>
        </w:rPr>
        <w:t>,</w:t>
      </w:r>
      <w:r w:rsidRPr="00614E79">
        <w:rPr>
          <w:color w:val="000000"/>
        </w:rPr>
        <w:t xml:space="preserve"> the new test cost </w:t>
      </w:r>
      <w:r>
        <w:rPr>
          <w:color w:val="000000"/>
        </w:rPr>
        <w:t>was</w:t>
      </w:r>
      <w:r w:rsidRPr="00614E79">
        <w:rPr>
          <w:color w:val="000000"/>
        </w:rPr>
        <w:t xml:space="preserve"> reduced to $22.60, a $0.20 saving compared to the current pathology laboratory testing fee (pathology test fee = $22.80). </w:t>
      </w:r>
      <w:r>
        <w:rPr>
          <w:color w:val="000000"/>
        </w:rPr>
        <w:t>ESC noted that t</w:t>
      </w:r>
      <w:r w:rsidRPr="00614E79">
        <w:rPr>
          <w:color w:val="000000"/>
        </w:rPr>
        <w:t xml:space="preserve">he proposed fee </w:t>
      </w:r>
      <w:proofErr w:type="gramStart"/>
      <w:r w:rsidRPr="00614E79">
        <w:rPr>
          <w:color w:val="000000"/>
        </w:rPr>
        <w:t>was calculated</w:t>
      </w:r>
      <w:proofErr w:type="gramEnd"/>
      <w:r w:rsidRPr="00614E79">
        <w:rPr>
          <w:color w:val="000000"/>
        </w:rPr>
        <w:t xml:space="preserve"> based on the costs of meeting quality assurance</w:t>
      </w:r>
      <w:r>
        <w:rPr>
          <w:color w:val="000000"/>
        </w:rPr>
        <w:t xml:space="preserve"> (QA)</w:t>
      </w:r>
      <w:r w:rsidRPr="00614E79">
        <w:rPr>
          <w:color w:val="000000"/>
        </w:rPr>
        <w:t>, training and accreditation requirements.</w:t>
      </w:r>
    </w:p>
    <w:p w14:paraId="194E8F22" w14:textId="77777777" w:rsidR="009A1034" w:rsidRDefault="009A1034" w:rsidP="009A1034">
      <w:pPr>
        <w:spacing w:after="240"/>
        <w:rPr>
          <w:color w:val="000000"/>
        </w:rPr>
      </w:pPr>
      <w:r>
        <w:rPr>
          <w:color w:val="000000"/>
        </w:rPr>
        <w:t xml:space="preserve">However, the </w:t>
      </w:r>
      <w:r w:rsidR="00031241">
        <w:rPr>
          <w:color w:val="000000"/>
        </w:rPr>
        <w:t>Critique</w:t>
      </w:r>
      <w:r>
        <w:rPr>
          <w:color w:val="000000"/>
        </w:rPr>
        <w:t xml:space="preserve"> noted that a</w:t>
      </w:r>
      <w:r w:rsidRPr="00614E79">
        <w:rPr>
          <w:color w:val="000000"/>
        </w:rPr>
        <w:t>lthough this might be appropriate, the majority of these costs were not evidence-based estimates (rather</w:t>
      </w:r>
      <w:r>
        <w:rPr>
          <w:color w:val="000000"/>
        </w:rPr>
        <w:t xml:space="preserve">, </w:t>
      </w:r>
      <w:r w:rsidRPr="00614E79">
        <w:rPr>
          <w:color w:val="000000"/>
        </w:rPr>
        <w:t>based on assumption</w:t>
      </w:r>
      <w:r>
        <w:rPr>
          <w:color w:val="000000"/>
        </w:rPr>
        <w:t>s</w:t>
      </w:r>
      <w:r w:rsidRPr="00614E79">
        <w:rPr>
          <w:color w:val="000000"/>
        </w:rPr>
        <w:t xml:space="preserve">, which </w:t>
      </w:r>
      <w:proofErr w:type="gramStart"/>
      <w:r w:rsidRPr="00614E79">
        <w:rPr>
          <w:color w:val="000000"/>
        </w:rPr>
        <w:t>could not be verified</w:t>
      </w:r>
      <w:proofErr w:type="gramEnd"/>
      <w:r w:rsidRPr="00614E79">
        <w:rPr>
          <w:color w:val="000000"/>
        </w:rPr>
        <w:t>).</w:t>
      </w:r>
    </w:p>
    <w:p w14:paraId="75D5C2A5" w14:textId="77777777" w:rsidR="009A1034" w:rsidRPr="00614E79" w:rsidRDefault="009A1034" w:rsidP="009A1034">
      <w:pPr>
        <w:spacing w:after="120"/>
        <w:rPr>
          <w:color w:val="000000"/>
        </w:rPr>
      </w:pPr>
      <w:r>
        <w:rPr>
          <w:color w:val="000000"/>
        </w:rPr>
        <w:t>ESC noted the</w:t>
      </w:r>
      <w:r w:rsidRPr="00614E79">
        <w:rPr>
          <w:color w:val="000000"/>
        </w:rPr>
        <w:t xml:space="preserve"> rationale </w:t>
      </w:r>
      <w:r>
        <w:rPr>
          <w:color w:val="000000"/>
        </w:rPr>
        <w:t xml:space="preserve">used </w:t>
      </w:r>
      <w:r w:rsidRPr="00614E79">
        <w:rPr>
          <w:color w:val="000000"/>
        </w:rPr>
        <w:t>for estimati</w:t>
      </w:r>
      <w:r>
        <w:rPr>
          <w:color w:val="000000"/>
        </w:rPr>
        <w:t>ng</w:t>
      </w:r>
      <w:r w:rsidRPr="00614E79">
        <w:rPr>
          <w:color w:val="000000"/>
        </w:rPr>
        <w:t xml:space="preserve"> the updated test cost</w:t>
      </w:r>
      <w:r>
        <w:rPr>
          <w:color w:val="000000"/>
        </w:rPr>
        <w:t>s, as follows</w:t>
      </w:r>
      <w:r w:rsidRPr="00614E79">
        <w:rPr>
          <w:color w:val="000000"/>
        </w:rPr>
        <w:t>:</w:t>
      </w:r>
    </w:p>
    <w:p w14:paraId="24993618" w14:textId="09FDFD97" w:rsidR="009A1034" w:rsidRPr="00614E79" w:rsidRDefault="009A1034" w:rsidP="009A1034">
      <w:pPr>
        <w:pStyle w:val="ListParagraph"/>
        <w:numPr>
          <w:ilvl w:val="0"/>
          <w:numId w:val="26"/>
        </w:numPr>
        <w:spacing w:after="240"/>
      </w:pPr>
      <w:r>
        <w:t>it was a</w:t>
      </w:r>
      <w:r w:rsidRPr="00614E79">
        <w:t>ssum</w:t>
      </w:r>
      <w:r>
        <w:t>ed</w:t>
      </w:r>
      <w:r w:rsidRPr="00614E79">
        <w:t xml:space="preserve"> that GPs open 6 days </w:t>
      </w:r>
      <w:r>
        <w:t xml:space="preserve">a week </w:t>
      </w:r>
      <w:r w:rsidRPr="00614E79">
        <w:t>rather than 5</w:t>
      </w:r>
      <w:r>
        <w:t> </w:t>
      </w:r>
      <w:r w:rsidRPr="00614E79">
        <w:t xml:space="preserve">days and would use the HbA1c </w:t>
      </w:r>
      <w:proofErr w:type="spellStart"/>
      <w:r w:rsidR="00EC28F2">
        <w:t>PoC</w:t>
      </w:r>
      <w:proofErr w:type="spellEnd"/>
      <w:r w:rsidRPr="00614E79">
        <w:t xml:space="preserve"> test once daily, thereby increasing the number of tests conducted per year to 312 in the resubmission (compared with 260 in previous SBA) </w:t>
      </w:r>
    </w:p>
    <w:p w14:paraId="24BCFDD4" w14:textId="0433B34F" w:rsidR="009A1034" w:rsidRPr="00614E79" w:rsidRDefault="009A1034" w:rsidP="009A1034">
      <w:pPr>
        <w:pStyle w:val="ListParagraph"/>
        <w:numPr>
          <w:ilvl w:val="0"/>
          <w:numId w:val="26"/>
        </w:numPr>
        <w:spacing w:after="240"/>
      </w:pPr>
      <w:r w:rsidRPr="00614E79">
        <w:t xml:space="preserve">the cost of the device </w:t>
      </w:r>
      <w:r>
        <w:t>was a</w:t>
      </w:r>
      <w:r w:rsidRPr="00614E79">
        <w:t>mend</w:t>
      </w:r>
      <w:r>
        <w:t>ed</w:t>
      </w:r>
      <w:r w:rsidRPr="00614E79">
        <w:t xml:space="preserve"> to be amortised over </w:t>
      </w:r>
      <w:r>
        <w:t>5 </w:t>
      </w:r>
      <w:r w:rsidRPr="00614E79">
        <w:t>years (i.e.</w:t>
      </w:r>
      <w:r>
        <w:t> </w:t>
      </w:r>
      <w:r w:rsidRPr="00614E79">
        <w:t xml:space="preserve">$600 annually) based on the real-world life cycle of the </w:t>
      </w:r>
      <w:proofErr w:type="spellStart"/>
      <w:r w:rsidR="00EC28F2">
        <w:t>PoC</w:t>
      </w:r>
      <w:proofErr w:type="spellEnd"/>
      <w:r w:rsidRPr="00614E79">
        <w:t xml:space="preserve"> testing machines </w:t>
      </w:r>
    </w:p>
    <w:p w14:paraId="01626FF5" w14:textId="77777777" w:rsidR="009A1034" w:rsidRPr="00614E79" w:rsidRDefault="009A1034" w:rsidP="009A1034">
      <w:pPr>
        <w:pStyle w:val="ListParagraph"/>
        <w:numPr>
          <w:ilvl w:val="0"/>
          <w:numId w:val="26"/>
        </w:numPr>
        <w:spacing w:after="240"/>
      </w:pPr>
      <w:r>
        <w:t>t</w:t>
      </w:r>
      <w:r w:rsidRPr="00614E79">
        <w:t xml:space="preserve">raining costs were reduced to $240 (from $280 in the previous SBA) </w:t>
      </w:r>
    </w:p>
    <w:p w14:paraId="386DB77C" w14:textId="77777777" w:rsidR="009A1034" w:rsidRPr="00614E79" w:rsidRDefault="009A1034" w:rsidP="009A1034">
      <w:pPr>
        <w:pStyle w:val="ListParagraph"/>
        <w:numPr>
          <w:ilvl w:val="0"/>
          <w:numId w:val="26"/>
        </w:numPr>
        <w:spacing w:after="240"/>
      </w:pPr>
      <w:r w:rsidRPr="00614E79">
        <w:t>QA program costs were reduced to $330 (from $420 in the previous SBA)</w:t>
      </w:r>
    </w:p>
    <w:p w14:paraId="6424F3B3" w14:textId="77777777" w:rsidR="009A1034" w:rsidRPr="00614E79" w:rsidRDefault="009A1034" w:rsidP="009A1034">
      <w:pPr>
        <w:pStyle w:val="ListParagraph"/>
        <w:numPr>
          <w:ilvl w:val="0"/>
          <w:numId w:val="26"/>
        </w:numPr>
        <w:spacing w:after="240"/>
      </w:pPr>
      <w:proofErr w:type="gramStart"/>
      <w:r>
        <w:t>cost</w:t>
      </w:r>
      <w:proofErr w:type="gramEnd"/>
      <w:r>
        <w:t xml:space="preserve"> of c</w:t>
      </w:r>
      <w:r w:rsidRPr="00614E79">
        <w:t xml:space="preserve">onsumables per test </w:t>
      </w:r>
      <w:r>
        <w:t xml:space="preserve">was </w:t>
      </w:r>
      <w:r w:rsidRPr="00614E79">
        <w:t>reduced to $10 (from $11 in previous SBA).</w:t>
      </w:r>
    </w:p>
    <w:p w14:paraId="78A615A8" w14:textId="6D34FBF3" w:rsidR="009A1034" w:rsidRDefault="009A1034" w:rsidP="009A1034">
      <w:pPr>
        <w:spacing w:after="240"/>
        <w:rPr>
          <w:color w:val="000000"/>
        </w:rPr>
      </w:pPr>
      <w:r w:rsidRPr="00BF2EA8">
        <w:rPr>
          <w:color w:val="000000"/>
        </w:rPr>
        <w:t xml:space="preserve">However, </w:t>
      </w:r>
      <w:r>
        <w:rPr>
          <w:color w:val="000000"/>
        </w:rPr>
        <w:t xml:space="preserve">ESC noted that amortising the cost of the device over 5 years </w:t>
      </w:r>
      <w:r w:rsidRPr="00BF2EA8">
        <w:rPr>
          <w:color w:val="000000"/>
        </w:rPr>
        <w:t xml:space="preserve">was not appropriate for the base-case economic </w:t>
      </w:r>
      <w:proofErr w:type="gramStart"/>
      <w:r w:rsidRPr="00BF2EA8">
        <w:rPr>
          <w:color w:val="000000"/>
        </w:rPr>
        <w:t>evaluation</w:t>
      </w:r>
      <w:proofErr w:type="gramEnd"/>
      <w:r w:rsidRPr="00BF2EA8">
        <w:rPr>
          <w:color w:val="000000"/>
        </w:rPr>
        <w:t xml:space="preserve"> as the full cost of the device would not be captured in </w:t>
      </w:r>
      <w:r>
        <w:rPr>
          <w:color w:val="000000"/>
        </w:rPr>
        <w:t>the model’s</w:t>
      </w:r>
      <w:r w:rsidRPr="00BF2EA8">
        <w:rPr>
          <w:color w:val="000000"/>
        </w:rPr>
        <w:t xml:space="preserve"> </w:t>
      </w:r>
      <w:r>
        <w:rPr>
          <w:color w:val="000000"/>
        </w:rPr>
        <w:t>3</w:t>
      </w:r>
      <w:r w:rsidRPr="00BF2EA8">
        <w:rPr>
          <w:color w:val="000000"/>
        </w:rPr>
        <w:t>-year time horizon (</w:t>
      </w:r>
      <w:r>
        <w:rPr>
          <w:color w:val="000000"/>
        </w:rPr>
        <w:t xml:space="preserve">which </w:t>
      </w:r>
      <w:r w:rsidRPr="00BF2EA8">
        <w:rPr>
          <w:color w:val="000000"/>
        </w:rPr>
        <w:t xml:space="preserve">favoured HbA1c </w:t>
      </w:r>
      <w:proofErr w:type="spellStart"/>
      <w:r w:rsidR="00EC28F2">
        <w:rPr>
          <w:color w:val="000000"/>
        </w:rPr>
        <w:t>PoC</w:t>
      </w:r>
      <w:proofErr w:type="spellEnd"/>
      <w:r w:rsidRPr="00BF2EA8">
        <w:rPr>
          <w:color w:val="000000"/>
        </w:rPr>
        <w:t xml:space="preserve"> testing). Amending the cost of the device to be amortised over </w:t>
      </w:r>
      <w:r>
        <w:rPr>
          <w:color w:val="000000"/>
        </w:rPr>
        <w:t>3 </w:t>
      </w:r>
      <w:r w:rsidRPr="00BF2EA8">
        <w:rPr>
          <w:color w:val="000000"/>
        </w:rPr>
        <w:t>years (e.g.</w:t>
      </w:r>
      <w:r>
        <w:rPr>
          <w:color w:val="000000"/>
        </w:rPr>
        <w:t> </w:t>
      </w:r>
      <w:r w:rsidRPr="00BF2EA8">
        <w:rPr>
          <w:color w:val="000000"/>
        </w:rPr>
        <w:t xml:space="preserve">$1,000 annually; same as previous SBA) resulted in $1.28 higher HbA1c </w:t>
      </w:r>
      <w:proofErr w:type="spellStart"/>
      <w:r w:rsidR="00EC28F2">
        <w:rPr>
          <w:color w:val="000000"/>
        </w:rPr>
        <w:t>PoC</w:t>
      </w:r>
      <w:proofErr w:type="spellEnd"/>
      <w:r w:rsidRPr="00BF2EA8">
        <w:rPr>
          <w:color w:val="000000"/>
        </w:rPr>
        <w:t xml:space="preserve"> test cost ($23.88 vs proposed test cost of $22.60</w:t>
      </w:r>
      <w:r>
        <w:rPr>
          <w:color w:val="000000"/>
        </w:rPr>
        <w:t>)</w:t>
      </w:r>
      <w:r w:rsidRPr="00BF2EA8">
        <w:rPr>
          <w:color w:val="000000"/>
        </w:rPr>
        <w:t>.</w:t>
      </w:r>
    </w:p>
    <w:p w14:paraId="1699C2FF" w14:textId="667526C2" w:rsidR="009A1034" w:rsidRPr="00BF3B7B" w:rsidRDefault="009A1034" w:rsidP="009A1034">
      <w:pPr>
        <w:spacing w:after="240"/>
        <w:rPr>
          <w:color w:val="000000"/>
        </w:rPr>
      </w:pPr>
      <w:r>
        <w:rPr>
          <w:color w:val="000000"/>
        </w:rPr>
        <w:t>ESC noted that t</w:t>
      </w:r>
      <w:r w:rsidRPr="009E4DED">
        <w:rPr>
          <w:color w:val="000000"/>
        </w:rPr>
        <w:t xml:space="preserve">he resubmission’s economic evaluation showed that HbA1c </w:t>
      </w:r>
      <w:proofErr w:type="spellStart"/>
      <w:r w:rsidR="00EC28F2">
        <w:rPr>
          <w:color w:val="000000"/>
        </w:rPr>
        <w:t>PoC</w:t>
      </w:r>
      <w:proofErr w:type="spellEnd"/>
      <w:r w:rsidRPr="009E4DED">
        <w:rPr>
          <w:color w:val="000000"/>
        </w:rPr>
        <w:t xml:space="preserve"> testing resulted in a cost</w:t>
      </w:r>
      <w:r>
        <w:rPr>
          <w:color w:val="000000"/>
        </w:rPr>
        <w:t xml:space="preserve"> </w:t>
      </w:r>
      <w:r w:rsidRPr="009E4DED">
        <w:rPr>
          <w:color w:val="000000"/>
        </w:rPr>
        <w:t xml:space="preserve">saving of $1.67 per person over </w:t>
      </w:r>
      <w:r>
        <w:rPr>
          <w:color w:val="000000"/>
        </w:rPr>
        <w:t xml:space="preserve">the </w:t>
      </w:r>
      <w:r w:rsidRPr="009E4DED">
        <w:rPr>
          <w:color w:val="000000"/>
        </w:rPr>
        <w:t>3-year time horizon (relative to pathology laboratory</w:t>
      </w:r>
      <w:r>
        <w:rPr>
          <w:color w:val="000000"/>
        </w:rPr>
        <w:t xml:space="preserve"> </w:t>
      </w:r>
      <w:r w:rsidRPr="009E4DED">
        <w:rPr>
          <w:color w:val="000000"/>
        </w:rPr>
        <w:t xml:space="preserve">testing). However, this cost saving is likely to be overestimated due to the </w:t>
      </w:r>
      <w:r>
        <w:rPr>
          <w:color w:val="000000"/>
        </w:rPr>
        <w:t xml:space="preserve">model </w:t>
      </w:r>
      <w:r w:rsidRPr="009E4DED">
        <w:rPr>
          <w:color w:val="000000"/>
        </w:rPr>
        <w:t xml:space="preserve">assumptions that excluded the full cost of the </w:t>
      </w:r>
      <w:proofErr w:type="spellStart"/>
      <w:r w:rsidR="00EC28F2">
        <w:rPr>
          <w:color w:val="000000"/>
        </w:rPr>
        <w:t>PoC</w:t>
      </w:r>
      <w:proofErr w:type="spellEnd"/>
      <w:r w:rsidRPr="009E4DED">
        <w:rPr>
          <w:color w:val="000000"/>
        </w:rPr>
        <w:t xml:space="preserve"> machine</w:t>
      </w:r>
      <w:r>
        <w:rPr>
          <w:color w:val="000000"/>
        </w:rPr>
        <w:t xml:space="preserve"> </w:t>
      </w:r>
      <w:r w:rsidRPr="009E4DED">
        <w:rPr>
          <w:color w:val="000000"/>
        </w:rPr>
        <w:t>and</w:t>
      </w:r>
      <w:r>
        <w:rPr>
          <w:color w:val="000000"/>
        </w:rPr>
        <w:t xml:space="preserve"> the</w:t>
      </w:r>
      <w:r w:rsidRPr="009E4DED">
        <w:rPr>
          <w:color w:val="000000"/>
        </w:rPr>
        <w:t xml:space="preserve"> volume assumption that GPs would work on average 6</w:t>
      </w:r>
      <w:r>
        <w:rPr>
          <w:color w:val="000000"/>
        </w:rPr>
        <w:t> </w:t>
      </w:r>
      <w:r w:rsidRPr="009E4DED">
        <w:rPr>
          <w:color w:val="000000"/>
        </w:rPr>
        <w:t>days/</w:t>
      </w:r>
      <w:r>
        <w:rPr>
          <w:color w:val="000000"/>
        </w:rPr>
        <w:t>week</w:t>
      </w:r>
      <w:r w:rsidRPr="009E4DED">
        <w:rPr>
          <w:color w:val="000000"/>
        </w:rPr>
        <w:t xml:space="preserve"> (312</w:t>
      </w:r>
      <w:r>
        <w:rPr>
          <w:color w:val="000000"/>
        </w:rPr>
        <w:t> </w:t>
      </w:r>
      <w:r w:rsidRPr="009E4DED">
        <w:rPr>
          <w:color w:val="000000"/>
        </w:rPr>
        <w:t xml:space="preserve">tests/year). </w:t>
      </w:r>
      <w:r>
        <w:rPr>
          <w:color w:val="000000"/>
        </w:rPr>
        <w:t>ESC noted that the s</w:t>
      </w:r>
      <w:r w:rsidRPr="009E4DED">
        <w:rPr>
          <w:color w:val="000000"/>
        </w:rPr>
        <w:t>ensitivity analysis</w:t>
      </w:r>
      <w:r>
        <w:rPr>
          <w:color w:val="000000"/>
        </w:rPr>
        <w:t xml:space="preserve"> </w:t>
      </w:r>
      <w:r w:rsidRPr="009E4DED">
        <w:rPr>
          <w:color w:val="000000"/>
        </w:rPr>
        <w:t>showed that var</w:t>
      </w:r>
      <w:r>
        <w:rPr>
          <w:color w:val="000000"/>
        </w:rPr>
        <w:t>ying</w:t>
      </w:r>
      <w:r w:rsidRPr="009E4DED">
        <w:rPr>
          <w:color w:val="000000"/>
        </w:rPr>
        <w:t xml:space="preserve"> these cost inputs for </w:t>
      </w:r>
      <w:proofErr w:type="spellStart"/>
      <w:r w:rsidR="00EC28F2">
        <w:rPr>
          <w:color w:val="000000"/>
        </w:rPr>
        <w:t>PoC</w:t>
      </w:r>
      <w:proofErr w:type="spellEnd"/>
      <w:r w:rsidRPr="009E4DED">
        <w:rPr>
          <w:color w:val="000000"/>
        </w:rPr>
        <w:t xml:space="preserve"> testing resulted in </w:t>
      </w:r>
      <w:r>
        <w:rPr>
          <w:color w:val="000000"/>
        </w:rPr>
        <w:t xml:space="preserve">an </w:t>
      </w:r>
      <w:r w:rsidRPr="009E4DED">
        <w:rPr>
          <w:color w:val="000000"/>
        </w:rPr>
        <w:t>additional cost of</w:t>
      </w:r>
      <w:r>
        <w:rPr>
          <w:color w:val="000000"/>
        </w:rPr>
        <w:t xml:space="preserve"> about</w:t>
      </w:r>
      <w:r w:rsidRPr="009E4DED">
        <w:rPr>
          <w:color w:val="000000"/>
        </w:rPr>
        <w:t xml:space="preserve"> $9 to $36 over </w:t>
      </w:r>
      <w:r>
        <w:rPr>
          <w:color w:val="000000"/>
        </w:rPr>
        <w:t xml:space="preserve">the </w:t>
      </w:r>
      <w:r w:rsidRPr="009E4DED">
        <w:rPr>
          <w:color w:val="000000"/>
        </w:rPr>
        <w:t>3-year base</w:t>
      </w:r>
      <w:r>
        <w:rPr>
          <w:color w:val="000000"/>
        </w:rPr>
        <w:t>-</w:t>
      </w:r>
      <w:r w:rsidRPr="009E4DED">
        <w:rPr>
          <w:color w:val="000000"/>
        </w:rPr>
        <w:t>case model.</w:t>
      </w:r>
    </w:p>
    <w:p w14:paraId="23DA78F2" w14:textId="16E90317" w:rsidR="009A1034" w:rsidRPr="00BF3B7B" w:rsidRDefault="009A1034" w:rsidP="009A1034">
      <w:pPr>
        <w:spacing w:after="240"/>
        <w:rPr>
          <w:color w:val="000000"/>
        </w:rPr>
      </w:pPr>
      <w:r>
        <w:rPr>
          <w:color w:val="000000"/>
        </w:rPr>
        <w:lastRenderedPageBreak/>
        <w:t xml:space="preserve">ESC noted that different percentages for the MBS rebate </w:t>
      </w:r>
      <w:proofErr w:type="gramStart"/>
      <w:r>
        <w:rPr>
          <w:color w:val="000000"/>
        </w:rPr>
        <w:t>were used</w:t>
      </w:r>
      <w:proofErr w:type="gramEnd"/>
      <w:r>
        <w:rPr>
          <w:color w:val="000000"/>
        </w:rPr>
        <w:t xml:space="preserve"> in the resubmission and the </w:t>
      </w:r>
      <w:r w:rsidR="00031241">
        <w:rPr>
          <w:color w:val="000000"/>
        </w:rPr>
        <w:t>Critique</w:t>
      </w:r>
      <w:r>
        <w:rPr>
          <w:color w:val="000000"/>
        </w:rPr>
        <w:t xml:space="preserve">. The resubmission </w:t>
      </w:r>
      <w:r w:rsidRPr="00BF3B7B">
        <w:rPr>
          <w:color w:val="000000"/>
        </w:rPr>
        <w:t xml:space="preserve">used 100% for </w:t>
      </w:r>
      <w:r>
        <w:rPr>
          <w:color w:val="000000"/>
        </w:rPr>
        <w:t>HbA1c testing (</w:t>
      </w:r>
      <w:proofErr w:type="spellStart"/>
      <w:r w:rsidR="00EC28F2">
        <w:rPr>
          <w:color w:val="000000"/>
        </w:rPr>
        <w:t>PoC</w:t>
      </w:r>
      <w:proofErr w:type="spellEnd"/>
      <w:r>
        <w:rPr>
          <w:color w:val="000000"/>
        </w:rPr>
        <w:t xml:space="preserve"> and laboratory), compared with the </w:t>
      </w:r>
      <w:r w:rsidR="00031241">
        <w:rPr>
          <w:color w:val="000000"/>
        </w:rPr>
        <w:t>Critique</w:t>
      </w:r>
      <w:r>
        <w:rPr>
          <w:color w:val="000000"/>
        </w:rPr>
        <w:t xml:space="preserve"> which used 100% for </w:t>
      </w:r>
      <w:proofErr w:type="spellStart"/>
      <w:r w:rsidR="00EC28F2">
        <w:rPr>
          <w:color w:val="000000"/>
        </w:rPr>
        <w:t>PoC</w:t>
      </w:r>
      <w:proofErr w:type="spellEnd"/>
      <w:r>
        <w:rPr>
          <w:color w:val="000000"/>
        </w:rPr>
        <w:t xml:space="preserve"> (</w:t>
      </w:r>
      <w:r w:rsidRPr="009E4DED">
        <w:rPr>
          <w:color w:val="000000"/>
        </w:rPr>
        <w:t xml:space="preserve">as </w:t>
      </w:r>
      <w:proofErr w:type="spellStart"/>
      <w:r w:rsidR="00EC28F2">
        <w:rPr>
          <w:color w:val="000000"/>
        </w:rPr>
        <w:t>PoC</w:t>
      </w:r>
      <w:proofErr w:type="spellEnd"/>
      <w:r w:rsidRPr="009E4DED">
        <w:rPr>
          <w:color w:val="000000"/>
        </w:rPr>
        <w:t xml:space="preserve"> testing would typically be performed by </w:t>
      </w:r>
      <w:r>
        <w:rPr>
          <w:color w:val="000000"/>
        </w:rPr>
        <w:t>a</w:t>
      </w:r>
      <w:r w:rsidRPr="009E4DED">
        <w:rPr>
          <w:color w:val="000000"/>
        </w:rPr>
        <w:t xml:space="preserve"> GP</w:t>
      </w:r>
      <w:r>
        <w:rPr>
          <w:color w:val="000000"/>
        </w:rPr>
        <w:t>), and 85% for pathology laboratory testing (</w:t>
      </w:r>
      <w:r w:rsidRPr="009E4DED">
        <w:rPr>
          <w:color w:val="000000"/>
        </w:rPr>
        <w:t>based on average MBS benefits paid from utilisation of item 66551 over 2013/14 to 2017/18</w:t>
      </w:r>
      <w:r>
        <w:rPr>
          <w:color w:val="000000"/>
        </w:rPr>
        <w:t>)</w:t>
      </w:r>
      <w:r w:rsidRPr="009E4DED">
        <w:rPr>
          <w:color w:val="000000"/>
        </w:rPr>
        <w:t>.</w:t>
      </w:r>
      <w:r>
        <w:rPr>
          <w:color w:val="000000"/>
        </w:rPr>
        <w:t xml:space="preserve"> ESC considered the 85% rebate level to be appropriate for both </w:t>
      </w:r>
      <w:proofErr w:type="spellStart"/>
      <w:r w:rsidR="00EC28F2">
        <w:rPr>
          <w:color w:val="000000"/>
        </w:rPr>
        <w:t>PoC</w:t>
      </w:r>
      <w:proofErr w:type="spellEnd"/>
      <w:r>
        <w:rPr>
          <w:color w:val="000000"/>
        </w:rPr>
        <w:t xml:space="preserve"> and pathology laboratory testing, resulting in</w:t>
      </w:r>
      <w:r w:rsidRPr="009E4DED">
        <w:rPr>
          <w:color w:val="000000"/>
        </w:rPr>
        <w:t xml:space="preserve"> </w:t>
      </w:r>
      <w:r>
        <w:rPr>
          <w:color w:val="000000"/>
        </w:rPr>
        <w:t xml:space="preserve">cost savings to the MBS </w:t>
      </w:r>
      <w:r w:rsidRPr="009E4DED">
        <w:rPr>
          <w:color w:val="000000"/>
        </w:rPr>
        <w:t>of approximately $</w:t>
      </w:r>
      <w:r>
        <w:rPr>
          <w:color w:val="000000"/>
        </w:rPr>
        <w:t>2,000</w:t>
      </w:r>
      <w:r w:rsidRPr="009E4DED">
        <w:rPr>
          <w:color w:val="000000"/>
        </w:rPr>
        <w:t xml:space="preserve"> in </w:t>
      </w:r>
      <w:r>
        <w:rPr>
          <w:color w:val="000000"/>
        </w:rPr>
        <w:t>Y</w:t>
      </w:r>
      <w:r w:rsidRPr="009E4DED">
        <w:rPr>
          <w:color w:val="000000"/>
        </w:rPr>
        <w:t>ear</w:t>
      </w:r>
      <w:r>
        <w:rPr>
          <w:color w:val="000000"/>
        </w:rPr>
        <w:t> </w:t>
      </w:r>
      <w:r w:rsidRPr="009E4DED">
        <w:rPr>
          <w:color w:val="000000"/>
        </w:rPr>
        <w:t>1, increasing to $</w:t>
      </w:r>
      <w:r>
        <w:rPr>
          <w:color w:val="000000"/>
        </w:rPr>
        <w:t>13,000</w:t>
      </w:r>
      <w:r w:rsidRPr="009E4DED">
        <w:rPr>
          <w:color w:val="000000"/>
        </w:rPr>
        <w:t xml:space="preserve"> in </w:t>
      </w:r>
      <w:r>
        <w:rPr>
          <w:color w:val="000000"/>
        </w:rPr>
        <w:t>Y</w:t>
      </w:r>
      <w:r w:rsidRPr="009E4DED">
        <w:rPr>
          <w:color w:val="000000"/>
        </w:rPr>
        <w:t>ear</w:t>
      </w:r>
      <w:r>
        <w:rPr>
          <w:color w:val="000000"/>
        </w:rPr>
        <w:t> </w:t>
      </w:r>
      <w:r w:rsidRPr="009E4DED">
        <w:rPr>
          <w:color w:val="000000"/>
        </w:rPr>
        <w:t>5</w:t>
      </w:r>
      <w:r>
        <w:rPr>
          <w:color w:val="000000"/>
        </w:rPr>
        <w:t xml:space="preserve"> (similar to resubmission’s original financial estimates).</w:t>
      </w:r>
    </w:p>
    <w:p w14:paraId="0F5E9A42" w14:textId="2679FCF3" w:rsidR="009A1034" w:rsidRDefault="009A1034" w:rsidP="009A1034">
      <w:pPr>
        <w:spacing w:after="240"/>
        <w:rPr>
          <w:color w:val="000000"/>
        </w:rPr>
      </w:pPr>
      <w:r w:rsidRPr="00CB5B4A">
        <w:rPr>
          <w:color w:val="000000"/>
        </w:rPr>
        <w:t xml:space="preserve">ESC </w:t>
      </w:r>
      <w:r>
        <w:rPr>
          <w:color w:val="000000"/>
        </w:rPr>
        <w:t xml:space="preserve">noted the uncertainty around utilisation of </w:t>
      </w:r>
      <w:proofErr w:type="spellStart"/>
      <w:r w:rsidR="00EC28F2">
        <w:rPr>
          <w:color w:val="000000"/>
        </w:rPr>
        <w:t>PoC</w:t>
      </w:r>
      <w:proofErr w:type="spellEnd"/>
      <w:r w:rsidRPr="00CB5B4A">
        <w:rPr>
          <w:color w:val="000000"/>
        </w:rPr>
        <w:t xml:space="preserve"> testing</w:t>
      </w:r>
      <w:r>
        <w:rPr>
          <w:color w:val="000000"/>
        </w:rPr>
        <w:t xml:space="preserve">. ESC considered that </w:t>
      </w:r>
      <w:proofErr w:type="spellStart"/>
      <w:r w:rsidR="00EC28F2">
        <w:rPr>
          <w:color w:val="000000"/>
        </w:rPr>
        <w:t>PoC</w:t>
      </w:r>
      <w:proofErr w:type="spellEnd"/>
      <w:r>
        <w:rPr>
          <w:color w:val="000000"/>
        </w:rPr>
        <w:t xml:space="preserve"> testing</w:t>
      </w:r>
      <w:r w:rsidRPr="00CB5B4A">
        <w:rPr>
          <w:color w:val="000000"/>
        </w:rPr>
        <w:t xml:space="preserve"> is only of benefit if the patient needs immediate result</w:t>
      </w:r>
      <w:r>
        <w:rPr>
          <w:color w:val="000000"/>
        </w:rPr>
        <w:t>s</w:t>
      </w:r>
      <w:r w:rsidRPr="00CB5B4A">
        <w:rPr>
          <w:color w:val="000000"/>
        </w:rPr>
        <w:t xml:space="preserve"> and </w:t>
      </w:r>
      <w:r>
        <w:rPr>
          <w:color w:val="000000"/>
        </w:rPr>
        <w:t xml:space="preserve">subsequent </w:t>
      </w:r>
      <w:r w:rsidRPr="00CB5B4A">
        <w:rPr>
          <w:color w:val="000000"/>
        </w:rPr>
        <w:t xml:space="preserve">discussion (noting that the value of this cannot be underestimated). However, if the patient needs a </w:t>
      </w:r>
      <w:r>
        <w:rPr>
          <w:color w:val="000000"/>
        </w:rPr>
        <w:t>number of blood tests</w:t>
      </w:r>
      <w:r w:rsidRPr="00CB5B4A">
        <w:rPr>
          <w:color w:val="000000"/>
        </w:rPr>
        <w:t xml:space="preserve"> and needs to come back </w:t>
      </w:r>
      <w:r>
        <w:rPr>
          <w:color w:val="000000"/>
        </w:rPr>
        <w:t>to see their GP anyway</w:t>
      </w:r>
      <w:r w:rsidRPr="00CB5B4A">
        <w:rPr>
          <w:color w:val="000000"/>
        </w:rPr>
        <w:t xml:space="preserve">, then the question remains as to whether </w:t>
      </w:r>
      <w:proofErr w:type="spellStart"/>
      <w:r w:rsidR="00EC28F2">
        <w:rPr>
          <w:color w:val="000000"/>
        </w:rPr>
        <w:t>PoC</w:t>
      </w:r>
      <w:proofErr w:type="spellEnd"/>
      <w:r>
        <w:rPr>
          <w:color w:val="000000"/>
        </w:rPr>
        <w:t xml:space="preserve"> testing provides a</w:t>
      </w:r>
      <w:r w:rsidRPr="00CB5B4A">
        <w:rPr>
          <w:color w:val="000000"/>
        </w:rPr>
        <w:t xml:space="preserve"> benefit. From an economic perspective</w:t>
      </w:r>
      <w:r>
        <w:rPr>
          <w:color w:val="000000"/>
        </w:rPr>
        <w:t>,</w:t>
      </w:r>
      <w:r w:rsidRPr="00CB5B4A">
        <w:rPr>
          <w:color w:val="000000"/>
        </w:rPr>
        <w:t xml:space="preserve"> the </w:t>
      </w:r>
      <w:r>
        <w:rPr>
          <w:color w:val="000000"/>
        </w:rPr>
        <w:t>most expensive</w:t>
      </w:r>
      <w:r w:rsidRPr="00CB5B4A">
        <w:rPr>
          <w:color w:val="000000"/>
        </w:rPr>
        <w:t xml:space="preserve"> pathway </w:t>
      </w:r>
      <w:r>
        <w:rPr>
          <w:color w:val="000000"/>
        </w:rPr>
        <w:t>would be</w:t>
      </w:r>
      <w:r w:rsidRPr="00CB5B4A">
        <w:rPr>
          <w:color w:val="000000"/>
        </w:rPr>
        <w:t xml:space="preserve"> for the GP to do </w:t>
      </w:r>
      <w:r>
        <w:rPr>
          <w:color w:val="000000"/>
        </w:rPr>
        <w:t xml:space="preserve">the </w:t>
      </w:r>
      <w:proofErr w:type="spellStart"/>
      <w:r w:rsidR="00EC28F2">
        <w:rPr>
          <w:color w:val="000000"/>
        </w:rPr>
        <w:t>PoC</w:t>
      </w:r>
      <w:proofErr w:type="spellEnd"/>
      <w:r w:rsidRPr="00CB5B4A">
        <w:rPr>
          <w:color w:val="000000"/>
        </w:rPr>
        <w:t xml:space="preserve"> test and </w:t>
      </w:r>
      <w:proofErr w:type="gramStart"/>
      <w:r w:rsidRPr="00CB5B4A">
        <w:rPr>
          <w:color w:val="000000"/>
        </w:rPr>
        <w:t xml:space="preserve">then </w:t>
      </w:r>
      <w:r>
        <w:rPr>
          <w:color w:val="000000"/>
        </w:rPr>
        <w:t>also</w:t>
      </w:r>
      <w:proofErr w:type="gramEnd"/>
      <w:r>
        <w:rPr>
          <w:color w:val="000000"/>
        </w:rPr>
        <w:t xml:space="preserve"> </w:t>
      </w:r>
      <w:r w:rsidRPr="00CB5B4A">
        <w:rPr>
          <w:color w:val="000000"/>
        </w:rPr>
        <w:t>request</w:t>
      </w:r>
      <w:r>
        <w:rPr>
          <w:color w:val="000000"/>
        </w:rPr>
        <w:t xml:space="preserve"> </w:t>
      </w:r>
      <w:r w:rsidRPr="00CB5B4A">
        <w:rPr>
          <w:color w:val="000000"/>
        </w:rPr>
        <w:t>other tests from the pathology lab</w:t>
      </w:r>
      <w:r>
        <w:rPr>
          <w:color w:val="000000"/>
        </w:rPr>
        <w:t>oratory</w:t>
      </w:r>
      <w:r w:rsidRPr="00CB5B4A">
        <w:rPr>
          <w:color w:val="000000"/>
        </w:rPr>
        <w:t>.</w:t>
      </w:r>
    </w:p>
    <w:p w14:paraId="3B508E40" w14:textId="652FB51A" w:rsidR="009A1034" w:rsidRPr="00CB5B4A" w:rsidRDefault="009A1034" w:rsidP="009A1034">
      <w:pPr>
        <w:spacing w:after="240"/>
        <w:rPr>
          <w:color w:val="000000"/>
        </w:rPr>
      </w:pPr>
      <w:r>
        <w:rPr>
          <w:color w:val="000000"/>
        </w:rPr>
        <w:t>ESC noted t</w:t>
      </w:r>
      <w:r w:rsidRPr="00CB5B4A">
        <w:rPr>
          <w:color w:val="000000"/>
        </w:rPr>
        <w:t xml:space="preserve">he </w:t>
      </w:r>
      <w:r>
        <w:rPr>
          <w:color w:val="000000"/>
        </w:rPr>
        <w:t>resubmission’s</w:t>
      </w:r>
      <w:r w:rsidRPr="00CB5B4A">
        <w:rPr>
          <w:color w:val="000000"/>
        </w:rPr>
        <w:t xml:space="preserve"> claim that the average yearly cost of laboratory testing is $21.37 per quarter with three tests </w:t>
      </w:r>
      <w:proofErr w:type="spellStart"/>
      <w:r w:rsidRPr="00CB5B4A">
        <w:rPr>
          <w:color w:val="000000"/>
        </w:rPr>
        <w:t>unconed</w:t>
      </w:r>
      <w:proofErr w:type="spellEnd"/>
      <w:r w:rsidRPr="00CB5B4A">
        <w:rPr>
          <w:color w:val="000000"/>
        </w:rPr>
        <w:t xml:space="preserve"> and one coned, and </w:t>
      </w:r>
      <w:r>
        <w:rPr>
          <w:color w:val="000000"/>
        </w:rPr>
        <w:t>for</w:t>
      </w:r>
      <w:r w:rsidRPr="00CB5B4A">
        <w:rPr>
          <w:color w:val="000000"/>
        </w:rPr>
        <w:t xml:space="preserve"> </w:t>
      </w:r>
      <w:proofErr w:type="spellStart"/>
      <w:r w:rsidR="00EC28F2">
        <w:rPr>
          <w:color w:val="000000"/>
        </w:rPr>
        <w:t>PoC</w:t>
      </w:r>
      <w:proofErr w:type="spellEnd"/>
      <w:r w:rsidRPr="00CB5B4A">
        <w:rPr>
          <w:color w:val="000000"/>
        </w:rPr>
        <w:t xml:space="preserve"> is $21.22 per quarter with three </w:t>
      </w:r>
      <w:proofErr w:type="spellStart"/>
      <w:r w:rsidR="00EC28F2">
        <w:rPr>
          <w:color w:val="000000"/>
        </w:rPr>
        <w:t>PoC</w:t>
      </w:r>
      <w:proofErr w:type="spellEnd"/>
      <w:r w:rsidRPr="00CB5B4A">
        <w:rPr>
          <w:color w:val="000000"/>
        </w:rPr>
        <w:t xml:space="preserve"> and one coned laboratory test. </w:t>
      </w:r>
      <w:r>
        <w:rPr>
          <w:color w:val="000000"/>
        </w:rPr>
        <w:t>ESC noted that t</w:t>
      </w:r>
      <w:r w:rsidRPr="00CB5B4A">
        <w:rPr>
          <w:color w:val="000000"/>
        </w:rPr>
        <w:t>he current laboratory-based MBS item 66551</w:t>
      </w:r>
      <w:r>
        <w:rPr>
          <w:color w:val="000000"/>
        </w:rPr>
        <w:t xml:space="preserve"> (i.e. </w:t>
      </w:r>
      <w:r w:rsidRPr="00CB5B4A">
        <w:rPr>
          <w:color w:val="000000"/>
        </w:rPr>
        <w:t xml:space="preserve">HbA1c </w:t>
      </w:r>
      <w:r>
        <w:rPr>
          <w:color w:val="000000"/>
        </w:rPr>
        <w:t xml:space="preserve">testing </w:t>
      </w:r>
      <w:r w:rsidRPr="00CB5B4A">
        <w:rPr>
          <w:color w:val="000000"/>
        </w:rPr>
        <w:t>for the management of established diabetes</w:t>
      </w:r>
      <w:r>
        <w:rPr>
          <w:color w:val="000000"/>
        </w:rPr>
        <w:t>)</w:t>
      </w:r>
      <w:r w:rsidRPr="00CB5B4A">
        <w:rPr>
          <w:color w:val="000000"/>
        </w:rPr>
        <w:t xml:space="preserve"> is routinely requested with items that have a higher schedule fee</w:t>
      </w:r>
      <w:r>
        <w:rPr>
          <w:color w:val="000000"/>
        </w:rPr>
        <w:t xml:space="preserve">. </w:t>
      </w:r>
      <w:r w:rsidRPr="00CB5B4A">
        <w:rPr>
          <w:color w:val="000000"/>
        </w:rPr>
        <w:t>As items that are subject to coning are funded as part of the fee for the third item, the true rates at which they are requested are unknown</w:t>
      </w:r>
      <w:r>
        <w:rPr>
          <w:color w:val="000000"/>
        </w:rPr>
        <w:t xml:space="preserve"> and</w:t>
      </w:r>
      <w:r w:rsidRPr="00CB5B4A">
        <w:rPr>
          <w:color w:val="000000"/>
        </w:rPr>
        <w:t xml:space="preserve"> </w:t>
      </w:r>
      <w:r>
        <w:rPr>
          <w:color w:val="000000"/>
        </w:rPr>
        <w:t xml:space="preserve">therefore </w:t>
      </w:r>
      <w:r w:rsidRPr="00CB5B4A">
        <w:rPr>
          <w:color w:val="000000"/>
        </w:rPr>
        <w:t>the true number of HbA1c tests are not reflected in the data</w:t>
      </w:r>
      <w:r>
        <w:rPr>
          <w:color w:val="000000"/>
        </w:rPr>
        <w:t>.</w:t>
      </w:r>
      <w:r w:rsidRPr="00CB5B4A">
        <w:rPr>
          <w:color w:val="000000"/>
        </w:rPr>
        <w:t xml:space="preserve"> This means that predict</w:t>
      </w:r>
      <w:r>
        <w:rPr>
          <w:color w:val="000000"/>
        </w:rPr>
        <w:t>ed</w:t>
      </w:r>
      <w:r w:rsidRPr="00CB5B4A">
        <w:rPr>
          <w:color w:val="000000"/>
        </w:rPr>
        <w:t xml:space="preserve"> utilisation of HbA1c </w:t>
      </w:r>
      <w:proofErr w:type="spellStart"/>
      <w:r w:rsidR="00EC28F2">
        <w:rPr>
          <w:color w:val="000000"/>
        </w:rPr>
        <w:t>PoC</w:t>
      </w:r>
      <w:proofErr w:type="spellEnd"/>
      <w:r w:rsidRPr="00CB5B4A">
        <w:rPr>
          <w:color w:val="000000"/>
        </w:rPr>
        <w:t xml:space="preserve"> </w:t>
      </w:r>
      <w:r>
        <w:rPr>
          <w:color w:val="000000"/>
        </w:rPr>
        <w:t>will be</w:t>
      </w:r>
      <w:r w:rsidRPr="00CB5B4A">
        <w:rPr>
          <w:color w:val="000000"/>
        </w:rPr>
        <w:t xml:space="preserve"> underestimated.</w:t>
      </w:r>
    </w:p>
    <w:p w14:paraId="1C6DF08A" w14:textId="256BE1DD" w:rsidR="009A1034" w:rsidRPr="00CB5B4A" w:rsidRDefault="009A1034" w:rsidP="009A1034">
      <w:pPr>
        <w:spacing w:after="240"/>
        <w:rPr>
          <w:color w:val="000000"/>
        </w:rPr>
      </w:pPr>
      <w:r>
        <w:rPr>
          <w:color w:val="000000"/>
        </w:rPr>
        <w:t>ESC also noted that</w:t>
      </w:r>
      <w:r w:rsidRPr="00CB5B4A">
        <w:rPr>
          <w:color w:val="000000"/>
        </w:rPr>
        <w:t xml:space="preserve">, in circumstances where </w:t>
      </w:r>
      <w:proofErr w:type="gramStart"/>
      <w:r w:rsidRPr="00CB5B4A">
        <w:rPr>
          <w:color w:val="000000"/>
        </w:rPr>
        <w:t xml:space="preserve">HbA1c is tested by </w:t>
      </w:r>
      <w:proofErr w:type="spellStart"/>
      <w:r w:rsidR="00EC28F2">
        <w:rPr>
          <w:color w:val="000000"/>
        </w:rPr>
        <w:t>PoC</w:t>
      </w:r>
      <w:proofErr w:type="spellEnd"/>
      <w:proofErr w:type="gramEnd"/>
      <w:r w:rsidRPr="00CB5B4A">
        <w:rPr>
          <w:color w:val="000000"/>
        </w:rPr>
        <w:t xml:space="preserve"> instead of a pathology laboratory, it will not always am</w:t>
      </w:r>
      <w:bookmarkStart w:id="15" w:name="Editing"/>
      <w:bookmarkEnd w:id="15"/>
      <w:r w:rsidRPr="00CB5B4A">
        <w:rPr>
          <w:color w:val="000000"/>
        </w:rPr>
        <w:t xml:space="preserve">ount to a saving in pathology laboratory testing costs equivalent to the fee for </w:t>
      </w:r>
      <w:r>
        <w:rPr>
          <w:color w:val="000000"/>
        </w:rPr>
        <w:t xml:space="preserve">the </w:t>
      </w:r>
      <w:r w:rsidRPr="00CB5B4A">
        <w:rPr>
          <w:color w:val="000000"/>
        </w:rPr>
        <w:t>HbA1c</w:t>
      </w:r>
      <w:r>
        <w:rPr>
          <w:color w:val="000000"/>
        </w:rPr>
        <w:t xml:space="preserve"> test</w:t>
      </w:r>
      <w:r w:rsidRPr="00CB5B4A">
        <w:rPr>
          <w:color w:val="000000"/>
        </w:rPr>
        <w:t xml:space="preserve">. Coning arrangements will mean that where multiple items </w:t>
      </w:r>
      <w:proofErr w:type="gramStart"/>
      <w:r w:rsidRPr="00CB5B4A">
        <w:rPr>
          <w:color w:val="000000"/>
        </w:rPr>
        <w:t>are requested</w:t>
      </w:r>
      <w:proofErr w:type="gramEnd"/>
      <w:r w:rsidRPr="00CB5B4A">
        <w:rPr>
          <w:color w:val="000000"/>
        </w:rPr>
        <w:t>, the HbA1c laboratory test will be substituted by another pathology test, which would result in little to no saving to the MBS.</w:t>
      </w:r>
    </w:p>
    <w:p w14:paraId="40B195F4" w14:textId="2E6917B8" w:rsidR="009A1034" w:rsidRPr="00B02E35" w:rsidRDefault="009A1034" w:rsidP="009A1034">
      <w:pPr>
        <w:tabs>
          <w:tab w:val="left" w:pos="2265"/>
          <w:tab w:val="left" w:pos="3420"/>
          <w:tab w:val="left" w:pos="4320"/>
        </w:tabs>
        <w:rPr>
          <w:b/>
        </w:rPr>
      </w:pPr>
      <w:r>
        <w:rPr>
          <w:color w:val="000000"/>
        </w:rPr>
        <w:t xml:space="preserve">ESC noted that </w:t>
      </w:r>
      <w:proofErr w:type="spellStart"/>
      <w:r w:rsidR="00EC28F2">
        <w:rPr>
          <w:color w:val="000000"/>
        </w:rPr>
        <w:t>PoC</w:t>
      </w:r>
      <w:proofErr w:type="spellEnd"/>
      <w:r w:rsidRPr="00CB5B4A">
        <w:rPr>
          <w:color w:val="000000"/>
        </w:rPr>
        <w:t xml:space="preserve"> </w:t>
      </w:r>
      <w:proofErr w:type="gramStart"/>
      <w:r w:rsidRPr="00CB5B4A">
        <w:rPr>
          <w:color w:val="000000"/>
        </w:rPr>
        <w:t>may</w:t>
      </w:r>
      <w:proofErr w:type="gramEnd"/>
      <w:r>
        <w:rPr>
          <w:color w:val="000000"/>
        </w:rPr>
        <w:t xml:space="preserve"> also</w:t>
      </w:r>
      <w:r w:rsidRPr="00CB5B4A">
        <w:rPr>
          <w:color w:val="000000"/>
        </w:rPr>
        <w:t xml:space="preserve"> drive test utilisation by providing immediate access to the service for patients</w:t>
      </w:r>
      <w:r>
        <w:rPr>
          <w:color w:val="000000"/>
        </w:rPr>
        <w:t>,</w:t>
      </w:r>
      <w:r w:rsidRPr="00CB5B4A">
        <w:rPr>
          <w:color w:val="000000"/>
        </w:rPr>
        <w:t xml:space="preserve"> </w:t>
      </w:r>
      <w:r>
        <w:rPr>
          <w:color w:val="000000"/>
        </w:rPr>
        <w:t>which</w:t>
      </w:r>
      <w:r w:rsidRPr="00CB5B4A">
        <w:rPr>
          <w:color w:val="000000"/>
        </w:rPr>
        <w:t xml:space="preserve"> needs to be taken into account. </w:t>
      </w:r>
      <w:r>
        <w:rPr>
          <w:color w:val="000000"/>
        </w:rPr>
        <w:t xml:space="preserve">ESC noted that Diabetes Australia </w:t>
      </w:r>
      <w:r w:rsidRPr="00BF3B7B">
        <w:rPr>
          <w:color w:val="000000"/>
        </w:rPr>
        <w:t>would be likely to support this</w:t>
      </w:r>
      <w:r>
        <w:rPr>
          <w:color w:val="000000"/>
        </w:rPr>
        <w:t xml:space="preserve"> resubmission; however, they </w:t>
      </w:r>
      <w:proofErr w:type="gramStart"/>
      <w:r>
        <w:rPr>
          <w:color w:val="000000"/>
        </w:rPr>
        <w:t>were not consulted</w:t>
      </w:r>
      <w:proofErr w:type="gramEnd"/>
      <w:r>
        <w:rPr>
          <w:color w:val="000000"/>
        </w:rPr>
        <w:t xml:space="preserve"> because there was no PASC process for this application.</w:t>
      </w:r>
    </w:p>
    <w:p w14:paraId="77D297D7" w14:textId="77777777" w:rsidR="00D90A38" w:rsidRPr="00F715D1" w:rsidRDefault="00BC1364" w:rsidP="00F715D1">
      <w:pPr>
        <w:pStyle w:val="Heading1"/>
      </w:pPr>
      <w:r w:rsidRPr="00F715D1">
        <w:t>Other significant factors</w:t>
      </w:r>
    </w:p>
    <w:p w14:paraId="65180A04" w14:textId="285A9A20" w:rsidR="00BC1364" w:rsidRPr="005C1607" w:rsidRDefault="00BC1364" w:rsidP="00F715D1">
      <w:pPr>
        <w:spacing w:after="240"/>
        <w:rPr>
          <w:szCs w:val="24"/>
        </w:rPr>
      </w:pPr>
      <w:r w:rsidRPr="005C1607">
        <w:rPr>
          <w:szCs w:val="24"/>
        </w:rPr>
        <w:t>Nil</w:t>
      </w:r>
    </w:p>
    <w:p w14:paraId="66451F7B" w14:textId="77777777" w:rsidR="00BC1364" w:rsidRPr="00F715D1" w:rsidRDefault="00BC1364" w:rsidP="00F715D1">
      <w:pPr>
        <w:pStyle w:val="Heading1"/>
      </w:pPr>
      <w:r w:rsidRPr="00F715D1">
        <w:t xml:space="preserve">Applicant’s comments on MSAC’s </w:t>
      </w:r>
      <w:r w:rsidR="00DA56AA" w:rsidRPr="00F715D1">
        <w:t>Public Summary Document</w:t>
      </w:r>
    </w:p>
    <w:p w14:paraId="04D59E55" w14:textId="47B154EB" w:rsidR="00BC1364" w:rsidRPr="00F82274" w:rsidRDefault="00407E78" w:rsidP="00F715D1">
      <w:pPr>
        <w:spacing w:after="240"/>
        <w:rPr>
          <w:szCs w:val="24"/>
        </w:rPr>
      </w:pPr>
      <w:r w:rsidRPr="00F82274">
        <w:rPr>
          <w:szCs w:val="24"/>
        </w:rPr>
        <w:t xml:space="preserve">We are happy that the MSAC is supportive of MBS listing of HbA1c </w:t>
      </w:r>
      <w:proofErr w:type="spellStart"/>
      <w:r w:rsidRPr="00F82274">
        <w:rPr>
          <w:szCs w:val="24"/>
        </w:rPr>
        <w:t>PoC</w:t>
      </w:r>
      <w:proofErr w:type="spellEnd"/>
      <w:r w:rsidRPr="00F82274">
        <w:rPr>
          <w:szCs w:val="24"/>
        </w:rPr>
        <w:t xml:space="preserve"> testing for the management and monitoring of established diabetes mellitus, including in pregnancy, </w:t>
      </w:r>
      <w:proofErr w:type="gramStart"/>
      <w:r w:rsidRPr="00F82274">
        <w:rPr>
          <w:szCs w:val="24"/>
        </w:rPr>
        <w:t>on the basis of</w:t>
      </w:r>
      <w:proofErr w:type="gramEnd"/>
      <w:r w:rsidRPr="00F82274">
        <w:rPr>
          <w:szCs w:val="24"/>
        </w:rPr>
        <w:t xml:space="preserve"> its ability to improve patient health outcomes and generate cost savings to the Government. </w:t>
      </w:r>
      <w:proofErr w:type="gramStart"/>
      <w:r w:rsidRPr="00F82274">
        <w:rPr>
          <w:szCs w:val="24"/>
        </w:rPr>
        <w:t xml:space="preserve">We are however, concerned that timely access to this service will be compromised if the recommendation to await the outcomes of the NPAAC review and update of its 2015 </w:t>
      </w:r>
      <w:r w:rsidRPr="00F82274">
        <w:rPr>
          <w:i/>
          <w:iCs/>
          <w:szCs w:val="24"/>
        </w:rPr>
        <w:t>Guidelines for point of care testing</w:t>
      </w:r>
      <w:r w:rsidRPr="00F82274">
        <w:rPr>
          <w:szCs w:val="24"/>
        </w:rPr>
        <w:t xml:space="preserve"> </w:t>
      </w:r>
      <w:r w:rsidR="0016294C" w:rsidRPr="00F82274">
        <w:rPr>
          <w:szCs w:val="24"/>
        </w:rPr>
        <w:t>in</w:t>
      </w:r>
      <w:r w:rsidRPr="00F82274">
        <w:rPr>
          <w:szCs w:val="24"/>
        </w:rPr>
        <w:t xml:space="preserve">to accreditation standards is enforced, particularly given the RACGP have developed Standards for </w:t>
      </w:r>
      <w:proofErr w:type="spellStart"/>
      <w:r w:rsidRPr="00F82274">
        <w:rPr>
          <w:szCs w:val="24"/>
        </w:rPr>
        <w:t>PoC</w:t>
      </w:r>
      <w:proofErr w:type="spellEnd"/>
      <w:r w:rsidRPr="00F82274">
        <w:rPr>
          <w:szCs w:val="24"/>
        </w:rPr>
        <w:t xml:space="preserve"> testing which are current, are </w:t>
      </w:r>
      <w:r w:rsidR="00856C71" w:rsidRPr="00F82274">
        <w:rPr>
          <w:szCs w:val="24"/>
        </w:rPr>
        <w:t xml:space="preserve">largely </w:t>
      </w:r>
      <w:r w:rsidRPr="00F82274">
        <w:rPr>
          <w:szCs w:val="24"/>
        </w:rPr>
        <w:t>comparable with the NPAAC Guidelines, and provide assurance of consistent quality.</w:t>
      </w:r>
      <w:proofErr w:type="gramEnd"/>
    </w:p>
    <w:p w14:paraId="0F1C8FA4" w14:textId="762B2365" w:rsidR="007478D7" w:rsidRPr="00F82274" w:rsidRDefault="00034DA1" w:rsidP="00F715D1">
      <w:pPr>
        <w:spacing w:after="240"/>
        <w:rPr>
          <w:szCs w:val="24"/>
        </w:rPr>
      </w:pPr>
      <w:r w:rsidRPr="00F82274">
        <w:rPr>
          <w:szCs w:val="24"/>
        </w:rPr>
        <w:lastRenderedPageBreak/>
        <w:t xml:space="preserve">We note that the economic evaluation </w:t>
      </w:r>
      <w:r w:rsidR="00856C71" w:rsidRPr="00F82274">
        <w:rPr>
          <w:szCs w:val="24"/>
        </w:rPr>
        <w:t xml:space="preserve">presented in the resubmission </w:t>
      </w:r>
      <w:r w:rsidRPr="00F82274">
        <w:rPr>
          <w:szCs w:val="24"/>
        </w:rPr>
        <w:t xml:space="preserve">was </w:t>
      </w:r>
      <w:r w:rsidR="007478D7" w:rsidRPr="00F82274">
        <w:rPr>
          <w:szCs w:val="24"/>
        </w:rPr>
        <w:t xml:space="preserve">a conservative cost-minimisation analysis. While the ESC noted </w:t>
      </w:r>
      <w:proofErr w:type="gramStart"/>
      <w:r w:rsidR="007478D7" w:rsidRPr="00F82274">
        <w:rPr>
          <w:szCs w:val="24"/>
        </w:rPr>
        <w:t>that</w:t>
      </w:r>
      <w:proofErr w:type="gramEnd"/>
      <w:r w:rsidR="007478D7" w:rsidRPr="00F82274">
        <w:rPr>
          <w:szCs w:val="24"/>
        </w:rPr>
        <w:t xml:space="preserve"> an amendment to the amortisation of the device cost across three rather than five years would lead to an increase in the proposed cost of </w:t>
      </w:r>
      <w:proofErr w:type="spellStart"/>
      <w:r w:rsidR="007478D7" w:rsidRPr="00F82274">
        <w:rPr>
          <w:szCs w:val="24"/>
        </w:rPr>
        <w:t>PoC</w:t>
      </w:r>
      <w:proofErr w:type="spellEnd"/>
      <w:r w:rsidR="007478D7" w:rsidRPr="00F82274">
        <w:rPr>
          <w:szCs w:val="24"/>
        </w:rPr>
        <w:t xml:space="preserve"> by $1.28, this is not reflective of real-world practice. Anecdotal evidence suggests that there are </w:t>
      </w:r>
      <w:proofErr w:type="spellStart"/>
      <w:r w:rsidR="007478D7" w:rsidRPr="00F82274">
        <w:rPr>
          <w:szCs w:val="24"/>
        </w:rPr>
        <w:t>PoC</w:t>
      </w:r>
      <w:proofErr w:type="spellEnd"/>
      <w:r w:rsidR="007478D7" w:rsidRPr="00F82274">
        <w:rPr>
          <w:szCs w:val="24"/>
        </w:rPr>
        <w:t xml:space="preserve"> devices effectively used for five years and beyond, in which case the cost of </w:t>
      </w:r>
      <w:proofErr w:type="spellStart"/>
      <w:r w:rsidR="007478D7" w:rsidRPr="00F82274">
        <w:rPr>
          <w:szCs w:val="24"/>
        </w:rPr>
        <w:t>PoC</w:t>
      </w:r>
      <w:proofErr w:type="spellEnd"/>
      <w:r w:rsidR="007478D7" w:rsidRPr="00F82274">
        <w:rPr>
          <w:szCs w:val="24"/>
        </w:rPr>
        <w:t xml:space="preserve"> </w:t>
      </w:r>
      <w:proofErr w:type="gramStart"/>
      <w:r w:rsidR="007478D7" w:rsidRPr="00F82274">
        <w:rPr>
          <w:szCs w:val="24"/>
        </w:rPr>
        <w:t>would be reduced</w:t>
      </w:r>
      <w:proofErr w:type="gramEnd"/>
      <w:r w:rsidR="007478D7" w:rsidRPr="00F82274">
        <w:rPr>
          <w:szCs w:val="24"/>
        </w:rPr>
        <w:t xml:space="preserve"> further than that proposed</w:t>
      </w:r>
      <w:r w:rsidR="00856C71" w:rsidRPr="00F82274">
        <w:rPr>
          <w:szCs w:val="24"/>
        </w:rPr>
        <w:t xml:space="preserve"> in the submission</w:t>
      </w:r>
      <w:r w:rsidR="00F82274">
        <w:rPr>
          <w:szCs w:val="24"/>
        </w:rPr>
        <w:t>.</w:t>
      </w:r>
    </w:p>
    <w:p w14:paraId="1227E4E5" w14:textId="77777777" w:rsidR="00BC1364" w:rsidRPr="00F715D1" w:rsidRDefault="00271F18" w:rsidP="00F715D1">
      <w:pPr>
        <w:pStyle w:val="Heading1"/>
      </w:pPr>
      <w:r w:rsidRPr="00F715D1">
        <w:t>Further information on MSAC</w:t>
      </w:r>
    </w:p>
    <w:p w14:paraId="1F84D9A5"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9F931" w16cid:durableId="20BE11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9957" w14:textId="77777777" w:rsidR="000B6B62" w:rsidRDefault="000B6B62" w:rsidP="00065623">
      <w:r>
        <w:separator/>
      </w:r>
    </w:p>
  </w:endnote>
  <w:endnote w:type="continuationSeparator" w:id="0">
    <w:p w14:paraId="5E200E16" w14:textId="77777777" w:rsidR="000B6B62" w:rsidRDefault="000B6B6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602A" w14:textId="77777777" w:rsidR="00C562A3" w:rsidRDefault="00C56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E2F0FD9" w14:textId="0FF8FD4C" w:rsidR="00EC28F2" w:rsidRDefault="00EC28F2">
        <w:pPr>
          <w:pStyle w:val="Footer"/>
          <w:jc w:val="right"/>
        </w:pPr>
        <w:r>
          <w:fldChar w:fldCharType="begin"/>
        </w:r>
        <w:r>
          <w:instrText xml:space="preserve"> PAGE   \* MERGEFORMAT </w:instrText>
        </w:r>
        <w:r>
          <w:fldChar w:fldCharType="separate"/>
        </w:r>
        <w:r w:rsidR="00453A94">
          <w:rPr>
            <w:noProof/>
          </w:rPr>
          <w:t>13</w:t>
        </w:r>
        <w:r>
          <w:rPr>
            <w:noProof/>
          </w:rPr>
          <w:fldChar w:fldCharType="end"/>
        </w:r>
      </w:p>
    </w:sdtContent>
  </w:sdt>
  <w:p w14:paraId="2E7FDCB0" w14:textId="77777777" w:rsidR="00EC28F2" w:rsidRDefault="00EC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584C" w14:textId="77777777" w:rsidR="00C562A3" w:rsidRDefault="00C5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1FD5" w14:textId="77777777" w:rsidR="000B6B62" w:rsidRDefault="000B6B62" w:rsidP="00065623">
      <w:r>
        <w:separator/>
      </w:r>
    </w:p>
  </w:footnote>
  <w:footnote w:type="continuationSeparator" w:id="0">
    <w:p w14:paraId="51092542" w14:textId="77777777" w:rsidR="000B6B62" w:rsidRDefault="000B6B62"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89CF" w14:textId="77777777" w:rsidR="00C562A3" w:rsidRDefault="00C56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797B" w14:textId="77777777" w:rsidR="00C562A3" w:rsidRDefault="00C56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64DB" w14:textId="77777777" w:rsidR="00C562A3" w:rsidRDefault="00C5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D15"/>
    <w:multiLevelType w:val="hybridMultilevel"/>
    <w:tmpl w:val="B37654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16523"/>
    <w:multiLevelType w:val="hybridMultilevel"/>
    <w:tmpl w:val="6FA44E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35378"/>
    <w:multiLevelType w:val="hybridMultilevel"/>
    <w:tmpl w:val="C6DC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28646D"/>
    <w:multiLevelType w:val="hybridMultilevel"/>
    <w:tmpl w:val="CB6E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C5B54"/>
    <w:multiLevelType w:val="hybridMultilevel"/>
    <w:tmpl w:val="CA3605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8E81FDC"/>
    <w:multiLevelType w:val="hybridMultilevel"/>
    <w:tmpl w:val="608E9E86"/>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3"/>
  </w:num>
  <w:num w:numId="4">
    <w:abstractNumId w:val="19"/>
  </w:num>
  <w:num w:numId="5">
    <w:abstractNumId w:val="11"/>
  </w:num>
  <w:num w:numId="6">
    <w:abstractNumId w:val="18"/>
  </w:num>
  <w:num w:numId="7">
    <w:abstractNumId w:val="23"/>
  </w:num>
  <w:num w:numId="8">
    <w:abstractNumId w:val="13"/>
  </w:num>
  <w:num w:numId="9">
    <w:abstractNumId w:val="30"/>
  </w:num>
  <w:num w:numId="10">
    <w:abstractNumId w:val="2"/>
  </w:num>
  <w:num w:numId="11">
    <w:abstractNumId w:val="22"/>
  </w:num>
  <w:num w:numId="12">
    <w:abstractNumId w:val="24"/>
  </w:num>
  <w:num w:numId="13">
    <w:abstractNumId w:val="6"/>
  </w:num>
  <w:num w:numId="14">
    <w:abstractNumId w:val="28"/>
  </w:num>
  <w:num w:numId="15">
    <w:abstractNumId w:val="21"/>
  </w:num>
  <w:num w:numId="16">
    <w:abstractNumId w:val="25"/>
  </w:num>
  <w:num w:numId="17">
    <w:abstractNumId w:val="15"/>
  </w:num>
  <w:num w:numId="18">
    <w:abstractNumId w:val="16"/>
  </w:num>
  <w:num w:numId="19">
    <w:abstractNumId w:val="27"/>
  </w:num>
  <w:num w:numId="20">
    <w:abstractNumId w:val="26"/>
  </w:num>
  <w:num w:numId="21">
    <w:abstractNumId w:val="5"/>
  </w:num>
  <w:num w:numId="22">
    <w:abstractNumId w:val="10"/>
  </w:num>
  <w:num w:numId="23">
    <w:abstractNumId w:val="4"/>
  </w:num>
  <w:num w:numId="24">
    <w:abstractNumId w:val="9"/>
  </w:num>
  <w:num w:numId="25">
    <w:abstractNumId w:val="7"/>
  </w:num>
  <w:num w:numId="26">
    <w:abstractNumId w:val="14"/>
  </w:num>
  <w:num w:numId="27">
    <w:abstractNumId w:val="0"/>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09E326-76EC-4102-8A26-AEBAD49EF6CB}"/>
    <w:docVar w:name="dgnword-eventsink" w:val="435565160"/>
  </w:docVars>
  <w:rsids>
    <w:rsidRoot w:val="00065623"/>
    <w:rsid w:val="00007312"/>
    <w:rsid w:val="00007B97"/>
    <w:rsid w:val="00011A36"/>
    <w:rsid w:val="00031241"/>
    <w:rsid w:val="000317F2"/>
    <w:rsid w:val="00034DA1"/>
    <w:rsid w:val="00047606"/>
    <w:rsid w:val="00065623"/>
    <w:rsid w:val="000756B9"/>
    <w:rsid w:val="000934B8"/>
    <w:rsid w:val="00096B67"/>
    <w:rsid w:val="00096DAF"/>
    <w:rsid w:val="000B6B62"/>
    <w:rsid w:val="000C2F47"/>
    <w:rsid w:val="000D2B9A"/>
    <w:rsid w:val="000D6C00"/>
    <w:rsid w:val="000E4E04"/>
    <w:rsid w:val="000F14B4"/>
    <w:rsid w:val="000F75DF"/>
    <w:rsid w:val="001023DC"/>
    <w:rsid w:val="001046A1"/>
    <w:rsid w:val="001324F9"/>
    <w:rsid w:val="001328FA"/>
    <w:rsid w:val="00135EA6"/>
    <w:rsid w:val="00147AAF"/>
    <w:rsid w:val="001552C0"/>
    <w:rsid w:val="0016294C"/>
    <w:rsid w:val="001640B1"/>
    <w:rsid w:val="0018435E"/>
    <w:rsid w:val="00200E40"/>
    <w:rsid w:val="002041A1"/>
    <w:rsid w:val="002054F0"/>
    <w:rsid w:val="002172F5"/>
    <w:rsid w:val="00221AF6"/>
    <w:rsid w:val="00224AF6"/>
    <w:rsid w:val="00230D6B"/>
    <w:rsid w:val="00232068"/>
    <w:rsid w:val="002330F2"/>
    <w:rsid w:val="00243D9E"/>
    <w:rsid w:val="00253B66"/>
    <w:rsid w:val="00261DF1"/>
    <w:rsid w:val="00270974"/>
    <w:rsid w:val="00271F18"/>
    <w:rsid w:val="00277B4C"/>
    <w:rsid w:val="00282779"/>
    <w:rsid w:val="0028334D"/>
    <w:rsid w:val="002B77DF"/>
    <w:rsid w:val="002B7FFA"/>
    <w:rsid w:val="002C2BCF"/>
    <w:rsid w:val="002F279D"/>
    <w:rsid w:val="002F43B8"/>
    <w:rsid w:val="00336856"/>
    <w:rsid w:val="0034554D"/>
    <w:rsid w:val="00352224"/>
    <w:rsid w:val="003533B8"/>
    <w:rsid w:val="003671E6"/>
    <w:rsid w:val="00384272"/>
    <w:rsid w:val="00386D67"/>
    <w:rsid w:val="003945B8"/>
    <w:rsid w:val="003D1B9A"/>
    <w:rsid w:val="003D7F29"/>
    <w:rsid w:val="00405A6B"/>
    <w:rsid w:val="00407B1F"/>
    <w:rsid w:val="00407E0C"/>
    <w:rsid w:val="00407E78"/>
    <w:rsid w:val="0041184F"/>
    <w:rsid w:val="00412BEA"/>
    <w:rsid w:val="00414C57"/>
    <w:rsid w:val="0041758C"/>
    <w:rsid w:val="00446965"/>
    <w:rsid w:val="004539DE"/>
    <w:rsid w:val="00453A94"/>
    <w:rsid w:val="004A058E"/>
    <w:rsid w:val="004A2CF1"/>
    <w:rsid w:val="004C3035"/>
    <w:rsid w:val="004C307F"/>
    <w:rsid w:val="004E4BA8"/>
    <w:rsid w:val="004F340F"/>
    <w:rsid w:val="004F7B7C"/>
    <w:rsid w:val="0052140E"/>
    <w:rsid w:val="0052243D"/>
    <w:rsid w:val="00532435"/>
    <w:rsid w:val="00550354"/>
    <w:rsid w:val="00571236"/>
    <w:rsid w:val="00586044"/>
    <w:rsid w:val="005953A1"/>
    <w:rsid w:val="00596625"/>
    <w:rsid w:val="005A4362"/>
    <w:rsid w:val="005B5434"/>
    <w:rsid w:val="005C1607"/>
    <w:rsid w:val="005C7F8E"/>
    <w:rsid w:val="005D0332"/>
    <w:rsid w:val="005D0D8C"/>
    <w:rsid w:val="006119D9"/>
    <w:rsid w:val="00673BCB"/>
    <w:rsid w:val="006776AE"/>
    <w:rsid w:val="00691037"/>
    <w:rsid w:val="006A0D97"/>
    <w:rsid w:val="006B0388"/>
    <w:rsid w:val="006B1F86"/>
    <w:rsid w:val="006C0A91"/>
    <w:rsid w:val="006F73D0"/>
    <w:rsid w:val="00702A0E"/>
    <w:rsid w:val="007054BB"/>
    <w:rsid w:val="00707064"/>
    <w:rsid w:val="00730683"/>
    <w:rsid w:val="0073555F"/>
    <w:rsid w:val="007478D7"/>
    <w:rsid w:val="0075261F"/>
    <w:rsid w:val="0075468E"/>
    <w:rsid w:val="007665D8"/>
    <w:rsid w:val="00766E36"/>
    <w:rsid w:val="007765F4"/>
    <w:rsid w:val="00776633"/>
    <w:rsid w:val="00784D53"/>
    <w:rsid w:val="00797797"/>
    <w:rsid w:val="007A156B"/>
    <w:rsid w:val="007A63C9"/>
    <w:rsid w:val="007B32D1"/>
    <w:rsid w:val="007B7095"/>
    <w:rsid w:val="007D24E1"/>
    <w:rsid w:val="007D6288"/>
    <w:rsid w:val="007D6633"/>
    <w:rsid w:val="007E1E1B"/>
    <w:rsid w:val="007F4CE9"/>
    <w:rsid w:val="007F4E20"/>
    <w:rsid w:val="008170CF"/>
    <w:rsid w:val="00822C7E"/>
    <w:rsid w:val="00846D51"/>
    <w:rsid w:val="00847060"/>
    <w:rsid w:val="0084762D"/>
    <w:rsid w:val="00847A36"/>
    <w:rsid w:val="00856A33"/>
    <w:rsid w:val="00856C71"/>
    <w:rsid w:val="00874DD4"/>
    <w:rsid w:val="00892620"/>
    <w:rsid w:val="008A6028"/>
    <w:rsid w:val="008A6717"/>
    <w:rsid w:val="008C7D37"/>
    <w:rsid w:val="008D5885"/>
    <w:rsid w:val="008E03A3"/>
    <w:rsid w:val="00923FA2"/>
    <w:rsid w:val="009470FD"/>
    <w:rsid w:val="0096060D"/>
    <w:rsid w:val="00974A50"/>
    <w:rsid w:val="0097585A"/>
    <w:rsid w:val="009924B0"/>
    <w:rsid w:val="009929FA"/>
    <w:rsid w:val="009942C9"/>
    <w:rsid w:val="00995BBA"/>
    <w:rsid w:val="009A1034"/>
    <w:rsid w:val="009A3690"/>
    <w:rsid w:val="009B35C4"/>
    <w:rsid w:val="009C630A"/>
    <w:rsid w:val="009E0D98"/>
    <w:rsid w:val="009F27BF"/>
    <w:rsid w:val="00A068A1"/>
    <w:rsid w:val="00A1207D"/>
    <w:rsid w:val="00A12FD8"/>
    <w:rsid w:val="00A346FC"/>
    <w:rsid w:val="00A46D77"/>
    <w:rsid w:val="00A839E1"/>
    <w:rsid w:val="00A846F2"/>
    <w:rsid w:val="00A84F93"/>
    <w:rsid w:val="00AB1AC5"/>
    <w:rsid w:val="00AB2662"/>
    <w:rsid w:val="00AB3BFC"/>
    <w:rsid w:val="00AC0521"/>
    <w:rsid w:val="00AC4F2E"/>
    <w:rsid w:val="00AD0C37"/>
    <w:rsid w:val="00AD385F"/>
    <w:rsid w:val="00AE4BFA"/>
    <w:rsid w:val="00AE6E2A"/>
    <w:rsid w:val="00AF3F82"/>
    <w:rsid w:val="00B03EAB"/>
    <w:rsid w:val="00B31E9C"/>
    <w:rsid w:val="00B35595"/>
    <w:rsid w:val="00B45DF9"/>
    <w:rsid w:val="00B51C6D"/>
    <w:rsid w:val="00B57C9A"/>
    <w:rsid w:val="00B83163"/>
    <w:rsid w:val="00B83DD2"/>
    <w:rsid w:val="00B86D64"/>
    <w:rsid w:val="00BA4AC5"/>
    <w:rsid w:val="00BC1364"/>
    <w:rsid w:val="00BC2667"/>
    <w:rsid w:val="00BC7987"/>
    <w:rsid w:val="00BC7DE9"/>
    <w:rsid w:val="00BF479B"/>
    <w:rsid w:val="00C02577"/>
    <w:rsid w:val="00C204FB"/>
    <w:rsid w:val="00C20BEE"/>
    <w:rsid w:val="00C2158D"/>
    <w:rsid w:val="00C368DD"/>
    <w:rsid w:val="00C562A3"/>
    <w:rsid w:val="00C67DD2"/>
    <w:rsid w:val="00C725CB"/>
    <w:rsid w:val="00C76F5C"/>
    <w:rsid w:val="00C87F14"/>
    <w:rsid w:val="00C9221F"/>
    <w:rsid w:val="00C96BAD"/>
    <w:rsid w:val="00CA6944"/>
    <w:rsid w:val="00CB0F8E"/>
    <w:rsid w:val="00CB7E7D"/>
    <w:rsid w:val="00CC2911"/>
    <w:rsid w:val="00CF0C6D"/>
    <w:rsid w:val="00CF7307"/>
    <w:rsid w:val="00CF7C68"/>
    <w:rsid w:val="00D0322A"/>
    <w:rsid w:val="00D124FA"/>
    <w:rsid w:val="00D340DE"/>
    <w:rsid w:val="00D55723"/>
    <w:rsid w:val="00D62FAD"/>
    <w:rsid w:val="00D64355"/>
    <w:rsid w:val="00D64CB2"/>
    <w:rsid w:val="00D70450"/>
    <w:rsid w:val="00D83BFD"/>
    <w:rsid w:val="00D90A38"/>
    <w:rsid w:val="00DA0515"/>
    <w:rsid w:val="00DA171E"/>
    <w:rsid w:val="00DA56AA"/>
    <w:rsid w:val="00DB5833"/>
    <w:rsid w:val="00DD2858"/>
    <w:rsid w:val="00DF1BF4"/>
    <w:rsid w:val="00E03E33"/>
    <w:rsid w:val="00E059E0"/>
    <w:rsid w:val="00E3642A"/>
    <w:rsid w:val="00E415C4"/>
    <w:rsid w:val="00E50016"/>
    <w:rsid w:val="00E50EAA"/>
    <w:rsid w:val="00E656D6"/>
    <w:rsid w:val="00E6602A"/>
    <w:rsid w:val="00E977EE"/>
    <w:rsid w:val="00EA2F24"/>
    <w:rsid w:val="00EA67A2"/>
    <w:rsid w:val="00EB630F"/>
    <w:rsid w:val="00EB6B6F"/>
    <w:rsid w:val="00EC28F2"/>
    <w:rsid w:val="00EC4F98"/>
    <w:rsid w:val="00EC542E"/>
    <w:rsid w:val="00F12F02"/>
    <w:rsid w:val="00F26141"/>
    <w:rsid w:val="00F32E0D"/>
    <w:rsid w:val="00F35134"/>
    <w:rsid w:val="00F37B9C"/>
    <w:rsid w:val="00F41812"/>
    <w:rsid w:val="00F715D1"/>
    <w:rsid w:val="00F72715"/>
    <w:rsid w:val="00F73333"/>
    <w:rsid w:val="00F82274"/>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E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9A10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9A1034"/>
    <w:rPr>
      <w:rFonts w:eastAsia="Times New Roman"/>
      <w:sz w:val="24"/>
      <w:szCs w:val="20"/>
    </w:rPr>
  </w:style>
  <w:style w:type="paragraph" w:styleId="NormalWeb">
    <w:name w:val="Normal (Web)"/>
    <w:basedOn w:val="Normal"/>
    <w:uiPriority w:val="99"/>
    <w:unhideWhenUsed/>
    <w:rsid w:val="009A1034"/>
    <w:pPr>
      <w:spacing w:before="100" w:beforeAutospacing="1" w:after="100" w:afterAutospacing="1"/>
    </w:pPr>
    <w:rPr>
      <w:szCs w:val="24"/>
    </w:rPr>
  </w:style>
  <w:style w:type="paragraph" w:customStyle="1" w:styleId="Table">
    <w:name w:val="Table"/>
    <w:basedOn w:val="Normal"/>
    <w:qFormat/>
    <w:rsid w:val="009A1034"/>
    <w:pPr>
      <w:keepNext/>
      <w:spacing w:before="40" w:after="40"/>
      <w:outlineLvl w:val="1"/>
    </w:pPr>
    <w:rPr>
      <w:rFonts w:ascii="Arial Narrow" w:hAnsi="Arial Narrow" w:cs="Arial"/>
      <w:bCs/>
      <w:iCs/>
      <w:color w:val="000000"/>
      <w:sz w:val="20"/>
      <w:szCs w:val="28"/>
    </w:rPr>
  </w:style>
  <w:style w:type="paragraph" w:customStyle="1" w:styleId="Tablefooter">
    <w:name w:val="Table footer"/>
    <w:basedOn w:val="Table"/>
    <w:qFormat/>
    <w:rsid w:val="009A1034"/>
    <w:pPr>
      <w:spacing w:before="0" w:after="240"/>
    </w:pPr>
    <w:rPr>
      <w:sz w:val="18"/>
    </w:rPr>
  </w:style>
  <w:style w:type="paragraph" w:customStyle="1" w:styleId="Tabletext">
    <w:name w:val="Table text"/>
    <w:basedOn w:val="Normal"/>
    <w:link w:val="TabletextChar"/>
    <w:uiPriority w:val="4"/>
    <w:qFormat/>
    <w:rsid w:val="00031241"/>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uiPriority w:val="4"/>
    <w:rsid w:val="00031241"/>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031241"/>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031241"/>
    <w:rPr>
      <w:rFonts w:ascii="Arial Narrow" w:eastAsia="Times New Roman" w:hAnsi="Arial Narrow" w:cs="Arial"/>
      <w:b/>
      <w:bCs/>
      <w:iCs/>
      <w:sz w:val="20"/>
      <w:szCs w:val="20"/>
      <w:lang w:eastAsia="en-US"/>
    </w:rPr>
  </w:style>
  <w:style w:type="paragraph" w:customStyle="1" w:styleId="TableText0">
    <w:name w:val="Table Text"/>
    <w:basedOn w:val="Normal"/>
    <w:link w:val="TableTextChar0"/>
    <w:qFormat/>
    <w:rsid w:val="00031241"/>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031241"/>
    <w:rPr>
      <w:rFonts w:ascii="Arial Narrow" w:eastAsia="Times New Roman" w:hAnsi="Arial Narrow" w:cs="Tahoma"/>
      <w:sz w:val="20"/>
      <w:lang w:eastAsia="en-US"/>
    </w:rPr>
  </w:style>
  <w:style w:type="paragraph" w:customStyle="1" w:styleId="Tablecaption">
    <w:name w:val="Table caption"/>
    <w:basedOn w:val="Normal"/>
    <w:link w:val="TablecaptionChar"/>
    <w:qFormat/>
    <w:rsid w:val="00031241"/>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31241"/>
    <w:rPr>
      <w:rFonts w:ascii="Arial Narrow" w:eastAsia="Times New Roman" w:hAnsi="Arial Narrow" w:cs="Arial"/>
      <w:sz w:val="20"/>
      <w:szCs w:val="20"/>
      <w:lang w:eastAsia="en-US"/>
    </w:rPr>
  </w:style>
  <w:style w:type="paragraph" w:customStyle="1" w:styleId="Tablenotes">
    <w:name w:val="Tablenotes"/>
    <w:basedOn w:val="Normal"/>
    <w:link w:val="TablenotesChar"/>
    <w:autoRedefine/>
    <w:qFormat/>
    <w:rsid w:val="00031241"/>
    <w:pPr>
      <w:widowControl w:val="0"/>
      <w:spacing w:before="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31241"/>
    <w:rPr>
      <w:rFonts w:ascii="Arial Narrow" w:eastAsia="Times New Roman" w:hAnsi="Arial Narrow" w:cs="Arial"/>
      <w:snapToGrid w:val="0"/>
      <w:sz w:val="18"/>
      <w:szCs w:val="20"/>
      <w:lang w:eastAsia="en-US"/>
    </w:rPr>
  </w:style>
  <w:style w:type="paragraph" w:customStyle="1" w:styleId="Comment">
    <w:name w:val="Comment"/>
    <w:basedOn w:val="Normal"/>
    <w:link w:val="CommentChar"/>
    <w:qFormat/>
    <w:rsid w:val="00031241"/>
    <w:pPr>
      <w:tabs>
        <w:tab w:val="num" w:pos="720"/>
      </w:tabs>
      <w:spacing w:after="240" w:line="312" w:lineRule="auto"/>
      <w:jc w:val="both"/>
    </w:pPr>
    <w:rPr>
      <w:rFonts w:ascii="Calibri" w:hAnsi="Calibri" w:cs="Tahoma"/>
      <w:i/>
      <w:color w:val="C00000"/>
      <w:sz w:val="22"/>
      <w:szCs w:val="22"/>
    </w:rPr>
  </w:style>
  <w:style w:type="character" w:customStyle="1" w:styleId="CommentChar">
    <w:name w:val="Comment Char"/>
    <w:basedOn w:val="DefaultParagraphFont"/>
    <w:link w:val="Comment"/>
    <w:rsid w:val="00031241"/>
    <w:rPr>
      <w:rFonts w:ascii="Calibri" w:eastAsia="Times New Roman" w:hAnsi="Calibri" w:cs="Tahoma"/>
      <w:i/>
      <w:color w:val="C00000"/>
    </w:rPr>
  </w:style>
  <w:style w:type="paragraph" w:customStyle="1" w:styleId="TFAbbrevs0">
    <w:name w:val="TFAbbrevs+0"/>
    <w:basedOn w:val="Normal"/>
    <w:qFormat/>
    <w:rsid w:val="00031241"/>
    <w:pPr>
      <w:keepNext/>
      <w:keepLines/>
    </w:pPr>
    <w:rPr>
      <w:rFonts w:ascii="Arial Narrow" w:hAnsi="Arial Narrow"/>
      <w:color w:val="000000"/>
      <w:sz w:val="18"/>
      <w:szCs w:val="18"/>
    </w:rPr>
  </w:style>
  <w:style w:type="table" w:customStyle="1" w:styleId="Summarybox1">
    <w:name w:val="Summary box1"/>
    <w:basedOn w:val="TableNormal"/>
    <w:next w:val="TableGrid"/>
    <w:rsid w:val="00031241"/>
    <w:pPr>
      <w:spacing w:after="24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able">
    <w:name w:val="Comment Table"/>
    <w:basedOn w:val="Normal"/>
    <w:qFormat/>
    <w:rsid w:val="00031241"/>
    <w:pPr>
      <w:spacing w:before="40" w:after="40"/>
    </w:pPr>
    <w:rPr>
      <w:rFonts w:ascii="Arial Narrow" w:hAnsi="Arial Narrow" w:cs="Tahoma"/>
      <w:i/>
      <w:color w:val="C00000"/>
      <w:sz w:val="20"/>
      <w:szCs w:val="22"/>
    </w:rPr>
  </w:style>
  <w:style w:type="paragraph" w:customStyle="1" w:styleId="BulletBeforeDash">
    <w:name w:val="BulletBeforeDash"/>
    <w:basedOn w:val="Normal"/>
    <w:rsid w:val="00200E40"/>
    <w:pPr>
      <w:numPr>
        <w:numId w:val="30"/>
      </w:numPr>
    </w:pPr>
    <w:rPr>
      <w:color w:val="000000"/>
    </w:rPr>
  </w:style>
  <w:style w:type="paragraph" w:customStyle="1" w:styleId="Bullet">
    <w:name w:val="Bullet"/>
    <w:basedOn w:val="BulletBeforeDash"/>
    <w:qFormat/>
    <w:rsid w:val="00200E40"/>
    <w:pPr>
      <w:spacing w:after="120"/>
    </w:pPr>
  </w:style>
  <w:style w:type="paragraph" w:customStyle="1" w:styleId="BulletLast">
    <w:name w:val="BulletLast"/>
    <w:basedOn w:val="Bullet"/>
    <w:qFormat/>
    <w:rsid w:val="00200E40"/>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6F00-188F-4FB1-A064-E25EA343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5841</Words>
  <Characters>31900</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1431.1-Final PSD</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1431.1-Final PSD</dc:title>
  <dc:creator/>
  <cp:lastModifiedBy/>
  <cp:revision>1</cp:revision>
  <dcterms:created xsi:type="dcterms:W3CDTF">2019-07-08T02:34:00Z</dcterms:created>
  <dcterms:modified xsi:type="dcterms:W3CDTF">2019-07-08T02:36:00Z</dcterms:modified>
</cp:coreProperties>
</file>