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343068" w14:textId="77777777" w:rsidR="0012412D" w:rsidRPr="002926CF" w:rsidRDefault="0012412D" w:rsidP="0012412D">
      <w:pPr>
        <w:keepNext/>
        <w:widowControl w:val="0"/>
        <w:spacing w:after="0"/>
        <w:jc w:val="center"/>
        <w:rPr>
          <w:rFonts w:eastAsia="Times New Roman" w:cs="Times New Roman"/>
          <w:b/>
          <w:bCs/>
          <w:snapToGrid w:val="0"/>
          <w:szCs w:val="24"/>
          <w:lang w:val="en-US"/>
        </w:rPr>
      </w:pPr>
      <w:r w:rsidRPr="00CD0571">
        <w:rPr>
          <w:rFonts w:eastAsia="Times New Roman" w:cs="Times New Roman"/>
          <w:b/>
          <w:bCs/>
          <w:noProof/>
          <w:color w:val="800000"/>
          <w:szCs w:val="24"/>
          <w:lang w:eastAsia="en-AU"/>
        </w:rPr>
        <w:drawing>
          <wp:inline distT="0" distB="0" distL="0" distR="0" wp14:anchorId="3F20ECD1" wp14:editId="6D29DB66">
            <wp:extent cx="1838325" cy="742950"/>
            <wp:effectExtent l="0" t="0" r="9525" b="0"/>
            <wp:docPr id="1" name="Picture 1" descr="MSAC logo stacked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AC logo stacked 1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41500" cy="744233"/>
                    </a:xfrm>
                    <a:prstGeom prst="rect">
                      <a:avLst/>
                    </a:prstGeom>
                    <a:noFill/>
                    <a:ln>
                      <a:noFill/>
                    </a:ln>
                  </pic:spPr>
                </pic:pic>
              </a:graphicData>
            </a:graphic>
          </wp:inline>
        </w:drawing>
      </w:r>
    </w:p>
    <w:p w14:paraId="7B31E8AF" w14:textId="77777777" w:rsidR="0012412D" w:rsidRPr="007D23D2" w:rsidRDefault="0012412D" w:rsidP="0012412D">
      <w:pPr>
        <w:keepNext/>
        <w:widowControl w:val="0"/>
        <w:spacing w:after="0"/>
        <w:rPr>
          <w:rFonts w:eastAsia="Times New Roman" w:cs="Times New Roman"/>
          <w:bCs/>
          <w:snapToGrid w:val="0"/>
          <w:szCs w:val="24"/>
          <w:lang w:val="en-US"/>
        </w:rPr>
      </w:pPr>
    </w:p>
    <w:p w14:paraId="44B878C9" w14:textId="5DE6DB03" w:rsidR="0012412D" w:rsidRPr="007008CE" w:rsidRDefault="0012412D" w:rsidP="0012412D">
      <w:pPr>
        <w:keepNext/>
        <w:widowControl w:val="0"/>
        <w:spacing w:after="360"/>
        <w:jc w:val="center"/>
        <w:outlineLvl w:val="0"/>
        <w:rPr>
          <w:rFonts w:eastAsia="Times New Roman" w:cs="Times New Roman"/>
          <w:b/>
          <w:bCs/>
          <w:snapToGrid w:val="0"/>
          <w:sz w:val="28"/>
          <w:szCs w:val="28"/>
          <w:lang w:val="en-US"/>
        </w:rPr>
      </w:pPr>
      <w:r w:rsidRPr="007008CE">
        <w:rPr>
          <w:rFonts w:eastAsia="Times New Roman" w:cs="Times New Roman"/>
          <w:b/>
          <w:bCs/>
          <w:snapToGrid w:val="0"/>
          <w:sz w:val="28"/>
          <w:szCs w:val="28"/>
          <w:lang w:val="en-US"/>
        </w:rPr>
        <w:t>STAKEHOLDER MEETING MINUTES</w:t>
      </w:r>
    </w:p>
    <w:p w14:paraId="73FE908E" w14:textId="67F1C73C" w:rsidR="0012412D" w:rsidRPr="007008CE" w:rsidRDefault="00C96E1D" w:rsidP="0012412D">
      <w:pPr>
        <w:keepNext/>
        <w:widowControl w:val="0"/>
        <w:jc w:val="center"/>
        <w:rPr>
          <w:rFonts w:eastAsia="Times New Roman" w:cs="Times New Roman"/>
          <w:b/>
          <w:bCs/>
          <w:snapToGrid w:val="0"/>
          <w:sz w:val="28"/>
          <w:szCs w:val="28"/>
          <w:lang w:val="en-US"/>
        </w:rPr>
      </w:pPr>
      <w:r>
        <w:rPr>
          <w:rFonts w:eastAsia="Times New Roman" w:cs="Times New Roman"/>
          <w:b/>
          <w:bCs/>
          <w:snapToGrid w:val="0"/>
          <w:sz w:val="28"/>
          <w:szCs w:val="28"/>
          <w:lang w:val="en-US"/>
        </w:rPr>
        <w:t>Application 1564: Review of Immunoglobulin (Ig) for Chronic Inflammatory Demyelinating Polyneuropathy (CIDP)</w:t>
      </w:r>
    </w:p>
    <w:p w14:paraId="07FC9A1D" w14:textId="122F7139" w:rsidR="0012412D" w:rsidRDefault="00744D85" w:rsidP="0012412D">
      <w:pPr>
        <w:keepNext/>
        <w:widowControl w:val="0"/>
        <w:jc w:val="center"/>
        <w:rPr>
          <w:rFonts w:eastAsia="Times New Roman" w:cs="Times New Roman"/>
          <w:b/>
          <w:bCs/>
          <w:snapToGrid w:val="0"/>
          <w:szCs w:val="24"/>
          <w:lang w:val="en-US"/>
        </w:rPr>
      </w:pPr>
      <w:r>
        <w:rPr>
          <w:rFonts w:eastAsia="Times New Roman" w:cs="Times New Roman"/>
          <w:b/>
          <w:bCs/>
          <w:snapToGrid w:val="0"/>
          <w:szCs w:val="24"/>
          <w:lang w:val="en-US"/>
        </w:rPr>
        <w:t>Tuesday 2 November 2021</w:t>
      </w:r>
      <w:r w:rsidR="00C96E1D">
        <w:rPr>
          <w:rFonts w:eastAsia="Times New Roman" w:cs="Times New Roman"/>
          <w:b/>
          <w:bCs/>
          <w:snapToGrid w:val="0"/>
          <w:szCs w:val="24"/>
          <w:lang w:val="en-US"/>
        </w:rPr>
        <w:t xml:space="preserve"> – 2:00pm to 4:00pm</w:t>
      </w:r>
    </w:p>
    <w:p w14:paraId="00B10E33" w14:textId="77777777" w:rsidR="0012412D" w:rsidRPr="00127EC6" w:rsidRDefault="0012412D" w:rsidP="0012412D">
      <w:pPr>
        <w:pStyle w:val="Heading2"/>
      </w:pPr>
      <w:r w:rsidRPr="00D70C34">
        <w:t>Attendees</w:t>
      </w:r>
    </w:p>
    <w:p w14:paraId="237A6ED4" w14:textId="5B9C1DBC" w:rsidR="0012412D" w:rsidRDefault="0012412D" w:rsidP="0012412D">
      <w:r w:rsidRPr="00FC3978">
        <w:t xml:space="preserve">Meeting attendees included members of the Medical Services Advisory Committee (MSAC); clinicians with experience and expertise </w:t>
      </w:r>
      <w:r w:rsidRPr="00475B4B">
        <w:t xml:space="preserve">in </w:t>
      </w:r>
      <w:r w:rsidR="00C96E1D" w:rsidRPr="00475B4B">
        <w:t xml:space="preserve">neurology </w:t>
      </w:r>
      <w:r w:rsidRPr="00475B4B">
        <w:t xml:space="preserve">medicine, </w:t>
      </w:r>
      <w:r w:rsidR="00475B4B" w:rsidRPr="00475B4B">
        <w:t>representatives</w:t>
      </w:r>
      <w:r w:rsidR="00475B4B">
        <w:t xml:space="preserve"> of </w:t>
      </w:r>
      <w:r w:rsidR="00CE62BA">
        <w:t xml:space="preserve">Ig </w:t>
      </w:r>
      <w:r w:rsidR="00475B4B">
        <w:t>sponsor companies</w:t>
      </w:r>
      <w:r w:rsidRPr="00FC3978">
        <w:t xml:space="preserve">; </w:t>
      </w:r>
      <w:r w:rsidR="00475B4B">
        <w:t xml:space="preserve">a representative of Lifeblood; </w:t>
      </w:r>
      <w:r w:rsidR="00CE62BA">
        <w:t xml:space="preserve">a </w:t>
      </w:r>
      <w:r w:rsidR="00CE62BA" w:rsidRPr="00FC3978">
        <w:t xml:space="preserve">representative from </w:t>
      </w:r>
      <w:r w:rsidR="001E0A02">
        <w:t>a consumer organisation</w:t>
      </w:r>
      <w:r w:rsidR="00CE62BA" w:rsidRPr="00FC3978">
        <w:t xml:space="preserve">; </w:t>
      </w:r>
      <w:r w:rsidRPr="00FC3978">
        <w:t>representatives of the applicant</w:t>
      </w:r>
      <w:r w:rsidR="00475B4B">
        <w:t>, the National Blood Authority</w:t>
      </w:r>
      <w:r w:rsidRPr="00FC3978">
        <w:t>; and representatives from the Department of Health.</w:t>
      </w:r>
    </w:p>
    <w:p w14:paraId="2AFA8C9E" w14:textId="77777777" w:rsidR="0012412D" w:rsidRPr="00D70C34" w:rsidRDefault="0012412D" w:rsidP="0012412D">
      <w:pPr>
        <w:pStyle w:val="Heading1"/>
      </w:pPr>
      <w:r w:rsidRPr="00D70C34">
        <w:t>1.</w:t>
      </w:r>
      <w:r w:rsidRPr="00D70C34">
        <w:tab/>
        <w:t>Meeting open – welcome and introduction</w:t>
      </w:r>
    </w:p>
    <w:p w14:paraId="68F140F5" w14:textId="02D1BF56" w:rsidR="0012412D" w:rsidRDefault="0012412D" w:rsidP="0012412D">
      <w:r>
        <w:t xml:space="preserve">The MSAC Chair opened the </w:t>
      </w:r>
      <w:r w:rsidRPr="00C96E1D">
        <w:t xml:space="preserve">meeting at </w:t>
      </w:r>
      <w:r w:rsidR="00C96E1D" w:rsidRPr="00C96E1D">
        <w:t>2:00</w:t>
      </w:r>
      <w:r w:rsidRPr="00C96E1D">
        <w:t>pm</w:t>
      </w:r>
      <w:r w:rsidR="003243F6">
        <w:t>.</w:t>
      </w:r>
    </w:p>
    <w:p w14:paraId="0A55D801" w14:textId="68B68435" w:rsidR="0012412D" w:rsidRDefault="0012412D" w:rsidP="0012412D">
      <w:pPr>
        <w:rPr>
          <w:szCs w:val="24"/>
        </w:rPr>
      </w:pPr>
      <w:r w:rsidRPr="002438EB">
        <w:t>The Chair thanked participants for attending and clarified that the stakeholder meeting was not an MSAC decision-making forum</w:t>
      </w:r>
      <w:r w:rsidR="00F77E80">
        <w:t xml:space="preserve">. Rather, the aim of the meeting was to obtain further specific clinical information to assist </w:t>
      </w:r>
      <w:r w:rsidR="003243F6">
        <w:t>MSAC’s future deliberations and advice to the Jurisdictional Blood Committee (JBC) through the National Blood Authority (NBA)</w:t>
      </w:r>
      <w:r w:rsidR="00776009">
        <w:t xml:space="preserve"> related to the </w:t>
      </w:r>
      <w:r w:rsidR="003243F6">
        <w:t>issues raised by</w:t>
      </w:r>
      <w:r w:rsidRPr="002438EB">
        <w:t xml:space="preserve"> </w:t>
      </w:r>
      <w:r w:rsidRPr="00E459EC">
        <w:t xml:space="preserve">MSAC at its </w:t>
      </w:r>
      <w:r w:rsidR="00C96E1D">
        <w:t xml:space="preserve">July </w:t>
      </w:r>
      <w:r w:rsidR="00744D85">
        <w:t>2021</w:t>
      </w:r>
      <w:r w:rsidRPr="00E459EC">
        <w:t xml:space="preserve"> consideration of Application </w:t>
      </w:r>
      <w:r w:rsidR="00744D85">
        <w:t>1564</w:t>
      </w:r>
      <w:r w:rsidRPr="00E459EC">
        <w:t xml:space="preserve">: </w:t>
      </w:r>
      <w:r w:rsidR="00C96E1D" w:rsidRPr="00C96E1D">
        <w:t>Review of Immunoglobulin (Ig) for Chronic Inflammatory Demyelinating Polyneuropathy (CIDP)</w:t>
      </w:r>
      <w:r w:rsidR="00C96E1D">
        <w:t xml:space="preserve">. </w:t>
      </w:r>
    </w:p>
    <w:p w14:paraId="1A4C43D4" w14:textId="7857022B" w:rsidR="0012412D" w:rsidRPr="00475B4B" w:rsidRDefault="0012412D" w:rsidP="0012412D">
      <w:r w:rsidRPr="002438EB">
        <w:t>The key objective</w:t>
      </w:r>
      <w:r>
        <w:t>s</w:t>
      </w:r>
      <w:r w:rsidRPr="002438EB">
        <w:t xml:space="preserve"> of the meeting w</w:t>
      </w:r>
      <w:r>
        <w:t>ere</w:t>
      </w:r>
      <w:r w:rsidRPr="002438EB">
        <w:t xml:space="preserve"> to seek </w:t>
      </w:r>
      <w:r w:rsidR="00B85116">
        <w:t>stakeholder</w:t>
      </w:r>
      <w:r w:rsidRPr="008E4B97">
        <w:t xml:space="preserve"> input</w:t>
      </w:r>
      <w:r>
        <w:t xml:space="preserve"> </w:t>
      </w:r>
      <w:r w:rsidR="00B85116">
        <w:t>on issues raised by MSAC relating to</w:t>
      </w:r>
      <w:r w:rsidR="00BD07CE">
        <w:t xml:space="preserve"> </w:t>
      </w:r>
      <w:r w:rsidR="00B85116">
        <w:t xml:space="preserve">Ig use including </w:t>
      </w:r>
      <w:r w:rsidR="00BD07CE">
        <w:t>CIDP diagnosis, thresholds for access to Ig therapy and optimal dose regimens.</w:t>
      </w:r>
      <w:r w:rsidR="00D47AC8">
        <w:t xml:space="preserve"> </w:t>
      </w:r>
    </w:p>
    <w:p w14:paraId="05E00C09" w14:textId="1691C43F" w:rsidR="00DD40E8" w:rsidRPr="00DD40E8" w:rsidRDefault="0012412D" w:rsidP="00DD40E8">
      <w:pPr>
        <w:rPr>
          <w:szCs w:val="24"/>
        </w:rPr>
      </w:pPr>
      <w:r w:rsidRPr="002438EB">
        <w:t xml:space="preserve">The Chair </w:t>
      </w:r>
      <w:r>
        <w:t>reminded participants</w:t>
      </w:r>
      <w:r w:rsidRPr="002438EB">
        <w:t xml:space="preserve"> that </w:t>
      </w:r>
      <w:r w:rsidRPr="00CD04EE">
        <w:rPr>
          <w:szCs w:val="24"/>
        </w:rPr>
        <w:t>this was a confidential discussion</w:t>
      </w:r>
      <w:r>
        <w:rPr>
          <w:szCs w:val="24"/>
        </w:rPr>
        <w:t>.</w:t>
      </w:r>
      <w:r w:rsidRPr="002438EB">
        <w:t xml:space="preserve"> </w:t>
      </w:r>
      <w:r w:rsidR="00DD40E8">
        <w:rPr>
          <w:szCs w:val="24"/>
        </w:rPr>
        <w:t>The outcomes of the meeting will be circulated to the attendees and subsequently published on the MSAC website, but comments will not be attributed to individuals.</w:t>
      </w:r>
    </w:p>
    <w:p w14:paraId="44790DF7" w14:textId="4D1B234F" w:rsidR="0012412D" w:rsidRPr="007008CE" w:rsidRDefault="0012412D" w:rsidP="0012412D">
      <w:pPr>
        <w:pStyle w:val="Heading2"/>
      </w:pPr>
      <w:r w:rsidRPr="00D70C34">
        <w:t>Conflicts</w:t>
      </w:r>
      <w:r w:rsidRPr="007008CE">
        <w:t xml:space="preserve"> of interest</w:t>
      </w:r>
    </w:p>
    <w:p w14:paraId="71A2F0BA" w14:textId="617C48DA" w:rsidR="00CE62BA" w:rsidRPr="007162E6" w:rsidRDefault="00DD40E8" w:rsidP="007162E6">
      <w:pPr>
        <w:rPr>
          <w:rFonts w:cs="Times New Roman"/>
          <w:szCs w:val="24"/>
        </w:rPr>
      </w:pPr>
      <w:r>
        <w:rPr>
          <w:szCs w:val="24"/>
        </w:rPr>
        <w:t>The Chair noted the conflicts of interests declared.</w:t>
      </w:r>
    </w:p>
    <w:p w14:paraId="36E8F9C4" w14:textId="0604E71B" w:rsidR="0012412D" w:rsidRPr="007008CE" w:rsidRDefault="0012412D" w:rsidP="0012412D">
      <w:pPr>
        <w:pStyle w:val="Heading1"/>
      </w:pPr>
      <w:r>
        <w:t>2.</w:t>
      </w:r>
      <w:r>
        <w:tab/>
      </w:r>
      <w:r w:rsidRPr="007008CE">
        <w:t>Background</w:t>
      </w:r>
      <w:r>
        <w:t xml:space="preserve"> – recent MSAC consideration and </w:t>
      </w:r>
      <w:r w:rsidR="00A109BE">
        <w:t>issues arising</w:t>
      </w:r>
    </w:p>
    <w:p w14:paraId="709BD268" w14:textId="4A5939BC" w:rsidR="009C195E" w:rsidRDefault="0012412D" w:rsidP="00072BE8">
      <w:r>
        <w:t xml:space="preserve">MSAC </w:t>
      </w:r>
      <w:r w:rsidR="009C195E">
        <w:t xml:space="preserve">first </w:t>
      </w:r>
      <w:r>
        <w:t xml:space="preserve">considered Application </w:t>
      </w:r>
      <w:r w:rsidR="00744D85">
        <w:t>1564</w:t>
      </w:r>
      <w:r>
        <w:t xml:space="preserve"> for </w:t>
      </w:r>
      <w:r w:rsidR="00C96E1D">
        <w:t>Ig for CIDP</w:t>
      </w:r>
      <w:r>
        <w:t xml:space="preserve"> at its </w:t>
      </w:r>
      <w:r w:rsidR="00C96E1D" w:rsidRPr="00C96E1D">
        <w:t>April 2020</w:t>
      </w:r>
      <w:r w:rsidR="00D47AC8">
        <w:t xml:space="preserve"> meeting</w:t>
      </w:r>
      <w:r w:rsidRPr="00C96E1D">
        <w:t xml:space="preserve"> </w:t>
      </w:r>
      <w:r w:rsidR="009C195E" w:rsidRPr="009C195E">
        <w:t xml:space="preserve">and deferred providing advice on the clinical and cost-effectiveness of </w:t>
      </w:r>
      <w:r w:rsidR="00CD566D">
        <w:t xml:space="preserve">Ig </w:t>
      </w:r>
      <w:r w:rsidR="009C195E" w:rsidRPr="009C195E">
        <w:t>in th</w:t>
      </w:r>
      <w:r w:rsidR="00CD566D">
        <w:t xml:space="preserve">is condition due to the </w:t>
      </w:r>
      <w:r w:rsidR="009C195E" w:rsidRPr="009C195E">
        <w:t>substantial uncertainties in the Departmental Contracted Assessment Report (DCAR)</w:t>
      </w:r>
      <w:r w:rsidR="009C195E">
        <w:t>.</w:t>
      </w:r>
      <w:r w:rsidR="00D47AC8">
        <w:t xml:space="preserve"> </w:t>
      </w:r>
      <w:r w:rsidR="00072BE8">
        <w:t xml:space="preserve">These uncertainties broadly related to: </w:t>
      </w:r>
      <w:r w:rsidR="00072BE8" w:rsidRPr="00072BE8">
        <w:t>the economic evaluation structure; concerns relating to the discrepancy between epidemiological data on prevalence and Ig usage; and</w:t>
      </w:r>
      <w:r w:rsidR="00072BE8">
        <w:t xml:space="preserve"> </w:t>
      </w:r>
      <w:r w:rsidR="00072BE8" w:rsidRPr="00072BE8">
        <w:t>the validity of the criteria for initiation and continuation to identify those patients with the greatest benefit and in whom Ig was cost effective</w:t>
      </w:r>
      <w:r w:rsidR="00072BE8">
        <w:t xml:space="preserve">. </w:t>
      </w:r>
      <w:r w:rsidR="00D47AC8">
        <w:t xml:space="preserve">In its deferral, MSAC requested an update of the systematic literature review on the safety and effectiveness of Ig for CIDP, revised economic </w:t>
      </w:r>
      <w:r w:rsidR="00D47AC8">
        <w:lastRenderedPageBreak/>
        <w:t>modelling and</w:t>
      </w:r>
      <w:r w:rsidR="00CD566D">
        <w:t xml:space="preserve"> Ig</w:t>
      </w:r>
      <w:r w:rsidR="00D47AC8">
        <w:t xml:space="preserve"> </w:t>
      </w:r>
      <w:r w:rsidR="00CD566D">
        <w:t xml:space="preserve">utilisation data </w:t>
      </w:r>
      <w:r w:rsidR="00D47AC8">
        <w:t>for the management of CIDP</w:t>
      </w:r>
      <w:r w:rsidR="00072BE8">
        <w:t xml:space="preserve"> </w:t>
      </w:r>
      <w:r w:rsidR="00D47AC8">
        <w:t xml:space="preserve">addressing specific issues raised by MSAC. </w:t>
      </w:r>
    </w:p>
    <w:p w14:paraId="159AF4FE" w14:textId="1C34A5D7" w:rsidR="009C195E" w:rsidRDefault="009C195E" w:rsidP="009C195E">
      <w:r>
        <w:t xml:space="preserve">At its July 2021 meeting, MSAC reconsidered </w:t>
      </w:r>
      <w:r w:rsidR="00CE62BA">
        <w:t>application 1564</w:t>
      </w:r>
      <w:r>
        <w:t xml:space="preserve"> </w:t>
      </w:r>
      <w:r w:rsidR="00BD07CE">
        <w:t xml:space="preserve">(and </w:t>
      </w:r>
      <w:r w:rsidR="00CE62BA">
        <w:t>R</w:t>
      </w:r>
      <w:r w:rsidR="00BD07CE">
        <w:t>evised</w:t>
      </w:r>
      <w:r w:rsidR="00CE62BA">
        <w:t xml:space="preserve"> 1564</w:t>
      </w:r>
      <w:r w:rsidR="00BD07CE">
        <w:t xml:space="preserve"> DCAR) </w:t>
      </w:r>
      <w:r>
        <w:t xml:space="preserve">and advised that funding of </w:t>
      </w:r>
      <w:r w:rsidR="008163AB">
        <w:t>Ig</w:t>
      </w:r>
      <w:r>
        <w:t xml:space="preserve"> for CIDP should continue</w:t>
      </w:r>
      <w:r w:rsidR="00CF0EDA">
        <w:t xml:space="preserve"> on the basis that it appears safe and is already an accepted first-line treatment in Australia</w:t>
      </w:r>
      <w:r w:rsidRPr="00CF0EDA">
        <w:t>, but further work is needed to manage demand for Ig</w:t>
      </w:r>
      <w:r w:rsidR="00CD566D" w:rsidRPr="00CF0EDA">
        <w:t xml:space="preserve"> in this condition</w:t>
      </w:r>
      <w:r w:rsidRPr="00CF0EDA">
        <w:t xml:space="preserve">. MSAC advised that from </w:t>
      </w:r>
      <w:r>
        <w:t>the revised cost-effectiveness analysis presented, Ig in this indication does not appear cost-effective and reiterated its concerns about the size of the population receiving Ig therapy for CIDP compared to published estimates of prevalence, and the projected increase in usage in the face of constrained supply.</w:t>
      </w:r>
    </w:p>
    <w:p w14:paraId="50D48234" w14:textId="731E05F8" w:rsidR="009C195E" w:rsidRDefault="009C195E" w:rsidP="00CF0EDA">
      <w:r>
        <w:t xml:space="preserve">MSAC recommended that the </w:t>
      </w:r>
      <w:r w:rsidR="004E6FB8" w:rsidRPr="004E6FB8">
        <w:t xml:space="preserve">version 3 of the </w:t>
      </w:r>
      <w:r w:rsidR="004E6FB8" w:rsidRPr="004E6FB8">
        <w:rPr>
          <w:i/>
          <w:iCs/>
        </w:rPr>
        <w:t>Criteria for the clinical use of immunoglobulin in Australia</w:t>
      </w:r>
      <w:r w:rsidR="004E6FB8" w:rsidRPr="004E6FB8">
        <w:t xml:space="preserve"> (Criteria V3)</w:t>
      </w:r>
      <w:r w:rsidR="00A225FB">
        <w:t xml:space="preserve"> </w:t>
      </w:r>
      <w:r>
        <w:t>be reviewed to ensure that access to Ig is appropriately maintained for only those patients with a diagnosis of CIDP</w:t>
      </w:r>
      <w:r w:rsidR="00CD566D">
        <w:t xml:space="preserve"> </w:t>
      </w:r>
      <w:r w:rsidR="00CF0EDA">
        <w:t>who are most likely to derive benefit</w:t>
      </w:r>
      <w:r w:rsidR="00CD566D">
        <w:t>.</w:t>
      </w:r>
    </w:p>
    <w:p w14:paraId="44339AF2" w14:textId="7EFABD17" w:rsidR="009C195E" w:rsidRDefault="009C195E" w:rsidP="009C195E">
      <w:r>
        <w:t xml:space="preserve">MSAC requested that a stakeholder meeting be held to discuss issues relating to CIDP diagnosis and thresholds for initial or continued access to Ig therapy to assist the MSAC refine its advice to the JBC through the NBA as applicant. </w:t>
      </w:r>
    </w:p>
    <w:p w14:paraId="5CB4C304" w14:textId="4FD4E55A" w:rsidR="009C195E" w:rsidRDefault="009C195E" w:rsidP="0012412D">
      <w:r>
        <w:t xml:space="preserve">MSAC also recommended the BloodSTAR data system be enhanced to help inform an optimum dose regimen in CIDP, and </w:t>
      </w:r>
      <w:r w:rsidR="00CD566D">
        <w:t xml:space="preserve">that </w:t>
      </w:r>
      <w:r>
        <w:t>a separate review of the cost-effectiveness of subcutaneous Ig (SCIg) compared with intravenous Ig (IVIg) should also be explore</w:t>
      </w:r>
      <w:r w:rsidR="004F7CD3">
        <w:t>d.</w:t>
      </w:r>
    </w:p>
    <w:p w14:paraId="5F121610" w14:textId="5A5A4FBE" w:rsidR="0012412D" w:rsidRDefault="0012412D" w:rsidP="0012412D">
      <w:r>
        <w:t xml:space="preserve">The </w:t>
      </w:r>
      <w:r w:rsidR="00006D2C">
        <w:t>Public Summary Document (</w:t>
      </w:r>
      <w:r>
        <w:t>PSD</w:t>
      </w:r>
      <w:r w:rsidR="00006D2C">
        <w:t>)</w:t>
      </w:r>
      <w:r>
        <w:t xml:space="preserve"> was circulated to attendees</w:t>
      </w:r>
      <w:r w:rsidRPr="006F4711">
        <w:t xml:space="preserve"> </w:t>
      </w:r>
      <w:r>
        <w:t>before the stakeholder meeting.</w:t>
      </w:r>
    </w:p>
    <w:p w14:paraId="53E546B8" w14:textId="77777777" w:rsidR="0012412D" w:rsidRDefault="0012412D" w:rsidP="0012412D">
      <w:pPr>
        <w:pStyle w:val="NormalBeforeBullet"/>
      </w:pPr>
      <w:r>
        <w:t>The issues proposed for discussion were:</w:t>
      </w:r>
    </w:p>
    <w:p w14:paraId="1DD6D1B2" w14:textId="40E9193D" w:rsidR="0012412D" w:rsidRPr="00522AB1" w:rsidRDefault="0012412D" w:rsidP="00CE62BA">
      <w:pPr>
        <w:pStyle w:val="NumberList"/>
        <w:tabs>
          <w:tab w:val="clear" w:pos="360"/>
        </w:tabs>
        <w:ind w:left="720"/>
      </w:pPr>
      <w:r>
        <w:rPr>
          <w:lang w:val="en-US"/>
        </w:rPr>
        <w:t>1.</w:t>
      </w:r>
      <w:r>
        <w:rPr>
          <w:lang w:val="en-US"/>
        </w:rPr>
        <w:tab/>
      </w:r>
      <w:r w:rsidR="007A584D">
        <w:rPr>
          <w:lang w:val="en-US"/>
        </w:rPr>
        <w:t>D</w:t>
      </w:r>
      <w:r w:rsidR="00E43C86">
        <w:rPr>
          <w:lang w:val="en-US"/>
        </w:rPr>
        <w:t>iagnosis of CIDP</w:t>
      </w:r>
      <w:r w:rsidR="00072BE8">
        <w:rPr>
          <w:lang w:val="en-US"/>
        </w:rPr>
        <w:t xml:space="preserve"> with respect </w:t>
      </w:r>
      <w:r w:rsidR="00072BE8" w:rsidRPr="00572A57">
        <w:rPr>
          <w:lang w:val="en-US"/>
        </w:rPr>
        <w:t>to the Criteria V3,</w:t>
      </w:r>
      <w:r w:rsidR="00E43C86" w:rsidRPr="00572A57">
        <w:rPr>
          <w:lang w:val="en-US"/>
        </w:rPr>
        <w:t xml:space="preserve"> and</w:t>
      </w:r>
      <w:r w:rsidR="00072BE8" w:rsidRPr="00572A57">
        <w:rPr>
          <w:lang w:val="en-US"/>
        </w:rPr>
        <w:t xml:space="preserve"> the</w:t>
      </w:r>
      <w:r w:rsidR="00E43C86" w:rsidRPr="00572A57">
        <w:rPr>
          <w:lang w:val="en-US"/>
        </w:rPr>
        <w:t xml:space="preserve"> number of people being treated with Ig</w:t>
      </w:r>
      <w:r w:rsidR="00072BE8" w:rsidRPr="00572A57">
        <w:rPr>
          <w:lang w:val="en-US"/>
        </w:rPr>
        <w:t xml:space="preserve"> for CIDP</w:t>
      </w:r>
      <w:r w:rsidR="007A584D" w:rsidRPr="00572A57">
        <w:rPr>
          <w:lang w:val="en-US"/>
        </w:rPr>
        <w:t>.</w:t>
      </w:r>
    </w:p>
    <w:p w14:paraId="55374CC4" w14:textId="1F1C6A77" w:rsidR="0012412D" w:rsidRPr="00522AB1" w:rsidRDefault="0012412D" w:rsidP="00CE62BA">
      <w:pPr>
        <w:pStyle w:val="NumberList"/>
        <w:tabs>
          <w:tab w:val="clear" w:pos="360"/>
        </w:tabs>
        <w:ind w:left="720"/>
      </w:pPr>
      <w:r>
        <w:rPr>
          <w:lang w:val="en-US"/>
        </w:rPr>
        <w:t>2.</w:t>
      </w:r>
      <w:r>
        <w:rPr>
          <w:lang w:val="en-US"/>
        </w:rPr>
        <w:tab/>
      </w:r>
      <w:r w:rsidR="00072BE8">
        <w:rPr>
          <w:lang w:val="en-US"/>
        </w:rPr>
        <w:t>Appropriate t</w:t>
      </w:r>
      <w:r w:rsidR="00E43C86">
        <w:rPr>
          <w:lang w:val="en-US"/>
        </w:rPr>
        <w:t>hresholds for initial access to Ig therapy</w:t>
      </w:r>
      <w:r w:rsidR="007A584D">
        <w:rPr>
          <w:lang w:val="en-US"/>
        </w:rPr>
        <w:t xml:space="preserve"> for CIDP.</w:t>
      </w:r>
    </w:p>
    <w:p w14:paraId="4588D066" w14:textId="4DA66487" w:rsidR="0012412D" w:rsidRPr="00522AB1" w:rsidRDefault="0012412D" w:rsidP="00CE62BA">
      <w:pPr>
        <w:pStyle w:val="NumberList"/>
        <w:tabs>
          <w:tab w:val="clear" w:pos="360"/>
        </w:tabs>
        <w:ind w:left="720"/>
      </w:pPr>
      <w:r>
        <w:rPr>
          <w:lang w:val="en-US"/>
        </w:rPr>
        <w:t>3.</w:t>
      </w:r>
      <w:r>
        <w:rPr>
          <w:lang w:val="en-US"/>
        </w:rPr>
        <w:tab/>
      </w:r>
      <w:r w:rsidR="007A584D">
        <w:rPr>
          <w:lang w:val="en-US"/>
        </w:rPr>
        <w:t>Reviews and decisions to</w:t>
      </w:r>
      <w:r w:rsidR="00E43C86">
        <w:rPr>
          <w:lang w:val="en-US"/>
        </w:rPr>
        <w:t xml:space="preserve"> continue or cease treatment with Ig</w:t>
      </w:r>
      <w:r w:rsidR="008E0E89">
        <w:rPr>
          <w:lang w:val="en-US"/>
        </w:rPr>
        <w:t>.</w:t>
      </w:r>
    </w:p>
    <w:p w14:paraId="2CAFA0B0" w14:textId="534292CA" w:rsidR="0012412D" w:rsidRDefault="0012412D" w:rsidP="00CE62BA">
      <w:pPr>
        <w:pStyle w:val="NumberList"/>
        <w:tabs>
          <w:tab w:val="clear" w:pos="360"/>
        </w:tabs>
        <w:ind w:left="720"/>
        <w:rPr>
          <w:lang w:val="en-US"/>
        </w:rPr>
      </w:pPr>
      <w:r>
        <w:rPr>
          <w:lang w:val="en-US"/>
        </w:rPr>
        <w:t>4.</w:t>
      </w:r>
      <w:r>
        <w:rPr>
          <w:lang w:val="en-US"/>
        </w:rPr>
        <w:tab/>
      </w:r>
      <w:r w:rsidR="007A584D">
        <w:rPr>
          <w:lang w:val="en-US"/>
        </w:rPr>
        <w:t>D</w:t>
      </w:r>
      <w:r w:rsidR="00E43C86">
        <w:rPr>
          <w:lang w:val="en-US"/>
        </w:rPr>
        <w:t>osing of Ig.</w:t>
      </w:r>
    </w:p>
    <w:p w14:paraId="3C062A7F" w14:textId="010CDD75" w:rsidR="00475B4B" w:rsidRDefault="008E0E89" w:rsidP="00CE62BA">
      <w:pPr>
        <w:pStyle w:val="NumberList"/>
        <w:numPr>
          <w:ilvl w:val="0"/>
          <w:numId w:val="2"/>
        </w:numPr>
        <w:tabs>
          <w:tab w:val="clear" w:pos="360"/>
        </w:tabs>
        <w:ind w:left="1080"/>
      </w:pPr>
      <w:r>
        <w:t>Ig d</w:t>
      </w:r>
      <w:r w:rsidR="00475B4B">
        <w:t>osing frequency and method of dose calculation.</w:t>
      </w:r>
    </w:p>
    <w:p w14:paraId="5FEFB8F2" w14:textId="6C2BA595" w:rsidR="00CE62BA" w:rsidRDefault="00475B4B" w:rsidP="007162E6">
      <w:pPr>
        <w:pStyle w:val="NumberList"/>
        <w:numPr>
          <w:ilvl w:val="0"/>
          <w:numId w:val="2"/>
        </w:numPr>
        <w:tabs>
          <w:tab w:val="clear" w:pos="360"/>
        </w:tabs>
        <w:ind w:left="1080"/>
      </w:pPr>
      <w:r>
        <w:t>Equi-effective dosing of IVIg versus SCIg for maintenance therapy.</w:t>
      </w:r>
    </w:p>
    <w:p w14:paraId="68B44C4A" w14:textId="4430A7D2" w:rsidR="0012412D" w:rsidRDefault="0012412D" w:rsidP="0012412D">
      <w:pPr>
        <w:pStyle w:val="Heading1"/>
      </w:pPr>
      <w:r>
        <w:t>3.</w:t>
      </w:r>
      <w:r>
        <w:tab/>
      </w:r>
      <w:r w:rsidR="008E0E89">
        <w:t xml:space="preserve">Summary of discussion - </w:t>
      </w:r>
      <w:r w:rsidR="00A109BE">
        <w:t xml:space="preserve">Key issues </w:t>
      </w:r>
      <w:r w:rsidR="008E0E89">
        <w:t xml:space="preserve">and </w:t>
      </w:r>
      <w:r w:rsidR="00A109BE">
        <w:t>stakeholder comments</w:t>
      </w:r>
    </w:p>
    <w:p w14:paraId="67DF903E" w14:textId="14E2D4D1" w:rsidR="0012412D" w:rsidRDefault="00277C95" w:rsidP="0012412D">
      <w:pPr>
        <w:pStyle w:val="Heading2"/>
      </w:pPr>
      <w:r>
        <w:t>3.</w:t>
      </w:r>
      <w:r w:rsidR="00E43C86">
        <w:t xml:space="preserve">1. </w:t>
      </w:r>
      <w:r w:rsidR="007A584D">
        <w:t>Diagnosis</w:t>
      </w:r>
      <w:r w:rsidR="00E43C86">
        <w:t xml:space="preserve"> of CIDP</w:t>
      </w:r>
      <w:r w:rsidR="0036744B">
        <w:t xml:space="preserve"> </w:t>
      </w:r>
    </w:p>
    <w:p w14:paraId="0096C3CC" w14:textId="16D20FC9" w:rsidR="001006D0" w:rsidRDefault="00B966B9" w:rsidP="00504A57">
      <w:bookmarkStart w:id="0" w:name="_Hlk86917101"/>
      <w:r w:rsidRPr="006C16D6">
        <w:t>The Department</w:t>
      </w:r>
      <w:bookmarkEnd w:id="0"/>
      <w:r w:rsidR="00517A88" w:rsidRPr="006C16D6">
        <w:t xml:space="preserve"> </w:t>
      </w:r>
      <w:r w:rsidR="00316064" w:rsidRPr="006C16D6">
        <w:t>provided</w:t>
      </w:r>
      <w:r w:rsidR="00316064">
        <w:t xml:space="preserve"> a</w:t>
      </w:r>
      <w:r w:rsidR="00CE62BA">
        <w:t xml:space="preserve"> brief overview </w:t>
      </w:r>
      <w:r w:rsidR="00316064">
        <w:t>of concerns raised by MSAC</w:t>
      </w:r>
      <w:r w:rsidR="001006D0">
        <w:t xml:space="preserve"> relating to the large number of patients receiving Ig for CIDP in Australia and the growth in this population over time. </w:t>
      </w:r>
    </w:p>
    <w:p w14:paraId="04A355A1" w14:textId="515E8D73" w:rsidR="00572A57" w:rsidRDefault="001006D0" w:rsidP="00504A57">
      <w:r>
        <w:t xml:space="preserve">According to NBA data, </w:t>
      </w:r>
      <w:r w:rsidR="00572A57">
        <w:t>there is a higher than expected prevalence of CIDP in Australia. MSAC noted that e</w:t>
      </w:r>
      <w:r w:rsidR="00572A57" w:rsidRPr="00572A57">
        <w:t>ven with the inclusion of probable and possible cases of CIDP in the estimated prevalence rate of 3 per 100,000 (range: 1/100,000 to 7/100,000) (Broers 2019), nearly four times more patients in Australia received Ig for CIDP than expected.</w:t>
      </w:r>
    </w:p>
    <w:p w14:paraId="66FD0F66" w14:textId="7ADFAA15" w:rsidR="00A00AD3" w:rsidRDefault="00504A57" w:rsidP="00504A57">
      <w:r>
        <w:lastRenderedPageBreak/>
        <w:t>NBA data indicates that the number of patients receiving</w:t>
      </w:r>
      <w:r w:rsidR="00A00AD3">
        <w:t xml:space="preserve"> </w:t>
      </w:r>
      <w:r>
        <w:t>treatment</w:t>
      </w:r>
      <w:r w:rsidR="00A00AD3">
        <w:t xml:space="preserve"> for CIDP</w:t>
      </w:r>
      <w:r>
        <w:t xml:space="preserve"> has increased by 67% from 2011/12 to 2017/18</w:t>
      </w:r>
      <w:r w:rsidR="00A00AD3" w:rsidRPr="00A00AD3">
        <w:t xml:space="preserve"> </w:t>
      </w:r>
      <w:r w:rsidR="00A00AD3">
        <w:t>but the reason for this increase is unclear. The</w:t>
      </w:r>
      <w:r w:rsidR="00A00AD3" w:rsidRPr="00A00AD3">
        <w:t xml:space="preserve"> Australian population increased by approximately 10% over the same time period</w:t>
      </w:r>
      <w:r>
        <w:t xml:space="preserve">. </w:t>
      </w:r>
      <w:r w:rsidR="00A00AD3">
        <w:t xml:space="preserve">The revised 1564 DCAR predicted the number of patients </w:t>
      </w:r>
      <w:r w:rsidR="00CC3A50">
        <w:t>receiving Ig for</w:t>
      </w:r>
      <w:r w:rsidR="00A00AD3">
        <w:t xml:space="preserve"> CIDP is projected to increase to approximately 3,133 patients by 2025-2026</w:t>
      </w:r>
      <w:r w:rsidR="00CC3A50">
        <w:t xml:space="preserve">. Updated </w:t>
      </w:r>
      <w:r w:rsidR="00A00AD3">
        <w:t xml:space="preserve">data from the NBA on 2020-21 CIDP patient numbers </w:t>
      </w:r>
      <w:r w:rsidR="00CC3A50">
        <w:t>confirmed</w:t>
      </w:r>
      <w:r w:rsidR="00A00AD3">
        <w:t xml:space="preserve"> this modelling is likely to be </w:t>
      </w:r>
      <w:r w:rsidR="00D162F3">
        <w:t xml:space="preserve">an </w:t>
      </w:r>
      <w:r w:rsidR="00A00AD3">
        <w:t>accurate</w:t>
      </w:r>
      <w:r w:rsidR="00D162F3">
        <w:t xml:space="preserve"> prediction</w:t>
      </w:r>
      <w:r w:rsidR="00A00AD3">
        <w:t>.</w:t>
      </w:r>
    </w:p>
    <w:p w14:paraId="14CA314C" w14:textId="038A9FA3" w:rsidR="00CC3A50" w:rsidRPr="00CC3A50" w:rsidRDefault="00CC3A50" w:rsidP="00CC3A50">
      <w:pPr>
        <w:keepNext/>
        <w:spacing w:after="120"/>
        <w:rPr>
          <w:rFonts w:ascii="Arial Narrow" w:eastAsia="Times New Roman" w:hAnsi="Arial Narrow" w:cs="Tahoma"/>
          <w:b/>
          <w:bCs/>
          <w:sz w:val="20"/>
          <w:szCs w:val="20"/>
          <w:lang w:eastAsia="en-AU"/>
        </w:rPr>
      </w:pPr>
      <w:r w:rsidRPr="00CC3A50">
        <w:rPr>
          <w:rFonts w:ascii="Arial Narrow" w:eastAsia="Times New Roman" w:hAnsi="Arial Narrow" w:cs="Tahoma"/>
          <w:b/>
          <w:bCs/>
          <w:sz w:val="20"/>
          <w:szCs w:val="20"/>
          <w:lang w:eastAsia="en-AU"/>
        </w:rPr>
        <w:t xml:space="preserve">Table </w:t>
      </w:r>
      <w:r>
        <w:rPr>
          <w:rFonts w:ascii="Arial Narrow" w:eastAsia="Times New Roman" w:hAnsi="Arial Narrow" w:cs="Tahoma"/>
          <w:b/>
          <w:bCs/>
          <w:sz w:val="20"/>
          <w:szCs w:val="20"/>
          <w:lang w:eastAsia="en-AU"/>
        </w:rPr>
        <w:t>1</w:t>
      </w:r>
      <w:r w:rsidR="00F02055">
        <w:rPr>
          <w:rFonts w:ascii="Arial Narrow" w:eastAsia="Times New Roman" w:hAnsi="Arial Narrow" w:cs="Tahoma"/>
          <w:b/>
          <w:bCs/>
          <w:sz w:val="20"/>
          <w:szCs w:val="20"/>
          <w:lang w:eastAsia="en-AU"/>
        </w:rPr>
        <w:t>:</w:t>
      </w:r>
      <w:r w:rsidRPr="00CC3A50">
        <w:rPr>
          <w:rFonts w:ascii="Arial Narrow" w:eastAsia="Times New Roman" w:hAnsi="Arial Narrow" w:cs="Tahoma"/>
          <w:b/>
          <w:bCs/>
          <w:sz w:val="20"/>
          <w:szCs w:val="20"/>
          <w:lang w:eastAsia="en-AU"/>
        </w:rPr>
        <w:t xml:space="preserve">  Number of patients with CIDP projected to receive Ig, 2020–21 to 2025–26 (Adapted from 1564 DCAR)</w:t>
      </w:r>
    </w:p>
    <w:tbl>
      <w:tblPr>
        <w:tblStyle w:val="TableGrid1"/>
        <w:tblW w:w="5000" w:type="pct"/>
        <w:tblLook w:val="04A0" w:firstRow="1" w:lastRow="0" w:firstColumn="1" w:lastColumn="0" w:noHBand="0" w:noVBand="1"/>
        <w:tblCaption w:val="Number of patients with CIDP projected to receive Ig, 2021–22 to 2025–26-24"/>
        <w:tblDescription w:val="Number of patients with CIDP projected to receive Ig, 2021–22 to 2025–26"/>
      </w:tblPr>
      <w:tblGrid>
        <w:gridCol w:w="1842"/>
        <w:gridCol w:w="1196"/>
        <w:gridCol w:w="1196"/>
        <w:gridCol w:w="1196"/>
        <w:gridCol w:w="1196"/>
        <w:gridCol w:w="1196"/>
        <w:gridCol w:w="1194"/>
      </w:tblGrid>
      <w:tr w:rsidR="00CC3A50" w:rsidRPr="00CC3A50" w14:paraId="4FAF1F0E" w14:textId="77777777" w:rsidTr="00CC3A50">
        <w:trPr>
          <w:cnfStyle w:val="100000000000" w:firstRow="1" w:lastRow="0" w:firstColumn="0" w:lastColumn="0" w:oddVBand="0" w:evenVBand="0" w:oddHBand="0" w:evenHBand="0" w:firstRowFirstColumn="0" w:firstRowLastColumn="0" w:lastRowFirstColumn="0" w:lastRowLastColumn="0"/>
          <w:cantSplit/>
          <w:trHeight w:val="300"/>
          <w:tblHeader/>
        </w:trPr>
        <w:tc>
          <w:tcPr>
            <w:tcW w:w="1022" w:type="pct"/>
          </w:tcPr>
          <w:p w14:paraId="2BD1DF5E" w14:textId="77777777" w:rsidR="00CC3A50" w:rsidRPr="00CC3A50" w:rsidRDefault="00CC3A50" w:rsidP="00CC3A50">
            <w:pPr>
              <w:keepNext/>
              <w:spacing w:after="40"/>
              <w:rPr>
                <w:rFonts w:ascii="Arial Narrow" w:hAnsi="Arial Narrow" w:cs="Tahoma"/>
                <w:b/>
                <w:szCs w:val="20"/>
              </w:rPr>
            </w:pPr>
          </w:p>
        </w:tc>
        <w:tc>
          <w:tcPr>
            <w:tcW w:w="664" w:type="pct"/>
            <w:shd w:val="clear" w:color="auto" w:fill="D9D9D9"/>
          </w:tcPr>
          <w:p w14:paraId="2D72D9D0" w14:textId="77777777" w:rsidR="00CC3A50" w:rsidRPr="00CC3A50" w:rsidRDefault="00CC3A50" w:rsidP="00CC3A50">
            <w:pPr>
              <w:keepNext/>
              <w:spacing w:after="40"/>
              <w:rPr>
                <w:rFonts w:ascii="Arial Narrow" w:hAnsi="Arial Narrow" w:cs="Tahoma"/>
                <w:b/>
                <w:szCs w:val="20"/>
              </w:rPr>
            </w:pPr>
            <w:r w:rsidRPr="00CC3A50">
              <w:rPr>
                <w:rFonts w:ascii="Arial Narrow" w:hAnsi="Arial Narrow" w:cs="Tahoma"/>
                <w:b/>
                <w:szCs w:val="20"/>
              </w:rPr>
              <w:t>2020-2021</w:t>
            </w:r>
          </w:p>
        </w:tc>
        <w:tc>
          <w:tcPr>
            <w:tcW w:w="663" w:type="pct"/>
            <w:tcBorders>
              <w:bottom w:val="single" w:sz="4" w:space="0" w:color="auto"/>
            </w:tcBorders>
            <w:noWrap/>
            <w:hideMark/>
          </w:tcPr>
          <w:p w14:paraId="2A1AD10A" w14:textId="77777777" w:rsidR="00CC3A50" w:rsidRPr="00CC3A50" w:rsidRDefault="00CC3A50" w:rsidP="00CC3A50">
            <w:pPr>
              <w:keepNext/>
              <w:spacing w:after="40"/>
              <w:rPr>
                <w:rFonts w:ascii="Arial Narrow" w:hAnsi="Arial Narrow" w:cs="Tahoma"/>
                <w:b/>
                <w:szCs w:val="20"/>
              </w:rPr>
            </w:pPr>
            <w:r w:rsidRPr="00CC3A50">
              <w:rPr>
                <w:rFonts w:ascii="Arial Narrow" w:hAnsi="Arial Narrow" w:cs="Tahoma"/>
                <w:b/>
                <w:szCs w:val="20"/>
              </w:rPr>
              <w:t>2021–22</w:t>
            </w:r>
          </w:p>
        </w:tc>
        <w:tc>
          <w:tcPr>
            <w:tcW w:w="663" w:type="pct"/>
            <w:tcBorders>
              <w:bottom w:val="single" w:sz="4" w:space="0" w:color="auto"/>
            </w:tcBorders>
            <w:noWrap/>
            <w:hideMark/>
          </w:tcPr>
          <w:p w14:paraId="61D22341" w14:textId="77777777" w:rsidR="00CC3A50" w:rsidRPr="00CC3A50" w:rsidRDefault="00CC3A50" w:rsidP="00CC3A50">
            <w:pPr>
              <w:keepNext/>
              <w:spacing w:after="40"/>
              <w:rPr>
                <w:rFonts w:ascii="Arial Narrow" w:hAnsi="Arial Narrow" w:cs="Tahoma"/>
                <w:b/>
                <w:szCs w:val="20"/>
              </w:rPr>
            </w:pPr>
            <w:r w:rsidRPr="00CC3A50">
              <w:rPr>
                <w:rFonts w:ascii="Arial Narrow" w:hAnsi="Arial Narrow" w:cs="Tahoma"/>
                <w:b/>
                <w:szCs w:val="20"/>
              </w:rPr>
              <w:t>2022–23</w:t>
            </w:r>
          </w:p>
        </w:tc>
        <w:tc>
          <w:tcPr>
            <w:tcW w:w="663" w:type="pct"/>
            <w:tcBorders>
              <w:bottom w:val="single" w:sz="4" w:space="0" w:color="auto"/>
            </w:tcBorders>
            <w:noWrap/>
            <w:hideMark/>
          </w:tcPr>
          <w:p w14:paraId="559F5E69" w14:textId="77777777" w:rsidR="00CC3A50" w:rsidRPr="00CC3A50" w:rsidRDefault="00CC3A50" w:rsidP="00CC3A50">
            <w:pPr>
              <w:keepNext/>
              <w:spacing w:after="40"/>
              <w:rPr>
                <w:rFonts w:ascii="Arial Narrow" w:hAnsi="Arial Narrow" w:cs="Tahoma"/>
                <w:b/>
                <w:szCs w:val="20"/>
              </w:rPr>
            </w:pPr>
            <w:r w:rsidRPr="00CC3A50">
              <w:rPr>
                <w:rFonts w:ascii="Arial Narrow" w:hAnsi="Arial Narrow" w:cs="Tahoma"/>
                <w:b/>
                <w:szCs w:val="20"/>
              </w:rPr>
              <w:t>2023–24</w:t>
            </w:r>
          </w:p>
        </w:tc>
        <w:tc>
          <w:tcPr>
            <w:tcW w:w="663" w:type="pct"/>
            <w:tcBorders>
              <w:bottom w:val="single" w:sz="4" w:space="0" w:color="auto"/>
            </w:tcBorders>
            <w:noWrap/>
            <w:hideMark/>
          </w:tcPr>
          <w:p w14:paraId="5DF5CE44" w14:textId="77777777" w:rsidR="00CC3A50" w:rsidRPr="00CC3A50" w:rsidRDefault="00CC3A50" w:rsidP="00CC3A50">
            <w:pPr>
              <w:keepNext/>
              <w:spacing w:after="40"/>
              <w:rPr>
                <w:rFonts w:ascii="Arial Narrow" w:hAnsi="Arial Narrow" w:cs="Tahoma"/>
                <w:b/>
                <w:szCs w:val="20"/>
              </w:rPr>
            </w:pPr>
            <w:r w:rsidRPr="00CC3A50">
              <w:rPr>
                <w:rFonts w:ascii="Arial Narrow" w:hAnsi="Arial Narrow" w:cs="Tahoma"/>
                <w:b/>
                <w:szCs w:val="20"/>
              </w:rPr>
              <w:t>2024–25</w:t>
            </w:r>
          </w:p>
        </w:tc>
        <w:tc>
          <w:tcPr>
            <w:tcW w:w="663" w:type="pct"/>
            <w:tcBorders>
              <w:bottom w:val="single" w:sz="4" w:space="0" w:color="auto"/>
            </w:tcBorders>
            <w:noWrap/>
            <w:hideMark/>
          </w:tcPr>
          <w:p w14:paraId="39F6E4AA" w14:textId="77777777" w:rsidR="00CC3A50" w:rsidRPr="00CC3A50" w:rsidRDefault="00CC3A50" w:rsidP="00CC3A50">
            <w:pPr>
              <w:keepNext/>
              <w:spacing w:after="40"/>
              <w:rPr>
                <w:rFonts w:ascii="Arial Narrow" w:hAnsi="Arial Narrow" w:cs="Tahoma"/>
                <w:b/>
                <w:szCs w:val="20"/>
              </w:rPr>
            </w:pPr>
            <w:r w:rsidRPr="00CC3A50">
              <w:rPr>
                <w:rFonts w:ascii="Arial Narrow" w:hAnsi="Arial Narrow" w:cs="Tahoma"/>
                <w:b/>
                <w:szCs w:val="20"/>
              </w:rPr>
              <w:t>2025–26</w:t>
            </w:r>
          </w:p>
        </w:tc>
      </w:tr>
      <w:tr w:rsidR="00CC3A50" w:rsidRPr="00CC3A50" w14:paraId="159F33EE" w14:textId="77777777" w:rsidTr="00CC3A50">
        <w:trPr>
          <w:cantSplit/>
          <w:trHeight w:val="300"/>
        </w:trPr>
        <w:tc>
          <w:tcPr>
            <w:tcW w:w="1022" w:type="pct"/>
          </w:tcPr>
          <w:p w14:paraId="0C473900" w14:textId="77777777" w:rsidR="00CC3A50" w:rsidRPr="00CC3A50" w:rsidRDefault="00CC3A50" w:rsidP="00CC3A50">
            <w:pPr>
              <w:spacing w:after="40"/>
              <w:rPr>
                <w:rFonts w:cs="Calibri"/>
                <w:color w:val="000000"/>
                <w:szCs w:val="20"/>
              </w:rPr>
            </w:pPr>
            <w:r w:rsidRPr="00CC3A50">
              <w:rPr>
                <w:rFonts w:cs="Calibri"/>
                <w:color w:val="000000"/>
                <w:szCs w:val="20"/>
              </w:rPr>
              <w:t>Number of patients</w:t>
            </w:r>
          </w:p>
        </w:tc>
        <w:tc>
          <w:tcPr>
            <w:tcW w:w="664" w:type="pct"/>
            <w:tcBorders>
              <w:right w:val="single" w:sz="4" w:space="0" w:color="auto"/>
            </w:tcBorders>
            <w:shd w:val="clear" w:color="auto" w:fill="D9D9D9"/>
          </w:tcPr>
          <w:p w14:paraId="23627178" w14:textId="77777777" w:rsidR="00CC3A50" w:rsidRPr="00CC3A50" w:rsidRDefault="00CC3A50" w:rsidP="00CC3A50">
            <w:pPr>
              <w:spacing w:after="40"/>
              <w:rPr>
                <w:rFonts w:cs="Tahoma"/>
                <w:szCs w:val="20"/>
              </w:rPr>
            </w:pPr>
            <w:r w:rsidRPr="00CC3A50">
              <w:rPr>
                <w:rFonts w:cs="Tahoma"/>
                <w:szCs w:val="20"/>
              </w:rPr>
              <w:t>2,853 (est)</w:t>
            </w:r>
          </w:p>
          <w:p w14:paraId="12A7D27A" w14:textId="77777777" w:rsidR="00CC3A50" w:rsidRPr="00CC3A50" w:rsidRDefault="00CC3A50" w:rsidP="00CC3A50">
            <w:pPr>
              <w:spacing w:after="40"/>
              <w:rPr>
                <w:rFonts w:cs="Tahoma"/>
                <w:b/>
                <w:bCs/>
                <w:szCs w:val="20"/>
              </w:rPr>
            </w:pPr>
            <w:r w:rsidRPr="00CC3A50">
              <w:rPr>
                <w:rFonts w:cs="Tahoma"/>
                <w:b/>
                <w:bCs/>
                <w:szCs w:val="20"/>
              </w:rPr>
              <w:t>2,839* (actual)</w:t>
            </w:r>
          </w:p>
        </w:tc>
        <w:tc>
          <w:tcPr>
            <w:tcW w:w="663" w:type="pct"/>
            <w:tcBorders>
              <w:top w:val="single" w:sz="4" w:space="0" w:color="auto"/>
              <w:left w:val="single" w:sz="4" w:space="0" w:color="auto"/>
              <w:bottom w:val="single" w:sz="4" w:space="0" w:color="auto"/>
              <w:right w:val="single" w:sz="4" w:space="0" w:color="auto"/>
            </w:tcBorders>
            <w:shd w:val="clear" w:color="auto" w:fill="auto"/>
            <w:noWrap/>
          </w:tcPr>
          <w:p w14:paraId="4B42498B" w14:textId="77777777" w:rsidR="00CC3A50" w:rsidRPr="00CC3A50" w:rsidRDefault="00CC3A50" w:rsidP="00CC3A50">
            <w:pPr>
              <w:spacing w:after="40"/>
              <w:rPr>
                <w:rFonts w:cs="Tahoma"/>
                <w:szCs w:val="20"/>
              </w:rPr>
            </w:pPr>
            <w:r w:rsidRPr="00CC3A50">
              <w:rPr>
                <w:rFonts w:cs="Tahoma"/>
                <w:szCs w:val="20"/>
              </w:rPr>
              <w:t>2,934</w:t>
            </w:r>
          </w:p>
        </w:tc>
        <w:tc>
          <w:tcPr>
            <w:tcW w:w="663" w:type="pct"/>
            <w:tcBorders>
              <w:top w:val="single" w:sz="4" w:space="0" w:color="auto"/>
              <w:left w:val="single" w:sz="4" w:space="0" w:color="auto"/>
              <w:bottom w:val="single" w:sz="4" w:space="0" w:color="auto"/>
              <w:right w:val="single" w:sz="4" w:space="0" w:color="auto"/>
            </w:tcBorders>
            <w:shd w:val="clear" w:color="auto" w:fill="auto"/>
            <w:noWrap/>
          </w:tcPr>
          <w:p w14:paraId="490C2E51" w14:textId="77777777" w:rsidR="00CC3A50" w:rsidRPr="00CC3A50" w:rsidRDefault="00CC3A50" w:rsidP="00CC3A50">
            <w:pPr>
              <w:spacing w:after="40"/>
              <w:rPr>
                <w:rFonts w:cs="Tahoma"/>
                <w:szCs w:val="20"/>
              </w:rPr>
            </w:pPr>
            <w:r w:rsidRPr="00CC3A50">
              <w:rPr>
                <w:rFonts w:cs="Tahoma"/>
                <w:szCs w:val="20"/>
              </w:rPr>
              <w:t>3,003</w:t>
            </w:r>
          </w:p>
        </w:tc>
        <w:tc>
          <w:tcPr>
            <w:tcW w:w="663" w:type="pct"/>
            <w:tcBorders>
              <w:top w:val="single" w:sz="4" w:space="0" w:color="auto"/>
              <w:left w:val="single" w:sz="4" w:space="0" w:color="auto"/>
              <w:bottom w:val="single" w:sz="4" w:space="0" w:color="auto"/>
              <w:right w:val="single" w:sz="4" w:space="0" w:color="auto"/>
            </w:tcBorders>
            <w:shd w:val="clear" w:color="auto" w:fill="auto"/>
            <w:noWrap/>
          </w:tcPr>
          <w:p w14:paraId="7359A493" w14:textId="77777777" w:rsidR="00CC3A50" w:rsidRPr="00CC3A50" w:rsidRDefault="00CC3A50" w:rsidP="00CC3A50">
            <w:pPr>
              <w:spacing w:after="40"/>
              <w:rPr>
                <w:rFonts w:cs="Tahoma"/>
                <w:szCs w:val="20"/>
              </w:rPr>
            </w:pPr>
            <w:r w:rsidRPr="00CC3A50">
              <w:rPr>
                <w:rFonts w:cs="Tahoma"/>
                <w:szCs w:val="20"/>
              </w:rPr>
              <w:t>3,059</w:t>
            </w:r>
          </w:p>
        </w:tc>
        <w:tc>
          <w:tcPr>
            <w:tcW w:w="663" w:type="pct"/>
            <w:tcBorders>
              <w:top w:val="single" w:sz="4" w:space="0" w:color="auto"/>
              <w:left w:val="single" w:sz="4" w:space="0" w:color="auto"/>
              <w:bottom w:val="single" w:sz="4" w:space="0" w:color="auto"/>
              <w:right w:val="single" w:sz="4" w:space="0" w:color="auto"/>
            </w:tcBorders>
            <w:shd w:val="clear" w:color="auto" w:fill="auto"/>
            <w:noWrap/>
          </w:tcPr>
          <w:p w14:paraId="510BA2B9" w14:textId="77777777" w:rsidR="00CC3A50" w:rsidRPr="00CC3A50" w:rsidRDefault="00CC3A50" w:rsidP="00CC3A50">
            <w:pPr>
              <w:spacing w:after="40"/>
              <w:rPr>
                <w:rFonts w:cs="Tahoma"/>
                <w:szCs w:val="20"/>
              </w:rPr>
            </w:pPr>
            <w:r w:rsidRPr="00CC3A50">
              <w:rPr>
                <w:rFonts w:cs="Tahoma"/>
                <w:szCs w:val="20"/>
              </w:rPr>
              <w:t>3,102</w:t>
            </w:r>
          </w:p>
        </w:tc>
        <w:tc>
          <w:tcPr>
            <w:tcW w:w="663" w:type="pct"/>
            <w:tcBorders>
              <w:top w:val="single" w:sz="4" w:space="0" w:color="auto"/>
              <w:left w:val="single" w:sz="4" w:space="0" w:color="auto"/>
              <w:bottom w:val="single" w:sz="4" w:space="0" w:color="auto"/>
              <w:right w:val="single" w:sz="4" w:space="0" w:color="auto"/>
            </w:tcBorders>
            <w:shd w:val="clear" w:color="auto" w:fill="auto"/>
            <w:noWrap/>
          </w:tcPr>
          <w:p w14:paraId="466E6ED8" w14:textId="77777777" w:rsidR="00CC3A50" w:rsidRPr="00CC3A50" w:rsidRDefault="00CC3A50" w:rsidP="00CC3A50">
            <w:pPr>
              <w:spacing w:after="40"/>
              <w:rPr>
                <w:rFonts w:cs="Tahoma"/>
                <w:szCs w:val="20"/>
              </w:rPr>
            </w:pPr>
            <w:r w:rsidRPr="00CC3A50">
              <w:rPr>
                <w:rFonts w:cs="Tahoma"/>
                <w:szCs w:val="20"/>
              </w:rPr>
              <w:t>3,133</w:t>
            </w:r>
          </w:p>
        </w:tc>
      </w:tr>
    </w:tbl>
    <w:p w14:paraId="1797F4AD" w14:textId="77777777" w:rsidR="00CC3A50" w:rsidRPr="00CC3A50" w:rsidRDefault="00CC3A50" w:rsidP="00CC3A50">
      <w:pPr>
        <w:ind w:left="57" w:right="57"/>
        <w:contextualSpacing/>
        <w:rPr>
          <w:rFonts w:ascii="Arial Narrow" w:eastAsia="Calibri" w:hAnsi="Arial Narrow" w:cs="Times New Roman"/>
          <w:sz w:val="18"/>
          <w:szCs w:val="18"/>
        </w:rPr>
      </w:pPr>
      <w:r w:rsidRPr="00CC3A50">
        <w:rPr>
          <w:rFonts w:ascii="Arial Narrow" w:eastAsia="Calibri" w:hAnsi="Arial Narrow" w:cs="Times New Roman"/>
          <w:sz w:val="18"/>
          <w:szCs w:val="18"/>
        </w:rPr>
        <w:t>CIDP = chronic inflammatory demyelinating polyneuropathy; Ig =immunoglobulin.</w:t>
      </w:r>
    </w:p>
    <w:p w14:paraId="3B9241B4" w14:textId="77777777" w:rsidR="00CC3A50" w:rsidRPr="00CC3A50" w:rsidRDefault="00CC3A50" w:rsidP="00CC3A50">
      <w:pPr>
        <w:ind w:left="57" w:right="57"/>
        <w:contextualSpacing/>
        <w:rPr>
          <w:rFonts w:ascii="Arial Narrow" w:eastAsia="Calibri" w:hAnsi="Arial Narrow" w:cs="Times New Roman"/>
          <w:sz w:val="18"/>
          <w:szCs w:val="18"/>
        </w:rPr>
      </w:pPr>
      <w:r w:rsidRPr="00CC3A50">
        <w:rPr>
          <w:rFonts w:ascii="Arial Narrow" w:eastAsia="Calibri" w:hAnsi="Arial Narrow" w:cs="Times New Roman"/>
          <w:sz w:val="18"/>
          <w:szCs w:val="18"/>
        </w:rPr>
        <w:t>Source: ‘Estimated patient numbers’ worksheet in ‘MSAC 1564.1 Financials.xlsx’ workbook.</w:t>
      </w:r>
    </w:p>
    <w:p w14:paraId="684D3961" w14:textId="413120F5" w:rsidR="0039786C" w:rsidRDefault="0039786C" w:rsidP="00504A57"/>
    <w:p w14:paraId="606EAF50" w14:textId="5B8F67E2" w:rsidR="00A360D7" w:rsidRPr="00572A57" w:rsidRDefault="00CC3A50" w:rsidP="00504A57">
      <w:r>
        <w:t>It was noted that t</w:t>
      </w:r>
      <w:r w:rsidR="00504A57">
        <w:t xml:space="preserve">he </w:t>
      </w:r>
      <w:r>
        <w:t>disparity</w:t>
      </w:r>
      <w:r w:rsidR="00504A57">
        <w:t xml:space="preserve"> between prevalence </w:t>
      </w:r>
      <w:r>
        <w:t>data</w:t>
      </w:r>
      <w:r w:rsidR="00504A57">
        <w:t xml:space="preserve"> and </w:t>
      </w:r>
      <w:r>
        <w:t xml:space="preserve">actual </w:t>
      </w:r>
      <w:r w:rsidR="00504A57">
        <w:t xml:space="preserve">Ig </w:t>
      </w:r>
      <w:r>
        <w:t>use</w:t>
      </w:r>
      <w:r w:rsidR="00504A57">
        <w:t xml:space="preserve"> </w:t>
      </w:r>
      <w:r>
        <w:t xml:space="preserve">for the treatment of </w:t>
      </w:r>
      <w:r w:rsidR="00504A57">
        <w:t xml:space="preserve">CIDP may be due to prevalence studies using a narrower set of criteria for diagnosis than that used in clinical practice, and patients being misdiagnosed with CIDP such as those with non-CIDP </w:t>
      </w:r>
      <w:r w:rsidR="00504A57" w:rsidRPr="00572A57">
        <w:t>autoimmune neuropathies.</w:t>
      </w:r>
      <w:r w:rsidR="00A360D7" w:rsidRPr="00572A57">
        <w:t xml:space="preserve">  </w:t>
      </w:r>
    </w:p>
    <w:p w14:paraId="37743020" w14:textId="55B2057D" w:rsidR="00B966B9" w:rsidRDefault="001006D0" w:rsidP="00504A57">
      <w:r w:rsidRPr="00572A57">
        <w:t xml:space="preserve">The Criteria </w:t>
      </w:r>
      <w:r w:rsidR="009B1432" w:rsidRPr="00572A57">
        <w:t>V</w:t>
      </w:r>
      <w:r w:rsidRPr="00572A57">
        <w:t xml:space="preserve">3 states that there is no specific diagnostic test for CIDP, but characteristic clinical and laboratory findings help distinguish this disorder from other immune mediated neuropathic syndromes. The only diagnosis requirements stated in the Criteria V3 are that diagnosis must be made by a neurologist. </w:t>
      </w:r>
      <w:r w:rsidR="00A360D7" w:rsidRPr="00572A57">
        <w:t>Participants were asked for their views on the likelihood of over or misdiagnosis of CIDP occurring</w:t>
      </w:r>
      <w:r w:rsidR="00CC3A50" w:rsidRPr="00572A57">
        <w:t>, and</w:t>
      </w:r>
      <w:r w:rsidR="00A360D7" w:rsidRPr="00572A57">
        <w:t xml:space="preserve"> </w:t>
      </w:r>
      <w:r w:rsidRPr="00572A57">
        <w:t>whether there are a minimum set of objective diagnostic requirements that could reasonabl</w:t>
      </w:r>
      <w:r w:rsidR="00E676A9">
        <w:t>y</w:t>
      </w:r>
      <w:r w:rsidRPr="00572A57">
        <w:t xml:space="preserve"> be mandated in the Criteria</w:t>
      </w:r>
      <w:r w:rsidR="009B1432" w:rsidRPr="00572A57">
        <w:t xml:space="preserve"> V3</w:t>
      </w:r>
      <w:r>
        <w:t xml:space="preserve"> through BloodSTAR to address potential misdiagnosis.</w:t>
      </w:r>
    </w:p>
    <w:p w14:paraId="3198AA12" w14:textId="08450E0D" w:rsidR="005B0ACE" w:rsidRDefault="0037376D" w:rsidP="0037376D">
      <w:r>
        <w:t>C</w:t>
      </w:r>
      <w:r w:rsidR="00A00AD3">
        <w:t>linicians acknowledged</w:t>
      </w:r>
      <w:r w:rsidR="00E57801">
        <w:t xml:space="preserve"> tha</w:t>
      </w:r>
      <w:r w:rsidR="00A00AD3">
        <w:t xml:space="preserve">t </w:t>
      </w:r>
      <w:r w:rsidR="00E57801">
        <w:t>overdiagnosis of CIDP</w:t>
      </w:r>
      <w:r w:rsidR="00BE596C">
        <w:t xml:space="preserve"> in Australia</w:t>
      </w:r>
      <w:r w:rsidR="00E57801">
        <w:t xml:space="preserve"> was likely</w:t>
      </w:r>
      <w:r w:rsidRPr="0037376D">
        <w:t xml:space="preserve"> </w:t>
      </w:r>
      <w:r>
        <w:t xml:space="preserve">and noted </w:t>
      </w:r>
      <w:r w:rsidR="004A43B5">
        <w:t xml:space="preserve">that </w:t>
      </w:r>
      <w:r w:rsidR="00F17419">
        <w:t>a</w:t>
      </w:r>
      <w:r w:rsidR="004A43B5">
        <w:t xml:space="preserve"> Dutch </w:t>
      </w:r>
      <w:r w:rsidR="00F17419">
        <w:t>study</w:t>
      </w:r>
      <w:r w:rsidR="00F17419">
        <w:rPr>
          <w:rStyle w:val="FootnoteReference"/>
        </w:rPr>
        <w:footnoteReference w:id="2"/>
      </w:r>
      <w:r w:rsidR="004A43B5">
        <w:t xml:space="preserve"> </w:t>
      </w:r>
      <w:r w:rsidR="00F17419">
        <w:t xml:space="preserve">describing common diagnostic pitfalls </w:t>
      </w:r>
      <w:r w:rsidR="004A43B5">
        <w:t>demonstrate</w:t>
      </w:r>
      <w:r w:rsidR="00F17419">
        <w:t>d</w:t>
      </w:r>
      <w:r>
        <w:t xml:space="preserve"> overdiagnosis of CIDP </w:t>
      </w:r>
      <w:r w:rsidR="004A43B5">
        <w:t>is also common</w:t>
      </w:r>
      <w:r>
        <w:t xml:space="preserve"> </w:t>
      </w:r>
      <w:r w:rsidR="004A43B5">
        <w:t>overseas</w:t>
      </w:r>
      <w:r w:rsidR="00F17419">
        <w:t>,</w:t>
      </w:r>
      <w:r w:rsidR="004A43B5">
        <w:t xml:space="preserve"> as several classical or clinical symptoms are often missed</w:t>
      </w:r>
      <w:r w:rsidR="00A00AD3">
        <w:t>.</w:t>
      </w:r>
      <w:r w:rsidR="004A43B5">
        <w:t xml:space="preserve"> </w:t>
      </w:r>
      <w:r>
        <w:t xml:space="preserve">CIDP </w:t>
      </w:r>
      <w:r w:rsidR="00F17419">
        <w:t>may</w:t>
      </w:r>
      <w:r>
        <w:t xml:space="preserve"> be difficult to diagnose </w:t>
      </w:r>
      <w:r w:rsidR="00C06E7F">
        <w:t xml:space="preserve">and that </w:t>
      </w:r>
      <w:r w:rsidR="008452D8">
        <w:t xml:space="preserve">tests such as electrophysiological studies need to be rigorously applied. Some </w:t>
      </w:r>
      <w:r>
        <w:t>clinicians</w:t>
      </w:r>
      <w:r w:rsidR="00545584">
        <w:t xml:space="preserve"> noted that</w:t>
      </w:r>
      <w:r w:rsidR="00A35BBC">
        <w:t xml:space="preserve"> a</w:t>
      </w:r>
      <w:r>
        <w:t>n initial</w:t>
      </w:r>
      <w:r w:rsidR="00545584">
        <w:t xml:space="preserve"> trial of </w:t>
      </w:r>
      <w:r>
        <w:t xml:space="preserve">Ig </w:t>
      </w:r>
      <w:r w:rsidR="00545584">
        <w:t xml:space="preserve">treatment </w:t>
      </w:r>
      <w:r w:rsidR="00D162F3">
        <w:t xml:space="preserve">and assessment of patient response </w:t>
      </w:r>
      <w:r w:rsidR="008452D8">
        <w:t>has been used as a</w:t>
      </w:r>
      <w:r>
        <w:t xml:space="preserve"> </w:t>
      </w:r>
      <w:r w:rsidR="00F17419">
        <w:t>criterion</w:t>
      </w:r>
      <w:r w:rsidR="00545584">
        <w:t xml:space="preserve"> for</w:t>
      </w:r>
      <w:r w:rsidR="00A35BBC">
        <w:t xml:space="preserve"> </w:t>
      </w:r>
      <w:r>
        <w:t>determining</w:t>
      </w:r>
      <w:r w:rsidR="00545584">
        <w:t xml:space="preserve"> CIDP</w:t>
      </w:r>
      <w:r w:rsidR="008452D8">
        <w:t>.</w:t>
      </w:r>
      <w:r w:rsidR="00A35BBC">
        <w:t xml:space="preserve"> </w:t>
      </w:r>
      <w:r w:rsidR="004A43B5">
        <w:t xml:space="preserve">Contributing to </w:t>
      </w:r>
      <w:r w:rsidR="00D162F3">
        <w:t xml:space="preserve">the issue of </w:t>
      </w:r>
      <w:r w:rsidR="00F17419">
        <w:t>mis</w:t>
      </w:r>
      <w:r w:rsidR="004A43B5">
        <w:t xml:space="preserve">diagnosis </w:t>
      </w:r>
      <w:r w:rsidR="00F17419">
        <w:t>is</w:t>
      </w:r>
      <w:r w:rsidR="004A43B5">
        <w:t xml:space="preserve"> that patients without CIDP </w:t>
      </w:r>
      <w:r w:rsidR="00F17419">
        <w:t xml:space="preserve">may </w:t>
      </w:r>
      <w:r w:rsidR="00D162F3">
        <w:t xml:space="preserve">also </w:t>
      </w:r>
      <w:r w:rsidR="004A43B5">
        <w:t xml:space="preserve">appear to respond to </w:t>
      </w:r>
      <w:r w:rsidR="00F17419">
        <w:t>Ig treatment</w:t>
      </w:r>
      <w:r w:rsidR="008452D8">
        <w:t xml:space="preserve"> (noting here the impact of placebo effects)</w:t>
      </w:r>
      <w:r w:rsidR="004A43B5">
        <w:t xml:space="preserve">. </w:t>
      </w:r>
      <w:r w:rsidR="005B0ACE">
        <w:t xml:space="preserve">Diagnosis of CIDP typically considers clinical symptoms, </w:t>
      </w:r>
      <w:r w:rsidR="005B0ACE" w:rsidRPr="00572A57">
        <w:t>electrophysiological studies and exclusion of other motor neuropathy conditions</w:t>
      </w:r>
      <w:r w:rsidR="004A43B5" w:rsidRPr="00572A57">
        <w:t xml:space="preserve">. One </w:t>
      </w:r>
      <w:r w:rsidR="00F17419" w:rsidRPr="00572A57">
        <w:t>participant</w:t>
      </w:r>
      <w:r w:rsidR="004A43B5" w:rsidRPr="00572A57">
        <w:t xml:space="preserve"> </w:t>
      </w:r>
      <w:r w:rsidR="00E94C0E" w:rsidRPr="00572A57">
        <w:t>considered</w:t>
      </w:r>
      <w:r w:rsidR="004A43B5" w:rsidRPr="00572A57">
        <w:t xml:space="preserve"> the Criteria </w:t>
      </w:r>
      <w:r w:rsidR="00F17419" w:rsidRPr="00572A57">
        <w:t xml:space="preserve">V3 </w:t>
      </w:r>
      <w:r w:rsidR="00E94C0E" w:rsidRPr="00572A57">
        <w:t xml:space="preserve">could potentially </w:t>
      </w:r>
      <w:r w:rsidR="004A43B5" w:rsidRPr="00572A57">
        <w:t xml:space="preserve">mandate some investigations such as MRI studies or nerve ultrasounds, or </w:t>
      </w:r>
      <w:r w:rsidR="00F17419" w:rsidRPr="00572A57">
        <w:t xml:space="preserve">explicitly </w:t>
      </w:r>
      <w:r w:rsidR="00E94C0E" w:rsidRPr="00572A57">
        <w:t xml:space="preserve">mandate </w:t>
      </w:r>
      <w:r w:rsidR="004A43B5" w:rsidRPr="00572A57">
        <w:t>the exclusion of non CIDP conditions</w:t>
      </w:r>
      <w:r w:rsidR="00F17419" w:rsidRPr="00572A57">
        <w:t xml:space="preserve"> before a trial of Ig is initiated</w:t>
      </w:r>
      <w:r w:rsidR="004A43B5" w:rsidRPr="00572A57">
        <w:t>.</w:t>
      </w:r>
      <w:r w:rsidR="00C435E5" w:rsidRPr="00572A57">
        <w:t xml:space="preserve"> </w:t>
      </w:r>
      <w:r w:rsidR="00F17419" w:rsidRPr="00572A57">
        <w:t>A</w:t>
      </w:r>
      <w:r w:rsidR="00C435E5" w:rsidRPr="00572A57">
        <w:t xml:space="preserve"> clinician noted </w:t>
      </w:r>
      <w:r w:rsidR="00F17419" w:rsidRPr="00572A57">
        <w:t xml:space="preserve">there was </w:t>
      </w:r>
      <w:r w:rsidR="00C435E5" w:rsidRPr="00572A57">
        <w:t>a Chicago Study</w:t>
      </w:r>
      <w:r w:rsidR="005D34FB">
        <w:rPr>
          <w:rStyle w:val="FootnoteReference"/>
        </w:rPr>
        <w:footnoteReference w:id="3"/>
      </w:r>
      <w:r w:rsidR="00C435E5" w:rsidRPr="00572A57">
        <w:t xml:space="preserve"> </w:t>
      </w:r>
      <w:r w:rsidR="00F17419" w:rsidRPr="00572A57">
        <w:t xml:space="preserve">similar to the </w:t>
      </w:r>
      <w:r w:rsidR="00C435E5" w:rsidRPr="00572A57">
        <w:t xml:space="preserve">Dutch study </w:t>
      </w:r>
      <w:r w:rsidR="00F17419" w:rsidRPr="00572A57">
        <w:t xml:space="preserve">that </w:t>
      </w:r>
      <w:r w:rsidR="0043527D">
        <w:t>reported</w:t>
      </w:r>
      <w:r w:rsidR="00C435E5" w:rsidRPr="00572A57">
        <w:t xml:space="preserve"> approximately 10% of patients</w:t>
      </w:r>
      <w:r w:rsidR="00E51CA4">
        <w:t xml:space="preserve"> </w:t>
      </w:r>
      <w:r w:rsidR="005D34FB">
        <w:t xml:space="preserve">misdiagnosed </w:t>
      </w:r>
      <w:r w:rsidR="00E51CA4">
        <w:t xml:space="preserve">with CIDP </w:t>
      </w:r>
      <w:r w:rsidR="005D34FB">
        <w:t>had either</w:t>
      </w:r>
      <w:r w:rsidR="00C435E5" w:rsidRPr="00572A57">
        <w:t xml:space="preserve"> </w:t>
      </w:r>
      <w:r w:rsidR="005D34FB">
        <w:t xml:space="preserve">hereditary or </w:t>
      </w:r>
      <w:r w:rsidR="00C435E5" w:rsidRPr="00572A57">
        <w:t>anti-MAG peripheral neuropathy</w:t>
      </w:r>
      <w:r w:rsidR="005D34FB">
        <w:t xml:space="preserve"> </w:t>
      </w:r>
      <w:r w:rsidR="00C435E5" w:rsidRPr="00572A57">
        <w:t xml:space="preserve">which </w:t>
      </w:r>
      <w:r w:rsidR="00F17419" w:rsidRPr="00572A57">
        <w:t>are</w:t>
      </w:r>
      <w:r w:rsidR="00C435E5" w:rsidRPr="00572A57">
        <w:t xml:space="preserve"> not responsive to Ig therapy. These patients </w:t>
      </w:r>
      <w:r w:rsidR="00F17419" w:rsidRPr="00572A57">
        <w:t>can</w:t>
      </w:r>
      <w:r w:rsidR="00C435E5" w:rsidRPr="00572A57">
        <w:t xml:space="preserve"> be </w:t>
      </w:r>
      <w:r w:rsidR="000262D9">
        <w:t>diagnosed</w:t>
      </w:r>
      <w:r w:rsidR="000262D9" w:rsidRPr="00572A57">
        <w:t xml:space="preserve"> </w:t>
      </w:r>
      <w:r w:rsidR="00C435E5" w:rsidRPr="00572A57">
        <w:t>via blood pathology and the</w:t>
      </w:r>
      <w:r w:rsidR="00F17419" w:rsidRPr="00572A57">
        <w:t>refore the</w:t>
      </w:r>
      <w:r w:rsidR="00C435E5" w:rsidRPr="00572A57">
        <w:t xml:space="preserve"> Criteria </w:t>
      </w:r>
      <w:r w:rsidR="00F17419" w:rsidRPr="00572A57">
        <w:t xml:space="preserve">V3 </w:t>
      </w:r>
      <w:r w:rsidR="00C435E5" w:rsidRPr="00572A57">
        <w:t>could be refined to exclude this group</w:t>
      </w:r>
      <w:r w:rsidR="00C435E5">
        <w:t xml:space="preserve"> of patients.</w:t>
      </w:r>
    </w:p>
    <w:p w14:paraId="28A50E9F" w14:textId="66D07157" w:rsidR="00EC2BE3" w:rsidRDefault="00EC2BE3" w:rsidP="00EC2BE3">
      <w:r>
        <w:lastRenderedPageBreak/>
        <w:t>One participant noted t</w:t>
      </w:r>
      <w:r w:rsidRPr="00734D7C">
        <w:t>he EAN/PNS Task Force 2021</w:t>
      </w:r>
      <w:r>
        <w:rPr>
          <w:rStyle w:val="FootnoteReference"/>
        </w:rPr>
        <w:footnoteReference w:id="4"/>
      </w:r>
      <w:r w:rsidRPr="00734D7C">
        <w:t xml:space="preserve"> publication suggest</w:t>
      </w:r>
      <w:r>
        <w:t>s</w:t>
      </w:r>
      <w:r w:rsidRPr="00734D7C">
        <w:t xml:space="preserve"> not to use MRI in adult patients to diagnose CIDP except in patients fulfilling diagnostic criteria for possible CIDP, and that there is currently no evidence to support MRI in paediatric patients</w:t>
      </w:r>
      <w:r>
        <w:t>.</w:t>
      </w:r>
    </w:p>
    <w:p w14:paraId="6218AF50" w14:textId="76273E8A" w:rsidR="0087120C" w:rsidRDefault="00482590" w:rsidP="0087120C">
      <w:r>
        <w:t>C</w:t>
      </w:r>
      <w:r w:rsidR="0087120C">
        <w:t xml:space="preserve">linicians </w:t>
      </w:r>
      <w:r>
        <w:t xml:space="preserve">generally </w:t>
      </w:r>
      <w:r w:rsidR="0087120C">
        <w:t xml:space="preserve">considered the European Federation of Neurological Societies/Peripheral Nerve Society (EFNS/PNS) guidelines were currently the most relevant criteria for diagnosing CIDP. The recommendations for diagnostic criteria in these guidelines were regarded </w:t>
      </w:r>
      <w:r>
        <w:t>sufficient to</w:t>
      </w:r>
      <w:r w:rsidR="0087120C">
        <w:t xml:space="preserve"> diagnos</w:t>
      </w:r>
      <w:r>
        <w:t>e</w:t>
      </w:r>
      <w:r w:rsidR="0087120C">
        <w:t xml:space="preserve"> typical CIDP, but clinicians noted </w:t>
      </w:r>
      <w:r>
        <w:t xml:space="preserve">that </w:t>
      </w:r>
      <w:r w:rsidR="0087120C">
        <w:t>atypical CIDP or variants of CIDP</w:t>
      </w:r>
      <w:r>
        <w:t xml:space="preserve"> may still be difficult to identify</w:t>
      </w:r>
      <w:r w:rsidR="0087120C">
        <w:t xml:space="preserve">. The diagnosis of some variants such as distal acquired demyelinating symmetric (DADS) neuropathy and multifocal acquired demyelinating sensory and motor (MADSAM) neuropathy was </w:t>
      </w:r>
      <w:r w:rsidR="0087120C" w:rsidRPr="00572A57">
        <w:t>often prolonged</w:t>
      </w:r>
      <w:r w:rsidRPr="00572A57">
        <w:t>, slow to respond to treatment,</w:t>
      </w:r>
      <w:r w:rsidR="0087120C" w:rsidRPr="00572A57">
        <w:t xml:space="preserve"> and required a longer trial of Ig to be identified. </w:t>
      </w:r>
      <w:r w:rsidRPr="00572A57">
        <w:t>Attendees considered that the four-month period for initial access to Ig treatment, currently allowed in the Criteria V3, allows sufficient amount of trial time as to not</w:t>
      </w:r>
      <w:r w:rsidR="0087120C" w:rsidRPr="00572A57">
        <w:t xml:space="preserve"> disadvantage </w:t>
      </w:r>
      <w:r w:rsidRPr="00572A57">
        <w:t>patients.</w:t>
      </w:r>
    </w:p>
    <w:p w14:paraId="4226BF9E" w14:textId="6D51FA1A" w:rsidR="00B219DB" w:rsidRDefault="00482590" w:rsidP="00D0799B">
      <w:r>
        <w:t>Participants</w:t>
      </w:r>
      <w:r w:rsidR="00D0799B">
        <w:t xml:space="preserve"> </w:t>
      </w:r>
      <w:r w:rsidR="00E803A8">
        <w:t xml:space="preserve">acknowledged that access to </w:t>
      </w:r>
      <w:r w:rsidR="00F3374F">
        <w:t xml:space="preserve">specialist diagnostic </w:t>
      </w:r>
      <w:r w:rsidR="00E803A8">
        <w:t xml:space="preserve">health services may </w:t>
      </w:r>
      <w:r>
        <w:t>present</w:t>
      </w:r>
      <w:r w:rsidR="00E803A8">
        <w:t xml:space="preserve"> an issue in some remote </w:t>
      </w:r>
      <w:r w:rsidR="00E803A8" w:rsidRPr="00EC2BE3">
        <w:t>locations</w:t>
      </w:r>
      <w:r w:rsidR="00F3374F">
        <w:t>, however there is also an issue around the reliability of interpretation of the tests (e.g. MRI and nerve conduction studies)</w:t>
      </w:r>
      <w:r w:rsidR="00D0799B">
        <w:t xml:space="preserve">. </w:t>
      </w:r>
      <w:r w:rsidR="00A819F2">
        <w:t xml:space="preserve">Clinicians </w:t>
      </w:r>
      <w:r w:rsidR="00332780">
        <w:t>no</w:t>
      </w:r>
      <w:r w:rsidR="00A819F2">
        <w:t xml:space="preserve">ted that </w:t>
      </w:r>
      <w:r w:rsidR="00332780">
        <w:t xml:space="preserve">approximately </w:t>
      </w:r>
      <w:r w:rsidR="00D0799B" w:rsidRPr="00544BBC">
        <w:t xml:space="preserve">85% </w:t>
      </w:r>
      <w:r>
        <w:t xml:space="preserve">of </w:t>
      </w:r>
      <w:r w:rsidR="00D0799B" w:rsidRPr="00544BBC">
        <w:t>people</w:t>
      </w:r>
      <w:r w:rsidR="00A819F2">
        <w:t xml:space="preserve"> with CIDP</w:t>
      </w:r>
      <w:r w:rsidR="00D0799B" w:rsidRPr="00544BBC">
        <w:t xml:space="preserve"> liv</w:t>
      </w:r>
      <w:r w:rsidR="00124BFC">
        <w:t>e</w:t>
      </w:r>
      <w:r w:rsidR="00D0799B" w:rsidRPr="00544BBC">
        <w:t xml:space="preserve"> in</w:t>
      </w:r>
      <w:r w:rsidR="00124BFC">
        <w:t xml:space="preserve"> capital cities or major centres</w:t>
      </w:r>
      <w:r w:rsidR="00D0799B" w:rsidRPr="00544BBC">
        <w:t xml:space="preserve"> </w:t>
      </w:r>
      <w:r w:rsidR="00332780">
        <w:t>which is where the</w:t>
      </w:r>
      <w:r w:rsidR="00124BFC">
        <w:t xml:space="preserve"> majority of </w:t>
      </w:r>
      <w:r w:rsidR="00D0799B" w:rsidRPr="00544BBC">
        <w:t>overdiagnosis is</w:t>
      </w:r>
      <w:r w:rsidR="00124BFC">
        <w:t xml:space="preserve"> occurring</w:t>
      </w:r>
      <w:r w:rsidR="008438F2">
        <w:t xml:space="preserve">. </w:t>
      </w:r>
      <w:r w:rsidR="00E803A8">
        <w:t xml:space="preserve">This suggests over diagnosis is a systemic issue </w:t>
      </w:r>
      <w:r>
        <w:t>where there are</w:t>
      </w:r>
      <w:r w:rsidR="00E803A8">
        <w:t xml:space="preserve"> non-</w:t>
      </w:r>
      <w:r w:rsidR="00853A59">
        <w:t>sub</w:t>
      </w:r>
      <w:r w:rsidR="00E803A8">
        <w:t xml:space="preserve">specialised </w:t>
      </w:r>
      <w:r w:rsidR="00F3374F">
        <w:t xml:space="preserve">(non-neuromuscular) </w:t>
      </w:r>
      <w:r w:rsidR="00E803A8">
        <w:t>neurologists diagnosing CIDP and MNN</w:t>
      </w:r>
      <w:r w:rsidR="00B219DB">
        <w:t xml:space="preserve">. </w:t>
      </w:r>
    </w:p>
    <w:p w14:paraId="2389514B" w14:textId="76F3246E" w:rsidR="00995573" w:rsidRDefault="00EC2BE3" w:rsidP="00D0799B">
      <w:r>
        <w:t>Clinicians agreed that</w:t>
      </w:r>
      <w:r w:rsidR="008438F2">
        <w:t xml:space="preserve"> m</w:t>
      </w:r>
      <w:r w:rsidR="00995573">
        <w:t>ost CIDP cases have a typical presentation</w:t>
      </w:r>
      <w:r>
        <w:t xml:space="preserve"> which is easier to diagnose</w:t>
      </w:r>
      <w:r w:rsidR="008438F2">
        <w:t>, with atypical variants representing only a small number of cases</w:t>
      </w:r>
      <w:r w:rsidR="00006D2C">
        <w:t>.</w:t>
      </w:r>
    </w:p>
    <w:p w14:paraId="7AB98FD1" w14:textId="4D18D019" w:rsidR="00CE2EC3" w:rsidRDefault="001B785E" w:rsidP="00E57801">
      <w:r>
        <w:t>It was noted that access to MBS funded genetic testing</w:t>
      </w:r>
      <w:r w:rsidDel="001B785E">
        <w:t xml:space="preserve"> </w:t>
      </w:r>
      <w:r>
        <w:t>for the commonly misdiagnosed disease - Charcot</w:t>
      </w:r>
      <w:r w:rsidR="0025159C">
        <w:t>-</w:t>
      </w:r>
      <w:r>
        <w:t xml:space="preserve">Marie </w:t>
      </w:r>
      <w:r w:rsidR="0025159C">
        <w:t>tooth disease type 1A (</w:t>
      </w:r>
      <w:r w:rsidR="00CE2EC3">
        <w:t>CMT1A</w:t>
      </w:r>
      <w:r w:rsidR="0025159C">
        <w:t>)</w:t>
      </w:r>
      <w:r w:rsidR="00BF72E7">
        <w:t xml:space="preserve"> </w:t>
      </w:r>
      <w:r>
        <w:t xml:space="preserve">is available. </w:t>
      </w:r>
      <w:r w:rsidR="00CE2EC3">
        <w:t xml:space="preserve">The news of the recent MSAC recommendation of Application 1585 for genetic testing for the diagnosis of early-onset or familial neuromuscular disorders </w:t>
      </w:r>
      <w:r w:rsidR="00853A59">
        <w:t xml:space="preserve">for listing on the Medicare Benefits Schedule </w:t>
      </w:r>
      <w:r w:rsidR="00CE2EC3">
        <w:t xml:space="preserve">was welcomed by </w:t>
      </w:r>
      <w:r w:rsidR="00804BC8">
        <w:t>all</w:t>
      </w:r>
      <w:r w:rsidR="00CE2EC3">
        <w:t>.</w:t>
      </w:r>
      <w:r w:rsidR="00E87330">
        <w:t xml:space="preserve"> </w:t>
      </w:r>
      <w:r w:rsidR="00804BC8">
        <w:t>Participants</w:t>
      </w:r>
      <w:r w:rsidR="00E87330">
        <w:t xml:space="preserve"> re-</w:t>
      </w:r>
      <w:r w:rsidR="00046CA1">
        <w:t>iterated</w:t>
      </w:r>
      <w:r w:rsidR="00E87330">
        <w:t xml:space="preserve"> that the ordering</w:t>
      </w:r>
      <w:r w:rsidR="008B0379">
        <w:t>,</w:t>
      </w:r>
      <w:r w:rsidR="00E87330">
        <w:t xml:space="preserve"> interpretation of these genetic tests </w:t>
      </w:r>
      <w:r w:rsidR="008B0379">
        <w:t>and genetic counselling was outside the area of expertise</w:t>
      </w:r>
      <w:r w:rsidR="00F3374F">
        <w:t xml:space="preserve"> </w:t>
      </w:r>
      <w:r w:rsidR="00955007">
        <w:t xml:space="preserve">of </w:t>
      </w:r>
      <w:r w:rsidR="00853A59">
        <w:t xml:space="preserve">many </w:t>
      </w:r>
      <w:r w:rsidR="00955007">
        <w:t>neurologists</w:t>
      </w:r>
      <w:r w:rsidR="00046CA1">
        <w:t xml:space="preserve"> and </w:t>
      </w:r>
      <w:r w:rsidR="008B0379">
        <w:t xml:space="preserve">therefore </w:t>
      </w:r>
      <w:r w:rsidR="002C2AA7">
        <w:t xml:space="preserve">may </w:t>
      </w:r>
      <w:r w:rsidR="008B0379">
        <w:t xml:space="preserve">require referral to </w:t>
      </w:r>
      <w:r w:rsidR="002C2AA7">
        <w:t xml:space="preserve">a specialist </w:t>
      </w:r>
      <w:r w:rsidR="008B0379">
        <w:t>genetic</w:t>
      </w:r>
      <w:r w:rsidR="002C2AA7">
        <w:t>ist/clinic.</w:t>
      </w:r>
      <w:r w:rsidR="00853A59">
        <w:t xml:space="preserve"> </w:t>
      </w:r>
      <w:r w:rsidR="000E26B6">
        <w:t>However, t</w:t>
      </w:r>
      <w:r w:rsidR="00853A59">
        <w:t xml:space="preserve">he availability of this testing will enable the diagnosis of heritable neuropathies which may mimic the clinical features of CIDP </w:t>
      </w:r>
      <w:r w:rsidR="000E26B6">
        <w:t xml:space="preserve">and </w:t>
      </w:r>
      <w:r w:rsidR="00853A59">
        <w:t>obviate the use of immunoglobulin as a potential trial therapy</w:t>
      </w:r>
      <w:r w:rsidR="00E676A9">
        <w:t>.</w:t>
      </w:r>
    </w:p>
    <w:p w14:paraId="0AA234E9" w14:textId="2F2AC8BC" w:rsidR="003D0403" w:rsidRPr="00E57801" w:rsidRDefault="00A35BBC" w:rsidP="00E57801">
      <w:r w:rsidRPr="00A35BBC">
        <w:t xml:space="preserve">It was </w:t>
      </w:r>
      <w:r w:rsidR="00B219DB">
        <w:t xml:space="preserve">suggested </w:t>
      </w:r>
      <w:r w:rsidRPr="00A35BBC">
        <w:t xml:space="preserve">that </w:t>
      </w:r>
      <w:r w:rsidR="002C2AA7">
        <w:t xml:space="preserve">strict </w:t>
      </w:r>
      <w:r w:rsidRPr="00A35BBC">
        <w:t>adhere</w:t>
      </w:r>
      <w:r w:rsidR="002C2AA7">
        <w:t xml:space="preserve">nce and accountability </w:t>
      </w:r>
      <w:r w:rsidRPr="00A35BBC">
        <w:t>to the</w:t>
      </w:r>
      <w:r w:rsidR="002C2AA7">
        <w:t xml:space="preserve"> </w:t>
      </w:r>
      <w:r w:rsidR="002C2AA7" w:rsidRPr="00955007">
        <w:t xml:space="preserve">existing </w:t>
      </w:r>
      <w:r w:rsidRPr="00955007">
        <w:t xml:space="preserve">Criteria </w:t>
      </w:r>
      <w:r w:rsidR="00081D69" w:rsidRPr="00955007">
        <w:t xml:space="preserve">V3 </w:t>
      </w:r>
      <w:r w:rsidR="002C2AA7" w:rsidRPr="00955007">
        <w:t xml:space="preserve">could </w:t>
      </w:r>
      <w:r w:rsidR="00081D69" w:rsidRPr="00955007">
        <w:t>help</w:t>
      </w:r>
      <w:r w:rsidR="002C2AA7" w:rsidRPr="00955007">
        <w:t xml:space="preserve"> target </w:t>
      </w:r>
      <w:r w:rsidRPr="00955007">
        <w:t xml:space="preserve">Ig therapy for treatment of CIDP, and a way forward would be to </w:t>
      </w:r>
      <w:r w:rsidR="002C2AA7" w:rsidRPr="00955007">
        <w:t xml:space="preserve">have prescribers provide additional </w:t>
      </w:r>
      <w:r w:rsidRPr="00955007">
        <w:t>relevant diagnostic test result</w:t>
      </w:r>
      <w:r w:rsidR="002C2AA7" w:rsidRPr="00955007">
        <w:t>s in</w:t>
      </w:r>
      <w:r w:rsidRPr="00955007">
        <w:t xml:space="preserve"> BloodSTAR.</w:t>
      </w:r>
      <w:r w:rsidR="00E803A8" w:rsidRPr="00955007">
        <w:t xml:space="preserve"> </w:t>
      </w:r>
      <w:r w:rsidR="00D0799B" w:rsidRPr="00955007">
        <w:t>One clinician clarified that the purpose of the Criteria</w:t>
      </w:r>
      <w:r w:rsidR="00081D69" w:rsidRPr="00955007">
        <w:t xml:space="preserve"> V3</w:t>
      </w:r>
      <w:r w:rsidR="00D0799B" w:rsidRPr="00955007">
        <w:t xml:space="preserve"> was to enable access to government</w:t>
      </w:r>
      <w:r w:rsidR="00D0799B" w:rsidRPr="00E803A8">
        <w:t xml:space="preserve"> funded Ig, rather than to serve as a tool to guide </w:t>
      </w:r>
      <w:r w:rsidR="00D0799B" w:rsidRPr="00955007">
        <w:t xml:space="preserve">clinicians on diagnosis of CIDP. However, </w:t>
      </w:r>
      <w:r w:rsidR="00EC2BE3" w:rsidRPr="00955007">
        <w:t>increased</w:t>
      </w:r>
      <w:r w:rsidR="00D0799B" w:rsidRPr="00955007">
        <w:t xml:space="preserve"> prescriber accountability introduced in </w:t>
      </w:r>
      <w:r w:rsidR="00E803A8" w:rsidRPr="00955007">
        <w:t>the</w:t>
      </w:r>
      <w:r w:rsidR="00D0799B" w:rsidRPr="00955007">
        <w:t xml:space="preserve"> Criteria</w:t>
      </w:r>
      <w:r w:rsidR="00081D69" w:rsidRPr="00955007">
        <w:t xml:space="preserve"> V3</w:t>
      </w:r>
      <w:r w:rsidR="00EC2BE3" w:rsidRPr="00955007">
        <w:t xml:space="preserve"> (</w:t>
      </w:r>
      <w:r w:rsidR="00D0799B" w:rsidRPr="00955007">
        <w:t>for example, requirement to provide the name of the diagnosing neurologist</w:t>
      </w:r>
      <w:r w:rsidR="00EC2BE3" w:rsidRPr="00955007">
        <w:t>)</w:t>
      </w:r>
      <w:r w:rsidR="00D0799B" w:rsidRPr="00955007">
        <w:t xml:space="preserve"> has resulted in fewer initiating</w:t>
      </w:r>
      <w:r w:rsidR="00D0799B" w:rsidRPr="00E803A8">
        <w:t xml:space="preserve"> patients since </w:t>
      </w:r>
      <w:r w:rsidR="00E803A8" w:rsidRPr="00E803A8">
        <w:t>its</w:t>
      </w:r>
      <w:r w:rsidR="00D0799B" w:rsidRPr="00E803A8">
        <w:t xml:space="preserve"> introduction</w:t>
      </w:r>
      <w:r w:rsidR="00E803A8" w:rsidRPr="00E803A8">
        <w:t>,</w:t>
      </w:r>
      <w:r w:rsidR="00D0799B" w:rsidRPr="00E803A8">
        <w:t xml:space="preserve"> and a </w:t>
      </w:r>
      <w:r w:rsidR="00E803A8" w:rsidRPr="00E803A8">
        <w:t xml:space="preserve">likely </w:t>
      </w:r>
      <w:r w:rsidR="00D0799B" w:rsidRPr="00E803A8">
        <w:t xml:space="preserve">reduction in overdiagnosis. Clinicians considered that enhancing </w:t>
      </w:r>
      <w:r w:rsidR="00EC2BE3">
        <w:t>the</w:t>
      </w:r>
      <w:r w:rsidR="00D0799B" w:rsidRPr="00E803A8">
        <w:t xml:space="preserve"> level of prescriber accountability </w:t>
      </w:r>
      <w:r w:rsidR="00EC2BE3">
        <w:t>with respect to diagnosis is</w:t>
      </w:r>
      <w:r w:rsidR="00E803A8" w:rsidRPr="00E803A8">
        <w:t xml:space="preserve"> </w:t>
      </w:r>
      <w:r w:rsidR="00B219DB">
        <w:t xml:space="preserve">one potential way </w:t>
      </w:r>
      <w:r w:rsidR="00D0799B" w:rsidRPr="00E803A8">
        <w:t xml:space="preserve">to address </w:t>
      </w:r>
      <w:r w:rsidR="00EC2BE3">
        <w:t>overprescribing of Ig for CIDP.</w:t>
      </w:r>
    </w:p>
    <w:p w14:paraId="2CBD8D45" w14:textId="289FB9C4" w:rsidR="0012412D" w:rsidRDefault="00277C95" w:rsidP="0012412D">
      <w:pPr>
        <w:pStyle w:val="Heading2"/>
      </w:pPr>
      <w:r>
        <w:lastRenderedPageBreak/>
        <w:t>3.</w:t>
      </w:r>
      <w:r w:rsidR="00E43C86">
        <w:t>2. Thresholds for initial access to Ig therapy</w:t>
      </w:r>
    </w:p>
    <w:p w14:paraId="16BAD632" w14:textId="64CA2001" w:rsidR="00A360D7" w:rsidRPr="00955007" w:rsidRDefault="00A360D7" w:rsidP="00896D6D">
      <w:r w:rsidRPr="006C16D6">
        <w:t>The Department provided</w:t>
      </w:r>
      <w:r>
        <w:t xml:space="preserve"> an </w:t>
      </w:r>
      <w:r w:rsidRPr="00955007">
        <w:t xml:space="preserve">overview of the qualifying </w:t>
      </w:r>
      <w:r w:rsidR="00896D6D" w:rsidRPr="00955007">
        <w:t>c</w:t>
      </w:r>
      <w:r w:rsidRPr="00955007">
        <w:t xml:space="preserve">riteria </w:t>
      </w:r>
      <w:r w:rsidR="00E803A8" w:rsidRPr="00955007">
        <w:t>for initial</w:t>
      </w:r>
      <w:r w:rsidRPr="00955007">
        <w:t xml:space="preserve"> access</w:t>
      </w:r>
      <w:r w:rsidR="00E803A8" w:rsidRPr="00955007">
        <w:t xml:space="preserve"> to</w:t>
      </w:r>
      <w:r w:rsidRPr="00955007">
        <w:t xml:space="preserve"> IVIg therapy for CIDP</w:t>
      </w:r>
      <w:r w:rsidR="00896D6D" w:rsidRPr="00955007">
        <w:t xml:space="preserve"> according to the Criteria V3. </w:t>
      </w:r>
      <w:r w:rsidR="00361372" w:rsidRPr="00955007">
        <w:t>MSAC previously noted</w:t>
      </w:r>
      <w:r w:rsidR="00896D6D" w:rsidRPr="00955007">
        <w:t xml:space="preserve"> the Criteria V3 do not include a threshold for the</w:t>
      </w:r>
      <w:r w:rsidR="00A661CE" w:rsidRPr="00955007">
        <w:t xml:space="preserve"> Medical Research Council</w:t>
      </w:r>
      <w:r w:rsidR="00896D6D" w:rsidRPr="00955007">
        <w:t xml:space="preserve"> </w:t>
      </w:r>
      <w:r w:rsidR="00A661CE" w:rsidRPr="00955007">
        <w:t>(</w:t>
      </w:r>
      <w:r w:rsidR="00896D6D" w:rsidRPr="00955007">
        <w:t>MRC</w:t>
      </w:r>
      <w:r w:rsidR="00A661CE" w:rsidRPr="00955007">
        <w:t>)</w:t>
      </w:r>
      <w:r w:rsidR="00896D6D" w:rsidRPr="00955007">
        <w:t xml:space="preserve"> sum score</w:t>
      </w:r>
      <w:r w:rsidR="00361372" w:rsidRPr="00955007">
        <w:t xml:space="preserve"> for adults or children 10 years or older</w:t>
      </w:r>
      <w:r w:rsidR="00896D6D" w:rsidRPr="00955007">
        <w:t xml:space="preserve">, or the </w:t>
      </w:r>
      <w:r w:rsidR="00A661CE" w:rsidRPr="00955007">
        <w:t>Six Minute Walk test (</w:t>
      </w:r>
      <w:r w:rsidR="00896D6D" w:rsidRPr="00955007">
        <w:t>6MWT</w:t>
      </w:r>
      <w:r w:rsidR="00A661CE" w:rsidRPr="00955007">
        <w:t>)</w:t>
      </w:r>
      <w:r w:rsidR="00361372" w:rsidRPr="00955007">
        <w:t xml:space="preserve"> in children less than 10 years</w:t>
      </w:r>
      <w:r w:rsidR="00896D6D" w:rsidRPr="00955007">
        <w:t xml:space="preserve">, and that this imprecision may compound poor sensitivity and specificity of </w:t>
      </w:r>
      <w:r w:rsidR="00081D69" w:rsidRPr="00955007">
        <w:t xml:space="preserve">the </w:t>
      </w:r>
      <w:r w:rsidR="00896D6D" w:rsidRPr="00955007">
        <w:t>diagnostic criteria</w:t>
      </w:r>
      <w:r w:rsidR="00081D69" w:rsidRPr="00955007">
        <w:t>.</w:t>
      </w:r>
      <w:r w:rsidR="00896D6D" w:rsidRPr="00955007">
        <w:t xml:space="preserve"> </w:t>
      </w:r>
      <w:r w:rsidRPr="00955007">
        <w:t>Participants were asked for their insights on</w:t>
      </w:r>
      <w:r w:rsidR="00A55EDA" w:rsidRPr="00955007">
        <w:t xml:space="preserve"> appropriate thresholds and if any other metrics of CIDP severity could be included in the Criteria</w:t>
      </w:r>
      <w:r w:rsidR="00833D33" w:rsidRPr="00955007">
        <w:t xml:space="preserve"> V3</w:t>
      </w:r>
      <w:r w:rsidR="00A55EDA" w:rsidRPr="00955007">
        <w:t>.</w:t>
      </w:r>
    </w:p>
    <w:p w14:paraId="19CBFC29" w14:textId="769ED954" w:rsidR="00896D6D" w:rsidRPr="00955007" w:rsidRDefault="00896D6D" w:rsidP="00E916FD">
      <w:r w:rsidRPr="00955007">
        <w:t>Clinicians</w:t>
      </w:r>
      <w:r w:rsidR="00E916FD" w:rsidRPr="00955007">
        <w:t xml:space="preserve"> clarified that</w:t>
      </w:r>
      <w:r w:rsidRPr="00955007">
        <w:t xml:space="preserve"> for adults,</w:t>
      </w:r>
      <w:r w:rsidR="00E916FD" w:rsidRPr="00955007">
        <w:t xml:space="preserve"> the Criteria </w:t>
      </w:r>
      <w:r w:rsidR="00081D69" w:rsidRPr="00955007">
        <w:t xml:space="preserve">V3 did not include a </w:t>
      </w:r>
      <w:r w:rsidR="00E916FD" w:rsidRPr="00955007">
        <w:t xml:space="preserve">threshold </w:t>
      </w:r>
      <w:r w:rsidR="00402B1F" w:rsidRPr="00955007">
        <w:t>for</w:t>
      </w:r>
      <w:r w:rsidR="00E916FD" w:rsidRPr="00955007">
        <w:t xml:space="preserve"> </w:t>
      </w:r>
      <w:r w:rsidR="00402B1F" w:rsidRPr="00955007">
        <w:t xml:space="preserve">MRC </w:t>
      </w:r>
      <w:r w:rsidRPr="00955007">
        <w:t>sum</w:t>
      </w:r>
      <w:r w:rsidR="00E916FD" w:rsidRPr="00955007">
        <w:t xml:space="preserve"> scores </w:t>
      </w:r>
      <w:r w:rsidR="00081D69" w:rsidRPr="00955007">
        <w:t xml:space="preserve">because it was </w:t>
      </w:r>
      <w:r w:rsidR="009A0079" w:rsidRPr="00955007">
        <w:t>not intended to provide an assessment of neurological impairment needed for access to Ig therapy. Rather</w:t>
      </w:r>
      <w:r w:rsidR="00022DF5" w:rsidRPr="00955007">
        <w:t>,</w:t>
      </w:r>
      <w:r w:rsidR="009A0079" w:rsidRPr="00955007">
        <w:t xml:space="preserve"> it was </w:t>
      </w:r>
      <w:r w:rsidR="00081D69" w:rsidRPr="00955007">
        <w:t xml:space="preserve">included </w:t>
      </w:r>
      <w:r w:rsidR="00E916FD" w:rsidRPr="00955007">
        <w:t xml:space="preserve">to </w:t>
      </w:r>
      <w:r w:rsidR="002D503A" w:rsidRPr="00955007">
        <w:t>captur</w:t>
      </w:r>
      <w:r w:rsidR="00EE45D3" w:rsidRPr="00955007">
        <w:t xml:space="preserve">e a baseline </w:t>
      </w:r>
      <w:r w:rsidR="009A0079" w:rsidRPr="00955007">
        <w:t>clinical assessment upon</w:t>
      </w:r>
      <w:r w:rsidR="00EE45D3" w:rsidRPr="00955007">
        <w:t xml:space="preserve"> which </w:t>
      </w:r>
      <w:r w:rsidR="009A0079" w:rsidRPr="00955007">
        <w:t>future</w:t>
      </w:r>
      <w:r w:rsidR="00E916FD" w:rsidRPr="00955007">
        <w:t xml:space="preserve"> ass</w:t>
      </w:r>
      <w:r w:rsidR="009A0079" w:rsidRPr="00955007">
        <w:t>essments</w:t>
      </w:r>
      <w:r w:rsidR="00022DF5" w:rsidRPr="00955007">
        <w:t xml:space="preserve"> are compared to determine </w:t>
      </w:r>
      <w:r w:rsidR="00E916FD" w:rsidRPr="00955007">
        <w:t>responsiveness</w:t>
      </w:r>
      <w:r w:rsidR="002D503A" w:rsidRPr="00955007">
        <w:t xml:space="preserve"> </w:t>
      </w:r>
      <w:r w:rsidR="009A0079" w:rsidRPr="00955007">
        <w:t>to treatment</w:t>
      </w:r>
      <w:r w:rsidR="00022DF5" w:rsidRPr="00955007">
        <w:t>.</w:t>
      </w:r>
      <w:r w:rsidR="009A0079" w:rsidRPr="00955007">
        <w:t xml:space="preserve"> </w:t>
      </w:r>
      <w:r w:rsidR="00022DF5" w:rsidRPr="00955007">
        <w:t xml:space="preserve">The </w:t>
      </w:r>
      <w:r w:rsidR="009A0079" w:rsidRPr="00955007">
        <w:t xml:space="preserve">measure of </w:t>
      </w:r>
      <w:r w:rsidR="00E916FD" w:rsidRPr="00955007">
        <w:t>baseline impairment needed for access to Ig therapy</w:t>
      </w:r>
      <w:r w:rsidR="00B00BA6" w:rsidRPr="00955007">
        <w:t xml:space="preserve"> is captured by the </w:t>
      </w:r>
      <w:r w:rsidR="00A661CE" w:rsidRPr="00955007">
        <w:t>Overall Neuropathy Limitations Scale (</w:t>
      </w:r>
      <w:r w:rsidR="00B00BA6" w:rsidRPr="00955007">
        <w:t>ONLS</w:t>
      </w:r>
      <w:r w:rsidR="00A661CE" w:rsidRPr="00955007">
        <w:t>)</w:t>
      </w:r>
      <w:r w:rsidR="00E916FD" w:rsidRPr="00955007">
        <w:t xml:space="preserve">. </w:t>
      </w:r>
      <w:r w:rsidRPr="00955007">
        <w:t>Participants noted that the MRC sum score assesse</w:t>
      </w:r>
      <w:r w:rsidR="00A661CE" w:rsidRPr="00955007">
        <w:t>s</w:t>
      </w:r>
      <w:r w:rsidRPr="00955007">
        <w:t xml:space="preserve"> weakness only and not </w:t>
      </w:r>
      <w:r w:rsidR="00A661CE" w:rsidRPr="00955007">
        <w:t>the</w:t>
      </w:r>
      <w:r w:rsidRPr="00955007">
        <w:t xml:space="preserve"> </w:t>
      </w:r>
      <w:r w:rsidR="00B00BA6" w:rsidRPr="00955007">
        <w:t xml:space="preserve">inability to perform tasks requiring </w:t>
      </w:r>
      <w:r w:rsidRPr="00955007">
        <w:t xml:space="preserve">finer motor skills due to sensory loss. </w:t>
      </w:r>
    </w:p>
    <w:p w14:paraId="66AE17D8" w14:textId="37DF647E" w:rsidR="00B00BA6" w:rsidRDefault="00B00BA6" w:rsidP="00E916FD">
      <w:r w:rsidRPr="00955007">
        <w:t>Clinicians consider</w:t>
      </w:r>
      <w:r w:rsidR="00A661CE" w:rsidRPr="00955007">
        <w:t>ed</w:t>
      </w:r>
      <w:r w:rsidRPr="00955007">
        <w:t xml:space="preserve"> current thresholds </w:t>
      </w:r>
      <w:r w:rsidR="00A661CE" w:rsidRPr="00955007">
        <w:t xml:space="preserve">in the Criteria V3 </w:t>
      </w:r>
      <w:r w:rsidRPr="00955007">
        <w:t>appropriate and consistent with international standards</w:t>
      </w:r>
      <w:r w:rsidR="00A661CE" w:rsidRPr="00955007">
        <w:t>,</w:t>
      </w:r>
      <w:r w:rsidRPr="00955007">
        <w:t xml:space="preserve"> </w:t>
      </w:r>
      <w:r w:rsidR="00A661CE" w:rsidRPr="00955007">
        <w:t>noting that</w:t>
      </w:r>
      <w:r w:rsidRPr="00955007">
        <w:t xml:space="preserve"> ONLS has a greater sensitivity to change than MRC. </w:t>
      </w:r>
      <w:r w:rsidR="00A661CE" w:rsidRPr="00955007">
        <w:t xml:space="preserve">Clinicians noted that </w:t>
      </w:r>
      <w:r w:rsidRPr="00955007">
        <w:t xml:space="preserve">ONLS is </w:t>
      </w:r>
      <w:r w:rsidR="00A661CE" w:rsidRPr="00955007">
        <w:t>a</w:t>
      </w:r>
      <w:r w:rsidRPr="00955007">
        <w:t xml:space="preserve"> derivation of the previous </w:t>
      </w:r>
      <w:r w:rsidR="00A661CE" w:rsidRPr="00955007">
        <w:t>Inflammatory Neuropathy Cause and Treatment (</w:t>
      </w:r>
      <w:r w:rsidRPr="00955007">
        <w:t>INCAT</w:t>
      </w:r>
      <w:r w:rsidR="00A661CE" w:rsidRPr="00955007">
        <w:t>) with additional scoring to assess lower limb disability and is likely to be more sensitive. W</w:t>
      </w:r>
      <w:r w:rsidRPr="00955007">
        <w:t>hile there are other scores used in clinical trial</w:t>
      </w:r>
      <w:r w:rsidR="00A661CE" w:rsidRPr="00955007">
        <w:t>s,</w:t>
      </w:r>
      <w:r w:rsidRPr="00955007">
        <w:t xml:space="preserve"> the ONLS was considered the most appropriate for inclusion in the Criteria V3 </w:t>
      </w:r>
      <w:r w:rsidR="00A661CE" w:rsidRPr="00955007">
        <w:t>in favour</w:t>
      </w:r>
      <w:r w:rsidRPr="00955007">
        <w:t xml:space="preserve"> of allow</w:t>
      </w:r>
      <w:r w:rsidRPr="00402B1F">
        <w:t xml:space="preserve">ing </w:t>
      </w:r>
      <w:r>
        <w:t>different scores to be used</w:t>
      </w:r>
      <w:r w:rsidRPr="00402B1F">
        <w:t xml:space="preserve">. </w:t>
      </w:r>
    </w:p>
    <w:p w14:paraId="154B456D" w14:textId="4B9013B1" w:rsidR="009F365A" w:rsidRDefault="00B00BA6" w:rsidP="00E916FD">
      <w:r>
        <w:t xml:space="preserve">For the </w:t>
      </w:r>
      <w:r w:rsidRPr="007257F4">
        <w:t xml:space="preserve">paediatric CIDP population, </w:t>
      </w:r>
      <w:r w:rsidR="00815FB8" w:rsidRPr="007257F4">
        <w:t>meeting attendees</w:t>
      </w:r>
      <w:r w:rsidRPr="007257F4">
        <w:t xml:space="preserve"> were informed that at the time of writing the Criteria V3, paediatric neurologists advised that </w:t>
      </w:r>
      <w:r w:rsidR="004E3A19">
        <w:t xml:space="preserve">a defined </w:t>
      </w:r>
      <w:r w:rsidRPr="007257F4">
        <w:t xml:space="preserve">6MWT </w:t>
      </w:r>
      <w:r w:rsidR="00815FB8" w:rsidRPr="007257F4">
        <w:t xml:space="preserve">value </w:t>
      </w:r>
      <w:r w:rsidRPr="007257F4">
        <w:t>to justify Ig therapy was not appropriate, rather responsiveness should</w:t>
      </w:r>
      <w:r>
        <w:t xml:space="preserve"> be assessed. Overall, as CIDP in </w:t>
      </w:r>
      <w:r w:rsidR="004E3A19">
        <w:t xml:space="preserve">children </w:t>
      </w:r>
      <w:r>
        <w:t>is rare, clinicians considered it unlikely that Ig would be over prescribed for this population.</w:t>
      </w:r>
    </w:p>
    <w:p w14:paraId="7EF39CD9" w14:textId="032B6687" w:rsidR="0012412D" w:rsidRDefault="00277C95" w:rsidP="0012412D">
      <w:pPr>
        <w:pStyle w:val="Heading2"/>
      </w:pPr>
      <w:r>
        <w:t>3.</w:t>
      </w:r>
      <w:r w:rsidR="00E43C86">
        <w:t>3. Reviews and decisions to continue or cease treatment with Ig</w:t>
      </w:r>
    </w:p>
    <w:p w14:paraId="5A034892" w14:textId="7DCA30C5" w:rsidR="000D2A95" w:rsidRDefault="006C16D6" w:rsidP="00F0484D">
      <w:r>
        <w:t>Participants were directed to the</w:t>
      </w:r>
      <w:r w:rsidR="000D2A95">
        <w:t xml:space="preserve"> </w:t>
      </w:r>
      <w:r>
        <w:t>Criteria V3 ‘</w:t>
      </w:r>
      <w:r w:rsidR="000D2A95">
        <w:t>Review Criteria for Assessing the Effectiveness of IVIg use for patients with CIDP</w:t>
      </w:r>
      <w:r>
        <w:t>’ that states</w:t>
      </w:r>
      <w:r w:rsidR="004E6FB8">
        <w:t xml:space="preserve"> a review by a neurologist is required after four months of Ig therapy to determine whether the patient has responded.  If there is no benefit after this period of treatment, IVIg therapy should be abandoned. Where treatment is continued, a review by a neurologist or general physician is required each 12 months. A </w:t>
      </w:r>
      <w:r>
        <w:t>trial of cessation should be considered each 12 months in patients in remission on maintenance therapy.</w:t>
      </w:r>
      <w:r w:rsidR="000D2A95">
        <w:t xml:space="preserve"> </w:t>
      </w:r>
    </w:p>
    <w:p w14:paraId="3D8202F3" w14:textId="3350A3CB" w:rsidR="00701A94" w:rsidRPr="00701A94" w:rsidRDefault="00701A94" w:rsidP="00701A94">
      <w:r>
        <w:t>A summary of</w:t>
      </w:r>
      <w:r w:rsidR="006C16D6">
        <w:t xml:space="preserve"> </w:t>
      </w:r>
      <w:r w:rsidR="003D0403">
        <w:t>BloodSTAR</w:t>
      </w:r>
      <w:r w:rsidR="00051D5B">
        <w:t xml:space="preserve"> data </w:t>
      </w:r>
      <w:r w:rsidR="006C16D6" w:rsidRPr="00553424">
        <w:rPr>
          <w:i/>
          <w:iCs/>
        </w:rPr>
        <w:t>‘Analysis of patients initiating, ceasing and continuing Ig therapy for the treatment of CIDP’</w:t>
      </w:r>
      <w:r w:rsidR="006C16D6" w:rsidRPr="006C16D6">
        <w:t xml:space="preserve"> </w:t>
      </w:r>
      <w:r w:rsidR="006C16D6">
        <w:t>from the Revised 1564 DCAR was presented</w:t>
      </w:r>
      <w:r w:rsidR="005C2833">
        <w:t xml:space="preserve"> </w:t>
      </w:r>
      <w:r w:rsidR="00CE031B">
        <w:t>showing</w:t>
      </w:r>
      <w:r w:rsidR="005C2833">
        <w:t xml:space="preserve"> Ig supply for CIDP from initiation to beyond the second clinical review at 16 months</w:t>
      </w:r>
      <w:r w:rsidR="006C16D6">
        <w:t>. Of</w:t>
      </w:r>
      <w:r w:rsidRPr="00701A94">
        <w:t xml:space="preserve"> the </w:t>
      </w:r>
      <w:r w:rsidR="005C2833">
        <w:t>291</w:t>
      </w:r>
      <w:r w:rsidR="005C2833" w:rsidRPr="00701A94">
        <w:t xml:space="preserve"> </w:t>
      </w:r>
      <w:r w:rsidRPr="00701A94">
        <w:t xml:space="preserve">patients who initiated Ig for CIDP </w:t>
      </w:r>
      <w:r w:rsidR="005C2833">
        <w:t>during</w:t>
      </w:r>
      <w:r w:rsidRPr="00701A94">
        <w:t xml:space="preserve"> the study period: </w:t>
      </w:r>
    </w:p>
    <w:p w14:paraId="5EB22884" w14:textId="77777777" w:rsidR="005C2833" w:rsidRPr="005950FF" w:rsidRDefault="005C2833" w:rsidP="005C2833">
      <w:pPr>
        <w:pStyle w:val="ListParagraph"/>
        <w:numPr>
          <w:ilvl w:val="0"/>
          <w:numId w:val="4"/>
        </w:numPr>
        <w:spacing w:before="120" w:after="120"/>
      </w:pPr>
      <w:r w:rsidRPr="005950FF">
        <w:t xml:space="preserve">94 (32%) patients ceased Ig on or before the first clinical review at four months; </w:t>
      </w:r>
    </w:p>
    <w:p w14:paraId="755516D4" w14:textId="2B70D353" w:rsidR="00701A94" w:rsidRPr="00701A94" w:rsidRDefault="005C2833" w:rsidP="00701A94">
      <w:pPr>
        <w:pStyle w:val="ListParagraph"/>
        <w:numPr>
          <w:ilvl w:val="0"/>
          <w:numId w:val="4"/>
        </w:numPr>
      </w:pPr>
      <w:r w:rsidRPr="005950FF">
        <w:t>99 (34%) patients were continuously supplied beyond the second clinical review (16 months) date and without a break in supply</w:t>
      </w:r>
      <w:r>
        <w:t xml:space="preserve">; </w:t>
      </w:r>
    </w:p>
    <w:p w14:paraId="79559C17" w14:textId="3203FDAD" w:rsidR="00701A94" w:rsidRPr="00701A94" w:rsidRDefault="005C2833" w:rsidP="00701A94">
      <w:pPr>
        <w:pStyle w:val="ListParagraph"/>
        <w:numPr>
          <w:ilvl w:val="0"/>
          <w:numId w:val="4"/>
        </w:numPr>
      </w:pPr>
      <w:r>
        <w:t xml:space="preserve">A further </w:t>
      </w:r>
      <w:r w:rsidRPr="005950FF">
        <w:t>39 (13%) patients continued Ig therapy beyond the second review date, but did have at least one break of greater than two months during follow-up</w:t>
      </w:r>
      <w:r w:rsidR="003D0403">
        <w:t>; and</w:t>
      </w:r>
    </w:p>
    <w:p w14:paraId="3B4BDE37" w14:textId="04B79216" w:rsidR="00701A94" w:rsidRPr="00701A94" w:rsidRDefault="005C2833" w:rsidP="00701A94">
      <w:pPr>
        <w:pStyle w:val="ListParagraph"/>
        <w:numPr>
          <w:ilvl w:val="0"/>
          <w:numId w:val="4"/>
        </w:numPr>
      </w:pPr>
      <w:r w:rsidRPr="005950FF">
        <w:lastRenderedPageBreak/>
        <w:t>55 (19%) patients ceased Ig between the first and second clinical review and did not reinitiate in the follow-up period</w:t>
      </w:r>
      <w:r w:rsidR="003D0403">
        <w:t>.</w:t>
      </w:r>
    </w:p>
    <w:p w14:paraId="097179C1" w14:textId="3BE2F3AB" w:rsidR="00D86892" w:rsidRDefault="00D86892" w:rsidP="00F0484D">
      <w:r>
        <w:t xml:space="preserve">Participants </w:t>
      </w:r>
      <w:r w:rsidR="00051D5B">
        <w:t xml:space="preserve">considered the </w:t>
      </w:r>
      <w:r w:rsidR="004804DD">
        <w:t>results of the analysis</w:t>
      </w:r>
      <w:r>
        <w:t xml:space="preserve"> </w:t>
      </w:r>
      <w:r w:rsidR="009D011A">
        <w:t>reporting</w:t>
      </w:r>
      <w:r w:rsidRPr="00D86892">
        <w:t xml:space="preserve"> </w:t>
      </w:r>
      <w:r w:rsidR="00051D5B">
        <w:t>‘</w:t>
      </w:r>
      <w:r w:rsidRPr="00D86892">
        <w:t>3</w:t>
      </w:r>
      <w:r w:rsidR="00AB2AC1">
        <w:t>2</w:t>
      </w:r>
      <w:r w:rsidRPr="00D86892">
        <w:t xml:space="preserve">% of patients ceased </w:t>
      </w:r>
      <w:r w:rsidR="00051D5B">
        <w:t>Ig</w:t>
      </w:r>
      <w:r w:rsidRPr="00D86892">
        <w:t xml:space="preserve"> on or before the first review</w:t>
      </w:r>
      <w:r w:rsidR="00BA1D0D">
        <w:t xml:space="preserve"> at four months</w:t>
      </w:r>
      <w:r w:rsidR="00051D5B">
        <w:t>’</w:t>
      </w:r>
      <w:r w:rsidR="009D011A">
        <w:t xml:space="preserve"> to be</w:t>
      </w:r>
      <w:r w:rsidRPr="00D86892">
        <w:t xml:space="preserve"> encouraging </w:t>
      </w:r>
      <w:r w:rsidR="009D011A">
        <w:t>as</w:t>
      </w:r>
      <w:r w:rsidRPr="00D86892">
        <w:t xml:space="preserve"> </w:t>
      </w:r>
      <w:r>
        <w:t>it appears</w:t>
      </w:r>
      <w:r w:rsidRPr="00D86892">
        <w:t xml:space="preserve"> patients trialling </w:t>
      </w:r>
      <w:r w:rsidR="00051D5B">
        <w:t>Ig therapy</w:t>
      </w:r>
      <w:r w:rsidRPr="00D86892">
        <w:t xml:space="preserve"> are being </w:t>
      </w:r>
      <w:r>
        <w:t>ceased</w:t>
      </w:r>
      <w:r w:rsidRPr="00D86892">
        <w:t xml:space="preserve"> if not responding. </w:t>
      </w:r>
      <w:r w:rsidR="00701A94">
        <w:t xml:space="preserve">It was </w:t>
      </w:r>
      <w:r w:rsidR="00051D5B">
        <w:t>noted</w:t>
      </w:r>
      <w:r w:rsidR="00701A94">
        <w:t xml:space="preserve"> that </w:t>
      </w:r>
      <w:r w:rsidRPr="00D86892">
        <w:t xml:space="preserve">these patients </w:t>
      </w:r>
      <w:r w:rsidR="00051D5B">
        <w:t>may not have</w:t>
      </w:r>
      <w:r w:rsidRPr="00D86892">
        <w:t xml:space="preserve"> CIDP</w:t>
      </w:r>
      <w:r w:rsidR="00051D5B">
        <w:t>,</w:t>
      </w:r>
      <w:r w:rsidRPr="00D86892">
        <w:t xml:space="preserve"> </w:t>
      </w:r>
      <w:r w:rsidR="00051D5B">
        <w:t>or</w:t>
      </w:r>
      <w:r w:rsidRPr="00D86892">
        <w:t xml:space="preserve"> some </w:t>
      </w:r>
      <w:r w:rsidR="00051D5B">
        <w:t>may have</w:t>
      </w:r>
      <w:r w:rsidRPr="00D86892">
        <w:t xml:space="preserve"> CIDP but not </w:t>
      </w:r>
      <w:r w:rsidR="00051D5B">
        <w:t xml:space="preserve">are not </w:t>
      </w:r>
      <w:r w:rsidRPr="00D86892">
        <w:t>respon</w:t>
      </w:r>
      <w:r w:rsidR="00051D5B">
        <w:t>sive</w:t>
      </w:r>
      <w:r w:rsidRPr="00D86892">
        <w:t xml:space="preserve"> to </w:t>
      </w:r>
      <w:r w:rsidR="00051D5B">
        <w:t>treatment with Ig</w:t>
      </w:r>
      <w:r w:rsidRPr="00D86892">
        <w:t>.</w:t>
      </w:r>
      <w:r w:rsidR="00901A21">
        <w:t xml:space="preserve"> </w:t>
      </w:r>
    </w:p>
    <w:p w14:paraId="205172FD" w14:textId="17808A35" w:rsidR="00887D84" w:rsidRPr="00887D84" w:rsidRDefault="00887D84" w:rsidP="00887D84">
      <w:r w:rsidRPr="00887D84">
        <w:t>One participant noted that IVIg administration and attendance to hospital to receive infusions is unfavourable to most patients, and they would be unlikely to continue treatment if their condition was not improving</w:t>
      </w:r>
      <w:r w:rsidR="00E967D6">
        <w:t>.</w:t>
      </w:r>
      <w:r w:rsidRPr="00887D84">
        <w:t xml:space="preserve"> Other participants considered patients are likely to want to continue with Ig due to its appreciable placebo effect, but noted that the objective disability scales included in the Criteria V3 were chosen so that treatment continuation would be based on an objective response rather than </w:t>
      </w:r>
      <w:r w:rsidR="004E3A19">
        <w:t xml:space="preserve">subjective </w:t>
      </w:r>
      <w:r w:rsidRPr="00887D84">
        <w:t xml:space="preserve">patient </w:t>
      </w:r>
      <w:r w:rsidR="004E3A19">
        <w:t>reported outcomes</w:t>
      </w:r>
      <w:r w:rsidRPr="00887D84">
        <w:t xml:space="preserve">. It was also noted that patients were more accepting of weaning </w:t>
      </w:r>
      <w:r w:rsidR="00E967D6">
        <w:t xml:space="preserve">off </w:t>
      </w:r>
      <w:r w:rsidRPr="00887D84">
        <w:t>Ig therapy rather than ceas</w:t>
      </w:r>
      <w:r w:rsidR="00F42566">
        <w:t>ing treatment</w:t>
      </w:r>
      <w:r w:rsidRPr="00887D84">
        <w:t xml:space="preserve"> abruptly.</w:t>
      </w:r>
    </w:p>
    <w:p w14:paraId="78D625DE" w14:textId="5CBDF78E" w:rsidR="009D011A" w:rsidRDefault="004804DD" w:rsidP="00F0484D">
      <w:r>
        <w:t>P</w:t>
      </w:r>
      <w:r w:rsidR="009D011A">
        <w:t>articipants</w:t>
      </w:r>
      <w:r w:rsidR="009D011A" w:rsidRPr="009D011A">
        <w:t xml:space="preserve"> </w:t>
      </w:r>
      <w:r>
        <w:t xml:space="preserve">were asked </w:t>
      </w:r>
      <w:r w:rsidR="009D011A" w:rsidRPr="009D011A">
        <w:t xml:space="preserve">what influences these clinical decisions </w:t>
      </w:r>
      <w:r w:rsidR="0026777F">
        <w:t xml:space="preserve">to wean Ig therapy </w:t>
      </w:r>
      <w:r w:rsidR="009D011A" w:rsidRPr="009D011A">
        <w:t>and if more frequent mandated reviews would be feasible to assist identify patients in remission earlier.</w:t>
      </w:r>
    </w:p>
    <w:p w14:paraId="3309068F" w14:textId="078C614A" w:rsidR="00F0484D" w:rsidRDefault="002A766E" w:rsidP="00F0484D">
      <w:r>
        <w:t>Participants</w:t>
      </w:r>
      <w:r w:rsidR="003B2396">
        <w:t xml:space="preserve"> agreed that the decision to continue or cease treatment with Ig was almost entirely a clinical decision </w:t>
      </w:r>
      <w:r w:rsidR="00733C4E">
        <w:t>based on stable outcome scores</w:t>
      </w:r>
      <w:r w:rsidR="00803616">
        <w:t xml:space="preserve">, </w:t>
      </w:r>
      <w:r w:rsidR="003B2396">
        <w:t xml:space="preserve">and unlike the initiation of treatment it </w:t>
      </w:r>
      <w:r w:rsidR="00456B48">
        <w:t>is not</w:t>
      </w:r>
      <w:r w:rsidR="003B2396">
        <w:t xml:space="preserve"> guided by </w:t>
      </w:r>
      <w:r w:rsidR="00456B48">
        <w:t>electrophysiological</w:t>
      </w:r>
      <w:r w:rsidR="004804DD">
        <w:t xml:space="preserve"> </w:t>
      </w:r>
      <w:r w:rsidR="003B2396">
        <w:t>test</w:t>
      </w:r>
      <w:r w:rsidR="004804DD">
        <w:t>ing</w:t>
      </w:r>
      <w:r w:rsidR="00733C4E">
        <w:t xml:space="preserve"> or other investigation findings</w:t>
      </w:r>
      <w:r w:rsidR="003B2396">
        <w:t>.</w:t>
      </w:r>
      <w:r w:rsidR="00456B48">
        <w:t xml:space="preserve"> Clinicians noted that </w:t>
      </w:r>
      <w:r w:rsidR="00EE45D3">
        <w:t xml:space="preserve">the </w:t>
      </w:r>
      <w:r w:rsidR="00456B48">
        <w:t xml:space="preserve">absence of </w:t>
      </w:r>
      <w:r w:rsidR="00EE45D3">
        <w:t xml:space="preserve">any </w:t>
      </w:r>
      <w:r w:rsidR="00456B48">
        <w:t xml:space="preserve">deterioration of the patient’s clinical status towards the end of the Ig treatment cycle </w:t>
      </w:r>
      <w:r w:rsidR="00901A21">
        <w:t>indicates</w:t>
      </w:r>
      <w:r w:rsidR="00456B48">
        <w:t xml:space="preserve"> that the patient </w:t>
      </w:r>
      <w:r w:rsidR="00901A21">
        <w:t>may be</w:t>
      </w:r>
      <w:r w:rsidR="00456B48">
        <w:t xml:space="preserve"> in remission and helps to guide </w:t>
      </w:r>
      <w:r w:rsidR="0026777F">
        <w:t xml:space="preserve">clinicians on when </w:t>
      </w:r>
      <w:r w:rsidR="00EE45D3">
        <w:t>patients</w:t>
      </w:r>
      <w:r w:rsidR="00887D84">
        <w:t xml:space="preserve"> should be considered for </w:t>
      </w:r>
      <w:r w:rsidR="00456B48">
        <w:t xml:space="preserve">weaning </w:t>
      </w:r>
      <w:r w:rsidR="00887D84">
        <w:t>off Ig.</w:t>
      </w:r>
    </w:p>
    <w:p w14:paraId="6061F4E1" w14:textId="71504317" w:rsidR="00D0799B" w:rsidRPr="00F0484D" w:rsidRDefault="004C516C" w:rsidP="00F0484D">
      <w:r>
        <w:t xml:space="preserve">With respect to mandated review periods to identify </w:t>
      </w:r>
      <w:r w:rsidRPr="007257F4">
        <w:t>patients in remission, p</w:t>
      </w:r>
      <w:r w:rsidR="00D0799B" w:rsidRPr="007257F4">
        <w:t xml:space="preserve">articipants noted that </w:t>
      </w:r>
      <w:r w:rsidR="007550A2" w:rsidRPr="007257F4">
        <w:t xml:space="preserve">best practice </w:t>
      </w:r>
      <w:r w:rsidRPr="007257F4">
        <w:t>is for</w:t>
      </w:r>
      <w:r w:rsidR="007550A2" w:rsidRPr="007257F4">
        <w:t xml:space="preserve"> clinicians </w:t>
      </w:r>
      <w:r w:rsidR="00D0799B" w:rsidRPr="007257F4">
        <w:t xml:space="preserve">to review a patient with CIDP receiving Ig therapy </w:t>
      </w:r>
      <w:r w:rsidR="007550A2" w:rsidRPr="007257F4">
        <w:t xml:space="preserve">every three to six months to assess response </w:t>
      </w:r>
      <w:r w:rsidR="00553424" w:rsidRPr="007257F4">
        <w:t>to treatment and clinical status</w:t>
      </w:r>
      <w:r w:rsidR="007550A2" w:rsidRPr="007257F4">
        <w:t xml:space="preserve">, which is </w:t>
      </w:r>
      <w:r w:rsidR="00D0799B" w:rsidRPr="007257F4">
        <w:t>more often than the required annual review timeframe outlined in the Criteria</w:t>
      </w:r>
      <w:r w:rsidR="00833D33" w:rsidRPr="007257F4">
        <w:t xml:space="preserve"> V3</w:t>
      </w:r>
      <w:r w:rsidR="007550A2" w:rsidRPr="007257F4">
        <w:t>. Clinicians considered these more frequent reviews are probably already occurring</w:t>
      </w:r>
      <w:r w:rsidR="00553424" w:rsidRPr="007257F4">
        <w:t xml:space="preserve"> although they are not mandated in the Criteria V3</w:t>
      </w:r>
      <w:r w:rsidR="007550A2" w:rsidRPr="007257F4">
        <w:t xml:space="preserve">, </w:t>
      </w:r>
      <w:r w:rsidR="00D0799B" w:rsidRPr="007257F4">
        <w:t>with the exception of patients living in regional or remote locations</w:t>
      </w:r>
      <w:r w:rsidR="00D0799B">
        <w:t xml:space="preserve"> who</w:t>
      </w:r>
      <w:r w:rsidR="00553424">
        <w:t xml:space="preserve"> may</w:t>
      </w:r>
      <w:r w:rsidR="00D0799B">
        <w:t xml:space="preserve"> face difficulties to access a specialised clinician more regularly</w:t>
      </w:r>
      <w:r w:rsidR="007550A2">
        <w:t xml:space="preserve"> than the required 12 monthly timeframe for review</w:t>
      </w:r>
      <w:r w:rsidR="00D0799B">
        <w:t xml:space="preserve">. </w:t>
      </w:r>
    </w:p>
    <w:p w14:paraId="13EFCD38" w14:textId="5170A129" w:rsidR="0012412D" w:rsidRDefault="00277C95" w:rsidP="0012412D">
      <w:pPr>
        <w:pStyle w:val="Heading2"/>
      </w:pPr>
      <w:r>
        <w:t>3.</w:t>
      </w:r>
      <w:r w:rsidR="00E43C86">
        <w:t xml:space="preserve">4. </w:t>
      </w:r>
      <w:r w:rsidR="007A584D">
        <w:t>D</w:t>
      </w:r>
      <w:r w:rsidR="00E43C86">
        <w:t>osing of Ig</w:t>
      </w:r>
    </w:p>
    <w:p w14:paraId="0C66D994" w14:textId="02FA1384" w:rsidR="00475B4B" w:rsidRPr="00517A88" w:rsidRDefault="00475B4B" w:rsidP="00475B4B">
      <w:pPr>
        <w:pStyle w:val="ListParagraph"/>
        <w:numPr>
          <w:ilvl w:val="0"/>
          <w:numId w:val="3"/>
        </w:numPr>
        <w:rPr>
          <w:i/>
          <w:iCs/>
        </w:rPr>
      </w:pPr>
      <w:r w:rsidRPr="00517A88">
        <w:rPr>
          <w:i/>
          <w:iCs/>
        </w:rPr>
        <w:t>Dosing frequency and method of dose calculation (actual vs ideal body weight</w:t>
      </w:r>
      <w:r w:rsidR="00E94926" w:rsidRPr="00517A88">
        <w:rPr>
          <w:i/>
          <w:iCs/>
        </w:rPr>
        <w:t xml:space="preserve"> (IBW)</w:t>
      </w:r>
      <w:r w:rsidRPr="00517A88">
        <w:rPr>
          <w:i/>
          <w:iCs/>
        </w:rPr>
        <w:t xml:space="preserve"> dosing)</w:t>
      </w:r>
    </w:p>
    <w:p w14:paraId="60E78098" w14:textId="0FDB3725" w:rsidR="00517A88" w:rsidRDefault="00A36E3F" w:rsidP="00E94926">
      <w:r>
        <w:t>NBA data which was included in</w:t>
      </w:r>
      <w:r w:rsidR="00553424" w:rsidRPr="00553424">
        <w:t xml:space="preserve"> the Revised 1564 DCAR</w:t>
      </w:r>
      <w:r>
        <w:t>,</w:t>
      </w:r>
      <w:r w:rsidR="00517A88">
        <w:t xml:space="preserve"> showed there was considerable variation in the Ig doses supplied </w:t>
      </w:r>
      <w:r>
        <w:t>for patients with CIDP. There has also been increasing use</w:t>
      </w:r>
      <w:r w:rsidR="00517A88">
        <w:t xml:space="preserve"> (grams of Ig supplied) per patient/year for CIDP. It was noted </w:t>
      </w:r>
      <w:r>
        <w:t xml:space="preserve">there is </w:t>
      </w:r>
      <w:r w:rsidR="00517A88">
        <w:t>little evidence to guide frequency and methods of calculating Ig dosing for maintenance treatment of CIDP.</w:t>
      </w:r>
      <w:r w:rsidR="0041468D">
        <w:t xml:space="preserve"> </w:t>
      </w:r>
    </w:p>
    <w:p w14:paraId="4C7D7A2F" w14:textId="78B11011" w:rsidR="0041468D" w:rsidRDefault="00A36E3F" w:rsidP="00E94926">
      <w:r>
        <w:t>Clinicians’ views</w:t>
      </w:r>
      <w:r w:rsidR="0041468D" w:rsidRPr="0041468D">
        <w:t xml:space="preserve"> </w:t>
      </w:r>
      <w:r>
        <w:t xml:space="preserve">were sought on how </w:t>
      </w:r>
      <w:r w:rsidR="0041468D" w:rsidRPr="0041468D">
        <w:t xml:space="preserve">loading doses and frequency of maintenance doses </w:t>
      </w:r>
      <w:r>
        <w:t xml:space="preserve">are decided </w:t>
      </w:r>
      <w:r w:rsidR="0041468D" w:rsidRPr="0041468D">
        <w:t>given the range of dose options allowable in BloodSTAR</w:t>
      </w:r>
      <w:r w:rsidR="0041468D">
        <w:t>, and views on using ideal body weight (IBW) versus actual body weight when calculating Ig doses for patients with CIDP.</w:t>
      </w:r>
    </w:p>
    <w:p w14:paraId="214856E6" w14:textId="6610F796" w:rsidR="00812D66" w:rsidRPr="00812D66" w:rsidRDefault="00B178AE" w:rsidP="00812D66">
      <w:r w:rsidRPr="0041468D">
        <w:lastRenderedPageBreak/>
        <w:t>A study</w:t>
      </w:r>
      <w:r>
        <w:t xml:space="preserve"> by Lunn et al 2016</w:t>
      </w:r>
      <w:r>
        <w:rPr>
          <w:rStyle w:val="FootnoteReference"/>
        </w:rPr>
        <w:footnoteReference w:id="5"/>
      </w:r>
      <w:r w:rsidRPr="0041468D">
        <w:t xml:space="preserve"> referenced in the DCAR demonstrated that it is possible to </w:t>
      </w:r>
      <w:r w:rsidR="00812D66">
        <w:t>taper</w:t>
      </w:r>
      <w:r w:rsidR="00B0383A">
        <w:t xml:space="preserve"> </w:t>
      </w:r>
      <w:r>
        <w:t xml:space="preserve">Ig </w:t>
      </w:r>
      <w:r w:rsidRPr="0041468D">
        <w:t xml:space="preserve">dosing to identify the </w:t>
      </w:r>
      <w:r w:rsidR="00812D66">
        <w:t xml:space="preserve">optimum </w:t>
      </w:r>
      <w:r>
        <w:t xml:space="preserve">individualised </w:t>
      </w:r>
      <w:r w:rsidRPr="0041468D">
        <w:t>dose and dose interval</w:t>
      </w:r>
      <w:r>
        <w:t xml:space="preserve"> for patients</w:t>
      </w:r>
      <w:r w:rsidRPr="0041468D">
        <w:t xml:space="preserve">, </w:t>
      </w:r>
      <w:r w:rsidR="00B0383A">
        <w:t xml:space="preserve">noting this </w:t>
      </w:r>
      <w:r w:rsidRPr="0041468D">
        <w:t>may result in a temporary deterioration in</w:t>
      </w:r>
      <w:r w:rsidR="00B0383A">
        <w:t xml:space="preserve"> the</w:t>
      </w:r>
      <w:r w:rsidRPr="0041468D">
        <w:t xml:space="preserve"> patient</w:t>
      </w:r>
      <w:r w:rsidR="00B0383A">
        <w:t>’s</w:t>
      </w:r>
      <w:r w:rsidRPr="0041468D">
        <w:t xml:space="preserve"> clinical </w:t>
      </w:r>
      <w:r w:rsidR="00B0383A">
        <w:t>condition</w:t>
      </w:r>
      <w:r w:rsidRPr="0041468D">
        <w:t>.</w:t>
      </w:r>
      <w:r w:rsidR="007257F4">
        <w:t xml:space="preserve"> </w:t>
      </w:r>
      <w:r w:rsidR="00812D66" w:rsidRPr="00812D66">
        <w:t xml:space="preserve">According to this </w:t>
      </w:r>
      <w:r w:rsidR="00F42566">
        <w:t>dosing</w:t>
      </w:r>
      <w:r w:rsidR="00812D66" w:rsidRPr="00812D66">
        <w:t xml:space="preserve"> algorithm patients </w:t>
      </w:r>
      <w:r w:rsidR="00812D66">
        <w:t>were</w:t>
      </w:r>
      <w:r w:rsidR="00812D66" w:rsidRPr="00812D66">
        <w:t xml:space="preserve"> treated with one or two initial IVIg doses of 2gm/kg at an interval of three weeks and their response </w:t>
      </w:r>
      <w:r w:rsidR="00812D66">
        <w:t>was</w:t>
      </w:r>
      <w:r w:rsidR="00812D66" w:rsidRPr="00812D66">
        <w:t xml:space="preserve"> assessed</w:t>
      </w:r>
      <w:r w:rsidR="00F42566">
        <w:t>. T</w:t>
      </w:r>
      <w:r w:rsidR="00812D66" w:rsidRPr="00812D66">
        <w:t>hen a third dose is not administered until the patient’s condition deteriorates, allowing a “dose interval” to be set. The dose is then reduced by 20% per course until relapse, allowing dose optimization.</w:t>
      </w:r>
    </w:p>
    <w:p w14:paraId="66A41C1E" w14:textId="4ABEC91C" w:rsidR="00B178AE" w:rsidRDefault="00B178AE" w:rsidP="00B178AE">
      <w:r>
        <w:t xml:space="preserve">Some clinicians noted that practice in Australia differs because after the initial loading dose, clinicians </w:t>
      </w:r>
      <w:r w:rsidR="008F676F">
        <w:t>usually</w:t>
      </w:r>
      <w:r>
        <w:t xml:space="preserve"> titrate up from the lowest </w:t>
      </w:r>
      <w:r w:rsidR="00E51CA4">
        <w:t xml:space="preserve">recommended </w:t>
      </w:r>
      <w:r>
        <w:t xml:space="preserve">maintenance dose. </w:t>
      </w:r>
      <w:r w:rsidR="008F676F">
        <w:t>However,</w:t>
      </w:r>
      <w:r>
        <w:t xml:space="preserve"> there was some difference in clinical opinion</w:t>
      </w:r>
      <w:r w:rsidR="008F676F">
        <w:t xml:space="preserve"> amongst attendees</w:t>
      </w:r>
      <w:r>
        <w:t xml:space="preserve"> whether dosing should start high and titrate down, or start low and titrate up to determine the appropriate dose.</w:t>
      </w:r>
    </w:p>
    <w:p w14:paraId="40D792D3" w14:textId="4D6C346F" w:rsidR="00B178AE" w:rsidRDefault="00D00054" w:rsidP="00B178AE">
      <w:r>
        <w:t>It was</w:t>
      </w:r>
      <w:r w:rsidRPr="003E3273">
        <w:t xml:space="preserve"> </w:t>
      </w:r>
      <w:r w:rsidR="00B178AE" w:rsidRPr="003E3273">
        <w:t xml:space="preserve">noted that </w:t>
      </w:r>
      <w:r w:rsidR="008F676F">
        <w:t>the</w:t>
      </w:r>
      <w:r w:rsidR="00B178AE">
        <w:t xml:space="preserve"> </w:t>
      </w:r>
      <w:r w:rsidR="00B178AE" w:rsidRPr="003E3273">
        <w:t xml:space="preserve">flexibility </w:t>
      </w:r>
      <w:r w:rsidR="00B178AE">
        <w:t>afforded to clinicians in determining the appropriate Ig dose for CIDP is not typical</w:t>
      </w:r>
      <w:r w:rsidR="008F676F">
        <w:t xml:space="preserve"> for </w:t>
      </w:r>
      <w:r w:rsidR="00B178AE" w:rsidRPr="003E3273">
        <w:t>other medicines</w:t>
      </w:r>
      <w:r w:rsidR="00B178AE">
        <w:t xml:space="preserve"> especially those which are costly,</w:t>
      </w:r>
      <w:r w:rsidR="00B178AE" w:rsidRPr="003E3273">
        <w:t xml:space="preserve"> </w:t>
      </w:r>
      <w:r w:rsidR="00B178AE">
        <w:t xml:space="preserve">and this approach may result in inefficient use of Ig due to over or </w:t>
      </w:r>
      <w:r w:rsidR="008F0E00">
        <w:t>under dosing</w:t>
      </w:r>
      <w:r w:rsidR="00B178AE">
        <w:t>.</w:t>
      </w:r>
      <w:r w:rsidR="007162E6">
        <w:t xml:space="preserve"> </w:t>
      </w:r>
      <w:r w:rsidR="00B178AE">
        <w:t xml:space="preserve">Therefore, there was general agreement to support the consideration of developing </w:t>
      </w:r>
      <w:r w:rsidR="00B178AE" w:rsidRPr="003E3273">
        <w:t>a dosing algorithm</w:t>
      </w:r>
      <w:r w:rsidR="00B178AE">
        <w:t xml:space="preserve"> to ensure patients receive a therapeutic dose and there is no wastage of Ig.</w:t>
      </w:r>
      <w:r w:rsidR="00D149FF" w:rsidRPr="00D149FF">
        <w:t xml:space="preserve"> </w:t>
      </w:r>
      <w:r w:rsidR="00D149FF">
        <w:t>However, some participants acknowledged that there may be different dose considerations in Ig treatments, compared to standardised dosing of non-Ig pharmaceuticals.</w:t>
      </w:r>
    </w:p>
    <w:p w14:paraId="5B1AEE15" w14:textId="5998C890" w:rsidR="00B178AE" w:rsidRDefault="00B178AE" w:rsidP="00B178AE">
      <w:r>
        <w:t>Participants acknowledged the lack of evidence to support which method of dose calculation was more effective</w:t>
      </w:r>
      <w:r w:rsidR="00E51CA4">
        <w:t xml:space="preserve">, based on </w:t>
      </w:r>
      <w:r w:rsidR="00DC52C7">
        <w:t>ideal body weight</w:t>
      </w:r>
      <w:r w:rsidR="00E51CA4">
        <w:t xml:space="preserve"> or </w:t>
      </w:r>
      <w:r w:rsidR="00E96716">
        <w:t>bodyweight-based dosing</w:t>
      </w:r>
      <w:r>
        <w:t>. It was suggested this could be addressed outside the Criteria</w:t>
      </w:r>
      <w:r w:rsidR="007257F4">
        <w:t xml:space="preserve"> </w:t>
      </w:r>
      <w:r w:rsidR="00B10E08">
        <w:t>V3</w:t>
      </w:r>
      <w:r>
        <w:t xml:space="preserve"> as an area for potential </w:t>
      </w:r>
      <w:r w:rsidR="00812D66">
        <w:t xml:space="preserve">research </w:t>
      </w:r>
      <w:r>
        <w:t>although participants acknowledged it may be difficult to recruit sufficient patients to conduct a study</w:t>
      </w:r>
      <w:r w:rsidR="00E676A9">
        <w:t xml:space="preserve"> in Australia</w:t>
      </w:r>
      <w:r>
        <w:t xml:space="preserve"> due to the low CIDP prevalence.</w:t>
      </w:r>
    </w:p>
    <w:p w14:paraId="468FCB42" w14:textId="4B2452FA" w:rsidR="006E4579" w:rsidRDefault="00B178AE" w:rsidP="00E94926">
      <w:r>
        <w:t>With regard to weight-based dosing of Ig, i</w:t>
      </w:r>
      <w:r w:rsidR="00DA497A">
        <w:t xml:space="preserve">t was noted that </w:t>
      </w:r>
      <w:r w:rsidR="00E94926">
        <w:t>BloodSTAR provides the option</w:t>
      </w:r>
      <w:r w:rsidR="00DA497A">
        <w:t>, rather than a recommendation,</w:t>
      </w:r>
      <w:r w:rsidR="00E94926">
        <w:t xml:space="preserve"> to use IBW or actual weight when calculating the Ig dose</w:t>
      </w:r>
      <w:r w:rsidR="00DA497A">
        <w:t xml:space="preserve">. Clinicians considered there is conflicting evidence on the relationship between efficacy of weight-based Ig dosing. Some clinicians agreed that IBW should be used as there is no evidence to suggest a difference in efficacy between </w:t>
      </w:r>
      <w:r w:rsidR="00812D66">
        <w:t xml:space="preserve">actual </w:t>
      </w:r>
      <w:r w:rsidR="00DA497A">
        <w:t xml:space="preserve">weight-based versus </w:t>
      </w:r>
      <w:r w:rsidR="00812D66">
        <w:t xml:space="preserve">ideal body weight </w:t>
      </w:r>
      <w:r w:rsidR="00DA497A">
        <w:t xml:space="preserve">dosing of Ig, </w:t>
      </w:r>
      <w:r w:rsidR="00DC52C7">
        <w:t>but other clinicians noted that randomised controlled trials investigated the safety and efficacy of Ig using actual bodyweight (rather than IBW)</w:t>
      </w:r>
      <w:r w:rsidR="00DA497A">
        <w:t xml:space="preserve">. </w:t>
      </w:r>
      <w:r w:rsidR="00494661">
        <w:t xml:space="preserve">Lower effective doses have </w:t>
      </w:r>
      <w:r w:rsidR="00944093">
        <w:t xml:space="preserve">also </w:t>
      </w:r>
      <w:r w:rsidR="00494661">
        <w:t xml:space="preserve">been </w:t>
      </w:r>
      <w:r w:rsidR="0055041C">
        <w:t>reported</w:t>
      </w:r>
      <w:r w:rsidR="00494661">
        <w:t xml:space="preserve"> to be independent of weight and disease duration</w:t>
      </w:r>
      <w:r w:rsidR="00944093">
        <w:rPr>
          <w:rStyle w:val="FootnoteReference"/>
        </w:rPr>
        <w:footnoteReference w:id="6"/>
      </w:r>
      <w:r w:rsidR="00494661">
        <w:t xml:space="preserve">, and therefore </w:t>
      </w:r>
      <w:r w:rsidR="00944093">
        <w:t xml:space="preserve">some </w:t>
      </w:r>
      <w:r w:rsidR="00494661">
        <w:t xml:space="preserve">clinicians considered that </w:t>
      </w:r>
      <w:r w:rsidR="0055041C">
        <w:t xml:space="preserve">a common approach using </w:t>
      </w:r>
      <w:r w:rsidR="00494661">
        <w:t>IBW</w:t>
      </w:r>
      <w:r w:rsidR="0055041C">
        <w:t xml:space="preserve"> based-dosing</w:t>
      </w:r>
      <w:r w:rsidR="00494661">
        <w:t xml:space="preserve"> could </w:t>
      </w:r>
      <w:r w:rsidR="00944093">
        <w:t xml:space="preserve">potentially </w:t>
      </w:r>
      <w:r w:rsidR="00494661">
        <w:t>be used</w:t>
      </w:r>
      <w:r w:rsidR="00944093">
        <w:t xml:space="preserve"> as to help alleviate</w:t>
      </w:r>
      <w:r w:rsidR="00494661">
        <w:t xml:space="preserve"> Ig </w:t>
      </w:r>
      <w:r w:rsidR="00BF5A37">
        <w:t>demand</w:t>
      </w:r>
      <w:r w:rsidR="00494661">
        <w:t xml:space="preserve">. </w:t>
      </w:r>
      <w:r w:rsidR="00DA497A">
        <w:t xml:space="preserve">However, clinicians held different opinions with regards to this. </w:t>
      </w:r>
      <w:r w:rsidR="006E4579">
        <w:t>One participant considered that</w:t>
      </w:r>
      <w:r w:rsidR="006E4579" w:rsidRPr="006E4579">
        <w:t xml:space="preserve"> BloodSTAR </w:t>
      </w:r>
      <w:r>
        <w:t xml:space="preserve">could be enhanced so that </w:t>
      </w:r>
      <w:r w:rsidR="006E4579" w:rsidRPr="006E4579">
        <w:t xml:space="preserve">data </w:t>
      </w:r>
      <w:r w:rsidR="005F3022">
        <w:t>may</w:t>
      </w:r>
      <w:r w:rsidR="006E4579" w:rsidRPr="006E4579">
        <w:t xml:space="preserve"> be reviewed/analysed for outcomes for those patients whose clinicians chose IBW versus those who use actual weight to calculate Ig dosing.</w:t>
      </w:r>
    </w:p>
    <w:p w14:paraId="0BE8B9E4" w14:textId="6492EB9A" w:rsidR="00475B4B" w:rsidRDefault="00475B4B" w:rsidP="00E94926">
      <w:pPr>
        <w:pStyle w:val="ListParagraph"/>
        <w:numPr>
          <w:ilvl w:val="0"/>
          <w:numId w:val="3"/>
        </w:numPr>
      </w:pPr>
      <w:r w:rsidRPr="00517A88">
        <w:rPr>
          <w:i/>
          <w:iCs/>
        </w:rPr>
        <w:t>Equi-effective dosing of IVIg versus SCIg for maintenance therapy</w:t>
      </w:r>
      <w:r w:rsidRPr="00475B4B">
        <w:t>.</w:t>
      </w:r>
    </w:p>
    <w:p w14:paraId="73656150" w14:textId="7FEB293D" w:rsidR="0041468D" w:rsidRDefault="0041468D" w:rsidP="0041468D">
      <w:r>
        <w:t xml:space="preserve">SCIg was approved in August </w:t>
      </w:r>
      <w:r w:rsidRPr="0041468D">
        <w:t xml:space="preserve">2019 for use for the treatment of CIDP under the </w:t>
      </w:r>
      <w:r>
        <w:t>N</w:t>
      </w:r>
      <w:r w:rsidRPr="0041468D">
        <w:t xml:space="preserve">ational </w:t>
      </w:r>
      <w:r>
        <w:t>B</w:t>
      </w:r>
      <w:r w:rsidRPr="0041468D">
        <w:t xml:space="preserve">lood </w:t>
      </w:r>
      <w:r>
        <w:t>A</w:t>
      </w:r>
      <w:r w:rsidRPr="0041468D">
        <w:t>rrangements</w:t>
      </w:r>
      <w:r w:rsidR="0035301C">
        <w:t xml:space="preserve"> and </w:t>
      </w:r>
      <w:r w:rsidR="0035301C" w:rsidRPr="0035301C">
        <w:t>the minimum and maximum dose</w:t>
      </w:r>
      <w:r w:rsidR="00B178AE">
        <w:t xml:space="preserve"> range in </w:t>
      </w:r>
      <w:r w:rsidR="00B178AE" w:rsidRPr="007257F4">
        <w:t xml:space="preserve">the Criteria V3 </w:t>
      </w:r>
      <w:r w:rsidR="0035301C" w:rsidRPr="007257F4">
        <w:t xml:space="preserve">are equivalent </w:t>
      </w:r>
      <w:r w:rsidR="00B178AE" w:rsidRPr="007257F4">
        <w:t xml:space="preserve">to the IVIg dose range </w:t>
      </w:r>
      <w:r w:rsidR="0035301C" w:rsidRPr="007257F4">
        <w:t>(IVIg 0.4-2g/kg, 2-6 weekly and SC 0.2-0.5g</w:t>
      </w:r>
      <w:r w:rsidR="0035301C" w:rsidRPr="0035301C">
        <w:t xml:space="preserve">/kg weekly, </w:t>
      </w:r>
      <w:r w:rsidR="0035301C" w:rsidRPr="0035301C">
        <w:lastRenderedPageBreak/>
        <w:t>both with a maximum of 2g/kg/4-weeks).</w:t>
      </w:r>
      <w:r w:rsidR="0035301C">
        <w:t xml:space="preserve"> </w:t>
      </w:r>
      <w:r w:rsidR="00B178AE">
        <w:t>T</w:t>
      </w:r>
      <w:r w:rsidR="0035301C">
        <w:t xml:space="preserve">he DCAR </w:t>
      </w:r>
      <w:r w:rsidR="00B178AE">
        <w:t>reported that</w:t>
      </w:r>
      <w:r w:rsidR="00B178AE" w:rsidRPr="00B178AE">
        <w:t xml:space="preserve"> </w:t>
      </w:r>
      <w:r w:rsidR="00B178AE">
        <w:t>the dose equivalence of IVIg to SCIg was not well defined</w:t>
      </w:r>
      <w:r w:rsidR="002F4ED4">
        <w:t>. B</w:t>
      </w:r>
      <w:r w:rsidR="0035301C">
        <w:t xml:space="preserve">ased on BloodSTAR data </w:t>
      </w:r>
      <w:r w:rsidR="0035301C" w:rsidRPr="0035301C">
        <w:t xml:space="preserve">it </w:t>
      </w:r>
      <w:r w:rsidR="00E96716" w:rsidRPr="0035301C">
        <w:t>appear</w:t>
      </w:r>
      <w:r w:rsidR="00E96716">
        <w:t>ed</w:t>
      </w:r>
      <w:r w:rsidR="00E96716" w:rsidRPr="0035301C">
        <w:t xml:space="preserve"> that</w:t>
      </w:r>
      <w:r w:rsidR="0035301C" w:rsidRPr="0035301C">
        <w:t xml:space="preserve"> SC</w:t>
      </w:r>
      <w:r w:rsidR="0035301C">
        <w:t>Ig</w:t>
      </w:r>
      <w:r w:rsidR="0035301C" w:rsidRPr="0035301C">
        <w:t xml:space="preserve"> administration </w:t>
      </w:r>
      <w:r w:rsidR="00D362AF">
        <w:t xml:space="preserve">was </w:t>
      </w:r>
      <w:r w:rsidR="0035301C" w:rsidRPr="0035301C">
        <w:t>associated with increased Ig use rather than decreased use</w:t>
      </w:r>
      <w:r w:rsidR="00B178AE">
        <w:t xml:space="preserve"> although this </w:t>
      </w:r>
      <w:r w:rsidR="00D362AF">
        <w:t xml:space="preserve">observation </w:t>
      </w:r>
      <w:r w:rsidR="00B178AE">
        <w:t>was considered uncertain</w:t>
      </w:r>
      <w:r w:rsidR="0035301C" w:rsidRPr="0035301C">
        <w:t>.</w:t>
      </w:r>
    </w:p>
    <w:p w14:paraId="0809F1E0" w14:textId="46C7E3E7" w:rsidR="00C167CC" w:rsidRPr="00475B4B" w:rsidRDefault="00C167CC" w:rsidP="00C167CC">
      <w:r>
        <w:t>Pharmacokinetic (PK) information for approved SCIg products showed that the Ig trough concentrations were similar for lower (0.2g/kg/week) and higher dose (0.4g/kg/week) SCIg doses</w:t>
      </w:r>
      <w:r w:rsidR="0038579B">
        <w:t xml:space="preserve"> which correlates with the </w:t>
      </w:r>
      <w:r w:rsidR="00A83FAD">
        <w:t xml:space="preserve">clinical </w:t>
      </w:r>
      <w:r w:rsidR="0038579B">
        <w:t>response rates reported in the PATH trial</w:t>
      </w:r>
      <w:r w:rsidR="00A83FAD">
        <w:t>, but not in the PATH trial extension</w:t>
      </w:r>
      <w:r>
        <w:t>.</w:t>
      </w:r>
      <w:r w:rsidRPr="00C167CC">
        <w:t xml:space="preserve"> </w:t>
      </w:r>
      <w:r>
        <w:t>Clinicians noted that trough Ig concentrations were not usually assessed in practice</w:t>
      </w:r>
      <w:r w:rsidR="00A83FAD">
        <w:t xml:space="preserve"> to guide dosing interval</w:t>
      </w:r>
      <w:r>
        <w:t>.</w:t>
      </w:r>
    </w:p>
    <w:p w14:paraId="25CC5FBB" w14:textId="64F07655" w:rsidR="0035301C" w:rsidRDefault="0038579B" w:rsidP="0041468D">
      <w:r>
        <w:t>Clinician views were sought</w:t>
      </w:r>
      <w:r w:rsidR="0035301C">
        <w:t xml:space="preserve"> </w:t>
      </w:r>
      <w:r w:rsidR="00A83FAD">
        <w:t xml:space="preserve">with regards to the administration of IVIg or SCIg </w:t>
      </w:r>
      <w:r w:rsidR="0035301C">
        <w:t xml:space="preserve">on the equi-effective dose </w:t>
      </w:r>
      <w:r w:rsidR="00A83FAD">
        <w:t xml:space="preserve">used in clinical practice </w:t>
      </w:r>
      <w:r w:rsidR="0035301C">
        <w:t xml:space="preserve">and what influences </w:t>
      </w:r>
      <w:r w:rsidR="00A83FAD">
        <w:t>the</w:t>
      </w:r>
      <w:r w:rsidR="0035301C">
        <w:t xml:space="preserve"> clinician decision</w:t>
      </w:r>
      <w:r w:rsidR="00A83FAD">
        <w:t>-making</w:t>
      </w:r>
      <w:r w:rsidR="0035301C">
        <w:t>.</w:t>
      </w:r>
      <w:r w:rsidR="00C167CC" w:rsidRPr="00C167CC">
        <w:t xml:space="preserve"> </w:t>
      </w:r>
    </w:p>
    <w:p w14:paraId="6200B28B" w14:textId="37E1CED6" w:rsidR="00A6256E" w:rsidRDefault="002A766E" w:rsidP="00531E8C">
      <w:r>
        <w:t xml:space="preserve">Participants noted </w:t>
      </w:r>
      <w:r w:rsidR="00C167CC">
        <w:t>it is</w:t>
      </w:r>
      <w:r w:rsidR="00531E8C">
        <w:t xml:space="preserve"> accepted </w:t>
      </w:r>
      <w:r w:rsidR="00CB35A6">
        <w:t>that</w:t>
      </w:r>
      <w:r w:rsidR="00C167CC">
        <w:t xml:space="preserve"> patients who are switched from IVIg to SCIg for maintenance treatment are switched using a</w:t>
      </w:r>
      <w:r w:rsidR="00531E8C">
        <w:t xml:space="preserve"> 1:1 </w:t>
      </w:r>
      <w:r w:rsidR="00C167CC">
        <w:t xml:space="preserve">dose </w:t>
      </w:r>
      <w:r w:rsidR="00531E8C">
        <w:t>ratio</w:t>
      </w:r>
      <w:r w:rsidR="00C167CC">
        <w:t xml:space="preserve">, and then dose adjustments would be made depending on patient response. </w:t>
      </w:r>
      <w:r w:rsidR="005F3022">
        <w:t xml:space="preserve">Occasionally a larger dose of SCIg may be required. </w:t>
      </w:r>
      <w:r w:rsidR="00C167CC">
        <w:t>T</w:t>
      </w:r>
      <w:r w:rsidR="00CB35A6">
        <w:t>h</w:t>
      </w:r>
      <w:r w:rsidR="00C167CC">
        <w:t>is is</w:t>
      </w:r>
      <w:r w:rsidR="00CB35A6">
        <w:t xml:space="preserve"> supported by </w:t>
      </w:r>
      <w:r w:rsidR="00531E8C" w:rsidRPr="00531E8C">
        <w:t>recomme</w:t>
      </w:r>
      <w:r w:rsidR="00531E8C">
        <w:t>ndations</w:t>
      </w:r>
      <w:r w:rsidR="00531E8C" w:rsidRPr="00531E8C">
        <w:t xml:space="preserve"> in </w:t>
      </w:r>
      <w:r w:rsidR="00FE02AC">
        <w:t xml:space="preserve">the </w:t>
      </w:r>
      <w:r w:rsidR="00531E8C" w:rsidRPr="00531E8C">
        <w:t>EAN/PNS</w:t>
      </w:r>
      <w:r w:rsidR="00FE02AC">
        <w:t xml:space="preserve"> </w:t>
      </w:r>
      <w:r w:rsidR="00804BC8">
        <w:t xml:space="preserve">Taskforce </w:t>
      </w:r>
      <w:r w:rsidR="00531E8C" w:rsidRPr="00531E8C">
        <w:t>2021</w:t>
      </w:r>
      <w:r w:rsidR="003A7295">
        <w:rPr>
          <w:rStyle w:val="FootnoteReference"/>
        </w:rPr>
        <w:footnoteReference w:id="7"/>
      </w:r>
      <w:r w:rsidR="00531E8C" w:rsidRPr="00531E8C">
        <w:t xml:space="preserve"> </w:t>
      </w:r>
      <w:r w:rsidR="003A7295">
        <w:t xml:space="preserve">CIDP </w:t>
      </w:r>
      <w:r w:rsidR="00531E8C" w:rsidRPr="00531E8C">
        <w:t>guidelines</w:t>
      </w:r>
      <w:r w:rsidR="00C167CC">
        <w:t>.</w:t>
      </w:r>
    </w:p>
    <w:p w14:paraId="75BAE0C1" w14:textId="422EE0B6" w:rsidR="00E43C86" w:rsidRDefault="00277C95" w:rsidP="00277C95">
      <w:pPr>
        <w:pStyle w:val="Heading1"/>
        <w:keepNext/>
        <w:keepLines/>
      </w:pPr>
      <w:r>
        <w:t xml:space="preserve">4. </w:t>
      </w:r>
      <w:r w:rsidR="008913D0">
        <w:t xml:space="preserve">Discussion </w:t>
      </w:r>
    </w:p>
    <w:p w14:paraId="1B6F717F" w14:textId="4A3F2965" w:rsidR="009B20BA" w:rsidRPr="009B20BA" w:rsidRDefault="009B20BA" w:rsidP="009B20BA">
      <w:r>
        <w:t>Participants noted that patients with CIDP report that access to Ig treatment affords them a better quality of life, less disability and greater capacity to gainful employment. Access to SCIg treatment is beneficial in terms of not having to take leave from work in order to attend hospital for IVIg infusions, especially for patients living in regional or remote areas. It was noted that the ease of implementing SCIg therapy faces different challenges in different jurisdictions depending on whether the consumables were funded by</w:t>
      </w:r>
      <w:r w:rsidR="00C81AB9">
        <w:t xml:space="preserve"> hospitals</w:t>
      </w:r>
      <w:r>
        <w:t>.</w:t>
      </w:r>
    </w:p>
    <w:p w14:paraId="79208806" w14:textId="577C69F4" w:rsidR="0012412D" w:rsidRPr="00605259" w:rsidRDefault="00277C95" w:rsidP="00277C95">
      <w:pPr>
        <w:pStyle w:val="Heading1"/>
        <w:keepNext/>
        <w:keepLines/>
      </w:pPr>
      <w:r>
        <w:t xml:space="preserve">5. </w:t>
      </w:r>
      <w:r w:rsidR="00DE3C30">
        <w:t>Meeting close</w:t>
      </w:r>
    </w:p>
    <w:p w14:paraId="322EF962" w14:textId="26D6D6EA" w:rsidR="0012412D" w:rsidRPr="008913C3" w:rsidRDefault="0012412D" w:rsidP="00BA6AB5">
      <w:pPr>
        <w:keepNext/>
        <w:keepLines/>
      </w:pPr>
      <w:r w:rsidRPr="00CD04EE">
        <w:rPr>
          <w:szCs w:val="24"/>
        </w:rPr>
        <w:t xml:space="preserve">The Chair </w:t>
      </w:r>
      <w:r w:rsidRPr="008913C3">
        <w:t xml:space="preserve">thanked </w:t>
      </w:r>
      <w:r w:rsidR="00E752EF">
        <w:t xml:space="preserve">participants </w:t>
      </w:r>
      <w:r w:rsidRPr="008913C3">
        <w:t xml:space="preserve">for their </w:t>
      </w:r>
      <w:r w:rsidR="00E752EF">
        <w:t xml:space="preserve">contributions and </w:t>
      </w:r>
      <w:r w:rsidRPr="008913C3">
        <w:t>valuable insights.</w:t>
      </w:r>
      <w:r w:rsidR="00531E8C">
        <w:t xml:space="preserve"> </w:t>
      </w:r>
    </w:p>
    <w:p w14:paraId="662546FB" w14:textId="0F21245A" w:rsidR="00280050" w:rsidRDefault="0012412D">
      <w:r w:rsidRPr="008913C3">
        <w:t xml:space="preserve">The </w:t>
      </w:r>
      <w:r w:rsidRPr="00D70C34">
        <w:t>meeting</w:t>
      </w:r>
      <w:r w:rsidRPr="008913C3">
        <w:t xml:space="preserve"> closed at </w:t>
      </w:r>
      <w:r w:rsidR="00E916FD">
        <w:t>4:00</w:t>
      </w:r>
      <w:r w:rsidR="00E43C86">
        <w:t>pm</w:t>
      </w:r>
      <w:r w:rsidR="007578EE">
        <w:t>.</w:t>
      </w:r>
    </w:p>
    <w:p w14:paraId="50D15718" w14:textId="77777777" w:rsidR="003A7295" w:rsidRDefault="003A7295" w:rsidP="00744305">
      <w:pPr>
        <w:spacing w:after="160" w:line="259" w:lineRule="auto"/>
      </w:pPr>
    </w:p>
    <w:sectPr w:rsidR="003A7295" w:rsidSect="0012412D">
      <w:footerReference w:type="even" r:id="rId9"/>
      <w:footerReference w:type="default" r:id="rId10"/>
      <w:footerReference w:type="first" r:id="rId11"/>
      <w:footnotePr>
        <w:numRestart w:val="eachSect"/>
      </w:footnotePr>
      <w:pgSz w:w="11906" w:h="16838" w:code="9"/>
      <w:pgMar w:top="1440" w:right="1440" w:bottom="1440" w:left="1440" w:header="576" w:footer="57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7B30C8" w14:textId="77777777" w:rsidR="00BE5128" w:rsidRDefault="00BE5128">
      <w:pPr>
        <w:spacing w:after="0"/>
      </w:pPr>
      <w:r>
        <w:separator/>
      </w:r>
    </w:p>
  </w:endnote>
  <w:endnote w:type="continuationSeparator" w:id="0">
    <w:p w14:paraId="4A65EB7E" w14:textId="77777777" w:rsidR="00BE5128" w:rsidRDefault="00BE5128">
      <w:pPr>
        <w:spacing w:after="0"/>
      </w:pPr>
      <w:r>
        <w:continuationSeparator/>
      </w:r>
    </w:p>
  </w:endnote>
  <w:endnote w:type="continuationNotice" w:id="1">
    <w:p w14:paraId="27E9569B" w14:textId="77777777" w:rsidR="00BE5128" w:rsidRDefault="00BE512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102404927"/>
      <w:docPartObj>
        <w:docPartGallery w:val="Page Numbers (Bottom of Page)"/>
        <w:docPartUnique/>
      </w:docPartObj>
    </w:sdtPr>
    <w:sdtEndPr>
      <w:rPr>
        <w:rStyle w:val="PageNumber"/>
      </w:rPr>
    </w:sdtEndPr>
    <w:sdtContent>
      <w:p w14:paraId="7662D24A" w14:textId="77777777" w:rsidR="00F42566" w:rsidRDefault="00F42566" w:rsidP="00124BF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482A522D" w14:textId="77777777" w:rsidR="00F42566" w:rsidRDefault="00F42566" w:rsidP="00124BF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b w:val="0"/>
      </w:rPr>
      <w:id w:val="-35280380"/>
      <w:docPartObj>
        <w:docPartGallery w:val="Page Numbers (Bottom of Page)"/>
        <w:docPartUnique/>
      </w:docPartObj>
    </w:sdtPr>
    <w:sdtEndPr>
      <w:rPr>
        <w:rStyle w:val="PageNumber"/>
      </w:rPr>
    </w:sdtEndPr>
    <w:sdtContent>
      <w:p w14:paraId="6D75B4E7" w14:textId="288360D8" w:rsidR="00F42566" w:rsidRPr="00EB7CBF" w:rsidRDefault="00F42566" w:rsidP="00124BFC">
        <w:pPr>
          <w:pStyle w:val="Footer"/>
          <w:framePr w:wrap="none" w:vAnchor="text" w:hAnchor="margin" w:xAlign="right" w:y="1"/>
          <w:rPr>
            <w:rStyle w:val="PageNumber"/>
            <w:b w:val="0"/>
          </w:rPr>
        </w:pPr>
        <w:r w:rsidRPr="00EB7CBF">
          <w:rPr>
            <w:rStyle w:val="PageNumber"/>
            <w:b w:val="0"/>
          </w:rPr>
          <w:fldChar w:fldCharType="begin"/>
        </w:r>
        <w:r w:rsidRPr="00EB7CBF">
          <w:rPr>
            <w:rStyle w:val="PageNumber"/>
          </w:rPr>
          <w:instrText xml:space="preserve"> PAGE </w:instrText>
        </w:r>
        <w:r w:rsidRPr="00EB7CBF">
          <w:rPr>
            <w:rStyle w:val="PageNumber"/>
            <w:b w:val="0"/>
          </w:rPr>
          <w:fldChar w:fldCharType="separate"/>
        </w:r>
        <w:r w:rsidR="0007162E">
          <w:rPr>
            <w:rStyle w:val="PageNumber"/>
            <w:noProof/>
          </w:rPr>
          <w:t>1</w:t>
        </w:r>
        <w:r w:rsidRPr="00EB7CBF">
          <w:rPr>
            <w:rStyle w:val="PageNumber"/>
            <w:b w:val="0"/>
          </w:rPr>
          <w:fldChar w:fldCharType="end"/>
        </w:r>
      </w:p>
    </w:sdtContent>
  </w:sdt>
  <w:p w14:paraId="57A9F8AE" w14:textId="260256C8" w:rsidR="00F42566" w:rsidRDefault="00F42566" w:rsidP="00124BFC">
    <w:pPr>
      <w:pStyle w:val="Footer"/>
      <w:ind w:right="360"/>
      <w:jc w:val="center"/>
    </w:pPr>
    <w:r>
      <w:rPr>
        <w:rStyle w:val="PageNumber"/>
      </w:rPr>
      <w:t xml:space="preserve">MSAC Stakeholder </w:t>
    </w:r>
    <w:r w:rsidRPr="002B5B49">
      <w:rPr>
        <w:rStyle w:val="PageNumber"/>
      </w:rPr>
      <w:t>meeting</w:t>
    </w:r>
    <w:r>
      <w:rPr>
        <w:rStyle w:val="PageNumber"/>
      </w:rPr>
      <w:t xml:space="preserve"> – Ig for CIDP – 2 November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62217680"/>
      <w:docPartObj>
        <w:docPartGallery w:val="Page Numbers (Bottom of Page)"/>
        <w:docPartUnique/>
      </w:docPartObj>
    </w:sdtPr>
    <w:sdtEndPr>
      <w:rPr>
        <w:noProof/>
      </w:rPr>
    </w:sdtEndPr>
    <w:sdtContent>
      <w:p w14:paraId="175CDBDD" w14:textId="77777777" w:rsidR="00F42566" w:rsidRDefault="00F42566" w:rsidP="00124BFC">
        <w:pPr>
          <w:pStyle w:val="Footer"/>
          <w:jc w:val="right"/>
        </w:pPr>
        <w:r>
          <w:rPr>
            <w:noProof/>
          </w:rPr>
          <w:fldChar w:fldCharType="begin"/>
        </w:r>
        <w:r>
          <w:rPr>
            <w:noProof/>
          </w:rPr>
          <w:instrText xml:space="preserve"> PAGE   \* MERGEFORMAT </w:instrText>
        </w:r>
        <w:r>
          <w:rPr>
            <w:noProof/>
          </w:rPr>
          <w:fldChar w:fldCharType="separate"/>
        </w:r>
        <w:r>
          <w:rPr>
            <w:noProof/>
          </w:rPr>
          <w:t>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B44645" w14:textId="77777777" w:rsidR="00BE5128" w:rsidRDefault="00BE5128">
      <w:pPr>
        <w:spacing w:after="0"/>
      </w:pPr>
      <w:r>
        <w:separator/>
      </w:r>
    </w:p>
  </w:footnote>
  <w:footnote w:type="continuationSeparator" w:id="0">
    <w:p w14:paraId="3B734AC1" w14:textId="77777777" w:rsidR="00BE5128" w:rsidRDefault="00BE5128">
      <w:pPr>
        <w:spacing w:after="0"/>
      </w:pPr>
      <w:r>
        <w:continuationSeparator/>
      </w:r>
    </w:p>
  </w:footnote>
  <w:footnote w:type="continuationNotice" w:id="1">
    <w:p w14:paraId="2C0B581B" w14:textId="77777777" w:rsidR="00BE5128" w:rsidRDefault="00BE5128">
      <w:pPr>
        <w:spacing w:after="0"/>
      </w:pPr>
    </w:p>
  </w:footnote>
  <w:footnote w:id="2">
    <w:p w14:paraId="7B4D702D" w14:textId="2EBC4890" w:rsidR="00F42566" w:rsidRDefault="00F42566">
      <w:pPr>
        <w:pStyle w:val="FootnoteText"/>
      </w:pPr>
      <w:r>
        <w:rPr>
          <w:rStyle w:val="FootnoteReference"/>
        </w:rPr>
        <w:footnoteRef/>
      </w:r>
      <w:r>
        <w:t xml:space="preserve"> Broers MC, Bunschoten C, Drenthen J, et al. Misdiagnosis and diagnostic pitfalls of chronic inflammatory demyelinating polyradiculoneuropathy. Eur J Neurol. 2021;28:2065–2073. </w:t>
      </w:r>
      <w:hyperlink r:id="rId1" w:history="1">
        <w:r w:rsidRPr="006E50D0">
          <w:rPr>
            <w:rStyle w:val="Hyperlink"/>
          </w:rPr>
          <w:t>https://doi.org/10.1111/ene.14796</w:t>
        </w:r>
      </w:hyperlink>
      <w:r>
        <w:t xml:space="preserve"> </w:t>
      </w:r>
    </w:p>
  </w:footnote>
  <w:footnote w:id="3">
    <w:p w14:paraId="00EC8F68" w14:textId="77777777" w:rsidR="005D34FB" w:rsidRDefault="005D34FB" w:rsidP="005D34FB">
      <w:pPr>
        <w:pStyle w:val="FootnoteText"/>
      </w:pPr>
      <w:r>
        <w:rPr>
          <w:rStyle w:val="FootnoteReference"/>
        </w:rPr>
        <w:footnoteRef/>
      </w:r>
      <w:r>
        <w:t xml:space="preserve"> </w:t>
      </w:r>
      <w:r w:rsidRPr="00823046">
        <w:t xml:space="preserve">Allen JA, Lewis RA. CIDP diagnostic pitfalls and perception of treatment benefit. Neurology. 2015 Aug 11;85(6):498-504. doi: 10.1212/WNL.0000000000001833. Epub 2015 Jul 15. PMID: 26180143. </w:t>
      </w:r>
      <w:hyperlink r:id="rId2" w:history="1">
        <w:r w:rsidRPr="000F44DF">
          <w:rPr>
            <w:rStyle w:val="Hyperlink"/>
          </w:rPr>
          <w:t>https://pubmed.ncbi.nlm.nih.gov/26180143/</w:t>
        </w:r>
      </w:hyperlink>
      <w:r>
        <w:t xml:space="preserve"> </w:t>
      </w:r>
    </w:p>
  </w:footnote>
  <w:footnote w:id="4">
    <w:p w14:paraId="49067DDD" w14:textId="77777777" w:rsidR="00F42566" w:rsidRDefault="00F42566" w:rsidP="00EC2BE3">
      <w:pPr>
        <w:pStyle w:val="FootnoteText"/>
      </w:pPr>
      <w:r>
        <w:rPr>
          <w:rStyle w:val="FootnoteReference"/>
        </w:rPr>
        <w:footnoteRef/>
      </w:r>
      <w:r>
        <w:t xml:space="preserve"> </w:t>
      </w:r>
      <w:r w:rsidRPr="00804BC8">
        <w:t xml:space="preserve">Van den Bergh, PYK, van Doorn, PA, Hadden, RDM, et al. European Academy of Neurology/Peripheral Nerve Society guideline on diagnosis and treatment of chronic inflammatory demyelinating polyradiculoneuropathy: Report of a joint Task Force—Second revision. J Peripher Nerv Syst. 2021; 26( 3): 242– 268. </w:t>
      </w:r>
      <w:hyperlink r:id="rId3" w:history="1">
        <w:r w:rsidRPr="00B91F7B">
          <w:rPr>
            <w:rStyle w:val="Hyperlink"/>
          </w:rPr>
          <w:t>https://doi.org/10.1111/jns.12455</w:t>
        </w:r>
      </w:hyperlink>
      <w:r>
        <w:t xml:space="preserve"> </w:t>
      </w:r>
    </w:p>
  </w:footnote>
  <w:footnote w:id="5">
    <w:p w14:paraId="11C411B7" w14:textId="77777777" w:rsidR="00F42566" w:rsidRDefault="00F42566" w:rsidP="00B178AE">
      <w:pPr>
        <w:pStyle w:val="FootnoteText"/>
      </w:pPr>
      <w:r>
        <w:rPr>
          <w:rStyle w:val="FootnoteReference"/>
        </w:rPr>
        <w:footnoteRef/>
      </w:r>
      <w:r>
        <w:t xml:space="preserve"> L</w:t>
      </w:r>
      <w:r w:rsidRPr="0041468D">
        <w:t>unn, MP, Ellis, L, Hadden, RD, Rajabally, YA, Winer, JB &amp; Reilly, MM 2016, 'A proposed dosing algorithm for the individualized dosing of human immunoglobulin in chronic inflammatory neuropathies', J Peripher Nerv Syst, vol. 21, no. 1, Mar, pp. 33-37.</w:t>
      </w:r>
    </w:p>
  </w:footnote>
  <w:footnote w:id="6">
    <w:p w14:paraId="290B4168" w14:textId="3DA50CC3" w:rsidR="00944093" w:rsidRDefault="00944093">
      <w:pPr>
        <w:pStyle w:val="FootnoteText"/>
      </w:pPr>
      <w:r>
        <w:rPr>
          <w:rStyle w:val="FootnoteReference"/>
        </w:rPr>
        <w:footnoteRef/>
      </w:r>
      <w:r w:rsidRPr="00944093">
        <w:t>Rajabally YA, Seow H, Wilson P. Dose of intravenous immunoglobulins in chronic inflammatory demyelinating polyneuropathy. J Peripher Nerve Syst 2006; 11: 325– 329.</w:t>
      </w:r>
      <w:r>
        <w:t xml:space="preserve"> </w:t>
      </w:r>
      <w:hyperlink r:id="rId4" w:history="1">
        <w:r w:rsidRPr="00F97A19">
          <w:rPr>
            <w:rStyle w:val="Hyperlink"/>
          </w:rPr>
          <w:t>https://pubmed.ncbi.nlm.nih.gov/17117941/</w:t>
        </w:r>
      </w:hyperlink>
      <w:r>
        <w:t xml:space="preserve"> </w:t>
      </w:r>
    </w:p>
  </w:footnote>
  <w:footnote w:id="7">
    <w:p w14:paraId="3530C38C" w14:textId="6CBB94BE" w:rsidR="00F42566" w:rsidRDefault="00F42566">
      <w:pPr>
        <w:pStyle w:val="FootnoteText"/>
      </w:pPr>
      <w:r>
        <w:rPr>
          <w:rStyle w:val="FootnoteReference"/>
        </w:rPr>
        <w:footnoteRef/>
      </w:r>
      <w:r>
        <w:t xml:space="preserve"> </w:t>
      </w:r>
      <w:r w:rsidRPr="003A7295">
        <w:t xml:space="preserve">Van den Bergh, PYK, van Doorn, PA, Hadden, RDM, et al. European Academy of Neurology/Peripheral Nerve Society guideline on diagnosis and treatment of chronic inflammatory demyelinating polyradiculoneuropathy: Report of a joint Task Force—Second revision. J Peripher Nerv Syst. 2021; 26( 3): 242– 268. </w:t>
      </w:r>
      <w:hyperlink r:id="rId5" w:history="1">
        <w:r w:rsidRPr="00B91F7B">
          <w:rPr>
            <w:rStyle w:val="Hyperlink"/>
          </w:rPr>
          <w:t>https://doi.org/10.1111/jns.12455</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EA6EF1"/>
    <w:multiLevelType w:val="hybridMultilevel"/>
    <w:tmpl w:val="A106CD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EF43D99"/>
    <w:multiLevelType w:val="hybridMultilevel"/>
    <w:tmpl w:val="A6D47B68"/>
    <w:lvl w:ilvl="0" w:tplc="0C090019">
      <w:start w:val="1"/>
      <w:numFmt w:val="lowerLetter"/>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0D52182"/>
    <w:multiLevelType w:val="hybridMultilevel"/>
    <w:tmpl w:val="6F102E9E"/>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66EB0850"/>
    <w:multiLevelType w:val="hybridMultilevel"/>
    <w:tmpl w:val="2AF44E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8E81FDC"/>
    <w:multiLevelType w:val="hybridMultilevel"/>
    <w:tmpl w:val="D5C698E8"/>
    <w:lvl w:ilvl="0" w:tplc="A79EC4F8">
      <w:start w:val="1"/>
      <w:numFmt w:val="bullet"/>
      <w:pStyle w:val="BulletBeforeDash"/>
      <w:lvlText w:val="•"/>
      <w:lvlJc w:val="left"/>
      <w:pPr>
        <w:tabs>
          <w:tab w:val="num" w:pos="644"/>
        </w:tabs>
        <w:ind w:left="644" w:hanging="360"/>
      </w:pPr>
      <w:rPr>
        <w:rFonts w:hint="default"/>
      </w:rPr>
    </w:lvl>
    <w:lvl w:ilvl="1" w:tplc="0C090003" w:tentative="1">
      <w:start w:val="1"/>
      <w:numFmt w:val="bullet"/>
      <w:lvlText w:val="o"/>
      <w:lvlJc w:val="left"/>
      <w:pPr>
        <w:tabs>
          <w:tab w:val="num" w:pos="1724"/>
        </w:tabs>
        <w:ind w:left="1724" w:hanging="360"/>
      </w:pPr>
      <w:rPr>
        <w:rFonts w:ascii="Courier New" w:hAnsi="Courier New" w:cs="Courier New" w:hint="default"/>
      </w:rPr>
    </w:lvl>
    <w:lvl w:ilvl="2" w:tplc="0C090005" w:tentative="1">
      <w:start w:val="1"/>
      <w:numFmt w:val="bullet"/>
      <w:lvlText w:val=""/>
      <w:lvlJc w:val="left"/>
      <w:pPr>
        <w:tabs>
          <w:tab w:val="num" w:pos="2444"/>
        </w:tabs>
        <w:ind w:left="2444" w:hanging="360"/>
      </w:pPr>
      <w:rPr>
        <w:rFonts w:ascii="Wingdings" w:hAnsi="Wingdings" w:hint="default"/>
      </w:rPr>
    </w:lvl>
    <w:lvl w:ilvl="3" w:tplc="0C090001" w:tentative="1">
      <w:start w:val="1"/>
      <w:numFmt w:val="bullet"/>
      <w:lvlText w:val=""/>
      <w:lvlJc w:val="left"/>
      <w:pPr>
        <w:tabs>
          <w:tab w:val="num" w:pos="3164"/>
        </w:tabs>
        <w:ind w:left="3164" w:hanging="360"/>
      </w:pPr>
      <w:rPr>
        <w:rFonts w:ascii="Symbol" w:hAnsi="Symbol" w:hint="default"/>
      </w:rPr>
    </w:lvl>
    <w:lvl w:ilvl="4" w:tplc="0C090003" w:tentative="1">
      <w:start w:val="1"/>
      <w:numFmt w:val="bullet"/>
      <w:lvlText w:val="o"/>
      <w:lvlJc w:val="left"/>
      <w:pPr>
        <w:tabs>
          <w:tab w:val="num" w:pos="3884"/>
        </w:tabs>
        <w:ind w:left="3884" w:hanging="360"/>
      </w:pPr>
      <w:rPr>
        <w:rFonts w:ascii="Courier New" w:hAnsi="Courier New" w:cs="Courier New" w:hint="default"/>
      </w:rPr>
    </w:lvl>
    <w:lvl w:ilvl="5" w:tplc="0C090005" w:tentative="1">
      <w:start w:val="1"/>
      <w:numFmt w:val="bullet"/>
      <w:lvlText w:val=""/>
      <w:lvlJc w:val="left"/>
      <w:pPr>
        <w:tabs>
          <w:tab w:val="num" w:pos="4604"/>
        </w:tabs>
        <w:ind w:left="4604" w:hanging="360"/>
      </w:pPr>
      <w:rPr>
        <w:rFonts w:ascii="Wingdings" w:hAnsi="Wingdings" w:hint="default"/>
      </w:rPr>
    </w:lvl>
    <w:lvl w:ilvl="6" w:tplc="0C090001" w:tentative="1">
      <w:start w:val="1"/>
      <w:numFmt w:val="bullet"/>
      <w:lvlText w:val=""/>
      <w:lvlJc w:val="left"/>
      <w:pPr>
        <w:tabs>
          <w:tab w:val="num" w:pos="5324"/>
        </w:tabs>
        <w:ind w:left="5324" w:hanging="360"/>
      </w:pPr>
      <w:rPr>
        <w:rFonts w:ascii="Symbol" w:hAnsi="Symbol" w:hint="default"/>
      </w:rPr>
    </w:lvl>
    <w:lvl w:ilvl="7" w:tplc="0C090003" w:tentative="1">
      <w:start w:val="1"/>
      <w:numFmt w:val="bullet"/>
      <w:lvlText w:val="o"/>
      <w:lvlJc w:val="left"/>
      <w:pPr>
        <w:tabs>
          <w:tab w:val="num" w:pos="6044"/>
        </w:tabs>
        <w:ind w:left="6044" w:hanging="360"/>
      </w:pPr>
      <w:rPr>
        <w:rFonts w:ascii="Courier New" w:hAnsi="Courier New" w:cs="Courier New" w:hint="default"/>
      </w:rPr>
    </w:lvl>
    <w:lvl w:ilvl="8" w:tplc="0C090005" w:tentative="1">
      <w:start w:val="1"/>
      <w:numFmt w:val="bullet"/>
      <w:lvlText w:val=""/>
      <w:lvlJc w:val="left"/>
      <w:pPr>
        <w:tabs>
          <w:tab w:val="num" w:pos="6764"/>
        </w:tabs>
        <w:ind w:left="6764"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removePersonalInformation/>
  <w:removeDateAndTime/>
  <w:defaultTabStop w:val="720"/>
  <w:characterSpacingControl w:val="doNotCompress"/>
  <w:hdrShapeDefaults>
    <o:shapedefaults v:ext="edit" spidmax="8193"/>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I0NDY0NDUxMzK0sDBQ0lEKTi0uzszPAykwqgUAn1z9eSwAAAA="/>
  </w:docVars>
  <w:rsids>
    <w:rsidRoot w:val="0012412D"/>
    <w:rsid w:val="000022DB"/>
    <w:rsid w:val="00006D2C"/>
    <w:rsid w:val="00013521"/>
    <w:rsid w:val="00022DF5"/>
    <w:rsid w:val="00025324"/>
    <w:rsid w:val="000262D9"/>
    <w:rsid w:val="00035BDB"/>
    <w:rsid w:val="00046CA1"/>
    <w:rsid w:val="00051D5B"/>
    <w:rsid w:val="00062894"/>
    <w:rsid w:val="00067A5F"/>
    <w:rsid w:val="0007162E"/>
    <w:rsid w:val="00072BE8"/>
    <w:rsid w:val="00076946"/>
    <w:rsid w:val="00081D69"/>
    <w:rsid w:val="00092759"/>
    <w:rsid w:val="000B5494"/>
    <w:rsid w:val="000D2A95"/>
    <w:rsid w:val="000E26B6"/>
    <w:rsid w:val="000F36F7"/>
    <w:rsid w:val="001006D0"/>
    <w:rsid w:val="00104875"/>
    <w:rsid w:val="001139E2"/>
    <w:rsid w:val="00116AEF"/>
    <w:rsid w:val="00122913"/>
    <w:rsid w:val="0012412D"/>
    <w:rsid w:val="00124BFC"/>
    <w:rsid w:val="00126F29"/>
    <w:rsid w:val="00131A61"/>
    <w:rsid w:val="001320E0"/>
    <w:rsid w:val="00154F9E"/>
    <w:rsid w:val="00160BD4"/>
    <w:rsid w:val="00170191"/>
    <w:rsid w:val="001A1280"/>
    <w:rsid w:val="001B785E"/>
    <w:rsid w:val="001C0589"/>
    <w:rsid w:val="001E0A02"/>
    <w:rsid w:val="001E1BED"/>
    <w:rsid w:val="001F08CE"/>
    <w:rsid w:val="001F5FDD"/>
    <w:rsid w:val="001F79F3"/>
    <w:rsid w:val="0020409B"/>
    <w:rsid w:val="00204679"/>
    <w:rsid w:val="0022018E"/>
    <w:rsid w:val="0025159C"/>
    <w:rsid w:val="0026777F"/>
    <w:rsid w:val="00277C95"/>
    <w:rsid w:val="00280050"/>
    <w:rsid w:val="002851AC"/>
    <w:rsid w:val="002874C0"/>
    <w:rsid w:val="0029096F"/>
    <w:rsid w:val="002A3A31"/>
    <w:rsid w:val="002A766E"/>
    <w:rsid w:val="002B4023"/>
    <w:rsid w:val="002C2AA7"/>
    <w:rsid w:val="002D503A"/>
    <w:rsid w:val="002D5A71"/>
    <w:rsid w:val="002D7256"/>
    <w:rsid w:val="002F3C29"/>
    <w:rsid w:val="002F4822"/>
    <w:rsid w:val="002F4ED4"/>
    <w:rsid w:val="003060DA"/>
    <w:rsid w:val="00316064"/>
    <w:rsid w:val="003243F6"/>
    <w:rsid w:val="00326555"/>
    <w:rsid w:val="00332780"/>
    <w:rsid w:val="00343365"/>
    <w:rsid w:val="00347897"/>
    <w:rsid w:val="0035301C"/>
    <w:rsid w:val="00361372"/>
    <w:rsid w:val="00367340"/>
    <w:rsid w:val="0036744B"/>
    <w:rsid w:val="0037376D"/>
    <w:rsid w:val="0038579B"/>
    <w:rsid w:val="0039786C"/>
    <w:rsid w:val="00397DB4"/>
    <w:rsid w:val="003A7295"/>
    <w:rsid w:val="003B2396"/>
    <w:rsid w:val="003C738E"/>
    <w:rsid w:val="003D0403"/>
    <w:rsid w:val="003E3273"/>
    <w:rsid w:val="00402B1F"/>
    <w:rsid w:val="0041468D"/>
    <w:rsid w:val="004277D3"/>
    <w:rsid w:val="0043527D"/>
    <w:rsid w:val="00454076"/>
    <w:rsid w:val="0045690F"/>
    <w:rsid w:val="00456B48"/>
    <w:rsid w:val="00473C5B"/>
    <w:rsid w:val="00475B4B"/>
    <w:rsid w:val="004804DD"/>
    <w:rsid w:val="00482590"/>
    <w:rsid w:val="00494661"/>
    <w:rsid w:val="004A43B5"/>
    <w:rsid w:val="004A4F99"/>
    <w:rsid w:val="004C47B0"/>
    <w:rsid w:val="004C516C"/>
    <w:rsid w:val="004E24AB"/>
    <w:rsid w:val="004E3A19"/>
    <w:rsid w:val="004E6FB8"/>
    <w:rsid w:val="004F1485"/>
    <w:rsid w:val="004F4C6B"/>
    <w:rsid w:val="004F7CD3"/>
    <w:rsid w:val="00504A57"/>
    <w:rsid w:val="00515994"/>
    <w:rsid w:val="00517A88"/>
    <w:rsid w:val="00531E8C"/>
    <w:rsid w:val="00544BBC"/>
    <w:rsid w:val="00545584"/>
    <w:rsid w:val="0055041C"/>
    <w:rsid w:val="00553424"/>
    <w:rsid w:val="005647E2"/>
    <w:rsid w:val="005726AB"/>
    <w:rsid w:val="00572A57"/>
    <w:rsid w:val="005924C1"/>
    <w:rsid w:val="005A76D7"/>
    <w:rsid w:val="005B0ACE"/>
    <w:rsid w:val="005C0FB4"/>
    <w:rsid w:val="005C2833"/>
    <w:rsid w:val="005D34FB"/>
    <w:rsid w:val="005F3022"/>
    <w:rsid w:val="00630E93"/>
    <w:rsid w:val="006677C2"/>
    <w:rsid w:val="00685A51"/>
    <w:rsid w:val="006A51F5"/>
    <w:rsid w:val="006A5526"/>
    <w:rsid w:val="006B08C9"/>
    <w:rsid w:val="006B602B"/>
    <w:rsid w:val="006C16D6"/>
    <w:rsid w:val="006D35E6"/>
    <w:rsid w:val="006D3EBC"/>
    <w:rsid w:val="006E33F3"/>
    <w:rsid w:val="006E4579"/>
    <w:rsid w:val="00701A94"/>
    <w:rsid w:val="00702FDD"/>
    <w:rsid w:val="007162E6"/>
    <w:rsid w:val="007235A3"/>
    <w:rsid w:val="007257F4"/>
    <w:rsid w:val="00733C4E"/>
    <w:rsid w:val="00734D7C"/>
    <w:rsid w:val="00742660"/>
    <w:rsid w:val="00744305"/>
    <w:rsid w:val="007448A3"/>
    <w:rsid w:val="00744D85"/>
    <w:rsid w:val="00745918"/>
    <w:rsid w:val="007550A2"/>
    <w:rsid w:val="007578EE"/>
    <w:rsid w:val="0076416B"/>
    <w:rsid w:val="00776009"/>
    <w:rsid w:val="0078111A"/>
    <w:rsid w:val="00783FED"/>
    <w:rsid w:val="007871DE"/>
    <w:rsid w:val="007938BB"/>
    <w:rsid w:val="007A584D"/>
    <w:rsid w:val="007B1441"/>
    <w:rsid w:val="007B28C9"/>
    <w:rsid w:val="007C1D60"/>
    <w:rsid w:val="007C6B5C"/>
    <w:rsid w:val="007D4148"/>
    <w:rsid w:val="007F088D"/>
    <w:rsid w:val="007F5DFC"/>
    <w:rsid w:val="00803616"/>
    <w:rsid w:val="00804BC8"/>
    <w:rsid w:val="00807BDD"/>
    <w:rsid w:val="00812D66"/>
    <w:rsid w:val="00815D3C"/>
    <w:rsid w:val="00815FB8"/>
    <w:rsid w:val="008163AB"/>
    <w:rsid w:val="0082392D"/>
    <w:rsid w:val="00833D33"/>
    <w:rsid w:val="00837DC5"/>
    <w:rsid w:val="00842C03"/>
    <w:rsid w:val="008438F2"/>
    <w:rsid w:val="008452D8"/>
    <w:rsid w:val="00853A59"/>
    <w:rsid w:val="0087120C"/>
    <w:rsid w:val="00887D84"/>
    <w:rsid w:val="00890961"/>
    <w:rsid w:val="008913D0"/>
    <w:rsid w:val="00896D6D"/>
    <w:rsid w:val="008B0379"/>
    <w:rsid w:val="008D528F"/>
    <w:rsid w:val="008E0E89"/>
    <w:rsid w:val="008F0E00"/>
    <w:rsid w:val="008F676F"/>
    <w:rsid w:val="00901A21"/>
    <w:rsid w:val="0091678B"/>
    <w:rsid w:val="00944093"/>
    <w:rsid w:val="00955007"/>
    <w:rsid w:val="009768A3"/>
    <w:rsid w:val="00980AE7"/>
    <w:rsid w:val="00995573"/>
    <w:rsid w:val="009A0079"/>
    <w:rsid w:val="009B1432"/>
    <w:rsid w:val="009B20BA"/>
    <w:rsid w:val="009C195E"/>
    <w:rsid w:val="009C688B"/>
    <w:rsid w:val="009D011A"/>
    <w:rsid w:val="009D5259"/>
    <w:rsid w:val="009D638E"/>
    <w:rsid w:val="009E410E"/>
    <w:rsid w:val="009F3182"/>
    <w:rsid w:val="009F365A"/>
    <w:rsid w:val="00A00AD3"/>
    <w:rsid w:val="00A109BE"/>
    <w:rsid w:val="00A11890"/>
    <w:rsid w:val="00A13E1F"/>
    <w:rsid w:val="00A225FB"/>
    <w:rsid w:val="00A25D27"/>
    <w:rsid w:val="00A269B9"/>
    <w:rsid w:val="00A35BBC"/>
    <w:rsid w:val="00A360D7"/>
    <w:rsid w:val="00A36E3F"/>
    <w:rsid w:val="00A37FB7"/>
    <w:rsid w:val="00A55EDA"/>
    <w:rsid w:val="00A6256E"/>
    <w:rsid w:val="00A661CE"/>
    <w:rsid w:val="00A7156A"/>
    <w:rsid w:val="00A819F2"/>
    <w:rsid w:val="00A83FAD"/>
    <w:rsid w:val="00A86140"/>
    <w:rsid w:val="00AB0309"/>
    <w:rsid w:val="00AB2AC1"/>
    <w:rsid w:val="00AB7935"/>
    <w:rsid w:val="00AD78CD"/>
    <w:rsid w:val="00AE280A"/>
    <w:rsid w:val="00B00BA6"/>
    <w:rsid w:val="00B0383A"/>
    <w:rsid w:val="00B10071"/>
    <w:rsid w:val="00B10E08"/>
    <w:rsid w:val="00B178AE"/>
    <w:rsid w:val="00B219DB"/>
    <w:rsid w:val="00B50B2A"/>
    <w:rsid w:val="00B62978"/>
    <w:rsid w:val="00B65CFC"/>
    <w:rsid w:val="00B67C4F"/>
    <w:rsid w:val="00B85116"/>
    <w:rsid w:val="00B9420E"/>
    <w:rsid w:val="00B966B9"/>
    <w:rsid w:val="00BA1D0D"/>
    <w:rsid w:val="00BA6AB5"/>
    <w:rsid w:val="00BB069B"/>
    <w:rsid w:val="00BB682C"/>
    <w:rsid w:val="00BD07CE"/>
    <w:rsid w:val="00BE5128"/>
    <w:rsid w:val="00BE596C"/>
    <w:rsid w:val="00BF5A37"/>
    <w:rsid w:val="00BF72E7"/>
    <w:rsid w:val="00BF7E95"/>
    <w:rsid w:val="00C00B79"/>
    <w:rsid w:val="00C06E7F"/>
    <w:rsid w:val="00C167CC"/>
    <w:rsid w:val="00C435E5"/>
    <w:rsid w:val="00C67038"/>
    <w:rsid w:val="00C74471"/>
    <w:rsid w:val="00C81AB9"/>
    <w:rsid w:val="00C87F96"/>
    <w:rsid w:val="00C96E1D"/>
    <w:rsid w:val="00CB35A6"/>
    <w:rsid w:val="00CC3A50"/>
    <w:rsid w:val="00CC3F49"/>
    <w:rsid w:val="00CD566D"/>
    <w:rsid w:val="00CE031B"/>
    <w:rsid w:val="00CE2EC3"/>
    <w:rsid w:val="00CE62BA"/>
    <w:rsid w:val="00CF0EDA"/>
    <w:rsid w:val="00D00054"/>
    <w:rsid w:val="00D0799B"/>
    <w:rsid w:val="00D149FF"/>
    <w:rsid w:val="00D162F3"/>
    <w:rsid w:val="00D362AF"/>
    <w:rsid w:val="00D365B3"/>
    <w:rsid w:val="00D47AC8"/>
    <w:rsid w:val="00D51963"/>
    <w:rsid w:val="00D65B7E"/>
    <w:rsid w:val="00D8240C"/>
    <w:rsid w:val="00D86892"/>
    <w:rsid w:val="00D87C82"/>
    <w:rsid w:val="00DA3F09"/>
    <w:rsid w:val="00DA497A"/>
    <w:rsid w:val="00DB353D"/>
    <w:rsid w:val="00DC52C7"/>
    <w:rsid w:val="00DD0C46"/>
    <w:rsid w:val="00DD40E8"/>
    <w:rsid w:val="00DE2ADA"/>
    <w:rsid w:val="00DE3C30"/>
    <w:rsid w:val="00DF020E"/>
    <w:rsid w:val="00DF05A8"/>
    <w:rsid w:val="00E32EA1"/>
    <w:rsid w:val="00E43C86"/>
    <w:rsid w:val="00E51CA4"/>
    <w:rsid w:val="00E56C3A"/>
    <w:rsid w:val="00E57801"/>
    <w:rsid w:val="00E57A78"/>
    <w:rsid w:val="00E656FF"/>
    <w:rsid w:val="00E676A9"/>
    <w:rsid w:val="00E752EF"/>
    <w:rsid w:val="00E803A8"/>
    <w:rsid w:val="00E87330"/>
    <w:rsid w:val="00E916FD"/>
    <w:rsid w:val="00E94926"/>
    <w:rsid w:val="00E94C0E"/>
    <w:rsid w:val="00E96716"/>
    <w:rsid w:val="00E967D6"/>
    <w:rsid w:val="00E97193"/>
    <w:rsid w:val="00E977D6"/>
    <w:rsid w:val="00EC2BE3"/>
    <w:rsid w:val="00EE23DA"/>
    <w:rsid w:val="00EE45D3"/>
    <w:rsid w:val="00F004BD"/>
    <w:rsid w:val="00F02055"/>
    <w:rsid w:val="00F0484D"/>
    <w:rsid w:val="00F14D6C"/>
    <w:rsid w:val="00F17419"/>
    <w:rsid w:val="00F2400D"/>
    <w:rsid w:val="00F31BF8"/>
    <w:rsid w:val="00F3374F"/>
    <w:rsid w:val="00F41BD3"/>
    <w:rsid w:val="00F42566"/>
    <w:rsid w:val="00F45240"/>
    <w:rsid w:val="00F731DF"/>
    <w:rsid w:val="00F767D2"/>
    <w:rsid w:val="00F77E80"/>
    <w:rsid w:val="00F86243"/>
    <w:rsid w:val="00F86444"/>
    <w:rsid w:val="00F86737"/>
    <w:rsid w:val="00F86CE7"/>
    <w:rsid w:val="00FA6FD2"/>
    <w:rsid w:val="00FE02AC"/>
    <w:rsid w:val="00FE6F8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F711CB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412D"/>
    <w:pPr>
      <w:spacing w:after="200" w:line="240" w:lineRule="auto"/>
    </w:pPr>
    <w:rPr>
      <w:rFonts w:cstheme="minorBidi"/>
      <w:szCs w:val="22"/>
    </w:rPr>
  </w:style>
  <w:style w:type="paragraph" w:styleId="Heading1">
    <w:name w:val="heading 1"/>
    <w:basedOn w:val="Normal"/>
    <w:next w:val="Normal"/>
    <w:link w:val="Heading1Char"/>
    <w:qFormat/>
    <w:rsid w:val="0012412D"/>
    <w:pPr>
      <w:outlineLvl w:val="0"/>
    </w:pPr>
    <w:rPr>
      <w:b/>
      <w:sz w:val="28"/>
      <w:szCs w:val="28"/>
    </w:rPr>
  </w:style>
  <w:style w:type="paragraph" w:styleId="Heading2">
    <w:name w:val="heading 2"/>
    <w:basedOn w:val="Normal"/>
    <w:next w:val="Normal"/>
    <w:link w:val="Heading2Char"/>
    <w:qFormat/>
    <w:rsid w:val="0012412D"/>
    <w:pPr>
      <w:keepNext/>
      <w:spacing w:after="12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2412D"/>
    <w:rPr>
      <w:rFonts w:cstheme="minorBidi"/>
      <w:b/>
      <w:sz w:val="28"/>
      <w:szCs w:val="28"/>
    </w:rPr>
  </w:style>
  <w:style w:type="character" w:customStyle="1" w:styleId="Heading2Char">
    <w:name w:val="Heading 2 Char"/>
    <w:basedOn w:val="DefaultParagraphFont"/>
    <w:link w:val="Heading2"/>
    <w:rsid w:val="0012412D"/>
    <w:rPr>
      <w:rFonts w:cstheme="minorBidi"/>
      <w:b/>
      <w:szCs w:val="22"/>
    </w:rPr>
  </w:style>
  <w:style w:type="paragraph" w:styleId="Footer">
    <w:name w:val="footer"/>
    <w:basedOn w:val="Normal"/>
    <w:link w:val="FooterChar"/>
    <w:uiPriority w:val="99"/>
    <w:rsid w:val="0012412D"/>
    <w:pPr>
      <w:tabs>
        <w:tab w:val="right" w:pos="9000"/>
      </w:tabs>
      <w:spacing w:after="0"/>
    </w:pPr>
    <w:rPr>
      <w:sz w:val="20"/>
    </w:rPr>
  </w:style>
  <w:style w:type="character" w:customStyle="1" w:styleId="FooterChar">
    <w:name w:val="Footer Char"/>
    <w:basedOn w:val="DefaultParagraphFont"/>
    <w:link w:val="Footer"/>
    <w:uiPriority w:val="99"/>
    <w:rsid w:val="0012412D"/>
    <w:rPr>
      <w:rFonts w:cstheme="minorBidi"/>
      <w:sz w:val="20"/>
      <w:szCs w:val="22"/>
    </w:rPr>
  </w:style>
  <w:style w:type="character" w:styleId="PageNumber">
    <w:name w:val="page number"/>
    <w:basedOn w:val="DefaultParagraphFont"/>
    <w:semiHidden/>
    <w:rsid w:val="0012412D"/>
    <w:rPr>
      <w:rFonts w:ascii="Times New Roman" w:hAnsi="Times New Roman"/>
      <w:b/>
      <w:sz w:val="20"/>
    </w:rPr>
  </w:style>
  <w:style w:type="paragraph" w:customStyle="1" w:styleId="BulletBeforeDash">
    <w:name w:val="BulletBeforeDash"/>
    <w:basedOn w:val="Normal"/>
    <w:rsid w:val="0012412D"/>
    <w:pPr>
      <w:numPr>
        <w:numId w:val="1"/>
      </w:numPr>
      <w:spacing w:after="0"/>
    </w:pPr>
  </w:style>
  <w:style w:type="paragraph" w:customStyle="1" w:styleId="Bullet">
    <w:name w:val="Bullet"/>
    <w:basedOn w:val="BulletBeforeDash"/>
    <w:qFormat/>
    <w:rsid w:val="0012412D"/>
    <w:pPr>
      <w:spacing w:after="120"/>
      <w:ind w:left="720"/>
    </w:pPr>
  </w:style>
  <w:style w:type="paragraph" w:customStyle="1" w:styleId="BulletLast">
    <w:name w:val="BulletLast"/>
    <w:basedOn w:val="Bullet"/>
    <w:qFormat/>
    <w:rsid w:val="0012412D"/>
    <w:pPr>
      <w:spacing w:after="240"/>
    </w:pPr>
  </w:style>
  <w:style w:type="paragraph" w:customStyle="1" w:styleId="NormalBeforeBullet">
    <w:name w:val="NormalBeforeBullet"/>
    <w:basedOn w:val="Normal"/>
    <w:qFormat/>
    <w:rsid w:val="0012412D"/>
    <w:pPr>
      <w:keepNext/>
      <w:spacing w:after="120"/>
    </w:pPr>
  </w:style>
  <w:style w:type="paragraph" w:customStyle="1" w:styleId="NumberList">
    <w:name w:val="NumberList"/>
    <w:basedOn w:val="Normal"/>
    <w:rsid w:val="0012412D"/>
    <w:pPr>
      <w:tabs>
        <w:tab w:val="left" w:pos="360"/>
      </w:tabs>
      <w:ind w:left="360" w:hanging="360"/>
    </w:pPr>
  </w:style>
  <w:style w:type="character" w:styleId="CommentReference">
    <w:name w:val="annotation reference"/>
    <w:basedOn w:val="DefaultParagraphFont"/>
    <w:uiPriority w:val="99"/>
    <w:semiHidden/>
    <w:unhideWhenUsed/>
    <w:rsid w:val="00F767D2"/>
    <w:rPr>
      <w:sz w:val="16"/>
      <w:szCs w:val="16"/>
    </w:rPr>
  </w:style>
  <w:style w:type="paragraph" w:styleId="CommentText">
    <w:name w:val="annotation text"/>
    <w:basedOn w:val="Normal"/>
    <w:link w:val="CommentTextChar"/>
    <w:uiPriority w:val="99"/>
    <w:unhideWhenUsed/>
    <w:rsid w:val="00F767D2"/>
    <w:rPr>
      <w:sz w:val="20"/>
      <w:szCs w:val="20"/>
    </w:rPr>
  </w:style>
  <w:style w:type="character" w:customStyle="1" w:styleId="CommentTextChar">
    <w:name w:val="Comment Text Char"/>
    <w:basedOn w:val="DefaultParagraphFont"/>
    <w:link w:val="CommentText"/>
    <w:uiPriority w:val="99"/>
    <w:rsid w:val="00F767D2"/>
    <w:rPr>
      <w:rFonts w:cstheme="minorBidi"/>
      <w:sz w:val="20"/>
      <w:szCs w:val="20"/>
    </w:rPr>
  </w:style>
  <w:style w:type="paragraph" w:styleId="BalloonText">
    <w:name w:val="Balloon Text"/>
    <w:basedOn w:val="Normal"/>
    <w:link w:val="BalloonTextChar"/>
    <w:uiPriority w:val="99"/>
    <w:semiHidden/>
    <w:unhideWhenUsed/>
    <w:rsid w:val="00397DB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7DB4"/>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9E410E"/>
    <w:rPr>
      <w:b/>
      <w:bCs/>
    </w:rPr>
  </w:style>
  <w:style w:type="character" w:customStyle="1" w:styleId="CommentSubjectChar">
    <w:name w:val="Comment Subject Char"/>
    <w:basedOn w:val="CommentTextChar"/>
    <w:link w:val="CommentSubject"/>
    <w:uiPriority w:val="99"/>
    <w:semiHidden/>
    <w:rsid w:val="009E410E"/>
    <w:rPr>
      <w:rFonts w:cstheme="minorBidi"/>
      <w:b/>
      <w:bCs/>
      <w:sz w:val="20"/>
      <w:szCs w:val="20"/>
    </w:rPr>
  </w:style>
  <w:style w:type="paragraph" w:styleId="Header">
    <w:name w:val="header"/>
    <w:basedOn w:val="Normal"/>
    <w:link w:val="HeaderChar"/>
    <w:uiPriority w:val="99"/>
    <w:unhideWhenUsed/>
    <w:rsid w:val="00980AE7"/>
    <w:pPr>
      <w:tabs>
        <w:tab w:val="center" w:pos="4513"/>
        <w:tab w:val="right" w:pos="9026"/>
      </w:tabs>
      <w:spacing w:after="0"/>
    </w:pPr>
  </w:style>
  <w:style w:type="character" w:customStyle="1" w:styleId="HeaderChar">
    <w:name w:val="Header Char"/>
    <w:basedOn w:val="DefaultParagraphFont"/>
    <w:link w:val="Header"/>
    <w:uiPriority w:val="99"/>
    <w:rsid w:val="00980AE7"/>
    <w:rPr>
      <w:rFonts w:cstheme="minorBidi"/>
      <w:szCs w:val="22"/>
    </w:rPr>
  </w:style>
  <w:style w:type="paragraph" w:styleId="ListParagraph">
    <w:name w:val="List Paragraph"/>
    <w:aliases w:val="Styl moj,Akapit z listą1,Akapit z listą11,Recommendation,List Paragraph1,List Paragraph11,L,Bullet point,Bullet table"/>
    <w:basedOn w:val="Normal"/>
    <w:link w:val="ListParagraphChar"/>
    <w:uiPriority w:val="34"/>
    <w:qFormat/>
    <w:rsid w:val="00475B4B"/>
    <w:pPr>
      <w:ind w:left="720"/>
      <w:contextualSpacing/>
    </w:pPr>
  </w:style>
  <w:style w:type="character" w:styleId="Hyperlink">
    <w:name w:val="Hyperlink"/>
    <w:basedOn w:val="DefaultParagraphFont"/>
    <w:uiPriority w:val="99"/>
    <w:unhideWhenUsed/>
    <w:rsid w:val="00BE596C"/>
    <w:rPr>
      <w:color w:val="0563C1" w:themeColor="hyperlink"/>
      <w:u w:val="single"/>
    </w:rPr>
  </w:style>
  <w:style w:type="character" w:customStyle="1" w:styleId="UnresolvedMention1">
    <w:name w:val="Unresolved Mention1"/>
    <w:basedOn w:val="DefaultParagraphFont"/>
    <w:uiPriority w:val="99"/>
    <w:semiHidden/>
    <w:unhideWhenUsed/>
    <w:rsid w:val="00BE596C"/>
    <w:rPr>
      <w:color w:val="605E5C"/>
      <w:shd w:val="clear" w:color="auto" w:fill="E1DFDD"/>
    </w:rPr>
  </w:style>
  <w:style w:type="paragraph" w:styleId="FootnoteText">
    <w:name w:val="footnote text"/>
    <w:basedOn w:val="Normal"/>
    <w:link w:val="FootnoteTextChar"/>
    <w:uiPriority w:val="99"/>
    <w:semiHidden/>
    <w:unhideWhenUsed/>
    <w:rsid w:val="003A7295"/>
    <w:pPr>
      <w:spacing w:after="0"/>
    </w:pPr>
    <w:rPr>
      <w:sz w:val="20"/>
      <w:szCs w:val="20"/>
    </w:rPr>
  </w:style>
  <w:style w:type="character" w:customStyle="1" w:styleId="FootnoteTextChar">
    <w:name w:val="Footnote Text Char"/>
    <w:basedOn w:val="DefaultParagraphFont"/>
    <w:link w:val="FootnoteText"/>
    <w:uiPriority w:val="99"/>
    <w:semiHidden/>
    <w:rsid w:val="003A7295"/>
    <w:rPr>
      <w:rFonts w:cstheme="minorBidi"/>
      <w:sz w:val="20"/>
      <w:szCs w:val="20"/>
    </w:rPr>
  </w:style>
  <w:style w:type="character" w:styleId="FootnoteReference">
    <w:name w:val="footnote reference"/>
    <w:basedOn w:val="DefaultParagraphFont"/>
    <w:uiPriority w:val="99"/>
    <w:semiHidden/>
    <w:unhideWhenUsed/>
    <w:rsid w:val="003A7295"/>
    <w:rPr>
      <w:vertAlign w:val="superscript"/>
    </w:rPr>
  </w:style>
  <w:style w:type="character" w:styleId="FollowedHyperlink">
    <w:name w:val="FollowedHyperlink"/>
    <w:basedOn w:val="DefaultParagraphFont"/>
    <w:uiPriority w:val="99"/>
    <w:semiHidden/>
    <w:unhideWhenUsed/>
    <w:rsid w:val="00804BC8"/>
    <w:rPr>
      <w:color w:val="954F72" w:themeColor="followedHyperlink"/>
      <w:u w:val="single"/>
    </w:rPr>
  </w:style>
  <w:style w:type="table" w:styleId="TableGrid">
    <w:name w:val="Table Grid"/>
    <w:basedOn w:val="TableNormal"/>
    <w:uiPriority w:val="39"/>
    <w:rsid w:val="003978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Styl moj Char,Akapit z listą1 Char,Akapit z listą11 Char,Recommendation Char,List Paragraph1 Char,List Paragraph11 Char,L Char,Bullet point Char,Bullet table Char"/>
    <w:link w:val="ListParagraph"/>
    <w:uiPriority w:val="34"/>
    <w:rsid w:val="005C2833"/>
    <w:rPr>
      <w:rFonts w:cstheme="minorBidi"/>
      <w:szCs w:val="22"/>
    </w:rPr>
  </w:style>
  <w:style w:type="table" w:customStyle="1" w:styleId="TableGrid1">
    <w:name w:val="Table Grid1"/>
    <w:basedOn w:val="TableNormal"/>
    <w:next w:val="TableGrid"/>
    <w:rsid w:val="00CC3A50"/>
    <w:pPr>
      <w:spacing w:before="40" w:after="40" w:line="240" w:lineRule="auto"/>
    </w:pPr>
    <w:rPr>
      <w:rFonts w:ascii="Arial Narrow" w:eastAsia="Times New Roman" w:hAnsi="Arial Narrow"/>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Helv" w:hAnsi="Helv"/>
        <w:b w:val="0"/>
        <w:sz w:val="20"/>
      </w:rPr>
    </w:tblStylePr>
  </w:style>
  <w:style w:type="character" w:customStyle="1" w:styleId="UnresolvedMention2">
    <w:name w:val="Unresolved Mention2"/>
    <w:basedOn w:val="DefaultParagraphFont"/>
    <w:uiPriority w:val="99"/>
    <w:semiHidden/>
    <w:unhideWhenUsed/>
    <w:rsid w:val="00944093"/>
    <w:rPr>
      <w:color w:val="605E5C"/>
      <w:shd w:val="clear" w:color="auto" w:fill="E1DFDD"/>
    </w:rPr>
  </w:style>
  <w:style w:type="paragraph" w:styleId="Revision">
    <w:name w:val="Revision"/>
    <w:hidden/>
    <w:uiPriority w:val="99"/>
    <w:semiHidden/>
    <w:rsid w:val="00326555"/>
    <w:pPr>
      <w:spacing w:after="0" w:line="240" w:lineRule="auto"/>
    </w:pPr>
    <w:rPr>
      <w:rFonts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3564717">
      <w:bodyDiv w:val="1"/>
      <w:marLeft w:val="0"/>
      <w:marRight w:val="0"/>
      <w:marTop w:val="0"/>
      <w:marBottom w:val="0"/>
      <w:divBdr>
        <w:top w:val="none" w:sz="0" w:space="0" w:color="auto"/>
        <w:left w:val="none" w:sz="0" w:space="0" w:color="auto"/>
        <w:bottom w:val="none" w:sz="0" w:space="0" w:color="auto"/>
        <w:right w:val="none" w:sz="0" w:space="0" w:color="auto"/>
      </w:divBdr>
    </w:div>
    <w:div w:id="747310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doi.org/10.1111/jns.12455" TargetMode="External"/><Relationship Id="rId2" Type="http://schemas.openxmlformats.org/officeDocument/2006/relationships/hyperlink" Target="https://pubmed.ncbi.nlm.nih.gov/26180143/" TargetMode="External"/><Relationship Id="rId1" Type="http://schemas.openxmlformats.org/officeDocument/2006/relationships/hyperlink" Target="https://doi.org/10.1111/ene.14796" TargetMode="External"/><Relationship Id="rId5" Type="http://schemas.openxmlformats.org/officeDocument/2006/relationships/hyperlink" Target="https://doi.org/10.1111/jns.12455" TargetMode="External"/><Relationship Id="rId4" Type="http://schemas.openxmlformats.org/officeDocument/2006/relationships/hyperlink" Target="https://pubmed.ncbi.nlm.nih.gov/1711794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F907F0-C659-4B36-B548-300CABB36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3611</Words>
  <Characters>20589</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2021-12-14T21:53:00Z</dcterms:created>
  <dcterms:modified xsi:type="dcterms:W3CDTF">2021-12-14T21:53:00Z</dcterms:modified>
</cp:coreProperties>
</file>