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BB8E" w14:textId="77777777"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41D82F91" wp14:editId="1DA59708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0350" w14:textId="0DA7AF05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</w:t>
      </w:r>
      <w:r w:rsidR="004A1054">
        <w:rPr>
          <w:rFonts w:ascii="Arial" w:hAnsi="Arial" w:cs="Arial"/>
          <w:b/>
          <w:sz w:val="48"/>
          <w:szCs w:val="48"/>
        </w:rPr>
        <w:t xml:space="preserve"> 1629</w:t>
      </w:r>
    </w:p>
    <w:p w14:paraId="0C8D6F63" w14:textId="77777777" w:rsidR="00F3628F" w:rsidRDefault="00F3628F" w:rsidP="00F3628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Defensive Antibacterial Coating (DAC) 5ml kit</w:t>
      </w:r>
    </w:p>
    <w:p w14:paraId="49668897" w14:textId="77777777" w:rsidR="007F1AE5" w:rsidRPr="007F1AE5" w:rsidRDefault="007F1AE5" w:rsidP="007F1AE5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 w:rsidR="00FB24C0"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D92E23E" w14:textId="77777777" w:rsidR="007F1AE5" w:rsidRPr="007F1AE5" w:rsidRDefault="007F1AE5" w:rsidP="007F1AE5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06FE591E" w14:textId="77777777" w:rsidR="007F1AE5" w:rsidRPr="007F1AE5" w:rsidRDefault="007F1AE5" w:rsidP="007F1AE5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66AD7949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2812D7DD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 w:rsidR="00FB24C0"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 w:rsidR="00FB24C0"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75EFF3CD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1168FA5C" w14:textId="77777777" w:rsidR="007F1AE5" w:rsidRPr="007F1AE5" w:rsidRDefault="007F1AE5" w:rsidP="007F1AE5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 w:rsidR="00732F6E"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03594AB5" w14:textId="77777777" w:rsidR="007F1AE5" w:rsidRPr="007F1AE5" w:rsidRDefault="007F1AE5" w:rsidP="007F1AE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1393A679" w14:textId="77777777" w:rsidR="007F1AE5" w:rsidRPr="007F1AE5" w:rsidRDefault="007F1AE5" w:rsidP="007F1AE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 w:rsidR="00414CC0"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 w:rsidR="00414CC0"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 w:rsidR="00414CC0"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 w:rsidR="00A74450"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 w:rsidR="00414CC0"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 w:rsidR="00414CC0">
        <w:rPr>
          <w:sz w:val="18"/>
          <w:szCs w:val="18"/>
        </w:rPr>
        <w:t xml:space="preserve"> should</w:t>
      </w:r>
      <w:r w:rsidR="00A74450">
        <w:rPr>
          <w:sz w:val="18"/>
          <w:szCs w:val="18"/>
        </w:rPr>
        <w:t xml:space="preserve">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22662396" w14:textId="77777777" w:rsidR="007F1AE5" w:rsidRPr="007F1AE5" w:rsidRDefault="007F1AE5" w:rsidP="00FB24C0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 w:rsidR="00A74450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</w:t>
      </w:r>
      <w:r w:rsidR="00A74450">
        <w:rPr>
          <w:sz w:val="18"/>
          <w:szCs w:val="18"/>
        </w:rPr>
        <w:t xml:space="preserve"> 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8" w:history="1">
        <w:r w:rsidR="00A74450" w:rsidRPr="00306BBC">
          <w:rPr>
            <w:rStyle w:val="Hyperlink"/>
            <w:sz w:val="18"/>
            <w:szCs w:val="18"/>
          </w:rPr>
          <w:t>MSAC website</w:t>
        </w:r>
      </w:hyperlink>
      <w:r w:rsidR="00A74450">
        <w:rPr>
          <w:sz w:val="18"/>
          <w:szCs w:val="18"/>
        </w:rPr>
        <w:t xml:space="preserve">.  </w:t>
      </w:r>
      <w:r w:rsidR="001C5058">
        <w:rPr>
          <w:sz w:val="18"/>
          <w:szCs w:val="18"/>
        </w:rPr>
        <w:t xml:space="preserve">They are also published in the MSAC Bulletin. </w:t>
      </w:r>
      <w:r w:rsidR="00FB24C0">
        <w:rPr>
          <w:sz w:val="18"/>
          <w:szCs w:val="18"/>
        </w:rPr>
        <w:t>Feedback received after the respective deadlines may not be considered</w:t>
      </w:r>
      <w:r w:rsidR="00227303">
        <w:rPr>
          <w:sz w:val="18"/>
          <w:szCs w:val="18"/>
        </w:rPr>
        <w:t>.</w:t>
      </w:r>
    </w:p>
    <w:p w14:paraId="436FEABD" w14:textId="77777777" w:rsidR="00FB24C0" w:rsidRDefault="00FB24C0" w:rsidP="00FB24C0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9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378D25CF" w14:textId="77777777" w:rsidR="007648B1" w:rsidRDefault="00FB24C0" w:rsidP="007648B1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</w:t>
      </w:r>
      <w:r w:rsidR="005456EE">
        <w:rPr>
          <w:sz w:val="18"/>
          <w:szCs w:val="18"/>
        </w:rPr>
        <w:t xml:space="preserve"> Please return your c</w:t>
      </w:r>
      <w:r w:rsidR="007648B1">
        <w:rPr>
          <w:sz w:val="18"/>
          <w:szCs w:val="18"/>
        </w:rPr>
        <w:t>ompleted survey to:</w:t>
      </w:r>
    </w:p>
    <w:p w14:paraId="3CF0452D" w14:textId="77777777" w:rsidR="007648B1" w:rsidRDefault="005456EE" w:rsidP="007648B1">
      <w:pPr>
        <w:spacing w:after="120"/>
        <w:rPr>
          <w:sz w:val="18"/>
          <w:szCs w:val="18"/>
        </w:rPr>
      </w:pPr>
      <w:r>
        <w:rPr>
          <w:sz w:val="18"/>
          <w:szCs w:val="18"/>
        </w:rPr>
        <w:br/>
      </w: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 w:rsidR="007648B1">
        <w:rPr>
          <w:sz w:val="18"/>
          <w:szCs w:val="18"/>
        </w:rPr>
        <w:tab/>
      </w:r>
      <w:hyperlink r:id="rId10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 w:rsidR="007648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689A940E" w14:textId="77777777" w:rsidR="007648B1" w:rsidRDefault="005456EE" w:rsidP="007648B1">
      <w:pPr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 w:rsidR="007648B1">
        <w:rPr>
          <w:sz w:val="18"/>
          <w:szCs w:val="18"/>
        </w:rPr>
        <w:tab/>
      </w:r>
      <w:r>
        <w:rPr>
          <w:sz w:val="18"/>
          <w:szCs w:val="18"/>
        </w:rPr>
        <w:t xml:space="preserve">MSAC Secretariat, </w:t>
      </w:r>
    </w:p>
    <w:p w14:paraId="0D2ECC95" w14:textId="77777777" w:rsidR="007648B1" w:rsidRDefault="007648B1" w:rsidP="007648B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6EE">
        <w:rPr>
          <w:sz w:val="18"/>
          <w:szCs w:val="18"/>
        </w:rPr>
        <w:t>MDP 9</w:t>
      </w:r>
      <w:r w:rsidR="001A1520">
        <w:rPr>
          <w:sz w:val="18"/>
          <w:szCs w:val="18"/>
        </w:rPr>
        <w:t>60</w:t>
      </w:r>
      <w:r w:rsidR="005456EE">
        <w:rPr>
          <w:sz w:val="18"/>
          <w:szCs w:val="18"/>
        </w:rPr>
        <w:t>, GPO</w:t>
      </w:r>
      <w:r>
        <w:rPr>
          <w:sz w:val="18"/>
          <w:szCs w:val="18"/>
        </w:rPr>
        <w:t xml:space="preserve"> Box </w:t>
      </w:r>
      <w:r w:rsidR="005456EE">
        <w:rPr>
          <w:sz w:val="18"/>
          <w:szCs w:val="18"/>
        </w:rPr>
        <w:t xml:space="preserve">9848, </w:t>
      </w:r>
    </w:p>
    <w:p w14:paraId="576B2E65" w14:textId="77777777" w:rsidR="00FB24C0" w:rsidRPr="00FB24C0" w:rsidRDefault="007648B1" w:rsidP="001A1520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6EE">
        <w:rPr>
          <w:sz w:val="18"/>
          <w:szCs w:val="18"/>
        </w:rPr>
        <w:t>ACT 2601.</w:t>
      </w:r>
    </w:p>
    <w:p w14:paraId="45DFB05C" w14:textId="77777777" w:rsidR="007648B1" w:rsidRDefault="007648B1">
      <w:pPr>
        <w:rPr>
          <w:b/>
          <w:sz w:val="32"/>
          <w:szCs w:val="32"/>
        </w:rPr>
      </w:pPr>
      <w:r>
        <w:br w:type="page"/>
      </w:r>
    </w:p>
    <w:p w14:paraId="317D80D4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36C422D4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D78E261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41916207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016A88A1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6F08330C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289B33CC" w14:textId="77777777"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651ECF6E" w14:textId="77777777"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6A08A33F" w14:textId="77777777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686BA47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492523D" w14:textId="77777777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7C69A72D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7C3F7250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291168C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1BECEAD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6AFAFAF2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97A0DE0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1A731CE0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4D277053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7D0D0DC5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8D634CD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4CB48E97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45CF02E8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1AF66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0EDF6C0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341FF9C5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9BDC21F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1355A4B1" w14:textId="597F76C6" w:rsidR="00F3628F" w:rsidRDefault="006B695A" w:rsidP="00493388">
      <w:pPr>
        <w:pStyle w:val="Style1"/>
        <w:spacing w:before="240" w:beforeAutospacing="0" w:after="120" w:afterAutospacing="0"/>
        <w:ind w:left="351" w:hanging="357"/>
        <w:contextualSpacing w:val="0"/>
      </w:pPr>
      <w:r w:rsidRPr="00F3628F">
        <w:t>Describe your experience with the medical condi</w:t>
      </w:r>
      <w:r w:rsidR="000077F7" w:rsidRPr="00F3628F">
        <w:t>tion (disease)</w:t>
      </w:r>
      <w:r w:rsidR="00493388">
        <w:t>:</w:t>
      </w:r>
      <w:r w:rsidR="00493388" w:rsidRPr="00493388">
        <w:rPr>
          <w:b w:val="0"/>
          <w:bCs/>
        </w:rPr>
        <w:t xml:space="preserve"> periprosthetic deep surgical site infection (SSI).</w:t>
      </w:r>
      <w:r w:rsidR="000077F7" w:rsidRPr="00493388">
        <w:rPr>
          <w:b w:val="0"/>
          <w:bCs/>
        </w:rPr>
        <w:t xml:space="preserve"> </w:t>
      </w:r>
    </w:p>
    <w:p w14:paraId="482C2D35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61CF3028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477499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F4E341D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063220B8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C1DE0B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0D60E738" w14:textId="09FC70E3" w:rsidR="00F3628F" w:rsidRDefault="00F3628F" w:rsidP="00F3628F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Describe your experience with the proposed intervention: </w:t>
      </w:r>
      <w:r w:rsidRPr="00F3628F">
        <w:rPr>
          <w:b w:val="0"/>
          <w:bCs/>
        </w:rPr>
        <w:t xml:space="preserve">Total joint arthroplasty (TJA) with one or two kits of Defensive Antibacterial Coating (DAC®) 5 ml hydrogel </w:t>
      </w:r>
      <w:r w:rsidRPr="00F3628F">
        <w:rPr>
          <w:b w:val="0"/>
          <w:bCs/>
          <w:u w:val="single"/>
        </w:rPr>
        <w:t>rehydrated using an antibiotic solution</w:t>
      </w:r>
      <w:r w:rsidRPr="00F3628F">
        <w:rPr>
          <w:b w:val="0"/>
          <w:bCs/>
        </w:rPr>
        <w:t xml:space="preserve"> and applied to the surface of the implanted device.</w:t>
      </w:r>
    </w:p>
    <w:p w14:paraId="59930B23" w14:textId="77777777" w:rsidR="00F3628F" w:rsidRDefault="00F3628F" w:rsidP="00F3628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791F159A" w14:textId="77777777" w:rsidR="00F3628F" w:rsidRDefault="00F3628F" w:rsidP="00F3628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88CB79F" w14:textId="77777777" w:rsidR="00F3628F" w:rsidRDefault="00F3628F" w:rsidP="00F3628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096D2036" w14:textId="77777777" w:rsidR="00F3628F" w:rsidRDefault="00F3628F" w:rsidP="00F3628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A797C1A" w14:textId="77777777" w:rsidR="00F3628F" w:rsidRDefault="00F3628F" w:rsidP="00F3628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19ACC08" w14:textId="77777777" w:rsidR="00F3628F" w:rsidRDefault="00F3628F" w:rsidP="00F3628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31421329" w14:textId="3483579B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</w:t>
      </w:r>
      <w:r w:rsidR="00F3628F">
        <w:t>intervention</w:t>
      </w:r>
      <w:r>
        <w:t xml:space="preserve">, in particular for the person involved and/or their family and carers? </w:t>
      </w:r>
    </w:p>
    <w:p w14:paraId="4EE5E77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4ED4BFE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E893C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71F4CCEF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766DABE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FE296D9" w14:textId="2DC4B66B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</w:t>
      </w:r>
      <w:r w:rsidR="00F3628F">
        <w:t>intervention</w:t>
      </w:r>
      <w:r>
        <w:t>, in particular for the person involved and/or their family and carers?</w:t>
      </w:r>
    </w:p>
    <w:p w14:paraId="52C1C4E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EAC4D26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318AC94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4A19AAF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6B7FB2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B2AB6E5" w14:textId="6E96E9EE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benefits can you see from having this intervention </w:t>
      </w:r>
      <w:r w:rsidR="00F3628F">
        <w:t>listed on the Prostheses List</w:t>
      </w:r>
      <w:r w:rsidR="0025428B">
        <w:t>?</w:t>
      </w:r>
      <w:r>
        <w:t xml:space="preserve"> </w:t>
      </w:r>
    </w:p>
    <w:p w14:paraId="10B7641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6873AE4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CEB1EAF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30501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228DA83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453AA82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8C10BAE" w14:textId="77777777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lastRenderedPageBreak/>
        <w:t xml:space="preserve">What other services do you believe need to be delivered before or after this intervention, </w:t>
      </w:r>
      <w:proofErr w:type="spellStart"/>
      <w:proofErr w:type="gramStart"/>
      <w:r>
        <w:t>eg</w:t>
      </w:r>
      <w:proofErr w:type="spellEnd"/>
      <w:proofErr w:type="gramEnd"/>
      <w:r>
        <w:t xml:space="preserve"> Dietician, Pathology etc?</w:t>
      </w:r>
    </w:p>
    <w:p w14:paraId="70E9CC81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45756D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AB583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962FA5D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52B7BDB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E84A922" w14:textId="287E430C" w:rsidR="00147F9C" w:rsidRDefault="00147F9C">
      <w:r>
        <w:br w:type="page"/>
      </w:r>
    </w:p>
    <w:p w14:paraId="603B51A1" w14:textId="043DB63B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7BF6F900" w14:textId="4816BB29" w:rsidR="00493388" w:rsidRDefault="000E53A4" w:rsidP="0049338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A23276">
        <w:t>intervention</w:t>
      </w:r>
      <w:r>
        <w:t xml:space="preserve"> as specified in </w:t>
      </w:r>
      <w:r w:rsidR="00493388">
        <w:t>the PICO Confirmation</w:t>
      </w:r>
      <w:r>
        <w:t>?</w:t>
      </w:r>
    </w:p>
    <w:p w14:paraId="0024B9AF" w14:textId="77777777" w:rsidR="00493388" w:rsidRPr="00F3628F" w:rsidRDefault="00493388" w:rsidP="00493388">
      <w:pPr>
        <w:pStyle w:val="NoSpacing"/>
        <w:numPr>
          <w:ilvl w:val="0"/>
          <w:numId w:val="17"/>
        </w:numPr>
        <w:spacing w:before="20" w:afterLines="20" w:after="48"/>
        <w:rPr>
          <w:sz w:val="20"/>
          <w:szCs w:val="20"/>
        </w:rPr>
      </w:pPr>
      <w:r w:rsidRPr="00F3628F">
        <w:rPr>
          <w:sz w:val="20"/>
          <w:szCs w:val="20"/>
        </w:rPr>
        <w:t>Patients undergoing an elective primary joint implant at increased risk of infection due to the presence of comorbidities (ASA score ≥3; and BMI &gt; 30; and Cementless Components)</w:t>
      </w:r>
    </w:p>
    <w:p w14:paraId="1BF42307" w14:textId="77777777" w:rsidR="00493388" w:rsidRPr="00F3628F" w:rsidRDefault="00493388" w:rsidP="00493388">
      <w:pPr>
        <w:pStyle w:val="NoSpacing"/>
        <w:numPr>
          <w:ilvl w:val="0"/>
          <w:numId w:val="17"/>
        </w:numPr>
        <w:spacing w:before="20" w:afterLines="20" w:after="48"/>
        <w:rPr>
          <w:sz w:val="20"/>
          <w:szCs w:val="20"/>
        </w:rPr>
      </w:pPr>
      <w:r w:rsidRPr="00F3628F">
        <w:rPr>
          <w:sz w:val="20"/>
          <w:szCs w:val="20"/>
        </w:rPr>
        <w:t xml:space="preserve">Patients undergoing elective </w:t>
      </w:r>
      <w:proofErr w:type="spellStart"/>
      <w:r w:rsidRPr="00F3628F">
        <w:rPr>
          <w:sz w:val="20"/>
          <w:szCs w:val="20"/>
        </w:rPr>
        <w:t>megaprosthesis</w:t>
      </w:r>
      <w:proofErr w:type="spellEnd"/>
      <w:r w:rsidRPr="00F3628F">
        <w:rPr>
          <w:sz w:val="20"/>
          <w:szCs w:val="20"/>
        </w:rPr>
        <w:t xml:space="preserve"> implantation or elective major revision of joint implants for indications other than periprosthetic infection, including total joint revision, tumour removal and reconstruction</w:t>
      </w:r>
    </w:p>
    <w:p w14:paraId="7FF07CB6" w14:textId="77777777" w:rsidR="00493388" w:rsidRPr="00F3628F" w:rsidRDefault="00493388" w:rsidP="00493388">
      <w:pPr>
        <w:pStyle w:val="NoSpacing"/>
        <w:numPr>
          <w:ilvl w:val="0"/>
          <w:numId w:val="17"/>
        </w:numPr>
        <w:spacing w:before="20" w:afterLines="20" w:after="48"/>
        <w:rPr>
          <w:sz w:val="20"/>
          <w:szCs w:val="20"/>
        </w:rPr>
      </w:pPr>
      <w:r w:rsidRPr="00F3628F">
        <w:rPr>
          <w:sz w:val="20"/>
          <w:szCs w:val="20"/>
        </w:rPr>
        <w:t>Patients undergoing surgery for periprosthetic infection with implant replacement</w:t>
      </w:r>
    </w:p>
    <w:p w14:paraId="47ED510C" w14:textId="77777777" w:rsidR="00493388" w:rsidRPr="00B25A8A" w:rsidRDefault="00493388" w:rsidP="00493388">
      <w:pPr>
        <w:pStyle w:val="NoSpacing"/>
        <w:numPr>
          <w:ilvl w:val="0"/>
          <w:numId w:val="17"/>
        </w:numPr>
        <w:spacing w:before="20" w:afterLines="20" w:after="48"/>
        <w:rPr>
          <w:sz w:val="20"/>
          <w:szCs w:val="20"/>
        </w:rPr>
      </w:pPr>
      <w:r w:rsidRPr="00F3628F">
        <w:rPr>
          <w:sz w:val="20"/>
          <w:szCs w:val="20"/>
        </w:rPr>
        <w:t xml:space="preserve">Patients </w:t>
      </w:r>
      <w:r w:rsidRPr="00A23276">
        <w:rPr>
          <w:sz w:val="20"/>
          <w:szCs w:val="20"/>
        </w:rPr>
        <w:t>undergoing open reduction and internal fixation:</w:t>
      </w:r>
    </w:p>
    <w:p w14:paraId="764B07CE" w14:textId="77777777" w:rsidR="00493388" w:rsidRPr="00B25A8A" w:rsidRDefault="00493388" w:rsidP="00493388">
      <w:pPr>
        <w:pStyle w:val="NoSpacing"/>
        <w:spacing w:before="20" w:afterLines="20" w:after="48"/>
        <w:ind w:left="720"/>
        <w:rPr>
          <w:sz w:val="20"/>
          <w:szCs w:val="20"/>
        </w:rPr>
      </w:pPr>
      <w:r w:rsidRPr="00B25A8A">
        <w:rPr>
          <w:sz w:val="20"/>
          <w:szCs w:val="20"/>
        </w:rPr>
        <w:t>Subgroup 1: Closed fracture with comorbidities (ASA score ≥3; and BMI &gt; 30)</w:t>
      </w:r>
    </w:p>
    <w:p w14:paraId="377770DC" w14:textId="77777777" w:rsidR="00493388" w:rsidRPr="00B25A8A" w:rsidRDefault="00493388" w:rsidP="00493388">
      <w:pPr>
        <w:pStyle w:val="NoSpacing"/>
        <w:spacing w:before="20" w:afterLines="20" w:after="48"/>
        <w:ind w:left="720"/>
        <w:rPr>
          <w:sz w:val="20"/>
          <w:szCs w:val="20"/>
        </w:rPr>
      </w:pPr>
      <w:r w:rsidRPr="00B25A8A">
        <w:rPr>
          <w:sz w:val="20"/>
          <w:szCs w:val="20"/>
        </w:rPr>
        <w:t xml:space="preserve"> Subgroup 2: Open fracture</w:t>
      </w:r>
    </w:p>
    <w:p w14:paraId="4DF6A45D" w14:textId="77777777" w:rsidR="00493388" w:rsidRDefault="00493388" w:rsidP="00493388">
      <w:pPr>
        <w:pStyle w:val="Style1"/>
        <w:numPr>
          <w:ilvl w:val="0"/>
          <w:numId w:val="0"/>
        </w:numPr>
        <w:spacing w:before="0" w:beforeAutospacing="0" w:after="120" w:afterAutospacing="0"/>
        <w:ind w:left="363"/>
        <w:contextualSpacing w:val="0"/>
      </w:pPr>
    </w:p>
    <w:p w14:paraId="40176FC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5E2707DE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1A65B7CD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4B48F96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4993EA22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4A8A09C5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CA5A83A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A3394D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7E282F4" w14:textId="2B16F142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in </w:t>
      </w:r>
      <w:r w:rsidR="00367B0B">
        <w:t>the PICO Confirmation</w:t>
      </w:r>
      <w:r>
        <w:t>?</w:t>
      </w:r>
    </w:p>
    <w:p w14:paraId="5ABAD57E" w14:textId="2A3230E4" w:rsidR="00367B0B" w:rsidRPr="00B25A8A" w:rsidRDefault="00367B0B" w:rsidP="00367B0B">
      <w:pPr>
        <w:pStyle w:val="Style1"/>
        <w:numPr>
          <w:ilvl w:val="0"/>
          <w:numId w:val="0"/>
        </w:numPr>
        <w:spacing w:before="240" w:beforeAutospacing="0" w:after="120" w:afterAutospacing="0"/>
        <w:ind w:left="363"/>
        <w:contextualSpacing w:val="0"/>
        <w:rPr>
          <w:b w:val="0"/>
          <w:bCs/>
        </w:rPr>
      </w:pPr>
      <w:r>
        <w:rPr>
          <w:b w:val="0"/>
          <w:bCs/>
        </w:rPr>
        <w:t xml:space="preserve">Note: Since ratification of the PICO confirmation, </w:t>
      </w:r>
      <w:r w:rsidR="003355B0">
        <w:rPr>
          <w:b w:val="0"/>
          <w:bCs/>
        </w:rPr>
        <w:t>it has been advised that</w:t>
      </w:r>
      <w:r>
        <w:rPr>
          <w:b w:val="0"/>
          <w:bCs/>
        </w:rPr>
        <w:t xml:space="preserve"> DAC is to be rehydrated with an antibiotic solution (</w:t>
      </w:r>
      <w:r w:rsidR="00A70E37">
        <w:rPr>
          <w:b w:val="0"/>
          <w:bCs/>
        </w:rPr>
        <w:t xml:space="preserve">typically </w:t>
      </w:r>
      <w:r w:rsidRPr="00367B0B">
        <w:rPr>
          <w:b w:val="0"/>
          <w:bCs/>
        </w:rPr>
        <w:t>Vancomycin or Gentamicin)</w:t>
      </w:r>
      <w:r>
        <w:rPr>
          <w:b w:val="0"/>
          <w:bCs/>
        </w:rPr>
        <w:t xml:space="preserve">, consistent with the application submitted to the Therapeutic Goods Administration for inclusion on the Australian Register of Therapeutic Goods and published clinical evidence. </w:t>
      </w:r>
    </w:p>
    <w:p w14:paraId="27C6ABF9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0BC0476D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6A80DD8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6CBEDE47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1623503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F98B19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FE1F7A5" w14:textId="745179CD" w:rsidR="00E46387" w:rsidRDefault="00802B24" w:rsidP="00147F9C">
      <w:pPr>
        <w:pStyle w:val="Style1"/>
        <w:keepNext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367B0B">
        <w:t>intervention</w:t>
      </w:r>
      <w:r w:rsidR="00513CF8">
        <w:t xml:space="preserve"> as specified in </w:t>
      </w:r>
      <w:r w:rsidR="00367B0B">
        <w:t>the PICO Confirmation</w:t>
      </w:r>
      <w:r w:rsidR="00513CF8">
        <w:t>?</w:t>
      </w:r>
    </w:p>
    <w:p w14:paraId="1AE67692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165F7BCF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681D7396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4CE834F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3447153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73BC3A37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712519D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34D1A15E" w14:textId="34BA64C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lastRenderedPageBreak/>
        <w:t xml:space="preserve">Do you agree or disagree with the clinical claim made for the proposed </w:t>
      </w:r>
      <w:r w:rsidR="00F31336">
        <w:t>intervention</w:t>
      </w:r>
      <w:r>
        <w:t xml:space="preserve"> as specified in </w:t>
      </w:r>
      <w:r w:rsidR="00F31336">
        <w:t>the PICO Confirmation</w:t>
      </w:r>
      <w:r>
        <w:t>?</w:t>
      </w:r>
    </w:p>
    <w:p w14:paraId="3452F924" w14:textId="7F4156B1" w:rsidR="00F31336" w:rsidRPr="00B25A8A" w:rsidRDefault="00F31336" w:rsidP="00F31336">
      <w:pPr>
        <w:pStyle w:val="Style1"/>
        <w:numPr>
          <w:ilvl w:val="0"/>
          <w:numId w:val="0"/>
        </w:numPr>
        <w:spacing w:before="240" w:beforeAutospacing="0" w:after="120" w:afterAutospacing="0"/>
        <w:ind w:left="363"/>
        <w:contextualSpacing w:val="0"/>
        <w:rPr>
          <w:b w:val="0"/>
          <w:bCs/>
        </w:rPr>
      </w:pPr>
      <w:r>
        <w:rPr>
          <w:b w:val="0"/>
          <w:bCs/>
        </w:rPr>
        <w:t xml:space="preserve">That is, </w:t>
      </w:r>
      <w:r w:rsidRPr="00F31336">
        <w:rPr>
          <w:b w:val="0"/>
          <w:bCs/>
        </w:rPr>
        <w:t>the use of DAC</w:t>
      </w:r>
      <w:r>
        <w:rPr>
          <w:b w:val="0"/>
          <w:bCs/>
        </w:rPr>
        <w:t xml:space="preserve"> [rehydrated with antibiotic solution]</w:t>
      </w:r>
      <w:r w:rsidRPr="00F31336">
        <w:rPr>
          <w:b w:val="0"/>
          <w:bCs/>
        </w:rPr>
        <w:t xml:space="preserve"> to reduce periprosthetic deep SSI is likely to be superior compared with the current standard of care, </w:t>
      </w:r>
      <w:proofErr w:type="gramStart"/>
      <w:r w:rsidRPr="00F31336">
        <w:rPr>
          <w:b w:val="0"/>
          <w:bCs/>
        </w:rPr>
        <w:t>i.e.</w:t>
      </w:r>
      <w:proofErr w:type="gramEnd"/>
      <w:r w:rsidRPr="00F31336">
        <w:rPr>
          <w:b w:val="0"/>
          <w:bCs/>
        </w:rPr>
        <w:t xml:space="preserve"> standard surgery without DAC</w:t>
      </w:r>
      <w:r>
        <w:rPr>
          <w:b w:val="0"/>
          <w:bCs/>
        </w:rPr>
        <w:t>.</w:t>
      </w:r>
    </w:p>
    <w:p w14:paraId="692868DD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4E4BDEB2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FAB2888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43EC963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35FEB">
        <w:rPr>
          <w:b w:val="0"/>
        </w:rPr>
      </w:r>
      <w:r w:rsidR="00135FEB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27C0CEF5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2AD04760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34EF47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7050A63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76C68A7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21D0406" w14:textId="7F780A52" w:rsidR="0098185C" w:rsidRPr="00A6509E" w:rsidRDefault="0098185C" w:rsidP="006A0C56">
      <w:pPr>
        <w:pStyle w:val="Heading1"/>
      </w:pPr>
      <w:r w:rsidRPr="00A6509E">
        <w:lastRenderedPageBreak/>
        <w:t xml:space="preserve">PART </w:t>
      </w:r>
      <w:r w:rsidR="00B25A8A">
        <w:t>4</w:t>
      </w:r>
      <w:r w:rsidRPr="00A6509E">
        <w:t xml:space="preserve"> – ADDITIONAL COMMENTS</w:t>
      </w:r>
    </w:p>
    <w:p w14:paraId="2E300B42" w14:textId="139C0816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(disease)?</w:t>
      </w:r>
    </w:p>
    <w:p w14:paraId="042CBBD9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432F2848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32931B2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5E641D7A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41CBCAC8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422F35FE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28373B39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9E7CD66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CBFBE22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2EE16C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2EC0CC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4B33B9C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B02992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BB3474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11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6B06" w14:textId="77777777" w:rsidR="00135FEB" w:rsidRDefault="00135FEB" w:rsidP="00074E40">
      <w:r>
        <w:separator/>
      </w:r>
    </w:p>
  </w:endnote>
  <w:endnote w:type="continuationSeparator" w:id="0">
    <w:p w14:paraId="58647F35" w14:textId="77777777" w:rsidR="00135FEB" w:rsidRDefault="00135FE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675487B1" w14:textId="77777777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845E07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30E67B8D" w14:textId="77777777"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14:paraId="151E996E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A863" w14:textId="77777777" w:rsidR="00135FEB" w:rsidRDefault="00135FEB" w:rsidP="00074E40">
      <w:r>
        <w:separator/>
      </w:r>
    </w:p>
  </w:footnote>
  <w:footnote w:type="continuationSeparator" w:id="0">
    <w:p w14:paraId="42AE6360" w14:textId="77777777" w:rsidR="00135FEB" w:rsidRDefault="00135FE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D7257"/>
    <w:multiLevelType w:val="hybridMultilevel"/>
    <w:tmpl w:val="6804D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C5AB5"/>
    <w:rsid w:val="000E53A4"/>
    <w:rsid w:val="0010233F"/>
    <w:rsid w:val="00133B27"/>
    <w:rsid w:val="00135FEB"/>
    <w:rsid w:val="00136289"/>
    <w:rsid w:val="001449A5"/>
    <w:rsid w:val="00147F9C"/>
    <w:rsid w:val="00167C5B"/>
    <w:rsid w:val="00171109"/>
    <w:rsid w:val="001A1520"/>
    <w:rsid w:val="001B0438"/>
    <w:rsid w:val="001B169C"/>
    <w:rsid w:val="001B3443"/>
    <w:rsid w:val="001C5058"/>
    <w:rsid w:val="001F5F93"/>
    <w:rsid w:val="002016C7"/>
    <w:rsid w:val="00205CE8"/>
    <w:rsid w:val="00207174"/>
    <w:rsid w:val="00227303"/>
    <w:rsid w:val="0024130A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355B0"/>
    <w:rsid w:val="00367031"/>
    <w:rsid w:val="00367B0B"/>
    <w:rsid w:val="003F5DBA"/>
    <w:rsid w:val="00406DFA"/>
    <w:rsid w:val="00414CC0"/>
    <w:rsid w:val="00445593"/>
    <w:rsid w:val="0045348B"/>
    <w:rsid w:val="0046546F"/>
    <w:rsid w:val="004867E2"/>
    <w:rsid w:val="0049195B"/>
    <w:rsid w:val="00493388"/>
    <w:rsid w:val="004A1054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F5875"/>
    <w:rsid w:val="0060042B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71BCB"/>
    <w:rsid w:val="007A519D"/>
    <w:rsid w:val="007C53FF"/>
    <w:rsid w:val="007F1AE5"/>
    <w:rsid w:val="00802B24"/>
    <w:rsid w:val="00811D6A"/>
    <w:rsid w:val="008264EB"/>
    <w:rsid w:val="00845E07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276"/>
    <w:rsid w:val="00A236B8"/>
    <w:rsid w:val="00A30610"/>
    <w:rsid w:val="00A40E72"/>
    <w:rsid w:val="00A6509E"/>
    <w:rsid w:val="00A70C2A"/>
    <w:rsid w:val="00A70E37"/>
    <w:rsid w:val="00A74450"/>
    <w:rsid w:val="00A74F06"/>
    <w:rsid w:val="00A8234F"/>
    <w:rsid w:val="00AC1D5E"/>
    <w:rsid w:val="00AC4E7C"/>
    <w:rsid w:val="00AE1D1E"/>
    <w:rsid w:val="00B12E77"/>
    <w:rsid w:val="00B25A8A"/>
    <w:rsid w:val="00B356E4"/>
    <w:rsid w:val="00B42851"/>
    <w:rsid w:val="00B666D8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A686B"/>
    <w:rsid w:val="00F15715"/>
    <w:rsid w:val="00F31336"/>
    <w:rsid w:val="00F3628F"/>
    <w:rsid w:val="00F45A8B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ED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  <w:style w:type="paragraph" w:styleId="NoSpacing">
    <w:name w:val="No Spacing"/>
    <w:uiPriority w:val="1"/>
    <w:qFormat/>
    <w:rsid w:val="00F3628F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933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3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388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388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c.gov.au/internet/msac/publishing.nsf/Content/Home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entsMSAC@health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2022-06-22T01:19:00Z</dcterms:created>
  <dcterms:modified xsi:type="dcterms:W3CDTF">2022-06-22T01:24:00Z</dcterms:modified>
</cp:coreProperties>
</file>