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D342" w14:textId="77777777" w:rsidR="005028BF" w:rsidRPr="00707064" w:rsidRDefault="005028BF" w:rsidP="005028BF">
      <w:pPr>
        <w:spacing w:after="240"/>
        <w:jc w:val="center"/>
        <w:rPr>
          <w:b/>
          <w:i/>
          <w:szCs w:val="24"/>
          <w:highlight w:val="yellow"/>
        </w:rPr>
      </w:pPr>
      <w:r>
        <w:rPr>
          <w:rFonts w:ascii="Arial" w:hAnsi="Arial" w:cs="Arial"/>
          <w:b/>
          <w:noProof/>
          <w:color w:val="000080"/>
          <w:sz w:val="28"/>
          <w:szCs w:val="28"/>
        </w:rPr>
        <w:drawing>
          <wp:inline distT="0" distB="0" distL="0" distR="0" wp14:anchorId="7A542E3D" wp14:editId="0A7ED293">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2497D04" w14:textId="77777777" w:rsidR="005028BF" w:rsidRPr="00F715D1" w:rsidRDefault="005028BF" w:rsidP="005028BF">
      <w:pPr>
        <w:pStyle w:val="Title"/>
        <w:tabs>
          <w:tab w:val="left" w:pos="1926"/>
          <w:tab w:val="center" w:pos="4513"/>
        </w:tabs>
        <w:jc w:val="left"/>
      </w:pPr>
      <w:r>
        <w:tab/>
      </w:r>
      <w:r>
        <w:tab/>
      </w:r>
      <w:r w:rsidRPr="00F715D1">
        <w:t>Public Summary Document</w:t>
      </w:r>
    </w:p>
    <w:p w14:paraId="084DEDFB" w14:textId="2046B12A" w:rsidR="005028BF" w:rsidRPr="00F715D1" w:rsidRDefault="005028BF" w:rsidP="005028BF">
      <w:pPr>
        <w:pStyle w:val="Subtitle"/>
      </w:pPr>
      <w:r w:rsidRPr="00F715D1">
        <w:t xml:space="preserve">Application No. </w:t>
      </w:r>
      <w:r w:rsidR="00B63E40">
        <w:t>1533</w:t>
      </w:r>
      <w:r w:rsidRPr="00F715D1">
        <w:t xml:space="preserve"> – </w:t>
      </w:r>
      <w:r w:rsidR="00B63E40" w:rsidRPr="00B63E40">
        <w:t>Genome-wide microarray testing for pregnancies with major fetal structural abnormalities detected by ultrasound</w:t>
      </w:r>
    </w:p>
    <w:p w14:paraId="30AF5C79" w14:textId="77777777" w:rsidR="005028BF" w:rsidRPr="00F715D1" w:rsidRDefault="005028BF" w:rsidP="005028BF">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B63E40">
        <w:rPr>
          <w:rFonts w:ascii="Arial" w:hAnsi="Arial" w:cs="Arial"/>
          <w:b/>
          <w:szCs w:val="24"/>
        </w:rPr>
        <w:t>The Royal College of Pathologists of Australasia (RCPA)</w:t>
      </w:r>
    </w:p>
    <w:p w14:paraId="527B60D4" w14:textId="77777777" w:rsidR="005028BF" w:rsidRPr="00F715D1" w:rsidRDefault="005028BF" w:rsidP="005028BF">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623E7ACF" w14:textId="77777777" w:rsidR="005028BF" w:rsidRPr="00B03EAB" w:rsidRDefault="005028BF" w:rsidP="005028BF">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11FA3038" w14:textId="5B13D129" w:rsidR="005028BF" w:rsidRPr="00F715D1" w:rsidRDefault="0037679B" w:rsidP="005028BF">
      <w:pPr>
        <w:pStyle w:val="Heading1"/>
      </w:pPr>
      <w:r>
        <w:t>Purpose of application</w:t>
      </w:r>
    </w:p>
    <w:p w14:paraId="46187FBA" w14:textId="44CA5170" w:rsidR="001D42B7" w:rsidRPr="005B384E" w:rsidRDefault="001D42B7" w:rsidP="001D42B7">
      <w:r>
        <w:t xml:space="preserve">A proposal to extend the existing </w:t>
      </w:r>
      <w:r w:rsidR="00D95420">
        <w:t>Medicare Benefits Schedule (</w:t>
      </w:r>
      <w:r w:rsidRPr="001B5DF3">
        <w:t>MBS</w:t>
      </w:r>
      <w:r w:rsidR="00D95420">
        <w:t>)</w:t>
      </w:r>
      <w:r w:rsidRPr="001B5DF3">
        <w:t xml:space="preserve"> listing of</w:t>
      </w:r>
      <w:r>
        <w:rPr>
          <w:b/>
        </w:rPr>
        <w:t xml:space="preserve"> </w:t>
      </w:r>
      <w:r w:rsidRPr="00A363D7">
        <w:t>g</w:t>
      </w:r>
      <w:r w:rsidRPr="00C60433">
        <w:t>enome-wide microarray</w:t>
      </w:r>
      <w:r>
        <w:t xml:space="preserve"> (GWMA)</w:t>
      </w:r>
      <w:r w:rsidRPr="001B5DF3">
        <w:t xml:space="preserve"> testing </w:t>
      </w:r>
      <w:r>
        <w:t>to include</w:t>
      </w:r>
      <w:r w:rsidRPr="001B5DF3">
        <w:t xml:space="preserve"> pregnancies with major fetal structural abnormalities detected by ultrasound</w:t>
      </w:r>
      <w:r>
        <w:t xml:space="preserve">, was referred from the Genetics Working Group (GWG) of the MBS Reviews Taskforce. The RCPA agreed to act as the </w:t>
      </w:r>
      <w:r w:rsidR="00AF4D91">
        <w:t>a</w:t>
      </w:r>
      <w:r>
        <w:t>pplicant for this application.</w:t>
      </w:r>
    </w:p>
    <w:p w14:paraId="34E8E2EE" w14:textId="77777777" w:rsidR="005028BF" w:rsidRPr="00F715D1" w:rsidRDefault="005028BF" w:rsidP="005028BF">
      <w:pPr>
        <w:pStyle w:val="Heading1"/>
      </w:pPr>
      <w:r w:rsidRPr="00F715D1">
        <w:t>MSAC’s advice to the Minister</w:t>
      </w:r>
    </w:p>
    <w:p w14:paraId="3498EDBC" w14:textId="448D4B56" w:rsidR="00F73718" w:rsidRPr="00412BC0" w:rsidRDefault="00F73718" w:rsidP="00412BC0">
      <w:pPr>
        <w:spacing w:after="240"/>
      </w:pPr>
      <w:r w:rsidRPr="00412BC0">
        <w:t>After considering the strength of the available evidence in relation to comparative safety, clinical effectiveness and cost-effectiveness, MSAC supported the creation of a new MBS item for genome-wide microarray (GWMA) testing to include pregnancies with major fetal structural abnormalities detected by ultrasound on the basis that GWMA detects more chromosomal abnormalities than karyotyping. MSAC noted some uncertainties associated with the economic modelling and financial estimates, but considered GWMA to have acceptable cost-effectiveness and budget impact.</w:t>
      </w:r>
    </w:p>
    <w:p w14:paraId="47EEB2AF" w14:textId="05182C60" w:rsidR="00F73718" w:rsidRDefault="00F73718" w:rsidP="00F73718">
      <w:r>
        <w:t xml:space="preserve">MSAC </w:t>
      </w:r>
      <w:r w:rsidR="0037679B">
        <w:t>advised</w:t>
      </w:r>
      <w:r>
        <w:t xml:space="preserve"> that a new </w:t>
      </w:r>
      <w:r w:rsidR="0037679B">
        <w:t xml:space="preserve">MBS </w:t>
      </w:r>
      <w:r>
        <w:t>item be created so it</w:t>
      </w:r>
      <w:r w:rsidR="00071A98">
        <w:t>s use</w:t>
      </w:r>
      <w:r>
        <w:t xml:space="preserve"> can be</w:t>
      </w:r>
      <w:r w:rsidR="002B3D34">
        <w:t xml:space="preserve"> more</w:t>
      </w:r>
      <w:r>
        <w:t xml:space="preserve"> easily tracked. MSAC suggested that the service be reviewed after listing, to determine </w:t>
      </w:r>
      <w:r w:rsidR="00E52311">
        <w:t xml:space="preserve">the proportion of tests which are </w:t>
      </w:r>
      <w:r w:rsidR="0037679B">
        <w:t xml:space="preserve">associated with a </w:t>
      </w:r>
      <w:r w:rsidR="00E52311">
        <w:t>subsequent</w:t>
      </w:r>
      <w:r w:rsidR="0037679B">
        <w:t xml:space="preserve"> </w:t>
      </w:r>
      <w:r>
        <w:t>claim</w:t>
      </w:r>
      <w:r w:rsidR="0037679B">
        <w:t xml:space="preserve"> for </w:t>
      </w:r>
      <w:r>
        <w:t>termination of pregnancy services</w:t>
      </w:r>
      <w:r w:rsidR="003335A2">
        <w:t xml:space="preserve">, and the </w:t>
      </w:r>
      <w:r w:rsidR="00AF4D91">
        <w:t>association</w:t>
      </w:r>
      <w:r w:rsidR="003335A2">
        <w:t xml:space="preserve"> with post-natal microarray testing where women elect to continue a pregnancy</w:t>
      </w:r>
      <w:r>
        <w:t>.</w:t>
      </w:r>
    </w:p>
    <w:p w14:paraId="2B49ADE8" w14:textId="77777777" w:rsidR="00F73718" w:rsidRDefault="00F73718" w:rsidP="00A32F80">
      <w:pPr>
        <w:pStyle w:val="BoxName"/>
        <w:pBdr>
          <w:bottom w:val="single" w:sz="4" w:space="8" w:color="000000"/>
        </w:pBdr>
      </w:pPr>
      <w:r>
        <w:t>Consumer summary</w:t>
      </w:r>
    </w:p>
    <w:p w14:paraId="44A157F3" w14:textId="1075A4CB" w:rsidR="00F73718" w:rsidRDefault="00F73718" w:rsidP="001E27A5">
      <w:pPr>
        <w:pStyle w:val="BoxText"/>
        <w:pBdr>
          <w:bottom w:val="single" w:sz="4" w:space="8" w:color="000000"/>
        </w:pBdr>
        <w:spacing w:after="240"/>
      </w:pPr>
      <w:r>
        <w:t xml:space="preserve">The </w:t>
      </w:r>
      <w:r w:rsidR="00D95420">
        <w:t xml:space="preserve">Genetics Working Group of the MBS Review Taskforce recommended extending </w:t>
      </w:r>
      <w:r w:rsidRPr="00C60190">
        <w:t xml:space="preserve">public funding </w:t>
      </w:r>
      <w:r>
        <w:t>through</w:t>
      </w:r>
      <w:r w:rsidRPr="00C60190">
        <w:t xml:space="preserve"> the Medicare Benefits Schedule (MBS)</w:t>
      </w:r>
      <w:r>
        <w:t xml:space="preserve"> for a type of genetic testing that would be done during pregnancy. The test, called genome-wide microarray, would be done </w:t>
      </w:r>
      <w:r w:rsidR="00E729BB">
        <w:t>if a</w:t>
      </w:r>
      <w:r w:rsidR="00C054EB">
        <w:t xml:space="preserve"> pregnant</w:t>
      </w:r>
      <w:r>
        <w:t xml:space="preserve"> wom</w:t>
      </w:r>
      <w:r w:rsidR="00E52311">
        <w:t>a</w:t>
      </w:r>
      <w:r>
        <w:t xml:space="preserve">n had an ultrasound that </w:t>
      </w:r>
      <w:r w:rsidR="00C325A6">
        <w:t xml:space="preserve">has shown </w:t>
      </w:r>
      <w:r>
        <w:t xml:space="preserve">the </w:t>
      </w:r>
      <w:r w:rsidR="00E729BB">
        <w:t xml:space="preserve">unborn </w:t>
      </w:r>
      <w:r>
        <w:t>baby</w:t>
      </w:r>
      <w:r w:rsidR="00E52311">
        <w:t xml:space="preserve"> has</w:t>
      </w:r>
      <w:r>
        <w:t xml:space="preserve"> a major structural abnormality (sometimes called a birth defect</w:t>
      </w:r>
      <w:r w:rsidR="00D43D84">
        <w:t>).</w:t>
      </w:r>
    </w:p>
    <w:p w14:paraId="7CB7E7BB" w14:textId="4BC5B1F0" w:rsidR="00F73718" w:rsidRDefault="00813D3C" w:rsidP="001E27A5">
      <w:pPr>
        <w:pStyle w:val="BoxText"/>
        <w:spacing w:after="240"/>
      </w:pPr>
      <w:r>
        <w:lastRenderedPageBreak/>
        <w:t>Currently, t</w:t>
      </w:r>
      <w:r w:rsidR="00E729BB">
        <w:t xml:space="preserve">hese </w:t>
      </w:r>
      <w:r w:rsidR="00D43D84">
        <w:t xml:space="preserve">structural </w:t>
      </w:r>
      <w:r w:rsidR="00F73718">
        <w:t xml:space="preserve">abnormalities </w:t>
      </w:r>
      <w:r>
        <w:t>are</w:t>
      </w:r>
      <w:r w:rsidR="00C054EB">
        <w:t xml:space="preserve"> further assessed</w:t>
      </w:r>
      <w:r w:rsidR="00F73718">
        <w:t xml:space="preserve"> by a </w:t>
      </w:r>
      <w:r w:rsidR="00A36FC1">
        <w:t xml:space="preserve">type </w:t>
      </w:r>
      <w:r w:rsidR="00D43D84">
        <w:t>of genetic test</w:t>
      </w:r>
      <w:r w:rsidR="00F73718">
        <w:t xml:space="preserve"> called karyotyping. </w:t>
      </w:r>
      <w:r w:rsidR="00A36FC1">
        <w:t>Genome-wide microarray</w:t>
      </w:r>
      <w:r w:rsidR="00F73718">
        <w:t xml:space="preserve"> is a new </w:t>
      </w:r>
      <w:r w:rsidR="0098654F">
        <w:t xml:space="preserve">pathology </w:t>
      </w:r>
      <w:r w:rsidR="0098654F" w:rsidRPr="00D84DEE">
        <w:t>laboratory tool used to analy</w:t>
      </w:r>
      <w:r w:rsidR="0098654F">
        <w:t>s</w:t>
      </w:r>
      <w:r w:rsidR="0098654F" w:rsidRPr="00D84DEE">
        <w:t>e large numbers of genes at one time</w:t>
      </w:r>
      <w:r w:rsidR="0098654F">
        <w:t xml:space="preserve">. </w:t>
      </w:r>
      <w:r w:rsidR="00A36FC1">
        <w:t>The evidence provided demonstrated that i</w:t>
      </w:r>
      <w:r w:rsidR="0098654F">
        <w:t xml:space="preserve">t </w:t>
      </w:r>
      <w:r w:rsidR="00C325A6">
        <w:t xml:space="preserve">can identify a wider </w:t>
      </w:r>
      <w:r w:rsidR="00D95420">
        <w:t xml:space="preserve">range of </w:t>
      </w:r>
      <w:r w:rsidR="0037679B">
        <w:t xml:space="preserve">genetic </w:t>
      </w:r>
      <w:r w:rsidR="00F73718">
        <w:t>abnormalities than karyotyping</w:t>
      </w:r>
      <w:r w:rsidR="00D43D84">
        <w:t xml:space="preserve"> and usually gives a faster result</w:t>
      </w:r>
      <w:r w:rsidR="00F73718">
        <w:t>.</w:t>
      </w:r>
      <w:r w:rsidR="00A36FC1">
        <w:t xml:space="preserve"> </w:t>
      </w:r>
      <w:r w:rsidR="00C325A6">
        <w:t>When needed, t</w:t>
      </w:r>
      <w:r w:rsidR="00A36FC1">
        <w:t xml:space="preserve">he test is usually conducted about three months into </w:t>
      </w:r>
      <w:r w:rsidR="00C325A6">
        <w:t>a</w:t>
      </w:r>
      <w:r w:rsidR="00A36FC1">
        <w:t xml:space="preserve"> pregnancy.</w:t>
      </w:r>
    </w:p>
    <w:p w14:paraId="3641E4B3" w14:textId="4351C192" w:rsidR="00F73718" w:rsidRDefault="00F73718" w:rsidP="001E27A5">
      <w:pPr>
        <w:pStyle w:val="BoxText"/>
        <w:spacing w:after="240"/>
      </w:pPr>
      <w:r>
        <w:t xml:space="preserve">For the </w:t>
      </w:r>
      <w:r w:rsidR="00E729BB">
        <w:t>genome-wide microarray</w:t>
      </w:r>
      <w:r>
        <w:t xml:space="preserve"> test</w:t>
      </w:r>
      <w:r w:rsidR="00813D3C">
        <w:t xml:space="preserve"> (as for karyotyping)</w:t>
      </w:r>
      <w:r>
        <w:t>, the doctor need</w:t>
      </w:r>
      <w:r w:rsidR="00813D3C">
        <w:t>s</w:t>
      </w:r>
      <w:r>
        <w:t xml:space="preserve"> to collect a sample of the baby’s DNA</w:t>
      </w:r>
      <w:r w:rsidR="00DE018F">
        <w:t>. DNA</w:t>
      </w:r>
      <w:r w:rsidR="00813D3C">
        <w:t xml:space="preserve"> (deoxyribonucleic acid</w:t>
      </w:r>
      <w:r w:rsidR="00DE018F">
        <w:t>)</w:t>
      </w:r>
      <w:r w:rsidR="00813D3C">
        <w:t xml:space="preserve"> provides the genetic code of a person</w:t>
      </w:r>
      <w:r>
        <w:t>. Th</w:t>
      </w:r>
      <w:r w:rsidR="00813D3C">
        <w:t xml:space="preserve">e DNA sample is collected </w:t>
      </w:r>
      <w:r>
        <w:t xml:space="preserve">by amniocentesis </w:t>
      </w:r>
      <w:r w:rsidR="00813D3C">
        <w:t xml:space="preserve">(using a needle to get a sample of the fluid around the baby) </w:t>
      </w:r>
      <w:r>
        <w:t>or chorionic villus sampling (</w:t>
      </w:r>
      <w:r w:rsidR="00813D3C">
        <w:t>taking a sample from the placenta – where the baby and the mother’s blood supply connect</w:t>
      </w:r>
      <w:r>
        <w:t>).</w:t>
      </w:r>
    </w:p>
    <w:p w14:paraId="18EF72EF" w14:textId="52E7BD7A" w:rsidR="00F73718" w:rsidRPr="000A0160" w:rsidRDefault="00F73718" w:rsidP="00F73718">
      <w:pPr>
        <w:pStyle w:val="BoxHeading"/>
      </w:pPr>
      <w:r>
        <w:t xml:space="preserve">MSAC’s </w:t>
      </w:r>
      <w:r w:rsidR="0037679B">
        <w:t xml:space="preserve">advice </w:t>
      </w:r>
      <w:r w:rsidRPr="000A0160">
        <w:t>to the Commonwealth Minister</w:t>
      </w:r>
      <w:r w:rsidR="0037679B">
        <w:t xml:space="preserve"> for Health</w:t>
      </w:r>
    </w:p>
    <w:p w14:paraId="3518EE60" w14:textId="2D4E4758" w:rsidR="00F73718" w:rsidRPr="004E4032" w:rsidRDefault="00F73718" w:rsidP="00F73718">
      <w:pPr>
        <w:pStyle w:val="BoxText"/>
      </w:pPr>
      <w:r>
        <w:t xml:space="preserve">MSAC </w:t>
      </w:r>
      <w:r w:rsidR="0098654F">
        <w:t xml:space="preserve">supported public funding of </w:t>
      </w:r>
      <w:r w:rsidR="00C054EB">
        <w:t xml:space="preserve">genome-wide microarray </w:t>
      </w:r>
      <w:r>
        <w:t xml:space="preserve">for pregnant women who have had an ultrasound that </w:t>
      </w:r>
      <w:r w:rsidR="00C325A6">
        <w:t>has shown</w:t>
      </w:r>
      <w:r>
        <w:t xml:space="preserve"> the </w:t>
      </w:r>
      <w:r w:rsidR="00C325A6">
        <w:t xml:space="preserve">unborn </w:t>
      </w:r>
      <w:r>
        <w:t xml:space="preserve">baby has a major structural abnormality. MSAC </w:t>
      </w:r>
      <w:r w:rsidR="0037679B">
        <w:t>advised</w:t>
      </w:r>
      <w:r>
        <w:t xml:space="preserve"> that </w:t>
      </w:r>
      <w:r w:rsidR="00C054EB">
        <w:t>genome-wide microarray</w:t>
      </w:r>
      <w:r>
        <w:t xml:space="preserve"> is better </w:t>
      </w:r>
      <w:bookmarkStart w:id="0" w:name="Editing"/>
      <w:bookmarkEnd w:id="0"/>
      <w:r w:rsidR="00E05C69">
        <w:t xml:space="preserve">than karyotyping </w:t>
      </w:r>
      <w:r>
        <w:t xml:space="preserve">at </w:t>
      </w:r>
      <w:r w:rsidR="00813D3C">
        <w:t xml:space="preserve">assessing the genetic basis for these </w:t>
      </w:r>
      <w:r>
        <w:t xml:space="preserve">structural abnormalities, and will result in </w:t>
      </w:r>
      <w:r w:rsidR="00C054EB">
        <w:t>better information for managing th</w:t>
      </w:r>
      <w:r w:rsidR="00813D3C">
        <w:t xml:space="preserve">is </w:t>
      </w:r>
      <w:r w:rsidR="00C054EB">
        <w:t xml:space="preserve">situation and </w:t>
      </w:r>
      <w:r w:rsidR="0037679B">
        <w:t xml:space="preserve">overall </w:t>
      </w:r>
      <w:r>
        <w:t xml:space="preserve">cost-savings to the </w:t>
      </w:r>
      <w:r w:rsidR="0037679B">
        <w:t>healthcare system</w:t>
      </w:r>
      <w:r>
        <w:t>.</w:t>
      </w:r>
    </w:p>
    <w:p w14:paraId="0DA5FCCF" w14:textId="6AC29AE6" w:rsidR="005028BF" w:rsidRPr="00F715D1" w:rsidRDefault="005028BF" w:rsidP="005028BF">
      <w:pPr>
        <w:pStyle w:val="Heading1"/>
      </w:pPr>
      <w:r w:rsidRPr="00F715D1">
        <w:t xml:space="preserve">Summary of consideration </w:t>
      </w:r>
      <w:r w:rsidR="00AF4D91">
        <w:t>and rationale for MSAC’s advice</w:t>
      </w:r>
    </w:p>
    <w:p w14:paraId="050DA050" w14:textId="4E091198" w:rsidR="00DE44D7" w:rsidRDefault="00DA4E88" w:rsidP="008772BC">
      <w:pPr>
        <w:spacing w:after="240"/>
      </w:pPr>
      <w:r>
        <w:t xml:space="preserve">MSAC noted this application – to extend the existing MBS listing of GWMA testing to include pregnancies with major fetal abnormalities detected by ultrasound – was a referral from the </w:t>
      </w:r>
      <w:r w:rsidR="001E27A5">
        <w:t>GWG</w:t>
      </w:r>
      <w:r>
        <w:t xml:space="preserve"> of the MBS Review Taskforce. The </w:t>
      </w:r>
      <w:r w:rsidR="001E27A5">
        <w:t>RCPA</w:t>
      </w:r>
      <w:r>
        <w:t xml:space="preserve"> acted as the applicant.</w:t>
      </w:r>
    </w:p>
    <w:p w14:paraId="5D91A4F9" w14:textId="77777777" w:rsidR="00DA4E88" w:rsidRDefault="00DA4E88" w:rsidP="00DA4E88">
      <w:pPr>
        <w:pStyle w:val="NormalBeforeBullet"/>
      </w:pPr>
      <w:r>
        <w:t>MSAC noted the minor errors in the PICO:</w:t>
      </w:r>
    </w:p>
    <w:p w14:paraId="3772BEE5" w14:textId="2B512815" w:rsidR="00DA4E88" w:rsidRDefault="00DA4E88" w:rsidP="00DA4E88">
      <w:pPr>
        <w:pStyle w:val="Bullet"/>
      </w:pPr>
      <w:r>
        <w:t>Genetic malformations shou</w:t>
      </w:r>
      <w:r w:rsidR="00250218">
        <w:t>ld not be a comparator, because</w:t>
      </w:r>
      <w:r w:rsidR="004F72DC">
        <w:t xml:space="preserve"> the diagnosis is made on </w:t>
      </w:r>
      <w:r>
        <w:t>ultrasound, not karyotyping. GWMA is not replacing ultrasound.</w:t>
      </w:r>
    </w:p>
    <w:p w14:paraId="48123A3F" w14:textId="47ABE867" w:rsidR="00DA4E88" w:rsidRDefault="00DA4E88" w:rsidP="00DA4E88">
      <w:pPr>
        <w:pStyle w:val="BulletLast"/>
      </w:pPr>
      <w:r>
        <w:t>Amniocentesis/chorionic villus sampling (CVS) are</w:t>
      </w:r>
      <w:r w:rsidR="00E52311">
        <w:t xml:space="preserve"> typically</w:t>
      </w:r>
      <w:r>
        <w:t xml:space="preserve"> outpatient services, not in-hospital services</w:t>
      </w:r>
      <w:r w:rsidR="00071A98">
        <w:t xml:space="preserve"> in otherwise uncomplicated pregnancies</w:t>
      </w:r>
      <w:r>
        <w:t>.</w:t>
      </w:r>
    </w:p>
    <w:p w14:paraId="7BB88DDB" w14:textId="7136767A" w:rsidR="00DE44D7" w:rsidRDefault="00DA4E88" w:rsidP="008772BC">
      <w:pPr>
        <w:spacing w:after="240"/>
      </w:pPr>
      <w:r>
        <w:t xml:space="preserve">However, MSAC considered these minor errors </w:t>
      </w:r>
      <w:r w:rsidR="00DE44D7">
        <w:t xml:space="preserve">did </w:t>
      </w:r>
      <w:r>
        <w:t xml:space="preserve">not </w:t>
      </w:r>
      <w:r w:rsidR="000E3DF1">
        <w:t xml:space="preserve">materially </w:t>
      </w:r>
      <w:r w:rsidR="00DE44D7">
        <w:t>affect its conclusions or advice</w:t>
      </w:r>
      <w:r>
        <w:t>.</w:t>
      </w:r>
    </w:p>
    <w:p w14:paraId="6C87DD85" w14:textId="335B2BC7" w:rsidR="00DA4E88" w:rsidRDefault="00DA4E88" w:rsidP="008772BC">
      <w:pPr>
        <w:spacing w:after="240"/>
      </w:pPr>
      <w:r>
        <w:t xml:space="preserve">MSAC discussed the </w:t>
      </w:r>
      <w:r w:rsidR="00DE44D7">
        <w:t xml:space="preserve">proposed MBS item </w:t>
      </w:r>
      <w:r>
        <w:t xml:space="preserve">descriptor and whether “major structural abnormalities” should be </w:t>
      </w:r>
      <w:r w:rsidR="00071A98">
        <w:t xml:space="preserve">further </w:t>
      </w:r>
      <w:r>
        <w:t xml:space="preserve">defined. MSAC considered </w:t>
      </w:r>
      <w:r w:rsidR="00DE44D7">
        <w:t xml:space="preserve">that this </w:t>
      </w:r>
      <w:r>
        <w:t xml:space="preserve">descriptor </w:t>
      </w:r>
      <w:r w:rsidR="00DE44D7">
        <w:t>was</w:t>
      </w:r>
      <w:r>
        <w:t xml:space="preserve"> suitable as </w:t>
      </w:r>
      <w:r w:rsidR="00DE44D7">
        <w:t>proposed</w:t>
      </w:r>
      <w:r>
        <w:t xml:space="preserve"> and that there </w:t>
      </w:r>
      <w:r w:rsidR="00DE44D7">
        <w:t>was</w:t>
      </w:r>
      <w:r>
        <w:t xml:space="preserve"> no advantage of being more prescriptive.</w:t>
      </w:r>
      <w:r w:rsidR="00932196">
        <w:t xml:space="preserve"> MSAC considered that there </w:t>
      </w:r>
      <w:r w:rsidR="00DE44D7">
        <w:t>was</w:t>
      </w:r>
      <w:r w:rsidR="00932196">
        <w:t xml:space="preserve"> sufficient evidence to </w:t>
      </w:r>
      <w:r w:rsidR="0037679B">
        <w:t>support</w:t>
      </w:r>
      <w:r w:rsidR="00932196">
        <w:t xml:space="preserve"> listing GWMA for one or more major fetal structural abnormalities.</w:t>
      </w:r>
      <w:r>
        <w:t xml:space="preserve"> MSAC considered the risk of leakage </w:t>
      </w:r>
      <w:r w:rsidR="00DE44D7">
        <w:t xml:space="preserve">beyond the intent of the item </w:t>
      </w:r>
      <w:r>
        <w:t xml:space="preserve">to be low, as </w:t>
      </w:r>
      <w:r w:rsidR="00975345">
        <w:t xml:space="preserve">the test </w:t>
      </w:r>
      <w:r w:rsidR="00DE44D7">
        <w:t>was</w:t>
      </w:r>
      <w:r w:rsidR="00975345">
        <w:t xml:space="preserve"> proposed in pregnancies with an affected fetus and </w:t>
      </w:r>
      <w:r w:rsidRPr="00172139">
        <w:t xml:space="preserve">amniocentesis </w:t>
      </w:r>
      <w:r>
        <w:t>and</w:t>
      </w:r>
      <w:r w:rsidRPr="00172139">
        <w:t xml:space="preserve"> </w:t>
      </w:r>
      <w:r>
        <w:t>CVS carry some risk</w:t>
      </w:r>
      <w:r w:rsidR="00975345">
        <w:t>, thus</w:t>
      </w:r>
      <w:r>
        <w:t xml:space="preserve"> </w:t>
      </w:r>
      <w:r w:rsidR="00DE44D7">
        <w:t>would</w:t>
      </w:r>
      <w:r>
        <w:t xml:space="preserve"> not be used inappropriately.</w:t>
      </w:r>
      <w:r w:rsidRPr="00172139">
        <w:t xml:space="preserve"> </w:t>
      </w:r>
      <w:r>
        <w:t xml:space="preserve">MSAC agreed that </w:t>
      </w:r>
      <w:r w:rsidR="00DE44D7">
        <w:t xml:space="preserve">those requesting the test would be </w:t>
      </w:r>
      <w:r>
        <w:t>well qualified to make the decision to request this test based on ultrasound results.</w:t>
      </w:r>
    </w:p>
    <w:p w14:paraId="64639733" w14:textId="3F814EA1" w:rsidR="00DA4E88" w:rsidRDefault="00DA4E88" w:rsidP="00DA4E88">
      <w:r>
        <w:t xml:space="preserve">MSAC suggested the following amendments to the </w:t>
      </w:r>
      <w:r w:rsidR="0063613B">
        <w:t xml:space="preserve">proposed </w:t>
      </w:r>
      <w:r>
        <w:t>MBS item descriptor (in red), and that the service should have the same fee as MBS item 73292. MSAC preferred creating a new item number so the service c</w:t>
      </w:r>
      <w:r w:rsidR="0063613B">
        <w:t>ould</w:t>
      </w:r>
      <w:r>
        <w:t xml:space="preserve"> be tracked.</w:t>
      </w:r>
    </w:p>
    <w:tbl>
      <w:tblPr>
        <w:tblStyle w:val="TableGrid"/>
        <w:tblW w:w="0" w:type="auto"/>
        <w:tblBorders>
          <w:insideH w:val="none" w:sz="0" w:space="0" w:color="auto"/>
          <w:insideV w:val="none" w:sz="0" w:space="0" w:color="auto"/>
        </w:tblBorders>
        <w:tblLook w:val="04A0" w:firstRow="1" w:lastRow="0" w:firstColumn="1" w:lastColumn="0" w:noHBand="0" w:noVBand="1"/>
        <w:tblDescription w:val="MSAC proposed MBS descriptor"/>
      </w:tblPr>
      <w:tblGrid>
        <w:gridCol w:w="4509"/>
        <w:gridCol w:w="4507"/>
      </w:tblGrid>
      <w:tr w:rsidR="00DA4E88" w14:paraId="7990A506" w14:textId="77777777" w:rsidTr="00412BC0">
        <w:trPr>
          <w:tblHeader/>
        </w:trPr>
        <w:tc>
          <w:tcPr>
            <w:tcW w:w="4621" w:type="dxa"/>
          </w:tcPr>
          <w:p w14:paraId="5D30089D" w14:textId="77777777" w:rsidR="00DA4E88" w:rsidRDefault="00DA4E88" w:rsidP="00DE44D7">
            <w:pPr>
              <w:pStyle w:val="TableText1"/>
            </w:pPr>
            <w:r>
              <w:t>Category 6 Pathology Services</w:t>
            </w:r>
          </w:p>
        </w:tc>
        <w:tc>
          <w:tcPr>
            <w:tcW w:w="4621" w:type="dxa"/>
          </w:tcPr>
          <w:p w14:paraId="16C75EE8" w14:textId="77777777" w:rsidR="00DA4E88" w:rsidRPr="00DE44D7" w:rsidRDefault="00DA4E88" w:rsidP="00A32F80">
            <w:pPr>
              <w:pStyle w:val="TableText"/>
              <w:jc w:val="right"/>
              <w:rPr>
                <w:rFonts w:ascii="Arial Narrow" w:hAnsi="Arial Narrow"/>
                <w:sz w:val="20"/>
                <w:szCs w:val="20"/>
              </w:rPr>
            </w:pPr>
            <w:r w:rsidRPr="00DE44D7">
              <w:rPr>
                <w:rFonts w:ascii="Arial Narrow" w:hAnsi="Arial Narrow"/>
                <w:sz w:val="20"/>
                <w:szCs w:val="20"/>
              </w:rPr>
              <w:t>Group P7 – Genetics</w:t>
            </w:r>
          </w:p>
        </w:tc>
      </w:tr>
      <w:tr w:rsidR="00DA4E88" w14:paraId="1FD2C4C5" w14:textId="77777777" w:rsidTr="00A32F80">
        <w:tc>
          <w:tcPr>
            <w:tcW w:w="9242" w:type="dxa"/>
            <w:gridSpan w:val="2"/>
          </w:tcPr>
          <w:p w14:paraId="3D17C09B" w14:textId="77777777" w:rsidR="00DA4E88" w:rsidRDefault="00DA4E88" w:rsidP="00DE44D7">
            <w:pPr>
              <w:pStyle w:val="TableText1"/>
            </w:pPr>
            <w:r>
              <w:t>732XX</w:t>
            </w:r>
          </w:p>
          <w:p w14:paraId="101323EE" w14:textId="03FA6062" w:rsidR="00DA4E88" w:rsidRDefault="00DA4E88" w:rsidP="00DE44D7">
            <w:pPr>
              <w:pStyle w:val="TableText1"/>
            </w:pPr>
            <w:r>
              <w:t xml:space="preserve">Analysis of chromosomes by genome-wide microarray, </w:t>
            </w:r>
            <w:r w:rsidRPr="00707295">
              <w:rPr>
                <w:color w:val="FF0000"/>
              </w:rPr>
              <w:t>of a sample from amniocentesis or chorionic villus sampling</w:t>
            </w:r>
            <w:r>
              <w:t xml:space="preserve">, including targeted assessment of specific regions for constitutional genetic abnormalities in diagnostic studies of a fetus where one or more major fetal structural abnormalities have been detected on ultrasound </w:t>
            </w:r>
            <w:r w:rsidRPr="00707295">
              <w:rPr>
                <w:color w:val="FF0000"/>
              </w:rPr>
              <w:t xml:space="preserve">or when nuchal translucency &gt;3.5 mm </w:t>
            </w:r>
            <w:r>
              <w:t>(including a service in item 73287).</w:t>
            </w:r>
          </w:p>
          <w:p w14:paraId="0A0023BD" w14:textId="71C62556" w:rsidR="00DA4E88" w:rsidRDefault="00DA4E88" w:rsidP="008772BC">
            <w:pPr>
              <w:pStyle w:val="TableText1"/>
              <w:spacing w:before="240" w:after="240"/>
              <w:rPr>
                <w:color w:val="FF0000"/>
              </w:rPr>
            </w:pPr>
            <w:r w:rsidRPr="00F602F4">
              <w:rPr>
                <w:color w:val="FF0000"/>
              </w:rPr>
              <w:t xml:space="preserve">- 1 </w:t>
            </w:r>
            <w:r w:rsidRPr="00F602F4">
              <w:rPr>
                <w:strike/>
                <w:color w:val="FF0000"/>
              </w:rPr>
              <w:t xml:space="preserve">or more tests </w:t>
            </w:r>
            <w:r w:rsidRPr="00F602F4">
              <w:rPr>
                <w:color w:val="FF0000"/>
              </w:rPr>
              <w:t>test per affected fetus</w:t>
            </w:r>
          </w:p>
          <w:p w14:paraId="4267B68B" w14:textId="77777777" w:rsidR="00DA4E88" w:rsidRDefault="00DA4E88" w:rsidP="00DE44D7">
            <w:pPr>
              <w:pStyle w:val="TableText1"/>
            </w:pPr>
            <w:r w:rsidRPr="00C20250">
              <w:t>Fee: $589.90 Benefit: 75% = $442.45 85% = $506.50</w:t>
            </w:r>
          </w:p>
        </w:tc>
      </w:tr>
    </w:tbl>
    <w:p w14:paraId="358EA358" w14:textId="2AB34F53" w:rsidR="00DA4E88" w:rsidRDefault="00DA4E88" w:rsidP="008772BC">
      <w:pPr>
        <w:spacing w:before="240" w:after="240"/>
      </w:pPr>
      <w:r>
        <w:t xml:space="preserve">MSAC noted that karyotype analysis in pregnancy is currently funded on the MBS for this indication. MSAC noted that GWMA is the recommended standard of care according to the </w:t>
      </w:r>
      <w:r w:rsidRPr="00254BE4">
        <w:t xml:space="preserve">Royal Australian and New Zealand College of Obstetricians and Gynaecologists and </w:t>
      </w:r>
      <w:r>
        <w:t xml:space="preserve">the </w:t>
      </w:r>
      <w:r w:rsidRPr="00254BE4">
        <w:t>American College of Obstetricians and Gynecologists</w:t>
      </w:r>
      <w:r>
        <w:t>. MS</w:t>
      </w:r>
      <w:r w:rsidR="003C7931">
        <w:t xml:space="preserve">AC accepted that karyotyping is </w:t>
      </w:r>
      <w:r>
        <w:t xml:space="preserve">technology that is being superseded </w:t>
      </w:r>
      <w:r w:rsidR="00D43D84">
        <w:t xml:space="preserve">in most cases </w:t>
      </w:r>
      <w:r>
        <w:t>by GWMA</w:t>
      </w:r>
      <w:r w:rsidR="003335A2">
        <w:t>; there remains a place for karyotyping for balanced chromosomal translocations</w:t>
      </w:r>
      <w:r>
        <w:t>. MSAC noted the applicant’s pre-MSAC response regarding clinical utility, and that “microarray has an increased diagnostic yield over karyotype for pathogenic abnormalities, regardless of indication” (Silva et al. 2019). MSAC also noted a French study (Egloff et al. 2018), which showed that, out of 599 fetuses</w:t>
      </w:r>
      <w:r w:rsidRPr="00A03BEF">
        <w:t xml:space="preserve"> </w:t>
      </w:r>
      <w:r>
        <w:t>with pathogenic copy number variations (CNVs), 1.8% of these CNVs were cryptic (that is, not visible by karyotyping), supporting GWMA’s superior effectiveness.</w:t>
      </w:r>
    </w:p>
    <w:p w14:paraId="261BB1A2" w14:textId="41EACE8E" w:rsidR="00DA4E88" w:rsidRDefault="00DA4E88" w:rsidP="008772BC">
      <w:pPr>
        <w:spacing w:after="240"/>
      </w:pPr>
      <w:r>
        <w:t>MSAC noted the applicant’s pre-MSAC response clarifying that it is intended that GWMA w</w:t>
      </w:r>
      <w:r w:rsidR="00010C0F">
        <w:t>ould</w:t>
      </w:r>
      <w:r>
        <w:t xml:space="preserve"> </w:t>
      </w:r>
      <w:r w:rsidR="00071A98">
        <w:t>ultimatel</w:t>
      </w:r>
      <w:r w:rsidR="00A32F80">
        <w:t xml:space="preserve">y </w:t>
      </w:r>
      <w:r>
        <w:t>replace, not complement, karyotyping.</w:t>
      </w:r>
    </w:p>
    <w:p w14:paraId="6FA49424" w14:textId="0A71B0F4" w:rsidR="00DA4E88" w:rsidRDefault="00DA4E88" w:rsidP="008772BC">
      <w:pPr>
        <w:spacing w:after="240"/>
      </w:pPr>
      <w:r>
        <w:t xml:space="preserve">MSAC noted the </w:t>
      </w:r>
      <w:r w:rsidR="00010C0F">
        <w:t xml:space="preserve">concern of the </w:t>
      </w:r>
      <w:r>
        <w:t xml:space="preserve">Contracted Assessment </w:t>
      </w:r>
      <w:r w:rsidR="00010C0F">
        <w:t xml:space="preserve">(CA) </w:t>
      </w:r>
      <w:r>
        <w:t>and the Critique regarding the sensitivity and specificity of GWMA compared with karyotyping. The applicant’s pre-MSAC response indicated that the questionable data come from studies using comparative genomic hybridisation (CGH), which is not as accurate as single nucleotide polymorphism (SNP) data. Current guidelines indicate that SNP should be used, not CGH (Rack et al. 2019, Schoumans et al. 2016). MSAC agreed with the pre-MSAC response that most Australian laboratories use SNP arrays, which has accepted sensitivity and specificity.</w:t>
      </w:r>
    </w:p>
    <w:p w14:paraId="10B2B5D4" w14:textId="1CC2E306" w:rsidR="00DA4E88" w:rsidRDefault="00DA4E88" w:rsidP="008772BC">
      <w:pPr>
        <w:spacing w:after="240"/>
      </w:pPr>
      <w:r>
        <w:t xml:space="preserve">MSAC noted that women </w:t>
      </w:r>
      <w:r w:rsidR="00071A98">
        <w:t xml:space="preserve">with a fetus with major structural abnormalities </w:t>
      </w:r>
      <w:r>
        <w:t>who choose prenatal testing (by any method) are likely to terminate affected pregnancies</w:t>
      </w:r>
      <w:r w:rsidR="00E52311">
        <w:t xml:space="preserve"> in this situation</w:t>
      </w:r>
      <w:r>
        <w:t xml:space="preserve">, and that women who </w:t>
      </w:r>
      <w:r w:rsidR="00071A98">
        <w:t>would</w:t>
      </w:r>
      <w:r>
        <w:t xml:space="preserve"> not wish to terminate an affected pregnancy </w:t>
      </w:r>
      <w:r w:rsidR="00A32F80">
        <w:t>may</w:t>
      </w:r>
      <w:r>
        <w:t xml:space="preserve"> choose to </w:t>
      </w:r>
      <w:r w:rsidR="00071A98">
        <w:t xml:space="preserve">not </w:t>
      </w:r>
      <w:r>
        <w:t>have prenatal diagnostic testing</w:t>
      </w:r>
      <w:r w:rsidR="00E52311">
        <w:t xml:space="preserve"> as</w:t>
      </w:r>
      <w:r w:rsidR="002B3D34">
        <w:t xml:space="preserve"> amniocentesis or chorionic villus sampling risks pregnancy loss</w:t>
      </w:r>
      <w:r>
        <w:t>.</w:t>
      </w:r>
      <w:r w:rsidR="00E52311">
        <w:t xml:space="preserve"> MSAC noted the aim of GWMA testing is to provide information for pregnancy management, not to mandate a decision on termination.</w:t>
      </w:r>
    </w:p>
    <w:p w14:paraId="6001512F" w14:textId="07318FB8" w:rsidR="00DA4E88" w:rsidRDefault="00DA4E88" w:rsidP="008772BC">
      <w:pPr>
        <w:spacing w:after="240"/>
      </w:pPr>
      <w:r>
        <w:t xml:space="preserve">MSAC noted the economic evaluation was a cost-effectiveness evaluation that resulted in dominant </w:t>
      </w:r>
      <w:r w:rsidRPr="00054C0A">
        <w:t>incremental cost-effectiveness ratio</w:t>
      </w:r>
      <w:r w:rsidR="0037679B">
        <w:t>s</w:t>
      </w:r>
      <w:r w:rsidRPr="00054C0A">
        <w:t xml:space="preserve"> </w:t>
      </w:r>
      <w:r>
        <w:t>(ICERs)</w:t>
      </w:r>
      <w:r w:rsidR="00010C0F">
        <w:t>, in other words, ICERs which predict net cost-savings and more effectiveness</w:t>
      </w:r>
      <w:r>
        <w:t xml:space="preserve">. MSAC noted the key driver of the model was the cost </w:t>
      </w:r>
      <w:r w:rsidR="00010C0F">
        <w:t>following</w:t>
      </w:r>
      <w:r>
        <w:t xml:space="preserve"> the birth of a child with a genetic abnormality. MSAC considered that GWMA w</w:t>
      </w:r>
      <w:r w:rsidR="00010C0F">
        <w:t>ould</w:t>
      </w:r>
      <w:r>
        <w:t xml:space="preserve"> detect more abnormalities than karyotyping, thus resulting in </w:t>
      </w:r>
      <w:r w:rsidR="0037679B">
        <w:t>overall</w:t>
      </w:r>
      <w:r>
        <w:t xml:space="preserve"> cost saving</w:t>
      </w:r>
      <w:r w:rsidR="0037679B">
        <w:t>s</w:t>
      </w:r>
      <w:r>
        <w:t xml:space="preserve"> to the </w:t>
      </w:r>
      <w:r w:rsidR="0037679B">
        <w:t>healthcare system</w:t>
      </w:r>
      <w:r w:rsidR="008772BC">
        <w:t>.</w:t>
      </w:r>
    </w:p>
    <w:p w14:paraId="571A413A" w14:textId="0C86E8CA" w:rsidR="00DA4E88" w:rsidRDefault="00F912F9" w:rsidP="00DA4E88">
      <w:pPr>
        <w:pStyle w:val="NormalBeforeBullet"/>
      </w:pPr>
      <w:r>
        <w:t>MSAC considered some of the key structural assumption</w:t>
      </w:r>
      <w:r w:rsidR="00D95420">
        <w:t>s</w:t>
      </w:r>
      <w:r>
        <w:t xml:space="preserve"> in the model were reasonable; however, </w:t>
      </w:r>
      <w:r w:rsidR="00DA4E88">
        <w:t>MSAC noted the</w:t>
      </w:r>
      <w:r>
        <w:t>re remained</w:t>
      </w:r>
      <w:r w:rsidR="00DA4E88">
        <w:t xml:space="preserve"> </w:t>
      </w:r>
      <w:r>
        <w:t>some</w:t>
      </w:r>
      <w:r w:rsidR="00DA4E88">
        <w:t xml:space="preserve"> uncertainty in the economic modelling:</w:t>
      </w:r>
    </w:p>
    <w:p w14:paraId="25452CEE" w14:textId="77777777" w:rsidR="00DA4E88" w:rsidRPr="00780253" w:rsidRDefault="00DA4E88" w:rsidP="00DA4E88">
      <w:pPr>
        <w:pStyle w:val="Bullet"/>
      </w:pPr>
      <w:r w:rsidRPr="00780253">
        <w:t xml:space="preserve">the 100% uptake </w:t>
      </w:r>
      <w:r>
        <w:t xml:space="preserve">of genetic testing </w:t>
      </w:r>
      <w:r w:rsidRPr="00780253">
        <w:t xml:space="preserve">is unjustified (MSAC considered that it </w:t>
      </w:r>
      <w:r>
        <w:t xml:space="preserve">would </w:t>
      </w:r>
      <w:r w:rsidRPr="00780253">
        <w:t>be</w:t>
      </w:r>
      <w:r>
        <w:t xml:space="preserve"> closer to</w:t>
      </w:r>
      <w:r w:rsidRPr="00780253">
        <w:t xml:space="preserve"> 80–90%) </w:t>
      </w:r>
    </w:p>
    <w:p w14:paraId="69D97EA6" w14:textId="1E272219" w:rsidR="00DA4E88" w:rsidRDefault="00DA4E88" w:rsidP="00DA4E88">
      <w:pPr>
        <w:pStyle w:val="Bullet"/>
      </w:pPr>
      <w:r>
        <w:t>the outcome of pregnancy after diagnosis</w:t>
      </w:r>
      <w:r w:rsidRPr="009808A5">
        <w:t xml:space="preserve"> </w:t>
      </w:r>
      <w:r>
        <w:t>(MSAC considered that the termination of pregnancy [ToP] rates would be similar for</w:t>
      </w:r>
      <w:r w:rsidR="00932196">
        <w:t xml:space="preserve"> an abnormal test by</w:t>
      </w:r>
      <w:r>
        <w:t xml:space="preserve"> karyotyping and GWMA – that is, the result, not the type of test, influences ToP rates)</w:t>
      </w:r>
    </w:p>
    <w:p w14:paraId="57DC9E7D" w14:textId="77777777" w:rsidR="00DA4E88" w:rsidRDefault="00DA4E88" w:rsidP="00DA4E88">
      <w:pPr>
        <w:pStyle w:val="Bullet"/>
      </w:pPr>
      <w:r>
        <w:t>the whole-of-systems cost is not included in the model</w:t>
      </w:r>
    </w:p>
    <w:p w14:paraId="45B908BC" w14:textId="77777777" w:rsidR="00DA4E88" w:rsidRDefault="00DA4E88" w:rsidP="00DA4E88">
      <w:pPr>
        <w:pStyle w:val="BulletLast"/>
      </w:pPr>
      <w:r>
        <w:t>the reduction in postnatal GWMAs if the prenatal karyotype is normal.</w:t>
      </w:r>
    </w:p>
    <w:p w14:paraId="1E7CA19E" w14:textId="38C75E50" w:rsidR="00F318E4" w:rsidRDefault="00F912F9" w:rsidP="008772BC">
      <w:pPr>
        <w:spacing w:after="240"/>
      </w:pPr>
      <w:r>
        <w:t xml:space="preserve">Overall, </w:t>
      </w:r>
      <w:r w:rsidR="00DA4E88">
        <w:t>MSAC considered that</w:t>
      </w:r>
      <w:r w:rsidRPr="00F912F9">
        <w:t xml:space="preserve"> </w:t>
      </w:r>
      <w:r>
        <w:t>GWMA w</w:t>
      </w:r>
      <w:r w:rsidR="00010C0F">
        <w:t>ould</w:t>
      </w:r>
      <w:r>
        <w:t xml:space="preserve"> detect more abnormalities than karyotyping</w:t>
      </w:r>
      <w:r w:rsidR="00DA4E88">
        <w:t>,</w:t>
      </w:r>
      <w:r>
        <w:t xml:space="preserve"> and </w:t>
      </w:r>
      <w:r w:rsidR="00DA4E88">
        <w:t>if these</w:t>
      </w:r>
      <w:r w:rsidR="00F318E4">
        <w:t xml:space="preserve"> modelling</w:t>
      </w:r>
      <w:r w:rsidR="00DA4E88">
        <w:t xml:space="preserve"> uncertainties were accounted for, it would result in even more </w:t>
      </w:r>
      <w:r w:rsidR="00F318E4">
        <w:t>favourable ICER</w:t>
      </w:r>
      <w:r w:rsidR="00010C0F">
        <w:t>s</w:t>
      </w:r>
      <w:r w:rsidR="00F318E4">
        <w:t>.</w:t>
      </w:r>
    </w:p>
    <w:p w14:paraId="2DE6A6EB" w14:textId="2ACE2B11" w:rsidR="00DA4E88" w:rsidRDefault="00F318E4" w:rsidP="008772BC">
      <w:pPr>
        <w:spacing w:after="240"/>
      </w:pPr>
      <w:r>
        <w:t xml:space="preserve">MSAC </w:t>
      </w:r>
      <w:r w:rsidR="00101EC5">
        <w:t xml:space="preserve">also </w:t>
      </w:r>
      <w:r w:rsidR="009368A7">
        <w:t>advised that</w:t>
      </w:r>
      <w:r w:rsidR="00101EC5">
        <w:t>, accepting the epidemiological approach in Table 12,</w:t>
      </w:r>
      <w:r>
        <w:t xml:space="preserve"> the financial impact </w:t>
      </w:r>
      <w:r w:rsidR="00010C0F">
        <w:t xml:space="preserve">to the MBS </w:t>
      </w:r>
      <w:r>
        <w:t xml:space="preserve">of listing GWMA was likely modest, given that </w:t>
      </w:r>
      <w:r w:rsidR="00BB01CF">
        <w:t>net</w:t>
      </w:r>
      <w:r>
        <w:t xml:space="preserve"> costs to the MBS could be </w:t>
      </w:r>
      <w:r w:rsidR="009368A7">
        <w:t xml:space="preserve">less </w:t>
      </w:r>
      <w:r>
        <w:t xml:space="preserve">due to </w:t>
      </w:r>
      <w:r w:rsidR="009368A7">
        <w:t xml:space="preserve">reduced uptake of genetic testing (100% rather than 80%-90%), and </w:t>
      </w:r>
      <w:r>
        <w:t xml:space="preserve">reduced postnatal </w:t>
      </w:r>
      <w:r w:rsidR="009368A7">
        <w:t xml:space="preserve">GWMA </w:t>
      </w:r>
      <w:r w:rsidR="00BB01CF">
        <w:t>services</w:t>
      </w:r>
      <w:r>
        <w:t xml:space="preserve"> (not accounted for in </w:t>
      </w:r>
      <w:r w:rsidR="00BB01CF">
        <w:t xml:space="preserve">the </w:t>
      </w:r>
      <w:r>
        <w:t>financial model).</w:t>
      </w:r>
    </w:p>
    <w:p w14:paraId="73E81EF6" w14:textId="75734600" w:rsidR="00DA4E88" w:rsidRDefault="00DA4E88" w:rsidP="008772BC">
      <w:pPr>
        <w:spacing w:after="240"/>
      </w:pPr>
      <w:r>
        <w:t xml:space="preserve">MSAC considered that any genetic counselling would be done prior to the GWMA testing, </w:t>
      </w:r>
      <w:r w:rsidR="00932196">
        <w:t xml:space="preserve">as </w:t>
      </w:r>
      <w:r w:rsidR="002F53B4">
        <w:t xml:space="preserve">occurs </w:t>
      </w:r>
      <w:r w:rsidR="00932196">
        <w:t xml:space="preserve">currently with </w:t>
      </w:r>
      <w:r w:rsidR="00BB01CF">
        <w:t xml:space="preserve">karyotype </w:t>
      </w:r>
      <w:r w:rsidR="00932196">
        <w:t xml:space="preserve">testing, </w:t>
      </w:r>
      <w:r>
        <w:t>and thus is not a</w:t>
      </w:r>
      <w:r w:rsidR="007E54F0">
        <w:t>n additional</w:t>
      </w:r>
      <w:r>
        <w:t xml:space="preserve"> cost accrued after this test if listed.</w:t>
      </w:r>
    </w:p>
    <w:p w14:paraId="09010138" w14:textId="45B0ADD7" w:rsidR="00BB01CF" w:rsidRDefault="00DA4E88" w:rsidP="008772BC">
      <w:pPr>
        <w:spacing w:after="240"/>
      </w:pPr>
      <w:r>
        <w:t>MSAC noted issues around reporting variants of unknown significance (VUSs). MSAC considered that each laboratory should have their own policy around reporting VUSs, but that it does not need to be standard across all lab</w:t>
      </w:r>
      <w:r w:rsidR="0044440E">
        <w:t>oratorie</w:t>
      </w:r>
      <w:r>
        <w:t xml:space="preserve">s. MSAC also noted that the testing method or accreditation is not an issue, as all laboratories need to be accredited by the </w:t>
      </w:r>
      <w:r w:rsidRPr="000C6761">
        <w:t xml:space="preserve">National Association of Testing Authorities, Australia </w:t>
      </w:r>
      <w:r>
        <w:t>(NATA) to provide MBS services.</w:t>
      </w:r>
    </w:p>
    <w:p w14:paraId="44AE2F6C" w14:textId="50F37132" w:rsidR="00BB01CF" w:rsidRDefault="00DA4E88" w:rsidP="008772BC">
      <w:pPr>
        <w:spacing w:after="240"/>
      </w:pPr>
      <w:r>
        <w:t xml:space="preserve">MSAC considered that, although karyotyping is to be </w:t>
      </w:r>
      <w:r w:rsidR="00D43D84">
        <w:t xml:space="preserve">largely </w:t>
      </w:r>
      <w:r>
        <w:t>superseded by GWMA, it should remain on the MBS for a transition period to allow laboratories to implement GWMA.</w:t>
      </w:r>
    </w:p>
    <w:p w14:paraId="4D98813B" w14:textId="36375304" w:rsidR="00DA4E88" w:rsidRDefault="00DA4E88" w:rsidP="008772BC">
      <w:pPr>
        <w:spacing w:after="240"/>
      </w:pPr>
      <w:r>
        <w:t xml:space="preserve">MSAC considered that this service should be reviewed after listing, to determine </w:t>
      </w:r>
      <w:r w:rsidR="00BB01CF">
        <w:t xml:space="preserve">the proportion of tests which are associated with a subsequent claim for </w:t>
      </w:r>
      <w:r>
        <w:t>ToP services.</w:t>
      </w:r>
    </w:p>
    <w:p w14:paraId="59DEAD4C" w14:textId="77777777" w:rsidR="00DA4E88" w:rsidRPr="00DA4E88" w:rsidRDefault="00DA4E88" w:rsidP="00DA4E88">
      <w:pPr>
        <w:pStyle w:val="Heading2"/>
        <w:rPr>
          <w:b/>
        </w:rPr>
      </w:pPr>
      <w:r w:rsidRPr="00DA4E88">
        <w:rPr>
          <w:b/>
        </w:rPr>
        <w:t>Other discussion</w:t>
      </w:r>
    </w:p>
    <w:p w14:paraId="4EAB1FD0" w14:textId="4A0557B7" w:rsidR="00DA4E88" w:rsidRPr="00525453" w:rsidRDefault="00DA4E88" w:rsidP="00DA4E88">
      <w:r>
        <w:t xml:space="preserve">MSAC discussed the item being used to test miscarried </w:t>
      </w:r>
      <w:r w:rsidR="00CD36E6">
        <w:t>f</w:t>
      </w:r>
      <w:r w:rsidR="002F53B4">
        <w:t>etuses</w:t>
      </w:r>
      <w:r w:rsidR="002B3D34">
        <w:t xml:space="preserve"> with antenatally diagnosed major structural </w:t>
      </w:r>
      <w:r w:rsidR="008A1F6E">
        <w:t>abnormalities</w:t>
      </w:r>
      <w:r>
        <w:t xml:space="preserve">. MSAC agreed that the test was intended to guide decisions to </w:t>
      </w:r>
      <w:r w:rsidR="00A32F80">
        <w:t>manage</w:t>
      </w:r>
      <w:r>
        <w:t xml:space="preserve"> a</w:t>
      </w:r>
      <w:r w:rsidR="00A32F80">
        <w:t>n ongoing</w:t>
      </w:r>
      <w:r>
        <w:t xml:space="preserve"> pregnancy, not to diagnose causes of fetal death. MSAC considered that the item </w:t>
      </w:r>
      <w:r w:rsidR="00975345">
        <w:t>sh</w:t>
      </w:r>
      <w:r>
        <w:t xml:space="preserve">ould </w:t>
      </w:r>
      <w:r w:rsidR="008A1F6E">
        <w:t xml:space="preserve">also </w:t>
      </w:r>
      <w:r w:rsidR="00975345">
        <w:t xml:space="preserve">not </w:t>
      </w:r>
      <w:r>
        <w:t>be used</w:t>
      </w:r>
      <w:r w:rsidR="00975345">
        <w:t xml:space="preserve"> for cascade testing</w:t>
      </w:r>
      <w:r>
        <w:t xml:space="preserve"> </w:t>
      </w:r>
      <w:r w:rsidR="00D81E7B">
        <w:t>of relatives (including parents)</w:t>
      </w:r>
      <w:r>
        <w:t xml:space="preserve">. However, MSAC considered that this issue could not be addressed as part of MSAC’s terms of reference, and that the </w:t>
      </w:r>
      <w:r w:rsidR="00BB01CF">
        <w:t xml:space="preserve">MBS item </w:t>
      </w:r>
      <w:r>
        <w:t xml:space="preserve">descriptor wording should remain as </w:t>
      </w:r>
      <w:r w:rsidR="00BB01CF">
        <w:t>supported</w:t>
      </w:r>
      <w:r>
        <w:t>.</w:t>
      </w:r>
    </w:p>
    <w:p w14:paraId="1FD8CAD3" w14:textId="77777777" w:rsidR="005028BF" w:rsidRPr="00F715D1" w:rsidRDefault="005028BF" w:rsidP="005028BF">
      <w:pPr>
        <w:pStyle w:val="Heading1"/>
      </w:pPr>
      <w:r w:rsidRPr="00F715D1">
        <w:t>Background</w:t>
      </w:r>
    </w:p>
    <w:p w14:paraId="52C726A0" w14:textId="0A110E6B" w:rsidR="001D42B7" w:rsidRDefault="001D42B7" w:rsidP="008772BC">
      <w:pPr>
        <w:spacing w:after="240"/>
      </w:pPr>
      <w:r w:rsidRPr="00D04785">
        <w:t xml:space="preserve">This is the first </w:t>
      </w:r>
      <w:r>
        <w:t>consideration</w:t>
      </w:r>
      <w:r w:rsidRPr="00D04785">
        <w:t xml:space="preserve"> of</w:t>
      </w:r>
      <w:r>
        <w:rPr>
          <w:b/>
        </w:rPr>
        <w:t xml:space="preserve"> </w:t>
      </w:r>
      <w:r>
        <w:t>GMWA</w:t>
      </w:r>
      <w:r w:rsidRPr="00440D27">
        <w:t xml:space="preserve"> testing for pregnancies with major fetal structural abnormalities detected by ultrasound</w:t>
      </w:r>
      <w:r>
        <w:t>.</w:t>
      </w:r>
      <w:r w:rsidRPr="00BB01CF">
        <w:t xml:space="preserve"> </w:t>
      </w:r>
      <w:r w:rsidRPr="00A77847">
        <w:t>MSAC has not previously considered this application.</w:t>
      </w:r>
    </w:p>
    <w:p w14:paraId="4F0D09DE" w14:textId="0889C635" w:rsidR="001D42B7" w:rsidRDefault="001D42B7" w:rsidP="001D42B7">
      <w:pPr>
        <w:pStyle w:val="Default"/>
      </w:pPr>
      <w:r w:rsidRPr="00083DA7">
        <w:t>In 2017</w:t>
      </w:r>
      <w:r w:rsidR="00BB01CF">
        <w:t>,</w:t>
      </w:r>
      <w:r w:rsidRPr="00083DA7">
        <w:t xml:space="preserve"> the </w:t>
      </w:r>
      <w:r w:rsidR="001E27A5">
        <w:t>MBS</w:t>
      </w:r>
      <w:r w:rsidRPr="00083DA7">
        <w:t xml:space="preserve"> Review Taskforce GWG of the Pathology Clinical Committee (PCC) requested advice from the MSAC Executive on extending access to </w:t>
      </w:r>
      <w:r>
        <w:t>GWMA</w:t>
      </w:r>
      <w:r w:rsidRPr="00083DA7">
        <w:t xml:space="preserve"> testing to the following two additional populations beyond those currently specified in MBS item 73292. These are in antenatal testing, when invasive testing is undertaken to investigate a pregnancy where there are major fetal ultrasound abnormalities, in lieu of karyotyping; and for two specific chronic haematological malignancies, chronic lymphocytic leukaemia (</w:t>
      </w:r>
      <w:r>
        <w:t>CLL) and multiple myeloma (MM).</w:t>
      </w:r>
    </w:p>
    <w:p w14:paraId="42405F97" w14:textId="41532A18" w:rsidR="001D42B7" w:rsidRPr="00083DA7" w:rsidRDefault="001D42B7" w:rsidP="001D42B7">
      <w:pPr>
        <w:pStyle w:val="Default"/>
        <w:rPr>
          <w:color w:val="auto"/>
        </w:rPr>
      </w:pPr>
      <w:r w:rsidRPr="00083DA7">
        <w:rPr>
          <w:color w:val="auto"/>
        </w:rPr>
        <w:t xml:space="preserve">The Department, informed by members of the GWG and the HTA assessment group, subsequently recognised the need to divide the two additional populations into separate applications (1533 and 1544), and develop a PICO for each patient group, which were submitted to PASC. This </w:t>
      </w:r>
      <w:r w:rsidR="0063613B">
        <w:rPr>
          <w:color w:val="auto"/>
        </w:rPr>
        <w:t>A</w:t>
      </w:r>
      <w:r w:rsidRPr="00083DA7">
        <w:rPr>
          <w:color w:val="auto"/>
        </w:rPr>
        <w:t>pplication 1533 is for t</w:t>
      </w:r>
      <w:r>
        <w:rPr>
          <w:color w:val="auto"/>
        </w:rPr>
        <w:t>he prenatal testing population.</w:t>
      </w:r>
    </w:p>
    <w:p w14:paraId="3AA00ACF" w14:textId="77777777" w:rsidR="005028BF" w:rsidRPr="00F715D1" w:rsidRDefault="005028BF" w:rsidP="005028BF">
      <w:pPr>
        <w:pStyle w:val="Heading1"/>
      </w:pPr>
      <w:r w:rsidRPr="00F715D1">
        <w:t>Prerequisites to implementation of any funding advice</w:t>
      </w:r>
    </w:p>
    <w:p w14:paraId="28CB70B5" w14:textId="77518B1E" w:rsidR="001D42B7" w:rsidRPr="00B02E35" w:rsidRDefault="001D42B7" w:rsidP="001D42B7">
      <w:r>
        <w:t>The National Pathology Accreditation Advisory Council (NPAAC) advice to MSAC indicated that there are external quality assurance</w:t>
      </w:r>
      <w:r w:rsidR="00373ED7">
        <w:t xml:space="preserve"> (EQA)</w:t>
      </w:r>
      <w:r>
        <w:t xml:space="preserve"> programs available for the proposed service.</w:t>
      </w:r>
    </w:p>
    <w:p w14:paraId="1FAF8A80" w14:textId="77777777" w:rsidR="005028BF" w:rsidRPr="00F715D1" w:rsidRDefault="005028BF" w:rsidP="005028BF">
      <w:pPr>
        <w:pStyle w:val="Heading1"/>
      </w:pPr>
      <w:r w:rsidRPr="00F715D1">
        <w:t>Proposal for public funding</w:t>
      </w:r>
    </w:p>
    <w:p w14:paraId="23384498" w14:textId="4ED33CF0" w:rsidR="001D42B7" w:rsidRPr="008772BC" w:rsidRDefault="001D42B7" w:rsidP="008772BC">
      <w:pPr>
        <w:spacing w:after="240"/>
      </w:pPr>
      <w:r w:rsidRPr="00083DA7">
        <w:t>T</w:t>
      </w:r>
      <w:r>
        <w:t>he CA proposed an update to the</w:t>
      </w:r>
      <w:r w:rsidRPr="00183E4D">
        <w:t xml:space="preserve"> MBS item descriptor</w:t>
      </w:r>
      <w:r>
        <w:t xml:space="preserve"> for MBS item 73292 presented </w:t>
      </w:r>
      <w:r w:rsidRPr="009C1424">
        <w:t>in</w:t>
      </w:r>
      <w:r>
        <w:t xml:space="preserve"> Table 1.</w:t>
      </w:r>
    </w:p>
    <w:p w14:paraId="40AC476C" w14:textId="77777777" w:rsidR="001D42B7" w:rsidRPr="00412BC0" w:rsidRDefault="001D42B7" w:rsidP="00412BC0">
      <w:pPr>
        <w:rPr>
          <w:rFonts w:ascii="Arial Narrow" w:hAnsi="Arial Narrow"/>
          <w:b/>
          <w:sz w:val="20"/>
        </w:rPr>
      </w:pPr>
      <w:bookmarkStart w:id="1" w:name="_Toc6410503"/>
      <w:bookmarkStart w:id="2" w:name="_Hlk12520161"/>
      <w:r w:rsidRPr="00412BC0">
        <w:rPr>
          <w:rFonts w:ascii="Arial Narrow" w:hAnsi="Arial Narrow"/>
          <w:b/>
          <w:sz w:val="20"/>
        </w:rPr>
        <w:t>Table 1:</w:t>
      </w:r>
      <w:r w:rsidRPr="00412BC0">
        <w:rPr>
          <w:rFonts w:ascii="Arial Narrow" w:hAnsi="Arial Narrow"/>
          <w:b/>
          <w:sz w:val="20"/>
        </w:rPr>
        <w:tab/>
        <w:t>Proposed MBS item</w:t>
      </w:r>
      <w:bookmarkEnd w:id="1"/>
    </w:p>
    <w:p w14:paraId="2C3CC9A9" w14:textId="77777777" w:rsidR="001D42B7" w:rsidRPr="00E80CE1" w:rsidRDefault="001D42B7" w:rsidP="001D42B7">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rFonts w:ascii="Arial Narrow" w:hAnsi="Arial Narrow"/>
          <w:snapToGrid w:val="0"/>
          <w:sz w:val="20"/>
        </w:rPr>
      </w:pPr>
      <w:r w:rsidRPr="00E80CE1">
        <w:rPr>
          <w:rFonts w:ascii="Arial Narrow" w:hAnsi="Arial Narrow"/>
          <w:snapToGrid w:val="0"/>
          <w:sz w:val="20"/>
        </w:rPr>
        <w:t>Category 6 – (Group P7 Genetics) – Pathology services</w:t>
      </w:r>
    </w:p>
    <w:p w14:paraId="3311208D" w14:textId="77777777" w:rsidR="001D42B7" w:rsidRPr="00E80CE1" w:rsidRDefault="001D42B7" w:rsidP="001D42B7">
      <w:pPr>
        <w:pBdr>
          <w:top w:val="single" w:sz="4" w:space="1" w:color="auto"/>
          <w:left w:val="single" w:sz="4" w:space="4" w:color="auto"/>
          <w:bottom w:val="single" w:sz="4" w:space="1" w:color="auto"/>
          <w:right w:val="single" w:sz="4" w:space="4" w:color="auto"/>
        </w:pBdr>
        <w:spacing w:line="259" w:lineRule="auto"/>
        <w:rPr>
          <w:rFonts w:ascii="Arial Narrow" w:hAnsi="Arial Narrow"/>
          <w:b/>
          <w:sz w:val="20"/>
          <w:u w:val="single"/>
        </w:rPr>
      </w:pPr>
      <w:r w:rsidRPr="00E80CE1">
        <w:rPr>
          <w:rFonts w:ascii="Arial Narrow" w:hAnsi="Arial Narrow"/>
          <w:b/>
          <w:sz w:val="20"/>
          <w:u w:val="single"/>
        </w:rPr>
        <w:t>73292 (Proposed)</w:t>
      </w:r>
    </w:p>
    <w:p w14:paraId="1E45ABCA" w14:textId="5A0F0722" w:rsidR="001D42B7" w:rsidRPr="00E80CE1" w:rsidRDefault="001D42B7" w:rsidP="001D42B7">
      <w:pPr>
        <w:pBdr>
          <w:top w:val="single" w:sz="4" w:space="1" w:color="auto"/>
          <w:left w:val="single" w:sz="4" w:space="4" w:color="auto"/>
          <w:bottom w:val="single" w:sz="4" w:space="1" w:color="auto"/>
          <w:right w:val="single" w:sz="4" w:space="4" w:color="auto"/>
        </w:pBdr>
        <w:spacing w:line="259" w:lineRule="auto"/>
        <w:rPr>
          <w:rFonts w:ascii="Arial Narrow" w:hAnsi="Arial Narrow"/>
          <w:sz w:val="20"/>
        </w:rPr>
      </w:pPr>
      <w:r w:rsidRPr="00E80CE1">
        <w:rPr>
          <w:rFonts w:ascii="Arial Narrow" w:hAnsi="Arial Narrow"/>
          <w:sz w:val="20"/>
        </w:rPr>
        <w:t>Analysis of chromosomes by genome-wide micro-array in diagnostic studies of a pregnancy where one or more major fetal structural abnormalities have been detected on ultrasound (including a service in item 73287, if performed)</w:t>
      </w:r>
    </w:p>
    <w:p w14:paraId="25CDEA9A" w14:textId="139C4B2F" w:rsidR="001D42B7" w:rsidRPr="00E80CE1" w:rsidRDefault="001D42B7" w:rsidP="008772BC">
      <w:pPr>
        <w:pBdr>
          <w:top w:val="single" w:sz="4" w:space="1" w:color="auto"/>
          <w:left w:val="single" w:sz="4" w:space="4" w:color="auto"/>
          <w:bottom w:val="single" w:sz="4" w:space="1" w:color="auto"/>
          <w:right w:val="single" w:sz="4" w:space="4" w:color="auto"/>
        </w:pBdr>
        <w:spacing w:before="240" w:after="240" w:line="259" w:lineRule="auto"/>
        <w:rPr>
          <w:rFonts w:ascii="Arial Narrow" w:eastAsia="Calibri" w:hAnsi="Arial Narrow"/>
          <w:sz w:val="20"/>
          <w:lang w:eastAsia="en-US"/>
        </w:rPr>
      </w:pPr>
      <w:r>
        <w:rPr>
          <w:rFonts w:ascii="Arial Narrow" w:eastAsia="Calibri" w:hAnsi="Arial Narrow"/>
          <w:sz w:val="20"/>
          <w:lang w:eastAsia="en-US"/>
        </w:rPr>
        <w:t>- 1 or more tests.</w:t>
      </w:r>
    </w:p>
    <w:p w14:paraId="67ADD8B4" w14:textId="77777777" w:rsidR="001D42B7" w:rsidRPr="00E67185" w:rsidRDefault="001D42B7" w:rsidP="001D42B7">
      <w:pPr>
        <w:pBdr>
          <w:top w:val="single" w:sz="4" w:space="1" w:color="auto"/>
          <w:left w:val="single" w:sz="4" w:space="4" w:color="auto"/>
          <w:bottom w:val="single" w:sz="4" w:space="1" w:color="auto"/>
          <w:right w:val="single" w:sz="4" w:space="4" w:color="auto"/>
        </w:pBdr>
        <w:spacing w:line="259" w:lineRule="auto"/>
        <w:rPr>
          <w:rFonts w:ascii="Arial Narrow" w:eastAsia="Calibri" w:hAnsi="Arial Narrow"/>
          <w:sz w:val="20"/>
          <w:lang w:eastAsia="en-US"/>
        </w:rPr>
      </w:pPr>
      <w:r w:rsidRPr="00E80CE1">
        <w:rPr>
          <w:rFonts w:ascii="Arial Narrow" w:eastAsia="Calibri" w:hAnsi="Arial Narrow"/>
          <w:sz w:val="20"/>
          <w:lang w:eastAsia="en-US"/>
        </w:rPr>
        <w:t>Fee: $589.90 Benefit: 75% = $442.45 85% = $506.50.</w:t>
      </w:r>
    </w:p>
    <w:p w14:paraId="135F6B87" w14:textId="4D4E98EA" w:rsidR="001D42B7" w:rsidRDefault="001D42B7" w:rsidP="0063613B">
      <w:pPr>
        <w:pStyle w:val="Tablecaption"/>
        <w:keepNext w:val="0"/>
        <w:keepLines w:val="0"/>
        <w:rPr>
          <w:sz w:val="18"/>
        </w:rPr>
      </w:pPr>
      <w:r>
        <w:rPr>
          <w:sz w:val="18"/>
        </w:rPr>
        <w:t xml:space="preserve">Source: Table 1, p2 of the </w:t>
      </w:r>
      <w:r w:rsidR="00010C0F">
        <w:rPr>
          <w:sz w:val="18"/>
        </w:rPr>
        <w:t>C</w:t>
      </w:r>
      <w:r>
        <w:rPr>
          <w:sz w:val="18"/>
        </w:rPr>
        <w:t xml:space="preserve">ontracted </w:t>
      </w:r>
      <w:r w:rsidR="00010C0F">
        <w:rPr>
          <w:sz w:val="18"/>
        </w:rPr>
        <w:t>A</w:t>
      </w:r>
      <w:r>
        <w:rPr>
          <w:sz w:val="18"/>
        </w:rPr>
        <w:t>ssessment</w:t>
      </w:r>
    </w:p>
    <w:p w14:paraId="7CEBD324" w14:textId="26CD3828" w:rsidR="001D42B7" w:rsidRDefault="001D42B7" w:rsidP="008772BC">
      <w:pPr>
        <w:spacing w:before="240" w:after="240"/>
        <w:rPr>
          <w:lang w:eastAsia="en-US"/>
        </w:rPr>
      </w:pPr>
      <w:r>
        <w:rPr>
          <w:lang w:eastAsia="en-US"/>
        </w:rPr>
        <w:t xml:space="preserve">The Critique stated that the proposed update to the existing MBS item 73287 is inappropriate </w:t>
      </w:r>
      <w:r w:rsidRPr="00D81DA9">
        <w:rPr>
          <w:lang w:eastAsia="en-US"/>
        </w:rPr>
        <w:t>as th</w:t>
      </w:r>
      <w:r>
        <w:rPr>
          <w:lang w:eastAsia="en-US"/>
        </w:rPr>
        <w:t xml:space="preserve">is </w:t>
      </w:r>
      <w:r w:rsidRPr="00D81DA9">
        <w:rPr>
          <w:lang w:eastAsia="en-US"/>
        </w:rPr>
        <w:t>would lead to those patients currently being covered (person with developmental delay, intellectual disability, autism, or at least two congenital abnormalities) not having access to the service.</w:t>
      </w:r>
      <w:r>
        <w:rPr>
          <w:lang w:eastAsia="en-US"/>
        </w:rPr>
        <w:t xml:space="preserve"> </w:t>
      </w:r>
      <w:r w:rsidRPr="00D81DA9">
        <w:rPr>
          <w:lang w:eastAsia="en-US"/>
        </w:rPr>
        <w:t xml:space="preserve">PASC </w:t>
      </w:r>
      <w:r>
        <w:rPr>
          <w:lang w:eastAsia="en-US"/>
        </w:rPr>
        <w:t>considered</w:t>
      </w:r>
      <w:r w:rsidRPr="00D81DA9">
        <w:rPr>
          <w:lang w:eastAsia="en-US"/>
        </w:rPr>
        <w:t xml:space="preserve"> a new item </w:t>
      </w:r>
      <w:r>
        <w:rPr>
          <w:lang w:eastAsia="en-US"/>
        </w:rPr>
        <w:t xml:space="preserve">for this population </w:t>
      </w:r>
      <w:r w:rsidRPr="00D81DA9">
        <w:rPr>
          <w:lang w:eastAsia="en-US"/>
        </w:rPr>
        <w:t xml:space="preserve">was </w:t>
      </w:r>
      <w:r>
        <w:rPr>
          <w:lang w:eastAsia="en-US"/>
        </w:rPr>
        <w:t>preferred and MBS item73287 remain unchanged</w:t>
      </w:r>
      <w:r w:rsidR="002B3D34">
        <w:rPr>
          <w:lang w:eastAsia="en-US"/>
        </w:rPr>
        <w:t xml:space="preserve"> given the different definitions for each test population</w:t>
      </w:r>
      <w:r w:rsidRPr="00D81DA9">
        <w:rPr>
          <w:lang w:eastAsia="en-US"/>
        </w:rPr>
        <w:t>.</w:t>
      </w:r>
    </w:p>
    <w:p w14:paraId="49189374" w14:textId="05CC4C96" w:rsidR="001D42B7" w:rsidRDefault="001D42B7" w:rsidP="008772BC">
      <w:pPr>
        <w:spacing w:after="240"/>
        <w:rPr>
          <w:lang w:eastAsia="en-US"/>
        </w:rPr>
      </w:pPr>
      <w:r w:rsidRPr="00D81DA9">
        <w:rPr>
          <w:lang w:eastAsia="en-US"/>
        </w:rPr>
        <w:t xml:space="preserve">The item descriptor presented in the </w:t>
      </w:r>
      <w:r>
        <w:t>CA</w:t>
      </w:r>
      <w:r w:rsidRPr="00D81DA9">
        <w:rPr>
          <w:lang w:eastAsia="en-US"/>
        </w:rPr>
        <w:t xml:space="preserve"> was </w:t>
      </w:r>
      <w:r>
        <w:rPr>
          <w:lang w:eastAsia="en-US"/>
        </w:rPr>
        <w:t xml:space="preserve">also </w:t>
      </w:r>
      <w:r w:rsidRPr="00D81DA9">
        <w:rPr>
          <w:lang w:eastAsia="en-US"/>
        </w:rPr>
        <w:t>not the same as the ratified PICO or the ratified PASC outcomes (both of which differ). Th</w:t>
      </w:r>
      <w:r>
        <w:rPr>
          <w:lang w:eastAsia="en-US"/>
        </w:rPr>
        <w:t xml:space="preserve">e </w:t>
      </w:r>
      <w:r w:rsidRPr="00D81DA9">
        <w:rPr>
          <w:lang w:eastAsia="en-US"/>
        </w:rPr>
        <w:t>item proposed</w:t>
      </w:r>
      <w:r>
        <w:rPr>
          <w:lang w:eastAsia="en-US"/>
        </w:rPr>
        <w:t xml:space="preserve"> by the ratified PASC outcomes is presented in </w:t>
      </w:r>
      <w:r w:rsidRPr="00D81DA9">
        <w:rPr>
          <w:lang w:eastAsia="en-US"/>
        </w:rPr>
        <w:t xml:space="preserve">Table </w:t>
      </w:r>
      <w:r>
        <w:rPr>
          <w:lang w:eastAsia="en-US"/>
        </w:rPr>
        <w:t>2</w:t>
      </w:r>
      <w:r w:rsidRPr="00D81DA9">
        <w:rPr>
          <w:lang w:eastAsia="en-US"/>
        </w:rPr>
        <w:t>.</w:t>
      </w:r>
    </w:p>
    <w:p w14:paraId="4EDD9365" w14:textId="77777777" w:rsidR="001D42B7" w:rsidRPr="00412BC0" w:rsidRDefault="001D42B7" w:rsidP="00412BC0">
      <w:pPr>
        <w:rPr>
          <w:rFonts w:ascii="Arial Narrow" w:hAnsi="Arial Narrow"/>
          <w:b/>
          <w:sz w:val="20"/>
        </w:rPr>
      </w:pPr>
      <w:r w:rsidRPr="00412BC0">
        <w:rPr>
          <w:rFonts w:ascii="Arial Narrow" w:hAnsi="Arial Narrow"/>
          <w:b/>
          <w:sz w:val="20"/>
        </w:rPr>
        <w:t>Table 2:</w:t>
      </w:r>
      <w:r w:rsidRPr="00412BC0">
        <w:rPr>
          <w:rFonts w:ascii="Arial Narrow" w:hAnsi="Arial Narrow"/>
          <w:b/>
          <w:sz w:val="20"/>
        </w:rPr>
        <w:tab/>
        <w:t>MBS item proposed by the ratified PASC outcomes</w:t>
      </w:r>
    </w:p>
    <w:tbl>
      <w:tblPr>
        <w:tblStyle w:val="TableGrid"/>
        <w:tblW w:w="4981" w:type="pct"/>
        <w:tblLook w:val="04A0" w:firstRow="1" w:lastRow="0" w:firstColumn="1" w:lastColumn="0" w:noHBand="0" w:noVBand="1"/>
        <w:tblDescription w:val="MBS item proposed by the ratified PASC outcomes"/>
      </w:tblPr>
      <w:tblGrid>
        <w:gridCol w:w="8982"/>
      </w:tblGrid>
      <w:tr w:rsidR="001D42B7" w:rsidRPr="00D33FC3" w14:paraId="4A3BC9B1" w14:textId="77777777" w:rsidTr="00412BC0">
        <w:trPr>
          <w:tblHeader/>
        </w:trPr>
        <w:tc>
          <w:tcPr>
            <w:tcW w:w="5000" w:type="pct"/>
          </w:tcPr>
          <w:p w14:paraId="256C63C2" w14:textId="77777777" w:rsidR="001D42B7" w:rsidRPr="00D33FC3" w:rsidRDefault="001D42B7" w:rsidP="00D106F8">
            <w:pPr>
              <w:pStyle w:val="Tabletextright"/>
              <w:jc w:val="left"/>
              <w:rPr>
                <w:sz w:val="24"/>
              </w:rPr>
            </w:pPr>
            <w:r>
              <w:t xml:space="preserve">Category 6 Pathology Services – Group P7 Genetics </w:t>
            </w:r>
          </w:p>
        </w:tc>
      </w:tr>
      <w:tr w:rsidR="001D42B7" w:rsidRPr="00C03585" w14:paraId="2371A281" w14:textId="77777777" w:rsidTr="00412BC0">
        <w:tc>
          <w:tcPr>
            <w:tcW w:w="5000" w:type="pct"/>
          </w:tcPr>
          <w:p w14:paraId="72B55853" w14:textId="77777777" w:rsidR="001D42B7" w:rsidRDefault="001D42B7" w:rsidP="00D106F8">
            <w:pPr>
              <w:pStyle w:val="Tabletext0"/>
              <w:rPr>
                <w:snapToGrid w:val="0"/>
              </w:rPr>
            </w:pPr>
            <w:r>
              <w:rPr>
                <w:snapToGrid w:val="0"/>
              </w:rPr>
              <w:t>Item XXXXX</w:t>
            </w:r>
          </w:p>
          <w:p w14:paraId="320A5DDE" w14:textId="77777777" w:rsidR="001D42B7" w:rsidRDefault="001D42B7" w:rsidP="00D106F8">
            <w:pPr>
              <w:pStyle w:val="Tabletext0"/>
              <w:rPr>
                <w:snapToGrid w:val="0"/>
              </w:rPr>
            </w:pPr>
            <w:r w:rsidRPr="00EE78FC">
              <w:rPr>
                <w:snapToGrid w:val="0"/>
              </w:rPr>
              <w:t xml:space="preserve">Analysis of chromosomes by genome-wide microarray including targeted assessment of specific regions for constitutional genetic abnormalities in diagnostic studies of a </w:t>
            </w:r>
            <w:r>
              <w:rPr>
                <w:snapToGrid w:val="0"/>
              </w:rPr>
              <w:t>fetus</w:t>
            </w:r>
            <w:r w:rsidRPr="00EE78FC">
              <w:rPr>
                <w:snapToGrid w:val="0"/>
              </w:rPr>
              <w:t xml:space="preserve"> where one or more major fetal structural abnormalities have been detected on ultrasound (including a service in item 73287).</w:t>
            </w:r>
          </w:p>
          <w:p w14:paraId="52BFCEE9" w14:textId="77777777" w:rsidR="001D42B7" w:rsidRPr="007B0D50" w:rsidRDefault="001D42B7" w:rsidP="00D106F8">
            <w:pPr>
              <w:pStyle w:val="Tabletext0"/>
              <w:rPr>
                <w:snapToGrid w:val="0"/>
              </w:rPr>
            </w:pPr>
            <w:r w:rsidRPr="008E54C5">
              <w:rPr>
                <w:snapToGrid w:val="0"/>
              </w:rPr>
              <w:t>- 1 or more tests</w:t>
            </w:r>
          </w:p>
        </w:tc>
      </w:tr>
      <w:tr w:rsidR="001D42B7" w:rsidRPr="00C03585" w14:paraId="4F06A689" w14:textId="77777777" w:rsidTr="00412BC0">
        <w:tc>
          <w:tcPr>
            <w:tcW w:w="5000" w:type="pct"/>
          </w:tcPr>
          <w:p w14:paraId="5973EAE1" w14:textId="77777777" w:rsidR="001D42B7" w:rsidRDefault="001D42B7" w:rsidP="00D106F8">
            <w:pPr>
              <w:pStyle w:val="Tabletext0"/>
              <w:rPr>
                <w:sz w:val="24"/>
              </w:rPr>
            </w:pPr>
            <w:r w:rsidRPr="00C03585">
              <w:t xml:space="preserve">Fee: </w:t>
            </w:r>
            <w:r w:rsidRPr="008E54C5">
              <w:t>$589.90 Benefit: 75% = $442.45 85</w:t>
            </w:r>
            <w:r w:rsidRPr="004A2870">
              <w:t>% = $506.50</w:t>
            </w:r>
          </w:p>
        </w:tc>
      </w:tr>
    </w:tbl>
    <w:p w14:paraId="4D2FA5B8" w14:textId="77777777" w:rsidR="001D42B7" w:rsidRPr="00990EE1" w:rsidRDefault="001D42B7" w:rsidP="001D42B7">
      <w:pPr>
        <w:pStyle w:val="Tablecaption"/>
        <w:rPr>
          <w:b/>
          <w:bCs/>
          <w:sz w:val="18"/>
        </w:rPr>
      </w:pPr>
      <w:r w:rsidRPr="00990EE1">
        <w:rPr>
          <w:bCs/>
          <w:sz w:val="18"/>
        </w:rPr>
        <w:t>Source: p3 of the Ratified PASC Outcome 1533 (22 January 2019)</w:t>
      </w:r>
    </w:p>
    <w:p w14:paraId="5A0100CA" w14:textId="3ECE707D" w:rsidR="001D42B7" w:rsidRPr="008772BC" w:rsidRDefault="001D42B7" w:rsidP="008772BC">
      <w:pPr>
        <w:pStyle w:val="Tablecaption"/>
        <w:keepNext w:val="0"/>
        <w:keepLines w:val="0"/>
        <w:spacing w:after="240"/>
        <w:rPr>
          <w:b/>
          <w:bCs/>
          <w:sz w:val="18"/>
        </w:rPr>
      </w:pPr>
      <w:r w:rsidRPr="00990EE1">
        <w:rPr>
          <w:bCs/>
          <w:sz w:val="18"/>
        </w:rPr>
        <w:t>MBS = Medicare Benefits Services; PASC = PICO Confirmation Advisory Sub-Committee</w:t>
      </w:r>
    </w:p>
    <w:p w14:paraId="4A7B6459" w14:textId="3E23CDCA" w:rsidR="001D42B7" w:rsidRDefault="001D42B7" w:rsidP="001D42B7">
      <w:pPr>
        <w:rPr>
          <w:lang w:eastAsia="en-US"/>
        </w:rPr>
      </w:pPr>
      <w:r>
        <w:rPr>
          <w:lang w:eastAsia="en-US"/>
        </w:rPr>
        <w:t xml:space="preserve">The Critique noted that </w:t>
      </w:r>
      <w:r w:rsidRPr="009D30D2">
        <w:t>th</w:t>
      </w:r>
      <w:r>
        <w:t xml:space="preserve">is descriptor did not include a sample type (as some others do) and </w:t>
      </w:r>
      <w:r w:rsidRPr="009D30D2">
        <w:t>there may be a risk of leakage to other sources of genetic material; e.g. prenatal carrier screening of the mothers could technically be covered with the current wording. MSAC may wish to consider including specifics for the sample t</w:t>
      </w:r>
      <w:r>
        <w:t>ype</w:t>
      </w:r>
      <w:r w:rsidRPr="009D30D2">
        <w:t xml:space="preserve">. </w:t>
      </w:r>
      <w:r>
        <w:t xml:space="preserve">The Critique proposed an alternative item descriptor </w:t>
      </w:r>
      <w:r>
        <w:rPr>
          <w:lang w:eastAsia="en-US"/>
        </w:rPr>
        <w:t>(Table 3).</w:t>
      </w:r>
    </w:p>
    <w:p w14:paraId="7AC598D9" w14:textId="79CDB422" w:rsidR="001D42B7" w:rsidRPr="00412BC0" w:rsidRDefault="001D42B7" w:rsidP="00412BC0">
      <w:pPr>
        <w:keepNext/>
        <w:keepLines/>
        <w:rPr>
          <w:rFonts w:ascii="Arial Narrow" w:hAnsi="Arial Narrow"/>
          <w:b/>
          <w:sz w:val="20"/>
        </w:rPr>
      </w:pPr>
      <w:bookmarkStart w:id="3" w:name="_Ref14235840"/>
      <w:bookmarkStart w:id="4" w:name="_Toc17180941"/>
      <w:r w:rsidRPr="00412BC0">
        <w:rPr>
          <w:rFonts w:ascii="Arial Narrow" w:hAnsi="Arial Narrow"/>
          <w:b/>
          <w:sz w:val="20"/>
        </w:rPr>
        <w:t>Table</w:t>
      </w:r>
      <w:bookmarkEnd w:id="3"/>
      <w:r w:rsidRPr="00412BC0">
        <w:rPr>
          <w:rFonts w:ascii="Arial Narrow" w:hAnsi="Arial Narrow"/>
          <w:b/>
          <w:sz w:val="20"/>
        </w:rPr>
        <w:t xml:space="preserve"> 3:</w:t>
      </w:r>
      <w:r w:rsidRPr="00412BC0">
        <w:rPr>
          <w:rFonts w:ascii="Arial Narrow" w:hAnsi="Arial Narrow"/>
          <w:b/>
          <w:sz w:val="20"/>
        </w:rPr>
        <w:tab/>
      </w:r>
      <w:r w:rsidR="006A295A" w:rsidRPr="00412BC0">
        <w:rPr>
          <w:rFonts w:ascii="Arial Narrow" w:hAnsi="Arial Narrow"/>
          <w:b/>
          <w:sz w:val="20"/>
        </w:rPr>
        <w:t>Critique-r</w:t>
      </w:r>
      <w:r w:rsidRPr="00412BC0">
        <w:rPr>
          <w:rFonts w:ascii="Arial Narrow" w:hAnsi="Arial Narrow"/>
          <w:b/>
          <w:sz w:val="20"/>
        </w:rPr>
        <w:t>evised proposed MBS item descriptor</w:t>
      </w:r>
      <w:bookmarkEnd w:id="4"/>
    </w:p>
    <w:tbl>
      <w:tblPr>
        <w:tblStyle w:val="TableGrid"/>
        <w:tblW w:w="4981" w:type="pct"/>
        <w:tblLook w:val="04A0" w:firstRow="1" w:lastRow="0" w:firstColumn="1" w:lastColumn="0" w:noHBand="0" w:noVBand="1"/>
        <w:tblDescription w:val="Critique-revised proposed MBS item descriptor"/>
      </w:tblPr>
      <w:tblGrid>
        <w:gridCol w:w="8982"/>
      </w:tblGrid>
      <w:tr w:rsidR="001D42B7" w:rsidRPr="00D33FC3" w14:paraId="6A3BF964" w14:textId="77777777" w:rsidTr="00412BC0">
        <w:trPr>
          <w:tblHeader/>
        </w:trPr>
        <w:tc>
          <w:tcPr>
            <w:tcW w:w="5000" w:type="pct"/>
          </w:tcPr>
          <w:p w14:paraId="0985B9F7" w14:textId="77777777" w:rsidR="001D42B7" w:rsidRPr="00D33FC3" w:rsidRDefault="001D42B7" w:rsidP="00412BC0">
            <w:pPr>
              <w:pStyle w:val="Tabletextright"/>
              <w:keepLines/>
              <w:jc w:val="left"/>
              <w:rPr>
                <w:sz w:val="24"/>
              </w:rPr>
            </w:pPr>
            <w:r>
              <w:t xml:space="preserve">Category 6 Pathology Services – Group P7 Genetics </w:t>
            </w:r>
          </w:p>
        </w:tc>
      </w:tr>
      <w:tr w:rsidR="001D42B7" w:rsidRPr="00C03585" w14:paraId="1EFD89EA" w14:textId="77777777" w:rsidTr="00412BC0">
        <w:tc>
          <w:tcPr>
            <w:tcW w:w="5000" w:type="pct"/>
          </w:tcPr>
          <w:p w14:paraId="19DB682B" w14:textId="77777777" w:rsidR="001D42B7" w:rsidRDefault="001D42B7" w:rsidP="00412BC0">
            <w:pPr>
              <w:pStyle w:val="Tabletext0"/>
              <w:keepNext/>
              <w:keepLines/>
              <w:rPr>
                <w:snapToGrid w:val="0"/>
                <w:sz w:val="24"/>
              </w:rPr>
            </w:pPr>
            <w:r>
              <w:rPr>
                <w:snapToGrid w:val="0"/>
              </w:rPr>
              <w:t>732XX</w:t>
            </w:r>
          </w:p>
          <w:p w14:paraId="1137F03F" w14:textId="681934D7" w:rsidR="001D42B7" w:rsidRDefault="001D42B7" w:rsidP="00412BC0">
            <w:pPr>
              <w:pStyle w:val="Tabletext0"/>
              <w:keepNext/>
              <w:keepLines/>
              <w:rPr>
                <w:snapToGrid w:val="0"/>
              </w:rPr>
            </w:pPr>
            <w:bookmarkStart w:id="5" w:name="_Hlk12521829"/>
            <w:r w:rsidRPr="00EE78FC">
              <w:rPr>
                <w:snapToGrid w:val="0"/>
              </w:rPr>
              <w:t>Analysis of chromosomes by genome-wide microarray</w:t>
            </w:r>
            <w:r>
              <w:rPr>
                <w:snapToGrid w:val="0"/>
              </w:rPr>
              <w:t>,</w:t>
            </w:r>
            <w:r w:rsidRPr="00EE78FC">
              <w:rPr>
                <w:snapToGrid w:val="0"/>
              </w:rPr>
              <w:t xml:space="preserve"> </w:t>
            </w:r>
            <w:r>
              <w:rPr>
                <w:snapToGrid w:val="0"/>
                <w:color w:val="FF0000"/>
              </w:rPr>
              <w:t>of</w:t>
            </w:r>
            <w:r w:rsidRPr="00220712">
              <w:rPr>
                <w:snapToGrid w:val="0"/>
                <w:color w:val="FF0000"/>
              </w:rPr>
              <w:t xml:space="preserve"> a sample from amniocentesis or chorionic villus sampling</w:t>
            </w:r>
            <w:r>
              <w:rPr>
                <w:snapToGrid w:val="0"/>
                <w:color w:val="FF0000"/>
              </w:rPr>
              <w:t>,</w:t>
            </w:r>
            <w:r w:rsidRPr="00EE78FC">
              <w:rPr>
                <w:snapToGrid w:val="0"/>
              </w:rPr>
              <w:t xml:space="preserve"> including targeted assessment of specific regions for constitutional genetic abnormalities in diagnostic studies of a </w:t>
            </w:r>
            <w:r>
              <w:rPr>
                <w:snapToGrid w:val="0"/>
              </w:rPr>
              <w:t>fetus</w:t>
            </w:r>
            <w:r w:rsidR="000E6A05">
              <w:rPr>
                <w:snapToGrid w:val="0"/>
              </w:rPr>
              <w:t xml:space="preserve"> </w:t>
            </w:r>
            <w:r w:rsidRPr="00EE78FC">
              <w:rPr>
                <w:snapToGrid w:val="0"/>
              </w:rPr>
              <w:t>where one or more major fetal structural abnormalities have been detected on ultrasound (including a service in item 73287).</w:t>
            </w:r>
          </w:p>
          <w:p w14:paraId="2A086453" w14:textId="77777777" w:rsidR="001D42B7" w:rsidRPr="007B0D50" w:rsidRDefault="001D42B7" w:rsidP="00412BC0">
            <w:pPr>
              <w:pStyle w:val="Tabletext0"/>
              <w:keepNext/>
              <w:keepLines/>
              <w:rPr>
                <w:snapToGrid w:val="0"/>
              </w:rPr>
            </w:pPr>
            <w:r w:rsidRPr="008E54C5">
              <w:rPr>
                <w:snapToGrid w:val="0"/>
              </w:rPr>
              <w:t>- 1 or more tests</w:t>
            </w:r>
            <w:r w:rsidRPr="00220712" w:rsidDel="00EE78FC">
              <w:rPr>
                <w:snapToGrid w:val="0"/>
              </w:rPr>
              <w:t xml:space="preserve"> </w:t>
            </w:r>
            <w:bookmarkEnd w:id="5"/>
          </w:p>
        </w:tc>
      </w:tr>
    </w:tbl>
    <w:p w14:paraId="7FA08D9A" w14:textId="6A126AE9" w:rsidR="001D42B7" w:rsidRDefault="001D42B7" w:rsidP="0063613B">
      <w:pPr>
        <w:spacing w:after="240"/>
        <w:jc w:val="both"/>
        <w:rPr>
          <w:rFonts w:ascii="Arial Narrow" w:hAnsi="Arial Narrow" w:cs="Arial"/>
          <w:sz w:val="18"/>
          <w:lang w:eastAsia="en-US"/>
        </w:rPr>
      </w:pPr>
      <w:r>
        <w:rPr>
          <w:rFonts w:ascii="Arial Narrow" w:hAnsi="Arial Narrow" w:cs="Arial"/>
          <w:sz w:val="18"/>
          <w:lang w:eastAsia="en-US"/>
        </w:rPr>
        <w:t>Source: Table 3, p29 of the Critique</w:t>
      </w:r>
    </w:p>
    <w:p w14:paraId="2E70B7A4" w14:textId="77777777" w:rsidR="00F7352D" w:rsidRDefault="00F7352D" w:rsidP="00F7352D">
      <w:pPr>
        <w:pStyle w:val="Heading2"/>
        <w:rPr>
          <w:lang w:eastAsia="en-US"/>
        </w:rPr>
      </w:pPr>
      <w:r>
        <w:rPr>
          <w:lang w:eastAsia="en-US"/>
        </w:rPr>
        <w:t>Pre-MSAC response</w:t>
      </w:r>
    </w:p>
    <w:p w14:paraId="3A02DF20" w14:textId="720A7AC8" w:rsidR="00F7352D" w:rsidRDefault="00F7352D" w:rsidP="008772BC">
      <w:pPr>
        <w:spacing w:after="240"/>
        <w:rPr>
          <w:lang w:eastAsia="en-US"/>
        </w:rPr>
      </w:pPr>
      <w:r>
        <w:rPr>
          <w:lang w:eastAsia="en-US"/>
        </w:rPr>
        <w:t xml:space="preserve">The </w:t>
      </w:r>
      <w:r w:rsidR="00AF4D91">
        <w:rPr>
          <w:lang w:eastAsia="en-US"/>
        </w:rPr>
        <w:t>a</w:t>
      </w:r>
      <w:r>
        <w:rPr>
          <w:lang w:eastAsia="en-US"/>
        </w:rPr>
        <w:t>pplicant proposed a revised MBS item descriptor:</w:t>
      </w:r>
    </w:p>
    <w:p w14:paraId="1B369E0D" w14:textId="77777777" w:rsidR="00F7352D" w:rsidRPr="00412BC0" w:rsidRDefault="00F7352D" w:rsidP="00412BC0">
      <w:pPr>
        <w:rPr>
          <w:rFonts w:ascii="Arial Narrow" w:hAnsi="Arial Narrow"/>
          <w:b/>
          <w:sz w:val="20"/>
        </w:rPr>
      </w:pPr>
      <w:r w:rsidRPr="00412BC0">
        <w:rPr>
          <w:rFonts w:ascii="Arial Narrow" w:hAnsi="Arial Narrow"/>
          <w:b/>
          <w:sz w:val="20"/>
        </w:rPr>
        <w:t>Table 4</w:t>
      </w:r>
      <w:r w:rsidRPr="00412BC0">
        <w:rPr>
          <w:rFonts w:ascii="Arial Narrow" w:hAnsi="Arial Narrow"/>
          <w:b/>
          <w:sz w:val="20"/>
        </w:rPr>
        <w:tab/>
        <w:t>Applicant-revised proposed MBS item descriptor</w:t>
      </w:r>
    </w:p>
    <w:tbl>
      <w:tblPr>
        <w:tblStyle w:val="TableGrid"/>
        <w:tblW w:w="4981" w:type="pct"/>
        <w:tblLook w:val="04A0" w:firstRow="1" w:lastRow="0" w:firstColumn="1" w:lastColumn="0" w:noHBand="0" w:noVBand="1"/>
        <w:tblDescription w:val="Applicant-revised proposed MBS item descriptor"/>
      </w:tblPr>
      <w:tblGrid>
        <w:gridCol w:w="8982"/>
      </w:tblGrid>
      <w:tr w:rsidR="00F7352D" w:rsidRPr="00D33FC3" w14:paraId="31AC2E82" w14:textId="77777777" w:rsidTr="00412BC0">
        <w:trPr>
          <w:tblHeader/>
        </w:trPr>
        <w:tc>
          <w:tcPr>
            <w:tcW w:w="5000" w:type="pct"/>
          </w:tcPr>
          <w:p w14:paraId="195A20E2" w14:textId="77777777" w:rsidR="00F7352D" w:rsidRPr="00D33FC3" w:rsidRDefault="00F7352D" w:rsidP="00A32F80">
            <w:pPr>
              <w:pStyle w:val="Tabletextright"/>
              <w:jc w:val="left"/>
              <w:rPr>
                <w:sz w:val="24"/>
              </w:rPr>
            </w:pPr>
            <w:r>
              <w:t xml:space="preserve">Category 6 Pathology Services – Group P7 Genetics </w:t>
            </w:r>
          </w:p>
        </w:tc>
      </w:tr>
      <w:tr w:rsidR="00F7352D" w:rsidRPr="00C03585" w14:paraId="4298D666" w14:textId="77777777" w:rsidTr="00412BC0">
        <w:tc>
          <w:tcPr>
            <w:tcW w:w="5000" w:type="pct"/>
          </w:tcPr>
          <w:p w14:paraId="3580F1BE" w14:textId="77777777" w:rsidR="00F7352D" w:rsidRDefault="00F7352D" w:rsidP="00A32F80">
            <w:pPr>
              <w:pStyle w:val="Tabletext0"/>
              <w:rPr>
                <w:snapToGrid w:val="0"/>
                <w:sz w:val="24"/>
              </w:rPr>
            </w:pPr>
            <w:r>
              <w:rPr>
                <w:snapToGrid w:val="0"/>
              </w:rPr>
              <w:t>732XX</w:t>
            </w:r>
          </w:p>
          <w:p w14:paraId="2EC6C890" w14:textId="281C48D7" w:rsidR="00F7352D" w:rsidRDefault="00F7352D" w:rsidP="00A32F80">
            <w:pPr>
              <w:pStyle w:val="Tabletext0"/>
              <w:rPr>
                <w:snapToGrid w:val="0"/>
              </w:rPr>
            </w:pPr>
            <w:r w:rsidRPr="00EE78FC">
              <w:rPr>
                <w:snapToGrid w:val="0"/>
              </w:rPr>
              <w:t>Analysis of chromosomes by genome-wide microarray</w:t>
            </w:r>
            <w:r>
              <w:rPr>
                <w:snapToGrid w:val="0"/>
              </w:rPr>
              <w:t>,</w:t>
            </w:r>
            <w:r w:rsidRPr="00EE78FC">
              <w:rPr>
                <w:snapToGrid w:val="0"/>
              </w:rPr>
              <w:t xml:space="preserve"> </w:t>
            </w:r>
            <w:r>
              <w:rPr>
                <w:snapToGrid w:val="0"/>
                <w:color w:val="FF0000"/>
              </w:rPr>
              <w:t>of</w:t>
            </w:r>
            <w:r w:rsidRPr="00220712">
              <w:rPr>
                <w:snapToGrid w:val="0"/>
                <w:color w:val="FF0000"/>
              </w:rPr>
              <w:t xml:space="preserve"> a sample from amniocentesis or chorionic villus sampling</w:t>
            </w:r>
            <w:r>
              <w:rPr>
                <w:snapToGrid w:val="0"/>
                <w:color w:val="FF0000"/>
              </w:rPr>
              <w:t>,</w:t>
            </w:r>
            <w:r w:rsidRPr="00EE78FC">
              <w:rPr>
                <w:snapToGrid w:val="0"/>
              </w:rPr>
              <w:t xml:space="preserve"> including targeted assessment of specific regions for constitutional genetic abnormalities in diagnostic studies of a </w:t>
            </w:r>
            <w:r>
              <w:rPr>
                <w:snapToGrid w:val="0"/>
              </w:rPr>
              <w:t>fetus</w:t>
            </w:r>
            <w:r w:rsidR="0063613B">
              <w:rPr>
                <w:snapToGrid w:val="0"/>
              </w:rPr>
              <w:t xml:space="preserve"> </w:t>
            </w:r>
            <w:r w:rsidRPr="00EE78FC">
              <w:rPr>
                <w:snapToGrid w:val="0"/>
              </w:rPr>
              <w:t>where one or more major fetal structural abnormalities have been detected on ultrasound</w:t>
            </w:r>
            <w:r>
              <w:rPr>
                <w:snapToGrid w:val="0"/>
              </w:rPr>
              <w:t xml:space="preserve"> </w:t>
            </w:r>
            <w:r>
              <w:rPr>
                <w:snapToGrid w:val="0"/>
                <w:color w:val="FF0000"/>
              </w:rPr>
              <w:t>or when NT&gt;3.5mm</w:t>
            </w:r>
            <w:r w:rsidRPr="00EE78FC">
              <w:rPr>
                <w:snapToGrid w:val="0"/>
              </w:rPr>
              <w:t xml:space="preserve"> (including a service in item 73287).</w:t>
            </w:r>
          </w:p>
          <w:p w14:paraId="1B08FB2E" w14:textId="77777777" w:rsidR="00F7352D" w:rsidRPr="007B0D50" w:rsidRDefault="00F7352D" w:rsidP="00A32F80">
            <w:pPr>
              <w:pStyle w:val="Tabletext0"/>
              <w:rPr>
                <w:snapToGrid w:val="0"/>
              </w:rPr>
            </w:pPr>
            <w:r w:rsidRPr="008E54C5">
              <w:rPr>
                <w:snapToGrid w:val="0"/>
              </w:rPr>
              <w:t>- 1 or more tests</w:t>
            </w:r>
            <w:r w:rsidRPr="00220712" w:rsidDel="00EE78FC">
              <w:rPr>
                <w:snapToGrid w:val="0"/>
              </w:rPr>
              <w:t xml:space="preserve"> </w:t>
            </w:r>
          </w:p>
        </w:tc>
      </w:tr>
    </w:tbl>
    <w:p w14:paraId="638D326D" w14:textId="3632631D" w:rsidR="00F7352D" w:rsidRDefault="00F7352D" w:rsidP="0063613B">
      <w:pPr>
        <w:spacing w:after="240"/>
        <w:jc w:val="both"/>
        <w:rPr>
          <w:rFonts w:ascii="Arial Narrow" w:hAnsi="Arial Narrow" w:cs="Arial"/>
          <w:sz w:val="18"/>
          <w:lang w:eastAsia="en-US"/>
        </w:rPr>
      </w:pPr>
      <w:r>
        <w:rPr>
          <w:rFonts w:ascii="Arial Narrow" w:hAnsi="Arial Narrow" w:cs="Arial"/>
          <w:sz w:val="18"/>
          <w:lang w:eastAsia="en-US"/>
        </w:rPr>
        <w:t>Source: Table 4, p4 of the pre-MSAC response</w:t>
      </w:r>
    </w:p>
    <w:bookmarkEnd w:id="2"/>
    <w:p w14:paraId="4D65449B" w14:textId="77777777" w:rsidR="005028BF" w:rsidRPr="00F715D1" w:rsidRDefault="005028BF" w:rsidP="005028BF">
      <w:pPr>
        <w:pStyle w:val="Heading1"/>
      </w:pPr>
      <w:r w:rsidRPr="00F715D1">
        <w:t>Summary of Public Consultation Feedback/Consumer Issues</w:t>
      </w:r>
    </w:p>
    <w:p w14:paraId="4105CB4B" w14:textId="3C7950E5" w:rsidR="001D42B7" w:rsidRPr="000D1168" w:rsidRDefault="001D42B7" w:rsidP="001D42B7">
      <w:pPr>
        <w:tabs>
          <w:tab w:val="left" w:pos="720"/>
          <w:tab w:val="left" w:pos="1140"/>
        </w:tabs>
        <w:rPr>
          <w:szCs w:val="24"/>
        </w:rPr>
      </w:pPr>
      <w:r>
        <w:rPr>
          <w:szCs w:val="24"/>
        </w:rPr>
        <w:t>The Royal Australian and New Zealand College of Obstetricians and Gynaecologists (RANZCOG)</w:t>
      </w:r>
      <w:r w:rsidRPr="000D1168">
        <w:rPr>
          <w:szCs w:val="24"/>
        </w:rPr>
        <w:t xml:space="preserve"> provided consultation feedback for this application, indicat</w:t>
      </w:r>
      <w:r>
        <w:rPr>
          <w:szCs w:val="24"/>
        </w:rPr>
        <w:t xml:space="preserve">ing that GWMA testing </w:t>
      </w:r>
      <w:r w:rsidRPr="000D1168">
        <w:rPr>
          <w:szCs w:val="24"/>
        </w:rPr>
        <w:t>is current best practice for chromosom</w:t>
      </w:r>
      <w:r w:rsidR="002B3D34">
        <w:rPr>
          <w:szCs w:val="24"/>
        </w:rPr>
        <w:t>al</w:t>
      </w:r>
      <w:r w:rsidRPr="000D1168">
        <w:rPr>
          <w:szCs w:val="24"/>
        </w:rPr>
        <w:t xml:space="preserve"> assessment of </w:t>
      </w:r>
      <w:r w:rsidR="0044440E">
        <w:rPr>
          <w:szCs w:val="24"/>
        </w:rPr>
        <w:t>a</w:t>
      </w:r>
      <w:r w:rsidR="0044440E" w:rsidRPr="000D1168">
        <w:rPr>
          <w:szCs w:val="24"/>
        </w:rPr>
        <w:t xml:space="preserve"> </w:t>
      </w:r>
      <w:r w:rsidRPr="000D1168">
        <w:rPr>
          <w:szCs w:val="24"/>
        </w:rPr>
        <w:t xml:space="preserve">fetus </w:t>
      </w:r>
      <w:r w:rsidR="002B3D34">
        <w:rPr>
          <w:szCs w:val="24"/>
        </w:rPr>
        <w:t xml:space="preserve">diagnosed </w:t>
      </w:r>
      <w:r w:rsidRPr="000D1168">
        <w:rPr>
          <w:szCs w:val="24"/>
        </w:rPr>
        <w:t xml:space="preserve">with </w:t>
      </w:r>
      <w:r w:rsidR="002B3D34">
        <w:rPr>
          <w:szCs w:val="24"/>
        </w:rPr>
        <w:t xml:space="preserve">major </w:t>
      </w:r>
      <w:r w:rsidRPr="000D1168">
        <w:rPr>
          <w:szCs w:val="24"/>
        </w:rPr>
        <w:t>structural abnormalities.</w:t>
      </w:r>
    </w:p>
    <w:p w14:paraId="1654E60C" w14:textId="77777777" w:rsidR="005028BF" w:rsidRPr="00F715D1" w:rsidRDefault="005028BF" w:rsidP="005028BF">
      <w:pPr>
        <w:pStyle w:val="Heading1"/>
      </w:pPr>
      <w:r w:rsidRPr="00F715D1">
        <w:t>Proposed intervention’s place in clinical management</w:t>
      </w:r>
    </w:p>
    <w:p w14:paraId="697EFCDB" w14:textId="049D57E1" w:rsidR="001D42B7" w:rsidRDefault="001D42B7" w:rsidP="008772BC">
      <w:pPr>
        <w:spacing w:after="240"/>
        <w:rPr>
          <w:rFonts w:eastAsia="Calibri"/>
          <w:lang w:eastAsia="en-US"/>
        </w:rPr>
      </w:pPr>
      <w:r>
        <w:t xml:space="preserve">The CA’s current and proposed </w:t>
      </w:r>
      <w:r w:rsidRPr="00E80CE1">
        <w:rPr>
          <w:rFonts w:eastAsia="Calibri"/>
          <w:lang w:eastAsia="en-US"/>
        </w:rPr>
        <w:t>clinical management algorithm</w:t>
      </w:r>
      <w:r>
        <w:rPr>
          <w:rFonts w:eastAsia="Calibri"/>
          <w:lang w:eastAsia="en-US"/>
        </w:rPr>
        <w:t>s</w:t>
      </w:r>
      <w:r w:rsidRPr="00E80CE1">
        <w:rPr>
          <w:rFonts w:eastAsia="Calibri"/>
          <w:lang w:eastAsia="en-US"/>
        </w:rPr>
        <w:t xml:space="preserve"> for prenatal patients with major fetal abnormalities detected on ultrasound</w:t>
      </w:r>
      <w:r>
        <w:rPr>
          <w:rFonts w:eastAsia="Calibri"/>
          <w:lang w:eastAsia="en-US"/>
        </w:rPr>
        <w:t xml:space="preserve"> with karyotyping or GWMA is</w:t>
      </w:r>
      <w:r w:rsidRPr="00E80CE1">
        <w:rPr>
          <w:rFonts w:eastAsia="Calibri"/>
          <w:lang w:eastAsia="en-US"/>
        </w:rPr>
        <w:t xml:space="preserve"> </w:t>
      </w:r>
      <w:r>
        <w:rPr>
          <w:rFonts w:eastAsia="Calibri"/>
          <w:lang w:eastAsia="en-US"/>
        </w:rPr>
        <w:t xml:space="preserve">presented in Figure 1 and Figure 3, respectively. </w:t>
      </w:r>
      <w:r w:rsidRPr="00E80CE1">
        <w:rPr>
          <w:rFonts w:eastAsia="Calibri"/>
          <w:lang w:eastAsia="en-US"/>
        </w:rPr>
        <w:t>The key difference between the current and proposed clinical management algorithm is the use of</w:t>
      </w:r>
      <w:r>
        <w:rPr>
          <w:rFonts w:eastAsia="Calibri"/>
          <w:lang w:eastAsia="en-US"/>
        </w:rPr>
        <w:t xml:space="preserve"> </w:t>
      </w:r>
      <w:r>
        <w:t>GWMA</w:t>
      </w:r>
      <w:r w:rsidRPr="00E80CE1">
        <w:rPr>
          <w:rFonts w:eastAsia="Calibri"/>
          <w:lang w:eastAsia="en-US"/>
        </w:rPr>
        <w:t xml:space="preserve"> performed in lieu of karyotyp</w:t>
      </w:r>
      <w:r>
        <w:rPr>
          <w:rFonts w:eastAsia="Calibri"/>
          <w:lang w:eastAsia="en-US"/>
        </w:rPr>
        <w:t>ing.</w:t>
      </w:r>
    </w:p>
    <w:p w14:paraId="5F4D2241" w14:textId="3C60A3A1" w:rsidR="001D42B7" w:rsidRPr="008772BC" w:rsidRDefault="001D42B7" w:rsidP="008772BC">
      <w:r>
        <w:rPr>
          <w:rFonts w:eastAsia="Calibri"/>
          <w:lang w:eastAsia="en-US"/>
        </w:rPr>
        <w:t xml:space="preserve">However, ESC proposed an amendment to the </w:t>
      </w:r>
      <w:r>
        <w:t>c</w:t>
      </w:r>
      <w:r w:rsidR="00DE44D7">
        <w:t xml:space="preserve">urrent (Figure 2) and proposed </w:t>
      </w:r>
      <w:r>
        <w:t>clinical management algorithm (Figure 4), which would require re-working of the assessment.</w:t>
      </w:r>
    </w:p>
    <w:p w14:paraId="2D27FA72" w14:textId="77777777" w:rsidR="001D42B7" w:rsidRDefault="001D42B7" w:rsidP="001D42B7">
      <w:pPr>
        <w:pStyle w:val="Tablecaption"/>
      </w:pPr>
      <w:r>
        <w:rPr>
          <w:noProof/>
          <w:lang w:eastAsia="en-AU"/>
        </w:rPr>
        <w:drawing>
          <wp:inline distT="0" distB="0" distL="0" distR="0" wp14:anchorId="3E6100FB" wp14:editId="2A6F8423">
            <wp:extent cx="5621020" cy="3858895"/>
            <wp:effectExtent l="0" t="0" r="0" b="8255"/>
            <wp:docPr id="8" name="Picture 8" descr="Clinical algorithm presented in P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1020" cy="3858895"/>
                    </a:xfrm>
                    <a:prstGeom prst="rect">
                      <a:avLst/>
                    </a:prstGeom>
                    <a:noFill/>
                  </pic:spPr>
                </pic:pic>
              </a:graphicData>
            </a:graphic>
          </wp:inline>
        </w:drawing>
      </w:r>
    </w:p>
    <w:p w14:paraId="71BFB14A" w14:textId="3A82BCBA" w:rsidR="001D42B7" w:rsidRPr="00412BC0" w:rsidRDefault="001D42B7" w:rsidP="00412BC0">
      <w:pPr>
        <w:rPr>
          <w:rFonts w:ascii="Arial Narrow" w:hAnsi="Arial Narrow"/>
          <w:b/>
          <w:sz w:val="20"/>
        </w:rPr>
      </w:pPr>
      <w:bookmarkStart w:id="6" w:name="_Ref12003671"/>
      <w:bookmarkStart w:id="7" w:name="_Toc17180993"/>
      <w:r w:rsidRPr="00412BC0">
        <w:rPr>
          <w:rFonts w:ascii="Arial Narrow" w:hAnsi="Arial Narrow"/>
          <w:b/>
          <w:sz w:val="20"/>
        </w:rPr>
        <w:t xml:space="preserve">Figure </w:t>
      </w:r>
      <w:r w:rsidRPr="00412BC0">
        <w:rPr>
          <w:rFonts w:ascii="Arial Narrow" w:hAnsi="Arial Narrow"/>
          <w:b/>
          <w:sz w:val="20"/>
        </w:rPr>
        <w:fldChar w:fldCharType="begin"/>
      </w:r>
      <w:r w:rsidRPr="00412BC0">
        <w:rPr>
          <w:rFonts w:ascii="Arial Narrow" w:hAnsi="Arial Narrow"/>
          <w:b/>
          <w:sz w:val="20"/>
        </w:rPr>
        <w:instrText xml:space="preserve"> SEQ Figure \* ARABIC </w:instrText>
      </w:r>
      <w:r w:rsidRPr="00412BC0">
        <w:rPr>
          <w:rFonts w:ascii="Arial Narrow" w:hAnsi="Arial Narrow"/>
          <w:b/>
          <w:sz w:val="20"/>
        </w:rPr>
        <w:fldChar w:fldCharType="separate"/>
      </w:r>
      <w:r w:rsidR="00545315" w:rsidRPr="00412BC0">
        <w:rPr>
          <w:rFonts w:ascii="Arial Narrow" w:hAnsi="Arial Narrow"/>
          <w:b/>
          <w:sz w:val="20"/>
        </w:rPr>
        <w:t>1</w:t>
      </w:r>
      <w:r w:rsidRPr="00412BC0">
        <w:rPr>
          <w:rFonts w:ascii="Arial Narrow" w:hAnsi="Arial Narrow"/>
          <w:b/>
          <w:sz w:val="20"/>
        </w:rPr>
        <w:fldChar w:fldCharType="end"/>
      </w:r>
      <w:bookmarkEnd w:id="6"/>
      <w:r w:rsidRPr="00412BC0">
        <w:rPr>
          <w:rFonts w:ascii="Arial Narrow" w:hAnsi="Arial Narrow"/>
          <w:b/>
          <w:sz w:val="20"/>
        </w:rPr>
        <w:t>:</w:t>
      </w:r>
      <w:r w:rsidRPr="00412BC0">
        <w:rPr>
          <w:rFonts w:ascii="Arial Narrow" w:hAnsi="Arial Narrow"/>
          <w:b/>
          <w:sz w:val="20"/>
        </w:rPr>
        <w:tab/>
        <w:t>Clinical algorithm presented in the PICO</w:t>
      </w:r>
      <w:bookmarkEnd w:id="7"/>
      <w:r w:rsidRPr="00412BC0">
        <w:rPr>
          <w:rFonts w:ascii="Arial Narrow" w:hAnsi="Arial Narrow"/>
          <w:b/>
          <w:sz w:val="20"/>
        </w:rPr>
        <w:t xml:space="preserve"> Confirmation</w:t>
      </w:r>
    </w:p>
    <w:p w14:paraId="620167D4" w14:textId="77777777" w:rsidR="001D42B7" w:rsidRDefault="001D42B7" w:rsidP="001D42B7">
      <w:pPr>
        <w:jc w:val="both"/>
        <w:rPr>
          <w:rFonts w:ascii="Arial Narrow" w:hAnsi="Arial Narrow"/>
          <w:sz w:val="18"/>
        </w:rPr>
      </w:pPr>
      <w:r w:rsidRPr="00C77D68">
        <w:rPr>
          <w:rFonts w:ascii="Arial Narrow" w:hAnsi="Arial Narrow"/>
          <w:sz w:val="18"/>
        </w:rPr>
        <w:t>Source: Section A6 Figu</w:t>
      </w:r>
      <w:r>
        <w:rPr>
          <w:rFonts w:ascii="Arial Narrow" w:hAnsi="Arial Narrow"/>
          <w:sz w:val="18"/>
        </w:rPr>
        <w:t>re 1 p19 of the CA</w:t>
      </w:r>
    </w:p>
    <w:p w14:paraId="6AF92B45" w14:textId="77777777" w:rsidR="001D42B7" w:rsidRPr="00E414C8" w:rsidRDefault="001D42B7" w:rsidP="001D42B7">
      <w:pPr>
        <w:pStyle w:val="NoSpacing"/>
        <w:rPr>
          <w:rFonts w:ascii="Arial Narrow" w:hAnsi="Arial Narrow"/>
          <w:sz w:val="18"/>
          <w:szCs w:val="18"/>
        </w:rPr>
      </w:pPr>
      <w:r w:rsidRPr="00E414C8">
        <w:rPr>
          <w:rFonts w:ascii="Arial Narrow" w:hAnsi="Arial Narrow"/>
          <w:sz w:val="18"/>
          <w:szCs w:val="18"/>
        </w:rPr>
        <w:t xml:space="preserve">Notes: a. Ultrasound screening is predominantly performed in the first trimester as part of combined first trimester screening (CFTS). Combined first trimester screening (CFTS) is performed at 11+0 to 13+6 weeks by incorporating maternal age, ultrasound measurement of the fetal nuchal translucency, and maternal serum markers levels to generate an overall figure for the likelihood of trisomy disorders. </w:t>
      </w:r>
      <w:r w:rsidRPr="00E414C8">
        <w:rPr>
          <w:rFonts w:ascii="Arial Narrow" w:hAnsi="Arial Narrow"/>
          <w:sz w:val="18"/>
          <w:szCs w:val="18"/>
        </w:rPr>
        <w:fldChar w:fldCharType="begin"/>
      </w:r>
      <w:r w:rsidRPr="00E414C8">
        <w:rPr>
          <w:rFonts w:ascii="Arial Narrow" w:hAnsi="Arial Narrow"/>
          <w:sz w:val="18"/>
          <w:szCs w:val="18"/>
        </w:rPr>
        <w:instrText xml:space="preserve"> ADDIN EN.CITE &lt;EndNote&gt;&lt;Cite&gt;&lt;Author&gt;Australasia&lt;/Author&gt;&lt;Year&gt;2016&lt;/Year&gt;&lt;RecNum&gt;29&lt;/RecNum&gt;&lt;DisplayText&gt;&lt;style face="superscript"&gt;33 &lt;/style&gt;&lt;/DisplayText&gt;&lt;record&gt;&lt;rec-number&gt;29&lt;/rec-number&gt;&lt;foreign-keys&gt;&lt;key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Cite&gt;&lt;Author&gt;Australasia&lt;/Author&gt;&lt;Year&gt;2016&lt;/Year&gt;&lt;RecNum&gt;29&lt;/RecNum&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EndNote&gt;</w:instrText>
      </w:r>
      <w:r w:rsidRPr="00E414C8">
        <w:rPr>
          <w:rFonts w:ascii="Arial Narrow" w:hAnsi="Arial Narrow"/>
          <w:sz w:val="18"/>
          <w:szCs w:val="18"/>
        </w:rPr>
        <w:fldChar w:fldCharType="separate"/>
      </w:r>
      <w:hyperlink w:anchor="_ENREF_33" w:tooltip="Australasia, 2016 #29" w:history="1">
        <w:r w:rsidRPr="00E414C8">
          <w:rPr>
            <w:rFonts w:ascii="Arial Narrow" w:hAnsi="Arial Narrow"/>
            <w:noProof/>
            <w:sz w:val="18"/>
            <w:szCs w:val="18"/>
            <w:vertAlign w:val="superscript"/>
          </w:rPr>
          <w:t>33</w:t>
        </w:r>
      </w:hyperlink>
      <w:r w:rsidRPr="00E414C8">
        <w:rPr>
          <w:rFonts w:ascii="Arial Narrow" w:hAnsi="Arial Narrow"/>
          <w:noProof/>
          <w:sz w:val="18"/>
          <w:szCs w:val="18"/>
          <w:vertAlign w:val="superscript"/>
        </w:rPr>
        <w:t xml:space="preserve"> </w:t>
      </w:r>
      <w:r w:rsidRPr="00E414C8">
        <w:rPr>
          <w:rFonts w:ascii="Arial Narrow" w:hAnsi="Arial Narrow"/>
          <w:sz w:val="18"/>
          <w:szCs w:val="18"/>
        </w:rPr>
        <w:fldChar w:fldCharType="end"/>
      </w:r>
      <w:r w:rsidRPr="00E414C8">
        <w:rPr>
          <w:rFonts w:ascii="Arial Narrow" w:hAnsi="Arial Narrow"/>
          <w:sz w:val="18"/>
          <w:szCs w:val="18"/>
        </w:rPr>
        <w:t>2</w:t>
      </w:r>
      <w:r w:rsidRPr="00E414C8">
        <w:rPr>
          <w:rFonts w:ascii="Arial Narrow" w:hAnsi="Arial Narrow"/>
          <w:sz w:val="18"/>
          <w:szCs w:val="18"/>
          <w:vertAlign w:val="superscript"/>
        </w:rPr>
        <w:t>nd</w:t>
      </w:r>
      <w:r w:rsidRPr="00E414C8">
        <w:rPr>
          <w:rFonts w:ascii="Arial Narrow" w:hAnsi="Arial Narrow"/>
          <w:sz w:val="18"/>
          <w:szCs w:val="18"/>
        </w:rPr>
        <w:t xml:space="preserve"> and 3</w:t>
      </w:r>
      <w:r w:rsidRPr="00E414C8">
        <w:rPr>
          <w:rFonts w:ascii="Arial Narrow" w:hAnsi="Arial Narrow"/>
          <w:sz w:val="18"/>
          <w:szCs w:val="18"/>
          <w:vertAlign w:val="superscript"/>
        </w:rPr>
        <w:t>rd</w:t>
      </w:r>
      <w:r w:rsidRPr="00E414C8">
        <w:rPr>
          <w:rFonts w:ascii="Arial Narrow" w:hAnsi="Arial Narrow"/>
          <w:sz w:val="18"/>
          <w:szCs w:val="18"/>
        </w:rPr>
        <w:t xml:space="preserve"> trimester ultrasound is also recommended.</w:t>
      </w:r>
    </w:p>
    <w:p w14:paraId="6FB5740E" w14:textId="152132B7" w:rsidR="001D42B7" w:rsidRPr="00955A61" w:rsidRDefault="001D42B7" w:rsidP="00C33F79">
      <w:pPr>
        <w:pStyle w:val="NoSpacing"/>
      </w:pPr>
      <w:r w:rsidRPr="00E414C8">
        <w:rPr>
          <w:rFonts w:ascii="Arial Narrow" w:hAnsi="Arial Narrow"/>
          <w:sz w:val="18"/>
          <w:szCs w:val="18"/>
        </w:rPr>
        <w:t>b. Pre-post-test prenatal/genetic counselling is offered when a structural abnormality is detected.</w:t>
      </w:r>
    </w:p>
    <w:p w14:paraId="1F323F63" w14:textId="77777777" w:rsidR="001D42B7" w:rsidRDefault="001D42B7" w:rsidP="001D42B7">
      <w:r w:rsidRPr="00A0690F">
        <w:rPr>
          <w:noProof/>
        </w:rPr>
        <w:drawing>
          <wp:inline distT="0" distB="0" distL="0" distR="0" wp14:anchorId="132CFC39" wp14:editId="3FD4D173">
            <wp:extent cx="4143375" cy="3845374"/>
            <wp:effectExtent l="0" t="0" r="0" b="3175"/>
            <wp:docPr id="3" name="Picture 3" descr="ESC amended current algorithm" title="Proposed amendment to the current clinical management algorithm-following ESC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ocuments\MSAC projects\2019 ESC Meetings\October meeting\1533 (CA)\ESC alg Karyo no MR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9459" cy="3869582"/>
                    </a:xfrm>
                    <a:prstGeom prst="rect">
                      <a:avLst/>
                    </a:prstGeom>
                    <a:noFill/>
                    <a:ln>
                      <a:noFill/>
                    </a:ln>
                  </pic:spPr>
                </pic:pic>
              </a:graphicData>
            </a:graphic>
          </wp:inline>
        </w:drawing>
      </w:r>
    </w:p>
    <w:p w14:paraId="65B68E02" w14:textId="77777777" w:rsidR="001D42B7" w:rsidRPr="00412BC0" w:rsidRDefault="001D42B7" w:rsidP="00412BC0">
      <w:pPr>
        <w:rPr>
          <w:rFonts w:ascii="Arial Narrow" w:hAnsi="Arial Narrow"/>
          <w:b/>
          <w:sz w:val="20"/>
        </w:rPr>
      </w:pPr>
      <w:r w:rsidRPr="00412BC0">
        <w:rPr>
          <w:rFonts w:ascii="Arial Narrow" w:hAnsi="Arial Narrow"/>
          <w:b/>
          <w:sz w:val="20"/>
        </w:rPr>
        <w:t>Figure 2:</w:t>
      </w:r>
      <w:r w:rsidRPr="00412BC0">
        <w:rPr>
          <w:rFonts w:ascii="Arial Narrow" w:hAnsi="Arial Narrow"/>
          <w:b/>
          <w:sz w:val="20"/>
        </w:rPr>
        <w:tab/>
        <w:t>Proposed amendment to the current clinical management algorithm-following ESC advice</w:t>
      </w:r>
    </w:p>
    <w:p w14:paraId="2772C2C9" w14:textId="5DCA0F77" w:rsidR="001D42B7" w:rsidRPr="00643D08" w:rsidRDefault="001D42B7" w:rsidP="001D42B7">
      <w:pPr>
        <w:pStyle w:val="Tablenotes1"/>
      </w:pPr>
      <w:r w:rsidRPr="00643D08">
        <w:rPr>
          <w:i/>
        </w:rPr>
        <w:t>Note</w:t>
      </w:r>
      <w:r w:rsidR="000E6A05">
        <w:rPr>
          <w:i/>
        </w:rPr>
        <w:t>:</w:t>
      </w:r>
      <w:r w:rsidRPr="00643D08">
        <w:rPr>
          <w:i/>
        </w:rPr>
        <w:t xml:space="preserve"> requires re-working of the assessment</w:t>
      </w:r>
    </w:p>
    <w:p w14:paraId="4A24FCA5" w14:textId="77777777" w:rsidR="001D42B7" w:rsidRDefault="001D42B7" w:rsidP="001D42B7">
      <w:bookmarkStart w:id="8" w:name="_Toc315099781"/>
      <w:bookmarkStart w:id="9" w:name="_Toc428263165"/>
      <w:bookmarkStart w:id="10" w:name="_Toc17181778"/>
      <w:r w:rsidRPr="00E80CE1">
        <w:rPr>
          <w:noProof/>
        </w:rPr>
        <w:drawing>
          <wp:inline distT="0" distB="0" distL="0" distR="0" wp14:anchorId="62741233" wp14:editId="19EB1E2C">
            <wp:extent cx="5581650" cy="4014470"/>
            <wp:effectExtent l="0" t="0" r="0" b="5080"/>
            <wp:docPr id="6" name="Picture 6" descr="CA proposed algorithm" title="Figure 3: Clinical management algorithm for the proposed new test relative to current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1650" cy="4014470"/>
                    </a:xfrm>
                    <a:prstGeom prst="rect">
                      <a:avLst/>
                    </a:prstGeom>
                  </pic:spPr>
                </pic:pic>
              </a:graphicData>
            </a:graphic>
          </wp:inline>
        </w:drawing>
      </w:r>
    </w:p>
    <w:p w14:paraId="07FD3344" w14:textId="77777777" w:rsidR="001D42B7" w:rsidRPr="00412BC0" w:rsidRDefault="001D42B7" w:rsidP="00412BC0">
      <w:pPr>
        <w:rPr>
          <w:rFonts w:ascii="Arial Narrow" w:eastAsia="Calibri" w:hAnsi="Arial Narrow"/>
          <w:b/>
          <w:sz w:val="20"/>
        </w:rPr>
      </w:pPr>
      <w:bookmarkStart w:id="11" w:name="_Ref6410117"/>
      <w:bookmarkStart w:id="12" w:name="_Toc6410572"/>
      <w:r w:rsidRPr="00412BC0">
        <w:rPr>
          <w:rFonts w:ascii="Arial Narrow" w:eastAsia="Calibri" w:hAnsi="Arial Narrow"/>
          <w:b/>
          <w:sz w:val="20"/>
        </w:rPr>
        <w:t>Figure</w:t>
      </w:r>
      <w:bookmarkEnd w:id="11"/>
      <w:r w:rsidRPr="00412BC0">
        <w:rPr>
          <w:rFonts w:ascii="Arial Narrow" w:eastAsia="Calibri" w:hAnsi="Arial Narrow"/>
          <w:b/>
          <w:sz w:val="20"/>
        </w:rPr>
        <w:t xml:space="preserve"> 3:</w:t>
      </w:r>
      <w:r w:rsidRPr="00412BC0">
        <w:rPr>
          <w:rFonts w:ascii="Arial Narrow" w:eastAsia="Calibri" w:hAnsi="Arial Narrow"/>
          <w:b/>
          <w:sz w:val="20"/>
        </w:rPr>
        <w:tab/>
        <w:t>Clinical management algorithm for the proposed new test relative to current clinical practice</w:t>
      </w:r>
      <w:bookmarkEnd w:id="12"/>
    </w:p>
    <w:p w14:paraId="17A46BB5" w14:textId="77777777" w:rsidR="001D42B7" w:rsidRPr="00E414C8" w:rsidRDefault="001D42B7" w:rsidP="001D42B7">
      <w:pPr>
        <w:pStyle w:val="NoSpacing"/>
        <w:rPr>
          <w:rFonts w:ascii="Arial Narrow" w:hAnsi="Arial Narrow"/>
          <w:sz w:val="18"/>
          <w:szCs w:val="18"/>
        </w:rPr>
      </w:pPr>
      <w:r w:rsidRPr="00E414C8">
        <w:rPr>
          <w:rFonts w:ascii="Arial Narrow" w:hAnsi="Arial Narrow"/>
          <w:sz w:val="18"/>
          <w:szCs w:val="18"/>
        </w:rPr>
        <w:t xml:space="preserve">Notes: a. Ultrasound screening is predominantly performed in the first trimester as part of combined first trimester screening (CFTS). Combined first trimester screening (CFTS) is performed at 11+0 to 13+6 weeks by incorporating maternal age, ultrasound measurement of the fetal nuchal translucency, and maternal serum markers levels to generate an overall figure for the likelihood of trisomy disorders. </w:t>
      </w:r>
      <w:r w:rsidRPr="00E414C8">
        <w:rPr>
          <w:rFonts w:ascii="Arial Narrow" w:hAnsi="Arial Narrow"/>
          <w:sz w:val="18"/>
          <w:szCs w:val="18"/>
        </w:rPr>
        <w:fldChar w:fldCharType="begin"/>
      </w:r>
      <w:r w:rsidRPr="00E414C8">
        <w:rPr>
          <w:rFonts w:ascii="Arial Narrow" w:hAnsi="Arial Narrow"/>
          <w:sz w:val="18"/>
          <w:szCs w:val="18"/>
        </w:rPr>
        <w:instrText xml:space="preserve"> ADDIN EN.CITE &lt;EndNote&gt;&lt;Cite&gt;&lt;Author&gt;Australasia&lt;/Author&gt;&lt;Year&gt;2016&lt;/Year&gt;&lt;RecNum&gt;29&lt;/RecNum&gt;&lt;DisplayText&gt;&lt;style face="superscript"&gt;33 &lt;/style&gt;&lt;/DisplayText&gt;&lt;record&gt;&lt;rec-number&gt;29&lt;/rec-number&gt;&lt;foreign-keys&gt;&lt;key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Cite&gt;&lt;Author&gt;Australasia&lt;/Author&gt;&lt;Year&gt;2016&lt;/Year&gt;&lt;RecNum&gt;29&lt;/RecNum&gt;&lt;record&gt;&lt;rec-number&gt;29&lt;/rec-number&gt;&lt;foreign-keys&gt;&lt;key app="EN" db-id="etetv2xvcdvsviev2ppxs9v2v9wadxdpa59d" timestamp="1527229234"&gt;29&lt;/key&gt;&lt;/foreign-keys&gt;&lt;ref-type name="Electronic Article"&gt;43&lt;/ref-type&gt;&lt;contributors&gt;&lt;authors&gt;&lt;author&gt;The Royal Australian and New Zealand College of Obstetricians and Gynaecologists and Human Genetic Society of Australasia&lt;/author&gt;&lt;/authors&gt;&lt;/contributors&gt;&lt;titles&gt;&lt;title&gt;Prenatal screening and diagnosis of chromosomal and genetic conditions in the fetus in pregnancy &lt;/title&gt;&lt;/titles&gt;&lt;dates&gt;&lt;year&gt;2016&lt;/year&gt;&lt;/dates&gt;&lt;urls&gt;&lt;related-urls&gt;&lt;url&gt;https://www.ranzcog.edu.au/RANZCOG_SITE/media/RANZCOG-MEDIA/Women%27s%20Health/Statement%20and%20guidelines/Clinical-Obstetrics/Prenatal-screening-and-diagnosis-of-chromosomal-and-genetic-conditions-(C-Obs-59)-Amended-May-2016_1.pdf?ext=.pdf&lt;/url&gt;&lt;/related-urls&gt;&lt;/urls&gt;&lt;/record&gt;&lt;/Cite&gt;&lt;/EndNote&gt;</w:instrText>
      </w:r>
      <w:r w:rsidRPr="00E414C8">
        <w:rPr>
          <w:rFonts w:ascii="Arial Narrow" w:hAnsi="Arial Narrow"/>
          <w:sz w:val="18"/>
          <w:szCs w:val="18"/>
        </w:rPr>
        <w:fldChar w:fldCharType="separate"/>
      </w:r>
      <w:hyperlink w:anchor="_ENREF_33" w:tooltip="Australasia, 2016 #29" w:history="1">
        <w:r w:rsidRPr="00E414C8">
          <w:rPr>
            <w:rFonts w:ascii="Arial Narrow" w:hAnsi="Arial Narrow"/>
            <w:noProof/>
            <w:sz w:val="18"/>
            <w:szCs w:val="18"/>
            <w:vertAlign w:val="superscript"/>
          </w:rPr>
          <w:t>33</w:t>
        </w:r>
      </w:hyperlink>
      <w:r w:rsidRPr="00E414C8">
        <w:rPr>
          <w:rFonts w:ascii="Arial Narrow" w:hAnsi="Arial Narrow"/>
          <w:noProof/>
          <w:sz w:val="18"/>
          <w:szCs w:val="18"/>
          <w:vertAlign w:val="superscript"/>
        </w:rPr>
        <w:t xml:space="preserve"> </w:t>
      </w:r>
      <w:r w:rsidRPr="00E414C8">
        <w:rPr>
          <w:rFonts w:ascii="Arial Narrow" w:hAnsi="Arial Narrow"/>
          <w:sz w:val="18"/>
          <w:szCs w:val="18"/>
        </w:rPr>
        <w:fldChar w:fldCharType="end"/>
      </w:r>
      <w:r w:rsidRPr="00E414C8">
        <w:rPr>
          <w:rFonts w:ascii="Arial Narrow" w:hAnsi="Arial Narrow"/>
          <w:sz w:val="18"/>
          <w:szCs w:val="18"/>
        </w:rPr>
        <w:t>2</w:t>
      </w:r>
      <w:r w:rsidRPr="00E414C8">
        <w:rPr>
          <w:rFonts w:ascii="Arial Narrow" w:hAnsi="Arial Narrow"/>
          <w:sz w:val="18"/>
          <w:szCs w:val="18"/>
          <w:vertAlign w:val="superscript"/>
        </w:rPr>
        <w:t>nd</w:t>
      </w:r>
      <w:r w:rsidRPr="00E414C8">
        <w:rPr>
          <w:rFonts w:ascii="Arial Narrow" w:hAnsi="Arial Narrow"/>
          <w:sz w:val="18"/>
          <w:szCs w:val="18"/>
        </w:rPr>
        <w:t xml:space="preserve"> and 3</w:t>
      </w:r>
      <w:r w:rsidRPr="00E414C8">
        <w:rPr>
          <w:rFonts w:ascii="Arial Narrow" w:hAnsi="Arial Narrow"/>
          <w:sz w:val="18"/>
          <w:szCs w:val="18"/>
          <w:vertAlign w:val="superscript"/>
        </w:rPr>
        <w:t>rd</w:t>
      </w:r>
      <w:r w:rsidRPr="00E414C8">
        <w:rPr>
          <w:rFonts w:ascii="Arial Narrow" w:hAnsi="Arial Narrow"/>
          <w:sz w:val="18"/>
          <w:szCs w:val="18"/>
        </w:rPr>
        <w:t xml:space="preserve"> trimester ultrasound is also recommended.</w:t>
      </w:r>
    </w:p>
    <w:p w14:paraId="2A4C8F3A" w14:textId="317954B9" w:rsidR="001D42B7" w:rsidRDefault="001D42B7" w:rsidP="001D42B7">
      <w:pPr>
        <w:pStyle w:val="NoSpacing"/>
        <w:rPr>
          <w:rFonts w:ascii="Arial Narrow" w:hAnsi="Arial Narrow"/>
          <w:sz w:val="18"/>
          <w:szCs w:val="18"/>
        </w:rPr>
      </w:pPr>
      <w:r w:rsidRPr="00E414C8">
        <w:rPr>
          <w:rFonts w:ascii="Arial Narrow" w:hAnsi="Arial Narrow"/>
          <w:sz w:val="18"/>
          <w:szCs w:val="18"/>
        </w:rPr>
        <w:t>b. Pre-post-test prenatal/genetic counselling is offered when a structural abnormality is detected.</w:t>
      </w:r>
      <w:bookmarkEnd w:id="8"/>
      <w:bookmarkEnd w:id="9"/>
      <w:bookmarkEnd w:id="10"/>
    </w:p>
    <w:p w14:paraId="561F74EB" w14:textId="77777777" w:rsidR="001D42B7" w:rsidRDefault="001D42B7" w:rsidP="001D42B7">
      <w:pPr>
        <w:pStyle w:val="NoSpacing"/>
        <w:rPr>
          <w:rFonts w:ascii="Arial Narrow" w:hAnsi="Arial Narrow"/>
          <w:sz w:val="18"/>
          <w:szCs w:val="18"/>
        </w:rPr>
      </w:pPr>
      <w:r w:rsidRPr="00A0690F">
        <w:rPr>
          <w:rFonts w:ascii="Arial Narrow" w:hAnsi="Arial Narrow"/>
          <w:noProof/>
          <w:sz w:val="18"/>
          <w:szCs w:val="18"/>
          <w:lang w:eastAsia="en-AU"/>
        </w:rPr>
        <w:drawing>
          <wp:inline distT="0" distB="0" distL="0" distR="0" wp14:anchorId="6BF14A2F" wp14:editId="496DD313">
            <wp:extent cx="4114685" cy="3657600"/>
            <wp:effectExtent l="0" t="0" r="635" b="0"/>
            <wp:docPr id="5" name="Picture 5" descr="ESC amended proposed algorithm" title="Figure 4: Proposed amendment to the proposed clinical management algorithm- following ESC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MSAC projects\2019 ESC Meetings\October meeting\1533 (CA)\ESC agl GWMA no MR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6774" cy="3677235"/>
                    </a:xfrm>
                    <a:prstGeom prst="rect">
                      <a:avLst/>
                    </a:prstGeom>
                    <a:noFill/>
                    <a:ln>
                      <a:noFill/>
                    </a:ln>
                  </pic:spPr>
                </pic:pic>
              </a:graphicData>
            </a:graphic>
          </wp:inline>
        </w:drawing>
      </w:r>
    </w:p>
    <w:p w14:paraId="0FD534D7" w14:textId="77777777" w:rsidR="001D42B7" w:rsidRPr="00412BC0" w:rsidRDefault="001D42B7" w:rsidP="00412BC0">
      <w:pPr>
        <w:rPr>
          <w:rFonts w:ascii="Arial Narrow" w:hAnsi="Arial Narrow"/>
          <w:b/>
          <w:sz w:val="20"/>
        </w:rPr>
      </w:pPr>
      <w:r w:rsidRPr="00412BC0">
        <w:rPr>
          <w:rFonts w:ascii="Arial Narrow" w:hAnsi="Arial Narrow"/>
          <w:b/>
          <w:sz w:val="20"/>
        </w:rPr>
        <w:t>Figure 4:</w:t>
      </w:r>
      <w:r w:rsidRPr="00412BC0">
        <w:rPr>
          <w:rFonts w:ascii="Arial Narrow" w:hAnsi="Arial Narrow"/>
          <w:b/>
          <w:sz w:val="20"/>
        </w:rPr>
        <w:tab/>
        <w:t>Proposed amendment to the proposed clinical management algorithm- following ESC advice</w:t>
      </w:r>
    </w:p>
    <w:p w14:paraId="0158CAF1" w14:textId="33524F0A" w:rsidR="001D42B7" w:rsidRPr="00B02E35" w:rsidRDefault="001D42B7" w:rsidP="001D42B7">
      <w:pPr>
        <w:pStyle w:val="Tablenotes"/>
      </w:pPr>
      <w:r w:rsidRPr="00643D08">
        <w:t>Note</w:t>
      </w:r>
      <w:r w:rsidR="000E6A05">
        <w:t>:</w:t>
      </w:r>
      <w:r w:rsidRPr="00643D08">
        <w:t xml:space="preserve"> requires re-working of the assessment</w:t>
      </w:r>
    </w:p>
    <w:p w14:paraId="466E20D2" w14:textId="6487F444" w:rsidR="005028BF" w:rsidRPr="00F715D1" w:rsidRDefault="000E6A05" w:rsidP="005028BF">
      <w:pPr>
        <w:pStyle w:val="Heading1"/>
      </w:pPr>
      <w:r>
        <w:t>Comparator</w:t>
      </w:r>
    </w:p>
    <w:p w14:paraId="06695068" w14:textId="23EB8D2E" w:rsidR="005C4D5A" w:rsidRPr="008772BC" w:rsidRDefault="005C4D5A" w:rsidP="008772BC">
      <w:pPr>
        <w:spacing w:after="240"/>
      </w:pPr>
      <w:r w:rsidRPr="00FD3FE4">
        <w:t>Conventional cytogen</w:t>
      </w:r>
      <w:r w:rsidR="00D81E7B">
        <w:t>et</w:t>
      </w:r>
      <w:r w:rsidRPr="00FD3FE4">
        <w:t xml:space="preserve">ic </w:t>
      </w:r>
      <w:r>
        <w:t xml:space="preserve">karyotype testing (or karyotyping) </w:t>
      </w:r>
      <w:r w:rsidRPr="00FD3FE4">
        <w:t xml:space="preserve">is the comparator used in current practice, it is currently MBS listed and </w:t>
      </w:r>
      <w:r>
        <w:t xml:space="preserve">it would be replaced by </w:t>
      </w:r>
      <w:r w:rsidR="000E6A05">
        <w:t>GWMA</w:t>
      </w:r>
      <w:r w:rsidR="00D81E7B">
        <w:t xml:space="preserve"> in this </w:t>
      </w:r>
      <w:r w:rsidR="00AF4D91">
        <w:t>context</w:t>
      </w:r>
      <w:r>
        <w:t>.</w:t>
      </w:r>
    </w:p>
    <w:p w14:paraId="113E5DAE" w14:textId="785391B0" w:rsidR="005C4D5A" w:rsidRDefault="005C4D5A" w:rsidP="0004523B">
      <w:pPr>
        <w:tabs>
          <w:tab w:val="left" w:pos="720"/>
          <w:tab w:val="left" w:pos="1140"/>
        </w:tabs>
        <w:spacing w:after="240"/>
        <w:rPr>
          <w:szCs w:val="24"/>
        </w:rPr>
      </w:pPr>
      <w:r>
        <w:rPr>
          <w:szCs w:val="24"/>
        </w:rPr>
        <w:t xml:space="preserve">The Critique stated that </w:t>
      </w:r>
      <w:r>
        <w:t>GWMA</w:t>
      </w:r>
      <w:r w:rsidRPr="00990EE1">
        <w:rPr>
          <w:szCs w:val="24"/>
        </w:rPr>
        <w:t xml:space="preserve"> and karyotype testing detect some similar and some different genotypes, therefore it is probable that these two diagnostics are complementary. Karyotyping has been the gold standard in detecting changes in the number of chromosomes consistent with trisom</w:t>
      </w:r>
      <w:r>
        <w:rPr>
          <w:szCs w:val="24"/>
        </w:rPr>
        <w:t>ie</w:t>
      </w:r>
      <w:r w:rsidRPr="00990EE1">
        <w:rPr>
          <w:szCs w:val="24"/>
        </w:rPr>
        <w:t xml:space="preserve">s such as 21 (Down syndrome), 18 (Edward syndrome) and 13 (Patau syndrome), and Turner syndrome. </w:t>
      </w:r>
      <w:r>
        <w:t>GWMA</w:t>
      </w:r>
      <w:r w:rsidRPr="00990EE1">
        <w:rPr>
          <w:szCs w:val="24"/>
        </w:rPr>
        <w:t xml:space="preserve"> </w:t>
      </w:r>
      <w:r w:rsidR="00D81E7B">
        <w:rPr>
          <w:szCs w:val="24"/>
        </w:rPr>
        <w:t xml:space="preserve">also </w:t>
      </w:r>
      <w:r w:rsidRPr="00990EE1">
        <w:rPr>
          <w:szCs w:val="24"/>
        </w:rPr>
        <w:t xml:space="preserve">detects changes in the structure of chromosomes such as deletions and duplications, in addition to the number of chromosomes. </w:t>
      </w:r>
      <w:r>
        <w:t>GWMA</w:t>
      </w:r>
      <w:r w:rsidRPr="00990EE1">
        <w:rPr>
          <w:szCs w:val="24"/>
        </w:rPr>
        <w:t xml:space="preserve"> detects a wider range of </w:t>
      </w:r>
      <w:r>
        <w:rPr>
          <w:szCs w:val="24"/>
        </w:rPr>
        <w:t xml:space="preserve">variants and </w:t>
      </w:r>
      <w:r w:rsidRPr="00990EE1">
        <w:rPr>
          <w:szCs w:val="24"/>
        </w:rPr>
        <w:t xml:space="preserve">is </w:t>
      </w:r>
      <w:r>
        <w:rPr>
          <w:szCs w:val="24"/>
        </w:rPr>
        <w:t xml:space="preserve">thus </w:t>
      </w:r>
      <w:r w:rsidRPr="00990EE1">
        <w:rPr>
          <w:szCs w:val="24"/>
        </w:rPr>
        <w:t xml:space="preserve">able to detect a “higher yield” of chromosomal variations than karyotyping; however, a proportion of these have unknown clinical significance. </w:t>
      </w:r>
      <w:r>
        <w:t>GWMA</w:t>
      </w:r>
      <w:r w:rsidRPr="00990EE1">
        <w:rPr>
          <w:szCs w:val="24"/>
        </w:rPr>
        <w:t xml:space="preserve"> is unable to detect conditions such as single base pair variations, triplet repeat disorders, some mosaicism and balanced chromosomal rearrangements.</w:t>
      </w:r>
    </w:p>
    <w:p w14:paraId="599CD3CD" w14:textId="4FB41A00" w:rsidR="00F7352D" w:rsidRDefault="0004523B" w:rsidP="00F7352D">
      <w:pPr>
        <w:tabs>
          <w:tab w:val="left" w:pos="720"/>
          <w:tab w:val="left" w:pos="1140"/>
        </w:tabs>
        <w:rPr>
          <w:szCs w:val="24"/>
        </w:rPr>
      </w:pPr>
      <w:r>
        <w:rPr>
          <w:szCs w:val="24"/>
        </w:rPr>
        <w:t xml:space="preserve">In its pre-MSAC response, the applicant stated that sequential testing is not standard clinical practice and would only occur in the extremely rare circumstance when a karyotype might </w:t>
      </w:r>
      <w:r w:rsidRPr="006A295A">
        <w:rPr>
          <w:szCs w:val="24"/>
        </w:rPr>
        <w:t>determine the structure of an imbalance detected by microarray.</w:t>
      </w:r>
      <w:r>
        <w:rPr>
          <w:szCs w:val="24"/>
        </w:rPr>
        <w:t xml:space="preserve"> In effect GWMA would replace karyotyping.</w:t>
      </w:r>
    </w:p>
    <w:p w14:paraId="209CA305" w14:textId="25F37272" w:rsidR="005028BF" w:rsidRPr="00F715D1" w:rsidRDefault="005028BF" w:rsidP="005028BF">
      <w:pPr>
        <w:pStyle w:val="Heading1"/>
      </w:pPr>
      <w:r w:rsidRPr="00F715D1">
        <w:t>Comparative safety</w:t>
      </w:r>
    </w:p>
    <w:p w14:paraId="4E1D05DA" w14:textId="2F730BDC" w:rsidR="005C4D5A" w:rsidRDefault="005C4D5A" w:rsidP="008772BC">
      <w:pPr>
        <w:spacing w:after="240"/>
        <w:jc w:val="both"/>
      </w:pPr>
      <w:r w:rsidRPr="00E80CE1">
        <w:t>No direct evidence was identified and a linked evidence approach was undertaken.</w:t>
      </w:r>
    </w:p>
    <w:p w14:paraId="3A0E7A96" w14:textId="2BB5BD78" w:rsidR="005C4D5A" w:rsidRDefault="005C4D5A" w:rsidP="008772BC">
      <w:pPr>
        <w:spacing w:after="240"/>
      </w:pPr>
      <w:r w:rsidRPr="00E80CE1">
        <w:t>Sixteen empirical studies were included in the evidence b</w:t>
      </w:r>
      <w:r>
        <w:t>ase. Studies were prospective (k</w:t>
      </w:r>
      <w:r w:rsidRPr="00E80CE1">
        <w:t>=10</w:t>
      </w:r>
      <w:r>
        <w:t>; n=1,942</w:t>
      </w:r>
      <w:r w:rsidRPr="00E80CE1">
        <w:t>) and</w:t>
      </w:r>
      <w:r>
        <w:t xml:space="preserve"> retrospective cohort studies (k</w:t>
      </w:r>
      <w:r w:rsidRPr="00E80CE1">
        <w:t>=5</w:t>
      </w:r>
      <w:r>
        <w:t>; n=519) and cross-sectional studies (k</w:t>
      </w:r>
      <w:r w:rsidRPr="00E80CE1">
        <w:t>=1</w:t>
      </w:r>
      <w:r>
        <w:t>; n=89</w:t>
      </w:r>
      <w:r w:rsidRPr="00E80CE1">
        <w:t>)</w:t>
      </w:r>
      <w:r>
        <w:t>. T</w:t>
      </w:r>
      <w:r w:rsidRPr="00E80CE1">
        <w:t>here were no randomised controlled trials</w:t>
      </w:r>
      <w:r>
        <w:t>. Overall, t</w:t>
      </w:r>
      <w:r w:rsidRPr="00E80CE1">
        <w:t xml:space="preserve">he quality of the evidence for the </w:t>
      </w:r>
      <w:r>
        <w:t>included studies was very low.</w:t>
      </w:r>
      <w:r w:rsidRPr="00E80CE1">
        <w:t xml:space="preserve"> Key issues that reduced the quality of the evidence base, apart from the risk of bias, were the inconsistency of the evidence (of the 10 studies that presented sufficient data to generate 2x2 tables, eight favoured microarray and two favoured karyotyping) and the indirectness of the evidence (seven studies used additional tests such as </w:t>
      </w:r>
      <w:r>
        <w:t xml:space="preserve">fluorescent </w:t>
      </w:r>
      <w:r w:rsidRPr="00C82EDA">
        <w:rPr>
          <w:i/>
          <w:iCs/>
        </w:rPr>
        <w:t>in-situ</w:t>
      </w:r>
      <w:r>
        <w:t xml:space="preserve"> hybridisation [</w:t>
      </w:r>
      <w:r w:rsidRPr="00E80CE1">
        <w:t>FISH</w:t>
      </w:r>
      <w:r>
        <w:t>]</w:t>
      </w:r>
      <w:r w:rsidRPr="00E80CE1">
        <w:t xml:space="preserve"> to confirm or as an alternative to microarray or karyotyping results while the remaining nine </w:t>
      </w:r>
      <w:r>
        <w:t xml:space="preserve">did not use additional tests). </w:t>
      </w:r>
      <w:r w:rsidRPr="00E80CE1">
        <w:t>Where additional tests were implemented, the results of the secondary assays were not necessarily reported.</w:t>
      </w:r>
    </w:p>
    <w:p w14:paraId="5881A8CD" w14:textId="77777777" w:rsidR="005C4D5A" w:rsidRPr="003D1C05" w:rsidRDefault="005C4D5A" w:rsidP="005C4D5A">
      <w:r w:rsidRPr="003D1C05">
        <w:t xml:space="preserve">It </w:t>
      </w:r>
      <w:r>
        <w:t>wa</w:t>
      </w:r>
      <w:r w:rsidRPr="003D1C05">
        <w:t xml:space="preserve">s proposed that no additional safety issues arise relating to </w:t>
      </w:r>
      <w:r>
        <w:t>GWMA</w:t>
      </w:r>
      <w:r w:rsidRPr="003D1C05">
        <w:t xml:space="preserve"> when compared to conventional karyotyping. Safety issues relate to spontaneous abortion due to amniocenteses or </w:t>
      </w:r>
      <w:r>
        <w:t>chronic villus sampling (</w:t>
      </w:r>
      <w:r w:rsidRPr="003D1C05">
        <w:t>CVS</w:t>
      </w:r>
      <w:r>
        <w:t>)</w:t>
      </w:r>
      <w:r w:rsidRPr="003D1C05">
        <w:t xml:space="preserve">, and maternal anxiety due to </w:t>
      </w:r>
      <w:r>
        <w:t xml:space="preserve">the reporting of </w:t>
      </w:r>
      <w:r w:rsidRPr="003D1C05">
        <w:t>variations of unknown significance (VUS)</w:t>
      </w:r>
      <w:r>
        <w:t xml:space="preserve"> – the proportion of tests with VUS may vary according to test methodology</w:t>
      </w:r>
      <w:r w:rsidRPr="003D1C05">
        <w:t xml:space="preserve">. As both </w:t>
      </w:r>
      <w:r>
        <w:t>GWMA</w:t>
      </w:r>
      <w:r w:rsidRPr="003D1C05">
        <w:t xml:space="preserve"> and conventional </w:t>
      </w:r>
      <w:r>
        <w:t>k</w:t>
      </w:r>
      <w:r w:rsidRPr="003D1C05">
        <w:t xml:space="preserve">aryotype testing are preceded by amniocentesis or CVS, safety issues </w:t>
      </w:r>
      <w:r>
        <w:t xml:space="preserve">from obtaining the sample for testing </w:t>
      </w:r>
      <w:r w:rsidRPr="003D1C05">
        <w:t>are the same.</w:t>
      </w:r>
    </w:p>
    <w:p w14:paraId="0135B84A" w14:textId="77777777" w:rsidR="005028BF" w:rsidRPr="00F715D1" w:rsidRDefault="005028BF" w:rsidP="005028BF">
      <w:pPr>
        <w:pStyle w:val="Heading1"/>
      </w:pPr>
      <w:r w:rsidRPr="00F715D1">
        <w:t>Comparative effectiveness</w:t>
      </w:r>
    </w:p>
    <w:p w14:paraId="04EB8D02" w14:textId="77777777" w:rsidR="005C4D5A" w:rsidRDefault="005C4D5A" w:rsidP="005C4D5A">
      <w:pPr>
        <w:pStyle w:val="Heading2"/>
      </w:pPr>
      <w:r>
        <w:t>Accuracy</w:t>
      </w:r>
    </w:p>
    <w:p w14:paraId="5B8D39F4" w14:textId="77777777" w:rsidR="005C4D5A" w:rsidRDefault="005C4D5A" w:rsidP="005C4D5A">
      <w:pPr>
        <w:pStyle w:val="Heading3"/>
      </w:pPr>
      <w:r>
        <w:t>Analytical validity</w:t>
      </w:r>
    </w:p>
    <w:p w14:paraId="7D370BC9" w14:textId="2CA6B109" w:rsidR="005C4D5A" w:rsidRDefault="005C4D5A" w:rsidP="008772BC">
      <w:pPr>
        <w:spacing w:after="240"/>
      </w:pPr>
      <w:r w:rsidRPr="00E80CE1">
        <w:t>The</w:t>
      </w:r>
      <w:r>
        <w:t xml:space="preserve"> CA stated that the</w:t>
      </w:r>
      <w:r w:rsidRPr="00E80CE1">
        <w:t xml:space="preserve"> reference standard for analytical validity is conventional karyotyping. </w:t>
      </w:r>
      <w:r>
        <w:t>The Critique considered that i</w:t>
      </w:r>
      <w:r w:rsidRPr="00E80CE1">
        <w:t xml:space="preserve">t </w:t>
      </w:r>
      <w:r>
        <w:t>wa</w:t>
      </w:r>
      <w:r w:rsidRPr="00E80CE1">
        <w:t xml:space="preserve">s not appropriate to present sensitivity and specificity for the studies, either individually or pooled, as the reference standard conventional karyotyping is an imperfect reference standard. Thus, it cannot be confidently stated that the abnormal cases identified by </w:t>
      </w:r>
      <w:r>
        <w:t>GWMA</w:t>
      </w:r>
      <w:r w:rsidRPr="00E80CE1">
        <w:t xml:space="preserve"> but not conventional karyotyping are ‘false positives’.</w:t>
      </w:r>
    </w:p>
    <w:p w14:paraId="07EFAB0C" w14:textId="7C3F8719" w:rsidR="005C4D5A" w:rsidRDefault="005C4D5A" w:rsidP="008772BC">
      <w:pPr>
        <w:spacing w:after="240"/>
      </w:pPr>
      <w:r>
        <w:t>The Critique identified a systematic review by Saldarriaga et al. 2015 (identified, considered but excluded in the CA) that conducted a</w:t>
      </w:r>
      <w:r w:rsidRPr="004C246D">
        <w:t xml:space="preserve"> meta-analysis</w:t>
      </w:r>
      <w:r>
        <w:t xml:space="preserve"> of sensitivity and specificity based on studies that compared tests results of the individual tests with the combined test as reference standard (Table 4). Overall the systematic review was of high quality with a medium risk of bias due to heterogeneity in the included studies.</w:t>
      </w:r>
    </w:p>
    <w:p w14:paraId="1081A5F5" w14:textId="77777777" w:rsidR="005C4D5A" w:rsidRPr="00412BC0" w:rsidRDefault="005C4D5A" w:rsidP="00412BC0">
      <w:pPr>
        <w:rPr>
          <w:rFonts w:ascii="Arial Narrow" w:hAnsi="Arial Narrow"/>
          <w:b/>
          <w:sz w:val="20"/>
        </w:rPr>
      </w:pPr>
      <w:bookmarkStart w:id="13" w:name="_Ref14354979"/>
      <w:bookmarkStart w:id="14" w:name="_Toc17180932"/>
      <w:r w:rsidRPr="00412BC0">
        <w:rPr>
          <w:rFonts w:ascii="Arial Narrow" w:hAnsi="Arial Narrow"/>
          <w:b/>
          <w:sz w:val="20"/>
        </w:rPr>
        <w:t xml:space="preserve">Table </w:t>
      </w:r>
      <w:bookmarkEnd w:id="13"/>
      <w:r w:rsidRPr="00412BC0">
        <w:rPr>
          <w:rFonts w:ascii="Arial Narrow" w:hAnsi="Arial Narrow"/>
          <w:b/>
          <w:sz w:val="20"/>
        </w:rPr>
        <w:t>4:</w:t>
      </w:r>
      <w:r w:rsidRPr="00412BC0">
        <w:rPr>
          <w:rFonts w:ascii="Arial Narrow" w:hAnsi="Arial Narrow"/>
          <w:b/>
          <w:sz w:val="20"/>
        </w:rPr>
        <w:tab/>
        <w:t>Results of key accuracy trials comparing whole genome-wide microarray and conventional karyotype testing against whole genome-wide microarray plus conventional karyotype</w:t>
      </w:r>
      <w:bookmarkEnd w:id="14"/>
      <w:r w:rsidRPr="00412BC0">
        <w:rPr>
          <w:rFonts w:ascii="Arial Narrow" w:hAnsi="Arial Narrow"/>
          <w:b/>
          <w:sz w:val="20"/>
        </w:rPr>
        <w:t xml:space="preserve"> testing</w:t>
      </w:r>
    </w:p>
    <w:tbl>
      <w:tblPr>
        <w:tblStyle w:val="TableGrid"/>
        <w:tblW w:w="5000" w:type="pct"/>
        <w:tblLook w:val="01E0" w:firstRow="1" w:lastRow="1" w:firstColumn="1" w:lastColumn="1" w:noHBand="0" w:noVBand="0"/>
        <w:tblDescription w:val="Results of key accuracy trials comparing whole genome-wide microarray and conventional karyotype testing against whole genome-wide microarray plus conventional karyotype testing"/>
      </w:tblPr>
      <w:tblGrid>
        <w:gridCol w:w="1818"/>
        <w:gridCol w:w="1568"/>
        <w:gridCol w:w="2760"/>
        <w:gridCol w:w="2870"/>
      </w:tblGrid>
      <w:tr w:rsidR="005C4D5A" w:rsidRPr="00E414C8" w14:paraId="40676AA8" w14:textId="77777777" w:rsidTr="00412BC0">
        <w:trPr>
          <w:trHeight w:val="548"/>
          <w:tblHeader/>
        </w:trPr>
        <w:tc>
          <w:tcPr>
            <w:tcW w:w="1047" w:type="pct"/>
          </w:tcPr>
          <w:p w14:paraId="58C85D20" w14:textId="77777777" w:rsidR="005C4D5A" w:rsidRPr="00E414C8" w:rsidRDefault="005C4D5A" w:rsidP="00D106F8">
            <w:pPr>
              <w:pStyle w:val="TableParagraph"/>
              <w:ind w:left="26"/>
              <w:rPr>
                <w:b/>
                <w:sz w:val="20"/>
              </w:rPr>
            </w:pPr>
            <w:r w:rsidRPr="00E414C8">
              <w:rPr>
                <w:b/>
                <w:sz w:val="20"/>
              </w:rPr>
              <w:t>Method of GWMA pathology</w:t>
            </w:r>
          </w:p>
        </w:tc>
        <w:tc>
          <w:tcPr>
            <w:tcW w:w="754" w:type="pct"/>
          </w:tcPr>
          <w:p w14:paraId="19A98C83" w14:textId="513E4AEB" w:rsidR="005C4D5A" w:rsidRPr="00E414C8" w:rsidRDefault="00E6443F" w:rsidP="00D106F8">
            <w:pPr>
              <w:pStyle w:val="TableParagraph"/>
              <w:ind w:left="45"/>
              <w:rPr>
                <w:b/>
                <w:sz w:val="20"/>
              </w:rPr>
            </w:pPr>
            <w:r>
              <w:rPr>
                <w:b/>
                <w:sz w:val="20"/>
              </w:rPr>
              <w:t>Result</w:t>
            </w:r>
          </w:p>
        </w:tc>
        <w:tc>
          <w:tcPr>
            <w:tcW w:w="1569" w:type="pct"/>
          </w:tcPr>
          <w:p w14:paraId="1880490C" w14:textId="77777777" w:rsidR="005C4D5A" w:rsidRPr="00E414C8" w:rsidRDefault="005C4D5A" w:rsidP="00D106F8">
            <w:pPr>
              <w:pStyle w:val="TableParagraph"/>
              <w:spacing w:before="38" w:line="242" w:lineRule="auto"/>
              <w:ind w:left="6"/>
              <w:jc w:val="center"/>
              <w:rPr>
                <w:b/>
                <w:sz w:val="20"/>
              </w:rPr>
            </w:pPr>
            <w:r w:rsidRPr="00E414C8">
              <w:rPr>
                <w:b/>
                <w:sz w:val="20"/>
              </w:rPr>
              <w:t>Genome-wide microarray</w:t>
            </w:r>
          </w:p>
          <w:p w14:paraId="0C7F0178" w14:textId="77777777" w:rsidR="005C4D5A" w:rsidRPr="00E414C8" w:rsidRDefault="005C4D5A" w:rsidP="00D106F8">
            <w:pPr>
              <w:pStyle w:val="TableParagraph"/>
              <w:spacing w:before="38"/>
              <w:ind w:left="6"/>
              <w:jc w:val="center"/>
              <w:rPr>
                <w:b/>
                <w:sz w:val="20"/>
              </w:rPr>
            </w:pPr>
            <w:r w:rsidRPr="00E414C8">
              <w:rPr>
                <w:b/>
                <w:sz w:val="20"/>
              </w:rPr>
              <w:t>[95%CI] (heterogeneity)</w:t>
            </w:r>
          </w:p>
        </w:tc>
        <w:tc>
          <w:tcPr>
            <w:tcW w:w="1630" w:type="pct"/>
          </w:tcPr>
          <w:p w14:paraId="7F67FD3B" w14:textId="77777777" w:rsidR="005C4D5A" w:rsidRPr="00E414C8" w:rsidRDefault="005C4D5A" w:rsidP="00D106F8">
            <w:pPr>
              <w:pStyle w:val="TableParagraph"/>
              <w:spacing w:before="38" w:line="242" w:lineRule="auto"/>
              <w:ind w:left="21"/>
              <w:jc w:val="center"/>
              <w:rPr>
                <w:b/>
                <w:sz w:val="20"/>
              </w:rPr>
            </w:pPr>
            <w:r w:rsidRPr="00E414C8">
              <w:rPr>
                <w:b/>
                <w:sz w:val="20"/>
              </w:rPr>
              <w:t>Conventional karyotype testing</w:t>
            </w:r>
          </w:p>
          <w:p w14:paraId="536AB9D1" w14:textId="77777777" w:rsidR="005C4D5A" w:rsidRPr="00E414C8" w:rsidRDefault="005C4D5A" w:rsidP="00D106F8">
            <w:pPr>
              <w:pStyle w:val="TableParagraph"/>
              <w:spacing w:before="38"/>
              <w:ind w:left="21"/>
              <w:jc w:val="center"/>
              <w:rPr>
                <w:b/>
                <w:sz w:val="20"/>
              </w:rPr>
            </w:pPr>
            <w:r w:rsidRPr="00E414C8">
              <w:rPr>
                <w:b/>
                <w:sz w:val="20"/>
              </w:rPr>
              <w:t>[95%CI] (heterogeneity)</w:t>
            </w:r>
          </w:p>
        </w:tc>
      </w:tr>
      <w:tr w:rsidR="005C4D5A" w:rsidRPr="00E414C8" w14:paraId="4612FA1C" w14:textId="77777777" w:rsidTr="00412BC0">
        <w:trPr>
          <w:trHeight w:val="267"/>
        </w:trPr>
        <w:tc>
          <w:tcPr>
            <w:tcW w:w="1047" w:type="pct"/>
          </w:tcPr>
          <w:p w14:paraId="5A737FCD" w14:textId="77777777" w:rsidR="005C4D5A" w:rsidRPr="00E414C8" w:rsidRDefault="005C4D5A" w:rsidP="00D106F8">
            <w:pPr>
              <w:pStyle w:val="TableParagraph"/>
              <w:spacing w:before="0"/>
              <w:ind w:left="26"/>
              <w:rPr>
                <w:sz w:val="13"/>
              </w:rPr>
            </w:pPr>
            <w:r w:rsidRPr="00E414C8">
              <w:rPr>
                <w:sz w:val="20"/>
              </w:rPr>
              <w:t>including VUS</w:t>
            </w:r>
          </w:p>
        </w:tc>
        <w:tc>
          <w:tcPr>
            <w:tcW w:w="754" w:type="pct"/>
          </w:tcPr>
          <w:p w14:paraId="1BFAD456" w14:textId="77777777" w:rsidR="005C4D5A" w:rsidRPr="00E414C8" w:rsidRDefault="005C4D5A" w:rsidP="00D106F8">
            <w:pPr>
              <w:pStyle w:val="TableParagraph"/>
              <w:ind w:right="613"/>
              <w:rPr>
                <w:sz w:val="20"/>
              </w:rPr>
            </w:pPr>
            <w:r w:rsidRPr="00E414C8">
              <w:rPr>
                <w:sz w:val="20"/>
              </w:rPr>
              <w:t>Sensitivity</w:t>
            </w:r>
          </w:p>
        </w:tc>
        <w:tc>
          <w:tcPr>
            <w:tcW w:w="1569" w:type="pct"/>
          </w:tcPr>
          <w:p w14:paraId="00B09A33" w14:textId="77777777" w:rsidR="005C4D5A" w:rsidRPr="00E414C8" w:rsidRDefault="005C4D5A" w:rsidP="00D106F8">
            <w:pPr>
              <w:pStyle w:val="TableParagraph"/>
              <w:ind w:right="149"/>
              <w:jc w:val="center"/>
              <w:rPr>
                <w:sz w:val="20"/>
              </w:rPr>
            </w:pPr>
            <w:r w:rsidRPr="00E414C8">
              <w:rPr>
                <w:sz w:val="20"/>
              </w:rPr>
              <w:t>94.5% [83.7%, 98.3%] (I</w:t>
            </w:r>
            <w:r w:rsidRPr="00E414C8">
              <w:rPr>
                <w:sz w:val="20"/>
                <w:vertAlign w:val="superscript"/>
              </w:rPr>
              <w:t>2</w:t>
            </w:r>
            <w:r w:rsidRPr="00E414C8">
              <w:rPr>
                <w:sz w:val="20"/>
              </w:rPr>
              <w:t xml:space="preserve"> = 84%)</w:t>
            </w:r>
          </w:p>
        </w:tc>
        <w:tc>
          <w:tcPr>
            <w:tcW w:w="1630" w:type="pct"/>
          </w:tcPr>
          <w:p w14:paraId="1218376D" w14:textId="77777777" w:rsidR="005C4D5A" w:rsidRPr="00E414C8" w:rsidRDefault="005C4D5A" w:rsidP="00D106F8">
            <w:pPr>
              <w:pStyle w:val="TableParagraph"/>
              <w:ind w:right="146"/>
              <w:jc w:val="center"/>
              <w:rPr>
                <w:sz w:val="20"/>
              </w:rPr>
            </w:pPr>
            <w:r w:rsidRPr="00E414C8">
              <w:rPr>
                <w:sz w:val="20"/>
              </w:rPr>
              <w:t>67.3% [35.1%, 88.6%] (I</w:t>
            </w:r>
            <w:r w:rsidRPr="00E414C8">
              <w:rPr>
                <w:sz w:val="20"/>
                <w:vertAlign w:val="superscript"/>
              </w:rPr>
              <w:t>2</w:t>
            </w:r>
            <w:r w:rsidRPr="00E414C8">
              <w:rPr>
                <w:sz w:val="20"/>
              </w:rPr>
              <w:t xml:space="preserve"> = 96%)</w:t>
            </w:r>
          </w:p>
        </w:tc>
      </w:tr>
      <w:tr w:rsidR="005C4D5A" w:rsidRPr="00E414C8" w14:paraId="69D53747" w14:textId="77777777" w:rsidTr="00412BC0">
        <w:trPr>
          <w:trHeight w:val="311"/>
        </w:trPr>
        <w:tc>
          <w:tcPr>
            <w:tcW w:w="1047" w:type="pct"/>
          </w:tcPr>
          <w:p w14:paraId="6111DB46" w14:textId="77777777" w:rsidR="005C4D5A" w:rsidRPr="00E414C8" w:rsidRDefault="005C4D5A" w:rsidP="00D106F8">
            <w:pPr>
              <w:pStyle w:val="TableParagraph"/>
              <w:spacing w:before="0"/>
              <w:ind w:left="26"/>
              <w:rPr>
                <w:sz w:val="2"/>
                <w:szCs w:val="2"/>
              </w:rPr>
            </w:pPr>
            <w:r w:rsidRPr="00E414C8">
              <w:rPr>
                <w:sz w:val="20"/>
              </w:rPr>
              <w:t>including VUS</w:t>
            </w:r>
          </w:p>
        </w:tc>
        <w:tc>
          <w:tcPr>
            <w:tcW w:w="754" w:type="pct"/>
          </w:tcPr>
          <w:p w14:paraId="0515FF86" w14:textId="77777777" w:rsidR="005C4D5A" w:rsidRPr="00E414C8" w:rsidRDefault="005C4D5A" w:rsidP="00D106F8">
            <w:pPr>
              <w:pStyle w:val="TableParagraph"/>
              <w:spacing w:before="42"/>
              <w:ind w:right="613"/>
              <w:rPr>
                <w:sz w:val="20"/>
              </w:rPr>
            </w:pPr>
            <w:r w:rsidRPr="00E414C8">
              <w:rPr>
                <w:sz w:val="20"/>
              </w:rPr>
              <w:t>Specificity</w:t>
            </w:r>
          </w:p>
        </w:tc>
        <w:tc>
          <w:tcPr>
            <w:tcW w:w="1569" w:type="pct"/>
          </w:tcPr>
          <w:p w14:paraId="37F86B28" w14:textId="77777777" w:rsidR="005C4D5A" w:rsidRPr="00E414C8" w:rsidRDefault="005C4D5A" w:rsidP="00D106F8">
            <w:pPr>
              <w:pStyle w:val="TableParagraph"/>
              <w:spacing w:before="42"/>
              <w:ind w:right="149"/>
              <w:jc w:val="center"/>
              <w:rPr>
                <w:sz w:val="20"/>
              </w:rPr>
            </w:pPr>
            <w:r w:rsidRPr="00E414C8">
              <w:rPr>
                <w:sz w:val="20"/>
              </w:rPr>
              <w:t>98.7% [97%, 99.4%] (I</w:t>
            </w:r>
            <w:r w:rsidRPr="00E414C8">
              <w:rPr>
                <w:sz w:val="20"/>
                <w:vertAlign w:val="superscript"/>
              </w:rPr>
              <w:t>2</w:t>
            </w:r>
            <w:r w:rsidRPr="00E414C8">
              <w:rPr>
                <w:sz w:val="20"/>
              </w:rPr>
              <w:t xml:space="preserve"> = 81%)</w:t>
            </w:r>
          </w:p>
        </w:tc>
        <w:tc>
          <w:tcPr>
            <w:tcW w:w="1630" w:type="pct"/>
          </w:tcPr>
          <w:p w14:paraId="5033AF34" w14:textId="77777777" w:rsidR="005C4D5A" w:rsidRPr="00E414C8" w:rsidRDefault="005C4D5A" w:rsidP="00D106F8">
            <w:pPr>
              <w:pStyle w:val="TableParagraph"/>
              <w:spacing w:before="42"/>
              <w:ind w:right="233"/>
              <w:jc w:val="center"/>
              <w:rPr>
                <w:sz w:val="20"/>
              </w:rPr>
            </w:pPr>
            <w:r w:rsidRPr="00E414C8">
              <w:rPr>
                <w:sz w:val="20"/>
              </w:rPr>
              <w:t>99% [99.8%, 100%] (I</w:t>
            </w:r>
            <w:r w:rsidRPr="00E414C8">
              <w:rPr>
                <w:sz w:val="20"/>
                <w:vertAlign w:val="superscript"/>
              </w:rPr>
              <w:t>2</w:t>
            </w:r>
            <w:r w:rsidRPr="00E414C8">
              <w:rPr>
                <w:sz w:val="20"/>
              </w:rPr>
              <w:t xml:space="preserve"> = 0%)</w:t>
            </w:r>
          </w:p>
        </w:tc>
      </w:tr>
      <w:tr w:rsidR="005C4D5A" w:rsidRPr="00E414C8" w14:paraId="16680F6E" w14:textId="77777777" w:rsidTr="00412BC0">
        <w:trPr>
          <w:trHeight w:val="309"/>
        </w:trPr>
        <w:tc>
          <w:tcPr>
            <w:tcW w:w="1047" w:type="pct"/>
          </w:tcPr>
          <w:p w14:paraId="33B69362" w14:textId="77777777" w:rsidR="005C4D5A" w:rsidRPr="00E414C8" w:rsidRDefault="005C4D5A" w:rsidP="00D106F8">
            <w:pPr>
              <w:rPr>
                <w:rFonts w:ascii="Arial Narrow" w:hAnsi="Arial Narrow"/>
                <w:sz w:val="2"/>
                <w:szCs w:val="2"/>
              </w:rPr>
            </w:pPr>
            <w:r w:rsidRPr="00E414C8">
              <w:rPr>
                <w:rFonts w:ascii="Arial Narrow" w:hAnsi="Arial Narrow"/>
                <w:sz w:val="20"/>
              </w:rPr>
              <w:t>excluding VUS</w:t>
            </w:r>
          </w:p>
        </w:tc>
        <w:tc>
          <w:tcPr>
            <w:tcW w:w="754" w:type="pct"/>
          </w:tcPr>
          <w:p w14:paraId="7E40E25A" w14:textId="77777777" w:rsidR="005C4D5A" w:rsidRPr="00E414C8" w:rsidRDefault="005C4D5A" w:rsidP="00D106F8">
            <w:pPr>
              <w:pStyle w:val="TableParagraph"/>
              <w:ind w:right="149"/>
              <w:rPr>
                <w:sz w:val="20"/>
              </w:rPr>
            </w:pPr>
            <w:r w:rsidRPr="00E414C8">
              <w:rPr>
                <w:sz w:val="20"/>
              </w:rPr>
              <w:t>Sensitivity</w:t>
            </w:r>
          </w:p>
        </w:tc>
        <w:tc>
          <w:tcPr>
            <w:tcW w:w="1569" w:type="pct"/>
          </w:tcPr>
          <w:p w14:paraId="1A38890A" w14:textId="77777777" w:rsidR="005C4D5A" w:rsidRPr="00E414C8" w:rsidRDefault="005C4D5A" w:rsidP="00D106F8">
            <w:pPr>
              <w:pStyle w:val="TableParagraph"/>
              <w:ind w:right="149"/>
              <w:jc w:val="center"/>
              <w:rPr>
                <w:sz w:val="20"/>
              </w:rPr>
            </w:pPr>
            <w:r w:rsidRPr="00E414C8">
              <w:rPr>
                <w:sz w:val="20"/>
              </w:rPr>
              <w:t>94.2% [83.7%, 98.1%] (I</w:t>
            </w:r>
            <w:r w:rsidRPr="00E414C8">
              <w:rPr>
                <w:sz w:val="20"/>
                <w:vertAlign w:val="superscript"/>
              </w:rPr>
              <w:t>2</w:t>
            </w:r>
            <w:r w:rsidRPr="00E414C8">
              <w:rPr>
                <w:sz w:val="20"/>
              </w:rPr>
              <w:t xml:space="preserve"> = 83%)</w:t>
            </w:r>
          </w:p>
        </w:tc>
        <w:tc>
          <w:tcPr>
            <w:tcW w:w="1630" w:type="pct"/>
          </w:tcPr>
          <w:p w14:paraId="05EDFF4E" w14:textId="77777777" w:rsidR="005C4D5A" w:rsidRPr="00E414C8" w:rsidRDefault="005C4D5A" w:rsidP="00D106F8">
            <w:pPr>
              <w:pStyle w:val="TableParagraph"/>
              <w:ind w:right="149"/>
              <w:jc w:val="center"/>
              <w:rPr>
                <w:sz w:val="20"/>
              </w:rPr>
            </w:pPr>
            <w:r w:rsidRPr="00E414C8">
              <w:rPr>
                <w:sz w:val="20"/>
              </w:rPr>
              <w:t>67.3% [35.1%, 88.6%] (I</w:t>
            </w:r>
            <w:r w:rsidRPr="00E414C8">
              <w:rPr>
                <w:sz w:val="20"/>
                <w:vertAlign w:val="superscript"/>
              </w:rPr>
              <w:t>2</w:t>
            </w:r>
            <w:r w:rsidRPr="00E414C8">
              <w:rPr>
                <w:sz w:val="20"/>
              </w:rPr>
              <w:t xml:space="preserve"> = 96%)</w:t>
            </w:r>
          </w:p>
        </w:tc>
      </w:tr>
      <w:tr w:rsidR="005C4D5A" w:rsidRPr="00E414C8" w14:paraId="77FB11CE" w14:textId="77777777" w:rsidTr="00412BC0">
        <w:trPr>
          <w:trHeight w:val="309"/>
        </w:trPr>
        <w:tc>
          <w:tcPr>
            <w:tcW w:w="1047" w:type="pct"/>
          </w:tcPr>
          <w:p w14:paraId="3124BC5D" w14:textId="77777777" w:rsidR="005C4D5A" w:rsidRPr="00E414C8" w:rsidRDefault="005C4D5A" w:rsidP="00D106F8">
            <w:pPr>
              <w:rPr>
                <w:rFonts w:ascii="Arial Narrow" w:hAnsi="Arial Narrow"/>
                <w:sz w:val="2"/>
                <w:szCs w:val="2"/>
              </w:rPr>
            </w:pPr>
            <w:r w:rsidRPr="00E414C8">
              <w:rPr>
                <w:rFonts w:ascii="Arial Narrow" w:hAnsi="Arial Narrow"/>
                <w:sz w:val="20"/>
              </w:rPr>
              <w:t>excluding VUS</w:t>
            </w:r>
          </w:p>
        </w:tc>
        <w:tc>
          <w:tcPr>
            <w:tcW w:w="754" w:type="pct"/>
          </w:tcPr>
          <w:p w14:paraId="695B079C" w14:textId="77777777" w:rsidR="005C4D5A" w:rsidRPr="00E414C8" w:rsidRDefault="005C4D5A" w:rsidP="00D106F8">
            <w:pPr>
              <w:pStyle w:val="TableParagraph"/>
              <w:ind w:right="149"/>
              <w:rPr>
                <w:sz w:val="20"/>
              </w:rPr>
            </w:pPr>
            <w:r w:rsidRPr="00E414C8">
              <w:rPr>
                <w:sz w:val="20"/>
              </w:rPr>
              <w:t>Specificity</w:t>
            </w:r>
          </w:p>
        </w:tc>
        <w:tc>
          <w:tcPr>
            <w:tcW w:w="1569" w:type="pct"/>
          </w:tcPr>
          <w:p w14:paraId="643FE4FB" w14:textId="77777777" w:rsidR="005C4D5A" w:rsidRPr="00E414C8" w:rsidRDefault="005C4D5A" w:rsidP="00D106F8">
            <w:pPr>
              <w:pStyle w:val="TableParagraph"/>
              <w:ind w:right="149"/>
              <w:jc w:val="center"/>
              <w:rPr>
                <w:sz w:val="20"/>
              </w:rPr>
            </w:pPr>
            <w:r w:rsidRPr="00E414C8">
              <w:rPr>
                <w:sz w:val="20"/>
              </w:rPr>
              <w:t>99.9% [99.8%, 100%] (I</w:t>
            </w:r>
            <w:r w:rsidRPr="00E414C8">
              <w:rPr>
                <w:sz w:val="20"/>
                <w:vertAlign w:val="superscript"/>
              </w:rPr>
              <w:t>2</w:t>
            </w:r>
            <w:r w:rsidRPr="00E414C8">
              <w:rPr>
                <w:sz w:val="20"/>
              </w:rPr>
              <w:t xml:space="preserve"> = 0%)</w:t>
            </w:r>
          </w:p>
        </w:tc>
        <w:tc>
          <w:tcPr>
            <w:tcW w:w="1630" w:type="pct"/>
          </w:tcPr>
          <w:p w14:paraId="02404DF3" w14:textId="77777777" w:rsidR="005C4D5A" w:rsidRPr="00E414C8" w:rsidRDefault="005C4D5A" w:rsidP="00D106F8">
            <w:pPr>
              <w:pStyle w:val="TableParagraph"/>
              <w:ind w:right="188"/>
              <w:jc w:val="center"/>
              <w:rPr>
                <w:sz w:val="20"/>
              </w:rPr>
            </w:pPr>
            <w:r w:rsidRPr="00E414C8">
              <w:rPr>
                <w:sz w:val="20"/>
              </w:rPr>
              <w:t>99.9% [99.8%, 100%] (I</w:t>
            </w:r>
            <w:r w:rsidRPr="00E414C8">
              <w:rPr>
                <w:sz w:val="20"/>
                <w:vertAlign w:val="superscript"/>
              </w:rPr>
              <w:t>2</w:t>
            </w:r>
            <w:r w:rsidRPr="00E414C8">
              <w:rPr>
                <w:sz w:val="20"/>
              </w:rPr>
              <w:t xml:space="preserve"> = 0%)</w:t>
            </w:r>
          </w:p>
        </w:tc>
      </w:tr>
    </w:tbl>
    <w:p w14:paraId="75E70452" w14:textId="77777777" w:rsidR="005C4D5A" w:rsidRPr="00E414C8" w:rsidRDefault="005C4D5A" w:rsidP="005C4D5A">
      <w:pPr>
        <w:pStyle w:val="Comment"/>
        <w:spacing w:after="240"/>
        <w:rPr>
          <w:rFonts w:ascii="Arial Narrow" w:hAnsi="Arial Narrow"/>
          <w:i w:val="0"/>
          <w:color w:val="auto"/>
          <w:sz w:val="18"/>
          <w:szCs w:val="18"/>
        </w:rPr>
      </w:pPr>
      <w:r w:rsidRPr="00E414C8">
        <w:rPr>
          <w:rFonts w:ascii="Arial Narrow" w:hAnsi="Arial Narrow"/>
          <w:i w:val="0"/>
          <w:color w:val="auto"/>
          <w:sz w:val="18"/>
          <w:szCs w:val="18"/>
        </w:rPr>
        <w:t>Source: Compiled during evaluation from Table 3 p 330.e7 of Saldarriaga et al. (2015)</w:t>
      </w:r>
    </w:p>
    <w:p w14:paraId="3A9DB1B4" w14:textId="77777777" w:rsidR="005C4D5A" w:rsidRPr="00E80CE1" w:rsidRDefault="005C4D5A" w:rsidP="005C4D5A">
      <w:r>
        <w:t xml:space="preserve">The Rejoinder stated that </w:t>
      </w:r>
      <w:r w:rsidRPr="00F6070A">
        <w:t>it was not considered appropriate to use a composite of GWMA and conventional karyotyping as the reference standard, when evaluating either karyotyping alone or GWMA alone. Using such a reference standard would result in incorporation bias and likely lead to overestimation of diagnostic accuracy.</w:t>
      </w:r>
    </w:p>
    <w:p w14:paraId="4EB7203B" w14:textId="77777777" w:rsidR="005C4D5A" w:rsidRDefault="005C4D5A" w:rsidP="005C4D5A">
      <w:pPr>
        <w:pStyle w:val="Heading3"/>
      </w:pPr>
      <w:r>
        <w:t>Clinical validity</w:t>
      </w:r>
    </w:p>
    <w:p w14:paraId="096D6A34" w14:textId="69D4A979" w:rsidR="005C4D5A" w:rsidRDefault="005C4D5A" w:rsidP="008772BC">
      <w:pPr>
        <w:spacing w:after="240"/>
      </w:pPr>
      <w:r w:rsidRPr="00E80CE1">
        <w:t xml:space="preserve">The </w:t>
      </w:r>
      <w:r>
        <w:t xml:space="preserve">CA stated that the </w:t>
      </w:r>
      <w:r w:rsidRPr="00E80CE1">
        <w:t xml:space="preserve">reference standard for clinical validity is phenotypical abnormality </w:t>
      </w:r>
      <w:r>
        <w:t>confirmed</w:t>
      </w:r>
      <w:r w:rsidRPr="00E80CE1">
        <w:t xml:space="preserve"> postnatally or at post-mortem. Only two studies were identified that reported </w:t>
      </w:r>
      <w:r>
        <w:t>GWMA</w:t>
      </w:r>
      <w:r w:rsidRPr="00E80CE1">
        <w:t xml:space="preserve"> testing and conventional karyotyping against a </w:t>
      </w:r>
      <w:r>
        <w:t>post-natal or post-morte</w:t>
      </w:r>
      <w:r w:rsidR="000E6A05">
        <w:t>m</w:t>
      </w:r>
      <w:r>
        <w:t xml:space="preserve"> phenotype</w:t>
      </w:r>
      <w:r w:rsidRPr="00E80CE1" w:rsidDel="00702971">
        <w:t xml:space="preserve"> </w:t>
      </w:r>
      <w:r w:rsidRPr="00E80CE1">
        <w:t>and the quality of the evidence was very low. The two studies were highly heterogeneous and it was not considered appropr</w:t>
      </w:r>
      <w:r>
        <w:t xml:space="preserve">iate to conduct a meta-analysis. </w:t>
      </w:r>
      <w:r w:rsidRPr="00E80CE1">
        <w:t>One study was prospect</w:t>
      </w:r>
      <w:r>
        <w:t>ive and one was retrospective. In the former study, only 20 ab</w:t>
      </w:r>
      <w:r w:rsidR="00DE44D7">
        <w:t xml:space="preserve">normal fetuses were evaluable. </w:t>
      </w:r>
      <w:r w:rsidRPr="00E80CE1">
        <w:t>In the latter, the participants were restricted to those diagnose</w:t>
      </w:r>
      <w:r>
        <w:t>d with Wolf-Hirschhorn syndrome.</w:t>
      </w:r>
      <w:r w:rsidRPr="00E80CE1">
        <w:t xml:space="preserve"> However, the two studies indicated that microarray was superior to conventional karyotyping</w:t>
      </w:r>
      <w:r w:rsidR="00373ED7">
        <w:t>.</w:t>
      </w:r>
    </w:p>
    <w:p w14:paraId="458FF4C1" w14:textId="77777777" w:rsidR="005C4D5A" w:rsidRPr="00412BC0" w:rsidRDefault="005C4D5A" w:rsidP="00412BC0">
      <w:pPr>
        <w:rPr>
          <w:rFonts w:ascii="Arial Narrow" w:hAnsi="Arial Narrow"/>
          <w:b/>
          <w:sz w:val="20"/>
        </w:rPr>
      </w:pPr>
      <w:bookmarkStart w:id="15" w:name="_Toc6410504"/>
      <w:r w:rsidRPr="00412BC0">
        <w:rPr>
          <w:rFonts w:ascii="Arial Narrow" w:hAnsi="Arial Narrow"/>
          <w:b/>
          <w:sz w:val="20"/>
        </w:rPr>
        <w:t>Table 5:</w:t>
      </w:r>
      <w:r w:rsidRPr="00412BC0">
        <w:rPr>
          <w:rFonts w:ascii="Arial Narrow" w:hAnsi="Arial Narrow"/>
          <w:b/>
          <w:sz w:val="20"/>
        </w:rPr>
        <w:tab/>
        <w:t>Summary statistics for genome-wide microarray test compared to comparator conventional karyotyping, against reference standard phenotypical abnormality diagnosed postnatally or at post-mortem (clinical validity)</w:t>
      </w:r>
      <w:bookmarkEnd w:id="15"/>
    </w:p>
    <w:tbl>
      <w:tblPr>
        <w:tblStyle w:val="TableGrid"/>
        <w:tblW w:w="5000" w:type="pct"/>
        <w:tblLook w:val="04A0" w:firstRow="1" w:lastRow="0" w:firstColumn="1" w:lastColumn="0" w:noHBand="0" w:noVBand="1"/>
        <w:tblDescription w:val="Summary statistics for genome-wide microarray test compared to comparator conventional karyotyping, against reference standard phenotypical abnormality diagnosed postnatally or at post-mortem (clinical validity)"/>
      </w:tblPr>
      <w:tblGrid>
        <w:gridCol w:w="1554"/>
        <w:gridCol w:w="3091"/>
        <w:gridCol w:w="2126"/>
        <w:gridCol w:w="2245"/>
      </w:tblGrid>
      <w:tr w:rsidR="005C4D5A" w:rsidRPr="00E80CE1" w14:paraId="4BEAD188" w14:textId="77777777" w:rsidTr="00412BC0">
        <w:trPr>
          <w:tblHeader/>
        </w:trPr>
        <w:tc>
          <w:tcPr>
            <w:tcW w:w="862" w:type="pct"/>
          </w:tcPr>
          <w:p w14:paraId="3EAD5BDE" w14:textId="77777777" w:rsidR="005C4D5A" w:rsidRPr="00E80CE1" w:rsidRDefault="005C4D5A" w:rsidP="00412BC0">
            <w:pPr>
              <w:pStyle w:val="TableHeading"/>
              <w:spacing w:before="0" w:after="0"/>
              <w:rPr>
                <w:snapToGrid w:val="0"/>
                <w:lang w:eastAsia="en-US"/>
              </w:rPr>
            </w:pPr>
            <w:r w:rsidRPr="00E80CE1">
              <w:rPr>
                <w:snapToGrid w:val="0"/>
                <w:lang w:eastAsia="en-US"/>
              </w:rPr>
              <w:t>Study ID</w:t>
            </w:r>
          </w:p>
        </w:tc>
        <w:tc>
          <w:tcPr>
            <w:tcW w:w="1714" w:type="pct"/>
          </w:tcPr>
          <w:p w14:paraId="1BAA1FA1" w14:textId="77777777" w:rsidR="005C4D5A" w:rsidRPr="00E80CE1" w:rsidRDefault="005C4D5A" w:rsidP="00412BC0">
            <w:pPr>
              <w:pStyle w:val="TableHeading"/>
              <w:spacing w:before="0" w:after="0"/>
              <w:ind w:left="16" w:firstLine="0"/>
              <w:jc w:val="center"/>
              <w:rPr>
                <w:snapToGrid w:val="0"/>
                <w:lang w:eastAsia="en-US"/>
              </w:rPr>
            </w:pPr>
            <w:r w:rsidRPr="00E80CE1">
              <w:rPr>
                <w:snapToGrid w:val="0"/>
                <w:lang w:eastAsia="en-US"/>
              </w:rPr>
              <w:t>Accuracy</w:t>
            </w:r>
          </w:p>
        </w:tc>
        <w:tc>
          <w:tcPr>
            <w:tcW w:w="1179" w:type="pct"/>
          </w:tcPr>
          <w:p w14:paraId="688C1E01" w14:textId="77777777" w:rsidR="005C4D5A" w:rsidRPr="00E80CE1" w:rsidRDefault="005C4D5A" w:rsidP="00412BC0">
            <w:pPr>
              <w:pStyle w:val="TableHeading"/>
              <w:spacing w:before="0" w:after="0"/>
              <w:ind w:left="-66" w:firstLine="0"/>
              <w:jc w:val="center"/>
              <w:rPr>
                <w:snapToGrid w:val="0"/>
                <w:lang w:eastAsia="en-US"/>
              </w:rPr>
            </w:pPr>
            <w:r w:rsidRPr="00E80CE1">
              <w:rPr>
                <w:snapToGrid w:val="0"/>
                <w:lang w:eastAsia="en-US"/>
              </w:rPr>
              <w:t>Genome-wide microarray</w:t>
            </w:r>
          </w:p>
        </w:tc>
        <w:tc>
          <w:tcPr>
            <w:tcW w:w="1245" w:type="pct"/>
          </w:tcPr>
          <w:p w14:paraId="6268073E" w14:textId="77777777" w:rsidR="005C4D5A" w:rsidRPr="00E80CE1" w:rsidRDefault="005C4D5A" w:rsidP="00412BC0">
            <w:pPr>
              <w:pStyle w:val="TableHeading"/>
              <w:spacing w:before="0" w:after="0"/>
              <w:ind w:left="-41" w:firstLine="0"/>
              <w:jc w:val="center"/>
              <w:rPr>
                <w:snapToGrid w:val="0"/>
                <w:lang w:eastAsia="en-US"/>
              </w:rPr>
            </w:pPr>
            <w:r w:rsidRPr="00E80CE1">
              <w:rPr>
                <w:snapToGrid w:val="0"/>
                <w:lang w:eastAsia="en-US"/>
              </w:rPr>
              <w:t>Conventional karyotyping</w:t>
            </w:r>
          </w:p>
        </w:tc>
      </w:tr>
      <w:tr w:rsidR="005C4D5A" w:rsidRPr="00E80CE1" w14:paraId="3883DEA2" w14:textId="77777777" w:rsidTr="00412BC0">
        <w:tc>
          <w:tcPr>
            <w:tcW w:w="862" w:type="pct"/>
            <w:vMerge w:val="restart"/>
          </w:tcPr>
          <w:p w14:paraId="0A75197D" w14:textId="77777777" w:rsidR="005C4D5A" w:rsidRPr="00E80CE1" w:rsidRDefault="005C4D5A" w:rsidP="00412BC0">
            <w:pPr>
              <w:pStyle w:val="TableText1"/>
              <w:spacing w:before="0" w:after="0"/>
              <w:rPr>
                <w:snapToGrid w:val="0"/>
              </w:rPr>
            </w:pPr>
            <w:r w:rsidRPr="00E80CE1">
              <w:rPr>
                <w:snapToGrid w:val="0"/>
              </w:rPr>
              <w:t>Kan, et al., 2014</w:t>
            </w:r>
            <w:r w:rsidRPr="00E80CE1">
              <w:rPr>
                <w:snapToGrid w:val="0"/>
              </w:rPr>
              <w:fldChar w:fldCharType="begin">
                <w:fldData xml:space="preserve">PEVuZE5vdGU+PENpdGU+PEF1dGhvcj5LYW48L0F1dGhvcj48WWVhcj4yMDE0PC9ZZWFyPjxSZWNO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UGxvUyBvbmU8L2FiYnItMT48L2FsdC1wZXJpb2RpY2FsPjxwYWdlcz5lODc5ODg8L3BhZ2VzPjx2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</w:fldData>
              </w:fldChar>
            </w:r>
            <w:r>
              <w:rPr>
                <w:snapToGrid w:val="0"/>
              </w:rPr>
              <w:instrText xml:space="preserve"> ADDIN EN.CITE </w:instrText>
            </w:r>
            <w:r>
              <w:rPr>
                <w:snapToGrid w:val="0"/>
              </w:rPr>
              <w:fldChar w:fldCharType="begin">
                <w:fldData xml:space="preserve">PEVuZE5vdGU+PENpdGU+PEF1dGhvcj5LYW48L0F1dGhvcj48WWVhcj4yMDE0PC9ZZWFyPjxSZWNO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</w:fldData>
              </w:fldChar>
            </w:r>
            <w:r>
              <w:rPr>
                <w:snapToGrid w:val="0"/>
              </w:rPr>
              <w:instrText xml:space="preserve"> ADDIN EN.CITE.DATA </w:instrText>
            </w:r>
            <w:r>
              <w:rPr>
                <w:snapToGrid w:val="0"/>
              </w:rPr>
            </w:r>
            <w:r>
              <w:rPr>
                <w:snapToGrid w:val="0"/>
              </w:rPr>
              <w:fldChar w:fldCharType="end"/>
            </w:r>
            <w:r w:rsidRPr="00E80CE1">
              <w:rPr>
                <w:snapToGrid w:val="0"/>
              </w:rPr>
            </w:r>
            <w:r w:rsidRPr="00E80CE1">
              <w:rPr>
                <w:snapToGrid w:val="0"/>
              </w:rPr>
              <w:fldChar w:fldCharType="separate"/>
            </w:r>
            <w:hyperlink w:anchor="_ENREF_19" w:tooltip="Kan, 2014 #157" w:history="1">
              <w:r w:rsidRPr="00A711BF">
                <w:rPr>
                  <w:noProof/>
                  <w:snapToGrid w:val="0"/>
                  <w:vertAlign w:val="superscript"/>
                </w:rPr>
                <w:t>19</w:t>
              </w:r>
            </w:hyperlink>
            <w:r w:rsidRPr="00A711BF">
              <w:rPr>
                <w:noProof/>
                <w:snapToGrid w:val="0"/>
                <w:vertAlign w:val="superscript"/>
              </w:rPr>
              <w:t xml:space="preserve"> </w:t>
            </w:r>
            <w:r w:rsidRPr="00E80CE1">
              <w:rPr>
                <w:snapToGrid w:val="0"/>
              </w:rPr>
              <w:fldChar w:fldCharType="end"/>
            </w:r>
          </w:p>
          <w:p w14:paraId="495F8409" w14:textId="77777777" w:rsidR="005C4D5A" w:rsidRPr="00E80CE1" w:rsidRDefault="005C4D5A" w:rsidP="00412BC0">
            <w:pPr>
              <w:pStyle w:val="TableText1"/>
              <w:spacing w:before="0" w:after="0"/>
              <w:rPr>
                <w:snapToGrid w:val="0"/>
              </w:rPr>
            </w:pPr>
            <w:r w:rsidRPr="00E80CE1">
              <w:rPr>
                <w:snapToGrid w:val="0"/>
              </w:rPr>
              <w:t>(N=</w:t>
            </w:r>
            <w:r>
              <w:rPr>
                <w:snapToGrid w:val="0"/>
              </w:rPr>
              <w:t>20</w:t>
            </w:r>
            <w:r>
              <w:rPr>
                <w:snapToGrid w:val="0"/>
                <w:vertAlign w:val="superscript"/>
              </w:rPr>
              <w:t>a</w:t>
            </w:r>
            <w:r w:rsidRPr="00E80CE1">
              <w:rPr>
                <w:snapToGrid w:val="0"/>
              </w:rPr>
              <w:t>)</w:t>
            </w:r>
            <w:r w:rsidRPr="00E80CE1">
              <w:rPr>
                <w:snapToGrid w:val="0"/>
                <w:color w:val="FFFFFF" w:themeColor="background1"/>
              </w:rPr>
              <w:t>-</w:t>
            </w:r>
          </w:p>
        </w:tc>
        <w:tc>
          <w:tcPr>
            <w:tcW w:w="1714" w:type="pct"/>
          </w:tcPr>
          <w:p w14:paraId="70592CE0" w14:textId="77777777" w:rsidR="005C4D5A" w:rsidRPr="00E80CE1" w:rsidRDefault="005C4D5A" w:rsidP="00412BC0">
            <w:pPr>
              <w:pStyle w:val="TableText1"/>
              <w:spacing w:before="0" w:after="0"/>
              <w:ind w:left="16" w:right="117"/>
              <w:jc w:val="center"/>
              <w:rPr>
                <w:snapToGrid w:val="0"/>
              </w:rPr>
            </w:pPr>
            <w:r w:rsidRPr="00E80CE1">
              <w:rPr>
                <w:snapToGrid w:val="0"/>
              </w:rPr>
              <w:t xml:space="preserve">Sensitivity </w:t>
            </w:r>
            <w:r w:rsidRPr="00E80CE1">
              <w:t>% [95% CI]</w:t>
            </w:r>
          </w:p>
        </w:tc>
        <w:tc>
          <w:tcPr>
            <w:tcW w:w="1179" w:type="pct"/>
          </w:tcPr>
          <w:p w14:paraId="281B84E3" w14:textId="77777777" w:rsidR="005C4D5A" w:rsidRPr="00E80CE1" w:rsidRDefault="005C4D5A" w:rsidP="00412BC0">
            <w:pPr>
              <w:pStyle w:val="TableText1"/>
              <w:spacing w:before="0" w:after="0"/>
              <w:ind w:left="111" w:right="117"/>
              <w:jc w:val="center"/>
              <w:rPr>
                <w:snapToGrid w:val="0"/>
              </w:rPr>
            </w:pPr>
            <w:r w:rsidRPr="00E80CE1">
              <w:rPr>
                <w:snapToGrid w:val="0"/>
              </w:rPr>
              <w:t>100% [82.3%, 100%]</w:t>
            </w:r>
          </w:p>
        </w:tc>
        <w:tc>
          <w:tcPr>
            <w:tcW w:w="1245" w:type="pct"/>
          </w:tcPr>
          <w:p w14:paraId="42C5C784" w14:textId="77777777" w:rsidR="005C4D5A" w:rsidRPr="00E80CE1" w:rsidRDefault="005C4D5A" w:rsidP="00412BC0">
            <w:pPr>
              <w:pStyle w:val="TableText1"/>
              <w:spacing w:before="0" w:after="0"/>
              <w:ind w:left="77" w:right="117"/>
              <w:jc w:val="center"/>
              <w:rPr>
                <w:snapToGrid w:val="0"/>
              </w:rPr>
            </w:pPr>
            <w:r w:rsidRPr="00E80CE1">
              <w:rPr>
                <w:snapToGrid w:val="0"/>
              </w:rPr>
              <w:t>73.7% [48.8%, 90.9%]</w:t>
            </w:r>
          </w:p>
        </w:tc>
      </w:tr>
      <w:tr w:rsidR="005C4D5A" w:rsidRPr="00E80CE1" w14:paraId="1ADDDBA0" w14:textId="77777777" w:rsidTr="00412BC0">
        <w:tc>
          <w:tcPr>
            <w:tcW w:w="862" w:type="pct"/>
            <w:vMerge/>
          </w:tcPr>
          <w:p w14:paraId="3600B1DD" w14:textId="77777777" w:rsidR="005C4D5A" w:rsidRPr="00E80CE1" w:rsidRDefault="005C4D5A" w:rsidP="00412BC0">
            <w:pPr>
              <w:pStyle w:val="TableText1"/>
              <w:spacing w:before="0" w:after="0"/>
              <w:rPr>
                <w:snapToGrid w:val="0"/>
                <w:color w:val="FFFFFF" w:themeColor="background1"/>
              </w:rPr>
            </w:pPr>
          </w:p>
        </w:tc>
        <w:tc>
          <w:tcPr>
            <w:tcW w:w="1714" w:type="pct"/>
          </w:tcPr>
          <w:p w14:paraId="53B429ED" w14:textId="77777777" w:rsidR="005C4D5A" w:rsidRPr="00E80CE1" w:rsidRDefault="005C4D5A" w:rsidP="00412BC0">
            <w:pPr>
              <w:pStyle w:val="TableText1"/>
              <w:spacing w:before="0" w:after="0"/>
              <w:ind w:left="16" w:right="117"/>
              <w:jc w:val="center"/>
              <w:rPr>
                <w:snapToGrid w:val="0"/>
              </w:rPr>
            </w:pPr>
            <w:r w:rsidRPr="00E80CE1">
              <w:t>Specificity, % [95% CI]</w:t>
            </w:r>
          </w:p>
        </w:tc>
        <w:tc>
          <w:tcPr>
            <w:tcW w:w="1179" w:type="pct"/>
          </w:tcPr>
          <w:p w14:paraId="41B93D3E" w14:textId="77777777" w:rsidR="005C4D5A" w:rsidRPr="00E80CE1" w:rsidRDefault="005C4D5A" w:rsidP="00412BC0">
            <w:pPr>
              <w:pStyle w:val="TableText1"/>
              <w:spacing w:before="0" w:after="0"/>
              <w:ind w:left="111" w:right="117"/>
              <w:jc w:val="center"/>
              <w:rPr>
                <w:snapToGrid w:val="0"/>
              </w:rPr>
            </w:pPr>
            <w:r w:rsidRPr="00E80CE1">
              <w:rPr>
                <w:snapToGrid w:val="0"/>
              </w:rPr>
              <w:t>0% [0%, 97.5%]</w:t>
            </w:r>
          </w:p>
        </w:tc>
        <w:tc>
          <w:tcPr>
            <w:tcW w:w="1245" w:type="pct"/>
          </w:tcPr>
          <w:p w14:paraId="7A6F4CAF" w14:textId="77777777" w:rsidR="005C4D5A" w:rsidRPr="00E80CE1" w:rsidRDefault="005C4D5A" w:rsidP="00412BC0">
            <w:pPr>
              <w:pStyle w:val="TableText1"/>
              <w:spacing w:before="0" w:after="0"/>
              <w:ind w:left="77" w:right="117"/>
              <w:jc w:val="center"/>
              <w:rPr>
                <w:snapToGrid w:val="0"/>
              </w:rPr>
            </w:pPr>
            <w:r w:rsidRPr="00E80CE1">
              <w:rPr>
                <w:snapToGrid w:val="0"/>
              </w:rPr>
              <w:t>100% [2.5%, 100%]</w:t>
            </w:r>
          </w:p>
        </w:tc>
      </w:tr>
      <w:tr w:rsidR="005C4D5A" w:rsidRPr="00E80CE1" w14:paraId="0FC43C4F" w14:textId="77777777" w:rsidTr="00412BC0">
        <w:tc>
          <w:tcPr>
            <w:tcW w:w="862" w:type="pct"/>
            <w:vMerge/>
          </w:tcPr>
          <w:p w14:paraId="4C3F3AF4" w14:textId="77777777" w:rsidR="005C4D5A" w:rsidRPr="00E80CE1" w:rsidRDefault="005C4D5A" w:rsidP="00412BC0">
            <w:pPr>
              <w:pStyle w:val="TableText1"/>
              <w:spacing w:before="0" w:after="0"/>
              <w:rPr>
                <w:snapToGrid w:val="0"/>
                <w:color w:val="FFFFFF" w:themeColor="background1"/>
              </w:rPr>
            </w:pPr>
          </w:p>
        </w:tc>
        <w:tc>
          <w:tcPr>
            <w:tcW w:w="1714" w:type="pct"/>
          </w:tcPr>
          <w:p w14:paraId="30C57477" w14:textId="77777777" w:rsidR="005C4D5A" w:rsidRPr="00E80CE1" w:rsidRDefault="005C4D5A" w:rsidP="00412BC0">
            <w:pPr>
              <w:pStyle w:val="TableText1"/>
              <w:spacing w:before="0" w:after="0"/>
              <w:ind w:left="16" w:right="117"/>
              <w:jc w:val="center"/>
              <w:rPr>
                <w:snapToGrid w:val="0"/>
              </w:rPr>
            </w:pPr>
            <w:r w:rsidRPr="00E80CE1">
              <w:t>Positive predictive value, % [95% CI]</w:t>
            </w:r>
          </w:p>
        </w:tc>
        <w:tc>
          <w:tcPr>
            <w:tcW w:w="1179" w:type="pct"/>
          </w:tcPr>
          <w:p w14:paraId="2211BA32" w14:textId="77777777" w:rsidR="005C4D5A" w:rsidRPr="00E80CE1" w:rsidRDefault="005C4D5A" w:rsidP="00412BC0">
            <w:pPr>
              <w:pStyle w:val="TableText1"/>
              <w:spacing w:before="0" w:after="0"/>
              <w:ind w:left="111" w:right="117"/>
              <w:jc w:val="center"/>
              <w:rPr>
                <w:snapToGrid w:val="0"/>
              </w:rPr>
            </w:pPr>
            <w:r w:rsidRPr="00E80CE1">
              <w:rPr>
                <w:snapToGrid w:val="0"/>
              </w:rPr>
              <w:t>95% [95%, 95%]</w:t>
            </w:r>
          </w:p>
        </w:tc>
        <w:tc>
          <w:tcPr>
            <w:tcW w:w="1245" w:type="pct"/>
          </w:tcPr>
          <w:p w14:paraId="1D20D626" w14:textId="77777777" w:rsidR="005C4D5A" w:rsidRPr="00E80CE1" w:rsidRDefault="005C4D5A" w:rsidP="00412BC0">
            <w:pPr>
              <w:pStyle w:val="TableText1"/>
              <w:spacing w:before="0" w:after="0"/>
              <w:ind w:left="77" w:right="117"/>
              <w:jc w:val="center"/>
              <w:rPr>
                <w:snapToGrid w:val="0"/>
              </w:rPr>
            </w:pPr>
            <w:r w:rsidRPr="00E80CE1">
              <w:rPr>
                <w:snapToGrid w:val="0"/>
              </w:rPr>
              <w:t>100%**</w:t>
            </w:r>
          </w:p>
        </w:tc>
      </w:tr>
      <w:tr w:rsidR="005C4D5A" w:rsidRPr="00E80CE1" w14:paraId="267B334E" w14:textId="77777777" w:rsidTr="00412BC0">
        <w:tc>
          <w:tcPr>
            <w:tcW w:w="862" w:type="pct"/>
            <w:vMerge/>
          </w:tcPr>
          <w:p w14:paraId="764A67A1" w14:textId="77777777" w:rsidR="005C4D5A" w:rsidRPr="00E80CE1" w:rsidRDefault="005C4D5A" w:rsidP="00412BC0">
            <w:pPr>
              <w:pStyle w:val="TableText1"/>
              <w:spacing w:before="0" w:after="0"/>
              <w:rPr>
                <w:snapToGrid w:val="0"/>
                <w:color w:val="FFFFFF" w:themeColor="background1"/>
              </w:rPr>
            </w:pPr>
          </w:p>
        </w:tc>
        <w:tc>
          <w:tcPr>
            <w:tcW w:w="1714" w:type="pct"/>
          </w:tcPr>
          <w:p w14:paraId="1F768FE4" w14:textId="77777777" w:rsidR="005C4D5A" w:rsidRPr="00E80CE1" w:rsidRDefault="005C4D5A" w:rsidP="00412BC0">
            <w:pPr>
              <w:pStyle w:val="TableText1"/>
              <w:spacing w:before="0" w:after="0"/>
              <w:ind w:left="16" w:right="117"/>
              <w:jc w:val="center"/>
              <w:rPr>
                <w:snapToGrid w:val="0"/>
              </w:rPr>
            </w:pPr>
            <w:r w:rsidRPr="00E80CE1">
              <w:t>Negative predictive value, % [95% CI]</w:t>
            </w:r>
          </w:p>
        </w:tc>
        <w:tc>
          <w:tcPr>
            <w:tcW w:w="1179" w:type="pct"/>
          </w:tcPr>
          <w:p w14:paraId="227ACFCF" w14:textId="77777777" w:rsidR="005C4D5A" w:rsidRPr="00E80CE1" w:rsidRDefault="005C4D5A" w:rsidP="00412BC0">
            <w:pPr>
              <w:pStyle w:val="TableText1"/>
              <w:spacing w:before="0" w:after="0"/>
              <w:ind w:left="111" w:right="117"/>
              <w:jc w:val="center"/>
              <w:rPr>
                <w:snapToGrid w:val="0"/>
              </w:rPr>
            </w:pPr>
            <w:r w:rsidRPr="00E80CE1">
              <w:rPr>
                <w:snapToGrid w:val="0"/>
              </w:rPr>
              <w:t>Not able to estimate</w:t>
            </w:r>
          </w:p>
        </w:tc>
        <w:tc>
          <w:tcPr>
            <w:tcW w:w="1245" w:type="pct"/>
          </w:tcPr>
          <w:p w14:paraId="5C82F198" w14:textId="77777777" w:rsidR="005C4D5A" w:rsidRPr="00E80CE1" w:rsidRDefault="005C4D5A" w:rsidP="00412BC0">
            <w:pPr>
              <w:pStyle w:val="TableText1"/>
              <w:spacing w:before="0" w:after="0"/>
              <w:ind w:left="77" w:right="117"/>
              <w:jc w:val="center"/>
              <w:rPr>
                <w:snapToGrid w:val="0"/>
              </w:rPr>
            </w:pPr>
            <w:r w:rsidRPr="00E80CE1">
              <w:rPr>
                <w:snapToGrid w:val="0"/>
              </w:rPr>
              <w:t>16.7% [8.6%, 29.8%]</w:t>
            </w:r>
          </w:p>
        </w:tc>
      </w:tr>
      <w:tr w:rsidR="005C4D5A" w:rsidRPr="00E80CE1" w14:paraId="0CBE4287" w14:textId="77777777" w:rsidTr="00412BC0">
        <w:tc>
          <w:tcPr>
            <w:tcW w:w="862" w:type="pct"/>
            <w:vMerge w:val="restart"/>
          </w:tcPr>
          <w:p w14:paraId="5F6BFE11" w14:textId="77777777" w:rsidR="005C4D5A" w:rsidRPr="00E80CE1" w:rsidRDefault="005C4D5A" w:rsidP="00412BC0">
            <w:pPr>
              <w:pStyle w:val="TableText1"/>
              <w:spacing w:before="0" w:after="0"/>
              <w:rPr>
                <w:snapToGrid w:val="0"/>
              </w:rPr>
            </w:pPr>
            <w:r w:rsidRPr="00E80CE1">
              <w:rPr>
                <w:snapToGrid w:val="0"/>
              </w:rPr>
              <w:t>Xing, et al., 2018</w:t>
            </w:r>
            <w:r w:rsidRPr="00E80CE1">
              <w:rPr>
                <w:snapToGrid w:val="0"/>
              </w:rPr>
              <w:fldChar w:fldCharType="begin">
                <w:fldData xml:space="preserve">PEVuZE5vdGU+PENpdGU+PEF1dGhvcj5YaW5nPC9BdXRob3I+PFllYXI+MjAxODwvWWVhcj48UmVj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L2FiYnItMT48L2FsdC1wZXJpb2RpY2FsPjxwYWdlcz4yODktMjk1PC9wYWdlcz48dm9sdW1lPjI5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</w:fldData>
              </w:fldChar>
            </w:r>
            <w:r>
              <w:rPr>
                <w:snapToGrid w:val="0"/>
              </w:rPr>
              <w:instrText xml:space="preserve"> ADDIN EN.CITE </w:instrText>
            </w:r>
            <w:r>
              <w:rPr>
                <w:snapToGrid w:val="0"/>
              </w:rPr>
              <w:fldChar w:fldCharType="begin">
                <w:fldData xml:space="preserve">PEVuZE5vdGU+PENpdGU+PEF1dGhvcj5YaW5nPC9BdXRob3I+PFllYXI+MjAxODwvWWVhcj48UmVj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</w:fldData>
              </w:fldChar>
            </w:r>
            <w:r>
              <w:rPr>
                <w:snapToGrid w:val="0"/>
              </w:rPr>
              <w:instrText xml:space="preserve"> ADDIN EN.CITE.DATA </w:instrText>
            </w:r>
            <w:r>
              <w:rPr>
                <w:snapToGrid w:val="0"/>
              </w:rPr>
            </w:r>
            <w:r>
              <w:rPr>
                <w:snapToGrid w:val="0"/>
              </w:rPr>
              <w:fldChar w:fldCharType="end"/>
            </w:r>
            <w:r w:rsidRPr="00E80CE1">
              <w:rPr>
                <w:snapToGrid w:val="0"/>
              </w:rPr>
            </w:r>
            <w:r w:rsidRPr="00E80CE1">
              <w:rPr>
                <w:snapToGrid w:val="0"/>
              </w:rPr>
              <w:fldChar w:fldCharType="separate"/>
            </w:r>
            <w:hyperlink w:anchor="_ENREF_21" w:tooltip="Xing, 2018 #12" w:history="1">
              <w:r w:rsidRPr="00A711BF">
                <w:rPr>
                  <w:noProof/>
                  <w:snapToGrid w:val="0"/>
                  <w:vertAlign w:val="superscript"/>
                </w:rPr>
                <w:t>21</w:t>
              </w:r>
            </w:hyperlink>
            <w:r w:rsidRPr="00A711BF">
              <w:rPr>
                <w:noProof/>
                <w:snapToGrid w:val="0"/>
                <w:vertAlign w:val="superscript"/>
              </w:rPr>
              <w:t xml:space="preserve"> </w:t>
            </w:r>
            <w:r w:rsidRPr="00E80CE1">
              <w:rPr>
                <w:snapToGrid w:val="0"/>
              </w:rPr>
              <w:fldChar w:fldCharType="end"/>
            </w:r>
          </w:p>
          <w:p w14:paraId="4CFEBDFF" w14:textId="77777777" w:rsidR="005C4D5A" w:rsidRPr="00E80CE1" w:rsidRDefault="005C4D5A" w:rsidP="00412BC0">
            <w:pPr>
              <w:pStyle w:val="TableText1"/>
              <w:spacing w:before="0" w:after="0"/>
              <w:rPr>
                <w:snapToGrid w:val="0"/>
              </w:rPr>
            </w:pPr>
            <w:r w:rsidRPr="00E80CE1">
              <w:rPr>
                <w:snapToGrid w:val="0"/>
              </w:rPr>
              <w:t>(N=10)</w:t>
            </w:r>
            <w:r w:rsidRPr="00E80CE1">
              <w:rPr>
                <w:snapToGrid w:val="0"/>
                <w:color w:val="FFFFFF" w:themeColor="background1"/>
              </w:rPr>
              <w:t>-</w:t>
            </w:r>
          </w:p>
        </w:tc>
        <w:tc>
          <w:tcPr>
            <w:tcW w:w="1714" w:type="pct"/>
          </w:tcPr>
          <w:p w14:paraId="63CBC816" w14:textId="77777777" w:rsidR="005C4D5A" w:rsidRPr="00E80CE1" w:rsidRDefault="005C4D5A" w:rsidP="00412BC0">
            <w:pPr>
              <w:pStyle w:val="TableText1"/>
              <w:spacing w:before="0" w:after="0"/>
              <w:ind w:left="16" w:right="117"/>
              <w:jc w:val="center"/>
              <w:rPr>
                <w:snapToGrid w:val="0"/>
              </w:rPr>
            </w:pPr>
            <w:r w:rsidRPr="00E80CE1">
              <w:rPr>
                <w:snapToGrid w:val="0"/>
              </w:rPr>
              <w:t xml:space="preserve">Sensitivity </w:t>
            </w:r>
            <w:r w:rsidRPr="00E80CE1">
              <w:t>% [95% CI]</w:t>
            </w:r>
          </w:p>
        </w:tc>
        <w:tc>
          <w:tcPr>
            <w:tcW w:w="1179" w:type="pct"/>
          </w:tcPr>
          <w:p w14:paraId="1BC7D5C7" w14:textId="77777777" w:rsidR="005C4D5A" w:rsidRPr="00E80CE1" w:rsidRDefault="005C4D5A" w:rsidP="00412BC0">
            <w:pPr>
              <w:pStyle w:val="TableText1"/>
              <w:spacing w:before="0" w:after="0"/>
              <w:ind w:left="111" w:right="117"/>
              <w:jc w:val="center"/>
              <w:rPr>
                <w:snapToGrid w:val="0"/>
              </w:rPr>
            </w:pPr>
            <w:r w:rsidRPr="00E80CE1">
              <w:rPr>
                <w:snapToGrid w:val="0"/>
              </w:rPr>
              <w:t>100% [69.2%, 100%]</w:t>
            </w:r>
          </w:p>
        </w:tc>
        <w:tc>
          <w:tcPr>
            <w:tcW w:w="1245" w:type="pct"/>
          </w:tcPr>
          <w:p w14:paraId="5C60E857" w14:textId="77777777" w:rsidR="005C4D5A" w:rsidRPr="00E80CE1" w:rsidRDefault="005C4D5A" w:rsidP="00412BC0">
            <w:pPr>
              <w:pStyle w:val="TableText1"/>
              <w:spacing w:before="0" w:after="0"/>
              <w:ind w:left="77" w:right="117"/>
              <w:jc w:val="center"/>
              <w:rPr>
                <w:snapToGrid w:val="0"/>
              </w:rPr>
            </w:pPr>
            <w:r w:rsidRPr="00E80CE1">
              <w:rPr>
                <w:snapToGrid w:val="0"/>
              </w:rPr>
              <w:t>80% [44.4%, 97.5%]</w:t>
            </w:r>
          </w:p>
        </w:tc>
      </w:tr>
      <w:tr w:rsidR="005C4D5A" w:rsidRPr="00E80CE1" w14:paraId="541CCE9E" w14:textId="77777777" w:rsidTr="00412BC0">
        <w:tc>
          <w:tcPr>
            <w:tcW w:w="862" w:type="pct"/>
            <w:vMerge/>
          </w:tcPr>
          <w:p w14:paraId="7A0ADE40" w14:textId="77777777" w:rsidR="005C4D5A" w:rsidRPr="00E80CE1" w:rsidRDefault="005C4D5A" w:rsidP="00412BC0">
            <w:pPr>
              <w:pStyle w:val="TableText1"/>
              <w:spacing w:before="0" w:after="0"/>
              <w:rPr>
                <w:snapToGrid w:val="0"/>
                <w:color w:val="FFFFFF" w:themeColor="background1"/>
              </w:rPr>
            </w:pPr>
          </w:p>
        </w:tc>
        <w:tc>
          <w:tcPr>
            <w:tcW w:w="1714" w:type="pct"/>
          </w:tcPr>
          <w:p w14:paraId="0DFD39B6" w14:textId="77777777" w:rsidR="005C4D5A" w:rsidRPr="00E80CE1" w:rsidRDefault="005C4D5A" w:rsidP="00412BC0">
            <w:pPr>
              <w:pStyle w:val="TableText1"/>
              <w:spacing w:before="0" w:after="0"/>
              <w:ind w:left="16" w:right="117"/>
              <w:jc w:val="center"/>
              <w:rPr>
                <w:snapToGrid w:val="0"/>
              </w:rPr>
            </w:pPr>
            <w:r w:rsidRPr="00E80CE1">
              <w:t>Specificity, % [95% CI]</w:t>
            </w:r>
            <w:bookmarkStart w:id="16" w:name="_GoBack"/>
            <w:bookmarkEnd w:id="16"/>
          </w:p>
        </w:tc>
        <w:tc>
          <w:tcPr>
            <w:tcW w:w="1179" w:type="pct"/>
          </w:tcPr>
          <w:p w14:paraId="469BA35B" w14:textId="77777777" w:rsidR="005C4D5A" w:rsidRPr="00E80CE1" w:rsidRDefault="005C4D5A" w:rsidP="00412BC0">
            <w:pPr>
              <w:pStyle w:val="TableText1"/>
              <w:spacing w:before="0" w:after="0"/>
              <w:ind w:left="111" w:right="117"/>
              <w:jc w:val="center"/>
              <w:rPr>
                <w:snapToGrid w:val="0"/>
              </w:rPr>
            </w:pPr>
            <w:r w:rsidRPr="00E80CE1">
              <w:rPr>
                <w:snapToGrid w:val="0"/>
              </w:rPr>
              <w:t>Not able to estimate</w:t>
            </w:r>
          </w:p>
        </w:tc>
        <w:tc>
          <w:tcPr>
            <w:tcW w:w="1245" w:type="pct"/>
          </w:tcPr>
          <w:p w14:paraId="5BD6A24A" w14:textId="77777777" w:rsidR="005C4D5A" w:rsidRPr="00E80CE1" w:rsidRDefault="005C4D5A" w:rsidP="00412BC0">
            <w:pPr>
              <w:pStyle w:val="TableText1"/>
              <w:spacing w:before="0" w:after="0"/>
              <w:ind w:left="77" w:right="117"/>
              <w:jc w:val="center"/>
              <w:rPr>
                <w:snapToGrid w:val="0"/>
              </w:rPr>
            </w:pPr>
            <w:r w:rsidRPr="00E80CE1">
              <w:rPr>
                <w:snapToGrid w:val="0"/>
              </w:rPr>
              <w:t>Not able to estimate</w:t>
            </w:r>
          </w:p>
        </w:tc>
      </w:tr>
      <w:tr w:rsidR="005C4D5A" w:rsidRPr="00E80CE1" w14:paraId="46AD7F4D" w14:textId="77777777" w:rsidTr="00412BC0">
        <w:trPr>
          <w:trHeight w:val="50"/>
        </w:trPr>
        <w:tc>
          <w:tcPr>
            <w:tcW w:w="862" w:type="pct"/>
            <w:vMerge/>
          </w:tcPr>
          <w:p w14:paraId="702F6627" w14:textId="77777777" w:rsidR="005C4D5A" w:rsidRPr="00E80CE1" w:rsidRDefault="005C4D5A" w:rsidP="00412BC0">
            <w:pPr>
              <w:pStyle w:val="TableText1"/>
              <w:spacing w:before="0" w:after="0"/>
              <w:rPr>
                <w:snapToGrid w:val="0"/>
                <w:color w:val="FFFFFF" w:themeColor="background1"/>
              </w:rPr>
            </w:pPr>
          </w:p>
        </w:tc>
        <w:tc>
          <w:tcPr>
            <w:tcW w:w="1714" w:type="pct"/>
          </w:tcPr>
          <w:p w14:paraId="656ECF71" w14:textId="77777777" w:rsidR="005C4D5A" w:rsidRPr="00E80CE1" w:rsidRDefault="005C4D5A" w:rsidP="00412BC0">
            <w:pPr>
              <w:pStyle w:val="TableText1"/>
              <w:spacing w:before="0" w:after="0"/>
              <w:ind w:left="16" w:right="117"/>
              <w:jc w:val="center"/>
              <w:rPr>
                <w:snapToGrid w:val="0"/>
              </w:rPr>
            </w:pPr>
            <w:r w:rsidRPr="00E80CE1">
              <w:t>Positive predictive value, % [95% CI]</w:t>
            </w:r>
          </w:p>
        </w:tc>
        <w:tc>
          <w:tcPr>
            <w:tcW w:w="1179" w:type="pct"/>
          </w:tcPr>
          <w:p w14:paraId="671903D5" w14:textId="77777777" w:rsidR="005C4D5A" w:rsidRPr="00E80CE1" w:rsidRDefault="005C4D5A" w:rsidP="00412BC0">
            <w:pPr>
              <w:pStyle w:val="TableText1"/>
              <w:spacing w:before="0" w:after="0"/>
              <w:ind w:left="111" w:right="117"/>
              <w:jc w:val="center"/>
              <w:rPr>
                <w:snapToGrid w:val="0"/>
              </w:rPr>
            </w:pPr>
            <w:r w:rsidRPr="00E80CE1">
              <w:rPr>
                <w:snapToGrid w:val="0"/>
              </w:rPr>
              <w:t>100%**</w:t>
            </w:r>
          </w:p>
        </w:tc>
        <w:tc>
          <w:tcPr>
            <w:tcW w:w="1245" w:type="pct"/>
          </w:tcPr>
          <w:p w14:paraId="45B4DDCB" w14:textId="77777777" w:rsidR="005C4D5A" w:rsidRPr="00E80CE1" w:rsidRDefault="005C4D5A" w:rsidP="00412BC0">
            <w:pPr>
              <w:pStyle w:val="TableText1"/>
              <w:spacing w:before="0" w:after="0"/>
              <w:ind w:left="77" w:right="117"/>
              <w:jc w:val="center"/>
              <w:rPr>
                <w:snapToGrid w:val="0"/>
              </w:rPr>
            </w:pPr>
            <w:r w:rsidRPr="00E80CE1">
              <w:rPr>
                <w:snapToGrid w:val="0"/>
              </w:rPr>
              <w:t>100%**</w:t>
            </w:r>
          </w:p>
        </w:tc>
      </w:tr>
      <w:tr w:rsidR="005C4D5A" w:rsidRPr="00E80CE1" w14:paraId="0F35CCF6" w14:textId="77777777" w:rsidTr="00412BC0">
        <w:tc>
          <w:tcPr>
            <w:tcW w:w="862" w:type="pct"/>
            <w:vMerge/>
          </w:tcPr>
          <w:p w14:paraId="08F97C8D" w14:textId="77777777" w:rsidR="005C4D5A" w:rsidRPr="00E80CE1" w:rsidRDefault="005C4D5A" w:rsidP="00412BC0">
            <w:pPr>
              <w:pStyle w:val="TableText1"/>
              <w:spacing w:before="0" w:after="0"/>
              <w:rPr>
                <w:snapToGrid w:val="0"/>
                <w:color w:val="FFFFFF" w:themeColor="background1"/>
              </w:rPr>
            </w:pPr>
          </w:p>
        </w:tc>
        <w:tc>
          <w:tcPr>
            <w:tcW w:w="1714" w:type="pct"/>
          </w:tcPr>
          <w:p w14:paraId="662BDCF3" w14:textId="77777777" w:rsidR="005C4D5A" w:rsidRPr="00E80CE1" w:rsidRDefault="005C4D5A" w:rsidP="00412BC0">
            <w:pPr>
              <w:pStyle w:val="TableText1"/>
              <w:spacing w:before="0" w:after="0"/>
              <w:ind w:left="16" w:right="117"/>
              <w:jc w:val="center"/>
              <w:rPr>
                <w:snapToGrid w:val="0"/>
              </w:rPr>
            </w:pPr>
            <w:r w:rsidRPr="00E80CE1">
              <w:t>Negative predictive value, % [95% CI]</w:t>
            </w:r>
          </w:p>
        </w:tc>
        <w:tc>
          <w:tcPr>
            <w:tcW w:w="1179" w:type="pct"/>
          </w:tcPr>
          <w:p w14:paraId="3BC84B2B" w14:textId="77777777" w:rsidR="005C4D5A" w:rsidRPr="00E80CE1" w:rsidRDefault="005C4D5A" w:rsidP="00412BC0">
            <w:pPr>
              <w:pStyle w:val="TableText1"/>
              <w:spacing w:before="0" w:after="0"/>
              <w:ind w:left="111" w:right="117"/>
              <w:jc w:val="center"/>
              <w:rPr>
                <w:snapToGrid w:val="0"/>
              </w:rPr>
            </w:pPr>
            <w:r w:rsidRPr="00E80CE1">
              <w:rPr>
                <w:snapToGrid w:val="0"/>
              </w:rPr>
              <w:t>Not able to estimate</w:t>
            </w:r>
          </w:p>
        </w:tc>
        <w:tc>
          <w:tcPr>
            <w:tcW w:w="1245" w:type="pct"/>
          </w:tcPr>
          <w:p w14:paraId="0DF871E3" w14:textId="77777777" w:rsidR="005C4D5A" w:rsidRPr="00E80CE1" w:rsidRDefault="005C4D5A" w:rsidP="00412BC0">
            <w:pPr>
              <w:pStyle w:val="TableText1"/>
              <w:spacing w:before="0" w:after="0"/>
              <w:ind w:left="77" w:right="117"/>
              <w:jc w:val="center"/>
              <w:rPr>
                <w:snapToGrid w:val="0"/>
              </w:rPr>
            </w:pPr>
            <w:r w:rsidRPr="00E80CE1">
              <w:rPr>
                <w:snapToGrid w:val="0"/>
              </w:rPr>
              <w:t>0%*</w:t>
            </w:r>
          </w:p>
        </w:tc>
      </w:tr>
    </w:tbl>
    <w:p w14:paraId="1E04B563" w14:textId="77777777" w:rsidR="005C4D5A" w:rsidRPr="00E414C8" w:rsidRDefault="005C4D5A" w:rsidP="005C4D5A">
      <w:pPr>
        <w:pStyle w:val="Tabletext0"/>
        <w:rPr>
          <w:sz w:val="18"/>
          <w:szCs w:val="18"/>
        </w:rPr>
      </w:pPr>
      <w:r w:rsidRPr="00E414C8">
        <w:rPr>
          <w:sz w:val="18"/>
          <w:szCs w:val="18"/>
        </w:rPr>
        <w:t>*As per MedCalc; RevMan 5.3 states these values could not be estimated.</w:t>
      </w:r>
    </w:p>
    <w:p w14:paraId="35AF5D66" w14:textId="77777777" w:rsidR="005C4D5A" w:rsidRDefault="005C4D5A" w:rsidP="005C4D5A">
      <w:pPr>
        <w:pStyle w:val="Tabletext0"/>
        <w:rPr>
          <w:sz w:val="18"/>
          <w:szCs w:val="18"/>
        </w:rPr>
      </w:pPr>
      <w:r w:rsidRPr="00E414C8">
        <w:rPr>
          <w:sz w:val="18"/>
          <w:szCs w:val="18"/>
        </w:rPr>
        <w:t>**No confidence intervals provide</w:t>
      </w:r>
      <w:r>
        <w:rPr>
          <w:sz w:val="18"/>
          <w:szCs w:val="18"/>
        </w:rPr>
        <w:t>d</w:t>
      </w:r>
      <w:r w:rsidRPr="00E414C8">
        <w:rPr>
          <w:sz w:val="18"/>
          <w:szCs w:val="18"/>
        </w:rPr>
        <w:t>.</w:t>
      </w:r>
    </w:p>
    <w:p w14:paraId="215112F0" w14:textId="5059A44B" w:rsidR="005C4D5A" w:rsidRPr="008772BC" w:rsidRDefault="005C4D5A" w:rsidP="008772BC">
      <w:pPr>
        <w:pStyle w:val="Tabletext0"/>
        <w:spacing w:after="240"/>
        <w:rPr>
          <w:sz w:val="18"/>
          <w:szCs w:val="18"/>
        </w:rPr>
      </w:pPr>
      <w:r>
        <w:rPr>
          <w:sz w:val="18"/>
          <w:szCs w:val="18"/>
          <w:vertAlign w:val="superscript"/>
        </w:rPr>
        <w:t xml:space="preserve">a </w:t>
      </w:r>
      <w:r w:rsidRPr="0059344A">
        <w:rPr>
          <w:sz w:val="18"/>
          <w:szCs w:val="16"/>
        </w:rPr>
        <w:t>There were 77 with ultrasound abnormalities but only 20 were evaluable with postnatal/post-mortem findings</w:t>
      </w:r>
    </w:p>
    <w:p w14:paraId="26F8644F" w14:textId="5831CD02" w:rsidR="005C4D5A" w:rsidRDefault="005C4D5A" w:rsidP="008772BC">
      <w:pPr>
        <w:spacing w:after="240"/>
      </w:pPr>
      <w:r>
        <w:t>The Critique stated that o</w:t>
      </w:r>
      <w:r w:rsidRPr="00DF7D2C">
        <w:t>verall</w:t>
      </w:r>
      <w:r>
        <w:t>,</w:t>
      </w:r>
      <w:r w:rsidRPr="00DF7D2C">
        <w:t xml:space="preserve"> the estimates of diagnostic accuracy based on Kan et al. (2014) are uncertain due to low powered sample (only 20 patients with ultrasound abnormalities). In addition, Xing et al. (2018) only examined one disease (prenatal diagnosis of Wolf-Hirschhorn syndrome) which is difficult to interpret in this multi disease test setting as per the proposed population.</w:t>
      </w:r>
    </w:p>
    <w:p w14:paraId="222CFAF3" w14:textId="77777777" w:rsidR="005C4D5A" w:rsidRDefault="005C4D5A" w:rsidP="005C4D5A">
      <w:pPr>
        <w:pStyle w:val="Heading2"/>
      </w:pPr>
      <w:r>
        <w:t>Therapeutic efficacy (change in management)</w:t>
      </w:r>
    </w:p>
    <w:p w14:paraId="59480D38" w14:textId="0615AEC5" w:rsidR="005C4D5A" w:rsidRDefault="005C4D5A" w:rsidP="008772BC">
      <w:pPr>
        <w:spacing w:after="240"/>
      </w:pPr>
      <w:r>
        <w:t>The CA stated that GWMA</w:t>
      </w:r>
      <w:r w:rsidRPr="00E80CE1">
        <w:t xml:space="preserve"> results in the same patient management and health outcomes as conventional karyotyping, with the benefit of faster turn-around times as cells do not need to be cultured. Identifying the patient as having genetic abnormalities by </w:t>
      </w:r>
      <w:r>
        <w:t>GWMA</w:t>
      </w:r>
      <w:r w:rsidRPr="00E80CE1">
        <w:t xml:space="preserve"> </w:t>
      </w:r>
      <w:r>
        <w:t>would</w:t>
      </w:r>
      <w:r w:rsidRPr="00E80CE1">
        <w:t xml:space="preserve"> not translate to a net change in clinical management when compared to conventional karyotyping.</w:t>
      </w:r>
    </w:p>
    <w:p w14:paraId="19BCDA22" w14:textId="2BC65648" w:rsidR="005C4D5A" w:rsidRDefault="005C4D5A" w:rsidP="008772BC">
      <w:pPr>
        <w:spacing w:after="240"/>
      </w:pPr>
      <w:r w:rsidRPr="00E80CE1">
        <w:t>Patients are screened by ultrasound and would only undergo the proposed MBS item test on presenting with major fetal structural abnormalities.</w:t>
      </w:r>
    </w:p>
    <w:p w14:paraId="7D090CBC" w14:textId="77777777" w:rsidR="005C4D5A" w:rsidRDefault="005C4D5A" w:rsidP="005C4D5A">
      <w:pPr>
        <w:pStyle w:val="Heading2"/>
      </w:pPr>
      <w:r>
        <w:t>Therapeutic effectiveness (health benefit from change in management)</w:t>
      </w:r>
    </w:p>
    <w:p w14:paraId="6331ACA4" w14:textId="534AA33D" w:rsidR="005C4D5A" w:rsidRDefault="005C4D5A" w:rsidP="008772BC">
      <w:pPr>
        <w:spacing w:after="240"/>
      </w:pPr>
      <w:r>
        <w:t>The CA stated that p</w:t>
      </w:r>
      <w:r w:rsidRPr="00E80CE1">
        <w:t xml:space="preserve">erforming whole </w:t>
      </w:r>
      <w:r>
        <w:t>GWMA</w:t>
      </w:r>
      <w:r w:rsidRPr="00E80CE1">
        <w:t xml:space="preserve"> testing </w:t>
      </w:r>
      <w:r>
        <w:t>would</w:t>
      </w:r>
      <w:r w:rsidRPr="00E80CE1">
        <w:t xml:space="preserve"> not result in a change in management resulting from the test, when compared to conventional karyotyp</w:t>
      </w:r>
      <w:r>
        <w:t>e testing</w:t>
      </w:r>
      <w:r w:rsidRPr="00E80CE1">
        <w:t>.</w:t>
      </w:r>
      <w:r>
        <w:t xml:space="preserve"> ESC noted this assumption would only be valid if the genetic diagnosis is diagnosable by both testing methods</w:t>
      </w:r>
      <w:r w:rsidR="0018776C">
        <w:t>.</w:t>
      </w:r>
      <w:r w:rsidRPr="00E80CE1">
        <w:t xml:space="preserve"> </w:t>
      </w:r>
      <w:r w:rsidR="0018776C">
        <w:t>A</w:t>
      </w:r>
      <w:r w:rsidR="0018776C" w:rsidRPr="00E80CE1">
        <w:t>ccording to the clinical management algorithm</w:t>
      </w:r>
      <w:r w:rsidR="0018776C">
        <w:t>,</w:t>
      </w:r>
      <w:r w:rsidR="0018776C" w:rsidRPr="00E80CE1">
        <w:t xml:space="preserve"> </w:t>
      </w:r>
      <w:r w:rsidR="0018776C">
        <w:t>t</w:t>
      </w:r>
      <w:r w:rsidRPr="00E80CE1">
        <w:t xml:space="preserve">he subsequent actions on receiving a positive result from </w:t>
      </w:r>
      <w:r w:rsidR="0018776C">
        <w:t>either</w:t>
      </w:r>
      <w:r>
        <w:t xml:space="preserve"> </w:t>
      </w:r>
      <w:r w:rsidRPr="00E80CE1">
        <w:t>test are the same.</w:t>
      </w:r>
    </w:p>
    <w:p w14:paraId="6C99A918" w14:textId="5C5239CF" w:rsidR="005C4D5A" w:rsidRDefault="005C4D5A" w:rsidP="008772BC">
      <w:pPr>
        <w:spacing w:after="240"/>
      </w:pPr>
      <w:r>
        <w:t xml:space="preserve">However, </w:t>
      </w:r>
      <w:r w:rsidR="00E6443F">
        <w:t>if</w:t>
      </w:r>
      <w:r w:rsidRPr="00E07D7B">
        <w:t xml:space="preserve"> there is a differential diagnostic yield</w:t>
      </w:r>
      <w:r>
        <w:t xml:space="preserve"> between karyotyping and GWMA</w:t>
      </w:r>
      <w:r w:rsidRPr="00E07D7B">
        <w:t xml:space="preserve">, there </w:t>
      </w:r>
      <w:r w:rsidR="00E6443F">
        <w:t xml:space="preserve">would be an expected </w:t>
      </w:r>
      <w:r>
        <w:t>resultant difference in pregnancy management.</w:t>
      </w:r>
    </w:p>
    <w:p w14:paraId="5DF8F4DA" w14:textId="77777777" w:rsidR="005C4D5A" w:rsidRDefault="005C4D5A" w:rsidP="005C4D5A">
      <w:r w:rsidRPr="00DF5E50">
        <w:t>However</w:t>
      </w:r>
      <w:r>
        <w:t>, ESC noted</w:t>
      </w:r>
      <w:r w:rsidRPr="00DF5E50">
        <w:t>, this fails to consider, as a result of GWMA:</w:t>
      </w:r>
    </w:p>
    <w:p w14:paraId="32D64835" w14:textId="77777777" w:rsidR="005C4D5A" w:rsidRDefault="005C4D5A" w:rsidP="005C4D5A">
      <w:pPr>
        <w:pStyle w:val="ListParagraph"/>
        <w:numPr>
          <w:ilvl w:val="0"/>
          <w:numId w:val="8"/>
        </w:numPr>
      </w:pPr>
      <w:r w:rsidRPr="00DF5E50">
        <w:t xml:space="preserve">increased </w:t>
      </w:r>
      <w:r>
        <w:t>number</w:t>
      </w:r>
      <w:r w:rsidRPr="00DF5E50">
        <w:t xml:space="preserve"> of pregnancies </w:t>
      </w:r>
      <w:r>
        <w:t xml:space="preserve">potentially </w:t>
      </w:r>
      <w:r w:rsidRPr="00DF5E50">
        <w:t>eligible for termination;</w:t>
      </w:r>
    </w:p>
    <w:p w14:paraId="619CDA24" w14:textId="77777777" w:rsidR="005C4D5A" w:rsidRDefault="005C4D5A" w:rsidP="005C4D5A">
      <w:pPr>
        <w:pStyle w:val="ListParagraph"/>
        <w:numPr>
          <w:ilvl w:val="0"/>
          <w:numId w:val="8"/>
        </w:numPr>
      </w:pPr>
      <w:r w:rsidRPr="00DF5E50">
        <w:t>increased need for counselling;</w:t>
      </w:r>
    </w:p>
    <w:p w14:paraId="59697C74" w14:textId="77777777" w:rsidR="005C4D5A" w:rsidRDefault="005C4D5A" w:rsidP="005C4D5A">
      <w:pPr>
        <w:pStyle w:val="ListParagraph"/>
        <w:numPr>
          <w:ilvl w:val="0"/>
          <w:numId w:val="8"/>
        </w:numPr>
      </w:pPr>
      <w:r w:rsidRPr="00DF5E50">
        <w:t>possible need for genetic counselling to interpret:</w:t>
      </w:r>
    </w:p>
    <w:p w14:paraId="3ED86521" w14:textId="77777777" w:rsidR="005C4D5A" w:rsidRDefault="005C4D5A" w:rsidP="005C4D5A">
      <w:pPr>
        <w:pStyle w:val="ListParagraph"/>
        <w:numPr>
          <w:ilvl w:val="1"/>
          <w:numId w:val="7"/>
        </w:numPr>
      </w:pPr>
      <w:r w:rsidRPr="00DF5E50">
        <w:t>VUS;</w:t>
      </w:r>
    </w:p>
    <w:p w14:paraId="6B46DB23" w14:textId="1823573A" w:rsidR="00E6443F" w:rsidRPr="008772BC" w:rsidRDefault="005C4D5A" w:rsidP="005C4D5A">
      <w:pPr>
        <w:pStyle w:val="ListParagraph"/>
        <w:numPr>
          <w:ilvl w:val="1"/>
          <w:numId w:val="7"/>
        </w:numPr>
        <w:rPr>
          <w:i/>
          <w:iCs/>
        </w:rPr>
      </w:pPr>
      <w:r w:rsidRPr="00DF5E50">
        <w:t>actionable unsolicited (“incidental”) findings.</w:t>
      </w:r>
    </w:p>
    <w:p w14:paraId="23799A61" w14:textId="67939F8C" w:rsidR="005C4D5A" w:rsidRDefault="005C4D5A" w:rsidP="008772BC">
      <w:pPr>
        <w:spacing w:before="240" w:after="240"/>
      </w:pPr>
      <w:r>
        <w:t>Furthermore, ESC considered a k</w:t>
      </w:r>
      <w:r w:rsidRPr="009102EB">
        <w:t xml:space="preserve">ey management question: “How will GMWA (or karyotype) </w:t>
      </w:r>
      <w:r w:rsidRPr="00DF5E50">
        <w:t>vs</w:t>
      </w:r>
      <w:r w:rsidRPr="009102EB">
        <w:t>. morphoplogy (‘major fetal structural abnormality/ies</w:t>
      </w:r>
      <w:r>
        <w:t xml:space="preserve"> detected on ultrasound</w:t>
      </w:r>
      <w:r w:rsidRPr="009102EB">
        <w:t xml:space="preserve">’) influence </w:t>
      </w:r>
      <w:r>
        <w:t xml:space="preserve">a </w:t>
      </w:r>
      <w:r w:rsidRPr="009102EB">
        <w:t xml:space="preserve">decision for </w:t>
      </w:r>
      <w:r>
        <w:t>termination of pregnancy (</w:t>
      </w:r>
      <w:r w:rsidRPr="009102EB">
        <w:t>ToP?</w:t>
      </w:r>
      <w:r>
        <w:t>)</w:t>
      </w:r>
      <w:r w:rsidRPr="009102EB">
        <w:t xml:space="preserve">” – </w:t>
      </w:r>
      <w:r>
        <w:t xml:space="preserve">was </w:t>
      </w:r>
      <w:r w:rsidRPr="009102EB">
        <w:t>not addressed.</w:t>
      </w:r>
    </w:p>
    <w:p w14:paraId="0B245229" w14:textId="3E869F48" w:rsidR="005028BF" w:rsidRDefault="005028BF" w:rsidP="0004523B">
      <w:pPr>
        <w:tabs>
          <w:tab w:val="left" w:pos="720"/>
          <w:tab w:val="left" w:pos="1140"/>
        </w:tabs>
        <w:spacing w:after="120"/>
        <w:rPr>
          <w:b/>
          <w:szCs w:val="24"/>
        </w:rPr>
      </w:pPr>
      <w:r w:rsidRPr="00F37B9C">
        <w:rPr>
          <w:b/>
          <w:szCs w:val="24"/>
        </w:rPr>
        <w:t xml:space="preserve">Clinical </w:t>
      </w:r>
      <w:r w:rsidR="00E6443F" w:rsidRPr="00F37B9C">
        <w:rPr>
          <w:b/>
          <w:szCs w:val="24"/>
        </w:rPr>
        <w:t>c</w:t>
      </w:r>
      <w:r w:rsidRPr="00F37B9C">
        <w:rPr>
          <w:b/>
          <w:szCs w:val="24"/>
        </w:rPr>
        <w:t>laim</w:t>
      </w:r>
    </w:p>
    <w:p w14:paraId="795CFBD7" w14:textId="7C528E82" w:rsidR="005C4D5A" w:rsidRPr="008772BC" w:rsidRDefault="005C4D5A" w:rsidP="008772BC">
      <w:pPr>
        <w:spacing w:after="240"/>
        <w:jc w:val="both"/>
        <w:rPr>
          <w:bCs/>
        </w:rPr>
      </w:pPr>
      <w:r w:rsidRPr="00AF3389">
        <w:t xml:space="preserve">On the basis of the benefits and harms reported in the evidence base, </w:t>
      </w:r>
      <w:r w:rsidRPr="00AF3389">
        <w:rPr>
          <w:bCs/>
        </w:rPr>
        <w:t xml:space="preserve">it </w:t>
      </w:r>
      <w:r>
        <w:rPr>
          <w:bCs/>
        </w:rPr>
        <w:t>was</w:t>
      </w:r>
      <w:r w:rsidRPr="00AF3389">
        <w:rPr>
          <w:bCs/>
        </w:rPr>
        <w:t xml:space="preserve"> </w:t>
      </w:r>
      <w:r>
        <w:rPr>
          <w:bCs/>
        </w:rPr>
        <w:t xml:space="preserve">claimed by the </w:t>
      </w:r>
      <w:r>
        <w:t>CA</w:t>
      </w:r>
      <w:r>
        <w:rPr>
          <w:bCs/>
        </w:rPr>
        <w:t xml:space="preserve"> </w:t>
      </w:r>
      <w:r w:rsidRPr="00AF3389">
        <w:rPr>
          <w:bCs/>
        </w:rPr>
        <w:t xml:space="preserve">that, relative to </w:t>
      </w:r>
      <w:r>
        <w:rPr>
          <w:bCs/>
        </w:rPr>
        <w:t>karyotyping</w:t>
      </w:r>
      <w:r w:rsidRPr="00AF3389">
        <w:rPr>
          <w:bCs/>
        </w:rPr>
        <w:t xml:space="preserve">, </w:t>
      </w:r>
      <w:r>
        <w:t>GWMA</w:t>
      </w:r>
      <w:r w:rsidRPr="00AF3389">
        <w:rPr>
          <w:bCs/>
        </w:rPr>
        <w:t xml:space="preserve"> has non-inferior safety and superior effectiveness.</w:t>
      </w:r>
    </w:p>
    <w:p w14:paraId="613800B5" w14:textId="54A38BBC" w:rsidR="005C4D5A" w:rsidRPr="00373ED7" w:rsidRDefault="005C4D5A" w:rsidP="00373ED7">
      <w:r>
        <w:t xml:space="preserve">The Critique stated the claim for non-inferior safety was reasonable since </w:t>
      </w:r>
      <w:r w:rsidRPr="00A4274B">
        <w:t xml:space="preserve">the risk of amniocentesis and chorionic villus sampling affect </w:t>
      </w:r>
      <w:r>
        <w:t>GWMA and k</w:t>
      </w:r>
      <w:r w:rsidRPr="00A4274B">
        <w:t>aryotype testing equally and there is no evidence for the effect of increased diagnosis on parental health and wellbeing.</w:t>
      </w:r>
      <w:r>
        <w:t xml:space="preserve"> However, the claim for superior </w:t>
      </w:r>
      <w:r w:rsidRPr="00A4274B">
        <w:t xml:space="preserve">effectiveness </w:t>
      </w:r>
      <w:r>
        <w:t>wa</w:t>
      </w:r>
      <w:r w:rsidRPr="00A4274B">
        <w:t>s uncertain</w:t>
      </w:r>
      <w:r>
        <w:t>. Sensitivity and specificity data suggest a marginal difference relating to a trend in higher sensitivity for GWMA</w:t>
      </w:r>
      <w:r>
        <w:rPr>
          <w:bCs/>
        </w:rPr>
        <w:t xml:space="preserve"> microarray</w:t>
      </w:r>
      <w:r>
        <w:t xml:space="preserve"> versus karyotyping, but how this relates to the severity of the diagnosis is not available in the clinical evidence. A </w:t>
      </w:r>
      <w:r w:rsidRPr="00EA4A81">
        <w:t xml:space="preserve">systematic review by Hillman et al (2013) </w:t>
      </w:r>
      <w:r>
        <w:t xml:space="preserve">showed that </w:t>
      </w:r>
      <w:r w:rsidRPr="00EA4A81">
        <w:t xml:space="preserve">the excess rate of detection for </w:t>
      </w:r>
      <w:r>
        <w:t>GWMA over k</w:t>
      </w:r>
      <w:r w:rsidRPr="00EA4A81">
        <w:t xml:space="preserve">aryotype testing ranged from 0.4 to 50%. Also, conventional karyotyping revealed an extra 0.6% </w:t>
      </w:r>
      <w:r>
        <w:t xml:space="preserve">genetic </w:t>
      </w:r>
      <w:r w:rsidRPr="00EA4A81">
        <w:t>abnormality rate with a 95% CI of 0.2</w:t>
      </w:r>
      <w:r>
        <w:t>%</w:t>
      </w:r>
      <w:r w:rsidRPr="00EA4A81">
        <w:t xml:space="preserve">–1.6% when </w:t>
      </w:r>
      <w:r>
        <w:t>GWMA</w:t>
      </w:r>
      <w:r w:rsidRPr="00EA4A81">
        <w:t xml:space="preserve"> results were normal. When the analysis focused on patients with structural abnormality on ultrasound the excess rate of detection was 10% (95% CI = 8.4%-13.1%) for </w:t>
      </w:r>
      <w:r>
        <w:t>GWMA</w:t>
      </w:r>
      <w:r w:rsidRPr="00EA4A81">
        <w:t xml:space="preserve"> over karyotype testing and 0.8% (0.2-2.4%) for karyotype testing over </w:t>
      </w:r>
      <w:r>
        <w:t>GWMA</w:t>
      </w:r>
      <w:r w:rsidRPr="00EA4A81">
        <w:t xml:space="preserve">. These values </w:t>
      </w:r>
      <w:r>
        <w:t>confirm</w:t>
      </w:r>
      <w:r w:rsidRPr="00EA4A81">
        <w:t xml:space="preserve"> </w:t>
      </w:r>
      <w:r>
        <w:t>that</w:t>
      </w:r>
      <w:r w:rsidRPr="00EA4A81">
        <w:t xml:space="preserve"> karyotype testing and </w:t>
      </w:r>
      <w:r>
        <w:t>GWMA</w:t>
      </w:r>
      <w:r w:rsidRPr="00EA4A81">
        <w:t xml:space="preserve"> are not mutually exclusive.</w:t>
      </w:r>
    </w:p>
    <w:p w14:paraId="3C80171D" w14:textId="77777777" w:rsidR="005028BF" w:rsidRPr="00F715D1" w:rsidRDefault="005028BF" w:rsidP="005028BF">
      <w:pPr>
        <w:pStyle w:val="Heading1"/>
      </w:pPr>
      <w:r w:rsidRPr="00F715D1">
        <w:t>Economic evaluation</w:t>
      </w:r>
    </w:p>
    <w:p w14:paraId="3A5BB624" w14:textId="112AB340" w:rsidR="005C4D5A" w:rsidRPr="00E80CE1" w:rsidRDefault="005C4D5A" w:rsidP="008772BC">
      <w:pPr>
        <w:spacing w:after="240"/>
      </w:pPr>
      <w:r>
        <w:t>The CA presented a cost-effectiveness analysis, using a stepped economic evaluation. Step 1 was</w:t>
      </w:r>
      <w:r w:rsidRPr="00E80CE1">
        <w:t xml:space="preserve"> a trial-based evaluation calculating the incremental cost per pathogenic </w:t>
      </w:r>
      <w:r>
        <w:t>copy number variant (</w:t>
      </w:r>
      <w:r w:rsidRPr="00E80CE1">
        <w:t>CNV</w:t>
      </w:r>
      <w:r>
        <w:t xml:space="preserve">) </w:t>
      </w:r>
      <w:r w:rsidRPr="00E80CE1">
        <w:t>detected. Step 2 involve</w:t>
      </w:r>
      <w:r>
        <w:t>d</w:t>
      </w:r>
      <w:r w:rsidRPr="00E80CE1">
        <w:t xml:space="preserve"> considering the choice to terminate the pregnancy in response to the information from the</w:t>
      </w:r>
      <w:r>
        <w:t xml:space="preserve"> genomic testing, and calculated</w:t>
      </w:r>
      <w:r w:rsidRPr="00E80CE1">
        <w:t xml:space="preserve"> the incremental cost per abnorma</w:t>
      </w:r>
      <w:r>
        <w:t>l birth avoided as the outcome (Table 6). The Critique stated that no trial exists to conduct a trial-based evaluation.</w:t>
      </w:r>
    </w:p>
    <w:p w14:paraId="6B674B75" w14:textId="77777777" w:rsidR="005C4D5A" w:rsidRPr="00412BC0" w:rsidRDefault="005C4D5A" w:rsidP="00412BC0">
      <w:pPr>
        <w:rPr>
          <w:rFonts w:ascii="Arial Narrow" w:hAnsi="Arial Narrow"/>
          <w:b/>
          <w:sz w:val="20"/>
        </w:rPr>
      </w:pPr>
      <w:bookmarkStart w:id="17" w:name="_Ref6410080"/>
      <w:bookmarkStart w:id="18" w:name="_Toc6410505"/>
      <w:r w:rsidRPr="00412BC0">
        <w:rPr>
          <w:rFonts w:ascii="Arial Narrow" w:hAnsi="Arial Narrow"/>
          <w:b/>
          <w:sz w:val="20"/>
        </w:rPr>
        <w:t>Table</w:t>
      </w:r>
      <w:bookmarkEnd w:id="17"/>
      <w:r w:rsidRPr="00412BC0">
        <w:rPr>
          <w:rFonts w:ascii="Arial Narrow" w:hAnsi="Arial Narrow"/>
          <w:b/>
          <w:sz w:val="20"/>
        </w:rPr>
        <w:t xml:space="preserve"> 6:</w:t>
      </w:r>
      <w:r w:rsidRPr="00412BC0">
        <w:rPr>
          <w:rFonts w:ascii="Arial Narrow" w:hAnsi="Arial Narrow"/>
          <w:b/>
          <w:sz w:val="20"/>
        </w:rPr>
        <w:tab/>
        <w:t>Summary of the economic evaluation</w:t>
      </w:r>
      <w:bookmarkEnd w:id="18"/>
      <w:r w:rsidRPr="00412BC0">
        <w:rPr>
          <w:rFonts w:ascii="Arial Narrow" w:hAnsi="Arial Narrow"/>
          <w:b/>
          <w:sz w:val="20"/>
        </w:rPr>
        <w:t>; as summarised by the Critique and edited by ESC</w:t>
      </w:r>
    </w:p>
    <w:tbl>
      <w:tblPr>
        <w:tblStyle w:val="TableGrid"/>
        <w:tblW w:w="0" w:type="auto"/>
        <w:tblLook w:val="01E0" w:firstRow="1" w:lastRow="1" w:firstColumn="1" w:lastColumn="1" w:noHBand="0" w:noVBand="0"/>
        <w:tblDescription w:val="Summary of the economic evaluation; as summarised by the Critique and edited by ESC"/>
      </w:tblPr>
      <w:tblGrid>
        <w:gridCol w:w="2834"/>
        <w:gridCol w:w="6182"/>
      </w:tblGrid>
      <w:tr w:rsidR="005C4D5A" w:rsidRPr="00412BC0" w14:paraId="490884E4" w14:textId="77777777" w:rsidTr="00412BC0">
        <w:trPr>
          <w:trHeight w:val="20"/>
          <w:tblHeader/>
        </w:trPr>
        <w:tc>
          <w:tcPr>
            <w:tcW w:w="2835" w:type="dxa"/>
          </w:tcPr>
          <w:p w14:paraId="74C6B32C" w14:textId="77777777" w:rsidR="005C4D5A" w:rsidRPr="00412BC0" w:rsidRDefault="005C4D5A" w:rsidP="00D106F8">
            <w:pPr>
              <w:pStyle w:val="Tabletext0"/>
              <w:rPr>
                <w:b/>
              </w:rPr>
            </w:pPr>
            <w:r w:rsidRPr="00412BC0">
              <w:rPr>
                <w:b/>
              </w:rPr>
              <w:t>Perspective</w:t>
            </w:r>
          </w:p>
        </w:tc>
        <w:tc>
          <w:tcPr>
            <w:tcW w:w="6186" w:type="dxa"/>
          </w:tcPr>
          <w:p w14:paraId="05D49FF1" w14:textId="77777777" w:rsidR="005C4D5A" w:rsidRPr="00412BC0" w:rsidRDefault="005C4D5A" w:rsidP="00D106F8">
            <w:pPr>
              <w:pStyle w:val="Tabletext0"/>
              <w:rPr>
                <w:vanish/>
              </w:rPr>
            </w:pPr>
            <w:r w:rsidRPr="00412BC0">
              <w:rPr>
                <w:w w:val="90"/>
              </w:rPr>
              <w:t>Direct health care system costs</w:t>
            </w:r>
          </w:p>
        </w:tc>
      </w:tr>
      <w:tr w:rsidR="005C4D5A" w:rsidRPr="00412BC0" w14:paraId="328B4EC7" w14:textId="77777777" w:rsidTr="00412BC0">
        <w:trPr>
          <w:trHeight w:val="20"/>
        </w:trPr>
        <w:tc>
          <w:tcPr>
            <w:tcW w:w="2835" w:type="dxa"/>
          </w:tcPr>
          <w:p w14:paraId="66DEFC56" w14:textId="77777777" w:rsidR="005C4D5A" w:rsidRPr="00412BC0" w:rsidRDefault="005C4D5A" w:rsidP="00D106F8">
            <w:pPr>
              <w:pStyle w:val="Tabletext0"/>
              <w:rPr>
                <w:b/>
              </w:rPr>
            </w:pPr>
            <w:r w:rsidRPr="00412BC0">
              <w:rPr>
                <w:b/>
              </w:rPr>
              <w:t>Comparator</w:t>
            </w:r>
          </w:p>
        </w:tc>
        <w:tc>
          <w:tcPr>
            <w:tcW w:w="6186" w:type="dxa"/>
          </w:tcPr>
          <w:p w14:paraId="13836376" w14:textId="77777777" w:rsidR="005C4D5A" w:rsidRPr="00412BC0" w:rsidRDefault="005C4D5A" w:rsidP="00D106F8">
            <w:pPr>
              <w:pStyle w:val="Tabletext0"/>
              <w:rPr>
                <w:vanish/>
              </w:rPr>
            </w:pPr>
            <w:r w:rsidRPr="00412BC0">
              <w:rPr>
                <w:w w:val="90"/>
              </w:rPr>
              <w:t>Karyotyping</w:t>
            </w:r>
          </w:p>
        </w:tc>
      </w:tr>
      <w:tr w:rsidR="005C4D5A" w:rsidRPr="00412BC0" w14:paraId="23328DBB" w14:textId="77777777" w:rsidTr="00412BC0">
        <w:trPr>
          <w:trHeight w:val="20"/>
        </w:trPr>
        <w:tc>
          <w:tcPr>
            <w:tcW w:w="2835" w:type="dxa"/>
          </w:tcPr>
          <w:p w14:paraId="255A08E1" w14:textId="77777777" w:rsidR="005C4D5A" w:rsidRPr="00412BC0" w:rsidRDefault="005C4D5A" w:rsidP="00D106F8">
            <w:pPr>
              <w:pStyle w:val="Tabletext0"/>
              <w:rPr>
                <w:b/>
              </w:rPr>
            </w:pPr>
            <w:r w:rsidRPr="00412BC0">
              <w:rPr>
                <w:b/>
              </w:rPr>
              <w:t>Type of economic evaluation</w:t>
            </w:r>
          </w:p>
        </w:tc>
        <w:tc>
          <w:tcPr>
            <w:tcW w:w="6186" w:type="dxa"/>
          </w:tcPr>
          <w:p w14:paraId="0A135863" w14:textId="77777777" w:rsidR="005C4D5A" w:rsidRPr="00412BC0" w:rsidRDefault="005C4D5A" w:rsidP="00D106F8">
            <w:pPr>
              <w:rPr>
                <w:rFonts w:ascii="Arial Narrow" w:hAnsi="Arial Narrow"/>
                <w:vanish/>
                <w:sz w:val="20"/>
              </w:rPr>
            </w:pPr>
            <w:r w:rsidRPr="00412BC0">
              <w:rPr>
                <w:rFonts w:ascii="Arial Narrow" w:hAnsi="Arial Narrow"/>
                <w:w w:val="90"/>
                <w:sz w:val="20"/>
              </w:rPr>
              <w:t>Cost-effectiveness</w:t>
            </w:r>
          </w:p>
        </w:tc>
      </w:tr>
      <w:tr w:rsidR="005C4D5A" w:rsidRPr="00412BC0" w14:paraId="14506C10" w14:textId="77777777" w:rsidTr="00412BC0">
        <w:trPr>
          <w:trHeight w:val="20"/>
        </w:trPr>
        <w:tc>
          <w:tcPr>
            <w:tcW w:w="2835" w:type="dxa"/>
          </w:tcPr>
          <w:p w14:paraId="65740883" w14:textId="77777777" w:rsidR="005C4D5A" w:rsidRPr="00412BC0" w:rsidRDefault="005C4D5A" w:rsidP="00D106F8">
            <w:pPr>
              <w:pStyle w:val="Tabletext0"/>
              <w:rPr>
                <w:b/>
              </w:rPr>
            </w:pPr>
            <w:r w:rsidRPr="00412BC0">
              <w:rPr>
                <w:b/>
              </w:rPr>
              <w:t>Sources of evidence</w:t>
            </w:r>
          </w:p>
        </w:tc>
        <w:tc>
          <w:tcPr>
            <w:tcW w:w="6186" w:type="dxa"/>
          </w:tcPr>
          <w:p w14:paraId="2F7771AB" w14:textId="77777777" w:rsidR="005C4D5A" w:rsidRPr="00412BC0" w:rsidRDefault="005C4D5A" w:rsidP="00D106F8">
            <w:pPr>
              <w:pStyle w:val="Tabletext0"/>
              <w:rPr>
                <w:vanish/>
              </w:rPr>
            </w:pPr>
            <w:r w:rsidRPr="00412BC0">
              <w:rPr>
                <w:w w:val="90"/>
              </w:rPr>
              <w:t>Systematic literature review, general literature review</w:t>
            </w:r>
          </w:p>
        </w:tc>
      </w:tr>
      <w:tr w:rsidR="005C4D5A" w:rsidRPr="00412BC0" w14:paraId="3A9731CE" w14:textId="77777777" w:rsidTr="00412BC0">
        <w:trPr>
          <w:trHeight w:val="20"/>
        </w:trPr>
        <w:tc>
          <w:tcPr>
            <w:tcW w:w="2835" w:type="dxa"/>
            <w:hideMark/>
          </w:tcPr>
          <w:p w14:paraId="6C4E6B77" w14:textId="77777777" w:rsidR="005C4D5A" w:rsidRPr="00412BC0" w:rsidRDefault="005C4D5A" w:rsidP="00D106F8">
            <w:pPr>
              <w:pStyle w:val="Tabletext0"/>
              <w:rPr>
                <w:b/>
              </w:rPr>
            </w:pPr>
            <w:r w:rsidRPr="00412BC0">
              <w:rPr>
                <w:b/>
              </w:rPr>
              <w:t>Time horizon</w:t>
            </w:r>
          </w:p>
        </w:tc>
        <w:tc>
          <w:tcPr>
            <w:tcW w:w="6186" w:type="dxa"/>
            <w:hideMark/>
          </w:tcPr>
          <w:p w14:paraId="177DA347" w14:textId="77777777" w:rsidR="005C4D5A" w:rsidRPr="00412BC0" w:rsidRDefault="005C4D5A" w:rsidP="00D106F8">
            <w:pPr>
              <w:pStyle w:val="TableParagraph"/>
              <w:rPr>
                <w:sz w:val="20"/>
                <w:szCs w:val="20"/>
              </w:rPr>
            </w:pPr>
            <w:r w:rsidRPr="00412BC0">
              <w:rPr>
                <w:w w:val="90"/>
                <w:sz w:val="20"/>
                <w:szCs w:val="20"/>
              </w:rPr>
              <w:t>Step 1: trial-based</w:t>
            </w:r>
          </w:p>
          <w:p w14:paraId="49ED95C3" w14:textId="77777777" w:rsidR="005C4D5A" w:rsidRPr="00412BC0" w:rsidRDefault="005C4D5A" w:rsidP="00D106F8">
            <w:pPr>
              <w:pStyle w:val="Tabletext0"/>
              <w:rPr>
                <w:w w:val="90"/>
              </w:rPr>
            </w:pPr>
            <w:r w:rsidRPr="00412BC0">
              <w:rPr>
                <w:w w:val="90"/>
              </w:rPr>
              <w:t>Step 2: up to one month after birth (however, the “time horizon” is dictated by the length of stay in hospital due to neonatal care and the upper bound DRG is almost 6 months)</w:t>
            </w:r>
          </w:p>
        </w:tc>
      </w:tr>
      <w:tr w:rsidR="005C4D5A" w:rsidRPr="00412BC0" w14:paraId="429B7987" w14:textId="77777777" w:rsidTr="00412BC0">
        <w:trPr>
          <w:trHeight w:val="20"/>
        </w:trPr>
        <w:tc>
          <w:tcPr>
            <w:tcW w:w="2835" w:type="dxa"/>
            <w:hideMark/>
          </w:tcPr>
          <w:p w14:paraId="555E8F1D" w14:textId="77777777" w:rsidR="005C4D5A" w:rsidRPr="00412BC0" w:rsidRDefault="005C4D5A" w:rsidP="00D106F8">
            <w:pPr>
              <w:pStyle w:val="Tabletext0"/>
              <w:rPr>
                <w:b/>
              </w:rPr>
            </w:pPr>
            <w:r w:rsidRPr="00412BC0">
              <w:rPr>
                <w:b/>
              </w:rPr>
              <w:t>Outcomes</w:t>
            </w:r>
          </w:p>
        </w:tc>
        <w:tc>
          <w:tcPr>
            <w:tcW w:w="6186" w:type="dxa"/>
          </w:tcPr>
          <w:p w14:paraId="27A53F3A" w14:textId="77777777" w:rsidR="005C4D5A" w:rsidRPr="00412BC0" w:rsidRDefault="005C4D5A" w:rsidP="00D106F8">
            <w:pPr>
              <w:pStyle w:val="Tabletext0"/>
              <w:rPr>
                <w:w w:val="85"/>
              </w:rPr>
            </w:pPr>
            <w:r w:rsidRPr="00412BC0">
              <w:rPr>
                <w:w w:val="85"/>
              </w:rPr>
              <w:t>Step</w:t>
            </w:r>
            <w:r w:rsidRPr="00412BC0">
              <w:rPr>
                <w:spacing w:val="-21"/>
                <w:w w:val="85"/>
              </w:rPr>
              <w:t xml:space="preserve"> </w:t>
            </w:r>
            <w:r w:rsidRPr="00412BC0">
              <w:rPr>
                <w:w w:val="85"/>
              </w:rPr>
              <w:t>1:</w:t>
            </w:r>
            <w:r w:rsidRPr="00412BC0">
              <w:rPr>
                <w:spacing w:val="-21"/>
                <w:w w:val="85"/>
              </w:rPr>
              <w:t xml:space="preserve"> </w:t>
            </w:r>
            <w:r w:rsidRPr="00412BC0">
              <w:rPr>
                <w:w w:val="85"/>
              </w:rPr>
              <w:t>cost</w:t>
            </w:r>
            <w:r w:rsidRPr="00412BC0">
              <w:rPr>
                <w:spacing w:val="-21"/>
                <w:w w:val="85"/>
              </w:rPr>
              <w:t xml:space="preserve"> </w:t>
            </w:r>
            <w:r w:rsidRPr="00412BC0">
              <w:rPr>
                <w:w w:val="85"/>
              </w:rPr>
              <w:t>per</w:t>
            </w:r>
            <w:r w:rsidRPr="00412BC0">
              <w:rPr>
                <w:spacing w:val="-20"/>
                <w:w w:val="85"/>
              </w:rPr>
              <w:t xml:space="preserve"> </w:t>
            </w:r>
            <w:r w:rsidRPr="00412BC0">
              <w:rPr>
                <w:w w:val="85"/>
              </w:rPr>
              <w:t>pathogenic</w:t>
            </w:r>
            <w:r w:rsidRPr="00412BC0">
              <w:rPr>
                <w:spacing w:val="-20"/>
                <w:w w:val="85"/>
              </w:rPr>
              <w:t xml:space="preserve"> </w:t>
            </w:r>
            <w:r w:rsidRPr="00412BC0">
              <w:rPr>
                <w:w w:val="85"/>
              </w:rPr>
              <w:t>CNV</w:t>
            </w:r>
            <w:r w:rsidRPr="00412BC0">
              <w:rPr>
                <w:spacing w:val="-20"/>
                <w:w w:val="85"/>
              </w:rPr>
              <w:t xml:space="preserve"> </w:t>
            </w:r>
            <w:r w:rsidRPr="00412BC0">
              <w:rPr>
                <w:w w:val="85"/>
              </w:rPr>
              <w:t xml:space="preserve">detected </w:t>
            </w:r>
          </w:p>
          <w:p w14:paraId="097758EF" w14:textId="77777777" w:rsidR="005C4D5A" w:rsidRPr="00412BC0" w:rsidRDefault="005C4D5A" w:rsidP="00D106F8">
            <w:pPr>
              <w:pStyle w:val="Tabletext0"/>
              <w:rPr>
                <w:vertAlign w:val="superscript"/>
              </w:rPr>
            </w:pPr>
            <w:r w:rsidRPr="00412BC0">
              <w:rPr>
                <w:w w:val="90"/>
              </w:rPr>
              <w:t>Step</w:t>
            </w:r>
            <w:r w:rsidRPr="00412BC0">
              <w:rPr>
                <w:spacing w:val="-26"/>
                <w:w w:val="90"/>
              </w:rPr>
              <w:t xml:space="preserve"> </w:t>
            </w:r>
            <w:r w:rsidRPr="00412BC0">
              <w:rPr>
                <w:w w:val="90"/>
              </w:rPr>
              <w:t>2:</w:t>
            </w:r>
            <w:r w:rsidRPr="00412BC0">
              <w:rPr>
                <w:spacing w:val="-26"/>
                <w:w w:val="90"/>
              </w:rPr>
              <w:t xml:space="preserve"> </w:t>
            </w:r>
            <w:r w:rsidRPr="00412BC0">
              <w:rPr>
                <w:w w:val="90"/>
              </w:rPr>
              <w:t>cost</w:t>
            </w:r>
            <w:r w:rsidRPr="00412BC0">
              <w:rPr>
                <w:spacing w:val="-27"/>
                <w:w w:val="90"/>
              </w:rPr>
              <w:t xml:space="preserve"> </w:t>
            </w:r>
            <w:r w:rsidRPr="00412BC0">
              <w:rPr>
                <w:w w:val="90"/>
              </w:rPr>
              <w:t>per</w:t>
            </w:r>
            <w:r w:rsidRPr="00412BC0">
              <w:rPr>
                <w:spacing w:val="-25"/>
                <w:w w:val="90"/>
              </w:rPr>
              <w:t xml:space="preserve"> </w:t>
            </w:r>
            <w:r w:rsidRPr="00412BC0">
              <w:rPr>
                <w:strike/>
                <w:w w:val="90"/>
              </w:rPr>
              <w:t>complex</w:t>
            </w:r>
            <w:r w:rsidRPr="00412BC0">
              <w:rPr>
                <w:strike/>
                <w:spacing w:val="-26"/>
                <w:w w:val="90"/>
              </w:rPr>
              <w:t xml:space="preserve"> </w:t>
            </w:r>
            <w:r w:rsidRPr="00412BC0">
              <w:rPr>
                <w:strike/>
                <w:w w:val="90"/>
              </w:rPr>
              <w:t>birth</w:t>
            </w:r>
            <w:r w:rsidRPr="00412BC0">
              <w:rPr>
                <w:spacing w:val="-25"/>
                <w:w w:val="90"/>
              </w:rPr>
              <w:t xml:space="preserve"> </w:t>
            </w:r>
            <w:r w:rsidRPr="00412BC0">
              <w:rPr>
                <w:w w:val="90"/>
              </w:rPr>
              <w:t>avoided</w:t>
            </w:r>
            <w:r w:rsidRPr="00412BC0">
              <w:rPr>
                <w:w w:val="90"/>
                <w:vertAlign w:val="superscript"/>
              </w:rPr>
              <w:t>a</w:t>
            </w:r>
          </w:p>
        </w:tc>
      </w:tr>
      <w:tr w:rsidR="005C4D5A" w:rsidRPr="00412BC0" w14:paraId="31C2399A" w14:textId="77777777" w:rsidTr="00412BC0">
        <w:trPr>
          <w:trHeight w:val="20"/>
        </w:trPr>
        <w:tc>
          <w:tcPr>
            <w:tcW w:w="2835" w:type="dxa"/>
            <w:hideMark/>
          </w:tcPr>
          <w:p w14:paraId="61920C6E" w14:textId="77777777" w:rsidR="005C4D5A" w:rsidRPr="00412BC0" w:rsidRDefault="005C4D5A" w:rsidP="00D106F8">
            <w:pPr>
              <w:pStyle w:val="Tabletext0"/>
              <w:rPr>
                <w:b/>
              </w:rPr>
            </w:pPr>
            <w:r w:rsidRPr="00412BC0">
              <w:rPr>
                <w:b/>
              </w:rPr>
              <w:t>Methods used to generate results</w:t>
            </w:r>
          </w:p>
        </w:tc>
        <w:tc>
          <w:tcPr>
            <w:tcW w:w="6186" w:type="dxa"/>
          </w:tcPr>
          <w:p w14:paraId="3AF3B061" w14:textId="77777777" w:rsidR="005C4D5A" w:rsidRPr="00412BC0" w:rsidRDefault="005C4D5A" w:rsidP="00D106F8">
            <w:pPr>
              <w:pStyle w:val="Tabletext0"/>
            </w:pPr>
            <w:r w:rsidRPr="00412BC0">
              <w:rPr>
                <w:w w:val="90"/>
              </w:rPr>
              <w:t>Decision tree</w:t>
            </w:r>
          </w:p>
        </w:tc>
      </w:tr>
      <w:tr w:rsidR="005C4D5A" w:rsidRPr="00412BC0" w14:paraId="2801F60E" w14:textId="77777777" w:rsidTr="00412BC0">
        <w:trPr>
          <w:trHeight w:val="20"/>
        </w:trPr>
        <w:tc>
          <w:tcPr>
            <w:tcW w:w="2835" w:type="dxa"/>
            <w:hideMark/>
          </w:tcPr>
          <w:p w14:paraId="0328A3EA" w14:textId="77777777" w:rsidR="005C4D5A" w:rsidRPr="00412BC0" w:rsidRDefault="005C4D5A" w:rsidP="00D106F8">
            <w:pPr>
              <w:pStyle w:val="Tabletext0"/>
              <w:rPr>
                <w:b/>
              </w:rPr>
            </w:pPr>
            <w:r w:rsidRPr="00412BC0">
              <w:rPr>
                <w:b/>
              </w:rPr>
              <w:t>Discount rate</w:t>
            </w:r>
          </w:p>
        </w:tc>
        <w:tc>
          <w:tcPr>
            <w:tcW w:w="6186" w:type="dxa"/>
          </w:tcPr>
          <w:p w14:paraId="4924E8C0" w14:textId="77777777" w:rsidR="005C4D5A" w:rsidRPr="00412BC0" w:rsidRDefault="005C4D5A" w:rsidP="00D106F8">
            <w:pPr>
              <w:pStyle w:val="Tabletext0"/>
            </w:pPr>
            <w:r w:rsidRPr="00412BC0">
              <w:rPr>
                <w:w w:val="90"/>
              </w:rPr>
              <w:t>Not applicable as model duration is less than one year</w:t>
            </w:r>
          </w:p>
        </w:tc>
      </w:tr>
      <w:tr w:rsidR="005C4D5A" w:rsidRPr="00412BC0" w14:paraId="4B932D31" w14:textId="77777777" w:rsidTr="00412BC0">
        <w:trPr>
          <w:trHeight w:val="20"/>
        </w:trPr>
        <w:tc>
          <w:tcPr>
            <w:tcW w:w="2835" w:type="dxa"/>
            <w:hideMark/>
          </w:tcPr>
          <w:p w14:paraId="6E493B91" w14:textId="77777777" w:rsidR="005C4D5A" w:rsidRPr="00412BC0" w:rsidRDefault="005C4D5A" w:rsidP="00D106F8">
            <w:pPr>
              <w:pStyle w:val="Tabletext0"/>
              <w:rPr>
                <w:b/>
              </w:rPr>
            </w:pPr>
            <w:r w:rsidRPr="00412BC0">
              <w:rPr>
                <w:b/>
              </w:rPr>
              <w:t>Software packages used</w:t>
            </w:r>
          </w:p>
        </w:tc>
        <w:tc>
          <w:tcPr>
            <w:tcW w:w="6186" w:type="dxa"/>
          </w:tcPr>
          <w:p w14:paraId="0A7F2AA2" w14:textId="77777777" w:rsidR="005C4D5A" w:rsidRPr="00412BC0" w:rsidRDefault="005C4D5A" w:rsidP="00D106F8">
            <w:pPr>
              <w:pStyle w:val="Tabletext0"/>
            </w:pPr>
            <w:r w:rsidRPr="00412BC0">
              <w:t>Microsoft Excel 2016</w:t>
            </w:r>
          </w:p>
        </w:tc>
      </w:tr>
    </w:tbl>
    <w:p w14:paraId="68398E4F" w14:textId="77777777" w:rsidR="005C4D5A" w:rsidRDefault="005C4D5A" w:rsidP="005C4D5A">
      <w:pPr>
        <w:pStyle w:val="Tablecaption"/>
        <w:rPr>
          <w:sz w:val="18"/>
        </w:rPr>
      </w:pPr>
      <w:r>
        <w:rPr>
          <w:sz w:val="18"/>
        </w:rPr>
        <w:t>Source: Table 7, p20 of the Critique</w:t>
      </w:r>
    </w:p>
    <w:p w14:paraId="031560EB" w14:textId="3082A4CB" w:rsidR="005C4D5A" w:rsidRPr="00FD653B" w:rsidRDefault="005C4D5A" w:rsidP="0059171C">
      <w:pPr>
        <w:pStyle w:val="Tablecaption"/>
        <w:keepNext w:val="0"/>
        <w:keepLines w:val="0"/>
        <w:rPr>
          <w:i/>
          <w:sz w:val="18"/>
        </w:rPr>
      </w:pPr>
      <w:r>
        <w:rPr>
          <w:sz w:val="18"/>
          <w:vertAlign w:val="superscript"/>
        </w:rPr>
        <w:t xml:space="preserve">a </w:t>
      </w:r>
      <w:r w:rsidRPr="00FD653B">
        <w:rPr>
          <w:i/>
          <w:sz w:val="18"/>
        </w:rPr>
        <w:t xml:space="preserve">ESC noted this term </w:t>
      </w:r>
      <w:r>
        <w:rPr>
          <w:i/>
          <w:sz w:val="18"/>
        </w:rPr>
        <w:t>(</w:t>
      </w:r>
      <w:r w:rsidR="0059171C">
        <w:rPr>
          <w:i/>
          <w:sz w:val="18"/>
        </w:rPr>
        <w:t>‘</w:t>
      </w:r>
      <w:r w:rsidRPr="00D736A5">
        <w:rPr>
          <w:i/>
          <w:strike/>
          <w:sz w:val="18"/>
        </w:rPr>
        <w:t>complex birth</w:t>
      </w:r>
      <w:r w:rsidR="0059171C">
        <w:rPr>
          <w:i/>
          <w:sz w:val="18"/>
        </w:rPr>
        <w:t>’)</w:t>
      </w:r>
      <w:r>
        <w:rPr>
          <w:i/>
          <w:sz w:val="18"/>
        </w:rPr>
        <w:t xml:space="preserve"> </w:t>
      </w:r>
      <w:r w:rsidRPr="00FD653B">
        <w:rPr>
          <w:i/>
          <w:sz w:val="18"/>
        </w:rPr>
        <w:t>is not correct. This should be amended to ‘child with major structural abnormality/ties’</w:t>
      </w:r>
    </w:p>
    <w:p w14:paraId="6633C048" w14:textId="77777777" w:rsidR="005C4D5A" w:rsidRDefault="005C4D5A" w:rsidP="005C4D5A">
      <w:pPr>
        <w:spacing w:before="120"/>
        <w:jc w:val="both"/>
      </w:pPr>
      <w:r>
        <w:t>K</w:t>
      </w:r>
      <w:r w:rsidRPr="00E80CE1">
        <w:t>ey struc</w:t>
      </w:r>
      <w:r>
        <w:t>tural assumptions of the model were:</w:t>
      </w:r>
    </w:p>
    <w:p w14:paraId="6A646ABD" w14:textId="0E8080C4" w:rsidR="005C4D5A" w:rsidRDefault="005C4D5A" w:rsidP="001E27A5">
      <w:pPr>
        <w:pStyle w:val="ListParagraph"/>
        <w:numPr>
          <w:ilvl w:val="0"/>
          <w:numId w:val="10"/>
        </w:numPr>
        <w:spacing w:before="120"/>
      </w:pPr>
      <w:r w:rsidRPr="00E80CE1">
        <w:t xml:space="preserve">that there would be no terminations if a fetus was found to be free of </w:t>
      </w:r>
      <w:r>
        <w:t xml:space="preserve">genetic </w:t>
      </w:r>
      <w:r w:rsidRPr="00E80CE1">
        <w:t>abnormalities based on both gen</w:t>
      </w:r>
      <w:r w:rsidR="00E6443F">
        <w:t>et</w:t>
      </w:r>
      <w:r w:rsidRPr="00E80CE1">
        <w:t>ic testing.</w:t>
      </w:r>
      <w:r>
        <w:t xml:space="preserve"> The Critique considered this acceptable. However, ESC considered this assumption was incorrect as terminations are currently permitted (depending on State legislation) for severe structural abnormalities which are known to be lethal e.g. anencephaly</w:t>
      </w:r>
      <w:r w:rsidR="00D81E7B">
        <w:t>, renal agenesis</w:t>
      </w:r>
      <w:r>
        <w:t xml:space="preserve"> or </w:t>
      </w:r>
      <w:r w:rsidR="00D81E7B">
        <w:t>pulmonary hypoplasia</w:t>
      </w:r>
      <w:r>
        <w:t>), in the absence of genetic testing.</w:t>
      </w:r>
    </w:p>
    <w:p w14:paraId="6B8AB489" w14:textId="77777777" w:rsidR="00E6443F" w:rsidRDefault="005C4D5A" w:rsidP="001E27A5">
      <w:pPr>
        <w:pStyle w:val="ListParagraph"/>
        <w:numPr>
          <w:ilvl w:val="0"/>
          <w:numId w:val="10"/>
        </w:numPr>
        <w:spacing w:before="120"/>
      </w:pPr>
      <w:r>
        <w:t>all GWMA results are true.</w:t>
      </w:r>
    </w:p>
    <w:p w14:paraId="496DB63D" w14:textId="0B07B988" w:rsidR="0004523B" w:rsidRDefault="005C4D5A" w:rsidP="008772BC">
      <w:pPr>
        <w:pStyle w:val="ListParagraph"/>
        <w:numPr>
          <w:ilvl w:val="0"/>
          <w:numId w:val="10"/>
        </w:numPr>
        <w:spacing w:before="120"/>
      </w:pPr>
      <w:r w:rsidRPr="00E6443F">
        <w:t>the</w:t>
      </w:r>
      <w:r w:rsidRPr="00E6443F">
        <w:rPr>
          <w:szCs w:val="22"/>
        </w:rPr>
        <w:t xml:space="preserve"> probability that an elective termination (94.7%) is chosen is equal regardless of whether the abnormality is detected by </w:t>
      </w:r>
      <w:r>
        <w:t>GWMA</w:t>
      </w:r>
      <w:r w:rsidRPr="00E6443F">
        <w:rPr>
          <w:szCs w:val="22"/>
        </w:rPr>
        <w:t xml:space="preserve"> or karyotyping. </w:t>
      </w:r>
      <w:r>
        <w:t>The Critique stated that this</w:t>
      </w:r>
      <w:r w:rsidRPr="00255C08">
        <w:t xml:space="preserve"> assumption may not be appropriate. There are some variations in the test that may cause these to differ. An intervention with superior diagnostic accuracy may lead to more patients opting for termination compared to a comparator of inferior diagnostic accuracy; however, in this setting as the diseases detected differ somewhat across the tests, patients may have differing preferences for termination depending on the severity of the diagnosis.</w:t>
      </w:r>
      <w:r w:rsidR="00F7352D">
        <w:t xml:space="preserve"> In </w:t>
      </w:r>
      <w:r w:rsidR="00D95420">
        <w:t>its</w:t>
      </w:r>
      <w:r w:rsidR="00F7352D">
        <w:t xml:space="preserve"> pre-MSAC response, the </w:t>
      </w:r>
      <w:r w:rsidR="00AF4D91">
        <w:t>a</w:t>
      </w:r>
      <w:r w:rsidR="00F7352D">
        <w:t xml:space="preserve">pplicant considered the rate of termination (94.7%) extremely high and unlikely to be generalisable to the current Australian clinical practice and testing with GWMA. Termination rates from a large Scottish study from 2000 to 2011 were markedly lower and varied by diagnosis: 85.2% for trisomy (Down, Edwards and Patau syndromes) and 65.4% for other aneuploidy anomalies (Jacobs et al. 2016). Specifically, the </w:t>
      </w:r>
      <w:r w:rsidR="00AF4D91" w:rsidRPr="00F7352D">
        <w:t>a</w:t>
      </w:r>
      <w:r w:rsidR="00F7352D" w:rsidRPr="00F7352D">
        <w:t xml:space="preserve">pplicant stated a more </w:t>
      </w:r>
      <w:r w:rsidR="00F7352D" w:rsidRPr="00E6443F">
        <w:t>realistic scenario would use a lower termination rate of between 85.2% and 65.4%.</w:t>
      </w:r>
      <w:r w:rsidR="0004523B">
        <w:br w:type="page"/>
      </w:r>
    </w:p>
    <w:p w14:paraId="1EB49644" w14:textId="4A0F5647" w:rsidR="005C4D5A" w:rsidRDefault="005C4D5A" w:rsidP="001E27A5">
      <w:pPr>
        <w:spacing w:before="120"/>
      </w:pPr>
      <w:r>
        <w:t>The Critique stated there were other key assumptions:</w:t>
      </w:r>
    </w:p>
    <w:p w14:paraId="10F57058" w14:textId="77777777" w:rsidR="005C4D5A" w:rsidRDefault="005C4D5A" w:rsidP="001E27A5">
      <w:pPr>
        <w:pStyle w:val="ListParagraph"/>
        <w:numPr>
          <w:ilvl w:val="0"/>
          <w:numId w:val="9"/>
        </w:numPr>
        <w:spacing w:before="120"/>
      </w:pPr>
      <w:r w:rsidRPr="00362713">
        <w:t xml:space="preserve">The </w:t>
      </w:r>
      <w:r w:rsidRPr="004A6832">
        <w:t>GWMA</w:t>
      </w:r>
      <w:r>
        <w:t xml:space="preserve"> arm</w:t>
      </w:r>
      <w:r w:rsidRPr="00362713">
        <w:t xml:space="preserve"> did not have an option for a </w:t>
      </w:r>
      <w:r>
        <w:t xml:space="preserve">genetic </w:t>
      </w:r>
      <w:r w:rsidRPr="00362713">
        <w:t xml:space="preserve">test negative </w:t>
      </w:r>
      <w:r>
        <w:t xml:space="preserve">affected fetus </w:t>
      </w:r>
      <w:r w:rsidRPr="00362713">
        <w:t>whereas karyotype test</w:t>
      </w:r>
      <w:r>
        <w:t>ing did. The Critique stated this was because the CA</w:t>
      </w:r>
      <w:r w:rsidRPr="00362713">
        <w:t xml:space="preserve"> assumed that GWMA was 100% sensitive, </w:t>
      </w:r>
      <w:r>
        <w:t>which was not appropriate.</w:t>
      </w:r>
    </w:p>
    <w:p w14:paraId="32E397F1" w14:textId="77777777" w:rsidR="005C4D5A" w:rsidRPr="00E80CE1" w:rsidRDefault="005C4D5A" w:rsidP="0044440E">
      <w:pPr>
        <w:pStyle w:val="ListParagraph"/>
        <w:numPr>
          <w:ilvl w:val="0"/>
          <w:numId w:val="9"/>
        </w:numPr>
      </w:pPr>
      <w:r w:rsidRPr="00492E24">
        <w:t xml:space="preserve">The decision tree followed a trial-based approach where only diagnostic yield was used and outcomes were based on this. </w:t>
      </w:r>
      <w:r>
        <w:t>However, this was not appropriate as there was no evidence from any supporting study. A traditional structure where sensitivity and specificity form the major decisions would have been more appropriate, given the linked evidence approach in the clinical evaluation.</w:t>
      </w:r>
    </w:p>
    <w:p w14:paraId="6048C653" w14:textId="77777777" w:rsidR="005C4D5A" w:rsidRDefault="005C4D5A" w:rsidP="0044440E">
      <w:pPr>
        <w:pStyle w:val="Heading2"/>
        <w:spacing w:before="240"/>
      </w:pPr>
      <w:r>
        <w:t xml:space="preserve">Cost per </w:t>
      </w:r>
      <w:r w:rsidRPr="00B8688A">
        <w:t>pathogenic CNV detected</w:t>
      </w:r>
      <w:r>
        <w:t xml:space="preserve"> (Step 1)</w:t>
      </w:r>
    </w:p>
    <w:p w14:paraId="44A8F8FE" w14:textId="75F44995" w:rsidR="005C4D5A" w:rsidRDefault="005C4D5A" w:rsidP="008772BC">
      <w:pPr>
        <w:spacing w:after="240"/>
        <w:rPr>
          <w:rFonts w:cs="Calibri"/>
        </w:rPr>
      </w:pPr>
      <w:r w:rsidRPr="003B34B9">
        <w:rPr>
          <w:rFonts w:cs="Calibri"/>
        </w:rPr>
        <w:t xml:space="preserve">The </w:t>
      </w:r>
      <w:r>
        <w:t>CA</w:t>
      </w:r>
      <w:r>
        <w:rPr>
          <w:rFonts w:cs="Calibri"/>
        </w:rPr>
        <w:t xml:space="preserve">’s </w:t>
      </w:r>
      <w:r w:rsidRPr="003B34B9">
        <w:rPr>
          <w:rFonts w:cs="Calibri"/>
        </w:rPr>
        <w:t>costs and outcomes, and incremental costs and outcomes as calculated for the testing strategy and comparative testing strategy in the model</w:t>
      </w:r>
      <w:r>
        <w:rPr>
          <w:rFonts w:cs="Calibri"/>
        </w:rPr>
        <w:t xml:space="preserve"> (“Step 1”)</w:t>
      </w:r>
      <w:r w:rsidRPr="003B34B9">
        <w:rPr>
          <w:rFonts w:cs="Calibri"/>
        </w:rPr>
        <w:t xml:space="preserve">, and using the base case assumptions, are shown in </w:t>
      </w:r>
      <w:r>
        <w:rPr>
          <w:rFonts w:cs="Calibri"/>
        </w:rPr>
        <w:t>Table</w:t>
      </w:r>
      <w:r w:rsidRPr="003B34B9">
        <w:rPr>
          <w:rFonts w:cs="Calibri"/>
        </w:rPr>
        <w:t xml:space="preserve"> </w:t>
      </w:r>
      <w:r>
        <w:rPr>
          <w:rFonts w:cs="Calibri"/>
        </w:rPr>
        <w:t>7</w:t>
      </w:r>
      <w:r w:rsidRPr="003B34B9">
        <w:rPr>
          <w:rFonts w:cs="Calibri"/>
        </w:rPr>
        <w:t>.</w:t>
      </w:r>
    </w:p>
    <w:p w14:paraId="216506E9" w14:textId="77777777" w:rsidR="005C4D5A" w:rsidRPr="00412BC0" w:rsidRDefault="005C4D5A" w:rsidP="00412BC0">
      <w:pPr>
        <w:rPr>
          <w:rFonts w:ascii="Arial Narrow" w:hAnsi="Arial Narrow"/>
          <w:b/>
          <w:sz w:val="20"/>
        </w:rPr>
      </w:pPr>
      <w:bookmarkStart w:id="19" w:name="_Ref14371867"/>
      <w:bookmarkStart w:id="20" w:name="_Toc17180934"/>
      <w:r w:rsidRPr="00412BC0">
        <w:rPr>
          <w:rFonts w:ascii="Arial Narrow" w:hAnsi="Arial Narrow"/>
          <w:b/>
          <w:sz w:val="20"/>
        </w:rPr>
        <w:t xml:space="preserve">Table </w:t>
      </w:r>
      <w:bookmarkEnd w:id="19"/>
      <w:r w:rsidRPr="00412BC0">
        <w:rPr>
          <w:rFonts w:ascii="Arial Narrow" w:hAnsi="Arial Narrow"/>
          <w:b/>
          <w:sz w:val="20"/>
        </w:rPr>
        <w:t>7:</w:t>
      </w:r>
      <w:r w:rsidRPr="00412BC0">
        <w:rPr>
          <w:rFonts w:ascii="Arial Narrow" w:hAnsi="Arial Narrow"/>
          <w:b/>
          <w:sz w:val="20"/>
        </w:rPr>
        <w:tab/>
        <w:t>Results of the cohort costing presented by the CA based on an ICER of cost per pathogenic CNV detected</w:t>
      </w:r>
      <w:bookmarkEnd w:id="20"/>
    </w:p>
    <w:tbl>
      <w:tblPr>
        <w:tblStyle w:val="TableGrid"/>
        <w:tblW w:w="9072"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838"/>
        <w:gridCol w:w="1134"/>
        <w:gridCol w:w="1418"/>
        <w:gridCol w:w="1417"/>
        <w:gridCol w:w="1418"/>
        <w:gridCol w:w="1847"/>
      </w:tblGrid>
      <w:tr w:rsidR="005C4D5A" w:rsidRPr="003107EC" w14:paraId="3A4B87DD" w14:textId="77777777" w:rsidTr="00412BC0">
        <w:trPr>
          <w:tblHeader/>
        </w:trPr>
        <w:tc>
          <w:tcPr>
            <w:tcW w:w="1838" w:type="dxa"/>
            <w:hideMark/>
          </w:tcPr>
          <w:p w14:paraId="3BC6DBEE" w14:textId="77777777" w:rsidR="005C4D5A" w:rsidRPr="003107EC" w:rsidRDefault="005C4D5A" w:rsidP="00D106F8">
            <w:pPr>
              <w:keepNext/>
              <w:spacing w:after="40"/>
              <w:jc w:val="both"/>
              <w:rPr>
                <w:rFonts w:ascii="Arial Narrow" w:hAnsi="Arial Narrow"/>
                <w:b/>
                <w:sz w:val="20"/>
              </w:rPr>
            </w:pPr>
            <w:r w:rsidRPr="003107EC">
              <w:rPr>
                <w:rFonts w:ascii="Arial Narrow" w:hAnsi="Arial Narrow"/>
                <w:b/>
                <w:sz w:val="20"/>
              </w:rPr>
              <w:t>Test</w:t>
            </w:r>
          </w:p>
        </w:tc>
        <w:tc>
          <w:tcPr>
            <w:tcW w:w="1134" w:type="dxa"/>
            <w:hideMark/>
          </w:tcPr>
          <w:p w14:paraId="56F017A5"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Cost</w:t>
            </w:r>
          </w:p>
        </w:tc>
        <w:tc>
          <w:tcPr>
            <w:tcW w:w="1418" w:type="dxa"/>
            <w:hideMark/>
          </w:tcPr>
          <w:p w14:paraId="53C7FB25"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Incremental cost</w:t>
            </w:r>
          </w:p>
        </w:tc>
        <w:tc>
          <w:tcPr>
            <w:tcW w:w="1417" w:type="dxa"/>
            <w:hideMark/>
          </w:tcPr>
          <w:p w14:paraId="39FA8AFD"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 xml:space="preserve">Effectiveness </w:t>
            </w:r>
            <w:r>
              <w:rPr>
                <w:rFonts w:ascii="Arial Narrow" w:hAnsi="Arial Narrow"/>
                <w:b/>
                <w:sz w:val="20"/>
              </w:rPr>
              <w:t>(CNV detected)</w:t>
            </w:r>
          </w:p>
        </w:tc>
        <w:tc>
          <w:tcPr>
            <w:tcW w:w="1418" w:type="dxa"/>
            <w:hideMark/>
          </w:tcPr>
          <w:p w14:paraId="5BB2EFDD"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Incremental effectiveness</w:t>
            </w:r>
          </w:p>
        </w:tc>
        <w:tc>
          <w:tcPr>
            <w:tcW w:w="1847" w:type="dxa"/>
            <w:hideMark/>
          </w:tcPr>
          <w:p w14:paraId="7AA8D6F6" w14:textId="77777777" w:rsidR="005C4D5A" w:rsidRPr="003107EC" w:rsidRDefault="005C4D5A" w:rsidP="00D106F8">
            <w:pPr>
              <w:keepNext/>
              <w:spacing w:after="40"/>
              <w:jc w:val="center"/>
              <w:rPr>
                <w:rFonts w:ascii="Arial Narrow" w:hAnsi="Arial Narrow"/>
                <w:b/>
                <w:sz w:val="20"/>
              </w:rPr>
            </w:pPr>
            <w:r>
              <w:rPr>
                <w:rFonts w:ascii="Arial Narrow" w:hAnsi="Arial Narrow"/>
                <w:b/>
                <w:sz w:val="20"/>
              </w:rPr>
              <w:t>Incremental cost per CNV detected</w:t>
            </w:r>
          </w:p>
        </w:tc>
      </w:tr>
      <w:tr w:rsidR="005C4D5A" w:rsidRPr="003107EC" w14:paraId="124D0659" w14:textId="77777777" w:rsidTr="00412BC0">
        <w:trPr>
          <w:trHeight w:val="139"/>
        </w:trPr>
        <w:tc>
          <w:tcPr>
            <w:tcW w:w="1838" w:type="dxa"/>
            <w:hideMark/>
          </w:tcPr>
          <w:p w14:paraId="7EA803B8" w14:textId="77777777" w:rsidR="005C4D5A" w:rsidRPr="003107EC" w:rsidRDefault="005C4D5A" w:rsidP="00D106F8">
            <w:pPr>
              <w:keepNext/>
              <w:spacing w:after="40"/>
              <w:jc w:val="both"/>
              <w:rPr>
                <w:rFonts w:ascii="Arial Narrow" w:hAnsi="Arial Narrow"/>
                <w:vanish/>
                <w:sz w:val="20"/>
              </w:rPr>
            </w:pPr>
            <w:r w:rsidRPr="003107EC">
              <w:rPr>
                <w:rFonts w:ascii="Arial Narrow" w:hAnsi="Arial Narrow" w:cs="Arial"/>
                <w:b/>
                <w:bCs/>
                <w:w w:val="80"/>
                <w:sz w:val="20"/>
              </w:rPr>
              <w:t xml:space="preserve">Genome-wide </w:t>
            </w:r>
            <w:r w:rsidRPr="003107EC">
              <w:rPr>
                <w:rFonts w:ascii="Arial Narrow" w:hAnsi="Arial Narrow" w:cs="Arial"/>
                <w:b/>
                <w:bCs/>
                <w:w w:val="85"/>
                <w:sz w:val="20"/>
              </w:rPr>
              <w:t>microarray</w:t>
            </w:r>
          </w:p>
        </w:tc>
        <w:tc>
          <w:tcPr>
            <w:tcW w:w="1134" w:type="dxa"/>
            <w:hideMark/>
          </w:tcPr>
          <w:p w14:paraId="0EA3B344"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$589,900</w:t>
            </w:r>
          </w:p>
        </w:tc>
        <w:tc>
          <w:tcPr>
            <w:tcW w:w="1418" w:type="dxa"/>
            <w:hideMark/>
          </w:tcPr>
          <w:p w14:paraId="3920F046"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80"/>
                <w:sz w:val="20"/>
              </w:rPr>
              <w:t>$197,545</w:t>
            </w:r>
          </w:p>
        </w:tc>
        <w:tc>
          <w:tcPr>
            <w:tcW w:w="1417" w:type="dxa"/>
            <w:hideMark/>
          </w:tcPr>
          <w:p w14:paraId="3FAE8C97"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98</w:t>
            </w:r>
          </w:p>
        </w:tc>
        <w:tc>
          <w:tcPr>
            <w:tcW w:w="1418" w:type="dxa"/>
            <w:hideMark/>
          </w:tcPr>
          <w:p w14:paraId="26544A8F"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38</w:t>
            </w:r>
          </w:p>
        </w:tc>
        <w:tc>
          <w:tcPr>
            <w:tcW w:w="1847" w:type="dxa"/>
            <w:hideMark/>
          </w:tcPr>
          <w:p w14:paraId="0ABD114A"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$5,258</w:t>
            </w:r>
          </w:p>
        </w:tc>
      </w:tr>
      <w:tr w:rsidR="005C4D5A" w:rsidRPr="003107EC" w14:paraId="28DAB451" w14:textId="77777777" w:rsidTr="00412BC0">
        <w:tc>
          <w:tcPr>
            <w:tcW w:w="1838" w:type="dxa"/>
            <w:hideMark/>
          </w:tcPr>
          <w:p w14:paraId="2FF93C3B" w14:textId="77777777" w:rsidR="005C4D5A" w:rsidRPr="003107EC" w:rsidRDefault="005C4D5A" w:rsidP="00D106F8">
            <w:pPr>
              <w:keepNext/>
              <w:spacing w:after="40"/>
              <w:jc w:val="both"/>
              <w:rPr>
                <w:rFonts w:ascii="Arial Narrow" w:hAnsi="Arial Narrow"/>
                <w:vanish/>
                <w:sz w:val="20"/>
              </w:rPr>
            </w:pPr>
            <w:r w:rsidRPr="003107EC">
              <w:rPr>
                <w:rFonts w:ascii="Arial Narrow" w:hAnsi="Arial Narrow"/>
                <w:b/>
                <w:w w:val="90"/>
                <w:sz w:val="20"/>
              </w:rPr>
              <w:t>Karyotyping</w:t>
            </w:r>
          </w:p>
        </w:tc>
        <w:tc>
          <w:tcPr>
            <w:tcW w:w="1134" w:type="dxa"/>
            <w:hideMark/>
          </w:tcPr>
          <w:p w14:paraId="07886A3F"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$392,355</w:t>
            </w:r>
          </w:p>
        </w:tc>
        <w:tc>
          <w:tcPr>
            <w:tcW w:w="1418" w:type="dxa"/>
            <w:hideMark/>
          </w:tcPr>
          <w:p w14:paraId="176098F4" w14:textId="77777777" w:rsidR="005C4D5A" w:rsidRPr="003107EC" w:rsidRDefault="005C4D5A" w:rsidP="00D106F8">
            <w:pPr>
              <w:keepNext/>
              <w:spacing w:after="40"/>
              <w:jc w:val="center"/>
              <w:rPr>
                <w:rFonts w:ascii="Arial Narrow" w:hAnsi="Arial Narrow"/>
                <w:vanish/>
                <w:sz w:val="20"/>
              </w:rPr>
            </w:pPr>
          </w:p>
        </w:tc>
        <w:tc>
          <w:tcPr>
            <w:tcW w:w="1417" w:type="dxa"/>
            <w:hideMark/>
          </w:tcPr>
          <w:p w14:paraId="6FD8869B"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61</w:t>
            </w:r>
          </w:p>
        </w:tc>
        <w:tc>
          <w:tcPr>
            <w:tcW w:w="1418" w:type="dxa"/>
            <w:hideMark/>
          </w:tcPr>
          <w:p w14:paraId="60B0CA77" w14:textId="77777777" w:rsidR="005C4D5A" w:rsidRPr="003107EC" w:rsidRDefault="005C4D5A" w:rsidP="00D106F8">
            <w:pPr>
              <w:keepNext/>
              <w:spacing w:after="40"/>
              <w:jc w:val="center"/>
              <w:rPr>
                <w:rFonts w:ascii="Arial Narrow" w:hAnsi="Arial Narrow"/>
                <w:vanish/>
                <w:sz w:val="20"/>
              </w:rPr>
            </w:pPr>
          </w:p>
        </w:tc>
        <w:tc>
          <w:tcPr>
            <w:tcW w:w="1847" w:type="dxa"/>
            <w:hideMark/>
          </w:tcPr>
          <w:p w14:paraId="79540F45" w14:textId="77777777" w:rsidR="005C4D5A" w:rsidRPr="003107EC" w:rsidRDefault="005C4D5A" w:rsidP="00D106F8">
            <w:pPr>
              <w:keepNext/>
              <w:spacing w:after="40"/>
              <w:jc w:val="center"/>
              <w:rPr>
                <w:rFonts w:ascii="Arial Narrow" w:hAnsi="Arial Narrow"/>
                <w:vanish/>
                <w:sz w:val="20"/>
              </w:rPr>
            </w:pPr>
          </w:p>
        </w:tc>
      </w:tr>
    </w:tbl>
    <w:p w14:paraId="694450C7" w14:textId="77777777" w:rsidR="005C4D5A" w:rsidRDefault="005C4D5A" w:rsidP="00E6443F">
      <w:pPr>
        <w:pStyle w:val="BodyText"/>
        <w:spacing w:before="9" w:line="240" w:lineRule="auto"/>
        <w:rPr>
          <w:rFonts w:ascii="Arial Narrow" w:hAnsi="Arial Narrow"/>
          <w:b w:val="0"/>
          <w:i w:val="0"/>
          <w:iCs/>
          <w:w w:val="90"/>
          <w:sz w:val="18"/>
          <w:szCs w:val="20"/>
        </w:rPr>
      </w:pPr>
      <w:r w:rsidRPr="00B53079">
        <w:rPr>
          <w:rFonts w:ascii="Arial Narrow" w:hAnsi="Arial Narrow"/>
          <w:b w:val="0"/>
          <w:i w:val="0"/>
          <w:iCs/>
          <w:sz w:val="18"/>
          <w:szCs w:val="20"/>
        </w:rPr>
        <w:t>Source:</w:t>
      </w:r>
      <w:r w:rsidRPr="00B53079">
        <w:rPr>
          <w:rFonts w:ascii="Arial Narrow" w:hAnsi="Arial Narrow"/>
          <w:b w:val="0"/>
          <w:i w:val="0"/>
          <w:iCs/>
          <w:w w:val="90"/>
          <w:sz w:val="18"/>
          <w:szCs w:val="20"/>
        </w:rPr>
        <w:t xml:space="preserve"> Section D5.</w:t>
      </w:r>
      <w:r>
        <w:rPr>
          <w:rFonts w:ascii="Arial Narrow" w:hAnsi="Arial Narrow"/>
          <w:b w:val="0"/>
          <w:i w:val="0"/>
          <w:iCs/>
          <w:w w:val="90"/>
          <w:sz w:val="18"/>
          <w:szCs w:val="20"/>
        </w:rPr>
        <w:t xml:space="preserve">1, </w:t>
      </w:r>
      <w:r w:rsidRPr="00B53079">
        <w:rPr>
          <w:rFonts w:ascii="Arial Narrow" w:hAnsi="Arial Narrow"/>
          <w:b w:val="0"/>
          <w:i w:val="0"/>
          <w:iCs/>
          <w:w w:val="90"/>
          <w:sz w:val="18"/>
          <w:szCs w:val="20"/>
        </w:rPr>
        <w:t>Table 52</w:t>
      </w:r>
      <w:r>
        <w:rPr>
          <w:rFonts w:ascii="Arial Narrow" w:hAnsi="Arial Narrow"/>
          <w:b w:val="0"/>
          <w:i w:val="0"/>
          <w:iCs/>
          <w:w w:val="90"/>
          <w:sz w:val="18"/>
          <w:szCs w:val="20"/>
        </w:rPr>
        <w:t xml:space="preserve"> of the CA</w:t>
      </w:r>
    </w:p>
    <w:p w14:paraId="7CDBDBD3" w14:textId="77777777" w:rsidR="005C4D5A" w:rsidRPr="005C4D5A" w:rsidRDefault="005C4D5A" w:rsidP="00E6443F">
      <w:pPr>
        <w:pStyle w:val="BodyText"/>
        <w:spacing w:before="9" w:line="240" w:lineRule="auto"/>
        <w:rPr>
          <w:rFonts w:ascii="Arial Narrow" w:hAnsi="Arial Narrow"/>
          <w:b w:val="0"/>
          <w:i w:val="0"/>
          <w:iCs/>
          <w:w w:val="90"/>
          <w:sz w:val="18"/>
          <w:szCs w:val="20"/>
        </w:rPr>
      </w:pPr>
      <w:r>
        <w:rPr>
          <w:rFonts w:ascii="Arial Narrow" w:hAnsi="Arial Narrow"/>
          <w:b w:val="0"/>
          <w:i w:val="0"/>
          <w:iCs/>
          <w:w w:val="90"/>
          <w:sz w:val="18"/>
          <w:szCs w:val="20"/>
        </w:rPr>
        <w:t>CNV=Copy number variant</w:t>
      </w:r>
    </w:p>
    <w:p w14:paraId="55F75565" w14:textId="4ADD95F4" w:rsidR="005C4D5A" w:rsidRDefault="005C4D5A" w:rsidP="008772BC">
      <w:pPr>
        <w:spacing w:before="240" w:after="240"/>
      </w:pPr>
      <w:r>
        <w:t>Results from one-way sensitivity analyses are presented in tornado diagram in Figure 5.</w:t>
      </w:r>
    </w:p>
    <w:p w14:paraId="0C93DDE9" w14:textId="77777777" w:rsidR="005C4D5A" w:rsidRDefault="005C4D5A" w:rsidP="005C4D5A">
      <w:r w:rsidRPr="00866B10">
        <w:rPr>
          <w:noProof/>
        </w:rPr>
        <w:drawing>
          <wp:inline distT="0" distB="0" distL="0" distR="0" wp14:anchorId="03870072" wp14:editId="6D28C5D1">
            <wp:extent cx="5731510" cy="1859894"/>
            <wp:effectExtent l="0" t="0" r="2540" b="7620"/>
            <wp:docPr id="1" name="Picture 1" descr="Tornado diagram: Step 1" title="Figure 5:  Tornado diagram: Cost per pathogenic CNV avoided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859894"/>
                    </a:xfrm>
                    <a:prstGeom prst="rect">
                      <a:avLst/>
                    </a:prstGeom>
                    <a:noFill/>
                    <a:ln>
                      <a:noFill/>
                    </a:ln>
                  </pic:spPr>
                </pic:pic>
              </a:graphicData>
            </a:graphic>
          </wp:inline>
        </w:drawing>
      </w:r>
    </w:p>
    <w:p w14:paraId="1FB4DB6F" w14:textId="77777777" w:rsidR="005C4D5A" w:rsidRPr="00412BC0" w:rsidRDefault="00F93D92" w:rsidP="00412BC0">
      <w:pPr>
        <w:rPr>
          <w:rFonts w:ascii="Arial Narrow" w:hAnsi="Arial Narrow"/>
          <w:b/>
          <w:sz w:val="20"/>
        </w:rPr>
      </w:pPr>
      <w:r w:rsidRPr="00412BC0">
        <w:rPr>
          <w:rFonts w:ascii="Arial Narrow" w:hAnsi="Arial Narrow"/>
          <w:b/>
          <w:sz w:val="20"/>
        </w:rPr>
        <w:t>Figure 5:</w:t>
      </w:r>
      <w:r w:rsidRPr="00412BC0">
        <w:rPr>
          <w:rFonts w:ascii="Arial Narrow" w:hAnsi="Arial Narrow"/>
          <w:b/>
          <w:sz w:val="20"/>
        </w:rPr>
        <w:tab/>
      </w:r>
      <w:r w:rsidR="005C4D5A" w:rsidRPr="00412BC0">
        <w:rPr>
          <w:rFonts w:ascii="Arial Narrow" w:hAnsi="Arial Narrow"/>
          <w:b/>
          <w:sz w:val="20"/>
        </w:rPr>
        <w:t>Tornado diagram: Cost per pathogenic CNV avoided (Step 1)</w:t>
      </w:r>
    </w:p>
    <w:p w14:paraId="21B86046" w14:textId="3F1F6468" w:rsidR="005C4D5A" w:rsidRDefault="005C4D5A" w:rsidP="008772BC">
      <w:pPr>
        <w:pStyle w:val="Heading2"/>
        <w:spacing w:before="240"/>
      </w:pPr>
      <w:r>
        <w:t>C</w:t>
      </w:r>
      <w:r w:rsidRPr="00E80CE1">
        <w:t>ost per abnormal birth avoided</w:t>
      </w:r>
      <w:r>
        <w:t xml:space="preserve"> (Step 2; base case)</w:t>
      </w:r>
    </w:p>
    <w:p w14:paraId="1D621A51" w14:textId="6C3C2C78" w:rsidR="005C4D5A" w:rsidRPr="008772BC" w:rsidRDefault="005C4D5A" w:rsidP="008772BC">
      <w:pPr>
        <w:spacing w:after="240"/>
        <w:jc w:val="both"/>
        <w:rPr>
          <w:rFonts w:cs="Calibri"/>
        </w:rPr>
      </w:pPr>
      <w:r w:rsidRPr="003B34B9">
        <w:rPr>
          <w:rFonts w:cs="Calibri"/>
        </w:rPr>
        <w:t xml:space="preserve">The </w:t>
      </w:r>
      <w:r>
        <w:t>CA</w:t>
      </w:r>
      <w:r>
        <w:rPr>
          <w:rFonts w:cs="Calibri"/>
        </w:rPr>
        <w:t xml:space="preserve">’s </w:t>
      </w:r>
      <w:r w:rsidRPr="003B34B9">
        <w:rPr>
          <w:rFonts w:cs="Calibri"/>
        </w:rPr>
        <w:t>overall costs and outcomes, and incremental costs and outcomes as calculated for the testing strategy and comparative testing strategy in the model</w:t>
      </w:r>
      <w:r>
        <w:rPr>
          <w:rFonts w:cs="Calibri"/>
        </w:rPr>
        <w:t xml:space="preserve"> (“Step 2”)</w:t>
      </w:r>
      <w:r w:rsidRPr="003B34B9">
        <w:rPr>
          <w:rFonts w:cs="Calibri"/>
        </w:rPr>
        <w:t>, and using the base cas</w:t>
      </w:r>
      <w:r>
        <w:rPr>
          <w:rFonts w:cs="Calibri"/>
        </w:rPr>
        <w:t>e assumptions, are shown in Table 8.</w:t>
      </w:r>
      <w:bookmarkStart w:id="21" w:name="_Ref3384033"/>
      <w:bookmarkStart w:id="22" w:name="_Toc432677305"/>
      <w:bookmarkStart w:id="23" w:name="_Toc6295281"/>
    </w:p>
    <w:p w14:paraId="57985530" w14:textId="77777777" w:rsidR="005C4D5A" w:rsidRPr="00412BC0" w:rsidRDefault="005C4D5A" w:rsidP="00412BC0">
      <w:pPr>
        <w:rPr>
          <w:rFonts w:ascii="Arial Narrow" w:hAnsi="Arial Narrow"/>
          <w:b/>
          <w:sz w:val="20"/>
        </w:rPr>
      </w:pPr>
      <w:bookmarkStart w:id="24" w:name="_Ref14371874"/>
      <w:bookmarkStart w:id="25" w:name="_Toc17180935"/>
      <w:r w:rsidRPr="00412BC0">
        <w:rPr>
          <w:rFonts w:ascii="Arial Narrow" w:hAnsi="Arial Narrow"/>
          <w:b/>
          <w:sz w:val="20"/>
        </w:rPr>
        <w:t xml:space="preserve">Table </w:t>
      </w:r>
      <w:bookmarkEnd w:id="24"/>
      <w:r w:rsidRPr="00412BC0">
        <w:rPr>
          <w:rFonts w:ascii="Arial Narrow" w:hAnsi="Arial Narrow"/>
          <w:b/>
          <w:sz w:val="20"/>
        </w:rPr>
        <w:t>8:</w:t>
      </w:r>
      <w:r w:rsidRPr="00412BC0">
        <w:rPr>
          <w:rFonts w:ascii="Arial Narrow" w:hAnsi="Arial Narrow"/>
          <w:b/>
          <w:sz w:val="20"/>
        </w:rPr>
        <w:tab/>
        <w:t>Results of the base case economic evaluation (ICER of cost per complex birth avoided</w:t>
      </w:r>
      <w:bookmarkEnd w:id="25"/>
      <w:r w:rsidRPr="00412BC0">
        <w:rPr>
          <w:rFonts w:ascii="Arial Narrow" w:hAnsi="Arial Narrow"/>
          <w:b/>
          <w:sz w:val="20"/>
        </w:rPr>
        <w:t>)</w:t>
      </w:r>
    </w:p>
    <w:tbl>
      <w:tblPr>
        <w:tblStyle w:val="TableGrid"/>
        <w:tblW w:w="9072"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838"/>
        <w:gridCol w:w="1134"/>
        <w:gridCol w:w="1418"/>
        <w:gridCol w:w="1417"/>
        <w:gridCol w:w="1418"/>
        <w:gridCol w:w="1847"/>
      </w:tblGrid>
      <w:tr w:rsidR="005C4D5A" w14:paraId="107838BF" w14:textId="77777777" w:rsidTr="00412BC0">
        <w:trPr>
          <w:tblHeader/>
        </w:trPr>
        <w:tc>
          <w:tcPr>
            <w:tcW w:w="1838" w:type="dxa"/>
            <w:hideMark/>
          </w:tcPr>
          <w:p w14:paraId="0A090262" w14:textId="77777777" w:rsidR="005C4D5A" w:rsidRPr="003107EC" w:rsidRDefault="005C4D5A" w:rsidP="00D106F8">
            <w:pPr>
              <w:keepNext/>
              <w:spacing w:after="40"/>
              <w:jc w:val="both"/>
              <w:rPr>
                <w:rFonts w:ascii="Arial Narrow" w:hAnsi="Arial Narrow"/>
                <w:b/>
                <w:sz w:val="20"/>
              </w:rPr>
            </w:pPr>
            <w:r w:rsidRPr="003107EC">
              <w:rPr>
                <w:rFonts w:ascii="Arial Narrow" w:hAnsi="Arial Narrow"/>
                <w:b/>
                <w:sz w:val="20"/>
              </w:rPr>
              <w:t>Test</w:t>
            </w:r>
          </w:p>
        </w:tc>
        <w:tc>
          <w:tcPr>
            <w:tcW w:w="1134" w:type="dxa"/>
            <w:hideMark/>
          </w:tcPr>
          <w:p w14:paraId="16AD2B51"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Cost</w:t>
            </w:r>
          </w:p>
        </w:tc>
        <w:tc>
          <w:tcPr>
            <w:tcW w:w="1418" w:type="dxa"/>
            <w:hideMark/>
          </w:tcPr>
          <w:p w14:paraId="0C63815E"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Incremental cost</w:t>
            </w:r>
          </w:p>
        </w:tc>
        <w:tc>
          <w:tcPr>
            <w:tcW w:w="1417" w:type="dxa"/>
            <w:hideMark/>
          </w:tcPr>
          <w:p w14:paraId="6066BCCD"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Effectiveness</w:t>
            </w:r>
            <w:r>
              <w:rPr>
                <w:rFonts w:ascii="Arial Narrow" w:hAnsi="Arial Narrow"/>
                <w:b/>
                <w:sz w:val="20"/>
              </w:rPr>
              <w:t xml:space="preserve"> (Complex births avoided)</w:t>
            </w:r>
          </w:p>
        </w:tc>
        <w:tc>
          <w:tcPr>
            <w:tcW w:w="1418" w:type="dxa"/>
            <w:hideMark/>
          </w:tcPr>
          <w:p w14:paraId="6065F384" w14:textId="77777777" w:rsidR="005C4D5A" w:rsidRPr="003107EC" w:rsidRDefault="005C4D5A" w:rsidP="00D106F8">
            <w:pPr>
              <w:keepNext/>
              <w:spacing w:after="40"/>
              <w:jc w:val="center"/>
              <w:rPr>
                <w:rFonts w:ascii="Arial Narrow" w:hAnsi="Arial Narrow"/>
                <w:b/>
                <w:sz w:val="20"/>
              </w:rPr>
            </w:pPr>
            <w:r w:rsidRPr="003107EC">
              <w:rPr>
                <w:rFonts w:ascii="Arial Narrow" w:hAnsi="Arial Narrow"/>
                <w:b/>
                <w:sz w:val="20"/>
              </w:rPr>
              <w:t>Incremental effectiveness</w:t>
            </w:r>
          </w:p>
        </w:tc>
        <w:tc>
          <w:tcPr>
            <w:tcW w:w="1847" w:type="dxa"/>
            <w:hideMark/>
          </w:tcPr>
          <w:p w14:paraId="423BF023" w14:textId="77777777" w:rsidR="005C4D5A" w:rsidRPr="003107EC" w:rsidRDefault="005C4D5A" w:rsidP="00D106F8">
            <w:pPr>
              <w:keepNext/>
              <w:spacing w:after="40"/>
              <w:jc w:val="center"/>
              <w:rPr>
                <w:rFonts w:ascii="Arial Narrow" w:hAnsi="Arial Narrow"/>
                <w:b/>
                <w:sz w:val="20"/>
              </w:rPr>
            </w:pPr>
            <w:r>
              <w:rPr>
                <w:rFonts w:ascii="Arial Narrow" w:hAnsi="Arial Narrow"/>
                <w:b/>
                <w:sz w:val="20"/>
              </w:rPr>
              <w:t>Incremental cost per CNV detected</w:t>
            </w:r>
          </w:p>
        </w:tc>
      </w:tr>
      <w:tr w:rsidR="005C4D5A" w14:paraId="06881B06" w14:textId="77777777" w:rsidTr="00412BC0">
        <w:trPr>
          <w:trHeight w:val="139"/>
        </w:trPr>
        <w:tc>
          <w:tcPr>
            <w:tcW w:w="1838" w:type="dxa"/>
            <w:hideMark/>
          </w:tcPr>
          <w:p w14:paraId="6F25BC8B" w14:textId="77777777" w:rsidR="005C4D5A" w:rsidRPr="003107EC" w:rsidRDefault="005C4D5A" w:rsidP="00D106F8">
            <w:pPr>
              <w:keepNext/>
              <w:spacing w:after="40"/>
              <w:jc w:val="both"/>
              <w:rPr>
                <w:rFonts w:ascii="Arial Narrow" w:hAnsi="Arial Narrow"/>
                <w:vanish/>
                <w:sz w:val="20"/>
              </w:rPr>
            </w:pPr>
            <w:r w:rsidRPr="003107EC">
              <w:rPr>
                <w:rFonts w:ascii="Arial Narrow" w:hAnsi="Arial Narrow" w:cs="Arial"/>
                <w:b/>
                <w:bCs/>
                <w:w w:val="80"/>
                <w:sz w:val="20"/>
              </w:rPr>
              <w:t xml:space="preserve">Genome-wide </w:t>
            </w:r>
            <w:r w:rsidRPr="003107EC">
              <w:rPr>
                <w:rFonts w:ascii="Arial Narrow" w:hAnsi="Arial Narrow" w:cs="Arial"/>
                <w:b/>
                <w:bCs/>
                <w:w w:val="85"/>
                <w:sz w:val="20"/>
              </w:rPr>
              <w:t>microarray</w:t>
            </w:r>
          </w:p>
        </w:tc>
        <w:tc>
          <w:tcPr>
            <w:tcW w:w="1134" w:type="dxa"/>
            <w:hideMark/>
          </w:tcPr>
          <w:p w14:paraId="15BF1370"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$9,198,081</w:t>
            </w:r>
          </w:p>
        </w:tc>
        <w:tc>
          <w:tcPr>
            <w:tcW w:w="1418" w:type="dxa"/>
            <w:hideMark/>
          </w:tcPr>
          <w:p w14:paraId="5E597BBD"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80"/>
                <w:sz w:val="20"/>
              </w:rPr>
              <w:t>-$4,675,423</w:t>
            </w:r>
          </w:p>
        </w:tc>
        <w:tc>
          <w:tcPr>
            <w:tcW w:w="1417" w:type="dxa"/>
            <w:hideMark/>
          </w:tcPr>
          <w:p w14:paraId="29ECE983"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93</w:t>
            </w:r>
          </w:p>
        </w:tc>
        <w:tc>
          <w:tcPr>
            <w:tcW w:w="1418" w:type="dxa"/>
            <w:hideMark/>
          </w:tcPr>
          <w:p w14:paraId="00C716FE" w14:textId="77777777" w:rsidR="005C4D5A" w:rsidRPr="003107EC" w:rsidRDefault="005C4D5A" w:rsidP="00D106F8">
            <w:pPr>
              <w:pStyle w:val="Tabletext0"/>
              <w:jc w:val="center"/>
            </w:pPr>
            <w:r w:rsidRPr="003107EC">
              <w:t>36</w:t>
            </w:r>
          </w:p>
        </w:tc>
        <w:tc>
          <w:tcPr>
            <w:tcW w:w="1847" w:type="dxa"/>
            <w:hideMark/>
          </w:tcPr>
          <w:p w14:paraId="70C9BDED"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-$131,421 (dominant)</w:t>
            </w:r>
          </w:p>
        </w:tc>
      </w:tr>
      <w:tr w:rsidR="005C4D5A" w14:paraId="3BC5E214" w14:textId="77777777" w:rsidTr="00412BC0">
        <w:tc>
          <w:tcPr>
            <w:tcW w:w="1838" w:type="dxa"/>
            <w:hideMark/>
          </w:tcPr>
          <w:p w14:paraId="2E815FD1" w14:textId="77777777" w:rsidR="005C4D5A" w:rsidRPr="003107EC" w:rsidRDefault="005C4D5A" w:rsidP="00D106F8">
            <w:pPr>
              <w:keepNext/>
              <w:spacing w:after="40"/>
              <w:jc w:val="both"/>
              <w:rPr>
                <w:rFonts w:ascii="Arial Narrow" w:hAnsi="Arial Narrow"/>
                <w:vanish/>
                <w:sz w:val="20"/>
              </w:rPr>
            </w:pPr>
            <w:r w:rsidRPr="003107EC">
              <w:rPr>
                <w:rFonts w:ascii="Arial Narrow" w:hAnsi="Arial Narrow"/>
                <w:b/>
                <w:w w:val="90"/>
                <w:sz w:val="20"/>
              </w:rPr>
              <w:t>Karyotyping</w:t>
            </w:r>
          </w:p>
        </w:tc>
        <w:tc>
          <w:tcPr>
            <w:tcW w:w="1134" w:type="dxa"/>
            <w:hideMark/>
          </w:tcPr>
          <w:p w14:paraId="344595F7"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$13,873,504</w:t>
            </w:r>
          </w:p>
        </w:tc>
        <w:tc>
          <w:tcPr>
            <w:tcW w:w="1418" w:type="dxa"/>
            <w:hideMark/>
          </w:tcPr>
          <w:p w14:paraId="6C96F1AE" w14:textId="77777777" w:rsidR="005C4D5A" w:rsidRPr="003107EC" w:rsidRDefault="005C4D5A" w:rsidP="00D106F8">
            <w:pPr>
              <w:keepNext/>
              <w:spacing w:after="40"/>
              <w:jc w:val="center"/>
              <w:rPr>
                <w:rFonts w:ascii="Arial Narrow" w:hAnsi="Arial Narrow"/>
                <w:vanish/>
                <w:sz w:val="20"/>
              </w:rPr>
            </w:pPr>
          </w:p>
        </w:tc>
        <w:tc>
          <w:tcPr>
            <w:tcW w:w="1417" w:type="dxa"/>
            <w:hideMark/>
          </w:tcPr>
          <w:p w14:paraId="75C28EF4" w14:textId="77777777" w:rsidR="005C4D5A" w:rsidRPr="003107EC" w:rsidRDefault="005C4D5A" w:rsidP="00D106F8">
            <w:pPr>
              <w:keepNext/>
              <w:spacing w:after="40"/>
              <w:jc w:val="center"/>
              <w:rPr>
                <w:rFonts w:ascii="Arial Narrow" w:hAnsi="Arial Narrow"/>
                <w:vanish/>
                <w:sz w:val="20"/>
              </w:rPr>
            </w:pPr>
            <w:r w:rsidRPr="003107EC">
              <w:rPr>
                <w:rFonts w:ascii="Arial Narrow" w:hAnsi="Arial Narrow"/>
                <w:w w:val="90"/>
                <w:sz w:val="20"/>
              </w:rPr>
              <w:t>58</w:t>
            </w:r>
          </w:p>
        </w:tc>
        <w:tc>
          <w:tcPr>
            <w:tcW w:w="1418" w:type="dxa"/>
            <w:hideMark/>
          </w:tcPr>
          <w:p w14:paraId="43F31276" w14:textId="77777777" w:rsidR="005C4D5A" w:rsidRPr="003107EC" w:rsidRDefault="005C4D5A" w:rsidP="00D106F8">
            <w:pPr>
              <w:keepNext/>
              <w:spacing w:after="40"/>
              <w:jc w:val="center"/>
              <w:rPr>
                <w:rFonts w:ascii="Arial Narrow" w:hAnsi="Arial Narrow"/>
                <w:vanish/>
                <w:sz w:val="20"/>
              </w:rPr>
            </w:pPr>
          </w:p>
        </w:tc>
        <w:tc>
          <w:tcPr>
            <w:tcW w:w="1847" w:type="dxa"/>
            <w:hideMark/>
          </w:tcPr>
          <w:p w14:paraId="5F182164" w14:textId="77777777" w:rsidR="005C4D5A" w:rsidRPr="003107EC" w:rsidRDefault="005C4D5A" w:rsidP="00D106F8">
            <w:pPr>
              <w:keepNext/>
              <w:spacing w:after="40"/>
              <w:jc w:val="center"/>
              <w:rPr>
                <w:rFonts w:ascii="Arial Narrow" w:hAnsi="Arial Narrow"/>
                <w:vanish/>
                <w:sz w:val="20"/>
              </w:rPr>
            </w:pPr>
          </w:p>
        </w:tc>
      </w:tr>
    </w:tbl>
    <w:p w14:paraId="317EF08F" w14:textId="77777777" w:rsidR="005C4D5A" w:rsidRDefault="005C4D5A" w:rsidP="0059171C">
      <w:pPr>
        <w:pStyle w:val="BodyText"/>
        <w:spacing w:before="9" w:line="240" w:lineRule="auto"/>
        <w:rPr>
          <w:rFonts w:ascii="Arial Narrow" w:hAnsi="Arial Narrow"/>
          <w:b w:val="0"/>
          <w:i w:val="0"/>
          <w:iCs/>
          <w:w w:val="90"/>
          <w:sz w:val="18"/>
          <w:szCs w:val="20"/>
        </w:rPr>
      </w:pPr>
      <w:r w:rsidRPr="00B53079">
        <w:rPr>
          <w:rFonts w:ascii="Arial Narrow" w:hAnsi="Arial Narrow"/>
          <w:b w:val="0"/>
          <w:i w:val="0"/>
          <w:iCs/>
          <w:sz w:val="18"/>
          <w:szCs w:val="20"/>
        </w:rPr>
        <w:t>Source:</w:t>
      </w:r>
      <w:r w:rsidRPr="00B53079">
        <w:rPr>
          <w:rFonts w:ascii="Arial Narrow" w:hAnsi="Arial Narrow"/>
          <w:b w:val="0"/>
          <w:i w:val="0"/>
          <w:iCs/>
          <w:w w:val="90"/>
          <w:sz w:val="18"/>
          <w:szCs w:val="20"/>
        </w:rPr>
        <w:t xml:space="preserve"> Section D5.</w:t>
      </w:r>
      <w:r>
        <w:rPr>
          <w:rFonts w:ascii="Arial Narrow" w:hAnsi="Arial Narrow"/>
          <w:b w:val="0"/>
          <w:i w:val="0"/>
          <w:iCs/>
          <w:w w:val="90"/>
          <w:sz w:val="18"/>
          <w:szCs w:val="20"/>
        </w:rPr>
        <w:t xml:space="preserve">1, </w:t>
      </w:r>
      <w:r w:rsidRPr="00B53079">
        <w:rPr>
          <w:rFonts w:ascii="Arial Narrow" w:hAnsi="Arial Narrow"/>
          <w:b w:val="0"/>
          <w:i w:val="0"/>
          <w:iCs/>
          <w:w w:val="90"/>
          <w:sz w:val="18"/>
          <w:szCs w:val="20"/>
        </w:rPr>
        <w:t>Table 52</w:t>
      </w:r>
      <w:r>
        <w:rPr>
          <w:rFonts w:ascii="Arial Narrow" w:hAnsi="Arial Narrow"/>
          <w:b w:val="0"/>
          <w:i w:val="0"/>
          <w:iCs/>
          <w:w w:val="90"/>
          <w:sz w:val="18"/>
          <w:szCs w:val="20"/>
        </w:rPr>
        <w:t xml:space="preserve"> of the CA</w:t>
      </w:r>
    </w:p>
    <w:p w14:paraId="6DDF68E0" w14:textId="542A72BD" w:rsidR="005C4D5A" w:rsidRDefault="00E6443F" w:rsidP="0059171C">
      <w:pPr>
        <w:pStyle w:val="BodyText"/>
        <w:spacing w:before="9" w:line="240" w:lineRule="auto"/>
        <w:rPr>
          <w:rFonts w:ascii="Arial Narrow" w:hAnsi="Arial Narrow"/>
          <w:b w:val="0"/>
          <w:i w:val="0"/>
          <w:iCs/>
          <w:w w:val="90"/>
          <w:sz w:val="18"/>
          <w:szCs w:val="20"/>
        </w:rPr>
      </w:pPr>
      <w:r>
        <w:rPr>
          <w:rFonts w:ascii="Arial Narrow" w:hAnsi="Arial Narrow"/>
          <w:b w:val="0"/>
          <w:i w:val="0"/>
          <w:iCs/>
          <w:w w:val="90"/>
          <w:sz w:val="18"/>
          <w:szCs w:val="20"/>
        </w:rPr>
        <w:t>CNV=Copy number variant</w:t>
      </w:r>
    </w:p>
    <w:p w14:paraId="344EEA11" w14:textId="11E0C07F" w:rsidR="005C4D5A" w:rsidRPr="008772BC" w:rsidRDefault="005C4D5A" w:rsidP="008772BC">
      <w:pPr>
        <w:keepNext/>
        <w:keepLines/>
        <w:spacing w:before="240"/>
      </w:pPr>
      <w:r>
        <w:t>Results from one-way sensitivity analyses are presented in tornado diagram in Figure 6.</w:t>
      </w:r>
    </w:p>
    <w:p w14:paraId="52766012" w14:textId="77777777" w:rsidR="005C4D5A" w:rsidRDefault="005C4D5A" w:rsidP="008772BC">
      <w:pPr>
        <w:keepNext/>
        <w:keepLines/>
        <w:rPr>
          <w:lang w:eastAsia="en-US"/>
        </w:rPr>
      </w:pPr>
      <w:r w:rsidRPr="00C60433">
        <w:rPr>
          <w:noProof/>
        </w:rPr>
        <w:drawing>
          <wp:inline distT="0" distB="0" distL="0" distR="0" wp14:anchorId="5039C9CD" wp14:editId="53FFA672">
            <wp:extent cx="5731510" cy="1741119"/>
            <wp:effectExtent l="0" t="0" r="2540" b="0"/>
            <wp:docPr id="4" name="Picture 4" descr="Tornado diagram: Step 2" title="Figure 6: Tornado diagram: Cost per abnormal birth avoided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741119"/>
                    </a:xfrm>
                    <a:prstGeom prst="rect">
                      <a:avLst/>
                    </a:prstGeom>
                    <a:noFill/>
                    <a:ln>
                      <a:noFill/>
                    </a:ln>
                  </pic:spPr>
                </pic:pic>
              </a:graphicData>
            </a:graphic>
          </wp:inline>
        </w:drawing>
      </w:r>
    </w:p>
    <w:p w14:paraId="225080D6" w14:textId="77777777" w:rsidR="005C4D5A" w:rsidRPr="00412BC0" w:rsidRDefault="005C4D5A" w:rsidP="00412BC0">
      <w:pPr>
        <w:rPr>
          <w:rFonts w:ascii="Arial Narrow" w:hAnsi="Arial Narrow"/>
          <w:b/>
          <w:sz w:val="20"/>
        </w:rPr>
      </w:pPr>
      <w:r w:rsidRPr="00412BC0">
        <w:rPr>
          <w:rFonts w:ascii="Arial Narrow" w:hAnsi="Arial Narrow"/>
          <w:b/>
          <w:sz w:val="20"/>
        </w:rPr>
        <w:t>Figure 6:</w:t>
      </w:r>
      <w:r w:rsidRPr="00412BC0">
        <w:rPr>
          <w:rFonts w:ascii="Arial Narrow" w:hAnsi="Arial Narrow"/>
          <w:b/>
          <w:sz w:val="20"/>
        </w:rPr>
        <w:tab/>
        <w:t>Tornado diagram: Cost per abnormal birth avoided (Step 2)</w:t>
      </w:r>
    </w:p>
    <w:p w14:paraId="01732E30" w14:textId="2BBD3BBE" w:rsidR="005C4D5A" w:rsidRDefault="005C4D5A" w:rsidP="008772BC">
      <w:pPr>
        <w:spacing w:before="240"/>
        <w:rPr>
          <w:szCs w:val="24"/>
        </w:rPr>
      </w:pPr>
      <w:r w:rsidRPr="00193198">
        <w:rPr>
          <w:szCs w:val="24"/>
        </w:rPr>
        <w:t xml:space="preserve">The </w:t>
      </w:r>
      <w:r>
        <w:rPr>
          <w:szCs w:val="24"/>
        </w:rPr>
        <w:t xml:space="preserve">CA stated the </w:t>
      </w:r>
      <w:r w:rsidRPr="00193198">
        <w:rPr>
          <w:szCs w:val="24"/>
        </w:rPr>
        <w:t xml:space="preserve">modelled results were by far the most sensitive to the cost of a birth with a genetic abnormality, with other key drivers being the detection rate of genome-wide microarray, and the costs of </w:t>
      </w:r>
      <w:r>
        <w:t>GWMA</w:t>
      </w:r>
      <w:r w:rsidRPr="00193198">
        <w:rPr>
          <w:szCs w:val="24"/>
        </w:rPr>
        <w:t xml:space="preserve"> </w:t>
      </w:r>
      <w:r>
        <w:rPr>
          <w:szCs w:val="24"/>
        </w:rPr>
        <w:t>and kary</w:t>
      </w:r>
      <w:r w:rsidRPr="00193198">
        <w:rPr>
          <w:szCs w:val="24"/>
        </w:rPr>
        <w:t xml:space="preserve">otyping. </w:t>
      </w:r>
      <w:r>
        <w:t>GWMA</w:t>
      </w:r>
      <w:r w:rsidRPr="00193198">
        <w:rPr>
          <w:szCs w:val="24"/>
        </w:rPr>
        <w:t xml:space="preserve"> was dominant in all scenarios.</w:t>
      </w:r>
    </w:p>
    <w:p w14:paraId="3162EBBB" w14:textId="24E63AEF" w:rsidR="005C4D5A" w:rsidRDefault="005C4D5A" w:rsidP="008772BC">
      <w:pPr>
        <w:spacing w:before="240" w:after="240"/>
        <w:rPr>
          <w:szCs w:val="24"/>
        </w:rPr>
      </w:pPr>
      <w:r>
        <w:rPr>
          <w:szCs w:val="24"/>
        </w:rPr>
        <w:t xml:space="preserve">However, the Critique stated </w:t>
      </w:r>
      <w:r w:rsidR="003C7931">
        <w:rPr>
          <w:szCs w:val="24"/>
        </w:rPr>
        <w:t xml:space="preserve">that the </w:t>
      </w:r>
      <w:r w:rsidRPr="00A90B20">
        <w:rPr>
          <w:szCs w:val="24"/>
        </w:rPr>
        <w:t xml:space="preserve">greatest source of uncertainty in the CA is the structural uncertainty arising from the decision tree presented in the Ratified PICO Confirmation. The most important parameters to explore in the model are the sensitivity and specificity of the GWMA and karyotype testing which </w:t>
      </w:r>
      <w:r>
        <w:rPr>
          <w:szCs w:val="24"/>
        </w:rPr>
        <w:t>we</w:t>
      </w:r>
      <w:r w:rsidRPr="00A90B20">
        <w:rPr>
          <w:szCs w:val="24"/>
        </w:rPr>
        <w:t>re not included in the current structure of the model and therefore c</w:t>
      </w:r>
      <w:r>
        <w:rPr>
          <w:szCs w:val="24"/>
        </w:rPr>
        <w:t xml:space="preserve">ould </w:t>
      </w:r>
      <w:r w:rsidRPr="00A90B20">
        <w:rPr>
          <w:szCs w:val="24"/>
        </w:rPr>
        <w:t xml:space="preserve">not be explored with sensitivity analysis in the CA economic calculation. This </w:t>
      </w:r>
      <w:r>
        <w:rPr>
          <w:szCs w:val="24"/>
        </w:rPr>
        <w:t>wa</w:t>
      </w:r>
      <w:r w:rsidRPr="00A90B20">
        <w:rPr>
          <w:szCs w:val="24"/>
        </w:rPr>
        <w:t>s a key requirement as</w:t>
      </w:r>
      <w:r>
        <w:rPr>
          <w:szCs w:val="24"/>
        </w:rPr>
        <w:t>,</w:t>
      </w:r>
      <w:r w:rsidRPr="00A90B20">
        <w:rPr>
          <w:szCs w:val="24"/>
        </w:rPr>
        <w:t xml:space="preserve"> according to the published cost effectiveness models, a cost driver in the model is how VUS are handled in the model (e.g. treated as T</w:t>
      </w:r>
      <w:r>
        <w:rPr>
          <w:szCs w:val="24"/>
        </w:rPr>
        <w:t>[test]</w:t>
      </w:r>
      <w:r w:rsidRPr="00A90B20">
        <w:rPr>
          <w:szCs w:val="24"/>
        </w:rPr>
        <w:t>+ or T</w:t>
      </w:r>
      <w:r>
        <w:rPr>
          <w:szCs w:val="24"/>
        </w:rPr>
        <w:t>[test]</w:t>
      </w:r>
      <w:r w:rsidR="0059171C">
        <w:rPr>
          <w:szCs w:val="24"/>
        </w:rPr>
        <w:t>-</w:t>
      </w:r>
      <w:r w:rsidRPr="00A90B20">
        <w:rPr>
          <w:szCs w:val="24"/>
        </w:rPr>
        <w:t>).</w:t>
      </w:r>
    </w:p>
    <w:p w14:paraId="3AFA2419" w14:textId="77777777" w:rsidR="005C4D5A" w:rsidRDefault="005C4D5A" w:rsidP="005C4D5A">
      <w:pPr>
        <w:pStyle w:val="Heading2"/>
      </w:pPr>
      <w:r>
        <w:t>Rejoinder to Critique</w:t>
      </w:r>
    </w:p>
    <w:p w14:paraId="3E76C342" w14:textId="17CEDB99" w:rsidR="005C4D5A" w:rsidRDefault="005C4D5A" w:rsidP="008772BC">
      <w:pPr>
        <w:spacing w:after="240"/>
      </w:pPr>
      <w:r w:rsidRPr="00F6070A">
        <w:t>An economic analysis was</w:t>
      </w:r>
      <w:r>
        <w:t xml:space="preserve"> re-run to address the Critique’s </w:t>
      </w:r>
      <w:r w:rsidRPr="00F6070A">
        <w:t xml:space="preserve">concerns as additional </w:t>
      </w:r>
      <w:r>
        <w:t>sensitivity analyses (Table 9). T</w:t>
      </w:r>
      <w:r w:rsidRPr="00204064">
        <w:t>he</w:t>
      </w:r>
      <w:r>
        <w:t xml:space="preserve"> Rejoinder stated that the new</w:t>
      </w:r>
      <w:r w:rsidRPr="00204064">
        <w:t xml:space="preserve"> scenario analysis indicated that GWMA dominated (lower total cos</w:t>
      </w:r>
      <w:r>
        <w:t>t with fewer disabled births) over a range of values (prevalence rates from 10% to 80%; and karyotyping sensitivity from 70% to 90%).</w:t>
      </w:r>
    </w:p>
    <w:p w14:paraId="6D2D9D48" w14:textId="77777777" w:rsidR="005C4D5A" w:rsidRPr="00412BC0" w:rsidRDefault="005C4D5A" w:rsidP="00412BC0">
      <w:pPr>
        <w:rPr>
          <w:rFonts w:ascii="Arial Narrow" w:hAnsi="Arial Narrow"/>
          <w:b/>
          <w:sz w:val="20"/>
        </w:rPr>
      </w:pPr>
      <w:r w:rsidRPr="00412BC0">
        <w:rPr>
          <w:rFonts w:ascii="Arial Narrow" w:hAnsi="Arial Narrow"/>
          <w:b/>
          <w:sz w:val="20"/>
        </w:rPr>
        <w:t>Table 9:</w:t>
      </w:r>
      <w:r w:rsidRPr="00412BC0">
        <w:rPr>
          <w:rFonts w:ascii="Arial Narrow" w:hAnsi="Arial Narrow"/>
          <w:b/>
          <w:sz w:val="20"/>
        </w:rPr>
        <w:tab/>
        <w:t>Cost-effectiveness of karyotype testing vs. GWMA</w:t>
      </w:r>
    </w:p>
    <w:tbl>
      <w:tblPr>
        <w:tblStyle w:val="TableGrid"/>
        <w:tblW w:w="5000" w:type="pct"/>
        <w:tblLook w:val="0000" w:firstRow="0" w:lastRow="0" w:firstColumn="0" w:lastColumn="0" w:noHBand="0" w:noVBand="0"/>
        <w:tblDescription w:val="Cost-effectiveness of karyotype testing vs. GWMA"/>
      </w:tblPr>
      <w:tblGrid>
        <w:gridCol w:w="2122"/>
        <w:gridCol w:w="1843"/>
        <w:gridCol w:w="1417"/>
        <w:gridCol w:w="1134"/>
        <w:gridCol w:w="1277"/>
        <w:gridCol w:w="1223"/>
      </w:tblGrid>
      <w:tr w:rsidR="005C4D5A" w:rsidRPr="00A5709C" w14:paraId="204A8311" w14:textId="77777777" w:rsidTr="00412BC0">
        <w:trPr>
          <w:trHeight w:val="294"/>
          <w:tblHeader/>
        </w:trPr>
        <w:tc>
          <w:tcPr>
            <w:tcW w:w="1177" w:type="pct"/>
          </w:tcPr>
          <w:p w14:paraId="09F7B8FD" w14:textId="77777777" w:rsidR="005C4D5A" w:rsidRPr="00A5709C" w:rsidRDefault="005C4D5A" w:rsidP="00D106F8">
            <w:pPr>
              <w:pStyle w:val="TableText1"/>
              <w:rPr>
                <w:rFonts w:eastAsiaTheme="minorHAnsi"/>
                <w:b/>
              </w:rPr>
            </w:pPr>
            <w:r w:rsidRPr="00A5709C">
              <w:rPr>
                <w:rFonts w:eastAsiaTheme="minorHAnsi"/>
                <w:b/>
              </w:rPr>
              <w:t>Scenario</w:t>
            </w:r>
          </w:p>
        </w:tc>
        <w:tc>
          <w:tcPr>
            <w:tcW w:w="1022" w:type="pct"/>
          </w:tcPr>
          <w:p w14:paraId="7F806FB0" w14:textId="77777777" w:rsidR="005C4D5A" w:rsidRPr="00A5709C" w:rsidRDefault="005C4D5A" w:rsidP="00D106F8">
            <w:pPr>
              <w:pStyle w:val="TableText1"/>
              <w:jc w:val="center"/>
              <w:rPr>
                <w:rFonts w:eastAsiaTheme="minorHAnsi"/>
                <w:b/>
              </w:rPr>
            </w:pPr>
            <w:r>
              <w:rPr>
                <w:rFonts w:eastAsiaTheme="minorHAnsi"/>
                <w:b/>
              </w:rPr>
              <w:t>D</w:t>
            </w:r>
            <w:r w:rsidRPr="00A5709C">
              <w:rPr>
                <w:rFonts w:eastAsiaTheme="minorHAnsi"/>
                <w:b/>
              </w:rPr>
              <w:t xml:space="preserve">ifference </w:t>
            </w:r>
            <w:r>
              <w:rPr>
                <w:rFonts w:eastAsiaTheme="minorHAnsi"/>
                <w:b/>
              </w:rPr>
              <w:t xml:space="preserve">in </w:t>
            </w:r>
            <w:r w:rsidRPr="00A5709C">
              <w:rPr>
                <w:rFonts w:eastAsiaTheme="minorHAnsi"/>
                <w:b/>
              </w:rPr>
              <w:t>disability deliveries</w:t>
            </w:r>
          </w:p>
        </w:tc>
        <w:tc>
          <w:tcPr>
            <w:tcW w:w="786" w:type="pct"/>
          </w:tcPr>
          <w:p w14:paraId="7D49B276" w14:textId="77777777" w:rsidR="005C4D5A" w:rsidRPr="00A5709C" w:rsidRDefault="005C4D5A" w:rsidP="00D106F8">
            <w:pPr>
              <w:pStyle w:val="TableText1"/>
              <w:jc w:val="center"/>
              <w:rPr>
                <w:rFonts w:eastAsiaTheme="minorHAnsi"/>
                <w:b/>
              </w:rPr>
            </w:pPr>
            <w:r w:rsidRPr="00A5709C">
              <w:rPr>
                <w:rFonts w:eastAsiaTheme="minorHAnsi"/>
                <w:b/>
              </w:rPr>
              <w:t>C</w:t>
            </w:r>
            <w:r>
              <w:rPr>
                <w:rFonts w:eastAsiaTheme="minorHAnsi"/>
                <w:b/>
              </w:rPr>
              <w:t>ost d</w:t>
            </w:r>
            <w:r w:rsidRPr="00A5709C">
              <w:rPr>
                <w:rFonts w:eastAsiaTheme="minorHAnsi"/>
                <w:b/>
              </w:rPr>
              <w:t>ifference</w:t>
            </w:r>
          </w:p>
        </w:tc>
        <w:tc>
          <w:tcPr>
            <w:tcW w:w="629" w:type="pct"/>
          </w:tcPr>
          <w:p w14:paraId="0F505F11" w14:textId="77777777" w:rsidR="005C4D5A" w:rsidRPr="00A5709C" w:rsidRDefault="005C4D5A" w:rsidP="00D106F8">
            <w:pPr>
              <w:pStyle w:val="TableText1"/>
              <w:jc w:val="center"/>
              <w:rPr>
                <w:rFonts w:eastAsiaTheme="minorHAnsi"/>
                <w:b/>
              </w:rPr>
            </w:pPr>
            <w:r>
              <w:rPr>
                <w:rFonts w:eastAsiaTheme="minorHAnsi"/>
                <w:b/>
              </w:rPr>
              <w:t>ICER</w:t>
            </w:r>
          </w:p>
        </w:tc>
        <w:tc>
          <w:tcPr>
            <w:tcW w:w="708" w:type="pct"/>
          </w:tcPr>
          <w:p w14:paraId="195BCEF1" w14:textId="77777777" w:rsidR="005C4D5A" w:rsidRPr="00A5709C" w:rsidRDefault="005C4D5A" w:rsidP="00D106F8">
            <w:pPr>
              <w:pStyle w:val="TableText1"/>
              <w:jc w:val="center"/>
              <w:rPr>
                <w:rFonts w:eastAsiaTheme="minorHAnsi"/>
                <w:b/>
              </w:rPr>
            </w:pPr>
            <w:r w:rsidRPr="00A5709C">
              <w:rPr>
                <w:rFonts w:eastAsiaTheme="minorHAnsi"/>
                <w:b/>
              </w:rPr>
              <w:t xml:space="preserve">Accuracy </w:t>
            </w:r>
            <w:r>
              <w:rPr>
                <w:rFonts w:eastAsiaTheme="minorHAnsi"/>
                <w:b/>
              </w:rPr>
              <w:t>of k</w:t>
            </w:r>
            <w:r w:rsidRPr="00A5709C">
              <w:rPr>
                <w:rFonts w:eastAsiaTheme="minorHAnsi"/>
                <w:b/>
              </w:rPr>
              <w:t>aryotyp</w:t>
            </w:r>
            <w:r>
              <w:rPr>
                <w:rFonts w:eastAsiaTheme="minorHAnsi"/>
                <w:b/>
              </w:rPr>
              <w:t>ing</w:t>
            </w:r>
          </w:p>
        </w:tc>
        <w:tc>
          <w:tcPr>
            <w:tcW w:w="678" w:type="pct"/>
          </w:tcPr>
          <w:p w14:paraId="721EBD21" w14:textId="77777777" w:rsidR="005C4D5A" w:rsidRPr="00A5709C" w:rsidRDefault="005C4D5A" w:rsidP="00D106F8">
            <w:pPr>
              <w:pStyle w:val="TableText1"/>
              <w:jc w:val="center"/>
              <w:rPr>
                <w:rFonts w:eastAsiaTheme="minorHAnsi"/>
                <w:b/>
              </w:rPr>
            </w:pPr>
            <w:r w:rsidRPr="00A5709C">
              <w:rPr>
                <w:rFonts w:eastAsiaTheme="minorHAnsi"/>
                <w:b/>
              </w:rPr>
              <w:t xml:space="preserve">Accuracy </w:t>
            </w:r>
            <w:r>
              <w:rPr>
                <w:rFonts w:eastAsiaTheme="minorHAnsi"/>
                <w:b/>
              </w:rPr>
              <w:t>of GWMA</w:t>
            </w:r>
          </w:p>
        </w:tc>
      </w:tr>
      <w:tr w:rsidR="005C4D5A" w:rsidRPr="00A5709C" w14:paraId="08D04658" w14:textId="77777777" w:rsidTr="00412BC0">
        <w:trPr>
          <w:trHeight w:val="84"/>
        </w:trPr>
        <w:tc>
          <w:tcPr>
            <w:tcW w:w="1177" w:type="pct"/>
          </w:tcPr>
          <w:p w14:paraId="6592E230" w14:textId="70E633B2" w:rsidR="005C4D5A" w:rsidRPr="00A5709C" w:rsidRDefault="005C4D5A" w:rsidP="00D106F8">
            <w:pPr>
              <w:pStyle w:val="TableText1"/>
              <w:rPr>
                <w:rFonts w:eastAsiaTheme="minorHAnsi"/>
              </w:rPr>
            </w:pPr>
            <w:r>
              <w:rPr>
                <w:rFonts w:eastAsiaTheme="minorHAnsi"/>
              </w:rPr>
              <w:t xml:space="preserve">Base </w:t>
            </w:r>
            <w:r w:rsidR="0059171C">
              <w:rPr>
                <w:rFonts w:eastAsiaTheme="minorHAnsi"/>
              </w:rPr>
              <w:t>c</w:t>
            </w:r>
            <w:r>
              <w:rPr>
                <w:rFonts w:eastAsiaTheme="minorHAnsi"/>
              </w:rPr>
              <w:t>ase (prevalence 10%, termination 95%</w:t>
            </w:r>
          </w:p>
        </w:tc>
        <w:tc>
          <w:tcPr>
            <w:tcW w:w="1022" w:type="pct"/>
          </w:tcPr>
          <w:p w14:paraId="4EFC426C" w14:textId="77777777" w:rsidR="005C4D5A" w:rsidRPr="00A5709C" w:rsidRDefault="005C4D5A" w:rsidP="00D106F8">
            <w:pPr>
              <w:pStyle w:val="TableText1"/>
              <w:jc w:val="center"/>
              <w:rPr>
                <w:rFonts w:eastAsiaTheme="minorHAnsi"/>
              </w:rPr>
            </w:pPr>
            <w:r w:rsidRPr="00A5709C">
              <w:rPr>
                <w:rFonts w:eastAsiaTheme="minorHAnsi"/>
              </w:rPr>
              <w:t>-23.75</w:t>
            </w:r>
          </w:p>
        </w:tc>
        <w:tc>
          <w:tcPr>
            <w:tcW w:w="786" w:type="pct"/>
          </w:tcPr>
          <w:p w14:paraId="3E8D1428" w14:textId="77777777" w:rsidR="005C4D5A" w:rsidRPr="00A5709C" w:rsidRDefault="005C4D5A" w:rsidP="00D106F8">
            <w:pPr>
              <w:pStyle w:val="TableText1"/>
              <w:jc w:val="center"/>
              <w:rPr>
                <w:rFonts w:eastAsiaTheme="minorHAnsi"/>
              </w:rPr>
            </w:pPr>
            <w:r w:rsidRPr="00A5709C">
              <w:rPr>
                <w:rFonts w:eastAsiaTheme="minorHAnsi"/>
              </w:rPr>
              <w:t>-$128,201.36</w:t>
            </w:r>
          </w:p>
        </w:tc>
        <w:tc>
          <w:tcPr>
            <w:tcW w:w="629" w:type="pct"/>
          </w:tcPr>
          <w:p w14:paraId="454B2416"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6EB44CDC" w14:textId="77777777" w:rsidR="005C4D5A" w:rsidRPr="00A5709C" w:rsidRDefault="005C4D5A" w:rsidP="00D106F8">
            <w:pPr>
              <w:pStyle w:val="TableText1"/>
              <w:jc w:val="center"/>
              <w:rPr>
                <w:rFonts w:eastAsiaTheme="minorHAnsi"/>
              </w:rPr>
            </w:pPr>
            <w:r w:rsidRPr="00A5709C">
              <w:rPr>
                <w:rFonts w:eastAsiaTheme="minorHAnsi"/>
              </w:rPr>
              <w:t>98.1%</w:t>
            </w:r>
          </w:p>
        </w:tc>
        <w:tc>
          <w:tcPr>
            <w:tcW w:w="678" w:type="pct"/>
          </w:tcPr>
          <w:p w14:paraId="15F59134" w14:textId="77777777" w:rsidR="005C4D5A" w:rsidRPr="00A5709C" w:rsidRDefault="005C4D5A" w:rsidP="00D106F8">
            <w:pPr>
              <w:pStyle w:val="TableText1"/>
              <w:jc w:val="center"/>
              <w:rPr>
                <w:rFonts w:eastAsiaTheme="minorHAnsi"/>
              </w:rPr>
            </w:pPr>
            <w:r w:rsidRPr="00A5709C">
              <w:rPr>
                <w:rFonts w:eastAsiaTheme="minorHAnsi"/>
              </w:rPr>
              <w:t>98.6%</w:t>
            </w:r>
          </w:p>
        </w:tc>
      </w:tr>
      <w:tr w:rsidR="005C4D5A" w:rsidRPr="00A5709C" w14:paraId="09B75454" w14:textId="77777777" w:rsidTr="00412BC0">
        <w:trPr>
          <w:trHeight w:val="84"/>
        </w:trPr>
        <w:tc>
          <w:tcPr>
            <w:tcW w:w="1177" w:type="pct"/>
          </w:tcPr>
          <w:p w14:paraId="39275844" w14:textId="77777777" w:rsidR="005C4D5A" w:rsidRPr="00A5709C" w:rsidRDefault="005C4D5A" w:rsidP="00D106F8">
            <w:pPr>
              <w:pStyle w:val="TableText1"/>
              <w:rPr>
                <w:rFonts w:eastAsiaTheme="minorHAnsi"/>
              </w:rPr>
            </w:pPr>
            <w:r w:rsidRPr="00A5709C">
              <w:rPr>
                <w:rFonts w:eastAsiaTheme="minorHAnsi"/>
              </w:rPr>
              <w:t xml:space="preserve">Meta-analysis (Saldarriaga 2015) </w:t>
            </w:r>
          </w:p>
        </w:tc>
        <w:tc>
          <w:tcPr>
            <w:tcW w:w="1022" w:type="pct"/>
          </w:tcPr>
          <w:p w14:paraId="3571E851" w14:textId="77777777" w:rsidR="005C4D5A" w:rsidRPr="00A5709C" w:rsidRDefault="005C4D5A" w:rsidP="00D106F8">
            <w:pPr>
              <w:pStyle w:val="TableText1"/>
              <w:jc w:val="center"/>
              <w:rPr>
                <w:rFonts w:eastAsiaTheme="minorHAnsi"/>
              </w:rPr>
            </w:pPr>
            <w:r w:rsidRPr="00A5709C">
              <w:rPr>
                <w:rFonts w:eastAsiaTheme="minorHAnsi"/>
              </w:rPr>
              <w:t>-26.60</w:t>
            </w:r>
          </w:p>
        </w:tc>
        <w:tc>
          <w:tcPr>
            <w:tcW w:w="786" w:type="pct"/>
          </w:tcPr>
          <w:p w14:paraId="6DEA4D6E" w14:textId="77777777" w:rsidR="005C4D5A" w:rsidRPr="00A5709C" w:rsidRDefault="005C4D5A" w:rsidP="00D106F8">
            <w:pPr>
              <w:pStyle w:val="TableText1"/>
              <w:jc w:val="center"/>
              <w:rPr>
                <w:rFonts w:eastAsiaTheme="minorHAnsi"/>
              </w:rPr>
            </w:pPr>
            <w:r w:rsidRPr="00A5709C">
              <w:rPr>
                <w:rFonts w:eastAsiaTheme="minorHAnsi"/>
              </w:rPr>
              <w:t>-$91,707.34</w:t>
            </w:r>
          </w:p>
        </w:tc>
        <w:tc>
          <w:tcPr>
            <w:tcW w:w="629" w:type="pct"/>
          </w:tcPr>
          <w:p w14:paraId="50A96547"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0D9F396D" w14:textId="77777777" w:rsidR="005C4D5A" w:rsidRPr="00A5709C" w:rsidRDefault="005C4D5A" w:rsidP="00D106F8">
            <w:pPr>
              <w:pStyle w:val="TableText1"/>
              <w:jc w:val="center"/>
              <w:rPr>
                <w:rFonts w:eastAsiaTheme="minorHAnsi"/>
              </w:rPr>
            </w:pPr>
            <w:r w:rsidRPr="00A5709C">
              <w:rPr>
                <w:rFonts w:eastAsiaTheme="minorHAnsi"/>
              </w:rPr>
              <w:t>95.8%</w:t>
            </w:r>
          </w:p>
        </w:tc>
        <w:tc>
          <w:tcPr>
            <w:tcW w:w="678" w:type="pct"/>
          </w:tcPr>
          <w:p w14:paraId="306ABBE7" w14:textId="77777777" w:rsidR="005C4D5A" w:rsidRPr="00A5709C" w:rsidRDefault="005C4D5A" w:rsidP="00D106F8">
            <w:pPr>
              <w:pStyle w:val="TableText1"/>
              <w:jc w:val="center"/>
              <w:rPr>
                <w:rFonts w:eastAsiaTheme="minorHAnsi"/>
              </w:rPr>
            </w:pPr>
            <w:r w:rsidRPr="00A5709C">
              <w:rPr>
                <w:rFonts w:eastAsiaTheme="minorHAnsi"/>
              </w:rPr>
              <w:t>95.6%</w:t>
            </w:r>
          </w:p>
        </w:tc>
      </w:tr>
      <w:tr w:rsidR="005C4D5A" w:rsidRPr="00A5709C" w14:paraId="7EE7B820" w14:textId="77777777" w:rsidTr="00412BC0">
        <w:trPr>
          <w:trHeight w:val="84"/>
        </w:trPr>
        <w:tc>
          <w:tcPr>
            <w:tcW w:w="1177" w:type="pct"/>
          </w:tcPr>
          <w:p w14:paraId="592AD1F6" w14:textId="77777777" w:rsidR="005C4D5A" w:rsidRPr="00A5709C" w:rsidRDefault="005C4D5A" w:rsidP="00D106F8">
            <w:pPr>
              <w:pStyle w:val="TableText1"/>
              <w:rPr>
                <w:rFonts w:eastAsiaTheme="minorHAnsi"/>
              </w:rPr>
            </w:pPr>
            <w:r w:rsidRPr="00A5709C">
              <w:rPr>
                <w:rFonts w:eastAsiaTheme="minorHAnsi"/>
              </w:rPr>
              <w:t xml:space="preserve">Prevalence 7.5% </w:t>
            </w:r>
          </w:p>
        </w:tc>
        <w:tc>
          <w:tcPr>
            <w:tcW w:w="1022" w:type="pct"/>
          </w:tcPr>
          <w:p w14:paraId="5AC5B417" w14:textId="77777777" w:rsidR="005C4D5A" w:rsidRPr="00A5709C" w:rsidRDefault="005C4D5A" w:rsidP="00D106F8">
            <w:pPr>
              <w:pStyle w:val="TableText1"/>
              <w:jc w:val="center"/>
              <w:rPr>
                <w:rFonts w:eastAsiaTheme="minorHAnsi"/>
              </w:rPr>
            </w:pPr>
            <w:r w:rsidRPr="00A5709C">
              <w:rPr>
                <w:rFonts w:eastAsiaTheme="minorHAnsi"/>
              </w:rPr>
              <w:t>-16.88</w:t>
            </w:r>
          </w:p>
        </w:tc>
        <w:tc>
          <w:tcPr>
            <w:tcW w:w="786" w:type="pct"/>
          </w:tcPr>
          <w:p w14:paraId="6D9ABB82" w14:textId="77777777" w:rsidR="005C4D5A" w:rsidRPr="00A5709C" w:rsidRDefault="005C4D5A" w:rsidP="00D106F8">
            <w:pPr>
              <w:pStyle w:val="TableText1"/>
              <w:jc w:val="center"/>
              <w:rPr>
                <w:rFonts w:eastAsiaTheme="minorHAnsi"/>
              </w:rPr>
            </w:pPr>
            <w:r w:rsidRPr="00A5709C">
              <w:rPr>
                <w:rFonts w:eastAsiaTheme="minorHAnsi"/>
              </w:rPr>
              <w:t>-$65,511.80</w:t>
            </w:r>
          </w:p>
        </w:tc>
        <w:tc>
          <w:tcPr>
            <w:tcW w:w="629" w:type="pct"/>
          </w:tcPr>
          <w:p w14:paraId="64184C4E"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133443B3" w14:textId="77777777" w:rsidR="005C4D5A" w:rsidRPr="00A5709C" w:rsidRDefault="005C4D5A" w:rsidP="00D106F8">
            <w:pPr>
              <w:pStyle w:val="TableText1"/>
              <w:jc w:val="center"/>
              <w:rPr>
                <w:rFonts w:eastAsiaTheme="minorHAnsi"/>
              </w:rPr>
            </w:pPr>
            <w:r w:rsidRPr="00A5709C">
              <w:rPr>
                <w:rFonts w:eastAsiaTheme="minorHAnsi"/>
              </w:rPr>
              <w:t>96.8%</w:t>
            </w:r>
          </w:p>
        </w:tc>
        <w:tc>
          <w:tcPr>
            <w:tcW w:w="678" w:type="pct"/>
          </w:tcPr>
          <w:p w14:paraId="5715EB10" w14:textId="77777777" w:rsidR="005C4D5A" w:rsidRPr="00A5709C" w:rsidRDefault="005C4D5A" w:rsidP="00D106F8">
            <w:pPr>
              <w:pStyle w:val="TableText1"/>
              <w:jc w:val="center"/>
              <w:rPr>
                <w:rFonts w:eastAsiaTheme="minorHAnsi"/>
              </w:rPr>
            </w:pPr>
            <w:r w:rsidRPr="00A5709C">
              <w:rPr>
                <w:rFonts w:eastAsiaTheme="minorHAnsi"/>
              </w:rPr>
              <w:t>98.7%</w:t>
            </w:r>
          </w:p>
        </w:tc>
      </w:tr>
      <w:tr w:rsidR="005C4D5A" w:rsidRPr="00A5709C" w14:paraId="1103E9C7" w14:textId="77777777" w:rsidTr="00412BC0">
        <w:trPr>
          <w:trHeight w:val="84"/>
        </w:trPr>
        <w:tc>
          <w:tcPr>
            <w:tcW w:w="1177" w:type="pct"/>
          </w:tcPr>
          <w:p w14:paraId="1A8F925F" w14:textId="77777777" w:rsidR="005C4D5A" w:rsidRPr="00A5709C" w:rsidRDefault="005C4D5A" w:rsidP="00D106F8">
            <w:pPr>
              <w:pStyle w:val="TableText1"/>
              <w:rPr>
                <w:rFonts w:eastAsiaTheme="minorHAnsi"/>
              </w:rPr>
            </w:pPr>
            <w:r w:rsidRPr="00A5709C">
              <w:rPr>
                <w:rFonts w:eastAsiaTheme="minorHAnsi"/>
              </w:rPr>
              <w:t xml:space="preserve">Termination 90% </w:t>
            </w:r>
          </w:p>
        </w:tc>
        <w:tc>
          <w:tcPr>
            <w:tcW w:w="1022" w:type="pct"/>
          </w:tcPr>
          <w:p w14:paraId="10EF0BF9" w14:textId="77777777" w:rsidR="005C4D5A" w:rsidRPr="00A5709C" w:rsidRDefault="005C4D5A" w:rsidP="00D106F8">
            <w:pPr>
              <w:pStyle w:val="TableText1"/>
              <w:jc w:val="center"/>
              <w:rPr>
                <w:rFonts w:eastAsiaTheme="minorHAnsi"/>
              </w:rPr>
            </w:pPr>
            <w:r w:rsidRPr="00A5709C">
              <w:rPr>
                <w:rFonts w:eastAsiaTheme="minorHAnsi"/>
              </w:rPr>
              <w:t>-25.20</w:t>
            </w:r>
          </w:p>
        </w:tc>
        <w:tc>
          <w:tcPr>
            <w:tcW w:w="786" w:type="pct"/>
          </w:tcPr>
          <w:p w14:paraId="3DAB118B" w14:textId="77777777" w:rsidR="005C4D5A" w:rsidRPr="00A5709C" w:rsidRDefault="005C4D5A" w:rsidP="00D106F8">
            <w:pPr>
              <w:pStyle w:val="TableText1"/>
              <w:jc w:val="center"/>
              <w:rPr>
                <w:rFonts w:eastAsiaTheme="minorHAnsi"/>
              </w:rPr>
            </w:pPr>
            <w:r w:rsidRPr="00A5709C">
              <w:rPr>
                <w:rFonts w:eastAsiaTheme="minorHAnsi"/>
              </w:rPr>
              <w:t>-$111,057.08</w:t>
            </w:r>
          </w:p>
        </w:tc>
        <w:tc>
          <w:tcPr>
            <w:tcW w:w="629" w:type="pct"/>
          </w:tcPr>
          <w:p w14:paraId="66CCE347"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5D37F634" w14:textId="77777777" w:rsidR="005C4D5A" w:rsidRPr="00A5709C" w:rsidRDefault="005C4D5A" w:rsidP="00D106F8">
            <w:pPr>
              <w:pStyle w:val="TableText1"/>
              <w:jc w:val="center"/>
              <w:rPr>
                <w:rFonts w:eastAsiaTheme="minorHAnsi"/>
              </w:rPr>
            </w:pPr>
            <w:r w:rsidRPr="00A5709C">
              <w:rPr>
                <w:rFonts w:eastAsiaTheme="minorHAnsi"/>
              </w:rPr>
              <w:t>96.1%</w:t>
            </w:r>
          </w:p>
        </w:tc>
        <w:tc>
          <w:tcPr>
            <w:tcW w:w="678" w:type="pct"/>
          </w:tcPr>
          <w:p w14:paraId="46ED19CF" w14:textId="77777777" w:rsidR="005C4D5A" w:rsidRPr="00A5709C" w:rsidRDefault="005C4D5A" w:rsidP="00D106F8">
            <w:pPr>
              <w:pStyle w:val="TableText1"/>
              <w:jc w:val="center"/>
              <w:rPr>
                <w:rFonts w:eastAsiaTheme="minorHAnsi"/>
              </w:rPr>
            </w:pPr>
            <w:r w:rsidRPr="00A5709C">
              <w:rPr>
                <w:rFonts w:eastAsiaTheme="minorHAnsi"/>
              </w:rPr>
              <w:t>98.6%</w:t>
            </w:r>
          </w:p>
        </w:tc>
      </w:tr>
      <w:tr w:rsidR="005C4D5A" w:rsidRPr="00A5709C" w14:paraId="6B2EBDC2" w14:textId="77777777" w:rsidTr="00412BC0">
        <w:trPr>
          <w:trHeight w:val="84"/>
        </w:trPr>
        <w:tc>
          <w:tcPr>
            <w:tcW w:w="1177" w:type="pct"/>
          </w:tcPr>
          <w:p w14:paraId="5E2C2705" w14:textId="77777777" w:rsidR="005C4D5A" w:rsidRPr="00A5709C" w:rsidRDefault="005C4D5A" w:rsidP="00D106F8">
            <w:pPr>
              <w:pStyle w:val="TableText1"/>
              <w:rPr>
                <w:rFonts w:eastAsiaTheme="minorHAnsi"/>
              </w:rPr>
            </w:pPr>
            <w:r w:rsidRPr="00A5709C">
              <w:rPr>
                <w:rFonts w:eastAsiaTheme="minorHAnsi"/>
              </w:rPr>
              <w:t xml:space="preserve">Karyotyping sensitivity 90% </w:t>
            </w:r>
          </w:p>
        </w:tc>
        <w:tc>
          <w:tcPr>
            <w:tcW w:w="1022" w:type="pct"/>
          </w:tcPr>
          <w:p w14:paraId="5EE1DFB4" w14:textId="77777777" w:rsidR="005C4D5A" w:rsidRPr="00A5709C" w:rsidRDefault="005C4D5A" w:rsidP="00D106F8">
            <w:pPr>
              <w:pStyle w:val="TableText1"/>
              <w:jc w:val="center"/>
              <w:rPr>
                <w:rFonts w:eastAsiaTheme="minorHAnsi"/>
              </w:rPr>
            </w:pPr>
            <w:r w:rsidRPr="00A5709C">
              <w:rPr>
                <w:rFonts w:eastAsiaTheme="minorHAnsi"/>
              </w:rPr>
              <w:t>-4.75</w:t>
            </w:r>
          </w:p>
        </w:tc>
        <w:tc>
          <w:tcPr>
            <w:tcW w:w="786" w:type="pct"/>
          </w:tcPr>
          <w:p w14:paraId="1A4FE405" w14:textId="77777777" w:rsidR="005C4D5A" w:rsidRPr="00A5709C" w:rsidRDefault="005C4D5A" w:rsidP="00D106F8">
            <w:pPr>
              <w:pStyle w:val="TableText1"/>
              <w:jc w:val="center"/>
              <w:rPr>
                <w:rFonts w:eastAsiaTheme="minorHAnsi"/>
              </w:rPr>
            </w:pPr>
            <w:r w:rsidRPr="00A5709C">
              <w:rPr>
                <w:rFonts w:eastAsiaTheme="minorHAnsi"/>
              </w:rPr>
              <w:t>$16,506.08</w:t>
            </w:r>
          </w:p>
        </w:tc>
        <w:tc>
          <w:tcPr>
            <w:tcW w:w="629" w:type="pct"/>
          </w:tcPr>
          <w:p w14:paraId="05EB4F50" w14:textId="77777777" w:rsidR="005C4D5A" w:rsidRPr="00A5709C" w:rsidRDefault="005C4D5A" w:rsidP="00D106F8">
            <w:pPr>
              <w:pStyle w:val="TableText1"/>
              <w:jc w:val="center"/>
              <w:rPr>
                <w:rFonts w:eastAsiaTheme="minorHAnsi"/>
              </w:rPr>
            </w:pPr>
            <w:r w:rsidRPr="00A5709C">
              <w:rPr>
                <w:rFonts w:eastAsiaTheme="minorHAnsi"/>
              </w:rPr>
              <w:t>$3,474.96</w:t>
            </w:r>
          </w:p>
        </w:tc>
        <w:tc>
          <w:tcPr>
            <w:tcW w:w="708" w:type="pct"/>
          </w:tcPr>
          <w:p w14:paraId="2F4E6C15" w14:textId="77777777" w:rsidR="005C4D5A" w:rsidRPr="00A5709C" w:rsidRDefault="005C4D5A" w:rsidP="00D106F8">
            <w:pPr>
              <w:pStyle w:val="TableText1"/>
              <w:jc w:val="center"/>
              <w:rPr>
                <w:rFonts w:eastAsiaTheme="minorHAnsi"/>
              </w:rPr>
            </w:pPr>
            <w:r w:rsidRPr="00A5709C">
              <w:rPr>
                <w:rFonts w:eastAsiaTheme="minorHAnsi"/>
              </w:rPr>
              <w:t>91.8%</w:t>
            </w:r>
          </w:p>
        </w:tc>
        <w:tc>
          <w:tcPr>
            <w:tcW w:w="678" w:type="pct"/>
          </w:tcPr>
          <w:p w14:paraId="6E95280F" w14:textId="77777777" w:rsidR="005C4D5A" w:rsidRPr="00A5709C" w:rsidRDefault="005C4D5A" w:rsidP="00D106F8">
            <w:pPr>
              <w:pStyle w:val="TableText1"/>
              <w:jc w:val="center"/>
              <w:rPr>
                <w:rFonts w:eastAsiaTheme="minorHAnsi"/>
              </w:rPr>
            </w:pPr>
            <w:r w:rsidRPr="00A5709C">
              <w:rPr>
                <w:rFonts w:eastAsiaTheme="minorHAnsi"/>
              </w:rPr>
              <w:t>95.6%</w:t>
            </w:r>
          </w:p>
        </w:tc>
      </w:tr>
      <w:tr w:rsidR="005C4D5A" w:rsidRPr="00A5709C" w14:paraId="3CECA78E" w14:textId="77777777" w:rsidTr="00412BC0">
        <w:trPr>
          <w:trHeight w:val="84"/>
        </w:trPr>
        <w:tc>
          <w:tcPr>
            <w:tcW w:w="1177" w:type="pct"/>
          </w:tcPr>
          <w:p w14:paraId="7B32B47C" w14:textId="77777777" w:rsidR="005C4D5A" w:rsidRPr="00A5709C" w:rsidRDefault="005C4D5A" w:rsidP="00D106F8">
            <w:pPr>
              <w:pStyle w:val="TableText1"/>
              <w:rPr>
                <w:rFonts w:eastAsiaTheme="minorHAnsi"/>
              </w:rPr>
            </w:pPr>
            <w:r w:rsidRPr="00A5709C">
              <w:rPr>
                <w:rFonts w:eastAsiaTheme="minorHAnsi"/>
              </w:rPr>
              <w:t xml:space="preserve">Lower abnormal birth cost </w:t>
            </w:r>
          </w:p>
        </w:tc>
        <w:tc>
          <w:tcPr>
            <w:tcW w:w="1022" w:type="pct"/>
          </w:tcPr>
          <w:p w14:paraId="6342E05F" w14:textId="77777777" w:rsidR="005C4D5A" w:rsidRPr="00A5709C" w:rsidRDefault="005C4D5A" w:rsidP="00D106F8">
            <w:pPr>
              <w:pStyle w:val="TableText1"/>
              <w:jc w:val="center"/>
              <w:rPr>
                <w:rFonts w:eastAsiaTheme="minorHAnsi"/>
              </w:rPr>
            </w:pPr>
            <w:r w:rsidRPr="00A5709C">
              <w:rPr>
                <w:rFonts w:eastAsiaTheme="minorHAnsi"/>
              </w:rPr>
              <w:t>-23.75</w:t>
            </w:r>
          </w:p>
        </w:tc>
        <w:tc>
          <w:tcPr>
            <w:tcW w:w="786" w:type="pct"/>
          </w:tcPr>
          <w:p w14:paraId="17A688F0" w14:textId="77777777" w:rsidR="005C4D5A" w:rsidRPr="00A5709C" w:rsidRDefault="005C4D5A" w:rsidP="00D106F8">
            <w:pPr>
              <w:pStyle w:val="TableText1"/>
              <w:jc w:val="center"/>
              <w:rPr>
                <w:rFonts w:eastAsiaTheme="minorHAnsi"/>
              </w:rPr>
            </w:pPr>
            <w:r w:rsidRPr="00A5709C">
              <w:rPr>
                <w:rFonts w:eastAsiaTheme="minorHAnsi"/>
              </w:rPr>
              <w:t>-$57,403.00</w:t>
            </w:r>
          </w:p>
        </w:tc>
        <w:tc>
          <w:tcPr>
            <w:tcW w:w="629" w:type="pct"/>
          </w:tcPr>
          <w:p w14:paraId="6AE00C4B"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3044806C" w14:textId="77777777" w:rsidR="005C4D5A" w:rsidRPr="00A5709C" w:rsidRDefault="005C4D5A" w:rsidP="00D106F8">
            <w:pPr>
              <w:pStyle w:val="TableText1"/>
              <w:jc w:val="center"/>
              <w:rPr>
                <w:rFonts w:eastAsiaTheme="minorHAnsi"/>
              </w:rPr>
            </w:pPr>
            <w:r w:rsidRPr="00A5709C">
              <w:rPr>
                <w:rFonts w:eastAsiaTheme="minorHAnsi"/>
              </w:rPr>
              <w:t>98.1%</w:t>
            </w:r>
          </w:p>
        </w:tc>
        <w:tc>
          <w:tcPr>
            <w:tcW w:w="678" w:type="pct"/>
          </w:tcPr>
          <w:p w14:paraId="4EFF8DB8" w14:textId="77777777" w:rsidR="005C4D5A" w:rsidRPr="00A5709C" w:rsidRDefault="005C4D5A" w:rsidP="00D106F8">
            <w:pPr>
              <w:pStyle w:val="TableText1"/>
              <w:jc w:val="center"/>
              <w:rPr>
                <w:rFonts w:eastAsiaTheme="minorHAnsi"/>
              </w:rPr>
            </w:pPr>
            <w:r w:rsidRPr="00A5709C">
              <w:rPr>
                <w:rFonts w:eastAsiaTheme="minorHAnsi"/>
              </w:rPr>
              <w:t>98.6%</w:t>
            </w:r>
          </w:p>
        </w:tc>
      </w:tr>
      <w:tr w:rsidR="005C4D5A" w:rsidRPr="00A5709C" w14:paraId="1382A8D8" w14:textId="77777777" w:rsidTr="00412BC0">
        <w:trPr>
          <w:trHeight w:val="80"/>
        </w:trPr>
        <w:tc>
          <w:tcPr>
            <w:tcW w:w="1177" w:type="pct"/>
          </w:tcPr>
          <w:p w14:paraId="5DE4D903" w14:textId="77777777" w:rsidR="005C4D5A" w:rsidRPr="00A5709C" w:rsidRDefault="005C4D5A" w:rsidP="00D106F8">
            <w:pPr>
              <w:pStyle w:val="TableText1"/>
              <w:rPr>
                <w:rFonts w:eastAsiaTheme="minorHAnsi"/>
              </w:rPr>
            </w:pPr>
            <w:r w:rsidRPr="00A5709C">
              <w:rPr>
                <w:rFonts w:eastAsiaTheme="minorHAnsi"/>
              </w:rPr>
              <w:t xml:space="preserve">VUS not pathologic </w:t>
            </w:r>
          </w:p>
        </w:tc>
        <w:tc>
          <w:tcPr>
            <w:tcW w:w="1022" w:type="pct"/>
          </w:tcPr>
          <w:p w14:paraId="2F662D8B" w14:textId="77777777" w:rsidR="005C4D5A" w:rsidRPr="00A5709C" w:rsidRDefault="005C4D5A" w:rsidP="00D106F8">
            <w:pPr>
              <w:pStyle w:val="TableText1"/>
              <w:jc w:val="center"/>
              <w:rPr>
                <w:rFonts w:eastAsiaTheme="minorHAnsi"/>
              </w:rPr>
            </w:pPr>
            <w:r w:rsidRPr="00A5709C">
              <w:rPr>
                <w:rFonts w:eastAsiaTheme="minorHAnsi"/>
              </w:rPr>
              <w:t>-25.56</w:t>
            </w:r>
          </w:p>
        </w:tc>
        <w:tc>
          <w:tcPr>
            <w:tcW w:w="786" w:type="pct"/>
          </w:tcPr>
          <w:p w14:paraId="7DEE0515" w14:textId="77777777" w:rsidR="005C4D5A" w:rsidRPr="00A5709C" w:rsidRDefault="005C4D5A" w:rsidP="00D106F8">
            <w:pPr>
              <w:pStyle w:val="TableText1"/>
              <w:jc w:val="center"/>
              <w:rPr>
                <w:rFonts w:eastAsiaTheme="minorHAnsi"/>
              </w:rPr>
            </w:pPr>
            <w:r w:rsidRPr="00A5709C">
              <w:rPr>
                <w:rFonts w:eastAsiaTheme="minorHAnsi"/>
              </w:rPr>
              <w:t>-$80,344.05</w:t>
            </w:r>
          </w:p>
        </w:tc>
        <w:tc>
          <w:tcPr>
            <w:tcW w:w="629" w:type="pct"/>
          </w:tcPr>
          <w:p w14:paraId="2F4603CC"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2C0C64AE" w14:textId="77777777" w:rsidR="005C4D5A" w:rsidRPr="00A5709C" w:rsidRDefault="005C4D5A" w:rsidP="00D106F8">
            <w:pPr>
              <w:pStyle w:val="TableText1"/>
              <w:jc w:val="center"/>
              <w:rPr>
                <w:rFonts w:eastAsiaTheme="minorHAnsi"/>
              </w:rPr>
            </w:pPr>
            <w:r w:rsidRPr="00A5709C">
              <w:rPr>
                <w:rFonts w:eastAsiaTheme="minorHAnsi"/>
              </w:rPr>
              <w:t>98.6%</w:t>
            </w:r>
          </w:p>
        </w:tc>
        <w:tc>
          <w:tcPr>
            <w:tcW w:w="678" w:type="pct"/>
          </w:tcPr>
          <w:p w14:paraId="727F2A32" w14:textId="77777777" w:rsidR="005C4D5A" w:rsidRPr="00A5709C" w:rsidRDefault="005C4D5A" w:rsidP="00D106F8">
            <w:pPr>
              <w:pStyle w:val="TableText1"/>
              <w:jc w:val="center"/>
              <w:rPr>
                <w:rFonts w:eastAsiaTheme="minorHAnsi"/>
              </w:rPr>
            </w:pPr>
            <w:r w:rsidRPr="00A5709C">
              <w:rPr>
                <w:rFonts w:eastAsiaTheme="minorHAnsi"/>
              </w:rPr>
              <w:t>99.4%</w:t>
            </w:r>
          </w:p>
        </w:tc>
      </w:tr>
      <w:tr w:rsidR="005C4D5A" w:rsidRPr="00A5709C" w14:paraId="73E19D6A" w14:textId="77777777" w:rsidTr="00412BC0">
        <w:trPr>
          <w:trHeight w:val="84"/>
        </w:trPr>
        <w:tc>
          <w:tcPr>
            <w:tcW w:w="1177" w:type="pct"/>
          </w:tcPr>
          <w:p w14:paraId="16941082" w14:textId="77777777" w:rsidR="005C4D5A" w:rsidRPr="00A5709C" w:rsidRDefault="005C4D5A" w:rsidP="00D106F8">
            <w:pPr>
              <w:pStyle w:val="TableText1"/>
              <w:rPr>
                <w:rFonts w:eastAsiaTheme="minorHAnsi"/>
              </w:rPr>
            </w:pPr>
            <w:r w:rsidRPr="00A5709C">
              <w:rPr>
                <w:rFonts w:eastAsiaTheme="minorHAnsi"/>
              </w:rPr>
              <w:t xml:space="preserve">VUS pathologic </w:t>
            </w:r>
          </w:p>
        </w:tc>
        <w:tc>
          <w:tcPr>
            <w:tcW w:w="1022" w:type="pct"/>
          </w:tcPr>
          <w:p w14:paraId="4949FAE1" w14:textId="77777777" w:rsidR="005C4D5A" w:rsidRPr="00A5709C" w:rsidRDefault="005C4D5A" w:rsidP="00D106F8">
            <w:pPr>
              <w:pStyle w:val="TableText1"/>
              <w:jc w:val="center"/>
              <w:rPr>
                <w:rFonts w:eastAsiaTheme="minorHAnsi"/>
              </w:rPr>
            </w:pPr>
            <w:r w:rsidRPr="00A5709C">
              <w:rPr>
                <w:rFonts w:eastAsiaTheme="minorHAnsi"/>
              </w:rPr>
              <w:t>-25.84</w:t>
            </w:r>
          </w:p>
        </w:tc>
        <w:tc>
          <w:tcPr>
            <w:tcW w:w="786" w:type="pct"/>
          </w:tcPr>
          <w:p w14:paraId="362A77A9" w14:textId="77777777" w:rsidR="005C4D5A" w:rsidRPr="00A5709C" w:rsidRDefault="005C4D5A" w:rsidP="00D106F8">
            <w:pPr>
              <w:pStyle w:val="TableText1"/>
              <w:jc w:val="center"/>
              <w:rPr>
                <w:rFonts w:eastAsiaTheme="minorHAnsi"/>
              </w:rPr>
            </w:pPr>
            <w:r w:rsidRPr="00A5709C">
              <w:rPr>
                <w:rFonts w:eastAsiaTheme="minorHAnsi"/>
              </w:rPr>
              <w:t>-$164,424.90</w:t>
            </w:r>
          </w:p>
        </w:tc>
        <w:tc>
          <w:tcPr>
            <w:tcW w:w="629" w:type="pct"/>
          </w:tcPr>
          <w:p w14:paraId="163D53C8" w14:textId="77777777" w:rsidR="005C4D5A" w:rsidRPr="00A5709C" w:rsidRDefault="005C4D5A" w:rsidP="00D106F8">
            <w:pPr>
              <w:pStyle w:val="TableText1"/>
              <w:jc w:val="center"/>
              <w:rPr>
                <w:rFonts w:eastAsiaTheme="minorHAnsi"/>
              </w:rPr>
            </w:pPr>
            <w:r w:rsidRPr="00A5709C">
              <w:rPr>
                <w:rFonts w:eastAsiaTheme="minorHAnsi"/>
              </w:rPr>
              <w:t>Dominant</w:t>
            </w:r>
          </w:p>
        </w:tc>
        <w:tc>
          <w:tcPr>
            <w:tcW w:w="708" w:type="pct"/>
          </w:tcPr>
          <w:p w14:paraId="49C3DAC6" w14:textId="77777777" w:rsidR="005C4D5A" w:rsidRPr="00A5709C" w:rsidRDefault="005C4D5A" w:rsidP="00D106F8">
            <w:pPr>
              <w:pStyle w:val="TableText1"/>
              <w:jc w:val="center"/>
              <w:rPr>
                <w:rFonts w:eastAsiaTheme="minorHAnsi"/>
              </w:rPr>
            </w:pPr>
            <w:r w:rsidRPr="00A5709C">
              <w:rPr>
                <w:rFonts w:eastAsiaTheme="minorHAnsi"/>
              </w:rPr>
              <w:t>96.6%</w:t>
            </w:r>
          </w:p>
        </w:tc>
        <w:tc>
          <w:tcPr>
            <w:tcW w:w="678" w:type="pct"/>
          </w:tcPr>
          <w:p w14:paraId="79ACC3D4" w14:textId="77777777" w:rsidR="005C4D5A" w:rsidRPr="00A5709C" w:rsidRDefault="005C4D5A" w:rsidP="00D106F8">
            <w:pPr>
              <w:pStyle w:val="TableText1"/>
              <w:jc w:val="center"/>
              <w:rPr>
                <w:rFonts w:eastAsiaTheme="minorHAnsi"/>
              </w:rPr>
            </w:pPr>
            <w:r w:rsidRPr="00A5709C">
              <w:rPr>
                <w:rFonts w:eastAsiaTheme="minorHAnsi"/>
              </w:rPr>
              <w:t>98.3%</w:t>
            </w:r>
          </w:p>
        </w:tc>
      </w:tr>
    </w:tbl>
    <w:p w14:paraId="3160E006" w14:textId="77777777" w:rsidR="005C4D5A" w:rsidRDefault="005C4D5A" w:rsidP="005C4D5A">
      <w:pPr>
        <w:rPr>
          <w:rFonts w:ascii="Arial Narrow" w:hAnsi="Arial Narrow"/>
          <w:sz w:val="18"/>
          <w:szCs w:val="16"/>
        </w:rPr>
      </w:pPr>
      <w:r>
        <w:rPr>
          <w:rFonts w:ascii="Arial Narrow" w:hAnsi="Arial Narrow"/>
          <w:sz w:val="18"/>
          <w:szCs w:val="16"/>
        </w:rPr>
        <w:t>Source: Table 14, p40 of Rejoinder</w:t>
      </w:r>
    </w:p>
    <w:p w14:paraId="0328C801" w14:textId="33E19F41" w:rsidR="0004523B" w:rsidRPr="008772BC" w:rsidRDefault="005C4D5A" w:rsidP="008772BC">
      <w:pPr>
        <w:rPr>
          <w:rFonts w:ascii="Arial Narrow" w:hAnsi="Arial Narrow"/>
          <w:sz w:val="18"/>
          <w:szCs w:val="18"/>
        </w:rPr>
      </w:pPr>
      <w:r w:rsidRPr="000D5CD9">
        <w:rPr>
          <w:rFonts w:ascii="Arial Narrow" w:hAnsi="Arial Narrow"/>
          <w:sz w:val="18"/>
          <w:szCs w:val="16"/>
        </w:rPr>
        <w:t>Abbreviations: GMWA, genome-wide microarray; ICER, incremental cost effectiveness ratio; VUS, variations of unknown significance</w:t>
      </w:r>
      <w:bookmarkEnd w:id="21"/>
      <w:bookmarkEnd w:id="22"/>
      <w:bookmarkEnd w:id="23"/>
      <w:r w:rsidR="0004523B">
        <w:br w:type="page"/>
      </w:r>
    </w:p>
    <w:p w14:paraId="3FFF9090" w14:textId="4057CB8D" w:rsidR="005C4D5A" w:rsidRDefault="005C4D5A" w:rsidP="005C4D5A">
      <w:pPr>
        <w:tabs>
          <w:tab w:val="left" w:pos="720"/>
          <w:tab w:val="left" w:pos="1140"/>
        </w:tabs>
      </w:pPr>
      <w:r>
        <w:t>The Rejoinder also compared economics results from two different methods:</w:t>
      </w:r>
    </w:p>
    <w:p w14:paraId="4A59CAAA" w14:textId="77777777" w:rsidR="005C4D5A" w:rsidRDefault="005C4D5A" w:rsidP="005C4D5A">
      <w:pPr>
        <w:pStyle w:val="ListParagraph"/>
        <w:numPr>
          <w:ilvl w:val="0"/>
          <w:numId w:val="11"/>
        </w:numPr>
        <w:tabs>
          <w:tab w:val="left" w:pos="720"/>
          <w:tab w:val="left" w:pos="1140"/>
        </w:tabs>
      </w:pPr>
      <w:r>
        <w:t>Decision analysis using sensitivity and specificity values (approach suggested in the Critique);</w:t>
      </w:r>
    </w:p>
    <w:p w14:paraId="09B5B83D" w14:textId="7E8B35D5" w:rsidR="005C4D5A" w:rsidRDefault="005C4D5A" w:rsidP="005C4D5A">
      <w:pPr>
        <w:pStyle w:val="ListParagraph"/>
        <w:numPr>
          <w:ilvl w:val="0"/>
          <w:numId w:val="11"/>
        </w:numPr>
        <w:tabs>
          <w:tab w:val="left" w:pos="720"/>
          <w:tab w:val="left" w:pos="1140"/>
        </w:tabs>
      </w:pPr>
      <w:r>
        <w:t>Diagnostic yield using test results (approach performed in CA).</w:t>
      </w:r>
    </w:p>
    <w:p w14:paraId="4266BC29" w14:textId="0B627D49" w:rsidR="005C4D5A" w:rsidRDefault="005C4D5A" w:rsidP="008772BC">
      <w:pPr>
        <w:tabs>
          <w:tab w:val="left" w:pos="720"/>
          <w:tab w:val="left" w:pos="1140"/>
        </w:tabs>
        <w:spacing w:before="240" w:after="240"/>
      </w:pPr>
      <w:r>
        <w:t>In brief</w:t>
      </w:r>
      <w:r w:rsidRPr="00F6070A">
        <w:t>,</w:t>
      </w:r>
      <w:r>
        <w:t xml:space="preserve"> the Rejoinder stated </w:t>
      </w:r>
      <w:r w:rsidRPr="00F6070A">
        <w:t>both methods (sensitivity and specificity meta</w:t>
      </w:r>
      <w:r>
        <w:t xml:space="preserve">-analysis </w:t>
      </w:r>
      <w:r w:rsidRPr="00F6070A">
        <w:t>and diagnostic yield) have their limitati</w:t>
      </w:r>
      <w:r>
        <w:t>ons and yielded similar results (Table 10; Table 11).</w:t>
      </w:r>
      <w:r w:rsidRPr="00204064">
        <w:t xml:space="preserve"> </w:t>
      </w:r>
    </w:p>
    <w:p w14:paraId="7A4D487C" w14:textId="77777777" w:rsidR="005C4D5A" w:rsidRPr="00412BC0" w:rsidRDefault="005C4D5A" w:rsidP="00412BC0">
      <w:pPr>
        <w:rPr>
          <w:rFonts w:ascii="Arial Narrow" w:hAnsi="Arial Narrow"/>
          <w:b/>
          <w:sz w:val="20"/>
        </w:rPr>
      </w:pPr>
      <w:r w:rsidRPr="00412BC0">
        <w:rPr>
          <w:rFonts w:ascii="Arial Narrow" w:hAnsi="Arial Narrow"/>
          <w:b/>
          <w:sz w:val="20"/>
        </w:rPr>
        <w:t>Table 10:</w:t>
      </w:r>
      <w:r w:rsidRPr="00412BC0">
        <w:rPr>
          <w:rFonts w:ascii="Arial Narrow" w:hAnsi="Arial Narrow"/>
          <w:b/>
          <w:sz w:val="20"/>
        </w:rPr>
        <w:tab/>
        <w:t>Comparison of costs and consequences by method: DY or S&amp;S</w:t>
      </w:r>
    </w:p>
    <w:tbl>
      <w:tblPr>
        <w:tblStyle w:val="TableGrid"/>
        <w:tblW w:w="0" w:type="auto"/>
        <w:tblLook w:val="04A0" w:firstRow="1" w:lastRow="0" w:firstColumn="1" w:lastColumn="0" w:noHBand="0" w:noVBand="1"/>
        <w:tblCaption w:val="Table 10: Comparison of costs and consequences by method: DY or S&amp;S"/>
        <w:tblDescription w:val="Rejoinder economic analyses: comparing results for diagnostic yield versus diagnostic accuracy"/>
      </w:tblPr>
      <w:tblGrid>
        <w:gridCol w:w="1116"/>
        <w:gridCol w:w="1155"/>
        <w:gridCol w:w="1088"/>
        <w:gridCol w:w="1246"/>
        <w:gridCol w:w="1108"/>
        <w:gridCol w:w="1102"/>
        <w:gridCol w:w="1111"/>
        <w:gridCol w:w="1090"/>
      </w:tblGrid>
      <w:tr w:rsidR="005C4D5A" w:rsidRPr="00531CA3" w14:paraId="5095FB65" w14:textId="77777777" w:rsidTr="00F93D92">
        <w:trPr>
          <w:tblHeader/>
        </w:trPr>
        <w:tc>
          <w:tcPr>
            <w:tcW w:w="1116" w:type="dxa"/>
          </w:tcPr>
          <w:p w14:paraId="01E2A3DA" w14:textId="77777777" w:rsidR="005C4D5A" w:rsidRPr="00204064" w:rsidRDefault="005C4D5A" w:rsidP="00D106F8">
            <w:pPr>
              <w:tabs>
                <w:tab w:val="left" w:pos="720"/>
                <w:tab w:val="left" w:pos="1140"/>
              </w:tabs>
              <w:rPr>
                <w:rFonts w:ascii="Arial Narrow" w:hAnsi="Arial Narrow"/>
                <w:sz w:val="20"/>
              </w:rPr>
            </w:pPr>
            <w:r>
              <w:rPr>
                <w:rFonts w:ascii="Arial Narrow" w:hAnsi="Arial Narrow"/>
                <w:b/>
                <w:bCs/>
                <w:sz w:val="20"/>
              </w:rPr>
              <w:t>Scenario</w:t>
            </w:r>
          </w:p>
        </w:tc>
        <w:tc>
          <w:tcPr>
            <w:tcW w:w="1155" w:type="dxa"/>
          </w:tcPr>
          <w:p w14:paraId="6EB49DC3"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b/>
                <w:bCs/>
                <w:sz w:val="20"/>
              </w:rPr>
              <w:t xml:space="preserve">Intervention </w:t>
            </w:r>
          </w:p>
        </w:tc>
        <w:tc>
          <w:tcPr>
            <w:tcW w:w="1088" w:type="dxa"/>
          </w:tcPr>
          <w:p w14:paraId="22152B32"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Test</w:t>
            </w:r>
          </w:p>
        </w:tc>
        <w:tc>
          <w:tcPr>
            <w:tcW w:w="1246" w:type="dxa"/>
          </w:tcPr>
          <w:p w14:paraId="2126D03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Terminations</w:t>
            </w:r>
          </w:p>
        </w:tc>
        <w:tc>
          <w:tcPr>
            <w:tcW w:w="1108" w:type="dxa"/>
          </w:tcPr>
          <w:p w14:paraId="690DB60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Prenatal care</w:t>
            </w:r>
          </w:p>
        </w:tc>
        <w:tc>
          <w:tcPr>
            <w:tcW w:w="1102" w:type="dxa"/>
          </w:tcPr>
          <w:p w14:paraId="4E0CF64C"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Normal births</w:t>
            </w:r>
          </w:p>
        </w:tc>
        <w:tc>
          <w:tcPr>
            <w:tcW w:w="1111" w:type="dxa"/>
          </w:tcPr>
          <w:p w14:paraId="62518D9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Disabled births</w:t>
            </w:r>
          </w:p>
        </w:tc>
        <w:tc>
          <w:tcPr>
            <w:tcW w:w="1090" w:type="dxa"/>
          </w:tcPr>
          <w:p w14:paraId="6DB1945F"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Total</w:t>
            </w:r>
          </w:p>
        </w:tc>
      </w:tr>
      <w:tr w:rsidR="005C4D5A" w:rsidRPr="00531CA3" w14:paraId="528053EE" w14:textId="77777777" w:rsidTr="00D106F8">
        <w:tc>
          <w:tcPr>
            <w:tcW w:w="1116" w:type="dxa"/>
          </w:tcPr>
          <w:p w14:paraId="24DA2756"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DY</w:t>
            </w:r>
          </w:p>
        </w:tc>
        <w:tc>
          <w:tcPr>
            <w:tcW w:w="1155" w:type="dxa"/>
          </w:tcPr>
          <w:p w14:paraId="6023D952"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Karyotyping</w:t>
            </w:r>
          </w:p>
        </w:tc>
        <w:tc>
          <w:tcPr>
            <w:tcW w:w="1088" w:type="dxa"/>
          </w:tcPr>
          <w:p w14:paraId="5A54F8C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1000</w:t>
            </w:r>
          </w:p>
        </w:tc>
        <w:tc>
          <w:tcPr>
            <w:tcW w:w="1246" w:type="dxa"/>
          </w:tcPr>
          <w:p w14:paraId="08D8C9E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57.8</w:t>
            </w:r>
          </w:p>
        </w:tc>
        <w:tc>
          <w:tcPr>
            <w:tcW w:w="1108" w:type="dxa"/>
          </w:tcPr>
          <w:p w14:paraId="7FC67410"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942.24</w:t>
            </w:r>
          </w:p>
        </w:tc>
        <w:tc>
          <w:tcPr>
            <w:tcW w:w="1102" w:type="dxa"/>
          </w:tcPr>
          <w:p w14:paraId="7B5F7F2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903.48</w:t>
            </w:r>
          </w:p>
        </w:tc>
        <w:tc>
          <w:tcPr>
            <w:tcW w:w="1111" w:type="dxa"/>
          </w:tcPr>
          <w:p w14:paraId="199DC00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38.76</w:t>
            </w:r>
          </w:p>
        </w:tc>
        <w:tc>
          <w:tcPr>
            <w:tcW w:w="1090" w:type="dxa"/>
          </w:tcPr>
          <w:p w14:paraId="53DCA3AF"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090A0AD0" w14:textId="77777777" w:rsidTr="00D106F8">
        <w:tc>
          <w:tcPr>
            <w:tcW w:w="1116" w:type="dxa"/>
          </w:tcPr>
          <w:p w14:paraId="2020A5C2"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S&amp;S</w:t>
            </w:r>
          </w:p>
        </w:tc>
        <w:tc>
          <w:tcPr>
            <w:tcW w:w="1155" w:type="dxa"/>
          </w:tcPr>
          <w:p w14:paraId="1F83C438"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Karyotyping</w:t>
            </w:r>
          </w:p>
        </w:tc>
        <w:tc>
          <w:tcPr>
            <w:tcW w:w="1088" w:type="dxa"/>
          </w:tcPr>
          <w:p w14:paraId="1D0B496D"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1000</w:t>
            </w:r>
          </w:p>
        </w:tc>
        <w:tc>
          <w:tcPr>
            <w:tcW w:w="1246" w:type="dxa"/>
          </w:tcPr>
          <w:p w14:paraId="550C8D19"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72.2</w:t>
            </w:r>
          </w:p>
        </w:tc>
        <w:tc>
          <w:tcPr>
            <w:tcW w:w="1108" w:type="dxa"/>
          </w:tcPr>
          <w:p w14:paraId="5D8DE24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927.8</w:t>
            </w:r>
          </w:p>
        </w:tc>
        <w:tc>
          <w:tcPr>
            <w:tcW w:w="1102" w:type="dxa"/>
          </w:tcPr>
          <w:p w14:paraId="272DC03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891.45</w:t>
            </w:r>
          </w:p>
        </w:tc>
        <w:tc>
          <w:tcPr>
            <w:tcW w:w="1111" w:type="dxa"/>
          </w:tcPr>
          <w:p w14:paraId="2133C75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36.4</w:t>
            </w:r>
          </w:p>
        </w:tc>
        <w:tc>
          <w:tcPr>
            <w:tcW w:w="1090" w:type="dxa"/>
          </w:tcPr>
          <w:p w14:paraId="5A730169"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6C8BD5F4" w14:textId="77777777" w:rsidTr="00D106F8">
        <w:tc>
          <w:tcPr>
            <w:tcW w:w="1116" w:type="dxa"/>
          </w:tcPr>
          <w:p w14:paraId="614D9617"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Difference</w:t>
            </w:r>
          </w:p>
        </w:tc>
        <w:tc>
          <w:tcPr>
            <w:tcW w:w="1155" w:type="dxa"/>
          </w:tcPr>
          <w:p w14:paraId="7883E9F6" w14:textId="77777777" w:rsidR="005C4D5A" w:rsidRPr="00204064" w:rsidRDefault="005C4D5A" w:rsidP="00D106F8">
            <w:pPr>
              <w:tabs>
                <w:tab w:val="left" w:pos="720"/>
                <w:tab w:val="left" w:pos="1140"/>
              </w:tabs>
              <w:rPr>
                <w:rFonts w:ascii="Arial Narrow" w:hAnsi="Arial Narrow"/>
                <w:sz w:val="20"/>
              </w:rPr>
            </w:pPr>
          </w:p>
        </w:tc>
        <w:tc>
          <w:tcPr>
            <w:tcW w:w="1088" w:type="dxa"/>
          </w:tcPr>
          <w:p w14:paraId="77B37B00" w14:textId="77777777" w:rsidR="005C4D5A" w:rsidRPr="00204064" w:rsidRDefault="005C4D5A" w:rsidP="00D106F8">
            <w:pPr>
              <w:tabs>
                <w:tab w:val="left" w:pos="720"/>
                <w:tab w:val="left" w:pos="1140"/>
              </w:tabs>
              <w:jc w:val="center"/>
              <w:rPr>
                <w:rFonts w:ascii="Arial Narrow" w:hAnsi="Arial Narrow"/>
                <w:sz w:val="20"/>
              </w:rPr>
            </w:pPr>
          </w:p>
        </w:tc>
        <w:tc>
          <w:tcPr>
            <w:tcW w:w="1246" w:type="dxa"/>
          </w:tcPr>
          <w:p w14:paraId="3B8299EC"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14.5</w:t>
            </w:r>
          </w:p>
        </w:tc>
        <w:tc>
          <w:tcPr>
            <w:tcW w:w="1108" w:type="dxa"/>
          </w:tcPr>
          <w:p w14:paraId="1C57D45E"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-14.5</w:t>
            </w:r>
          </w:p>
        </w:tc>
        <w:tc>
          <w:tcPr>
            <w:tcW w:w="1102" w:type="dxa"/>
          </w:tcPr>
          <w:p w14:paraId="707AE79F"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-48.25</w:t>
            </w:r>
          </w:p>
        </w:tc>
        <w:tc>
          <w:tcPr>
            <w:tcW w:w="1111" w:type="dxa"/>
          </w:tcPr>
          <w:p w14:paraId="3614B7EC"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-5.9</w:t>
            </w:r>
          </w:p>
        </w:tc>
        <w:tc>
          <w:tcPr>
            <w:tcW w:w="1090" w:type="dxa"/>
          </w:tcPr>
          <w:p w14:paraId="53E0A7A2"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195CFC29" w14:textId="77777777" w:rsidTr="00D106F8">
        <w:tc>
          <w:tcPr>
            <w:tcW w:w="1116" w:type="dxa"/>
          </w:tcPr>
          <w:p w14:paraId="4B9BE541"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DY</w:t>
            </w:r>
          </w:p>
        </w:tc>
        <w:tc>
          <w:tcPr>
            <w:tcW w:w="1155" w:type="dxa"/>
          </w:tcPr>
          <w:p w14:paraId="36B6D2F1"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GWMA</w:t>
            </w:r>
          </w:p>
        </w:tc>
        <w:tc>
          <w:tcPr>
            <w:tcW w:w="1088" w:type="dxa"/>
          </w:tcPr>
          <w:p w14:paraId="1EC749B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1000</w:t>
            </w:r>
          </w:p>
        </w:tc>
        <w:tc>
          <w:tcPr>
            <w:tcW w:w="1246" w:type="dxa"/>
          </w:tcPr>
          <w:p w14:paraId="5E637CA5"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93.7</w:t>
            </w:r>
          </w:p>
        </w:tc>
        <w:tc>
          <w:tcPr>
            <w:tcW w:w="1108" w:type="dxa"/>
          </w:tcPr>
          <w:p w14:paraId="29B1A24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906.3</w:t>
            </w:r>
          </w:p>
        </w:tc>
        <w:tc>
          <w:tcPr>
            <w:tcW w:w="1102" w:type="dxa"/>
          </w:tcPr>
          <w:p w14:paraId="1EAA6910"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901.4</w:t>
            </w:r>
          </w:p>
        </w:tc>
        <w:tc>
          <w:tcPr>
            <w:tcW w:w="1111" w:type="dxa"/>
          </w:tcPr>
          <w:p w14:paraId="0A8D4F4D"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6.8</w:t>
            </w:r>
          </w:p>
        </w:tc>
        <w:tc>
          <w:tcPr>
            <w:tcW w:w="1090" w:type="dxa"/>
          </w:tcPr>
          <w:p w14:paraId="6A27F132"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54DD9D02" w14:textId="77777777" w:rsidTr="00D106F8">
        <w:tc>
          <w:tcPr>
            <w:tcW w:w="1116" w:type="dxa"/>
          </w:tcPr>
          <w:p w14:paraId="1F426113"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S&amp;S</w:t>
            </w:r>
          </w:p>
        </w:tc>
        <w:tc>
          <w:tcPr>
            <w:tcW w:w="1155" w:type="dxa"/>
          </w:tcPr>
          <w:p w14:paraId="5092E7E0"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GWMA</w:t>
            </w:r>
          </w:p>
        </w:tc>
        <w:tc>
          <w:tcPr>
            <w:tcW w:w="1088" w:type="dxa"/>
          </w:tcPr>
          <w:p w14:paraId="2ED64B4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1000</w:t>
            </w:r>
          </w:p>
        </w:tc>
        <w:tc>
          <w:tcPr>
            <w:tcW w:w="1246" w:type="dxa"/>
          </w:tcPr>
          <w:p w14:paraId="6E12A08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98.8</w:t>
            </w:r>
          </w:p>
        </w:tc>
        <w:tc>
          <w:tcPr>
            <w:tcW w:w="1108" w:type="dxa"/>
          </w:tcPr>
          <w:p w14:paraId="5BA57505"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901.2</w:t>
            </w:r>
          </w:p>
        </w:tc>
        <w:tc>
          <w:tcPr>
            <w:tcW w:w="1102" w:type="dxa"/>
          </w:tcPr>
          <w:p w14:paraId="75872524"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891.45</w:t>
            </w:r>
          </w:p>
        </w:tc>
        <w:tc>
          <w:tcPr>
            <w:tcW w:w="1111" w:type="dxa"/>
          </w:tcPr>
          <w:p w14:paraId="5CA8DE99"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9.8</w:t>
            </w:r>
          </w:p>
        </w:tc>
        <w:tc>
          <w:tcPr>
            <w:tcW w:w="1090" w:type="dxa"/>
          </w:tcPr>
          <w:p w14:paraId="55706B9F"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220C3A2B" w14:textId="77777777" w:rsidTr="00D106F8">
        <w:tc>
          <w:tcPr>
            <w:tcW w:w="1116" w:type="dxa"/>
          </w:tcPr>
          <w:p w14:paraId="54DD454B"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Difference</w:t>
            </w:r>
          </w:p>
        </w:tc>
        <w:tc>
          <w:tcPr>
            <w:tcW w:w="1155" w:type="dxa"/>
          </w:tcPr>
          <w:p w14:paraId="47B839D8" w14:textId="77777777" w:rsidR="005C4D5A" w:rsidRPr="00204064" w:rsidRDefault="005C4D5A" w:rsidP="00D106F8">
            <w:pPr>
              <w:tabs>
                <w:tab w:val="left" w:pos="720"/>
                <w:tab w:val="left" w:pos="1140"/>
              </w:tabs>
              <w:rPr>
                <w:rFonts w:ascii="Arial Narrow" w:hAnsi="Arial Narrow"/>
                <w:sz w:val="20"/>
              </w:rPr>
            </w:pPr>
          </w:p>
        </w:tc>
        <w:tc>
          <w:tcPr>
            <w:tcW w:w="1088" w:type="dxa"/>
          </w:tcPr>
          <w:p w14:paraId="018FE705" w14:textId="77777777" w:rsidR="005C4D5A" w:rsidRPr="00204064" w:rsidRDefault="005C4D5A" w:rsidP="00D106F8">
            <w:pPr>
              <w:tabs>
                <w:tab w:val="left" w:pos="720"/>
                <w:tab w:val="left" w:pos="1140"/>
              </w:tabs>
              <w:jc w:val="center"/>
              <w:rPr>
                <w:rFonts w:ascii="Arial Narrow" w:hAnsi="Arial Narrow"/>
                <w:sz w:val="20"/>
              </w:rPr>
            </w:pPr>
          </w:p>
        </w:tc>
        <w:tc>
          <w:tcPr>
            <w:tcW w:w="1246" w:type="dxa"/>
          </w:tcPr>
          <w:p w14:paraId="089E4C3D"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5.1</w:t>
            </w:r>
          </w:p>
        </w:tc>
        <w:tc>
          <w:tcPr>
            <w:tcW w:w="1108" w:type="dxa"/>
          </w:tcPr>
          <w:p w14:paraId="3BDF741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-5.1</w:t>
            </w:r>
          </w:p>
        </w:tc>
        <w:tc>
          <w:tcPr>
            <w:tcW w:w="1102" w:type="dxa"/>
          </w:tcPr>
          <w:p w14:paraId="0675509E"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-9.95</w:t>
            </w:r>
          </w:p>
        </w:tc>
        <w:tc>
          <w:tcPr>
            <w:tcW w:w="1111" w:type="dxa"/>
          </w:tcPr>
          <w:p w14:paraId="5DA2664F"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3</w:t>
            </w:r>
          </w:p>
        </w:tc>
        <w:tc>
          <w:tcPr>
            <w:tcW w:w="1090" w:type="dxa"/>
          </w:tcPr>
          <w:p w14:paraId="3A3BC548" w14:textId="77777777" w:rsidR="005C4D5A" w:rsidRPr="00204064" w:rsidRDefault="005C4D5A" w:rsidP="00D106F8">
            <w:pPr>
              <w:tabs>
                <w:tab w:val="left" w:pos="720"/>
                <w:tab w:val="left" w:pos="1140"/>
              </w:tabs>
              <w:jc w:val="center"/>
              <w:rPr>
                <w:rFonts w:ascii="Arial Narrow" w:hAnsi="Arial Narrow"/>
                <w:sz w:val="20"/>
              </w:rPr>
            </w:pPr>
          </w:p>
        </w:tc>
      </w:tr>
      <w:tr w:rsidR="005C4D5A" w:rsidRPr="00531CA3" w14:paraId="04FEB9FF" w14:textId="77777777" w:rsidTr="00D106F8">
        <w:tc>
          <w:tcPr>
            <w:tcW w:w="1116" w:type="dxa"/>
          </w:tcPr>
          <w:p w14:paraId="4A204363"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DY</w:t>
            </w:r>
          </w:p>
        </w:tc>
        <w:tc>
          <w:tcPr>
            <w:tcW w:w="1155" w:type="dxa"/>
          </w:tcPr>
          <w:p w14:paraId="52C5F68B"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Karyotyping</w:t>
            </w:r>
          </w:p>
        </w:tc>
        <w:tc>
          <w:tcPr>
            <w:tcW w:w="1088" w:type="dxa"/>
          </w:tcPr>
          <w:p w14:paraId="0F901A93"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$787,000</w:t>
            </w:r>
          </w:p>
        </w:tc>
        <w:tc>
          <w:tcPr>
            <w:tcW w:w="1246" w:type="dxa"/>
          </w:tcPr>
          <w:p w14:paraId="2658385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$46,846</w:t>
            </w:r>
          </w:p>
        </w:tc>
        <w:tc>
          <w:tcPr>
            <w:tcW w:w="1108" w:type="dxa"/>
          </w:tcPr>
          <w:p w14:paraId="217651A0"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$927,164</w:t>
            </w:r>
          </w:p>
        </w:tc>
        <w:tc>
          <w:tcPr>
            <w:tcW w:w="1102" w:type="dxa"/>
          </w:tcPr>
          <w:p w14:paraId="53262FCE"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$6,974,866</w:t>
            </w:r>
          </w:p>
        </w:tc>
        <w:tc>
          <w:tcPr>
            <w:tcW w:w="1111" w:type="dxa"/>
          </w:tcPr>
          <w:p w14:paraId="7B04D304"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$414,771</w:t>
            </w:r>
          </w:p>
        </w:tc>
        <w:tc>
          <w:tcPr>
            <w:tcW w:w="1090" w:type="dxa"/>
          </w:tcPr>
          <w:p w14:paraId="032030D9"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$9,150,646</w:t>
            </w:r>
          </w:p>
        </w:tc>
      </w:tr>
      <w:tr w:rsidR="005C4D5A" w:rsidRPr="00531CA3" w14:paraId="0AED8D2B" w14:textId="77777777" w:rsidTr="00D106F8">
        <w:tc>
          <w:tcPr>
            <w:tcW w:w="1116" w:type="dxa"/>
          </w:tcPr>
          <w:p w14:paraId="3B3211DA"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S&amp;S</w:t>
            </w:r>
          </w:p>
        </w:tc>
        <w:tc>
          <w:tcPr>
            <w:tcW w:w="1155" w:type="dxa"/>
          </w:tcPr>
          <w:p w14:paraId="0AE3BB18"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Karyotyping</w:t>
            </w:r>
          </w:p>
        </w:tc>
        <w:tc>
          <w:tcPr>
            <w:tcW w:w="1088" w:type="dxa"/>
          </w:tcPr>
          <w:p w14:paraId="5D8D494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$786,910</w:t>
            </w:r>
          </w:p>
        </w:tc>
        <w:tc>
          <w:tcPr>
            <w:tcW w:w="1246" w:type="dxa"/>
          </w:tcPr>
          <w:p w14:paraId="1041268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$58,557</w:t>
            </w:r>
          </w:p>
        </w:tc>
        <w:tc>
          <w:tcPr>
            <w:tcW w:w="1108" w:type="dxa"/>
          </w:tcPr>
          <w:p w14:paraId="2E6FB494"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$912,955</w:t>
            </w:r>
          </w:p>
        </w:tc>
        <w:tc>
          <w:tcPr>
            <w:tcW w:w="1102" w:type="dxa"/>
          </w:tcPr>
          <w:p w14:paraId="0E6F59B3"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$6,881,994</w:t>
            </w:r>
          </w:p>
        </w:tc>
        <w:tc>
          <w:tcPr>
            <w:tcW w:w="1111" w:type="dxa"/>
          </w:tcPr>
          <w:p w14:paraId="60D0E9E3"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$389,516</w:t>
            </w:r>
          </w:p>
        </w:tc>
        <w:tc>
          <w:tcPr>
            <w:tcW w:w="1090" w:type="dxa"/>
          </w:tcPr>
          <w:p w14:paraId="49A99CB4"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$9,029,398</w:t>
            </w:r>
          </w:p>
        </w:tc>
      </w:tr>
      <w:tr w:rsidR="005C4D5A" w:rsidRPr="00531CA3" w14:paraId="21C79D06" w14:textId="77777777" w:rsidTr="00D106F8">
        <w:tc>
          <w:tcPr>
            <w:tcW w:w="1116" w:type="dxa"/>
          </w:tcPr>
          <w:p w14:paraId="564D740D"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Difference</w:t>
            </w:r>
          </w:p>
        </w:tc>
        <w:tc>
          <w:tcPr>
            <w:tcW w:w="1155" w:type="dxa"/>
          </w:tcPr>
          <w:p w14:paraId="7469F0DC" w14:textId="77777777" w:rsidR="005C4D5A" w:rsidRPr="00204064" w:rsidRDefault="005C4D5A" w:rsidP="00D106F8">
            <w:pPr>
              <w:tabs>
                <w:tab w:val="left" w:pos="720"/>
                <w:tab w:val="left" w:pos="1140"/>
              </w:tabs>
              <w:rPr>
                <w:rFonts w:ascii="Arial Narrow" w:hAnsi="Arial Narrow"/>
                <w:sz w:val="20"/>
              </w:rPr>
            </w:pPr>
          </w:p>
        </w:tc>
        <w:tc>
          <w:tcPr>
            <w:tcW w:w="1088" w:type="dxa"/>
          </w:tcPr>
          <w:p w14:paraId="1F4A157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$90</w:t>
            </w:r>
          </w:p>
        </w:tc>
        <w:tc>
          <w:tcPr>
            <w:tcW w:w="1246" w:type="dxa"/>
          </w:tcPr>
          <w:p w14:paraId="782665A5"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$11,711</w:t>
            </w:r>
          </w:p>
        </w:tc>
        <w:tc>
          <w:tcPr>
            <w:tcW w:w="1108" w:type="dxa"/>
          </w:tcPr>
          <w:p w14:paraId="74166EF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($14,209)</w:t>
            </w:r>
          </w:p>
        </w:tc>
        <w:tc>
          <w:tcPr>
            <w:tcW w:w="1102" w:type="dxa"/>
          </w:tcPr>
          <w:p w14:paraId="1BABD5AC"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($92,872)</w:t>
            </w:r>
          </w:p>
        </w:tc>
        <w:tc>
          <w:tcPr>
            <w:tcW w:w="1111" w:type="dxa"/>
          </w:tcPr>
          <w:p w14:paraId="2A30D62B"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($25,255)</w:t>
            </w:r>
          </w:p>
        </w:tc>
        <w:tc>
          <w:tcPr>
            <w:tcW w:w="1090" w:type="dxa"/>
          </w:tcPr>
          <w:p w14:paraId="2E94E95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($121,248)</w:t>
            </w:r>
          </w:p>
        </w:tc>
      </w:tr>
      <w:tr w:rsidR="005C4D5A" w:rsidRPr="00531CA3" w14:paraId="70BFEAC6" w14:textId="77777777" w:rsidTr="00D106F8">
        <w:tc>
          <w:tcPr>
            <w:tcW w:w="1116" w:type="dxa"/>
          </w:tcPr>
          <w:p w14:paraId="01DFA56F"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DY</w:t>
            </w:r>
          </w:p>
        </w:tc>
        <w:tc>
          <w:tcPr>
            <w:tcW w:w="1155" w:type="dxa"/>
          </w:tcPr>
          <w:p w14:paraId="7BDA33EA"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GWMA</w:t>
            </w:r>
          </w:p>
        </w:tc>
        <w:tc>
          <w:tcPr>
            <w:tcW w:w="1088" w:type="dxa"/>
          </w:tcPr>
          <w:p w14:paraId="7D0698BC"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$984,450</w:t>
            </w:r>
          </w:p>
        </w:tc>
        <w:tc>
          <w:tcPr>
            <w:tcW w:w="1246" w:type="dxa"/>
          </w:tcPr>
          <w:p w14:paraId="011E577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$75,816</w:t>
            </w:r>
          </w:p>
        </w:tc>
        <w:tc>
          <w:tcPr>
            <w:tcW w:w="1108" w:type="dxa"/>
          </w:tcPr>
          <w:p w14:paraId="040E2AC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$892,016</w:t>
            </w:r>
          </w:p>
        </w:tc>
        <w:tc>
          <w:tcPr>
            <w:tcW w:w="1102" w:type="dxa"/>
          </w:tcPr>
          <w:p w14:paraId="2E8ADC46"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$6,962,251</w:t>
            </w:r>
          </w:p>
        </w:tc>
        <w:tc>
          <w:tcPr>
            <w:tcW w:w="1111" w:type="dxa"/>
          </w:tcPr>
          <w:p w14:paraId="20312435"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$50,016</w:t>
            </w:r>
          </w:p>
        </w:tc>
        <w:tc>
          <w:tcPr>
            <w:tcW w:w="1090" w:type="dxa"/>
          </w:tcPr>
          <w:p w14:paraId="1846D757"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$8,964,549</w:t>
            </w:r>
          </w:p>
        </w:tc>
      </w:tr>
      <w:tr w:rsidR="005C4D5A" w:rsidRPr="00531CA3" w14:paraId="489EC560" w14:textId="77777777" w:rsidTr="00D106F8">
        <w:tc>
          <w:tcPr>
            <w:tcW w:w="1116" w:type="dxa"/>
          </w:tcPr>
          <w:p w14:paraId="0D9E9F0A"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S&amp;S</w:t>
            </w:r>
          </w:p>
        </w:tc>
        <w:tc>
          <w:tcPr>
            <w:tcW w:w="1155" w:type="dxa"/>
          </w:tcPr>
          <w:p w14:paraId="1947EA1F"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GWMA</w:t>
            </w:r>
          </w:p>
        </w:tc>
        <w:tc>
          <w:tcPr>
            <w:tcW w:w="1088" w:type="dxa"/>
          </w:tcPr>
          <w:p w14:paraId="76ED768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$984,450</w:t>
            </w:r>
          </w:p>
        </w:tc>
        <w:tc>
          <w:tcPr>
            <w:tcW w:w="1246" w:type="dxa"/>
          </w:tcPr>
          <w:p w14:paraId="0EE9465B"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$80,131</w:t>
            </w:r>
          </w:p>
        </w:tc>
        <w:tc>
          <w:tcPr>
            <w:tcW w:w="1108" w:type="dxa"/>
          </w:tcPr>
          <w:p w14:paraId="263CC9C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$886,781</w:t>
            </w:r>
          </w:p>
        </w:tc>
        <w:tc>
          <w:tcPr>
            <w:tcW w:w="1102" w:type="dxa"/>
          </w:tcPr>
          <w:p w14:paraId="0515C464"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$6,881,994</w:t>
            </w:r>
          </w:p>
        </w:tc>
        <w:tc>
          <w:tcPr>
            <w:tcW w:w="1111" w:type="dxa"/>
          </w:tcPr>
          <w:p w14:paraId="2F1BF5CA"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$104,870</w:t>
            </w:r>
          </w:p>
        </w:tc>
        <w:tc>
          <w:tcPr>
            <w:tcW w:w="1090" w:type="dxa"/>
          </w:tcPr>
          <w:p w14:paraId="5EB10878"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sz w:val="20"/>
              </w:rPr>
              <w:t>$8,938,226</w:t>
            </w:r>
          </w:p>
        </w:tc>
      </w:tr>
      <w:tr w:rsidR="005C4D5A" w:rsidRPr="00531CA3" w14:paraId="31C33DA4" w14:textId="77777777" w:rsidTr="00D106F8">
        <w:tc>
          <w:tcPr>
            <w:tcW w:w="1116" w:type="dxa"/>
          </w:tcPr>
          <w:p w14:paraId="0E06CF4A" w14:textId="77777777" w:rsidR="005C4D5A" w:rsidRPr="00204064" w:rsidRDefault="005C4D5A" w:rsidP="00D106F8">
            <w:pPr>
              <w:tabs>
                <w:tab w:val="left" w:pos="720"/>
                <w:tab w:val="left" w:pos="1140"/>
              </w:tabs>
              <w:rPr>
                <w:rFonts w:ascii="Arial Narrow" w:hAnsi="Arial Narrow"/>
                <w:sz w:val="20"/>
              </w:rPr>
            </w:pPr>
            <w:r w:rsidRPr="00204064">
              <w:rPr>
                <w:rFonts w:ascii="Arial Narrow" w:hAnsi="Arial Narrow"/>
                <w:sz w:val="20"/>
              </w:rPr>
              <w:t>Difference</w:t>
            </w:r>
          </w:p>
        </w:tc>
        <w:tc>
          <w:tcPr>
            <w:tcW w:w="1155" w:type="dxa"/>
          </w:tcPr>
          <w:p w14:paraId="364B1470" w14:textId="77777777" w:rsidR="005C4D5A" w:rsidRPr="00204064" w:rsidRDefault="005C4D5A" w:rsidP="00D106F8">
            <w:pPr>
              <w:tabs>
                <w:tab w:val="left" w:pos="720"/>
                <w:tab w:val="left" w:pos="1140"/>
              </w:tabs>
              <w:rPr>
                <w:rFonts w:ascii="Arial Narrow" w:hAnsi="Arial Narrow"/>
                <w:sz w:val="20"/>
              </w:rPr>
            </w:pPr>
          </w:p>
        </w:tc>
        <w:tc>
          <w:tcPr>
            <w:tcW w:w="1088" w:type="dxa"/>
          </w:tcPr>
          <w:p w14:paraId="795BDC42"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0</w:t>
            </w:r>
          </w:p>
        </w:tc>
        <w:tc>
          <w:tcPr>
            <w:tcW w:w="1246" w:type="dxa"/>
          </w:tcPr>
          <w:p w14:paraId="541DCC6E"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$4,136</w:t>
            </w:r>
          </w:p>
        </w:tc>
        <w:tc>
          <w:tcPr>
            <w:tcW w:w="1108" w:type="dxa"/>
          </w:tcPr>
          <w:p w14:paraId="16388CED"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($5,018)</w:t>
            </w:r>
          </w:p>
        </w:tc>
        <w:tc>
          <w:tcPr>
            <w:tcW w:w="1102" w:type="dxa"/>
          </w:tcPr>
          <w:p w14:paraId="12832855"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($76,814)</w:t>
            </w:r>
          </w:p>
        </w:tc>
        <w:tc>
          <w:tcPr>
            <w:tcW w:w="1111" w:type="dxa"/>
          </w:tcPr>
          <w:p w14:paraId="4CAEFC40"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$54,854</w:t>
            </w:r>
          </w:p>
        </w:tc>
        <w:tc>
          <w:tcPr>
            <w:tcW w:w="1090" w:type="dxa"/>
          </w:tcPr>
          <w:p w14:paraId="70100601" w14:textId="77777777" w:rsidR="005C4D5A" w:rsidRPr="00204064" w:rsidRDefault="005C4D5A" w:rsidP="00D106F8">
            <w:pPr>
              <w:tabs>
                <w:tab w:val="left" w:pos="720"/>
                <w:tab w:val="left" w:pos="1140"/>
              </w:tabs>
              <w:jc w:val="center"/>
              <w:rPr>
                <w:rFonts w:ascii="Arial Narrow" w:hAnsi="Arial Narrow"/>
                <w:sz w:val="20"/>
              </w:rPr>
            </w:pPr>
            <w:r w:rsidRPr="00204064">
              <w:rPr>
                <w:rFonts w:ascii="Arial Narrow" w:hAnsi="Arial Narrow"/>
                <w:b/>
                <w:bCs/>
                <w:sz w:val="20"/>
              </w:rPr>
              <w:t>($26,323)</w:t>
            </w:r>
          </w:p>
        </w:tc>
      </w:tr>
    </w:tbl>
    <w:p w14:paraId="2A2077FF" w14:textId="77777777" w:rsidR="005C4D5A" w:rsidRPr="00204064" w:rsidRDefault="005C4D5A" w:rsidP="005C4D5A">
      <w:pPr>
        <w:tabs>
          <w:tab w:val="left" w:pos="720"/>
          <w:tab w:val="left" w:pos="1140"/>
        </w:tabs>
        <w:rPr>
          <w:rFonts w:ascii="Arial Narrow" w:hAnsi="Arial Narrow"/>
          <w:sz w:val="18"/>
        </w:rPr>
      </w:pPr>
      <w:r>
        <w:rPr>
          <w:rFonts w:ascii="Arial Narrow" w:hAnsi="Arial Narrow"/>
          <w:sz w:val="18"/>
        </w:rPr>
        <w:t>Source: Table 15</w:t>
      </w:r>
      <w:r w:rsidRPr="00204064">
        <w:rPr>
          <w:rFonts w:ascii="Arial Narrow" w:hAnsi="Arial Narrow"/>
          <w:sz w:val="18"/>
        </w:rPr>
        <w:t xml:space="preserve">, </w:t>
      </w:r>
      <w:r>
        <w:rPr>
          <w:rFonts w:ascii="Arial Narrow" w:hAnsi="Arial Narrow"/>
          <w:sz w:val="18"/>
        </w:rPr>
        <w:t>p41 of R</w:t>
      </w:r>
      <w:r w:rsidRPr="00204064">
        <w:rPr>
          <w:rFonts w:ascii="Arial Narrow" w:hAnsi="Arial Narrow"/>
          <w:sz w:val="18"/>
        </w:rPr>
        <w:t>ejoinder</w:t>
      </w:r>
    </w:p>
    <w:p w14:paraId="3AA84D0D" w14:textId="77777777" w:rsidR="005C4D5A" w:rsidRDefault="005C4D5A" w:rsidP="005C4D5A">
      <w:pPr>
        <w:tabs>
          <w:tab w:val="left" w:pos="720"/>
          <w:tab w:val="left" w:pos="1140"/>
        </w:tabs>
        <w:rPr>
          <w:rFonts w:ascii="Arial Narrow" w:hAnsi="Arial Narrow"/>
          <w:sz w:val="18"/>
          <w:szCs w:val="16"/>
        </w:rPr>
      </w:pPr>
      <w:r w:rsidRPr="00B26AE2">
        <w:rPr>
          <w:rFonts w:ascii="Arial Narrow" w:hAnsi="Arial Narrow"/>
          <w:sz w:val="18"/>
          <w:szCs w:val="16"/>
        </w:rPr>
        <w:t>Abbreviations: DY, diagnostic yield; GMWA, genome-wide microarray; ICER, incremental cost effectiveness ratio; S&amp;S, sensitivity and specificity; VUS, variations of unknown significance</w:t>
      </w:r>
    </w:p>
    <w:p w14:paraId="617D915D" w14:textId="3708D367" w:rsidR="005C4D5A" w:rsidRPr="008772BC" w:rsidRDefault="005C4D5A" w:rsidP="008772BC">
      <w:pPr>
        <w:tabs>
          <w:tab w:val="left" w:pos="720"/>
          <w:tab w:val="left" w:pos="1140"/>
        </w:tabs>
        <w:spacing w:after="240"/>
        <w:rPr>
          <w:rFonts w:ascii="Arial Narrow" w:hAnsi="Arial Narrow"/>
          <w:i/>
          <w:sz w:val="28"/>
        </w:rPr>
      </w:pPr>
      <w:r w:rsidRPr="00B26AE2">
        <w:rPr>
          <w:rFonts w:ascii="Arial Narrow" w:hAnsi="Arial Narrow"/>
          <w:i/>
          <w:sz w:val="18"/>
          <w:szCs w:val="16"/>
        </w:rPr>
        <w:t>Note ($) appears to indicate negative values</w:t>
      </w:r>
    </w:p>
    <w:p w14:paraId="293E993E" w14:textId="77777777" w:rsidR="005C4D5A" w:rsidRPr="00412BC0" w:rsidRDefault="005C4D5A" w:rsidP="00412BC0">
      <w:pPr>
        <w:rPr>
          <w:rFonts w:ascii="Arial Narrow" w:hAnsi="Arial Narrow"/>
          <w:b/>
          <w:sz w:val="20"/>
        </w:rPr>
      </w:pPr>
      <w:r w:rsidRPr="00412BC0">
        <w:rPr>
          <w:rFonts w:ascii="Arial Narrow" w:hAnsi="Arial Narrow"/>
          <w:b/>
          <w:sz w:val="20"/>
        </w:rPr>
        <w:t>Table 11:</w:t>
      </w:r>
      <w:r w:rsidRPr="00412BC0">
        <w:rPr>
          <w:rFonts w:ascii="Arial Narrow" w:hAnsi="Arial Narrow"/>
          <w:b/>
          <w:sz w:val="20"/>
        </w:rPr>
        <w:tab/>
        <w:t>Disaggregated results of DY or S&amp;S</w:t>
      </w:r>
    </w:p>
    <w:tbl>
      <w:tblPr>
        <w:tblStyle w:val="TableGrid"/>
        <w:tblW w:w="5000" w:type="pct"/>
        <w:tblLook w:val="0000" w:firstRow="0" w:lastRow="0" w:firstColumn="0" w:lastColumn="0" w:noHBand="0" w:noVBand="0"/>
        <w:tblDescription w:val="Disaggregated results of DY or S&amp;S"/>
      </w:tblPr>
      <w:tblGrid>
        <w:gridCol w:w="2255"/>
        <w:gridCol w:w="3269"/>
        <w:gridCol w:w="1985"/>
        <w:gridCol w:w="1507"/>
      </w:tblGrid>
      <w:tr w:rsidR="005C4D5A" w:rsidRPr="00531CA3" w14:paraId="549FC5A5" w14:textId="77777777" w:rsidTr="00412BC0">
        <w:trPr>
          <w:trHeight w:val="191"/>
          <w:tblHeader/>
        </w:trPr>
        <w:tc>
          <w:tcPr>
            <w:tcW w:w="1250" w:type="pct"/>
          </w:tcPr>
          <w:p w14:paraId="6189AE0C" w14:textId="77777777" w:rsidR="005C4D5A" w:rsidRPr="00531CA3" w:rsidRDefault="005C4D5A" w:rsidP="00D106F8">
            <w:pPr>
              <w:autoSpaceDE w:val="0"/>
              <w:autoSpaceDN w:val="0"/>
              <w:adjustRightInd w:val="0"/>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 xml:space="preserve">Methodology </w:t>
            </w:r>
          </w:p>
        </w:tc>
        <w:tc>
          <w:tcPr>
            <w:tcW w:w="1813" w:type="pct"/>
          </w:tcPr>
          <w:p w14:paraId="79E6E9FB"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Difference in disabled deliveries</w:t>
            </w:r>
          </w:p>
        </w:tc>
        <w:tc>
          <w:tcPr>
            <w:tcW w:w="1101" w:type="pct"/>
          </w:tcPr>
          <w:p w14:paraId="2AAB4A68"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 xml:space="preserve">Difference in </w:t>
            </w:r>
            <w:r>
              <w:rPr>
                <w:rFonts w:ascii="Arial Narrow" w:eastAsiaTheme="minorHAnsi" w:hAnsi="Arial Narrow" w:cs="Arial"/>
                <w:b/>
                <w:bCs/>
                <w:color w:val="000000"/>
                <w:sz w:val="20"/>
                <w:szCs w:val="18"/>
                <w:lang w:eastAsia="en-US"/>
              </w:rPr>
              <w:t>c</w:t>
            </w:r>
            <w:r w:rsidRPr="00531CA3">
              <w:rPr>
                <w:rFonts w:ascii="Arial Narrow" w:eastAsiaTheme="minorHAnsi" w:hAnsi="Arial Narrow" w:cs="Arial"/>
                <w:b/>
                <w:bCs/>
                <w:color w:val="000000"/>
                <w:sz w:val="20"/>
                <w:szCs w:val="18"/>
                <w:lang w:eastAsia="en-US"/>
              </w:rPr>
              <w:t>osts</w:t>
            </w:r>
          </w:p>
        </w:tc>
        <w:tc>
          <w:tcPr>
            <w:tcW w:w="836" w:type="pct"/>
          </w:tcPr>
          <w:p w14:paraId="085233F4"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ICER</w:t>
            </w:r>
          </w:p>
        </w:tc>
      </w:tr>
      <w:tr w:rsidR="005C4D5A" w:rsidRPr="00531CA3" w14:paraId="15B2D37B" w14:textId="77777777" w:rsidTr="00412BC0">
        <w:trPr>
          <w:trHeight w:val="84"/>
        </w:trPr>
        <w:tc>
          <w:tcPr>
            <w:tcW w:w="1250" w:type="pct"/>
          </w:tcPr>
          <w:p w14:paraId="106E3904" w14:textId="77777777" w:rsidR="005C4D5A" w:rsidRPr="00531CA3" w:rsidRDefault="005C4D5A" w:rsidP="00D106F8">
            <w:pPr>
              <w:autoSpaceDE w:val="0"/>
              <w:autoSpaceDN w:val="0"/>
              <w:adjustRightInd w:val="0"/>
              <w:rPr>
                <w:rFonts w:ascii="Arial Narrow" w:eastAsiaTheme="minorHAnsi" w:hAnsi="Arial Narrow" w:cs="Arial"/>
                <w:color w:val="000000"/>
                <w:sz w:val="20"/>
                <w:szCs w:val="18"/>
                <w:lang w:eastAsia="en-US"/>
              </w:rPr>
            </w:pPr>
            <w:r w:rsidRPr="00531CA3">
              <w:rPr>
                <w:rFonts w:ascii="Arial Narrow" w:eastAsiaTheme="minorHAnsi" w:hAnsi="Arial Narrow" w:cs="Arial"/>
                <w:color w:val="000000"/>
                <w:sz w:val="20"/>
                <w:szCs w:val="18"/>
                <w:lang w:eastAsia="en-US"/>
              </w:rPr>
              <w:t xml:space="preserve">Sensitivity and specificity </w:t>
            </w:r>
          </w:p>
        </w:tc>
        <w:tc>
          <w:tcPr>
            <w:tcW w:w="1813" w:type="pct"/>
          </w:tcPr>
          <w:p w14:paraId="6F8DFB68"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-26.6</w:t>
            </w:r>
          </w:p>
        </w:tc>
        <w:tc>
          <w:tcPr>
            <w:tcW w:w="1101" w:type="pct"/>
          </w:tcPr>
          <w:p w14:paraId="34F2C463"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-$91,172</w:t>
            </w:r>
          </w:p>
        </w:tc>
        <w:tc>
          <w:tcPr>
            <w:tcW w:w="836" w:type="pct"/>
          </w:tcPr>
          <w:p w14:paraId="6064CA54"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Dominant</w:t>
            </w:r>
          </w:p>
        </w:tc>
      </w:tr>
      <w:tr w:rsidR="005C4D5A" w:rsidRPr="00531CA3" w14:paraId="193B72DA" w14:textId="77777777" w:rsidTr="00412BC0">
        <w:trPr>
          <w:trHeight w:val="84"/>
        </w:trPr>
        <w:tc>
          <w:tcPr>
            <w:tcW w:w="1250" w:type="pct"/>
          </w:tcPr>
          <w:p w14:paraId="0867DCCB" w14:textId="77777777" w:rsidR="005C4D5A" w:rsidRPr="00531CA3" w:rsidRDefault="005C4D5A" w:rsidP="00D106F8">
            <w:pPr>
              <w:autoSpaceDE w:val="0"/>
              <w:autoSpaceDN w:val="0"/>
              <w:adjustRightInd w:val="0"/>
              <w:rPr>
                <w:rFonts w:ascii="Arial Narrow" w:eastAsiaTheme="minorHAnsi" w:hAnsi="Arial Narrow" w:cs="Arial"/>
                <w:color w:val="000000"/>
                <w:sz w:val="20"/>
                <w:szCs w:val="18"/>
                <w:lang w:eastAsia="en-US"/>
              </w:rPr>
            </w:pPr>
            <w:r w:rsidRPr="00531CA3">
              <w:rPr>
                <w:rFonts w:ascii="Arial Narrow" w:eastAsiaTheme="minorHAnsi" w:hAnsi="Arial Narrow" w:cs="Arial"/>
                <w:i/>
                <w:iCs/>
                <w:color w:val="000000"/>
                <w:sz w:val="20"/>
                <w:szCs w:val="18"/>
                <w:lang w:eastAsia="en-US"/>
              </w:rPr>
              <w:t xml:space="preserve">Diagnostic yield </w:t>
            </w:r>
          </w:p>
        </w:tc>
        <w:tc>
          <w:tcPr>
            <w:tcW w:w="1813" w:type="pct"/>
          </w:tcPr>
          <w:p w14:paraId="138E19B0"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-31.96</w:t>
            </w:r>
          </w:p>
        </w:tc>
        <w:tc>
          <w:tcPr>
            <w:tcW w:w="1101" w:type="pct"/>
          </w:tcPr>
          <w:p w14:paraId="4D7C226B"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-$186,097</w:t>
            </w:r>
          </w:p>
        </w:tc>
        <w:tc>
          <w:tcPr>
            <w:tcW w:w="836" w:type="pct"/>
          </w:tcPr>
          <w:p w14:paraId="2E414687" w14:textId="77777777" w:rsidR="005C4D5A" w:rsidRPr="00531CA3" w:rsidRDefault="005C4D5A" w:rsidP="00D106F8">
            <w:pPr>
              <w:autoSpaceDE w:val="0"/>
              <w:autoSpaceDN w:val="0"/>
              <w:adjustRightInd w:val="0"/>
              <w:jc w:val="center"/>
              <w:rPr>
                <w:rFonts w:ascii="Arial Narrow" w:eastAsiaTheme="minorHAnsi" w:hAnsi="Arial Narrow" w:cs="Arial"/>
                <w:color w:val="000000"/>
                <w:sz w:val="20"/>
                <w:szCs w:val="18"/>
                <w:lang w:eastAsia="en-US"/>
              </w:rPr>
            </w:pPr>
            <w:r w:rsidRPr="00531CA3">
              <w:rPr>
                <w:rFonts w:ascii="Arial Narrow" w:eastAsiaTheme="minorHAnsi" w:hAnsi="Arial Narrow" w:cs="Arial"/>
                <w:b/>
                <w:bCs/>
                <w:color w:val="000000"/>
                <w:sz w:val="20"/>
                <w:szCs w:val="18"/>
                <w:lang w:eastAsia="en-US"/>
              </w:rPr>
              <w:t>Dominant</w:t>
            </w:r>
          </w:p>
        </w:tc>
      </w:tr>
    </w:tbl>
    <w:p w14:paraId="18B1C574" w14:textId="77777777" w:rsidR="005C4D5A" w:rsidRPr="00204064" w:rsidRDefault="005C4D5A" w:rsidP="005C4D5A">
      <w:pPr>
        <w:tabs>
          <w:tab w:val="left" w:pos="720"/>
          <w:tab w:val="left" w:pos="1140"/>
        </w:tabs>
        <w:rPr>
          <w:rFonts w:ascii="Arial Narrow" w:hAnsi="Arial Narrow"/>
          <w:sz w:val="18"/>
        </w:rPr>
      </w:pPr>
      <w:r w:rsidRPr="00204064">
        <w:rPr>
          <w:rFonts w:ascii="Arial Narrow" w:hAnsi="Arial Narrow"/>
          <w:sz w:val="18"/>
        </w:rPr>
        <w:t xml:space="preserve">Source: Table 16, </w:t>
      </w:r>
      <w:r>
        <w:rPr>
          <w:rFonts w:ascii="Arial Narrow" w:hAnsi="Arial Narrow"/>
          <w:sz w:val="18"/>
        </w:rPr>
        <w:t>p42 of R</w:t>
      </w:r>
      <w:r w:rsidRPr="00204064">
        <w:rPr>
          <w:rFonts w:ascii="Arial Narrow" w:hAnsi="Arial Narrow"/>
          <w:sz w:val="18"/>
        </w:rPr>
        <w:t>ejoinder</w:t>
      </w:r>
    </w:p>
    <w:p w14:paraId="76F0A5B7" w14:textId="77777777" w:rsidR="005028BF" w:rsidRPr="00F715D1" w:rsidRDefault="005028BF" w:rsidP="005028BF">
      <w:pPr>
        <w:pStyle w:val="Heading1"/>
      </w:pPr>
      <w:r w:rsidRPr="00F715D1">
        <w:t>Financial/budgetary impacts</w:t>
      </w:r>
    </w:p>
    <w:p w14:paraId="7A5DF270" w14:textId="79C9E58D" w:rsidR="0004523B" w:rsidRPr="008772BC" w:rsidRDefault="005C4D5A" w:rsidP="008772BC">
      <w:r w:rsidRPr="00E80CE1">
        <w:t xml:space="preserve">An epidemiological approach </w:t>
      </w:r>
      <w:r w:rsidR="0059171C">
        <w:t>w</w:t>
      </w:r>
      <w:r w:rsidRPr="00E80CE1">
        <w:t xml:space="preserve">as used to estimate the financial implications of the introduction of </w:t>
      </w:r>
      <w:r>
        <w:t>GMWA</w:t>
      </w:r>
      <w:r w:rsidRPr="00E80CE1">
        <w:t xml:space="preserve"> testing for prenatal abnormalities</w:t>
      </w:r>
      <w:r>
        <w:t xml:space="preserve"> (Table 12)</w:t>
      </w:r>
      <w:r w:rsidRPr="00E80CE1">
        <w:t>.</w:t>
      </w:r>
      <w:bookmarkStart w:id="26" w:name="_Ref395200110"/>
      <w:bookmarkStart w:id="27" w:name="_Toc393378192"/>
      <w:bookmarkStart w:id="28" w:name="_Toc393197779"/>
      <w:bookmarkStart w:id="29" w:name="_Toc437865945"/>
      <w:bookmarkStart w:id="30" w:name="_Toc17180936"/>
      <w:r w:rsidR="0004523B">
        <w:br w:type="page"/>
      </w:r>
    </w:p>
    <w:p w14:paraId="3FB7E9FF" w14:textId="35AAF3F6" w:rsidR="005C4D5A" w:rsidRPr="00412BC0" w:rsidRDefault="005C4D5A" w:rsidP="00412BC0">
      <w:pPr>
        <w:rPr>
          <w:rFonts w:ascii="Arial Narrow" w:hAnsi="Arial Narrow"/>
          <w:b/>
          <w:sz w:val="20"/>
        </w:rPr>
      </w:pPr>
      <w:r w:rsidRPr="00412BC0">
        <w:rPr>
          <w:rFonts w:ascii="Arial Narrow" w:hAnsi="Arial Narrow"/>
          <w:b/>
          <w:sz w:val="20"/>
        </w:rPr>
        <w:t>Table</w:t>
      </w:r>
      <w:bookmarkEnd w:id="26"/>
      <w:r w:rsidRPr="00412BC0">
        <w:rPr>
          <w:rFonts w:ascii="Arial Narrow" w:hAnsi="Arial Narrow"/>
          <w:b/>
          <w:sz w:val="20"/>
        </w:rPr>
        <w:t xml:space="preserve"> 12:</w:t>
      </w:r>
      <w:r w:rsidRPr="00412BC0">
        <w:rPr>
          <w:rFonts w:ascii="Arial Narrow" w:hAnsi="Arial Narrow"/>
          <w:b/>
          <w:sz w:val="20"/>
        </w:rPr>
        <w:tab/>
        <w:t xml:space="preserve">Total costs to the MBS associated with GWMA </w:t>
      </w:r>
      <w:bookmarkEnd w:id="27"/>
      <w:bookmarkEnd w:id="28"/>
      <w:r w:rsidRPr="00412BC0">
        <w:rPr>
          <w:rFonts w:ascii="Arial Narrow" w:hAnsi="Arial Narrow"/>
          <w:b/>
          <w:sz w:val="20"/>
        </w:rPr>
        <w:t>and</w:t>
      </w:r>
      <w:bookmarkEnd w:id="29"/>
      <w:r w:rsidRPr="00412BC0">
        <w:rPr>
          <w:rFonts w:ascii="Arial Narrow" w:hAnsi="Arial Narrow"/>
          <w:b/>
          <w:sz w:val="20"/>
        </w:rPr>
        <w:t xml:space="preserve"> karyotype testing</w:t>
      </w:r>
      <w:bookmarkEnd w:id="30"/>
    </w:p>
    <w:tbl>
      <w:tblPr>
        <w:tblStyle w:val="TableGrid"/>
        <w:tblW w:w="4877" w:type="pct"/>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548"/>
        <w:gridCol w:w="1248"/>
        <w:gridCol w:w="1249"/>
        <w:gridCol w:w="1249"/>
        <w:gridCol w:w="1249"/>
        <w:gridCol w:w="1251"/>
      </w:tblGrid>
      <w:tr w:rsidR="005C4D5A" w:rsidRPr="00B20777" w14:paraId="4DA13B2A" w14:textId="77777777" w:rsidTr="00412BC0">
        <w:trPr>
          <w:trHeight w:val="300"/>
          <w:tblHeader/>
        </w:trPr>
        <w:tc>
          <w:tcPr>
            <w:tcW w:w="1449" w:type="pct"/>
            <w:hideMark/>
          </w:tcPr>
          <w:p w14:paraId="0D98A30C" w14:textId="77777777" w:rsidR="005C4D5A" w:rsidRPr="00B20777" w:rsidRDefault="005C4D5A" w:rsidP="00D106F8">
            <w:pPr>
              <w:pStyle w:val="Tabletext0"/>
              <w:rPr>
                <w:b/>
              </w:rPr>
            </w:pPr>
            <w:r w:rsidRPr="00B20777">
              <w:rPr>
                <w:b/>
              </w:rPr>
              <w:t>-</w:t>
            </w:r>
          </w:p>
        </w:tc>
        <w:tc>
          <w:tcPr>
            <w:tcW w:w="710" w:type="pct"/>
            <w:hideMark/>
          </w:tcPr>
          <w:p w14:paraId="33B3BACF" w14:textId="77777777" w:rsidR="005C4D5A" w:rsidRPr="00B20777" w:rsidRDefault="005C4D5A" w:rsidP="00D106F8">
            <w:pPr>
              <w:pStyle w:val="Tabletext0"/>
              <w:jc w:val="center"/>
              <w:rPr>
                <w:b/>
              </w:rPr>
            </w:pPr>
            <w:r w:rsidRPr="00B20777">
              <w:rPr>
                <w:b/>
                <w:w w:val="90"/>
              </w:rPr>
              <w:t>2019</w:t>
            </w:r>
          </w:p>
        </w:tc>
        <w:tc>
          <w:tcPr>
            <w:tcW w:w="710" w:type="pct"/>
            <w:hideMark/>
          </w:tcPr>
          <w:p w14:paraId="11125A90" w14:textId="77777777" w:rsidR="005C4D5A" w:rsidRPr="00B20777" w:rsidRDefault="005C4D5A" w:rsidP="00D106F8">
            <w:pPr>
              <w:pStyle w:val="Tabletext0"/>
              <w:jc w:val="center"/>
              <w:rPr>
                <w:b/>
              </w:rPr>
            </w:pPr>
            <w:r w:rsidRPr="00B20777">
              <w:rPr>
                <w:b/>
                <w:w w:val="90"/>
              </w:rPr>
              <w:t>2020</w:t>
            </w:r>
          </w:p>
        </w:tc>
        <w:tc>
          <w:tcPr>
            <w:tcW w:w="710" w:type="pct"/>
            <w:hideMark/>
          </w:tcPr>
          <w:p w14:paraId="0829051B" w14:textId="77777777" w:rsidR="005C4D5A" w:rsidRPr="00B20777" w:rsidRDefault="005C4D5A" w:rsidP="00D106F8">
            <w:pPr>
              <w:pStyle w:val="Tabletext0"/>
              <w:jc w:val="center"/>
              <w:rPr>
                <w:b/>
              </w:rPr>
            </w:pPr>
            <w:r w:rsidRPr="00B20777">
              <w:rPr>
                <w:b/>
                <w:w w:val="90"/>
              </w:rPr>
              <w:t>2021</w:t>
            </w:r>
          </w:p>
        </w:tc>
        <w:tc>
          <w:tcPr>
            <w:tcW w:w="710" w:type="pct"/>
            <w:hideMark/>
          </w:tcPr>
          <w:p w14:paraId="28B59887" w14:textId="77777777" w:rsidR="005C4D5A" w:rsidRPr="00B20777" w:rsidRDefault="005C4D5A" w:rsidP="00D106F8">
            <w:pPr>
              <w:pStyle w:val="Tabletext0"/>
              <w:jc w:val="center"/>
              <w:rPr>
                <w:b/>
              </w:rPr>
            </w:pPr>
            <w:r w:rsidRPr="00B20777">
              <w:rPr>
                <w:b/>
                <w:w w:val="90"/>
              </w:rPr>
              <w:t>2022</w:t>
            </w:r>
          </w:p>
        </w:tc>
        <w:tc>
          <w:tcPr>
            <w:tcW w:w="711" w:type="pct"/>
            <w:hideMark/>
          </w:tcPr>
          <w:p w14:paraId="59A943F7" w14:textId="77777777" w:rsidR="005C4D5A" w:rsidRPr="00B20777" w:rsidRDefault="005C4D5A" w:rsidP="00D106F8">
            <w:pPr>
              <w:pStyle w:val="Tabletext0"/>
              <w:jc w:val="center"/>
              <w:rPr>
                <w:b/>
              </w:rPr>
            </w:pPr>
            <w:r w:rsidRPr="00B20777">
              <w:rPr>
                <w:b/>
                <w:w w:val="90"/>
              </w:rPr>
              <w:t>2023</w:t>
            </w:r>
          </w:p>
        </w:tc>
      </w:tr>
      <w:tr w:rsidR="005C4D5A" w:rsidRPr="00B20777" w14:paraId="6FC5FC9D" w14:textId="77777777" w:rsidTr="00412BC0">
        <w:trPr>
          <w:trHeight w:val="300"/>
        </w:trPr>
        <w:tc>
          <w:tcPr>
            <w:tcW w:w="1449" w:type="pct"/>
          </w:tcPr>
          <w:p w14:paraId="3D678B55" w14:textId="77777777" w:rsidR="005C4D5A" w:rsidRPr="00B20777" w:rsidRDefault="005C4D5A" w:rsidP="00D106F8">
            <w:pPr>
              <w:pStyle w:val="Tabletext0"/>
            </w:pPr>
            <w:r>
              <w:t>Pregnancies with fetal structural abnormalities</w:t>
            </w:r>
          </w:p>
        </w:tc>
        <w:tc>
          <w:tcPr>
            <w:tcW w:w="710" w:type="pct"/>
          </w:tcPr>
          <w:p w14:paraId="485903E3" w14:textId="77777777" w:rsidR="005C4D5A" w:rsidRPr="00B20777" w:rsidRDefault="005C4D5A" w:rsidP="00D106F8">
            <w:pPr>
              <w:pStyle w:val="Tabletext0"/>
              <w:jc w:val="center"/>
            </w:pPr>
            <w:r w:rsidRPr="00B20777">
              <w:rPr>
                <w:w w:val="90"/>
              </w:rPr>
              <w:t>10,441</w:t>
            </w:r>
          </w:p>
        </w:tc>
        <w:tc>
          <w:tcPr>
            <w:tcW w:w="710" w:type="pct"/>
          </w:tcPr>
          <w:p w14:paraId="19F6E44C" w14:textId="77777777" w:rsidR="005C4D5A" w:rsidRPr="00B20777" w:rsidRDefault="005C4D5A" w:rsidP="00D106F8">
            <w:pPr>
              <w:pStyle w:val="Tabletext0"/>
              <w:jc w:val="center"/>
            </w:pPr>
            <w:r w:rsidRPr="00B20777">
              <w:rPr>
                <w:w w:val="90"/>
              </w:rPr>
              <w:t>10,487</w:t>
            </w:r>
          </w:p>
        </w:tc>
        <w:tc>
          <w:tcPr>
            <w:tcW w:w="710" w:type="pct"/>
          </w:tcPr>
          <w:p w14:paraId="2FA1005E" w14:textId="77777777" w:rsidR="005C4D5A" w:rsidRPr="00B20777" w:rsidRDefault="005C4D5A" w:rsidP="00D106F8">
            <w:pPr>
              <w:pStyle w:val="Tabletext0"/>
              <w:jc w:val="center"/>
            </w:pPr>
            <w:r w:rsidRPr="00B20777">
              <w:rPr>
                <w:w w:val="90"/>
              </w:rPr>
              <w:t>10,532</w:t>
            </w:r>
          </w:p>
        </w:tc>
        <w:tc>
          <w:tcPr>
            <w:tcW w:w="710" w:type="pct"/>
          </w:tcPr>
          <w:p w14:paraId="4E97D7EF" w14:textId="77777777" w:rsidR="005C4D5A" w:rsidRPr="00B20777" w:rsidRDefault="005C4D5A" w:rsidP="00D106F8">
            <w:pPr>
              <w:pStyle w:val="Tabletext0"/>
              <w:jc w:val="center"/>
            </w:pPr>
            <w:r w:rsidRPr="00B20777">
              <w:rPr>
                <w:w w:val="90"/>
              </w:rPr>
              <w:t>10,578</w:t>
            </w:r>
          </w:p>
        </w:tc>
        <w:tc>
          <w:tcPr>
            <w:tcW w:w="711" w:type="pct"/>
          </w:tcPr>
          <w:p w14:paraId="3243D819" w14:textId="77777777" w:rsidR="005C4D5A" w:rsidRPr="00B20777" w:rsidRDefault="005C4D5A" w:rsidP="00D106F8">
            <w:pPr>
              <w:pStyle w:val="Tabletext0"/>
              <w:jc w:val="center"/>
            </w:pPr>
            <w:r w:rsidRPr="00B20777">
              <w:rPr>
                <w:w w:val="90"/>
              </w:rPr>
              <w:t>10,623</w:t>
            </w:r>
          </w:p>
        </w:tc>
      </w:tr>
      <w:tr w:rsidR="005C4D5A" w:rsidRPr="00B20777" w14:paraId="39369983" w14:textId="77777777" w:rsidTr="00412BC0">
        <w:trPr>
          <w:trHeight w:val="300"/>
        </w:trPr>
        <w:tc>
          <w:tcPr>
            <w:tcW w:w="1449" w:type="pct"/>
            <w:hideMark/>
          </w:tcPr>
          <w:p w14:paraId="19790275" w14:textId="77777777" w:rsidR="005C4D5A" w:rsidRPr="00A73CC2" w:rsidRDefault="005C4D5A" w:rsidP="00D106F8">
            <w:pPr>
              <w:pStyle w:val="Tabletext0"/>
              <w:rPr>
                <w:vertAlign w:val="superscript"/>
              </w:rPr>
            </w:pPr>
            <w:r>
              <w:t>Change in cost related to genome-wide microarray</w:t>
            </w:r>
            <w:r>
              <w:rPr>
                <w:vertAlign w:val="superscript"/>
              </w:rPr>
              <w:t>a</w:t>
            </w:r>
          </w:p>
        </w:tc>
        <w:tc>
          <w:tcPr>
            <w:tcW w:w="710" w:type="pct"/>
          </w:tcPr>
          <w:p w14:paraId="525FF9E0" w14:textId="77777777" w:rsidR="005C4D5A" w:rsidRPr="00B20777" w:rsidRDefault="005C4D5A" w:rsidP="00D106F8">
            <w:pPr>
              <w:pStyle w:val="Tabletext0"/>
              <w:jc w:val="center"/>
            </w:pPr>
            <w:r w:rsidRPr="00B20777">
              <w:rPr>
                <w:w w:val="90"/>
              </w:rPr>
              <w:t>$5,122,449</w:t>
            </w:r>
          </w:p>
        </w:tc>
        <w:tc>
          <w:tcPr>
            <w:tcW w:w="710" w:type="pct"/>
          </w:tcPr>
          <w:p w14:paraId="4701E921" w14:textId="77777777" w:rsidR="005C4D5A" w:rsidRPr="00B20777" w:rsidRDefault="005C4D5A" w:rsidP="00D106F8">
            <w:pPr>
              <w:pStyle w:val="Tabletext0"/>
              <w:jc w:val="center"/>
            </w:pPr>
            <w:r w:rsidRPr="00B20777">
              <w:rPr>
                <w:w w:val="90"/>
              </w:rPr>
              <w:t>$5,144,707</w:t>
            </w:r>
          </w:p>
        </w:tc>
        <w:tc>
          <w:tcPr>
            <w:tcW w:w="710" w:type="pct"/>
          </w:tcPr>
          <w:p w14:paraId="2F598044" w14:textId="77777777" w:rsidR="005C4D5A" w:rsidRPr="00B20777" w:rsidRDefault="005C4D5A" w:rsidP="00D106F8">
            <w:pPr>
              <w:pStyle w:val="Tabletext0"/>
              <w:jc w:val="center"/>
            </w:pPr>
            <w:r w:rsidRPr="00B20777">
              <w:rPr>
                <w:w w:val="90"/>
              </w:rPr>
              <w:t>$5,166,964</w:t>
            </w:r>
          </w:p>
        </w:tc>
        <w:tc>
          <w:tcPr>
            <w:tcW w:w="710" w:type="pct"/>
          </w:tcPr>
          <w:p w14:paraId="179A6C0D" w14:textId="77777777" w:rsidR="005C4D5A" w:rsidRPr="00B20777" w:rsidRDefault="005C4D5A" w:rsidP="00D106F8">
            <w:pPr>
              <w:pStyle w:val="Tabletext0"/>
              <w:jc w:val="center"/>
            </w:pPr>
            <w:r w:rsidRPr="00B20777">
              <w:rPr>
                <w:w w:val="90"/>
              </w:rPr>
              <w:t>$5,189,222</w:t>
            </w:r>
          </w:p>
        </w:tc>
        <w:tc>
          <w:tcPr>
            <w:tcW w:w="711" w:type="pct"/>
          </w:tcPr>
          <w:p w14:paraId="1A2FDCCE" w14:textId="77777777" w:rsidR="005C4D5A" w:rsidRPr="00B20777" w:rsidRDefault="005C4D5A" w:rsidP="00D106F8">
            <w:pPr>
              <w:pStyle w:val="Tabletext0"/>
              <w:jc w:val="center"/>
            </w:pPr>
            <w:r w:rsidRPr="00B20777">
              <w:rPr>
                <w:w w:val="90"/>
              </w:rPr>
              <w:t>$5,211,479</w:t>
            </w:r>
          </w:p>
        </w:tc>
      </w:tr>
      <w:tr w:rsidR="005C4D5A" w:rsidRPr="00B20777" w14:paraId="439D6D0E" w14:textId="77777777" w:rsidTr="00412BC0">
        <w:trPr>
          <w:trHeight w:val="315"/>
        </w:trPr>
        <w:tc>
          <w:tcPr>
            <w:tcW w:w="1449" w:type="pct"/>
          </w:tcPr>
          <w:p w14:paraId="7EAC05C9" w14:textId="77777777" w:rsidR="005C4D5A" w:rsidRPr="000C5E9E" w:rsidRDefault="005C4D5A" w:rsidP="00D106F8">
            <w:pPr>
              <w:pStyle w:val="TableText1"/>
            </w:pPr>
            <w:r>
              <w:t xml:space="preserve">Change in costs related to other medical services </w:t>
            </w:r>
          </w:p>
        </w:tc>
        <w:tc>
          <w:tcPr>
            <w:tcW w:w="710" w:type="pct"/>
          </w:tcPr>
          <w:p w14:paraId="2866F000" w14:textId="77777777" w:rsidR="005C4D5A" w:rsidRDefault="005C4D5A" w:rsidP="00D106F8">
            <w:pPr>
              <w:pStyle w:val="Tabletext0"/>
              <w:jc w:val="center"/>
            </w:pPr>
          </w:p>
        </w:tc>
        <w:tc>
          <w:tcPr>
            <w:tcW w:w="710" w:type="pct"/>
          </w:tcPr>
          <w:p w14:paraId="1011ECC5" w14:textId="77777777" w:rsidR="005C4D5A" w:rsidRDefault="005C4D5A" w:rsidP="00D106F8">
            <w:pPr>
              <w:pStyle w:val="Tabletext0"/>
              <w:jc w:val="center"/>
            </w:pPr>
          </w:p>
        </w:tc>
        <w:tc>
          <w:tcPr>
            <w:tcW w:w="710" w:type="pct"/>
          </w:tcPr>
          <w:p w14:paraId="1AB500F5" w14:textId="77777777" w:rsidR="005C4D5A" w:rsidRDefault="005C4D5A" w:rsidP="00D106F8">
            <w:pPr>
              <w:pStyle w:val="Tabletext0"/>
              <w:jc w:val="center"/>
            </w:pPr>
          </w:p>
        </w:tc>
        <w:tc>
          <w:tcPr>
            <w:tcW w:w="710" w:type="pct"/>
          </w:tcPr>
          <w:p w14:paraId="2CF2841B" w14:textId="77777777" w:rsidR="005C4D5A" w:rsidRDefault="005C4D5A" w:rsidP="00D106F8">
            <w:pPr>
              <w:pStyle w:val="Tabletext0"/>
              <w:jc w:val="center"/>
            </w:pPr>
          </w:p>
        </w:tc>
        <w:tc>
          <w:tcPr>
            <w:tcW w:w="711" w:type="pct"/>
          </w:tcPr>
          <w:p w14:paraId="6EC2D620" w14:textId="77777777" w:rsidR="005C4D5A" w:rsidRDefault="005C4D5A" w:rsidP="00D106F8">
            <w:pPr>
              <w:pStyle w:val="Tabletext0"/>
              <w:jc w:val="center"/>
            </w:pPr>
          </w:p>
        </w:tc>
      </w:tr>
      <w:tr w:rsidR="005C4D5A" w:rsidRPr="00B20777" w14:paraId="44F6457B" w14:textId="77777777" w:rsidTr="00412BC0">
        <w:trPr>
          <w:trHeight w:val="315"/>
        </w:trPr>
        <w:tc>
          <w:tcPr>
            <w:tcW w:w="1449" w:type="pct"/>
            <w:hideMark/>
          </w:tcPr>
          <w:p w14:paraId="096D8D6D" w14:textId="266E4366" w:rsidR="005C4D5A" w:rsidRPr="00A73CC2" w:rsidRDefault="005C4D5A" w:rsidP="00D106F8">
            <w:pPr>
              <w:pStyle w:val="Tabletext0"/>
              <w:ind w:left="113"/>
              <w:rPr>
                <w:vertAlign w:val="superscript"/>
              </w:rPr>
            </w:pPr>
            <w:r>
              <w:t xml:space="preserve">Cost of </w:t>
            </w:r>
            <w:r w:rsidR="0037679B">
              <w:t>k</w:t>
            </w:r>
            <w:r>
              <w:t>aryotyping</w:t>
            </w:r>
            <w:r w:rsidRPr="00A73CC2">
              <w:rPr>
                <w:i/>
                <w:vertAlign w:val="superscript"/>
              </w:rPr>
              <w:t>b</w:t>
            </w:r>
          </w:p>
        </w:tc>
        <w:tc>
          <w:tcPr>
            <w:tcW w:w="710" w:type="pct"/>
          </w:tcPr>
          <w:p w14:paraId="4AD7522F" w14:textId="77777777" w:rsidR="005C4D5A" w:rsidRPr="001A6592" w:rsidRDefault="005C4D5A" w:rsidP="00D106F8">
            <w:pPr>
              <w:pStyle w:val="Tabletext0"/>
              <w:jc w:val="center"/>
            </w:pPr>
            <w:r>
              <w:t>-</w:t>
            </w:r>
            <w:r w:rsidRPr="001A6592">
              <w:t>$3,408,298</w:t>
            </w:r>
          </w:p>
        </w:tc>
        <w:tc>
          <w:tcPr>
            <w:tcW w:w="710" w:type="pct"/>
          </w:tcPr>
          <w:p w14:paraId="4178A8C5" w14:textId="77777777" w:rsidR="005C4D5A" w:rsidRPr="001A6592" w:rsidRDefault="005C4D5A" w:rsidP="00D106F8">
            <w:pPr>
              <w:pStyle w:val="Tabletext0"/>
              <w:jc w:val="center"/>
            </w:pPr>
            <w:r>
              <w:t>-</w:t>
            </w:r>
            <w:r w:rsidRPr="001A6592">
              <w:t>$3,423,107</w:t>
            </w:r>
          </w:p>
        </w:tc>
        <w:tc>
          <w:tcPr>
            <w:tcW w:w="710" w:type="pct"/>
          </w:tcPr>
          <w:p w14:paraId="4CEF6349" w14:textId="77777777" w:rsidR="005C4D5A" w:rsidRPr="001A6592" w:rsidRDefault="005C4D5A" w:rsidP="00D106F8">
            <w:pPr>
              <w:pStyle w:val="Tabletext0"/>
              <w:jc w:val="center"/>
            </w:pPr>
            <w:r>
              <w:t>-</w:t>
            </w:r>
            <w:r w:rsidRPr="001A6592">
              <w:t>$3,437,917</w:t>
            </w:r>
          </w:p>
        </w:tc>
        <w:tc>
          <w:tcPr>
            <w:tcW w:w="710" w:type="pct"/>
          </w:tcPr>
          <w:p w14:paraId="16C0B992" w14:textId="77777777" w:rsidR="005C4D5A" w:rsidRPr="001A6592" w:rsidRDefault="005C4D5A" w:rsidP="00D106F8">
            <w:pPr>
              <w:pStyle w:val="Tabletext0"/>
              <w:jc w:val="center"/>
            </w:pPr>
            <w:r>
              <w:t>-</w:t>
            </w:r>
            <w:r w:rsidRPr="001A6592">
              <w:t>$3,452,726</w:t>
            </w:r>
          </w:p>
        </w:tc>
        <w:tc>
          <w:tcPr>
            <w:tcW w:w="711" w:type="pct"/>
          </w:tcPr>
          <w:p w14:paraId="7A9BC58A" w14:textId="77777777" w:rsidR="005C4D5A" w:rsidRPr="001A6592" w:rsidRDefault="005C4D5A" w:rsidP="00D106F8">
            <w:pPr>
              <w:pStyle w:val="Tabletext0"/>
              <w:jc w:val="center"/>
            </w:pPr>
            <w:r>
              <w:t>-</w:t>
            </w:r>
            <w:r w:rsidRPr="001A6592">
              <w:t>$3,467,535</w:t>
            </w:r>
          </w:p>
        </w:tc>
      </w:tr>
      <w:tr w:rsidR="005C4D5A" w:rsidRPr="00B20777" w14:paraId="76C90D4E" w14:textId="77777777" w:rsidTr="00412BC0">
        <w:trPr>
          <w:trHeight w:val="315"/>
        </w:trPr>
        <w:tc>
          <w:tcPr>
            <w:tcW w:w="1449" w:type="pct"/>
          </w:tcPr>
          <w:p w14:paraId="36D44D63" w14:textId="77777777" w:rsidR="005C4D5A" w:rsidRPr="00A73CC2" w:rsidRDefault="005C4D5A" w:rsidP="00D106F8">
            <w:pPr>
              <w:pStyle w:val="Tabletext0"/>
              <w:ind w:left="113"/>
              <w:rPr>
                <w:vertAlign w:val="superscript"/>
              </w:rPr>
            </w:pPr>
            <w:r>
              <w:t>Costs related to terminations</w:t>
            </w:r>
            <w:r w:rsidRPr="00A73CC2">
              <w:rPr>
                <w:i/>
                <w:vertAlign w:val="superscript"/>
              </w:rPr>
              <w:t>c</w:t>
            </w:r>
          </w:p>
        </w:tc>
        <w:tc>
          <w:tcPr>
            <w:tcW w:w="710" w:type="pct"/>
          </w:tcPr>
          <w:p w14:paraId="09A9904E" w14:textId="1B813ACF" w:rsidR="005C4D5A" w:rsidRPr="001A6592" w:rsidRDefault="00545315" w:rsidP="00D106F8">
            <w:pPr>
              <w:pStyle w:val="Tabletext0"/>
              <w:jc w:val="center"/>
            </w:pPr>
            <w:r>
              <w:rPr>
                <w:szCs w:val="20"/>
              </w:rPr>
              <w:t>$</w:t>
            </w:r>
            <w:r w:rsidR="005C4D5A">
              <w:rPr>
                <w:szCs w:val="20"/>
              </w:rPr>
              <w:t>163,880</w:t>
            </w:r>
          </w:p>
        </w:tc>
        <w:tc>
          <w:tcPr>
            <w:tcW w:w="710" w:type="pct"/>
          </w:tcPr>
          <w:p w14:paraId="4911C2CC" w14:textId="77777777" w:rsidR="005C4D5A" w:rsidRPr="001A6592" w:rsidRDefault="005C4D5A" w:rsidP="00D106F8">
            <w:pPr>
              <w:pStyle w:val="Tabletext0"/>
              <w:jc w:val="center"/>
            </w:pPr>
            <w:r>
              <w:rPr>
                <w:szCs w:val="20"/>
              </w:rPr>
              <w:t>$164,592</w:t>
            </w:r>
          </w:p>
        </w:tc>
        <w:tc>
          <w:tcPr>
            <w:tcW w:w="710" w:type="pct"/>
          </w:tcPr>
          <w:p w14:paraId="496AEA5E" w14:textId="77777777" w:rsidR="005C4D5A" w:rsidRPr="001A6592" w:rsidRDefault="005C4D5A" w:rsidP="00D106F8">
            <w:pPr>
              <w:pStyle w:val="Tabletext0"/>
              <w:jc w:val="center"/>
            </w:pPr>
            <w:r>
              <w:rPr>
                <w:szCs w:val="20"/>
              </w:rPr>
              <w:t>$165,304</w:t>
            </w:r>
          </w:p>
        </w:tc>
        <w:tc>
          <w:tcPr>
            <w:tcW w:w="710" w:type="pct"/>
          </w:tcPr>
          <w:p w14:paraId="25AE0552" w14:textId="77777777" w:rsidR="005C4D5A" w:rsidRPr="001A6592" w:rsidRDefault="005C4D5A" w:rsidP="00D106F8">
            <w:pPr>
              <w:pStyle w:val="Tabletext0"/>
              <w:jc w:val="center"/>
            </w:pPr>
            <w:r>
              <w:rPr>
                <w:szCs w:val="20"/>
              </w:rPr>
              <w:t>$166,016</w:t>
            </w:r>
          </w:p>
        </w:tc>
        <w:tc>
          <w:tcPr>
            <w:tcW w:w="711" w:type="pct"/>
          </w:tcPr>
          <w:p w14:paraId="200EE738" w14:textId="77777777" w:rsidR="005C4D5A" w:rsidRPr="001A6592" w:rsidRDefault="005C4D5A" w:rsidP="00D106F8">
            <w:pPr>
              <w:pStyle w:val="Tabletext0"/>
              <w:jc w:val="center"/>
            </w:pPr>
            <w:r>
              <w:rPr>
                <w:szCs w:val="20"/>
              </w:rPr>
              <w:t>$166,728</w:t>
            </w:r>
          </w:p>
        </w:tc>
      </w:tr>
      <w:tr w:rsidR="005C4D5A" w:rsidRPr="00B20777" w14:paraId="48AB4DAE" w14:textId="77777777" w:rsidTr="00412BC0">
        <w:trPr>
          <w:trHeight w:val="315"/>
        </w:trPr>
        <w:tc>
          <w:tcPr>
            <w:tcW w:w="1449" w:type="pct"/>
          </w:tcPr>
          <w:p w14:paraId="1A1071DC" w14:textId="77777777" w:rsidR="005C4D5A" w:rsidRPr="00A73CC2" w:rsidRDefault="005C4D5A" w:rsidP="00D106F8">
            <w:pPr>
              <w:pStyle w:val="Tabletext0"/>
              <w:ind w:left="113"/>
              <w:rPr>
                <w:i/>
                <w:vertAlign w:val="superscript"/>
              </w:rPr>
            </w:pPr>
            <w:r>
              <w:t>Costs related to continuations of pregnancy</w:t>
            </w:r>
            <w:r>
              <w:rPr>
                <w:i/>
                <w:vertAlign w:val="superscript"/>
              </w:rPr>
              <w:t>d</w:t>
            </w:r>
          </w:p>
        </w:tc>
        <w:tc>
          <w:tcPr>
            <w:tcW w:w="710" w:type="pct"/>
          </w:tcPr>
          <w:p w14:paraId="03ECB69A" w14:textId="77777777" w:rsidR="005C4D5A" w:rsidRPr="001A6592" w:rsidRDefault="005C4D5A" w:rsidP="00D106F8">
            <w:pPr>
              <w:pStyle w:val="Tabletext0"/>
              <w:jc w:val="center"/>
            </w:pPr>
            <w:r>
              <w:rPr>
                <w:szCs w:val="20"/>
              </w:rPr>
              <w:t>-$153,683</w:t>
            </w:r>
          </w:p>
        </w:tc>
        <w:tc>
          <w:tcPr>
            <w:tcW w:w="710" w:type="pct"/>
          </w:tcPr>
          <w:p w14:paraId="2B25F5D5" w14:textId="77777777" w:rsidR="005C4D5A" w:rsidRPr="001A6592" w:rsidRDefault="005C4D5A" w:rsidP="00D106F8">
            <w:pPr>
              <w:pStyle w:val="Tabletext0"/>
              <w:jc w:val="center"/>
            </w:pPr>
            <w:r>
              <w:rPr>
                <w:szCs w:val="20"/>
              </w:rPr>
              <w:t>-$154,350</w:t>
            </w:r>
          </w:p>
        </w:tc>
        <w:tc>
          <w:tcPr>
            <w:tcW w:w="710" w:type="pct"/>
          </w:tcPr>
          <w:p w14:paraId="6A54B595" w14:textId="77777777" w:rsidR="005C4D5A" w:rsidRPr="001A6592" w:rsidRDefault="005C4D5A" w:rsidP="00D106F8">
            <w:pPr>
              <w:pStyle w:val="Tabletext0"/>
              <w:jc w:val="center"/>
            </w:pPr>
            <w:r>
              <w:rPr>
                <w:szCs w:val="20"/>
              </w:rPr>
              <w:t>-$155,018</w:t>
            </w:r>
          </w:p>
        </w:tc>
        <w:tc>
          <w:tcPr>
            <w:tcW w:w="710" w:type="pct"/>
          </w:tcPr>
          <w:p w14:paraId="4EC700BA" w14:textId="77777777" w:rsidR="005C4D5A" w:rsidRPr="001A6592" w:rsidRDefault="005C4D5A" w:rsidP="00D106F8">
            <w:pPr>
              <w:pStyle w:val="Tabletext0"/>
              <w:jc w:val="center"/>
            </w:pPr>
            <w:r>
              <w:rPr>
                <w:szCs w:val="20"/>
              </w:rPr>
              <w:t>-$155,686</w:t>
            </w:r>
          </w:p>
        </w:tc>
        <w:tc>
          <w:tcPr>
            <w:tcW w:w="711" w:type="pct"/>
          </w:tcPr>
          <w:p w14:paraId="4373B31E" w14:textId="77777777" w:rsidR="005C4D5A" w:rsidRPr="001A6592" w:rsidRDefault="005C4D5A" w:rsidP="00D106F8">
            <w:pPr>
              <w:pStyle w:val="Tabletext0"/>
              <w:jc w:val="center"/>
            </w:pPr>
            <w:r>
              <w:rPr>
                <w:szCs w:val="20"/>
              </w:rPr>
              <w:t>-$156,354</w:t>
            </w:r>
          </w:p>
        </w:tc>
      </w:tr>
      <w:tr w:rsidR="005C4D5A" w:rsidRPr="00B20777" w14:paraId="2C489072" w14:textId="77777777" w:rsidTr="00412BC0">
        <w:trPr>
          <w:trHeight w:val="315"/>
        </w:trPr>
        <w:tc>
          <w:tcPr>
            <w:tcW w:w="1449" w:type="pct"/>
          </w:tcPr>
          <w:p w14:paraId="6ECFE67F" w14:textId="77777777" w:rsidR="005C4D5A" w:rsidRPr="00727AB7" w:rsidRDefault="005C4D5A" w:rsidP="00D106F8">
            <w:pPr>
              <w:pStyle w:val="Tabletext0"/>
            </w:pPr>
            <w:r w:rsidRPr="00727AB7">
              <w:rPr>
                <w:bCs/>
                <w:szCs w:val="20"/>
              </w:rPr>
              <w:t xml:space="preserve">Total </w:t>
            </w:r>
            <w:r w:rsidRPr="00727AB7">
              <w:t>change in use and cost of other medical services</w:t>
            </w:r>
          </w:p>
        </w:tc>
        <w:tc>
          <w:tcPr>
            <w:tcW w:w="710" w:type="pct"/>
          </w:tcPr>
          <w:p w14:paraId="38CA919F" w14:textId="77777777" w:rsidR="005C4D5A" w:rsidRPr="00727AB7" w:rsidRDefault="005C4D5A" w:rsidP="00D106F8">
            <w:pPr>
              <w:pStyle w:val="Tabletext0"/>
              <w:jc w:val="center"/>
            </w:pPr>
            <w:r w:rsidRPr="00727AB7">
              <w:rPr>
                <w:bCs/>
                <w:szCs w:val="20"/>
              </w:rPr>
              <w:t>-$3,398,101</w:t>
            </w:r>
          </w:p>
        </w:tc>
        <w:tc>
          <w:tcPr>
            <w:tcW w:w="710" w:type="pct"/>
          </w:tcPr>
          <w:p w14:paraId="4E41416D" w14:textId="77777777" w:rsidR="005C4D5A" w:rsidRPr="00727AB7" w:rsidRDefault="005C4D5A" w:rsidP="00D106F8">
            <w:pPr>
              <w:pStyle w:val="Tabletext0"/>
              <w:jc w:val="center"/>
            </w:pPr>
            <w:r w:rsidRPr="00727AB7">
              <w:rPr>
                <w:bCs/>
                <w:szCs w:val="20"/>
              </w:rPr>
              <w:t>-$3,412,865</w:t>
            </w:r>
          </w:p>
        </w:tc>
        <w:tc>
          <w:tcPr>
            <w:tcW w:w="710" w:type="pct"/>
          </w:tcPr>
          <w:p w14:paraId="3877C312" w14:textId="77777777" w:rsidR="005C4D5A" w:rsidRPr="00727AB7" w:rsidRDefault="005C4D5A" w:rsidP="00D106F8">
            <w:pPr>
              <w:pStyle w:val="Tabletext0"/>
              <w:jc w:val="center"/>
            </w:pPr>
            <w:r w:rsidRPr="00727AB7">
              <w:rPr>
                <w:bCs/>
                <w:szCs w:val="20"/>
              </w:rPr>
              <w:t>-$3,427,630</w:t>
            </w:r>
          </w:p>
        </w:tc>
        <w:tc>
          <w:tcPr>
            <w:tcW w:w="710" w:type="pct"/>
          </w:tcPr>
          <w:p w14:paraId="65836686" w14:textId="77777777" w:rsidR="005C4D5A" w:rsidRPr="00727AB7" w:rsidRDefault="005C4D5A" w:rsidP="00D106F8">
            <w:pPr>
              <w:pStyle w:val="Tabletext0"/>
              <w:jc w:val="center"/>
            </w:pPr>
            <w:r w:rsidRPr="00727AB7">
              <w:rPr>
                <w:bCs/>
                <w:szCs w:val="20"/>
              </w:rPr>
              <w:t>-$3,442,395</w:t>
            </w:r>
          </w:p>
        </w:tc>
        <w:tc>
          <w:tcPr>
            <w:tcW w:w="711" w:type="pct"/>
          </w:tcPr>
          <w:p w14:paraId="7D010C7A" w14:textId="77777777" w:rsidR="005C4D5A" w:rsidRPr="00727AB7" w:rsidRDefault="005C4D5A" w:rsidP="00D106F8">
            <w:pPr>
              <w:pStyle w:val="Tabletext0"/>
              <w:jc w:val="center"/>
            </w:pPr>
            <w:r w:rsidRPr="00727AB7">
              <w:rPr>
                <w:bCs/>
                <w:szCs w:val="20"/>
              </w:rPr>
              <w:t>-$3,457,160</w:t>
            </w:r>
          </w:p>
        </w:tc>
      </w:tr>
      <w:tr w:rsidR="005C4D5A" w:rsidRPr="00B20777" w14:paraId="139B4DC6" w14:textId="77777777" w:rsidTr="00412BC0">
        <w:trPr>
          <w:trHeight w:val="315"/>
        </w:trPr>
        <w:tc>
          <w:tcPr>
            <w:tcW w:w="1449" w:type="pct"/>
          </w:tcPr>
          <w:p w14:paraId="76DA1D15" w14:textId="77777777" w:rsidR="005C4D5A" w:rsidRDefault="005C4D5A" w:rsidP="00D106F8">
            <w:pPr>
              <w:pStyle w:val="Tabletext0"/>
              <w:rPr>
                <w:b/>
                <w:bCs/>
                <w:szCs w:val="20"/>
              </w:rPr>
            </w:pPr>
            <w:r>
              <w:rPr>
                <w:b/>
                <w:bCs/>
                <w:szCs w:val="20"/>
              </w:rPr>
              <w:t>Net cost to the MBS</w:t>
            </w:r>
          </w:p>
        </w:tc>
        <w:tc>
          <w:tcPr>
            <w:tcW w:w="710" w:type="pct"/>
          </w:tcPr>
          <w:p w14:paraId="289AAD42" w14:textId="77777777" w:rsidR="005C4D5A" w:rsidRDefault="005C4D5A" w:rsidP="00D106F8">
            <w:pPr>
              <w:pStyle w:val="Tabletext0"/>
              <w:jc w:val="center"/>
              <w:rPr>
                <w:b/>
                <w:bCs/>
                <w:szCs w:val="20"/>
              </w:rPr>
            </w:pPr>
            <w:r>
              <w:rPr>
                <w:b/>
                <w:bCs/>
                <w:szCs w:val="20"/>
              </w:rPr>
              <w:t>$1,724,349</w:t>
            </w:r>
          </w:p>
        </w:tc>
        <w:tc>
          <w:tcPr>
            <w:tcW w:w="710" w:type="pct"/>
          </w:tcPr>
          <w:p w14:paraId="50F595EA" w14:textId="77777777" w:rsidR="005C4D5A" w:rsidRDefault="005C4D5A" w:rsidP="00D106F8">
            <w:pPr>
              <w:pStyle w:val="Tabletext0"/>
              <w:jc w:val="center"/>
              <w:rPr>
                <w:b/>
                <w:bCs/>
                <w:szCs w:val="20"/>
              </w:rPr>
            </w:pPr>
            <w:r>
              <w:rPr>
                <w:b/>
                <w:bCs/>
                <w:szCs w:val="20"/>
              </w:rPr>
              <w:t>$1,731,841</w:t>
            </w:r>
          </w:p>
        </w:tc>
        <w:tc>
          <w:tcPr>
            <w:tcW w:w="710" w:type="pct"/>
          </w:tcPr>
          <w:p w14:paraId="78852325" w14:textId="77777777" w:rsidR="005C4D5A" w:rsidRDefault="005C4D5A" w:rsidP="00D106F8">
            <w:pPr>
              <w:pStyle w:val="Tabletext0"/>
              <w:jc w:val="center"/>
              <w:rPr>
                <w:b/>
                <w:bCs/>
                <w:szCs w:val="20"/>
              </w:rPr>
            </w:pPr>
            <w:r>
              <w:rPr>
                <w:b/>
                <w:bCs/>
                <w:szCs w:val="20"/>
              </w:rPr>
              <w:t>$1,739,334</w:t>
            </w:r>
          </w:p>
        </w:tc>
        <w:tc>
          <w:tcPr>
            <w:tcW w:w="710" w:type="pct"/>
          </w:tcPr>
          <w:p w14:paraId="26A24D49" w14:textId="77777777" w:rsidR="005C4D5A" w:rsidRDefault="005C4D5A" w:rsidP="00D106F8">
            <w:pPr>
              <w:pStyle w:val="Tabletext0"/>
              <w:jc w:val="center"/>
              <w:rPr>
                <w:b/>
                <w:bCs/>
                <w:szCs w:val="20"/>
              </w:rPr>
            </w:pPr>
            <w:r>
              <w:rPr>
                <w:b/>
                <w:bCs/>
                <w:szCs w:val="20"/>
              </w:rPr>
              <w:t>$1,746,826</w:t>
            </w:r>
          </w:p>
        </w:tc>
        <w:tc>
          <w:tcPr>
            <w:tcW w:w="711" w:type="pct"/>
          </w:tcPr>
          <w:p w14:paraId="3B7BB353" w14:textId="77777777" w:rsidR="005C4D5A" w:rsidRDefault="005C4D5A" w:rsidP="00D106F8">
            <w:pPr>
              <w:pStyle w:val="Tabletext0"/>
              <w:jc w:val="center"/>
              <w:rPr>
                <w:b/>
                <w:bCs/>
                <w:szCs w:val="20"/>
              </w:rPr>
            </w:pPr>
            <w:r>
              <w:rPr>
                <w:b/>
                <w:bCs/>
                <w:szCs w:val="20"/>
              </w:rPr>
              <w:t>$1,754,319</w:t>
            </w:r>
          </w:p>
        </w:tc>
      </w:tr>
      <w:tr w:rsidR="005C4D5A" w:rsidRPr="005E7665" w14:paraId="750D087E" w14:textId="77777777" w:rsidTr="00412BC0">
        <w:trPr>
          <w:trHeight w:val="315"/>
        </w:trPr>
        <w:tc>
          <w:tcPr>
            <w:tcW w:w="1449" w:type="pct"/>
          </w:tcPr>
          <w:p w14:paraId="48035782" w14:textId="77777777" w:rsidR="005C4D5A" w:rsidRPr="005E7665" w:rsidRDefault="005C4D5A" w:rsidP="00D106F8">
            <w:pPr>
              <w:pStyle w:val="Tabletext0"/>
              <w:rPr>
                <w:b/>
                <w:bCs/>
                <w:szCs w:val="20"/>
                <w:vertAlign w:val="superscript"/>
              </w:rPr>
            </w:pPr>
            <w:r w:rsidRPr="005E7665">
              <w:rPr>
                <w:b/>
                <w:bCs/>
                <w:szCs w:val="20"/>
              </w:rPr>
              <w:t>Critique’s net cost to the MBS</w:t>
            </w:r>
            <w:r w:rsidRPr="005E7665">
              <w:rPr>
                <w:b/>
                <w:bCs/>
                <w:szCs w:val="20"/>
                <w:vertAlign w:val="superscript"/>
              </w:rPr>
              <w:t>e</w:t>
            </w:r>
          </w:p>
        </w:tc>
        <w:tc>
          <w:tcPr>
            <w:tcW w:w="710" w:type="pct"/>
          </w:tcPr>
          <w:p w14:paraId="4340E101" w14:textId="77777777" w:rsidR="005C4D5A" w:rsidRPr="005E7665" w:rsidRDefault="005C4D5A" w:rsidP="00D106F8">
            <w:pPr>
              <w:pStyle w:val="Tabletext0"/>
              <w:jc w:val="center"/>
              <w:rPr>
                <w:b/>
                <w:bCs/>
                <w:szCs w:val="20"/>
              </w:rPr>
            </w:pPr>
            <w:r w:rsidRPr="005E7665">
              <w:rPr>
                <w:rFonts w:cs="Calibri"/>
                <w:color w:val="000000"/>
              </w:rPr>
              <w:t>$1,714,151</w:t>
            </w:r>
          </w:p>
        </w:tc>
        <w:tc>
          <w:tcPr>
            <w:tcW w:w="710" w:type="pct"/>
          </w:tcPr>
          <w:p w14:paraId="2B04C7D8" w14:textId="77777777" w:rsidR="005C4D5A" w:rsidRPr="005E7665" w:rsidRDefault="005C4D5A" w:rsidP="00D106F8">
            <w:pPr>
              <w:pStyle w:val="Tabletext0"/>
              <w:jc w:val="center"/>
              <w:rPr>
                <w:b/>
                <w:bCs/>
                <w:szCs w:val="20"/>
              </w:rPr>
            </w:pPr>
            <w:r w:rsidRPr="005E7665">
              <w:rPr>
                <w:rFonts w:cs="Calibri"/>
                <w:color w:val="000000"/>
              </w:rPr>
              <w:t>$1,721,600</w:t>
            </w:r>
          </w:p>
        </w:tc>
        <w:tc>
          <w:tcPr>
            <w:tcW w:w="710" w:type="pct"/>
          </w:tcPr>
          <w:p w14:paraId="71737332" w14:textId="77777777" w:rsidR="005C4D5A" w:rsidRPr="005E7665" w:rsidRDefault="005C4D5A" w:rsidP="00D106F8">
            <w:pPr>
              <w:pStyle w:val="Tabletext0"/>
              <w:jc w:val="center"/>
              <w:rPr>
                <w:b/>
                <w:bCs/>
                <w:szCs w:val="20"/>
              </w:rPr>
            </w:pPr>
            <w:r w:rsidRPr="005E7665">
              <w:rPr>
                <w:rFonts w:cs="Calibri"/>
                <w:color w:val="000000"/>
              </w:rPr>
              <w:t>$1,729,047</w:t>
            </w:r>
          </w:p>
        </w:tc>
        <w:tc>
          <w:tcPr>
            <w:tcW w:w="710" w:type="pct"/>
          </w:tcPr>
          <w:p w14:paraId="75173B2C" w14:textId="77777777" w:rsidR="005C4D5A" w:rsidRPr="005E7665" w:rsidRDefault="005C4D5A" w:rsidP="00D106F8">
            <w:pPr>
              <w:pStyle w:val="Tabletext0"/>
              <w:jc w:val="center"/>
              <w:rPr>
                <w:b/>
                <w:bCs/>
                <w:szCs w:val="20"/>
              </w:rPr>
            </w:pPr>
            <w:r w:rsidRPr="005E7665">
              <w:rPr>
                <w:rFonts w:cs="Calibri"/>
                <w:color w:val="000000"/>
              </w:rPr>
              <w:t>$1,736,496</w:t>
            </w:r>
          </w:p>
        </w:tc>
        <w:tc>
          <w:tcPr>
            <w:tcW w:w="711" w:type="pct"/>
          </w:tcPr>
          <w:p w14:paraId="17460A7D" w14:textId="77777777" w:rsidR="005C4D5A" w:rsidRPr="005E7665" w:rsidRDefault="005C4D5A" w:rsidP="00D106F8">
            <w:pPr>
              <w:pStyle w:val="Tabletext0"/>
              <w:jc w:val="center"/>
              <w:rPr>
                <w:b/>
                <w:bCs/>
                <w:szCs w:val="20"/>
              </w:rPr>
            </w:pPr>
            <w:r w:rsidRPr="005E7665">
              <w:rPr>
                <w:rFonts w:cs="Calibri"/>
                <w:color w:val="000000"/>
              </w:rPr>
              <w:t>$1,743,944</w:t>
            </w:r>
          </w:p>
        </w:tc>
      </w:tr>
    </w:tbl>
    <w:p w14:paraId="100BB4A0" w14:textId="77777777" w:rsidR="005C4D5A" w:rsidRPr="005E7665" w:rsidRDefault="005C4D5A" w:rsidP="005C4D5A">
      <w:pPr>
        <w:pStyle w:val="Tablecaption"/>
        <w:rPr>
          <w:sz w:val="18"/>
        </w:rPr>
      </w:pPr>
      <w:r w:rsidRPr="005E7665">
        <w:rPr>
          <w:sz w:val="18"/>
        </w:rPr>
        <w:t>Source: compiled from Table 10 of the Critique and Table 66 of the CA</w:t>
      </w:r>
    </w:p>
    <w:p w14:paraId="2C1D1280" w14:textId="77777777" w:rsidR="005C4D5A" w:rsidRPr="005E7665" w:rsidRDefault="005C4D5A" w:rsidP="005C4D5A">
      <w:pPr>
        <w:pStyle w:val="Tablecaption"/>
        <w:rPr>
          <w:sz w:val="18"/>
        </w:rPr>
      </w:pPr>
      <w:r w:rsidRPr="005E7665">
        <w:rPr>
          <w:sz w:val="18"/>
          <w:vertAlign w:val="superscript"/>
        </w:rPr>
        <w:t xml:space="preserve">a </w:t>
      </w:r>
      <w:r w:rsidRPr="005E7665">
        <w:rPr>
          <w:sz w:val="18"/>
        </w:rPr>
        <w:t>Critique stated</w:t>
      </w:r>
      <w:r w:rsidRPr="005E7665">
        <w:rPr>
          <w:sz w:val="18"/>
          <w:vertAlign w:val="superscript"/>
        </w:rPr>
        <w:t xml:space="preserve"> </w:t>
      </w:r>
      <w:r w:rsidRPr="005E7665">
        <w:rPr>
          <w:sz w:val="18"/>
        </w:rPr>
        <w:t>based on weighted benefit of 83% for MBS items 73287 and 73293</w:t>
      </w:r>
    </w:p>
    <w:p w14:paraId="725B9110" w14:textId="77777777" w:rsidR="005C4D5A" w:rsidRPr="005E7665" w:rsidRDefault="005C4D5A" w:rsidP="005C4D5A">
      <w:pPr>
        <w:pStyle w:val="Tablecaption"/>
        <w:rPr>
          <w:sz w:val="18"/>
        </w:rPr>
      </w:pPr>
      <w:r w:rsidRPr="005E7665">
        <w:rPr>
          <w:sz w:val="18"/>
          <w:vertAlign w:val="superscript"/>
        </w:rPr>
        <w:t xml:space="preserve">b </w:t>
      </w:r>
      <w:r w:rsidRPr="005E7665">
        <w:rPr>
          <w:sz w:val="18"/>
        </w:rPr>
        <w:t>The CA stated GMWA replaces karyotyping at 1:1 (100% substitution)</w:t>
      </w:r>
    </w:p>
    <w:p w14:paraId="3DD9077A" w14:textId="77777777" w:rsidR="005C4D5A" w:rsidRPr="005E7665" w:rsidRDefault="005C4D5A" w:rsidP="005C4D5A">
      <w:pPr>
        <w:pStyle w:val="Tablecaption"/>
        <w:rPr>
          <w:sz w:val="18"/>
        </w:rPr>
      </w:pPr>
      <w:r w:rsidRPr="005E7665">
        <w:rPr>
          <w:sz w:val="18"/>
          <w:vertAlign w:val="superscript"/>
        </w:rPr>
        <w:t xml:space="preserve">c </w:t>
      </w:r>
      <w:r w:rsidRPr="005E7665">
        <w:rPr>
          <w:sz w:val="18"/>
        </w:rPr>
        <w:t>The CA stated</w:t>
      </w:r>
      <w:r w:rsidRPr="005E7665">
        <w:rPr>
          <w:sz w:val="18"/>
          <w:vertAlign w:val="superscript"/>
        </w:rPr>
        <w:t xml:space="preserve"> </w:t>
      </w:r>
      <w:r w:rsidRPr="005E7665">
        <w:rPr>
          <w:sz w:val="18"/>
        </w:rPr>
        <w:t>approximately 95% of pregnancies with a pathogenic CNV detected are expected to be terminated, and as GMWA detects more pathogenic CNVs than karyotyping (see Table 2), this will result in an increase in the number of terminations.</w:t>
      </w:r>
    </w:p>
    <w:p w14:paraId="4A00A61E" w14:textId="77777777" w:rsidR="005C4D5A" w:rsidRPr="005E7665" w:rsidRDefault="005C4D5A" w:rsidP="0059171C">
      <w:pPr>
        <w:pStyle w:val="Tablecaption"/>
      </w:pPr>
      <w:r w:rsidRPr="005E7665">
        <w:rPr>
          <w:sz w:val="18"/>
          <w:vertAlign w:val="superscript"/>
        </w:rPr>
        <w:t>d</w:t>
      </w:r>
      <w:r w:rsidRPr="005E7665">
        <w:t xml:space="preserve"> </w:t>
      </w:r>
      <w:r w:rsidRPr="005E7665">
        <w:rPr>
          <w:sz w:val="18"/>
        </w:rPr>
        <w:t xml:space="preserve">The CA stated </w:t>
      </w:r>
      <w:r w:rsidRPr="005E7665">
        <w:rPr>
          <w:sz w:val="18"/>
          <w:szCs w:val="22"/>
        </w:rPr>
        <w:t xml:space="preserve">an increase in the number of terminations is expected to result from the funding of genome-wide microarray testing for prenatal abnormalities. This will have the effect of decreasing the number of services related to the continuation of pregnancy. </w:t>
      </w:r>
    </w:p>
    <w:p w14:paraId="15F19BBA" w14:textId="77777777" w:rsidR="005C4D5A" w:rsidRPr="005E7665" w:rsidRDefault="005C4D5A" w:rsidP="0059171C">
      <w:pPr>
        <w:pStyle w:val="Tablecaption"/>
        <w:keepNext w:val="0"/>
        <w:keepLines w:val="0"/>
        <w:rPr>
          <w:sz w:val="18"/>
        </w:rPr>
      </w:pPr>
      <w:r w:rsidRPr="005E7665">
        <w:rPr>
          <w:sz w:val="18"/>
          <w:vertAlign w:val="superscript"/>
        </w:rPr>
        <w:t xml:space="preserve">e </w:t>
      </w:r>
      <w:r w:rsidRPr="005E7665">
        <w:rPr>
          <w:sz w:val="18"/>
        </w:rPr>
        <w:t>Critique only included cost offsets of 100% substitution with karyotyping (did not include the cost offsets related to terminations, and continuations of pregnancy)</w:t>
      </w:r>
    </w:p>
    <w:p w14:paraId="731E17A2" w14:textId="06FDB2CA" w:rsidR="005C4D5A" w:rsidRDefault="005C4D5A" w:rsidP="008772BC">
      <w:pPr>
        <w:spacing w:before="240" w:after="240"/>
      </w:pPr>
      <w:r>
        <w:t xml:space="preserve">The Critique stated that there is potential for the net cost/year to the MBS </w:t>
      </w:r>
      <w:r w:rsidRPr="007F7E0D">
        <w:t xml:space="preserve">to </w:t>
      </w:r>
      <w:r>
        <w:t>be less than estimated in the CA</w:t>
      </w:r>
      <w:r w:rsidRPr="007F7E0D">
        <w:t xml:space="preserve"> as the number of expected services is greater than twice the number of services associated with amniocentesis</w:t>
      </w:r>
      <w:r>
        <w:t xml:space="preserve"> (MBS item 16600)</w:t>
      </w:r>
      <w:r w:rsidRPr="007F7E0D">
        <w:t xml:space="preserve"> and CVS</w:t>
      </w:r>
      <w:r>
        <w:t xml:space="preserve"> (MBS item 16603). The Critique conducted a sensitivity a using a market-share approach and assuming other cost offsets (costs related to terminations, costs related to continuations of pregnancy) would not be realised (Table 13)</w:t>
      </w:r>
      <w:r w:rsidRPr="007F7E0D">
        <w:t>.</w:t>
      </w:r>
    </w:p>
    <w:p w14:paraId="647D8E7F" w14:textId="77777777" w:rsidR="005C4D5A" w:rsidRPr="00412BC0" w:rsidRDefault="005C4D5A" w:rsidP="00412BC0">
      <w:pPr>
        <w:rPr>
          <w:rFonts w:ascii="Arial Narrow" w:hAnsi="Arial Narrow"/>
          <w:b/>
          <w:sz w:val="20"/>
        </w:rPr>
      </w:pPr>
      <w:bookmarkStart w:id="31" w:name="_Ref14373683"/>
      <w:bookmarkStart w:id="32" w:name="_Toc17180937"/>
      <w:r w:rsidRPr="00412BC0">
        <w:rPr>
          <w:rFonts w:ascii="Arial Narrow" w:hAnsi="Arial Narrow"/>
          <w:b/>
          <w:sz w:val="20"/>
        </w:rPr>
        <w:t>Table</w:t>
      </w:r>
      <w:bookmarkEnd w:id="31"/>
      <w:r w:rsidRPr="00412BC0">
        <w:rPr>
          <w:rFonts w:ascii="Arial Narrow" w:hAnsi="Arial Narrow"/>
          <w:b/>
          <w:sz w:val="20"/>
        </w:rPr>
        <w:t xml:space="preserve"> 13:</w:t>
      </w:r>
      <w:r w:rsidRPr="00412BC0">
        <w:rPr>
          <w:rFonts w:ascii="Arial Narrow" w:hAnsi="Arial Narrow"/>
          <w:b/>
          <w:sz w:val="20"/>
        </w:rPr>
        <w:tab/>
        <w:t>Estimate cost to MBS due to listing of GWMA</w:t>
      </w:r>
      <w:bookmarkEnd w:id="32"/>
      <w:r w:rsidRPr="00412BC0">
        <w:rPr>
          <w:rFonts w:ascii="Arial Narrow" w:hAnsi="Arial Narrow"/>
          <w:b/>
          <w:sz w:val="20"/>
        </w:rPr>
        <w:t xml:space="preserve"> (Critique’s sensitivity analysis)</w:t>
      </w:r>
    </w:p>
    <w:tbl>
      <w:tblPr>
        <w:tblStyle w:val="TableGrid"/>
        <w:tblW w:w="5000" w:type="pct"/>
        <w:tblLook w:val="04A0" w:firstRow="1" w:lastRow="0" w:firstColumn="1" w:lastColumn="0" w:noHBand="0" w:noVBand="1"/>
        <w:tblDescription w:val="Estimate cost to MBS due to listing of GWMA (Critique’s sensitivity analysis)"/>
      </w:tblPr>
      <w:tblGrid>
        <w:gridCol w:w="3819"/>
        <w:gridCol w:w="983"/>
        <w:gridCol w:w="1051"/>
        <w:gridCol w:w="1050"/>
        <w:gridCol w:w="1066"/>
        <w:gridCol w:w="1047"/>
      </w:tblGrid>
      <w:tr w:rsidR="005C4D5A" w:rsidRPr="00630E4D" w14:paraId="116EFDF0" w14:textId="77777777" w:rsidTr="00412BC0">
        <w:trPr>
          <w:trHeight w:val="285"/>
          <w:tblHeader/>
        </w:trPr>
        <w:tc>
          <w:tcPr>
            <w:tcW w:w="1868" w:type="pct"/>
            <w:noWrap/>
            <w:hideMark/>
          </w:tcPr>
          <w:p w14:paraId="3FD086A9" w14:textId="77777777" w:rsidR="005C4D5A" w:rsidRPr="00630E4D" w:rsidRDefault="005C4D5A" w:rsidP="00D106F8">
            <w:pPr>
              <w:rPr>
                <w:rFonts w:ascii="Arial Narrow" w:hAnsi="Arial Narrow" w:cs="Calibri"/>
                <w:b/>
                <w:color w:val="000000"/>
                <w:sz w:val="20"/>
              </w:rPr>
            </w:pPr>
            <w:r w:rsidRPr="00630E4D">
              <w:rPr>
                <w:rFonts w:ascii="Arial Narrow" w:hAnsi="Arial Narrow" w:cs="Calibri"/>
                <w:b/>
                <w:color w:val="000000"/>
                <w:sz w:val="20"/>
              </w:rPr>
              <w:t>Item</w:t>
            </w:r>
          </w:p>
        </w:tc>
        <w:tc>
          <w:tcPr>
            <w:tcW w:w="597" w:type="pct"/>
            <w:noWrap/>
            <w:hideMark/>
          </w:tcPr>
          <w:p w14:paraId="3DCAEA25" w14:textId="77777777" w:rsidR="005C4D5A" w:rsidRPr="00630E4D" w:rsidRDefault="005C4D5A" w:rsidP="00D106F8">
            <w:pPr>
              <w:jc w:val="center"/>
              <w:rPr>
                <w:rFonts w:ascii="Arial Narrow" w:hAnsi="Arial Narrow" w:cs="Calibri"/>
                <w:b/>
                <w:color w:val="000000"/>
                <w:sz w:val="20"/>
              </w:rPr>
            </w:pPr>
            <w:r w:rsidRPr="00630E4D">
              <w:rPr>
                <w:rFonts w:ascii="Arial Narrow" w:hAnsi="Arial Narrow" w:cs="Calibri"/>
                <w:b/>
                <w:color w:val="000000"/>
                <w:sz w:val="20"/>
              </w:rPr>
              <w:t>2020</w:t>
            </w:r>
          </w:p>
        </w:tc>
        <w:tc>
          <w:tcPr>
            <w:tcW w:w="618" w:type="pct"/>
            <w:noWrap/>
            <w:hideMark/>
          </w:tcPr>
          <w:p w14:paraId="2C8564BC" w14:textId="77777777" w:rsidR="005C4D5A" w:rsidRPr="00630E4D" w:rsidRDefault="005C4D5A" w:rsidP="00D106F8">
            <w:pPr>
              <w:jc w:val="center"/>
              <w:rPr>
                <w:rFonts w:ascii="Arial Narrow" w:hAnsi="Arial Narrow" w:cs="Calibri"/>
                <w:b/>
                <w:color w:val="000000"/>
                <w:sz w:val="20"/>
              </w:rPr>
            </w:pPr>
            <w:r w:rsidRPr="00630E4D">
              <w:rPr>
                <w:rFonts w:ascii="Arial Narrow" w:hAnsi="Arial Narrow" w:cs="Calibri"/>
                <w:b/>
                <w:color w:val="000000"/>
                <w:sz w:val="20"/>
              </w:rPr>
              <w:t>2021</w:t>
            </w:r>
          </w:p>
        </w:tc>
        <w:tc>
          <w:tcPr>
            <w:tcW w:w="639" w:type="pct"/>
            <w:noWrap/>
            <w:hideMark/>
          </w:tcPr>
          <w:p w14:paraId="14764B3A" w14:textId="77777777" w:rsidR="005C4D5A" w:rsidRPr="00630E4D" w:rsidRDefault="005C4D5A" w:rsidP="00D106F8">
            <w:pPr>
              <w:jc w:val="center"/>
              <w:rPr>
                <w:rFonts w:ascii="Arial Narrow" w:hAnsi="Arial Narrow" w:cs="Calibri"/>
                <w:b/>
                <w:color w:val="000000"/>
                <w:sz w:val="20"/>
              </w:rPr>
            </w:pPr>
            <w:r w:rsidRPr="00630E4D">
              <w:rPr>
                <w:rFonts w:ascii="Arial Narrow" w:hAnsi="Arial Narrow" w:cs="Calibri"/>
                <w:b/>
                <w:color w:val="000000"/>
                <w:sz w:val="20"/>
              </w:rPr>
              <w:t>2022</w:t>
            </w:r>
          </w:p>
        </w:tc>
        <w:tc>
          <w:tcPr>
            <w:tcW w:w="639" w:type="pct"/>
            <w:noWrap/>
            <w:hideMark/>
          </w:tcPr>
          <w:p w14:paraId="1930BC20" w14:textId="77777777" w:rsidR="005C4D5A" w:rsidRPr="00630E4D" w:rsidRDefault="005C4D5A" w:rsidP="00D106F8">
            <w:pPr>
              <w:jc w:val="center"/>
              <w:rPr>
                <w:rFonts w:ascii="Arial Narrow" w:hAnsi="Arial Narrow" w:cs="Calibri"/>
                <w:b/>
                <w:color w:val="000000"/>
                <w:sz w:val="20"/>
              </w:rPr>
            </w:pPr>
            <w:r w:rsidRPr="00630E4D">
              <w:rPr>
                <w:rFonts w:ascii="Arial Narrow" w:hAnsi="Arial Narrow" w:cs="Calibri"/>
                <w:b/>
                <w:color w:val="000000"/>
                <w:sz w:val="20"/>
              </w:rPr>
              <w:t>2023</w:t>
            </w:r>
          </w:p>
        </w:tc>
        <w:tc>
          <w:tcPr>
            <w:tcW w:w="639" w:type="pct"/>
            <w:noWrap/>
            <w:hideMark/>
          </w:tcPr>
          <w:p w14:paraId="7DADD91C" w14:textId="77777777" w:rsidR="005C4D5A" w:rsidRPr="00630E4D" w:rsidRDefault="005C4D5A" w:rsidP="00D106F8">
            <w:pPr>
              <w:jc w:val="center"/>
              <w:rPr>
                <w:rFonts w:ascii="Arial Narrow" w:hAnsi="Arial Narrow" w:cs="Calibri"/>
                <w:b/>
                <w:color w:val="000000"/>
                <w:sz w:val="20"/>
              </w:rPr>
            </w:pPr>
            <w:r w:rsidRPr="00630E4D">
              <w:rPr>
                <w:rFonts w:ascii="Arial Narrow" w:hAnsi="Arial Narrow" w:cs="Calibri"/>
                <w:b/>
                <w:color w:val="000000"/>
                <w:sz w:val="20"/>
              </w:rPr>
              <w:t>2024</w:t>
            </w:r>
          </w:p>
        </w:tc>
      </w:tr>
      <w:tr w:rsidR="005C4D5A" w:rsidRPr="00630E4D" w14:paraId="24B00C20" w14:textId="77777777" w:rsidTr="00412BC0">
        <w:trPr>
          <w:trHeight w:val="285"/>
        </w:trPr>
        <w:tc>
          <w:tcPr>
            <w:tcW w:w="1868" w:type="pct"/>
            <w:noWrap/>
            <w:hideMark/>
          </w:tcPr>
          <w:p w14:paraId="6A108FEA" w14:textId="77777777" w:rsidR="005C4D5A" w:rsidRPr="00630E4D" w:rsidRDefault="005C4D5A" w:rsidP="00D106F8">
            <w:pPr>
              <w:rPr>
                <w:rFonts w:ascii="Arial Narrow" w:hAnsi="Arial Narrow" w:cs="Calibri"/>
                <w:color w:val="000000"/>
                <w:sz w:val="20"/>
                <w:vertAlign w:val="superscript"/>
              </w:rPr>
            </w:pPr>
            <w:r w:rsidRPr="00630E4D">
              <w:rPr>
                <w:rFonts w:ascii="Arial Narrow" w:hAnsi="Arial Narrow" w:cs="Calibri"/>
                <w:color w:val="000000"/>
                <w:sz w:val="20"/>
              </w:rPr>
              <w:t>No of eligible patients</w:t>
            </w:r>
            <w:r w:rsidRPr="00630E4D">
              <w:rPr>
                <w:rFonts w:ascii="Arial Narrow" w:hAnsi="Arial Narrow" w:cs="Calibri"/>
                <w:color w:val="000000"/>
                <w:sz w:val="20"/>
                <w:vertAlign w:val="superscript"/>
              </w:rPr>
              <w:t>a</w:t>
            </w:r>
          </w:p>
        </w:tc>
        <w:tc>
          <w:tcPr>
            <w:tcW w:w="597" w:type="pct"/>
            <w:noWrap/>
            <w:hideMark/>
          </w:tcPr>
          <w:p w14:paraId="186DF8E6" w14:textId="77777777" w:rsidR="005C4D5A" w:rsidRPr="00630E4D" w:rsidRDefault="005C4D5A" w:rsidP="00D106F8">
            <w:pPr>
              <w:jc w:val="center"/>
              <w:rPr>
                <w:rFonts w:ascii="Arial Narrow" w:hAnsi="Arial Narrow" w:cs="Calibri"/>
                <w:color w:val="000000"/>
                <w:sz w:val="20"/>
              </w:rPr>
            </w:pPr>
            <w:r w:rsidRPr="00630E4D">
              <w:rPr>
                <w:rFonts w:ascii="Arial Narrow" w:hAnsi="Arial Narrow" w:cs="Calibri"/>
                <w:color w:val="000000"/>
                <w:sz w:val="20"/>
              </w:rPr>
              <w:t>3,789</w:t>
            </w:r>
          </w:p>
        </w:tc>
        <w:tc>
          <w:tcPr>
            <w:tcW w:w="618" w:type="pct"/>
            <w:noWrap/>
            <w:hideMark/>
          </w:tcPr>
          <w:p w14:paraId="4DF250D1" w14:textId="77777777" w:rsidR="005C4D5A" w:rsidRPr="00630E4D" w:rsidRDefault="005C4D5A" w:rsidP="00D106F8">
            <w:pPr>
              <w:jc w:val="center"/>
              <w:rPr>
                <w:rFonts w:ascii="Arial Narrow" w:hAnsi="Arial Narrow" w:cs="Calibri"/>
                <w:color w:val="000000"/>
                <w:sz w:val="20"/>
              </w:rPr>
            </w:pPr>
            <w:r w:rsidRPr="00630E4D">
              <w:rPr>
                <w:rFonts w:ascii="Arial Narrow" w:hAnsi="Arial Narrow" w:cs="Calibri"/>
                <w:color w:val="000000"/>
                <w:sz w:val="20"/>
              </w:rPr>
              <w:t>3,748</w:t>
            </w:r>
          </w:p>
        </w:tc>
        <w:tc>
          <w:tcPr>
            <w:tcW w:w="639" w:type="pct"/>
            <w:noWrap/>
            <w:hideMark/>
          </w:tcPr>
          <w:p w14:paraId="641343C8" w14:textId="77777777" w:rsidR="005C4D5A" w:rsidRPr="00630E4D" w:rsidRDefault="005C4D5A" w:rsidP="00D106F8">
            <w:pPr>
              <w:jc w:val="center"/>
              <w:rPr>
                <w:rFonts w:ascii="Arial Narrow" w:hAnsi="Arial Narrow" w:cs="Calibri"/>
                <w:color w:val="000000"/>
                <w:sz w:val="20"/>
              </w:rPr>
            </w:pPr>
            <w:r w:rsidRPr="00630E4D">
              <w:rPr>
                <w:rFonts w:ascii="Arial Narrow" w:hAnsi="Arial Narrow" w:cs="Calibri"/>
                <w:color w:val="000000"/>
                <w:sz w:val="20"/>
              </w:rPr>
              <w:t>3,707</w:t>
            </w:r>
          </w:p>
        </w:tc>
        <w:tc>
          <w:tcPr>
            <w:tcW w:w="639" w:type="pct"/>
            <w:noWrap/>
            <w:hideMark/>
          </w:tcPr>
          <w:p w14:paraId="521C3209" w14:textId="77777777" w:rsidR="005C4D5A" w:rsidRPr="00630E4D" w:rsidRDefault="005C4D5A" w:rsidP="00D106F8">
            <w:pPr>
              <w:jc w:val="center"/>
              <w:rPr>
                <w:rFonts w:ascii="Arial Narrow" w:hAnsi="Arial Narrow" w:cs="Calibri"/>
                <w:color w:val="000000"/>
                <w:sz w:val="20"/>
              </w:rPr>
            </w:pPr>
            <w:r w:rsidRPr="00630E4D">
              <w:rPr>
                <w:rFonts w:ascii="Arial Narrow" w:hAnsi="Arial Narrow" w:cs="Calibri"/>
                <w:color w:val="000000"/>
                <w:sz w:val="20"/>
              </w:rPr>
              <w:t>3,666</w:t>
            </w:r>
          </w:p>
        </w:tc>
        <w:tc>
          <w:tcPr>
            <w:tcW w:w="639" w:type="pct"/>
            <w:noWrap/>
            <w:hideMark/>
          </w:tcPr>
          <w:p w14:paraId="1EB87011" w14:textId="77777777" w:rsidR="005C4D5A" w:rsidRPr="00630E4D" w:rsidRDefault="005C4D5A" w:rsidP="00D106F8">
            <w:pPr>
              <w:jc w:val="center"/>
              <w:rPr>
                <w:rFonts w:ascii="Arial Narrow" w:hAnsi="Arial Narrow" w:cs="Calibri"/>
                <w:color w:val="000000"/>
                <w:sz w:val="20"/>
              </w:rPr>
            </w:pPr>
            <w:r w:rsidRPr="00630E4D">
              <w:rPr>
                <w:rFonts w:ascii="Arial Narrow" w:hAnsi="Arial Narrow" w:cs="Calibri"/>
                <w:color w:val="000000"/>
                <w:sz w:val="20"/>
              </w:rPr>
              <w:t>3,625</w:t>
            </w:r>
          </w:p>
        </w:tc>
      </w:tr>
      <w:tr w:rsidR="005C4D5A" w:rsidRPr="00630E4D" w14:paraId="25180DE3" w14:textId="77777777" w:rsidTr="00412BC0">
        <w:trPr>
          <w:trHeight w:val="285"/>
        </w:trPr>
        <w:tc>
          <w:tcPr>
            <w:tcW w:w="1868" w:type="pct"/>
            <w:noWrap/>
            <w:hideMark/>
          </w:tcPr>
          <w:p w14:paraId="10CDFA33" w14:textId="77777777" w:rsidR="005C4D5A" w:rsidRPr="00630E4D" w:rsidRDefault="005C4D5A" w:rsidP="00D106F8">
            <w:pPr>
              <w:rPr>
                <w:rFonts w:ascii="Arial Narrow" w:hAnsi="Arial Narrow" w:cs="Calibri"/>
                <w:color w:val="000000"/>
                <w:sz w:val="20"/>
              </w:rPr>
            </w:pPr>
            <w:r w:rsidRPr="00630E4D">
              <w:rPr>
                <w:rFonts w:ascii="Arial Narrow" w:hAnsi="Arial Narrow" w:cs="Calibri"/>
                <w:color w:val="000000"/>
                <w:sz w:val="20"/>
              </w:rPr>
              <w:t xml:space="preserve">Cost of karyotyping (assuming 85% benefit $335.36) </w:t>
            </w:r>
          </w:p>
        </w:tc>
        <w:tc>
          <w:tcPr>
            <w:tcW w:w="597" w:type="pct"/>
            <w:noWrap/>
            <w:hideMark/>
          </w:tcPr>
          <w:p w14:paraId="49043072" w14:textId="77777777" w:rsidR="005C4D5A" w:rsidRPr="00630E4D" w:rsidRDefault="005C4D5A" w:rsidP="00D106F8">
            <w:pPr>
              <w:ind w:left="-101"/>
              <w:jc w:val="center"/>
              <w:rPr>
                <w:rFonts w:ascii="Arial Narrow" w:hAnsi="Arial Narrow" w:cs="Calibri"/>
                <w:color w:val="000000"/>
                <w:sz w:val="20"/>
              </w:rPr>
            </w:pPr>
            <w:r w:rsidRPr="00630E4D">
              <w:rPr>
                <w:rFonts w:ascii="Arial Narrow" w:hAnsi="Arial Narrow" w:cs="Calibri"/>
                <w:color w:val="000000"/>
                <w:sz w:val="20"/>
              </w:rPr>
              <w:t>$1,270,679</w:t>
            </w:r>
          </w:p>
        </w:tc>
        <w:tc>
          <w:tcPr>
            <w:tcW w:w="618" w:type="pct"/>
            <w:noWrap/>
            <w:hideMark/>
          </w:tcPr>
          <w:p w14:paraId="40C36EEA" w14:textId="77777777" w:rsidR="005C4D5A" w:rsidRPr="00630E4D" w:rsidRDefault="005C4D5A" w:rsidP="00D106F8">
            <w:pPr>
              <w:ind w:left="-29"/>
              <w:jc w:val="center"/>
              <w:rPr>
                <w:rFonts w:ascii="Arial Narrow" w:hAnsi="Arial Narrow" w:cs="Calibri"/>
                <w:color w:val="000000"/>
                <w:sz w:val="20"/>
              </w:rPr>
            </w:pPr>
            <w:r w:rsidRPr="00630E4D">
              <w:rPr>
                <w:rFonts w:ascii="Arial Narrow" w:hAnsi="Arial Narrow" w:cs="Calibri"/>
                <w:color w:val="000000"/>
                <w:sz w:val="20"/>
              </w:rPr>
              <w:t>$1,256,929</w:t>
            </w:r>
          </w:p>
        </w:tc>
        <w:tc>
          <w:tcPr>
            <w:tcW w:w="639" w:type="pct"/>
            <w:noWrap/>
            <w:hideMark/>
          </w:tcPr>
          <w:p w14:paraId="2482D742" w14:textId="77777777" w:rsidR="005C4D5A" w:rsidRPr="00630E4D" w:rsidRDefault="005C4D5A" w:rsidP="00D106F8">
            <w:pPr>
              <w:ind w:left="-30"/>
              <w:jc w:val="center"/>
              <w:rPr>
                <w:rFonts w:ascii="Arial Narrow" w:hAnsi="Arial Narrow" w:cs="Calibri"/>
                <w:color w:val="000000"/>
                <w:sz w:val="20"/>
              </w:rPr>
            </w:pPr>
            <w:r w:rsidRPr="00630E4D">
              <w:rPr>
                <w:rFonts w:ascii="Arial Narrow" w:hAnsi="Arial Narrow" w:cs="Calibri"/>
                <w:color w:val="000000"/>
                <w:sz w:val="20"/>
              </w:rPr>
              <w:t>$1,243,180</w:t>
            </w:r>
          </w:p>
        </w:tc>
        <w:tc>
          <w:tcPr>
            <w:tcW w:w="639" w:type="pct"/>
            <w:noWrap/>
            <w:hideMark/>
          </w:tcPr>
          <w:p w14:paraId="4A88C70F" w14:textId="77777777" w:rsidR="005C4D5A" w:rsidRPr="00630E4D" w:rsidRDefault="005C4D5A" w:rsidP="00D106F8">
            <w:pPr>
              <w:ind w:left="-14"/>
              <w:jc w:val="center"/>
              <w:rPr>
                <w:rFonts w:ascii="Arial Narrow" w:hAnsi="Arial Narrow" w:cs="Calibri"/>
                <w:color w:val="000000"/>
                <w:sz w:val="20"/>
              </w:rPr>
            </w:pPr>
            <w:r w:rsidRPr="00630E4D">
              <w:rPr>
                <w:rFonts w:ascii="Arial Narrow" w:hAnsi="Arial Narrow" w:cs="Calibri"/>
                <w:color w:val="000000"/>
                <w:sz w:val="20"/>
              </w:rPr>
              <w:t>$1,229,430</w:t>
            </w:r>
          </w:p>
        </w:tc>
        <w:tc>
          <w:tcPr>
            <w:tcW w:w="639" w:type="pct"/>
            <w:noWrap/>
            <w:hideMark/>
          </w:tcPr>
          <w:p w14:paraId="7C495A3F" w14:textId="77777777" w:rsidR="005C4D5A" w:rsidRPr="00630E4D" w:rsidRDefault="005C4D5A" w:rsidP="00D106F8">
            <w:pPr>
              <w:ind w:left="-34"/>
              <w:jc w:val="center"/>
              <w:rPr>
                <w:rFonts w:ascii="Arial Narrow" w:hAnsi="Arial Narrow" w:cs="Calibri"/>
                <w:color w:val="000000"/>
                <w:sz w:val="20"/>
              </w:rPr>
            </w:pPr>
            <w:r w:rsidRPr="00630E4D">
              <w:rPr>
                <w:rFonts w:ascii="Arial Narrow" w:hAnsi="Arial Narrow" w:cs="Calibri"/>
                <w:color w:val="000000"/>
                <w:sz w:val="20"/>
              </w:rPr>
              <w:t>$1,215,680</w:t>
            </w:r>
          </w:p>
        </w:tc>
      </w:tr>
      <w:tr w:rsidR="005C4D5A" w:rsidRPr="00630E4D" w14:paraId="00004754" w14:textId="77777777" w:rsidTr="00412BC0">
        <w:trPr>
          <w:trHeight w:val="285"/>
        </w:trPr>
        <w:tc>
          <w:tcPr>
            <w:tcW w:w="1868" w:type="pct"/>
            <w:noWrap/>
            <w:hideMark/>
          </w:tcPr>
          <w:p w14:paraId="26D97FA1" w14:textId="77777777" w:rsidR="005C4D5A" w:rsidRPr="00630E4D" w:rsidRDefault="005C4D5A" w:rsidP="00D106F8">
            <w:pPr>
              <w:rPr>
                <w:rFonts w:ascii="Arial Narrow" w:hAnsi="Arial Narrow" w:cs="Calibri"/>
                <w:color w:val="000000"/>
                <w:sz w:val="20"/>
              </w:rPr>
            </w:pPr>
            <w:r w:rsidRPr="00630E4D">
              <w:rPr>
                <w:rFonts w:ascii="Arial Narrow" w:hAnsi="Arial Narrow" w:cs="Calibri"/>
                <w:color w:val="000000"/>
                <w:sz w:val="20"/>
              </w:rPr>
              <w:t>Cost of GWMA (assuming 85% benefit $506.50)</w:t>
            </w:r>
          </w:p>
        </w:tc>
        <w:tc>
          <w:tcPr>
            <w:tcW w:w="597" w:type="pct"/>
            <w:noWrap/>
            <w:hideMark/>
          </w:tcPr>
          <w:p w14:paraId="010205E1" w14:textId="77777777" w:rsidR="005C4D5A" w:rsidRPr="00630E4D" w:rsidRDefault="005C4D5A" w:rsidP="00D106F8">
            <w:pPr>
              <w:ind w:left="-101"/>
              <w:jc w:val="center"/>
              <w:rPr>
                <w:rFonts w:ascii="Arial Narrow" w:hAnsi="Arial Narrow" w:cs="Calibri"/>
                <w:color w:val="000000"/>
                <w:sz w:val="20"/>
              </w:rPr>
            </w:pPr>
            <w:r w:rsidRPr="00630E4D">
              <w:rPr>
                <w:rFonts w:ascii="Arial Narrow" w:hAnsi="Arial Narrow" w:cs="Calibri"/>
                <w:color w:val="000000"/>
                <w:sz w:val="20"/>
              </w:rPr>
              <w:t>$1,919,129</w:t>
            </w:r>
          </w:p>
        </w:tc>
        <w:tc>
          <w:tcPr>
            <w:tcW w:w="618" w:type="pct"/>
            <w:noWrap/>
            <w:hideMark/>
          </w:tcPr>
          <w:p w14:paraId="45A839AB" w14:textId="77777777" w:rsidR="005C4D5A" w:rsidRPr="00630E4D" w:rsidRDefault="005C4D5A" w:rsidP="00D106F8">
            <w:pPr>
              <w:ind w:left="-29"/>
              <w:jc w:val="center"/>
              <w:rPr>
                <w:rFonts w:ascii="Arial Narrow" w:hAnsi="Arial Narrow" w:cs="Calibri"/>
                <w:color w:val="000000"/>
                <w:sz w:val="20"/>
              </w:rPr>
            </w:pPr>
            <w:r w:rsidRPr="00630E4D">
              <w:rPr>
                <w:rFonts w:ascii="Arial Narrow" w:hAnsi="Arial Narrow" w:cs="Calibri"/>
                <w:color w:val="000000"/>
                <w:sz w:val="20"/>
              </w:rPr>
              <w:t>$1,898,362</w:t>
            </w:r>
          </w:p>
        </w:tc>
        <w:tc>
          <w:tcPr>
            <w:tcW w:w="639" w:type="pct"/>
            <w:noWrap/>
            <w:hideMark/>
          </w:tcPr>
          <w:p w14:paraId="61B9200C" w14:textId="77777777" w:rsidR="005C4D5A" w:rsidRPr="00630E4D" w:rsidRDefault="005C4D5A" w:rsidP="00D106F8">
            <w:pPr>
              <w:ind w:left="-30"/>
              <w:jc w:val="center"/>
              <w:rPr>
                <w:rFonts w:ascii="Arial Narrow" w:hAnsi="Arial Narrow" w:cs="Calibri"/>
                <w:color w:val="000000"/>
                <w:sz w:val="20"/>
              </w:rPr>
            </w:pPr>
            <w:r w:rsidRPr="00630E4D">
              <w:rPr>
                <w:rFonts w:ascii="Arial Narrow" w:hAnsi="Arial Narrow" w:cs="Calibri"/>
                <w:color w:val="000000"/>
                <w:sz w:val="20"/>
              </w:rPr>
              <w:t>$1,877,596</w:t>
            </w:r>
          </w:p>
        </w:tc>
        <w:tc>
          <w:tcPr>
            <w:tcW w:w="639" w:type="pct"/>
            <w:noWrap/>
            <w:hideMark/>
          </w:tcPr>
          <w:p w14:paraId="160F6A3E" w14:textId="77777777" w:rsidR="005C4D5A" w:rsidRPr="00630E4D" w:rsidRDefault="005C4D5A" w:rsidP="00D106F8">
            <w:pPr>
              <w:ind w:left="-14"/>
              <w:jc w:val="center"/>
              <w:rPr>
                <w:rFonts w:ascii="Arial Narrow" w:hAnsi="Arial Narrow" w:cs="Calibri"/>
                <w:color w:val="000000"/>
                <w:sz w:val="20"/>
              </w:rPr>
            </w:pPr>
            <w:r w:rsidRPr="00630E4D">
              <w:rPr>
                <w:rFonts w:ascii="Arial Narrow" w:hAnsi="Arial Narrow" w:cs="Calibri"/>
                <w:color w:val="000000"/>
                <w:sz w:val="20"/>
              </w:rPr>
              <w:t>$1,856,829</w:t>
            </w:r>
          </w:p>
        </w:tc>
        <w:tc>
          <w:tcPr>
            <w:tcW w:w="639" w:type="pct"/>
            <w:noWrap/>
            <w:hideMark/>
          </w:tcPr>
          <w:p w14:paraId="686B85FE" w14:textId="77777777" w:rsidR="005C4D5A" w:rsidRPr="00630E4D" w:rsidRDefault="005C4D5A" w:rsidP="00D106F8">
            <w:pPr>
              <w:ind w:left="-34"/>
              <w:jc w:val="center"/>
              <w:rPr>
                <w:rFonts w:ascii="Arial Narrow" w:hAnsi="Arial Narrow" w:cs="Calibri"/>
                <w:color w:val="000000"/>
                <w:sz w:val="20"/>
              </w:rPr>
            </w:pPr>
            <w:r w:rsidRPr="00630E4D">
              <w:rPr>
                <w:rFonts w:ascii="Arial Narrow" w:hAnsi="Arial Narrow" w:cs="Calibri"/>
                <w:color w:val="000000"/>
                <w:sz w:val="20"/>
              </w:rPr>
              <w:t>$1,836,063</w:t>
            </w:r>
          </w:p>
        </w:tc>
      </w:tr>
      <w:tr w:rsidR="005C4D5A" w:rsidRPr="00630E4D" w14:paraId="2E48E026" w14:textId="77777777" w:rsidTr="00412BC0">
        <w:trPr>
          <w:trHeight w:val="285"/>
        </w:trPr>
        <w:tc>
          <w:tcPr>
            <w:tcW w:w="1868" w:type="pct"/>
            <w:noWrap/>
            <w:hideMark/>
          </w:tcPr>
          <w:p w14:paraId="25BD2421" w14:textId="77777777" w:rsidR="005C4D5A" w:rsidRPr="00630E4D" w:rsidRDefault="005C4D5A" w:rsidP="00D106F8">
            <w:pPr>
              <w:rPr>
                <w:rFonts w:ascii="Arial Narrow" w:hAnsi="Arial Narrow" w:cs="Calibri"/>
                <w:b/>
                <w:bCs/>
                <w:color w:val="000000"/>
                <w:sz w:val="20"/>
              </w:rPr>
            </w:pPr>
            <w:r w:rsidRPr="00630E4D">
              <w:rPr>
                <w:rFonts w:ascii="Arial Narrow" w:hAnsi="Arial Narrow" w:cs="Calibri"/>
                <w:b/>
                <w:bCs/>
                <w:color w:val="000000"/>
                <w:sz w:val="20"/>
              </w:rPr>
              <w:t>Net cost to MBS</w:t>
            </w:r>
          </w:p>
        </w:tc>
        <w:tc>
          <w:tcPr>
            <w:tcW w:w="597" w:type="pct"/>
            <w:noWrap/>
            <w:hideMark/>
          </w:tcPr>
          <w:p w14:paraId="641FCBD2" w14:textId="77777777" w:rsidR="005C4D5A" w:rsidRPr="00630E4D" w:rsidRDefault="005C4D5A" w:rsidP="00D106F8">
            <w:pPr>
              <w:ind w:left="-101"/>
              <w:jc w:val="center"/>
              <w:rPr>
                <w:rFonts w:ascii="Arial Narrow" w:hAnsi="Arial Narrow" w:cs="Calibri"/>
                <w:b/>
                <w:bCs/>
                <w:color w:val="000000"/>
                <w:sz w:val="20"/>
              </w:rPr>
            </w:pPr>
            <w:r w:rsidRPr="00630E4D">
              <w:rPr>
                <w:rFonts w:ascii="Arial Narrow" w:hAnsi="Arial Narrow" w:cs="Calibri"/>
                <w:b/>
                <w:bCs/>
                <w:color w:val="000000"/>
                <w:sz w:val="20"/>
              </w:rPr>
              <w:t>$648,449</w:t>
            </w:r>
          </w:p>
        </w:tc>
        <w:tc>
          <w:tcPr>
            <w:tcW w:w="618" w:type="pct"/>
            <w:noWrap/>
            <w:hideMark/>
          </w:tcPr>
          <w:p w14:paraId="32DB2A01" w14:textId="77777777" w:rsidR="005C4D5A" w:rsidRPr="00630E4D" w:rsidRDefault="005C4D5A" w:rsidP="00D106F8">
            <w:pPr>
              <w:ind w:left="-29"/>
              <w:jc w:val="center"/>
              <w:rPr>
                <w:rFonts w:ascii="Arial Narrow" w:hAnsi="Arial Narrow" w:cs="Calibri"/>
                <w:b/>
                <w:bCs/>
                <w:color w:val="000000"/>
                <w:sz w:val="20"/>
              </w:rPr>
            </w:pPr>
            <w:r w:rsidRPr="00630E4D">
              <w:rPr>
                <w:rFonts w:ascii="Arial Narrow" w:hAnsi="Arial Narrow" w:cs="Calibri"/>
                <w:b/>
                <w:bCs/>
                <w:color w:val="000000"/>
                <w:sz w:val="20"/>
              </w:rPr>
              <w:t>$641,433</w:t>
            </w:r>
          </w:p>
        </w:tc>
        <w:tc>
          <w:tcPr>
            <w:tcW w:w="639" w:type="pct"/>
            <w:noWrap/>
            <w:hideMark/>
          </w:tcPr>
          <w:p w14:paraId="1CE745BA" w14:textId="77777777" w:rsidR="005C4D5A" w:rsidRPr="00630E4D" w:rsidRDefault="005C4D5A" w:rsidP="00D106F8">
            <w:pPr>
              <w:ind w:left="-30"/>
              <w:jc w:val="center"/>
              <w:rPr>
                <w:rFonts w:ascii="Arial Narrow" w:hAnsi="Arial Narrow" w:cs="Calibri"/>
                <w:b/>
                <w:bCs/>
                <w:color w:val="000000"/>
                <w:sz w:val="20"/>
              </w:rPr>
            </w:pPr>
            <w:r w:rsidRPr="00630E4D">
              <w:rPr>
                <w:rFonts w:ascii="Arial Narrow" w:hAnsi="Arial Narrow" w:cs="Calibri"/>
                <w:b/>
                <w:bCs/>
                <w:color w:val="000000"/>
                <w:sz w:val="20"/>
              </w:rPr>
              <w:t>$634,416</w:t>
            </w:r>
          </w:p>
        </w:tc>
        <w:tc>
          <w:tcPr>
            <w:tcW w:w="639" w:type="pct"/>
            <w:noWrap/>
            <w:hideMark/>
          </w:tcPr>
          <w:p w14:paraId="6F6AB07B" w14:textId="77777777" w:rsidR="005C4D5A" w:rsidRPr="00630E4D" w:rsidRDefault="005C4D5A" w:rsidP="00D106F8">
            <w:pPr>
              <w:ind w:left="-14"/>
              <w:jc w:val="center"/>
              <w:rPr>
                <w:rFonts w:ascii="Arial Narrow" w:hAnsi="Arial Narrow" w:cs="Calibri"/>
                <w:b/>
                <w:bCs/>
                <w:color w:val="000000"/>
                <w:sz w:val="20"/>
              </w:rPr>
            </w:pPr>
            <w:r w:rsidRPr="00630E4D">
              <w:rPr>
                <w:rFonts w:ascii="Arial Narrow" w:hAnsi="Arial Narrow" w:cs="Calibri"/>
                <w:b/>
                <w:bCs/>
                <w:color w:val="000000"/>
                <w:sz w:val="20"/>
              </w:rPr>
              <w:t>$627,399</w:t>
            </w:r>
          </w:p>
        </w:tc>
        <w:tc>
          <w:tcPr>
            <w:tcW w:w="639" w:type="pct"/>
            <w:noWrap/>
            <w:hideMark/>
          </w:tcPr>
          <w:p w14:paraId="6B015C90" w14:textId="77777777" w:rsidR="005C4D5A" w:rsidRPr="00630E4D" w:rsidRDefault="005C4D5A" w:rsidP="00D106F8">
            <w:pPr>
              <w:ind w:left="-34"/>
              <w:jc w:val="center"/>
              <w:rPr>
                <w:rFonts w:ascii="Arial Narrow" w:hAnsi="Arial Narrow" w:cs="Calibri"/>
                <w:b/>
                <w:bCs/>
                <w:color w:val="000000"/>
                <w:sz w:val="20"/>
              </w:rPr>
            </w:pPr>
            <w:r w:rsidRPr="00630E4D">
              <w:rPr>
                <w:rFonts w:ascii="Arial Narrow" w:hAnsi="Arial Narrow" w:cs="Calibri"/>
                <w:b/>
                <w:bCs/>
                <w:color w:val="000000"/>
                <w:sz w:val="20"/>
              </w:rPr>
              <w:t>$620,383</w:t>
            </w:r>
          </w:p>
        </w:tc>
      </w:tr>
    </w:tbl>
    <w:p w14:paraId="3CCBD192" w14:textId="77777777" w:rsidR="005C4D5A" w:rsidRPr="00630E4D" w:rsidRDefault="005C4D5A" w:rsidP="005C4D5A">
      <w:pPr>
        <w:pStyle w:val="Tablecaption"/>
        <w:rPr>
          <w:sz w:val="18"/>
        </w:rPr>
      </w:pPr>
      <w:r w:rsidRPr="00630E4D">
        <w:rPr>
          <w:sz w:val="18"/>
        </w:rPr>
        <w:t>Source; calculated during evaluation (Table 11 of the Critique)</w:t>
      </w:r>
    </w:p>
    <w:p w14:paraId="07B082C6" w14:textId="56AAAA4A" w:rsidR="0044440E" w:rsidRDefault="005C4D5A" w:rsidP="008772BC">
      <w:pPr>
        <w:pStyle w:val="Tablecaption"/>
        <w:keepNext w:val="0"/>
        <w:keepLines w:val="0"/>
        <w:rPr>
          <w:sz w:val="18"/>
        </w:rPr>
      </w:pPr>
      <w:r w:rsidRPr="00A73CC2">
        <w:rPr>
          <w:sz w:val="18"/>
          <w:vertAlign w:val="superscript"/>
        </w:rPr>
        <w:t xml:space="preserve">a </w:t>
      </w:r>
      <w:r w:rsidRPr="00A73CC2">
        <w:rPr>
          <w:sz w:val="18"/>
        </w:rPr>
        <w:t>Number of amniocentesis (MBS item 16600) and</w:t>
      </w:r>
      <w:r>
        <w:rPr>
          <w:sz w:val="18"/>
        </w:rPr>
        <w:t xml:space="preserve"> number of CVS (MBS item 16603)</w:t>
      </w:r>
      <w:r w:rsidR="0044440E">
        <w:rPr>
          <w:sz w:val="18"/>
        </w:rPr>
        <w:br w:type="page"/>
      </w:r>
    </w:p>
    <w:p w14:paraId="404C7079" w14:textId="77777777" w:rsidR="001D42B7" w:rsidRPr="00972B87" w:rsidRDefault="005028BF" w:rsidP="001D42B7">
      <w:pPr>
        <w:pStyle w:val="Heading1"/>
      </w:pPr>
      <w:r w:rsidRPr="00F715D1">
        <w:t>Key issues from ESC for MSAC</w:t>
      </w:r>
    </w:p>
    <w:tbl>
      <w:tblPr>
        <w:tblStyle w:val="TableGrid"/>
        <w:tblW w:w="0" w:type="auto"/>
        <w:tblCellMar>
          <w:left w:w="28" w:type="dxa"/>
          <w:right w:w="28" w:type="dxa"/>
        </w:tblCellMar>
        <w:tblLook w:val="04A0" w:firstRow="1" w:lastRow="0" w:firstColumn="1" w:lastColumn="0" w:noHBand="0" w:noVBand="1"/>
        <w:tblCaption w:val="Key issues from ESC for MSAC"/>
        <w:tblDescription w:val="Summary of ESC issues to MSAC"/>
      </w:tblPr>
      <w:tblGrid>
        <w:gridCol w:w="1696"/>
        <w:gridCol w:w="7320"/>
      </w:tblGrid>
      <w:tr w:rsidR="001D42B7" w:rsidRPr="001D42B7" w14:paraId="799BBF34" w14:textId="77777777" w:rsidTr="00D106F8">
        <w:trPr>
          <w:tblHeader/>
        </w:trPr>
        <w:tc>
          <w:tcPr>
            <w:tcW w:w="1696" w:type="dxa"/>
          </w:tcPr>
          <w:p w14:paraId="4F83B756" w14:textId="77777777" w:rsidR="001D42B7" w:rsidRPr="001D42B7" w:rsidRDefault="001D42B7" w:rsidP="00D106F8">
            <w:pPr>
              <w:pStyle w:val="TableHeading"/>
              <w:keepNext w:val="0"/>
              <w:widowControl w:val="0"/>
              <w:rPr>
                <w:rFonts w:cs="Times New Roman"/>
              </w:rPr>
            </w:pPr>
            <w:r w:rsidRPr="001D42B7">
              <w:rPr>
                <w:rFonts w:cs="Times New Roman"/>
              </w:rPr>
              <w:t>ESC key issue</w:t>
            </w:r>
          </w:p>
        </w:tc>
        <w:tc>
          <w:tcPr>
            <w:tcW w:w="7320" w:type="dxa"/>
          </w:tcPr>
          <w:p w14:paraId="0B1D2EDE" w14:textId="77777777" w:rsidR="001D42B7" w:rsidRPr="001D42B7" w:rsidRDefault="001D42B7" w:rsidP="00D106F8">
            <w:pPr>
              <w:pStyle w:val="TableHeading"/>
              <w:keepNext w:val="0"/>
              <w:widowControl w:val="0"/>
              <w:rPr>
                <w:rFonts w:cs="Times New Roman"/>
              </w:rPr>
            </w:pPr>
            <w:r w:rsidRPr="001D42B7">
              <w:rPr>
                <w:rFonts w:cs="Times New Roman"/>
              </w:rPr>
              <w:t>ESC advice to MSAC</w:t>
            </w:r>
          </w:p>
        </w:tc>
      </w:tr>
      <w:tr w:rsidR="001D42B7" w:rsidRPr="001D42B7" w14:paraId="4A9DD032" w14:textId="77777777" w:rsidTr="00D106F8">
        <w:tc>
          <w:tcPr>
            <w:tcW w:w="1696" w:type="dxa"/>
          </w:tcPr>
          <w:p w14:paraId="670335CF"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Diagnostic accuracy</w:t>
            </w:r>
          </w:p>
        </w:tc>
        <w:tc>
          <w:tcPr>
            <w:tcW w:w="7320" w:type="dxa"/>
          </w:tcPr>
          <w:p w14:paraId="01343339"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Genome-wide microarray (GWMA) testing appears to be more accurate than karyotyping, but this is based on low-level and poor-quality evidence. Currently, Australians are paying out-of-pocket for GWMA testing due to its inclusion in Australian and international guidelines, which raises access issues.</w:t>
            </w:r>
          </w:p>
        </w:tc>
      </w:tr>
      <w:tr w:rsidR="001D42B7" w:rsidRPr="001D42B7" w14:paraId="2D95A78A" w14:textId="77777777" w:rsidTr="00D106F8">
        <w:tc>
          <w:tcPr>
            <w:tcW w:w="1696" w:type="dxa"/>
          </w:tcPr>
          <w:p w14:paraId="2348FABD"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 xml:space="preserve">Clinical utility </w:t>
            </w:r>
          </w:p>
        </w:tc>
        <w:tc>
          <w:tcPr>
            <w:tcW w:w="7320" w:type="dxa"/>
          </w:tcPr>
          <w:p w14:paraId="41C7EB2B"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The incremental value of GWMA compared with finding ≥ 1 ‘major fetal structural abnormality’ on ultrasound in deciding pregnancy outcome has not been established. This had implications to the economics (see below).</w:t>
            </w:r>
          </w:p>
        </w:tc>
      </w:tr>
      <w:tr w:rsidR="001D42B7" w:rsidRPr="001D42B7" w14:paraId="2DE78800" w14:textId="77777777" w:rsidTr="00D106F8">
        <w:tc>
          <w:tcPr>
            <w:tcW w:w="1696" w:type="dxa"/>
          </w:tcPr>
          <w:p w14:paraId="61492795"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Cost-effectiveness not informative</w:t>
            </w:r>
          </w:p>
        </w:tc>
        <w:tc>
          <w:tcPr>
            <w:tcW w:w="7320" w:type="dxa"/>
          </w:tcPr>
          <w:p w14:paraId="4E805FC9" w14:textId="227B983D" w:rsidR="001D42B7" w:rsidRPr="001D42B7" w:rsidRDefault="001D42B7" w:rsidP="00010C0F">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 xml:space="preserve">ESC also noted the revised economic model in the Rejoinder was more appropriate using sensitivity and specificity of the test (which considers false negatives and false positives), rather than diagnostic yield in the original base case of the Contracted Assessment. </w:t>
            </w:r>
            <w:r w:rsidRPr="001D42B7">
              <w:rPr>
                <w:rFonts w:ascii="Arial Narrow" w:hAnsi="Arial Narrow" w:cs="Times New Roman"/>
                <w:sz w:val="20"/>
                <w:szCs w:val="20"/>
                <w:u w:val="single"/>
              </w:rPr>
              <w:t>However</w:t>
            </w:r>
            <w:r w:rsidRPr="001D42B7">
              <w:rPr>
                <w:rFonts w:ascii="Arial Narrow" w:hAnsi="Arial Narrow" w:cs="Times New Roman"/>
                <w:sz w:val="20"/>
                <w:szCs w:val="20"/>
              </w:rPr>
              <w:t>, the current economic model was not considered informative as it did not capture the change in clinical management or health outcomes associated with addition of GWMA test (e.g. cause for abnormality/ies and decision for termination of pregnancy).</w:t>
            </w:r>
          </w:p>
        </w:tc>
      </w:tr>
      <w:tr w:rsidR="001D42B7" w:rsidRPr="001D42B7" w14:paraId="111547C0" w14:textId="77777777" w:rsidTr="00D106F8">
        <w:tc>
          <w:tcPr>
            <w:tcW w:w="1696" w:type="dxa"/>
          </w:tcPr>
          <w:p w14:paraId="265923A5"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Comparator, replaced by or added to GWMA?</w:t>
            </w:r>
          </w:p>
        </w:tc>
        <w:tc>
          <w:tcPr>
            <w:tcW w:w="7320" w:type="dxa"/>
          </w:tcPr>
          <w:p w14:paraId="44B93AE5"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The CA assumed that karyotyping would be 1:1 replaced by GWMA. However, if GWMA and karyotype testing are used as complementary tests (e.g. sequential testing in any cases), this will increase cost of testing and have flow-on effects to the economic model and financial estimates (not considered in estimates).</w:t>
            </w:r>
          </w:p>
        </w:tc>
      </w:tr>
      <w:tr w:rsidR="001D42B7" w:rsidRPr="001D42B7" w14:paraId="4FFD0CE3" w14:textId="77777777" w:rsidTr="00D106F8">
        <w:tc>
          <w:tcPr>
            <w:tcW w:w="1696" w:type="dxa"/>
          </w:tcPr>
          <w:p w14:paraId="786E3B15"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Descriptor</w:t>
            </w:r>
          </w:p>
        </w:tc>
        <w:tc>
          <w:tcPr>
            <w:tcW w:w="7320" w:type="dxa"/>
          </w:tcPr>
          <w:p w14:paraId="37DD8685"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Several descriptor issues remain:</w:t>
            </w:r>
          </w:p>
          <w:p w14:paraId="487E79C0"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How should ‘major structural abnormality’ be defined?</w:t>
            </w:r>
          </w:p>
          <w:p w14:paraId="3711A7FF"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Should abnormalities associated with major abnormalities, such as nuchal translucency, be excluded in the definition?</w:t>
            </w:r>
          </w:p>
          <w:p w14:paraId="3B66B508"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Should other forms of antenatal imaging other than just ultrasound be included in the item descriptor, as diagnostic MRI may be required to confirm US findings?</w:t>
            </w:r>
          </w:p>
          <w:p w14:paraId="6E3BD41D"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Should we exclude cell-free fetal DNA from the sample?</w:t>
            </w:r>
          </w:p>
          <w:p w14:paraId="08453F12" w14:textId="77777777" w:rsidR="001D42B7" w:rsidRPr="001D42B7" w:rsidRDefault="001D42B7" w:rsidP="00D106F8">
            <w:pPr>
              <w:pStyle w:val="TableBullet"/>
              <w:rPr>
                <w:rFonts w:ascii="Arial Narrow" w:hAnsi="Arial Narrow" w:cs="Times New Roman"/>
                <w:sz w:val="20"/>
                <w:szCs w:val="20"/>
              </w:rPr>
            </w:pPr>
            <w:r w:rsidRPr="001D42B7">
              <w:rPr>
                <w:rFonts w:ascii="Arial Narrow" w:hAnsi="Arial Narrow" w:cs="Times New Roman"/>
                <w:sz w:val="20"/>
                <w:szCs w:val="20"/>
              </w:rPr>
              <w:t xml:space="preserve">Should the descriptor prevent use of GWMA </w:t>
            </w:r>
            <w:r w:rsidRPr="001D42B7">
              <w:rPr>
                <w:rFonts w:ascii="Arial Narrow" w:hAnsi="Arial Narrow" w:cs="Times New Roman"/>
                <w:i/>
                <w:sz w:val="20"/>
                <w:szCs w:val="20"/>
              </w:rPr>
              <w:t>plus</w:t>
            </w:r>
            <w:r w:rsidRPr="001D42B7">
              <w:rPr>
                <w:rFonts w:ascii="Arial Narrow" w:hAnsi="Arial Narrow" w:cs="Times New Roman"/>
                <w:sz w:val="20"/>
                <w:szCs w:val="20"/>
              </w:rPr>
              <w:t xml:space="preserve"> karyotyping?</w:t>
            </w:r>
          </w:p>
          <w:p w14:paraId="6391439E"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Should there be a limit on the number of tests per fetus? If GWMA is used more than once per fetus, this will increase the costs of the testing.</w:t>
            </w:r>
          </w:p>
          <w:p w14:paraId="56DBF96F" w14:textId="77777777" w:rsidR="001D42B7" w:rsidRPr="001D42B7" w:rsidRDefault="001D42B7" w:rsidP="00D106F8">
            <w:pPr>
              <w:pStyle w:val="TableBullet"/>
              <w:keepNext w:val="0"/>
              <w:widowControl w:val="0"/>
              <w:rPr>
                <w:rFonts w:ascii="Arial Narrow" w:hAnsi="Arial Narrow" w:cs="Times New Roman"/>
                <w:sz w:val="20"/>
                <w:szCs w:val="20"/>
              </w:rPr>
            </w:pPr>
            <w:r w:rsidRPr="001D42B7">
              <w:rPr>
                <w:rFonts w:ascii="Arial Narrow" w:hAnsi="Arial Narrow" w:cs="Times New Roman"/>
                <w:sz w:val="20"/>
                <w:szCs w:val="20"/>
              </w:rPr>
              <w:t>Should the descriptor specify the platform of GWMA to be used? Are any additional tests required.</w:t>
            </w:r>
          </w:p>
        </w:tc>
      </w:tr>
      <w:tr w:rsidR="001D42B7" w:rsidRPr="001D42B7" w14:paraId="0470AC73" w14:textId="77777777" w:rsidTr="00D106F8">
        <w:tc>
          <w:tcPr>
            <w:tcW w:w="1696" w:type="dxa"/>
          </w:tcPr>
          <w:p w14:paraId="39E43A14"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Variants of unknown significance (VUS)</w:t>
            </w:r>
          </w:p>
        </w:tc>
        <w:tc>
          <w:tcPr>
            <w:tcW w:w="7320" w:type="dxa"/>
          </w:tcPr>
          <w:p w14:paraId="0394F466" w14:textId="77777777" w:rsidR="001D42B7" w:rsidRPr="001D42B7" w:rsidRDefault="001D42B7" w:rsidP="00D106F8">
            <w:pPr>
              <w:pStyle w:val="TableText"/>
              <w:keepNext w:val="0"/>
              <w:widowControl w:val="0"/>
              <w:rPr>
                <w:rFonts w:ascii="Arial Narrow" w:hAnsi="Arial Narrow" w:cs="Times New Roman"/>
                <w:sz w:val="20"/>
                <w:szCs w:val="20"/>
              </w:rPr>
            </w:pPr>
            <w:r w:rsidRPr="001D42B7">
              <w:rPr>
                <w:rFonts w:ascii="Arial Narrow" w:hAnsi="Arial Narrow" w:cs="Times New Roman"/>
                <w:sz w:val="20"/>
                <w:szCs w:val="20"/>
              </w:rPr>
              <w:t>The CA did not specify whether VUS will be reported. Additional costs may be incurred if VUS are pathogenic or likely pathogenic. In addition, more in-depth counselling, and parent testing/re-testing may be required if VUS are reported.</w:t>
            </w:r>
          </w:p>
        </w:tc>
      </w:tr>
    </w:tbl>
    <w:p w14:paraId="26486E80" w14:textId="13C27A0A" w:rsidR="001D42B7" w:rsidRPr="0004523B" w:rsidRDefault="001D42B7" w:rsidP="008772BC">
      <w:pPr>
        <w:pStyle w:val="Heading2"/>
        <w:spacing w:before="240" w:after="120"/>
        <w:rPr>
          <w:b/>
          <w:i w:val="0"/>
        </w:rPr>
      </w:pPr>
      <w:r w:rsidRPr="0004523B">
        <w:rPr>
          <w:b/>
          <w:i w:val="0"/>
        </w:rPr>
        <w:t>ESC discussion</w:t>
      </w:r>
    </w:p>
    <w:p w14:paraId="4B780109" w14:textId="41E9656B" w:rsidR="001D42B7" w:rsidRDefault="001D42B7" w:rsidP="008772BC">
      <w:pPr>
        <w:spacing w:after="240"/>
      </w:pPr>
      <w:r>
        <w:t xml:space="preserve">ESC noted some uncertainties around the MBS item descriptor. ‘Major fetal structural abnormality is not defined, and ESC queried whether this should exclude ultrasound findings such as nuchal translucency of &gt;3.5 mm as this is not </w:t>
      </w:r>
      <w:r w:rsidR="00D81E7B">
        <w:t xml:space="preserve">in itself </w:t>
      </w:r>
      <w:r>
        <w:t>a major abnormality but a</w:t>
      </w:r>
      <w:r w:rsidR="00D81E7B">
        <w:t>n</w:t>
      </w:r>
      <w:r>
        <w:t xml:space="preserve"> antenatal sign associated with trisomies and other congenital abnormalities. </w:t>
      </w:r>
      <w:r w:rsidR="00D81E7B">
        <w:t xml:space="preserve">The nuchal translucency is measured early in the pregnancy (10 to 12 weeks) at which time the fetus is so </w:t>
      </w:r>
      <w:r w:rsidR="003335A2">
        <w:t>immature</w:t>
      </w:r>
      <w:r w:rsidR="00D81E7B">
        <w:t xml:space="preserve"> that most major structural abnormalities are not yet apparent. </w:t>
      </w:r>
      <w:r>
        <w:t>A potential definition of “major fetal abnormality” is: “</w:t>
      </w:r>
      <w:r w:rsidRPr="00C441A8">
        <w:t xml:space="preserve">An anatomical structural variant which is known to: be </w:t>
      </w:r>
      <w:r>
        <w:t xml:space="preserve">potentially </w:t>
      </w:r>
      <w:r w:rsidRPr="00C441A8">
        <w:t>lethal, be known to be associated with significant impairment of nor</w:t>
      </w:r>
      <w:r>
        <w:t>mal function of organ(s), or</w:t>
      </w:r>
      <w:r w:rsidRPr="00C441A8">
        <w:t xml:space="preserve"> be associated with significant long-term handicap</w:t>
      </w:r>
      <w:r>
        <w:t>.</w:t>
      </w:r>
      <w:r w:rsidRPr="00C441A8">
        <w:t>”</w:t>
      </w:r>
    </w:p>
    <w:p w14:paraId="2373B756" w14:textId="4E71B95B" w:rsidR="001D42B7" w:rsidRDefault="001D42B7" w:rsidP="008772BC">
      <w:pPr>
        <w:spacing w:after="240"/>
      </w:pPr>
      <w:r>
        <w:t xml:space="preserve">ESC also queried whether cell-free fetal </w:t>
      </w:r>
      <w:r w:rsidRPr="008E5D70">
        <w:t xml:space="preserve">deoxyribonucleic acid </w:t>
      </w:r>
      <w:r>
        <w:t xml:space="preserve">(cffDNA) should be excluded from being used as a source of fetal DNA, as the Contracted Assessment </w:t>
      </w:r>
      <w:r w:rsidR="00010C0F">
        <w:t xml:space="preserve">(CA) </w:t>
      </w:r>
      <w:r>
        <w:t>did not consider cffDNA.</w:t>
      </w:r>
    </w:p>
    <w:p w14:paraId="11C976AD" w14:textId="31F1DDC1" w:rsidR="001D42B7" w:rsidRDefault="001D42B7" w:rsidP="008772BC">
      <w:pPr>
        <w:spacing w:after="240"/>
      </w:pPr>
      <w:r>
        <w:t>ESC considered whether the item descriptor should specify the platform to be used for g</w:t>
      </w:r>
      <w:r w:rsidRPr="00FF04CA">
        <w:t xml:space="preserve">enome-wide microarray </w:t>
      </w:r>
      <w:r>
        <w:t>(GWMA), such as comparative genomic hybridisation arrays and single nucleotide polymorphism (SNP) arrays. These platforms have different resolutions, turnaround times, ability to detect VUS and costs compared with karyotyping, which would affect other aspects of the application. For example, ESC noted that some platforms might require sex-matched controls, and queried whether other complementary tests would then be required, such as fetal sex determination. Alternatively, the laboratory could use XY DNA as a control; however, this could miss aneuploidies on the sex chromosomes, and thus could not report – for example – a diagnosis of a fetus with Turner syndrome (monosomy XO). ESC noted that using SNP arrays would address some of these issues.</w:t>
      </w:r>
    </w:p>
    <w:p w14:paraId="71D0E073" w14:textId="208B051C" w:rsidR="001D42B7" w:rsidRDefault="001D42B7" w:rsidP="008772BC">
      <w:pPr>
        <w:spacing w:after="240"/>
      </w:pPr>
      <w:r>
        <w:t xml:space="preserve">ESC suggested that the </w:t>
      </w:r>
      <w:r w:rsidR="00AF4D91">
        <w:t>a</w:t>
      </w:r>
      <w:r>
        <w:t>pplicant could provide further advice on these item descriptor issues in its pre-MSAC response.</w:t>
      </w:r>
    </w:p>
    <w:p w14:paraId="238C46BA" w14:textId="5D4E96F8" w:rsidR="001D42B7" w:rsidRDefault="001D42B7" w:rsidP="008772BC">
      <w:pPr>
        <w:spacing w:after="240"/>
      </w:pPr>
      <w:r>
        <w:t>ESC discussed that if a pregnancy continues, severe structural abnormalities diagnosed antenatally may be further characterised postnatally in terms of diagnosis, prognosis and therapeutic options, including the use of genetic testing. This provides clinicians with accurate information to inform the management of other pregnancies with similar antenatal findings.</w:t>
      </w:r>
    </w:p>
    <w:p w14:paraId="342C5B7A" w14:textId="7818CFFD" w:rsidR="001D42B7" w:rsidRDefault="001D42B7" w:rsidP="008772BC">
      <w:pPr>
        <w:spacing w:after="240"/>
      </w:pPr>
      <w:r>
        <w:t xml:space="preserve">ESC noted that the CA did not consider </w:t>
      </w:r>
      <w:r w:rsidRPr="00630E4D">
        <w:t>variants of unknown significance (</w:t>
      </w:r>
      <w:r>
        <w:t>VUS) or detection of an unsolicited pathogenic mutation (e.g. </w:t>
      </w:r>
      <w:r w:rsidRPr="006E69B2">
        <w:rPr>
          <w:i/>
          <w:iCs/>
        </w:rPr>
        <w:t>BRCA</w:t>
      </w:r>
      <w:r>
        <w:t>). The model assumes that VUS are not pathogenic, but a</w:t>
      </w:r>
      <w:r w:rsidRPr="00F10AB6">
        <w:t>dditional costs may be incurred if</w:t>
      </w:r>
      <w:r>
        <w:t xml:space="preserve"> patients with</w:t>
      </w:r>
      <w:r w:rsidRPr="00F10AB6">
        <w:t xml:space="preserve"> </w:t>
      </w:r>
      <w:r>
        <w:t>VUS</w:t>
      </w:r>
      <w:r w:rsidRPr="00F10AB6">
        <w:t xml:space="preserve"> are</w:t>
      </w:r>
      <w:r>
        <w:t xml:space="preserve"> re-tested</w:t>
      </w:r>
      <w:r w:rsidR="00ED2445">
        <w:t xml:space="preserve"> postnatally</w:t>
      </w:r>
      <w:r w:rsidRPr="00F10AB6">
        <w:t xml:space="preserve">. In addition, more in-depth </w:t>
      </w:r>
      <w:r>
        <w:t xml:space="preserve">genetic </w:t>
      </w:r>
      <w:r w:rsidRPr="00F10AB6">
        <w:t xml:space="preserve">counselling and parent testing/re-testing </w:t>
      </w:r>
      <w:r>
        <w:t>will</w:t>
      </w:r>
      <w:r w:rsidRPr="00F10AB6">
        <w:t xml:space="preserve"> be required </w:t>
      </w:r>
      <w:r>
        <w:t>where</w:t>
      </w:r>
      <w:r w:rsidRPr="00F10AB6">
        <w:t xml:space="preserve"> </w:t>
      </w:r>
      <w:r>
        <w:t>VUS</w:t>
      </w:r>
      <w:r w:rsidRPr="00F10AB6">
        <w:t xml:space="preserve"> are reported.</w:t>
      </w:r>
      <w:r>
        <w:t xml:space="preserve"> ESC noted that the Rejoinder stated that the mandated reporting of VUS is outside the scope of the CA.</w:t>
      </w:r>
      <w:r w:rsidR="00ED2445">
        <w:t xml:space="preserve"> Most laboratories are conservative in their reporting of VUS in the prenatal setting and may choose not to report.</w:t>
      </w:r>
    </w:p>
    <w:p w14:paraId="2E291250" w14:textId="732766F0" w:rsidR="001D42B7" w:rsidRDefault="001D42B7" w:rsidP="008772BC">
      <w:pPr>
        <w:spacing w:after="240"/>
      </w:pPr>
      <w:r>
        <w:t>ESC queried whether some of these issues regarding the item descriptor and VUS were adequately covered under MBS item 73292 as part of the accreditation and quality assurance requirements.</w:t>
      </w:r>
    </w:p>
    <w:p w14:paraId="17CE6803" w14:textId="1A1347E2" w:rsidR="0063613B" w:rsidRDefault="001D42B7" w:rsidP="008772BC">
      <w:pPr>
        <w:spacing w:after="240"/>
      </w:pPr>
      <w:r>
        <w:t>ESC noted that if GWMA is used more than once per fetus, this would increase the costs of testing.</w:t>
      </w:r>
      <w:r w:rsidR="00ED2445">
        <w:t xml:space="preserve"> There is no evidence base for testing more than once </w:t>
      </w:r>
      <w:r w:rsidR="003335A2">
        <w:t xml:space="preserve">per fetus </w:t>
      </w:r>
      <w:r w:rsidR="00ED2445">
        <w:t>in a pregnancy.</w:t>
      </w:r>
    </w:p>
    <w:p w14:paraId="43620841" w14:textId="34CB307B" w:rsidR="001D42B7" w:rsidRDefault="001D42B7" w:rsidP="008772BC">
      <w:pPr>
        <w:spacing w:after="240"/>
      </w:pPr>
      <w:r>
        <w:t xml:space="preserve">ESC noted that the </w:t>
      </w:r>
      <w:r w:rsidR="00AF4D91">
        <w:t>a</w:t>
      </w:r>
      <w:r>
        <w:t xml:space="preserve">pplicant’s claim of superiority for </w:t>
      </w:r>
      <w:r w:rsidRPr="00147BE2">
        <w:t>GWMA</w:t>
      </w:r>
      <w:r>
        <w:t xml:space="preserve"> testing compared with karyotyping was based on low-level and poor-quality evidence. ESC agreed with the Critique that the diagnostic accuracy of GWMA appeared to be different than karyotyping, but not necessarily superior. This supports the idea that GWMA complements, rather than replaces, karyotyping. ESC agreed with the Critique that GWMA could be used with karyotyping, which would affect the economics and financials and should be addressed.</w:t>
      </w:r>
    </w:p>
    <w:p w14:paraId="0DF3676D" w14:textId="34FC5FA8" w:rsidR="001D42B7" w:rsidRDefault="001D42B7" w:rsidP="008772BC">
      <w:pPr>
        <w:spacing w:after="240"/>
      </w:pPr>
      <w:r>
        <w:t>ESC also noted the revised economic model in the Rejoinder to the Critique was more appropriate using sensitivity and specificity of the test (which considers false negatives and false positives), rather than diagnostic yield in the original base case of the CA.</w:t>
      </w:r>
    </w:p>
    <w:p w14:paraId="4546A0FF" w14:textId="1487D873" w:rsidR="001D42B7" w:rsidRDefault="001D42B7" w:rsidP="001D42B7">
      <w:r>
        <w:t xml:space="preserve">However, ESC noted the lack of evidence around how GWMA (or karyotype) results will affect the decision for termination of pregnancy (ToP) compared with ToP based on the finding of one or more major fetal abnormalities on ultrasound. This uncertainty flowed on into the economics as the current models did not capture the clinical utility of the test </w:t>
      </w:r>
      <w:r w:rsidRPr="007C7C9D">
        <w:t>(e.g. how tests results will affect</w:t>
      </w:r>
      <w:r>
        <w:t xml:space="preserve"> clinical management and subsequent</w:t>
      </w:r>
      <w:r w:rsidRPr="007C7C9D">
        <w:t xml:space="preserve"> p</w:t>
      </w:r>
      <w:r>
        <w:t>regnancy outcomes [e.g. ToP rates]), which meant the results of the economic model were not informative. Similarly, the impact on the need for pre-implantation genomic diagnosis in assisting future pregnancy choices following a genetic diagnosis with risk of recurrence also needs to be addressed.</w:t>
      </w:r>
    </w:p>
    <w:p w14:paraId="77F33D42" w14:textId="544F4D7F" w:rsidR="001D42B7" w:rsidRDefault="001D42B7" w:rsidP="008772BC">
      <w:pPr>
        <w:spacing w:after="240"/>
      </w:pPr>
      <w:r>
        <w:t>ESC discussed the access to appropriate pregnancy management for a woman whose fetus has a major structural abnormality in the context of the addition of GWMA testing. ESC noted that, where a fetus has a major structural abnormality, the pregnancy is currently typically managed through a tertiary fetal management unit which includes, but is not limited to, access to specialist obstetricians, neonatologists, surgeons, cardiologists or clinical geneticists. This was not appropriately captured in the economics.</w:t>
      </w:r>
    </w:p>
    <w:p w14:paraId="1D37CFC6" w14:textId="513CCCBC" w:rsidR="001D42B7" w:rsidRDefault="001D42B7" w:rsidP="008772BC">
      <w:pPr>
        <w:spacing w:after="240"/>
      </w:pPr>
      <w:r>
        <w:t>ESC queried the decision to assume that all confirmed abnormalities will lead to an increased difficulty of delivery compared to a fetus without a major structural anomaly. The assessment did not account for the need for specialist neonatal care immediately at, or beyond delivery, nor did the model account for the medical costs of care for infants with major congenital malformations, all which could be significant because resource use is a key driver of the model.</w:t>
      </w:r>
      <w:r w:rsidRPr="00482197">
        <w:t xml:space="preserve"> </w:t>
      </w:r>
      <w:r>
        <w:t>However, ESC noted this term ‘complex delivery’ is not correct in this context. ESC also queried the decision to remove the costs of post-delivery care of the infant and anticipated lifespan, depending on the syndrome diagnosed, from the revised model, and considered that these should be factored in.</w:t>
      </w:r>
    </w:p>
    <w:p w14:paraId="012A9E53" w14:textId="77777777" w:rsidR="001D42B7" w:rsidRPr="006E69B2" w:rsidRDefault="001D42B7" w:rsidP="001D42B7">
      <w:r>
        <w:t>ESC noted the consumer issues raised for the application including: parental anxiety with test results; uncertain results impacting decision making regarding termination; requirements of parental counselling and if further counselling is required after a decision is made; workforce supply of genetic counsellors in Australia; and equity of access issue as rural /remote patients may have trouble accessing all services related to the test.</w:t>
      </w:r>
    </w:p>
    <w:p w14:paraId="5B087CE4" w14:textId="77777777" w:rsidR="005028BF" w:rsidRPr="00F715D1" w:rsidRDefault="005028BF" w:rsidP="005028BF">
      <w:pPr>
        <w:pStyle w:val="Heading1"/>
      </w:pPr>
      <w:r w:rsidRPr="00F715D1">
        <w:t>Other significant factors</w:t>
      </w:r>
    </w:p>
    <w:p w14:paraId="6FAC0D25" w14:textId="6ED2D6A1" w:rsidR="005028BF" w:rsidRPr="005A4362" w:rsidRDefault="00373ED7" w:rsidP="00373ED7">
      <w:r>
        <w:t>Nil.</w:t>
      </w:r>
    </w:p>
    <w:p w14:paraId="36813356" w14:textId="77777777" w:rsidR="005028BF" w:rsidRPr="00F715D1" w:rsidRDefault="005028BF" w:rsidP="005028BF">
      <w:pPr>
        <w:pStyle w:val="Heading1"/>
      </w:pPr>
      <w:r w:rsidRPr="00F715D1">
        <w:t>Applicant’s comments on MSAC’s Public Summary Document</w:t>
      </w:r>
    </w:p>
    <w:p w14:paraId="159B3D7E" w14:textId="7C8CA6BB" w:rsidR="005028BF" w:rsidRPr="00A96B8E" w:rsidRDefault="00A96B8E" w:rsidP="005028BF">
      <w:pPr>
        <w:spacing w:after="240"/>
        <w:rPr>
          <w:szCs w:val="24"/>
        </w:rPr>
      </w:pPr>
      <w:r w:rsidRPr="00A96B8E">
        <w:rPr>
          <w:szCs w:val="24"/>
        </w:rPr>
        <w:t>The applicant had no comment.</w:t>
      </w:r>
    </w:p>
    <w:p w14:paraId="7F92B6AE" w14:textId="77777777" w:rsidR="005028BF" w:rsidRPr="00F715D1" w:rsidRDefault="005028BF" w:rsidP="005028BF">
      <w:pPr>
        <w:pStyle w:val="Heading1"/>
      </w:pPr>
      <w:r w:rsidRPr="00F715D1">
        <w:t>Further information on MSAC</w:t>
      </w:r>
    </w:p>
    <w:p w14:paraId="0679663F" w14:textId="3AFCD3F9" w:rsidR="00280050" w:rsidRPr="00373ED7" w:rsidRDefault="005028BF" w:rsidP="00373ED7">
      <w:pPr>
        <w:spacing w:after="240"/>
        <w:rPr>
          <w:szCs w:val="24"/>
        </w:rPr>
      </w:pPr>
      <w:r w:rsidRPr="00F715D1">
        <w:rPr>
          <w:szCs w:val="24"/>
        </w:rPr>
        <w:t xml:space="preserve">MSAC Terms of Reference and other information are available on the MSAC Website: </w:t>
      </w:r>
      <w:r>
        <w:rPr>
          <w:szCs w:val="24"/>
        </w:rPr>
        <w:br/>
      </w:r>
      <w:hyperlink r:id="rId16" w:tooltip="Link to Medical Services Advisory Committee website" w:history="1">
        <w:r w:rsidRPr="00F715D1">
          <w:rPr>
            <w:rStyle w:val="Hyperlink"/>
            <w:szCs w:val="24"/>
          </w:rPr>
          <w:t>visit the MSAC website</w:t>
        </w:r>
      </w:hyperlink>
    </w:p>
    <w:sectPr w:rsidR="00280050" w:rsidRPr="00373ED7" w:rsidSect="00D106F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B4B6" w14:textId="77777777" w:rsidR="00E729BB" w:rsidRDefault="00E729BB">
      <w:r>
        <w:separator/>
      </w:r>
    </w:p>
  </w:endnote>
  <w:endnote w:type="continuationSeparator" w:id="0">
    <w:p w14:paraId="06FAC062" w14:textId="77777777" w:rsidR="00E729BB" w:rsidRDefault="00E7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735A" w14:textId="77777777" w:rsidR="00A73BD1" w:rsidRDefault="00A7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61549EA" w14:textId="00F6764D" w:rsidR="00E729BB" w:rsidRDefault="00E729BB">
        <w:pPr>
          <w:pStyle w:val="Footer"/>
          <w:jc w:val="right"/>
        </w:pPr>
        <w:r>
          <w:fldChar w:fldCharType="begin"/>
        </w:r>
        <w:r>
          <w:instrText xml:space="preserve"> PAGE   \* MERGEFORMAT </w:instrText>
        </w:r>
        <w:r>
          <w:fldChar w:fldCharType="separate"/>
        </w:r>
        <w:r w:rsidR="00C84E96">
          <w:rPr>
            <w:noProof/>
          </w:rPr>
          <w:t>14</w:t>
        </w:r>
        <w:r>
          <w:rPr>
            <w:noProof/>
          </w:rPr>
          <w:fldChar w:fldCharType="end"/>
        </w:r>
      </w:p>
    </w:sdtContent>
  </w:sdt>
  <w:p w14:paraId="79C13A45" w14:textId="77777777" w:rsidR="00E729BB" w:rsidRDefault="00E72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9DB6" w14:textId="77777777" w:rsidR="00A73BD1" w:rsidRDefault="00A7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2BDCA" w14:textId="77777777" w:rsidR="00E729BB" w:rsidRDefault="00E729BB">
      <w:r>
        <w:separator/>
      </w:r>
    </w:p>
  </w:footnote>
  <w:footnote w:type="continuationSeparator" w:id="0">
    <w:p w14:paraId="09B97C83" w14:textId="77777777" w:rsidR="00E729BB" w:rsidRDefault="00E7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C8DB" w14:textId="77777777" w:rsidR="00A73BD1" w:rsidRDefault="00A7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FC692" w14:textId="77777777" w:rsidR="00A73BD1" w:rsidRDefault="00A7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9CF5" w14:textId="77777777" w:rsidR="00A73BD1" w:rsidRDefault="00A7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D12"/>
    <w:multiLevelType w:val="hybridMultilevel"/>
    <w:tmpl w:val="6930C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F4D34"/>
    <w:multiLevelType w:val="hybridMultilevel"/>
    <w:tmpl w:val="F7340E8A"/>
    <w:lvl w:ilvl="0" w:tplc="64B4A6C4">
      <w:start w:val="1"/>
      <w:numFmt w:val="bullet"/>
      <w:lvlText w:val="•"/>
      <w:lvlJc w:val="left"/>
      <w:pPr>
        <w:tabs>
          <w:tab w:val="num" w:pos="360"/>
        </w:tabs>
        <w:ind w:left="36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041E2"/>
    <w:multiLevelType w:val="hybridMultilevel"/>
    <w:tmpl w:val="86F83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E7D9E"/>
    <w:multiLevelType w:val="hybridMultilevel"/>
    <w:tmpl w:val="C7C42A6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9358E"/>
    <w:multiLevelType w:val="hybridMultilevel"/>
    <w:tmpl w:val="9528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8"/>
  </w:num>
  <w:num w:numId="6">
    <w:abstractNumId w:val="10"/>
  </w:num>
  <w:num w:numId="7">
    <w:abstractNumId w:val="1"/>
  </w:num>
  <w:num w:numId="8">
    <w:abstractNumId w:val="2"/>
  </w:num>
  <w:num w:numId="9">
    <w:abstractNumId w:val="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BF"/>
    <w:rsid w:val="00010C0F"/>
    <w:rsid w:val="0004523B"/>
    <w:rsid w:val="00071A98"/>
    <w:rsid w:val="00093FBD"/>
    <w:rsid w:val="000E3DF1"/>
    <w:rsid w:val="000E6A05"/>
    <w:rsid w:val="00101EC5"/>
    <w:rsid w:val="0018776C"/>
    <w:rsid w:val="001D42B7"/>
    <w:rsid w:val="001E27A5"/>
    <w:rsid w:val="00203901"/>
    <w:rsid w:val="00250218"/>
    <w:rsid w:val="00280050"/>
    <w:rsid w:val="00292B90"/>
    <w:rsid w:val="002B3D34"/>
    <w:rsid w:val="002D1CD1"/>
    <w:rsid w:val="002F53B4"/>
    <w:rsid w:val="003335A2"/>
    <w:rsid w:val="00373ED7"/>
    <w:rsid w:val="0037679B"/>
    <w:rsid w:val="003C7931"/>
    <w:rsid w:val="00412BC0"/>
    <w:rsid w:val="0044440E"/>
    <w:rsid w:val="004F72DC"/>
    <w:rsid w:val="005028BF"/>
    <w:rsid w:val="00545315"/>
    <w:rsid w:val="0059171C"/>
    <w:rsid w:val="005C4D5A"/>
    <w:rsid w:val="00616F7C"/>
    <w:rsid w:val="0063613B"/>
    <w:rsid w:val="006A295A"/>
    <w:rsid w:val="00732A99"/>
    <w:rsid w:val="007E54F0"/>
    <w:rsid w:val="00813D3C"/>
    <w:rsid w:val="008772BC"/>
    <w:rsid w:val="008A1F6E"/>
    <w:rsid w:val="00932196"/>
    <w:rsid w:val="009368A7"/>
    <w:rsid w:val="00975345"/>
    <w:rsid w:val="0098654F"/>
    <w:rsid w:val="009B2191"/>
    <w:rsid w:val="00A06BBC"/>
    <w:rsid w:val="00A32F80"/>
    <w:rsid w:val="00A36FC1"/>
    <w:rsid w:val="00A56330"/>
    <w:rsid w:val="00A73BD1"/>
    <w:rsid w:val="00A96B8E"/>
    <w:rsid w:val="00AF4D91"/>
    <w:rsid w:val="00B63E40"/>
    <w:rsid w:val="00BB01CF"/>
    <w:rsid w:val="00BE6782"/>
    <w:rsid w:val="00C054EB"/>
    <w:rsid w:val="00C11CBF"/>
    <w:rsid w:val="00C325A6"/>
    <w:rsid w:val="00C33F79"/>
    <w:rsid w:val="00C84E96"/>
    <w:rsid w:val="00CD36E6"/>
    <w:rsid w:val="00D106F8"/>
    <w:rsid w:val="00D43D84"/>
    <w:rsid w:val="00D81E7B"/>
    <w:rsid w:val="00D95420"/>
    <w:rsid w:val="00DA4E88"/>
    <w:rsid w:val="00DE018F"/>
    <w:rsid w:val="00DE44D7"/>
    <w:rsid w:val="00E05C69"/>
    <w:rsid w:val="00E52311"/>
    <w:rsid w:val="00E6443F"/>
    <w:rsid w:val="00E729BB"/>
    <w:rsid w:val="00E84ABA"/>
    <w:rsid w:val="00ED2445"/>
    <w:rsid w:val="00F045A3"/>
    <w:rsid w:val="00F14D6C"/>
    <w:rsid w:val="00F318E4"/>
    <w:rsid w:val="00F33325"/>
    <w:rsid w:val="00F7352D"/>
    <w:rsid w:val="00F73718"/>
    <w:rsid w:val="00F912F9"/>
    <w:rsid w:val="00F93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E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8BF"/>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5028BF"/>
    <w:pPr>
      <w:keepNext/>
      <w:keepLines/>
      <w:numPr>
        <w:numId w:val="2"/>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1D42B7"/>
    <w:pPr>
      <w:keepNext/>
      <w:keepLines/>
      <w:spacing w:before="4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5C4D5A"/>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28BF"/>
    <w:rPr>
      <w:rFonts w:ascii="Arial" w:eastAsia="Times New Roman" w:hAnsi="Arial"/>
      <w:b/>
      <w:bCs/>
      <w:szCs w:val="28"/>
      <w:lang w:eastAsia="en-AU"/>
    </w:rPr>
  </w:style>
  <w:style w:type="character" w:styleId="Hyperlink">
    <w:name w:val="Hyperlink"/>
    <w:basedOn w:val="DefaultParagraphFont"/>
    <w:uiPriority w:val="99"/>
    <w:rsid w:val="005028BF"/>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5028BF"/>
    <w:pPr>
      <w:ind w:left="720"/>
      <w:contextualSpacing/>
    </w:pPr>
  </w:style>
  <w:style w:type="paragraph" w:styleId="Footer">
    <w:name w:val="footer"/>
    <w:basedOn w:val="Normal"/>
    <w:link w:val="FooterChar"/>
    <w:uiPriority w:val="99"/>
    <w:rsid w:val="005028BF"/>
    <w:pPr>
      <w:tabs>
        <w:tab w:val="center" w:pos="4513"/>
        <w:tab w:val="right" w:pos="9026"/>
      </w:tabs>
    </w:pPr>
  </w:style>
  <w:style w:type="character" w:customStyle="1" w:styleId="FooterChar">
    <w:name w:val="Footer Char"/>
    <w:basedOn w:val="DefaultParagraphFont"/>
    <w:link w:val="Footer"/>
    <w:uiPriority w:val="99"/>
    <w:rsid w:val="005028BF"/>
    <w:rPr>
      <w:rFonts w:eastAsia="Times New Roman"/>
      <w:szCs w:val="20"/>
      <w:lang w:eastAsia="en-AU"/>
    </w:rPr>
  </w:style>
  <w:style w:type="paragraph" w:customStyle="1" w:styleId="Default">
    <w:name w:val="Default"/>
    <w:rsid w:val="005028BF"/>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5028BF"/>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5028BF"/>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5028B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5028BF"/>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1D42B7"/>
    <w:rPr>
      <w:rFonts w:eastAsiaTheme="majorEastAsia" w:cstheme="majorBidi"/>
      <w:i/>
      <w:szCs w:val="26"/>
      <w:lang w:eastAsia="en-AU"/>
    </w:rPr>
  </w:style>
  <w:style w:type="table" w:styleId="TableGrid">
    <w:name w:val="Table Grid"/>
    <w:aliases w:val="Summary box,Table Gridbeth,RTI AMCP Table,new style,ASD Table"/>
    <w:basedOn w:val="TableNormal"/>
    <w:uiPriority w:val="59"/>
    <w:rsid w:val="00F045A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1D42B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1D42B7"/>
    <w:rPr>
      <w:rFonts w:ascii="Arial Narrow" w:eastAsia="Times New Roman" w:hAnsi="Arial Narrow" w:cs="Tahoma"/>
      <w:b/>
      <w:noProof/>
      <w:sz w:val="20"/>
      <w:szCs w:val="20"/>
      <w:lang w:eastAsia="en-AU"/>
    </w:rPr>
  </w:style>
  <w:style w:type="paragraph" w:customStyle="1" w:styleId="TableText">
    <w:name w:val="TableText"/>
    <w:basedOn w:val="Normal"/>
    <w:rsid w:val="001D42B7"/>
    <w:pPr>
      <w:keepNext/>
      <w:spacing w:before="60" w:after="60"/>
    </w:pPr>
    <w:rPr>
      <w:color w:val="000000"/>
      <w:sz w:val="21"/>
      <w:szCs w:val="21"/>
    </w:rPr>
  </w:style>
  <w:style w:type="paragraph" w:customStyle="1" w:styleId="TableBullet">
    <w:name w:val="TableBullet"/>
    <w:basedOn w:val="TableText"/>
    <w:rsid w:val="001D42B7"/>
    <w:pPr>
      <w:numPr>
        <w:numId w:val="5"/>
      </w:numPr>
      <w:tabs>
        <w:tab w:val="clear" w:pos="360"/>
        <w:tab w:val="left" w:pos="216"/>
      </w:tabs>
      <w:ind w:left="216" w:hanging="216"/>
    </w:pPr>
  </w:style>
  <w:style w:type="character" w:styleId="CommentReference">
    <w:name w:val="annotation reference"/>
    <w:basedOn w:val="DefaultParagraphFont"/>
    <w:uiPriority w:val="99"/>
    <w:semiHidden/>
    <w:unhideWhenUsed/>
    <w:rsid w:val="001D42B7"/>
    <w:rPr>
      <w:sz w:val="16"/>
      <w:szCs w:val="16"/>
    </w:rPr>
  </w:style>
  <w:style w:type="paragraph" w:styleId="CommentText">
    <w:name w:val="annotation text"/>
    <w:basedOn w:val="Normal"/>
    <w:link w:val="CommentTextChar"/>
    <w:uiPriority w:val="99"/>
    <w:semiHidden/>
    <w:unhideWhenUsed/>
    <w:rsid w:val="001D42B7"/>
    <w:rPr>
      <w:sz w:val="20"/>
    </w:rPr>
  </w:style>
  <w:style w:type="character" w:customStyle="1" w:styleId="CommentTextChar">
    <w:name w:val="Comment Text Char"/>
    <w:basedOn w:val="DefaultParagraphFont"/>
    <w:link w:val="CommentText"/>
    <w:uiPriority w:val="99"/>
    <w:semiHidden/>
    <w:rsid w:val="001D42B7"/>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D42B7"/>
    <w:rPr>
      <w:b/>
      <w:bCs/>
    </w:rPr>
  </w:style>
  <w:style w:type="character" w:customStyle="1" w:styleId="CommentSubjectChar">
    <w:name w:val="Comment Subject Char"/>
    <w:basedOn w:val="CommentTextChar"/>
    <w:link w:val="CommentSubject"/>
    <w:uiPriority w:val="99"/>
    <w:semiHidden/>
    <w:rsid w:val="001D42B7"/>
    <w:rPr>
      <w:rFonts w:eastAsia="Times New Roman"/>
      <w:b/>
      <w:bCs/>
      <w:sz w:val="20"/>
      <w:szCs w:val="20"/>
      <w:lang w:eastAsia="en-AU"/>
    </w:rPr>
  </w:style>
  <w:style w:type="paragraph" w:styleId="BalloonText">
    <w:name w:val="Balloon Text"/>
    <w:basedOn w:val="Normal"/>
    <w:link w:val="BalloonTextChar"/>
    <w:uiPriority w:val="99"/>
    <w:semiHidden/>
    <w:unhideWhenUsed/>
    <w:rsid w:val="001D42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2B7"/>
    <w:rPr>
      <w:rFonts w:ascii="Segoe UI" w:eastAsia="Times New Roman" w:hAnsi="Segoe UI" w:cs="Segoe UI"/>
      <w:sz w:val="18"/>
      <w:szCs w:val="18"/>
      <w:lang w:eastAsia="en-AU"/>
    </w:rPr>
  </w:style>
  <w:style w:type="paragraph" w:customStyle="1" w:styleId="Tabletext0">
    <w:name w:val="Table text"/>
    <w:basedOn w:val="Normal"/>
    <w:link w:val="TabletextChar"/>
    <w:qFormat/>
    <w:rsid w:val="001D42B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0"/>
    <w:rsid w:val="001D42B7"/>
    <w:rPr>
      <w:rFonts w:ascii="Arial Narrow" w:eastAsia="Times New Roman" w:hAnsi="Arial Narrow"/>
      <w:sz w:val="20"/>
    </w:rPr>
  </w:style>
  <w:style w:type="paragraph" w:customStyle="1" w:styleId="Tablecaption">
    <w:name w:val="Table caption"/>
    <w:basedOn w:val="Normal"/>
    <w:link w:val="TablecaptionChar"/>
    <w:qFormat/>
    <w:rsid w:val="001D42B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1D42B7"/>
    <w:rPr>
      <w:rFonts w:ascii="Arial Narrow" w:eastAsia="Times New Roman" w:hAnsi="Arial Narrow" w:cs="Arial"/>
      <w:sz w:val="20"/>
      <w:szCs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1D42B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D42B7"/>
    <w:rPr>
      <w:rFonts w:ascii="Arial Narrow" w:eastAsia="Times New Roman" w:hAnsi="Arial Narrow" w:cs="Arial"/>
      <w:b/>
      <w:bCs/>
      <w:iCs/>
      <w:sz w:val="20"/>
      <w:szCs w:val="20"/>
    </w:rPr>
  </w:style>
  <w:style w:type="paragraph" w:customStyle="1" w:styleId="Tabletextright">
    <w:name w:val="Table text right"/>
    <w:basedOn w:val="Normal"/>
    <w:link w:val="TabletextrightChar"/>
    <w:qFormat/>
    <w:rsid w:val="001D42B7"/>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1D42B7"/>
    <w:rPr>
      <w:rFonts w:ascii="Arial Narrow" w:eastAsia="Times New Roman" w:hAnsi="Arial Narrow" w:cs="Arial"/>
      <w:sz w:val="20"/>
      <w:szCs w:val="20"/>
    </w:rPr>
  </w:style>
  <w:style w:type="paragraph" w:styleId="NoSpacing">
    <w:name w:val="No Spacing"/>
    <w:uiPriority w:val="1"/>
    <w:qFormat/>
    <w:rsid w:val="001D42B7"/>
    <w:pPr>
      <w:spacing w:after="0" w:line="240" w:lineRule="auto"/>
    </w:pPr>
    <w:rPr>
      <w:rFonts w:asciiTheme="minorHAnsi" w:hAnsiTheme="minorHAnsi" w:cstheme="minorBidi"/>
      <w:sz w:val="22"/>
      <w:szCs w:val="22"/>
    </w:rPr>
  </w:style>
  <w:style w:type="paragraph" w:customStyle="1" w:styleId="Tablenotes">
    <w:name w:val="Tablenotes"/>
    <w:basedOn w:val="Normal"/>
    <w:link w:val="TablenotesChar"/>
    <w:autoRedefine/>
    <w:qFormat/>
    <w:rsid w:val="001D42B7"/>
    <w:pPr>
      <w:widowControl w:val="0"/>
      <w:spacing w:before="60" w:after="120"/>
      <w:contextualSpacing/>
    </w:pPr>
    <w:rPr>
      <w:rFonts w:ascii="Arial Narrow" w:hAnsi="Arial Narrow" w:cs="Arial"/>
      <w:i/>
      <w:snapToGrid w:val="0"/>
      <w:sz w:val="18"/>
      <w:lang w:eastAsia="en-US"/>
    </w:rPr>
  </w:style>
  <w:style w:type="character" w:customStyle="1" w:styleId="TablenotesChar">
    <w:name w:val="Tablenotes Char"/>
    <w:basedOn w:val="DefaultParagraphFont"/>
    <w:link w:val="Tablenotes"/>
    <w:rsid w:val="001D42B7"/>
    <w:rPr>
      <w:rFonts w:ascii="Arial Narrow" w:eastAsia="Times New Roman" w:hAnsi="Arial Narrow" w:cs="Arial"/>
      <w:i/>
      <w:snapToGrid w:val="0"/>
      <w:sz w:val="18"/>
      <w:szCs w:val="20"/>
    </w:rPr>
  </w:style>
  <w:style w:type="paragraph" w:customStyle="1" w:styleId="Tablenotes1">
    <w:name w:val="Tablenotes 1"/>
    <w:basedOn w:val="Normal"/>
    <w:link w:val="Tablenotes1Char"/>
    <w:qFormat/>
    <w:rsid w:val="001D42B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1D42B7"/>
    <w:rPr>
      <w:rFonts w:ascii="Arial Narrow" w:eastAsia="Times New Roman" w:hAnsi="Arial Narrow" w:cs="Arial"/>
      <w:snapToGrid w:val="0"/>
      <w:sz w:val="18"/>
      <w:szCs w:val="20"/>
    </w:rPr>
  </w:style>
  <w:style w:type="character" w:customStyle="1" w:styleId="Heading3Char">
    <w:name w:val="Heading 3 Char"/>
    <w:basedOn w:val="DefaultParagraphFont"/>
    <w:link w:val="Heading3"/>
    <w:uiPriority w:val="9"/>
    <w:semiHidden/>
    <w:rsid w:val="005C4D5A"/>
    <w:rPr>
      <w:rFonts w:eastAsiaTheme="majorEastAsia" w:cstheme="majorBidi"/>
      <w:u w:val="single"/>
      <w:lang w:eastAsia="en-AU"/>
    </w:rPr>
  </w:style>
  <w:style w:type="character" w:customStyle="1" w:styleId="ListParagraphChar">
    <w:name w:val="List Paragraph Char"/>
    <w:aliases w:val="Styl moj Char,Akapit z listą1 Char,Akapit z listą11 Char"/>
    <w:link w:val="ListParagraph"/>
    <w:uiPriority w:val="34"/>
    <w:rsid w:val="005C4D5A"/>
    <w:rPr>
      <w:rFonts w:eastAsia="Times New Roman"/>
      <w:szCs w:val="20"/>
      <w:lang w:eastAsia="en-AU"/>
    </w:rPr>
  </w:style>
  <w:style w:type="paragraph" w:customStyle="1" w:styleId="Comment">
    <w:name w:val="Comment"/>
    <w:basedOn w:val="Normal"/>
    <w:link w:val="CommentChar"/>
    <w:qFormat/>
    <w:rsid w:val="005C4D5A"/>
    <w:pPr>
      <w:tabs>
        <w:tab w:val="num" w:pos="720"/>
      </w:tabs>
      <w:spacing w:line="312" w:lineRule="auto"/>
      <w:jc w:val="both"/>
    </w:pPr>
    <w:rPr>
      <w:rFonts w:ascii="Calibri" w:hAnsi="Calibri" w:cs="Tahoma"/>
      <w:i/>
      <w:color w:val="C00000"/>
      <w:sz w:val="22"/>
      <w:szCs w:val="22"/>
    </w:rPr>
  </w:style>
  <w:style w:type="character" w:customStyle="1" w:styleId="CommentChar">
    <w:name w:val="Comment Char"/>
    <w:basedOn w:val="DefaultParagraphFont"/>
    <w:link w:val="Comment"/>
    <w:rsid w:val="005C4D5A"/>
    <w:rPr>
      <w:rFonts w:ascii="Calibri" w:eastAsia="Times New Roman" w:hAnsi="Calibri" w:cs="Tahoma"/>
      <w:i/>
      <w:color w:val="C00000"/>
      <w:sz w:val="22"/>
      <w:szCs w:val="22"/>
      <w:lang w:eastAsia="en-AU"/>
    </w:rPr>
  </w:style>
  <w:style w:type="paragraph" w:customStyle="1" w:styleId="TableParagraph">
    <w:name w:val="Table Paragraph"/>
    <w:basedOn w:val="Normal"/>
    <w:uiPriority w:val="1"/>
    <w:qFormat/>
    <w:rsid w:val="005C4D5A"/>
    <w:pPr>
      <w:widowControl w:val="0"/>
      <w:autoSpaceDE w:val="0"/>
      <w:autoSpaceDN w:val="0"/>
      <w:spacing w:before="40"/>
    </w:pPr>
    <w:rPr>
      <w:rFonts w:ascii="Arial Narrow" w:eastAsia="Arial Narrow" w:hAnsi="Arial Narrow" w:cs="Arial Narrow"/>
      <w:sz w:val="22"/>
      <w:szCs w:val="22"/>
      <w:lang w:bidi="en-AU"/>
    </w:rPr>
  </w:style>
  <w:style w:type="paragraph" w:customStyle="1" w:styleId="TableText1">
    <w:name w:val="Table Text"/>
    <w:basedOn w:val="Normal"/>
    <w:link w:val="TableTextChar0"/>
    <w:qFormat/>
    <w:rsid w:val="005C4D5A"/>
    <w:pPr>
      <w:keepNext/>
      <w:spacing w:before="40" w:after="40"/>
    </w:pPr>
    <w:rPr>
      <w:rFonts w:ascii="Arial Narrow" w:hAnsi="Arial Narrow" w:cs="Tahoma"/>
      <w:sz w:val="20"/>
      <w:szCs w:val="22"/>
      <w:lang w:eastAsia="en-US"/>
    </w:rPr>
  </w:style>
  <w:style w:type="character" w:customStyle="1" w:styleId="TableTextChar0">
    <w:name w:val="Table Text Char"/>
    <w:link w:val="TableText1"/>
    <w:rsid w:val="005C4D5A"/>
    <w:rPr>
      <w:rFonts w:ascii="Arial Narrow" w:eastAsia="Times New Roman" w:hAnsi="Arial Narrow" w:cs="Tahoma"/>
      <w:sz w:val="20"/>
      <w:szCs w:val="22"/>
    </w:rPr>
  </w:style>
  <w:style w:type="paragraph" w:styleId="BodyText">
    <w:name w:val="Body Text"/>
    <w:basedOn w:val="Normal"/>
    <w:link w:val="BodyTextChar"/>
    <w:rsid w:val="005C4D5A"/>
    <w:pPr>
      <w:spacing w:line="312" w:lineRule="auto"/>
    </w:pPr>
    <w:rPr>
      <w:rFonts w:ascii="Helv" w:hAnsi="Helv" w:cs="Tahoma"/>
      <w:b/>
      <w:i/>
      <w:snapToGrid w:val="0"/>
      <w:color w:val="000000"/>
      <w:sz w:val="28"/>
      <w:szCs w:val="22"/>
      <w:lang w:eastAsia="en-US"/>
    </w:rPr>
  </w:style>
  <w:style w:type="character" w:customStyle="1" w:styleId="BodyTextChar">
    <w:name w:val="Body Text Char"/>
    <w:basedOn w:val="DefaultParagraphFont"/>
    <w:link w:val="BodyText"/>
    <w:rsid w:val="005C4D5A"/>
    <w:rPr>
      <w:rFonts w:ascii="Helv" w:eastAsia="Times New Roman" w:hAnsi="Helv" w:cs="Tahoma"/>
      <w:b/>
      <w:i/>
      <w:snapToGrid w:val="0"/>
      <w:color w:val="000000"/>
      <w:sz w:val="28"/>
      <w:szCs w:val="22"/>
    </w:rPr>
  </w:style>
  <w:style w:type="paragraph" w:customStyle="1" w:styleId="BoxText">
    <w:name w:val="BoxText"/>
    <w:basedOn w:val="Normal"/>
    <w:qFormat/>
    <w:rsid w:val="00F73718"/>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F73718"/>
    <w:pPr>
      <w:keepNext/>
      <w:spacing w:before="180"/>
      <w:ind w:left="1080" w:hanging="1080"/>
    </w:pPr>
    <w:rPr>
      <w:b/>
      <w:bCs/>
    </w:rPr>
  </w:style>
  <w:style w:type="paragraph" w:customStyle="1" w:styleId="BoxHeading">
    <w:name w:val="BoxHeading"/>
    <w:basedOn w:val="BoxText"/>
    <w:rsid w:val="00F73718"/>
    <w:pPr>
      <w:keepNext/>
      <w:spacing w:before="120" w:after="60"/>
    </w:pPr>
    <w:rPr>
      <w:b/>
      <w:bCs/>
    </w:rPr>
  </w:style>
  <w:style w:type="paragraph" w:customStyle="1" w:styleId="BulletBeforeDash">
    <w:name w:val="BulletBeforeDash"/>
    <w:basedOn w:val="Normal"/>
    <w:rsid w:val="00DA4E88"/>
    <w:pPr>
      <w:numPr>
        <w:numId w:val="12"/>
      </w:numPr>
      <w:ind w:left="720"/>
    </w:pPr>
    <w:rPr>
      <w:color w:val="000000"/>
    </w:rPr>
  </w:style>
  <w:style w:type="paragraph" w:customStyle="1" w:styleId="Bullet">
    <w:name w:val="Bullet"/>
    <w:basedOn w:val="BulletBeforeDash"/>
    <w:qFormat/>
    <w:rsid w:val="00DA4E88"/>
    <w:pPr>
      <w:spacing w:after="120"/>
    </w:pPr>
  </w:style>
  <w:style w:type="paragraph" w:customStyle="1" w:styleId="BulletLast">
    <w:name w:val="BulletLast"/>
    <w:basedOn w:val="Bullet"/>
    <w:qFormat/>
    <w:rsid w:val="00DA4E88"/>
    <w:pPr>
      <w:spacing w:after="240"/>
    </w:pPr>
  </w:style>
  <w:style w:type="paragraph" w:customStyle="1" w:styleId="NormalBeforeBullet">
    <w:name w:val="NormalBeforeBullet"/>
    <w:basedOn w:val="Normal"/>
    <w:qFormat/>
    <w:rsid w:val="00DA4E88"/>
    <w:pPr>
      <w:keepNext/>
      <w:spacing w:after="120"/>
    </w:pPr>
    <w:rPr>
      <w:color w:val="000000"/>
    </w:rPr>
  </w:style>
  <w:style w:type="paragraph" w:styleId="Header">
    <w:name w:val="header"/>
    <w:basedOn w:val="Normal"/>
    <w:link w:val="HeaderChar"/>
    <w:uiPriority w:val="99"/>
    <w:unhideWhenUsed/>
    <w:rsid w:val="00A73BD1"/>
    <w:pPr>
      <w:tabs>
        <w:tab w:val="center" w:pos="4513"/>
        <w:tab w:val="right" w:pos="9026"/>
      </w:tabs>
    </w:pPr>
  </w:style>
  <w:style w:type="character" w:customStyle="1" w:styleId="HeaderChar">
    <w:name w:val="Header Char"/>
    <w:basedOn w:val="DefaultParagraphFont"/>
    <w:link w:val="Header"/>
    <w:uiPriority w:val="99"/>
    <w:rsid w:val="00A73BD1"/>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F107B-E4F5-42C4-A12C-75A4DAE2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8378</Words>
  <Characters>46248</Characters>
  <Application>Microsoft Office Word</Application>
  <DocSecurity>0</DocSecurity>
  <Lines>906</Lines>
  <Paragraphs>569</Paragraphs>
  <ScaleCrop>false</ScaleCrop>
  <Company/>
  <LinksUpToDate>false</LinksUpToDate>
  <CharactersWithSpaces>54057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1533 Final PSD</dc:title>
  <dc:creator/>
  <cp:lastModifiedBy/>
  <cp:revision>1</cp:revision>
  <dcterms:created xsi:type="dcterms:W3CDTF">2020-02-28T03:58:00Z</dcterms:created>
  <dcterms:modified xsi:type="dcterms:W3CDTF">2020-02-28T03:58:00Z</dcterms:modified>
</cp:coreProperties>
</file>