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065623">
      <w:pPr>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4808598E" wp14:editId="036080EB">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8D5885" w:rsidRDefault="00BC1364" w:rsidP="008D5885"/>
    <w:p w:rsidR="00C67DD2" w:rsidRPr="008D5885" w:rsidRDefault="00C67DD2" w:rsidP="008D5885"/>
    <w:p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rsidR="00BC1364" w:rsidRPr="007B32D1" w:rsidRDefault="00BC1364" w:rsidP="007B32D1"/>
    <w:p w:rsidR="00BC1364" w:rsidRDefault="00BC1364" w:rsidP="00927922">
      <w:pPr>
        <w:jc w:val="center"/>
        <w:rPr>
          <w:szCs w:val="24"/>
        </w:rPr>
      </w:pPr>
      <w:r w:rsidRPr="007B32D1">
        <w:rPr>
          <w:rFonts w:ascii="Arial" w:hAnsi="Arial" w:cs="Arial"/>
          <w:b/>
          <w:bCs/>
          <w:i/>
          <w:color w:val="000080"/>
          <w:sz w:val="28"/>
          <w:szCs w:val="28"/>
        </w:rPr>
        <w:t>Application</w:t>
      </w:r>
      <w:r w:rsidR="00927922">
        <w:rPr>
          <w:rFonts w:ascii="Arial" w:hAnsi="Arial" w:cs="Arial"/>
          <w:b/>
          <w:bCs/>
          <w:i/>
          <w:color w:val="000080"/>
          <w:sz w:val="28"/>
          <w:szCs w:val="28"/>
        </w:rPr>
        <w:t xml:space="preserve"> 1182 </w:t>
      </w:r>
      <w:r w:rsidRPr="007B32D1">
        <w:rPr>
          <w:rFonts w:ascii="Arial" w:hAnsi="Arial" w:cs="Arial"/>
          <w:b/>
          <w:bCs/>
          <w:i/>
          <w:color w:val="000080"/>
          <w:sz w:val="28"/>
          <w:szCs w:val="28"/>
        </w:rPr>
        <w:t xml:space="preserve">– </w:t>
      </w:r>
      <w:r w:rsidR="00927922" w:rsidRPr="00BF465B">
        <w:rPr>
          <w:rFonts w:ascii="Arial" w:hAnsi="Arial" w:cs="Arial"/>
          <w:b/>
          <w:i/>
          <w:color w:val="000080"/>
          <w:sz w:val="28"/>
          <w:szCs w:val="28"/>
        </w:rPr>
        <w:t>Intensity Modulated Radiation Therapy</w:t>
      </w:r>
      <w:r w:rsidR="00927922">
        <w:rPr>
          <w:rFonts w:ascii="Arial" w:hAnsi="Arial" w:cs="Arial"/>
          <w:b/>
          <w:i/>
          <w:color w:val="000080"/>
          <w:sz w:val="28"/>
          <w:szCs w:val="28"/>
        </w:rPr>
        <w:t> </w:t>
      </w:r>
      <w:r w:rsidR="00927922" w:rsidRPr="00BF465B">
        <w:rPr>
          <w:rFonts w:ascii="Arial" w:hAnsi="Arial" w:cs="Arial"/>
          <w:b/>
          <w:i/>
          <w:color w:val="000080"/>
          <w:sz w:val="28"/>
          <w:szCs w:val="28"/>
        </w:rPr>
        <w:t>(IMRT) in the treatment of cancer</w:t>
      </w:r>
    </w:p>
    <w:p w:rsidR="00BC1364" w:rsidRDefault="00BC1364" w:rsidP="00065623">
      <w:pPr>
        <w:tabs>
          <w:tab w:val="left" w:pos="3600"/>
        </w:tabs>
        <w:ind w:left="3600" w:hanging="3600"/>
        <w:rPr>
          <w:szCs w:val="24"/>
        </w:rPr>
      </w:pPr>
    </w:p>
    <w:p w:rsidR="002C11DF" w:rsidRPr="00707064" w:rsidRDefault="002C11DF" w:rsidP="00065623">
      <w:pPr>
        <w:tabs>
          <w:tab w:val="left" w:pos="3600"/>
        </w:tabs>
        <w:ind w:left="3600" w:hanging="3600"/>
        <w:rPr>
          <w:szCs w:val="24"/>
        </w:rPr>
      </w:pPr>
    </w:p>
    <w:p w:rsidR="00BC1364" w:rsidRPr="00D90A38" w:rsidRDefault="00927922" w:rsidP="00E613E3">
      <w:pPr>
        <w:tabs>
          <w:tab w:val="left" w:pos="3544"/>
        </w:tabs>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BC1364" w:rsidRPr="00D90A38">
        <w:rPr>
          <w:rFonts w:ascii="Arial" w:hAnsi="Arial" w:cs="Arial"/>
          <w:b/>
          <w:szCs w:val="24"/>
        </w:rPr>
        <w:tab/>
      </w:r>
      <w:r w:rsidR="00E613E3">
        <w:rPr>
          <w:rFonts w:ascii="Arial" w:hAnsi="Arial" w:cs="Arial"/>
          <w:b/>
          <w:szCs w:val="24"/>
        </w:rPr>
        <w:tab/>
      </w:r>
      <w:r>
        <w:rPr>
          <w:rFonts w:ascii="Arial" w:hAnsi="Arial" w:cs="Arial"/>
          <w:b/>
          <w:szCs w:val="24"/>
        </w:rPr>
        <w:t xml:space="preserve">Royal Australian and New Zealand College of </w:t>
      </w:r>
      <w:r>
        <w:rPr>
          <w:rFonts w:ascii="Arial" w:hAnsi="Arial" w:cs="Arial"/>
          <w:b/>
          <w:szCs w:val="24"/>
        </w:rPr>
        <w:tab/>
      </w:r>
      <w:r>
        <w:rPr>
          <w:rFonts w:ascii="Arial" w:hAnsi="Arial" w:cs="Arial"/>
          <w:b/>
          <w:szCs w:val="24"/>
        </w:rPr>
        <w:tab/>
        <w:t>Radiologists</w:t>
      </w:r>
    </w:p>
    <w:p w:rsidR="00BC1364" w:rsidRPr="00D90A38" w:rsidRDefault="00BC1364" w:rsidP="00065623">
      <w:pPr>
        <w:tabs>
          <w:tab w:val="left" w:pos="2265"/>
          <w:tab w:val="left" w:pos="3420"/>
          <w:tab w:val="left" w:pos="4320"/>
        </w:tabs>
        <w:rPr>
          <w:rFonts w:ascii="Arial" w:hAnsi="Arial" w:cs="Arial"/>
          <w:b/>
        </w:rPr>
      </w:pPr>
    </w:p>
    <w:p w:rsidR="006D2FFA"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6D2FFA">
        <w:rPr>
          <w:rFonts w:ascii="Arial" w:hAnsi="Arial" w:cs="Arial"/>
          <w:b/>
          <w:szCs w:val="24"/>
        </w:rPr>
        <w:t>63</w:t>
      </w:r>
      <w:r w:rsidR="006D2FFA" w:rsidRPr="00F26128">
        <w:rPr>
          <w:rFonts w:ascii="Arial" w:hAnsi="Arial" w:cs="Arial"/>
          <w:b/>
          <w:szCs w:val="24"/>
          <w:vertAlign w:val="superscript"/>
        </w:rPr>
        <w:t>rd</w:t>
      </w:r>
      <w:r w:rsidR="006D2FFA">
        <w:rPr>
          <w:rFonts w:ascii="Arial" w:hAnsi="Arial" w:cs="Arial"/>
          <w:b/>
          <w:szCs w:val="24"/>
        </w:rPr>
        <w:t xml:space="preserve"> MSAC Meeting, 1-2 April 2015</w:t>
      </w:r>
    </w:p>
    <w:p w:rsidR="00BC1364" w:rsidRDefault="007F1960" w:rsidP="00D801A6">
      <w:pPr>
        <w:ind w:left="2880" w:firstLine="720"/>
        <w:rPr>
          <w:rFonts w:ascii="Arial" w:hAnsi="Arial" w:cs="Arial"/>
          <w:b/>
          <w:szCs w:val="24"/>
        </w:rPr>
      </w:pPr>
      <w:r>
        <w:rPr>
          <w:rFonts w:ascii="Arial" w:hAnsi="Arial" w:cs="Arial"/>
          <w:b/>
          <w:szCs w:val="24"/>
        </w:rPr>
        <w:t>62</w:t>
      </w:r>
      <w:r w:rsidRPr="007F1960">
        <w:rPr>
          <w:rFonts w:ascii="Arial" w:hAnsi="Arial" w:cs="Arial"/>
          <w:b/>
          <w:szCs w:val="24"/>
          <w:vertAlign w:val="superscript"/>
        </w:rPr>
        <w:t>nd</w:t>
      </w:r>
      <w:r>
        <w:rPr>
          <w:rFonts w:ascii="Arial" w:hAnsi="Arial" w:cs="Arial"/>
          <w:b/>
          <w:szCs w:val="24"/>
        </w:rPr>
        <w:t xml:space="preserve"> MSAC Meeting</w:t>
      </w:r>
      <w:r w:rsidR="00E613E3">
        <w:rPr>
          <w:rFonts w:ascii="Arial" w:hAnsi="Arial" w:cs="Arial"/>
          <w:b/>
          <w:szCs w:val="24"/>
        </w:rPr>
        <w:t>,</w:t>
      </w:r>
      <w:r>
        <w:rPr>
          <w:rFonts w:ascii="Arial" w:hAnsi="Arial" w:cs="Arial"/>
          <w:b/>
          <w:szCs w:val="24"/>
        </w:rPr>
        <w:t xml:space="preserve"> </w:t>
      </w:r>
      <w:r w:rsidR="00927922">
        <w:rPr>
          <w:rFonts w:ascii="Arial" w:hAnsi="Arial" w:cs="Arial"/>
          <w:b/>
          <w:szCs w:val="24"/>
        </w:rPr>
        <w:t>26-28 November 2014</w:t>
      </w:r>
    </w:p>
    <w:p w:rsidR="00D801A6" w:rsidRDefault="00D801A6" w:rsidP="00D801A6">
      <w:pPr>
        <w:ind w:left="2880" w:firstLine="720"/>
        <w:rPr>
          <w:szCs w:val="24"/>
        </w:rPr>
      </w:pPr>
    </w:p>
    <w:p w:rsidR="0041758C" w:rsidRDefault="006A0D97" w:rsidP="00065623">
      <w:pPr>
        <w:rPr>
          <w:szCs w:val="24"/>
        </w:rPr>
      </w:pPr>
      <w:r>
        <w:rPr>
          <w:szCs w:val="24"/>
        </w:rPr>
        <w:t xml:space="preserve">Context for decision: MSAC makes its advice in accordance with its Terms of Reference, see at </w:t>
      </w:r>
      <w:hyperlink r:id="rId10" w:tooltip="Medical Services Advisory Committee weblink" w:history="1">
        <w:r w:rsidRPr="000A74FE">
          <w:rPr>
            <w:rStyle w:val="Hyperlink"/>
            <w:szCs w:val="24"/>
          </w:rPr>
          <w:t>www.msac.gov.au</w:t>
        </w:r>
      </w:hyperlink>
    </w:p>
    <w:p w:rsidR="0041758C" w:rsidRDefault="0041758C" w:rsidP="00065623">
      <w:pPr>
        <w:rPr>
          <w:szCs w:val="24"/>
        </w:rPr>
      </w:pPr>
    </w:p>
    <w:p w:rsidR="00F41812" w:rsidRDefault="00F41812" w:rsidP="00065623">
      <w:pPr>
        <w:rPr>
          <w:szCs w:val="24"/>
        </w:rPr>
      </w:pPr>
    </w:p>
    <w:p w:rsidR="003D7F29" w:rsidRPr="00D90A38" w:rsidRDefault="003D7F29" w:rsidP="00C167CA">
      <w:pPr>
        <w:pStyle w:val="Heading1"/>
        <w:numPr>
          <w:ilvl w:val="0"/>
          <w:numId w:val="23"/>
        </w:numPr>
        <w:ind w:hanging="720"/>
      </w:pPr>
      <w:r w:rsidRPr="00D90A38">
        <w:t>Purpose of application</w:t>
      </w:r>
      <w:r w:rsidR="00822C7E">
        <w:t xml:space="preserve"> and links to other applications</w:t>
      </w:r>
    </w:p>
    <w:p w:rsidR="00500152" w:rsidRDefault="00500152" w:rsidP="00927922"/>
    <w:p w:rsidR="00927922" w:rsidRDefault="00927922" w:rsidP="00927922">
      <w:r w:rsidRPr="007C44E6">
        <w:t>A</w:t>
      </w:r>
      <w:r>
        <w:t>n</w:t>
      </w:r>
      <w:r w:rsidRPr="007C44E6">
        <w:t xml:space="preserve"> application requesting MBS listing of intensity-modulated radiation therapy</w:t>
      </w:r>
      <w:r w:rsidR="00602DE3">
        <w:rPr>
          <w:rStyle w:val="FootnoteReference"/>
        </w:rPr>
        <w:footnoteReference w:id="1"/>
      </w:r>
      <w:r w:rsidRPr="007C44E6">
        <w:t xml:space="preserve"> (IMRT) for cancer treatment deliv</w:t>
      </w:r>
      <w:r w:rsidR="00464037">
        <w:t>ery was received from the Trans-</w:t>
      </w:r>
      <w:r w:rsidRPr="007C44E6">
        <w:t xml:space="preserve">Tasman Radiation Oncology Group (TROG) by the Department of Health in August 2011. As a result of the completion of the Assessment of New Radiation Oncology Treatments and Technologies (ANROTAT) project being undertaken by TROG, the Faculty of Radiation Oncology </w:t>
      </w:r>
      <w:r>
        <w:t>within</w:t>
      </w:r>
      <w:r w:rsidRPr="007C44E6">
        <w:t xml:space="preserve"> the Royal Australian and New Zealand College of Radiologists</w:t>
      </w:r>
      <w:r>
        <w:t xml:space="preserve"> (RANZCR)</w:t>
      </w:r>
      <w:r w:rsidRPr="007C44E6">
        <w:t xml:space="preserve"> has now </w:t>
      </w:r>
      <w:r>
        <w:t>assumed</w:t>
      </w:r>
      <w:r w:rsidRPr="007C44E6">
        <w:t xml:space="preserve"> responsibility for sponsoring this application.</w:t>
      </w:r>
    </w:p>
    <w:p w:rsidR="003D7F29" w:rsidRPr="00D90A38" w:rsidRDefault="003D7F29" w:rsidP="003D7F29">
      <w:pPr>
        <w:rPr>
          <w:color w:val="FF0000"/>
          <w:szCs w:val="24"/>
        </w:rPr>
      </w:pPr>
    </w:p>
    <w:p w:rsidR="00602DE3" w:rsidRDefault="00602DE3" w:rsidP="00500152">
      <w:pPr>
        <w:pStyle w:val="Heading1"/>
        <w:numPr>
          <w:ilvl w:val="0"/>
          <w:numId w:val="23"/>
        </w:numPr>
        <w:ind w:hanging="720"/>
      </w:pPr>
      <w:r w:rsidRPr="008D5885">
        <w:t>MSAC’s advice to the Minister</w:t>
      </w:r>
      <w:r>
        <w:t xml:space="preserve"> – April 2015 consideration</w:t>
      </w:r>
    </w:p>
    <w:p w:rsidR="00500152" w:rsidRDefault="00500152" w:rsidP="00602DE3"/>
    <w:p w:rsidR="00602DE3" w:rsidRDefault="00602DE3" w:rsidP="00602DE3">
      <w:r>
        <w:t xml:space="preserve">After considering the available evidence presented in relation to safety, clinical effectiveness and cost-effectiveness of Intensity Modulated Radiation Therapy (IMRT) in the treatment of cancer, </w:t>
      </w:r>
      <w:r w:rsidRPr="006E369E">
        <w:t>MSAC</w:t>
      </w:r>
      <w:r>
        <w:t xml:space="preserve"> supported public funding of IMRT on a cost neutral basis </w:t>
      </w:r>
      <w:proofErr w:type="gramStart"/>
      <w:r>
        <w:t>relative to three dimensional conformal radiotherapy (3D-CRT)</w:t>
      </w:r>
      <w:proofErr w:type="gramEnd"/>
      <w:r>
        <w:t>.</w:t>
      </w:r>
    </w:p>
    <w:p w:rsidR="00602DE3" w:rsidRDefault="00602DE3" w:rsidP="00602DE3"/>
    <w:p w:rsidR="00500152" w:rsidRDefault="00500152">
      <w:pPr>
        <w:rPr>
          <w:rFonts w:ascii="Arial" w:hAnsi="Arial" w:cs="Arial"/>
          <w:b/>
        </w:rPr>
      </w:pPr>
      <w:r>
        <w:rPr>
          <w:rFonts w:ascii="Arial" w:hAnsi="Arial" w:cs="Arial"/>
          <w:b/>
        </w:rPr>
        <w:br w:type="page"/>
      </w:r>
    </w:p>
    <w:p w:rsidR="00602DE3" w:rsidRPr="00500152" w:rsidRDefault="00602DE3" w:rsidP="006D2FFA">
      <w:pPr>
        <w:rPr>
          <w:rFonts w:ascii="Arial" w:hAnsi="Arial" w:cs="Arial"/>
          <w:b/>
        </w:rPr>
      </w:pPr>
      <w:r w:rsidRPr="00500152">
        <w:rPr>
          <w:rFonts w:ascii="Arial" w:hAnsi="Arial" w:cs="Arial"/>
          <w:b/>
        </w:rPr>
        <w:lastRenderedPageBreak/>
        <w:t>Summary of consideration and rationale for MSAC’s advice</w:t>
      </w:r>
    </w:p>
    <w:p w:rsidR="00500152" w:rsidRDefault="00500152" w:rsidP="00602DE3"/>
    <w:p w:rsidR="00602DE3" w:rsidRDefault="00602DE3" w:rsidP="00602DE3">
      <w:r>
        <w:t xml:space="preserve">MSAC considered this application alongside MSAC application 1319 for image guided radiation therapy (IGRT) prior to or alongside external beam radiation therapy (EBRT) including IMRT. </w:t>
      </w:r>
    </w:p>
    <w:p w:rsidR="00602DE3" w:rsidRDefault="00602DE3" w:rsidP="00602DE3"/>
    <w:p w:rsidR="00D801A6" w:rsidRDefault="00602DE3" w:rsidP="00602DE3">
      <w:r>
        <w:t>MSAC reaffirmed that, on balance, the</w:t>
      </w:r>
      <w:r w:rsidR="000D56A8">
        <w:t>re is insufficient</w:t>
      </w:r>
      <w:r>
        <w:t xml:space="preserve"> evidence </w:t>
      </w:r>
      <w:r w:rsidR="000D56A8">
        <w:t>of</w:t>
      </w:r>
      <w:r>
        <w:t xml:space="preserve"> superior outcomes for IMRT compared to 3D-CRT.  MSAC agreed that IMRT should be MBS listed, with separate items to support further data collection on utilisation and cost effectiveness.  However, MSAC directed that this listing be cost neutral relative to 3D-CRT.</w:t>
      </w:r>
    </w:p>
    <w:p w:rsidR="00D801A6" w:rsidRDefault="00D801A6" w:rsidP="00602DE3"/>
    <w:p w:rsidR="00602DE3" w:rsidRDefault="00602DE3" w:rsidP="00602DE3">
      <w:r>
        <w:t xml:space="preserve">MSAC received advice from the Department about a cost neutral implementation package.  This package was developed in discussion with the applicant and </w:t>
      </w:r>
      <w:proofErr w:type="spellStart"/>
      <w:r>
        <w:t>GenesisCare</w:t>
      </w:r>
      <w:proofErr w:type="spellEnd"/>
      <w:r>
        <w:t xml:space="preserve">. MSAC was advised that the frequency of treatment verification for 3D-CRT and IMRT was similar, with MBS data indicating </w:t>
      </w:r>
      <w:r w:rsidR="00A92249">
        <w:t xml:space="preserve">a median of </w:t>
      </w:r>
      <w:r>
        <w:t xml:space="preserve">30 verification scans per course of curative treatment.  Based on 2013-14 data, the package provides for </w:t>
      </w:r>
      <w:r w:rsidR="00A92249">
        <w:t>a median</w:t>
      </w:r>
      <w:r>
        <w:t xml:space="preserve"> course of curative IMRT being:</w:t>
      </w:r>
    </w:p>
    <w:p w:rsidR="00602DE3" w:rsidRDefault="00602DE3" w:rsidP="00602DE3">
      <w:pPr>
        <w:pStyle w:val="ListParagraph"/>
        <w:numPr>
          <w:ilvl w:val="0"/>
          <w:numId w:val="30"/>
        </w:numPr>
      </w:pPr>
      <w:r>
        <w:t>Simulation session x 1</w:t>
      </w:r>
    </w:p>
    <w:p w:rsidR="00602DE3" w:rsidRDefault="00602DE3" w:rsidP="00602DE3">
      <w:pPr>
        <w:pStyle w:val="ListParagraph"/>
        <w:numPr>
          <w:ilvl w:val="0"/>
          <w:numId w:val="30"/>
        </w:numPr>
      </w:pPr>
      <w:r>
        <w:t>Dosimetry session x 1</w:t>
      </w:r>
    </w:p>
    <w:p w:rsidR="00602DE3" w:rsidRDefault="00602DE3" w:rsidP="00602DE3">
      <w:pPr>
        <w:pStyle w:val="ListParagraph"/>
        <w:numPr>
          <w:ilvl w:val="0"/>
          <w:numId w:val="30"/>
        </w:numPr>
      </w:pPr>
      <w:r>
        <w:t>Treatment session x 33</w:t>
      </w:r>
    </w:p>
    <w:p w:rsidR="00602DE3" w:rsidRDefault="00602DE3" w:rsidP="00602DE3">
      <w:pPr>
        <w:pStyle w:val="ListParagraph"/>
        <w:numPr>
          <w:ilvl w:val="0"/>
          <w:numId w:val="30"/>
        </w:numPr>
      </w:pPr>
      <w:r>
        <w:t>IGRT x 30</w:t>
      </w:r>
    </w:p>
    <w:p w:rsidR="00602DE3" w:rsidRDefault="00602DE3" w:rsidP="00602DE3"/>
    <w:p w:rsidR="00602DE3" w:rsidRDefault="00602DE3" w:rsidP="00602DE3">
      <w:r>
        <w:t xml:space="preserve">MSAC noted advice that the average MBS expenditure for a course of treatment with 3DCRT or </w:t>
      </w:r>
      <w:r w:rsidR="00A92249">
        <w:t>image-guided IMRT (</w:t>
      </w:r>
      <w:r>
        <w:t>IG-IMRT</w:t>
      </w:r>
      <w:r w:rsidR="00A92249">
        <w:t>)</w:t>
      </w:r>
      <w:r>
        <w:t xml:space="preserve"> was $12,359.  MSAC agreed that the fee structure for the proposed IG-IMRT items to redistribute funds to better reflect clinical practice was appropriate.  The proposed fee structure comprised:</w:t>
      </w:r>
    </w:p>
    <w:p w:rsidR="00602DE3" w:rsidRDefault="00602DE3" w:rsidP="00602DE3">
      <w:pPr>
        <w:pStyle w:val="ListParagraph"/>
        <w:numPr>
          <w:ilvl w:val="0"/>
          <w:numId w:val="31"/>
        </w:numPr>
      </w:pPr>
      <w:r>
        <w:t xml:space="preserve">40% </w:t>
      </w:r>
      <w:r w:rsidR="00A92249">
        <w:t xml:space="preserve">of total for </w:t>
      </w:r>
      <w:r>
        <w:t>simulation and dosimetry</w:t>
      </w:r>
    </w:p>
    <w:p w:rsidR="00602DE3" w:rsidRDefault="00602DE3" w:rsidP="00602DE3">
      <w:pPr>
        <w:pStyle w:val="ListParagraph"/>
        <w:numPr>
          <w:ilvl w:val="0"/>
          <w:numId w:val="31"/>
        </w:numPr>
      </w:pPr>
      <w:r>
        <w:t xml:space="preserve">60% </w:t>
      </w:r>
      <w:r w:rsidR="00A92249">
        <w:t xml:space="preserve">of total for </w:t>
      </w:r>
      <w:r>
        <w:t>treatment</w:t>
      </w:r>
    </w:p>
    <w:p w:rsidR="00602DE3" w:rsidRDefault="00A92249" w:rsidP="00602DE3">
      <w:pPr>
        <w:pStyle w:val="ListParagraph"/>
        <w:numPr>
          <w:ilvl w:val="0"/>
          <w:numId w:val="31"/>
        </w:numPr>
      </w:pPr>
      <w:r>
        <w:t>Separate fees for v</w:t>
      </w:r>
      <w:r w:rsidR="00602DE3">
        <w:t>erification scans</w:t>
      </w:r>
    </w:p>
    <w:p w:rsidR="00A51CD6" w:rsidRDefault="00A51CD6" w:rsidP="00A51CD6">
      <w:pPr>
        <w:pStyle w:val="ListParagraph"/>
      </w:pPr>
    </w:p>
    <w:p w:rsidR="00D801A6" w:rsidRDefault="00602DE3" w:rsidP="00602DE3">
      <w:r>
        <w:t>The proposed expenditure will be offset from substitutions for existing MBS items 15553, 15562, 15710 and the 3D-CRT treatment items.</w:t>
      </w:r>
    </w:p>
    <w:p w:rsidR="00D801A6" w:rsidRDefault="00D801A6" w:rsidP="00602DE3"/>
    <w:p w:rsidR="00602DE3" w:rsidRDefault="00602DE3" w:rsidP="00602DE3">
      <w:r>
        <w:t xml:space="preserve">MSAC accepted that the calculations were as robust as could be achieved with the available data set.  It was noted that the calculations rely on MBS data for number of fields per treatment session which is an approach that does not reflect current clinical practice.  </w:t>
      </w:r>
      <w:r w:rsidR="00366920">
        <w:t>MSAC noted t</w:t>
      </w:r>
      <w:r>
        <w:t>he reinvestment of expenditure into radiation oncology treatment in the public sector relative to the private sector.  MSAC was advised that some of these issues are likely to be addressed during the Review of Radiation Oncology Health Program Grants Scheme which will commence shortly.</w:t>
      </w:r>
    </w:p>
    <w:p w:rsidR="00602DE3" w:rsidRDefault="00602DE3" w:rsidP="00602DE3"/>
    <w:p w:rsidR="00D801A6" w:rsidRPr="00D801A6" w:rsidRDefault="00602DE3" w:rsidP="00D801A6">
      <w:r w:rsidRPr="00500152">
        <w:t xml:space="preserve">MSAC noted that </w:t>
      </w:r>
      <w:r w:rsidR="00372CA3">
        <w:t xml:space="preserve">subject to the passage of legislation </w:t>
      </w:r>
      <w:r w:rsidRPr="00500152">
        <w:t>from 1 January 2016 the new Medicare Safety Net will be capped at 150% of the Schedule Fee, which will limit the proportion of out-of-pocket costs that count towards the safety net threshold.</w:t>
      </w:r>
    </w:p>
    <w:p w:rsidR="00602DE3" w:rsidRDefault="00D801A6" w:rsidP="00D801A6">
      <w:pPr>
        <w:pStyle w:val="Heading1"/>
      </w:pPr>
      <w:r>
        <w:t xml:space="preserve"> </w:t>
      </w:r>
    </w:p>
    <w:p w:rsidR="00A16C3B" w:rsidRPr="00500152" w:rsidRDefault="00FD7DA3" w:rsidP="00A16C3B">
      <w:pPr>
        <w:rPr>
          <w:b/>
          <w:i/>
        </w:rPr>
      </w:pPr>
      <w:r w:rsidRPr="00500152">
        <w:rPr>
          <w:b/>
          <w:i/>
        </w:rPr>
        <w:t xml:space="preserve">MSAC </w:t>
      </w:r>
      <w:r w:rsidR="006D2FFA">
        <w:rPr>
          <w:b/>
          <w:i/>
        </w:rPr>
        <w:t xml:space="preserve">Review </w:t>
      </w:r>
      <w:r w:rsidRPr="00500152">
        <w:rPr>
          <w:b/>
          <w:i/>
        </w:rPr>
        <w:t>of November 2014</w:t>
      </w:r>
      <w:r w:rsidR="006D2FFA">
        <w:rPr>
          <w:b/>
          <w:i/>
        </w:rPr>
        <w:t xml:space="preserve"> Discussion</w:t>
      </w:r>
    </w:p>
    <w:p w:rsidR="00500152" w:rsidRDefault="00500152" w:rsidP="00A16C3B"/>
    <w:p w:rsidR="00A16C3B" w:rsidRDefault="00A16C3B" w:rsidP="00A16C3B">
      <w:r>
        <w:t xml:space="preserve">MSAC reviewed the discussion </w:t>
      </w:r>
      <w:r w:rsidR="00500152">
        <w:t>from</w:t>
      </w:r>
      <w:r>
        <w:t xml:space="preserve"> the November 2014 consideration of this application including:  </w:t>
      </w:r>
    </w:p>
    <w:p w:rsidR="00A16C3B" w:rsidRDefault="00A16C3B" w:rsidP="00A16C3B">
      <w:pPr>
        <w:pStyle w:val="ListParagraph"/>
        <w:numPr>
          <w:ilvl w:val="0"/>
          <w:numId w:val="42"/>
        </w:numPr>
        <w:spacing w:before="60"/>
      </w:pPr>
      <w:r w:rsidRPr="00790888">
        <w:rPr>
          <w:bCs/>
        </w:rPr>
        <w:t xml:space="preserve">IMRT </w:t>
      </w:r>
      <w:r>
        <w:t xml:space="preserve">is currently funded under existing MBS items for 3D-CRT.  </w:t>
      </w:r>
    </w:p>
    <w:p w:rsidR="00A16C3B" w:rsidRDefault="00A16C3B" w:rsidP="00A16C3B">
      <w:pPr>
        <w:pStyle w:val="ListParagraph"/>
        <w:numPr>
          <w:ilvl w:val="0"/>
          <w:numId w:val="42"/>
        </w:numPr>
        <w:spacing w:before="60"/>
      </w:pPr>
      <w:r>
        <w:lastRenderedPageBreak/>
        <w:t>The applicant is seeking separate items and higher fees based on claims of superior outcomes, more complex planning and increased treatment</w:t>
      </w:r>
      <w:r w:rsidRPr="00EE56F5">
        <w:t xml:space="preserve"> </w:t>
      </w:r>
      <w:r>
        <w:t>time requirements compared to 3D-CRT.</w:t>
      </w:r>
      <w:r w:rsidRPr="0041112C">
        <w:t xml:space="preserve"> </w:t>
      </w:r>
      <w:r>
        <w:t xml:space="preserve"> </w:t>
      </w:r>
    </w:p>
    <w:p w:rsidR="00A16C3B" w:rsidRDefault="00A16C3B" w:rsidP="00A16C3B">
      <w:pPr>
        <w:pStyle w:val="ListParagraph"/>
        <w:numPr>
          <w:ilvl w:val="0"/>
          <w:numId w:val="42"/>
        </w:numPr>
        <w:spacing w:before="60"/>
      </w:pPr>
      <w:r>
        <w:t xml:space="preserve">The capacity to target complex tumours with the radiation dose and avoid adjacent structures may provide an advantage in some patients, such as those with small volume tumours located near critical organs. </w:t>
      </w:r>
    </w:p>
    <w:p w:rsidR="00A16C3B" w:rsidRDefault="00A16C3B" w:rsidP="00A16C3B">
      <w:pPr>
        <w:pStyle w:val="ListParagraph"/>
        <w:numPr>
          <w:ilvl w:val="0"/>
          <w:numId w:val="42"/>
        </w:numPr>
        <w:spacing w:before="60"/>
      </w:pPr>
      <w:r>
        <w:t xml:space="preserve">IMRT has the potential to reduce the rate and severity of treatment side effects such as radiation toxicity compared with 3D-CRT but this needs to be supported by evidence.  </w:t>
      </w:r>
    </w:p>
    <w:p w:rsidR="00A16C3B" w:rsidRDefault="00A16C3B" w:rsidP="00A16C3B">
      <w:pPr>
        <w:pStyle w:val="ListParagraph"/>
        <w:numPr>
          <w:ilvl w:val="0"/>
          <w:numId w:val="42"/>
        </w:numPr>
        <w:spacing w:before="60"/>
      </w:pPr>
      <w:r>
        <w:t xml:space="preserve">The delivery of IMRT is more complex and requires increased time during the planning stage. </w:t>
      </w:r>
    </w:p>
    <w:p w:rsidR="00A16C3B" w:rsidRDefault="00A16C3B" w:rsidP="00A16C3B">
      <w:pPr>
        <w:pStyle w:val="ListParagraph"/>
        <w:numPr>
          <w:ilvl w:val="0"/>
          <w:numId w:val="42"/>
        </w:numPr>
      </w:pPr>
      <w:r>
        <w:t>For comparative safety, MSAC agreed that most</w:t>
      </w:r>
      <w:r w:rsidRPr="00582E7D">
        <w:t xml:space="preserve"> of the </w:t>
      </w:r>
      <w:r>
        <w:t>evidence</w:t>
      </w:r>
      <w:r w:rsidRPr="00582E7D">
        <w:t xml:space="preserve"> </w:t>
      </w:r>
      <w:r>
        <w:t>indicated</w:t>
      </w:r>
      <w:r w:rsidRPr="00582E7D">
        <w:t xml:space="preserve"> that IMRT is </w:t>
      </w:r>
      <w:r>
        <w:t xml:space="preserve">as safe as, but </w:t>
      </w:r>
      <w:r w:rsidRPr="00582E7D">
        <w:t>no safer than</w:t>
      </w:r>
      <w:r>
        <w:t xml:space="preserve"> 3D-CRT.  MSAC noted that some studies suggested reduced acute and late toxicity</w:t>
      </w:r>
      <w:r w:rsidDel="00973DA1">
        <w:t xml:space="preserve"> </w:t>
      </w:r>
      <w:r>
        <w:t>with IMRT compared with 3D-CRT.  However, a</w:t>
      </w:r>
      <w:r w:rsidRPr="00A83545">
        <w:t xml:space="preserve"> number of </w:t>
      </w:r>
      <w:r>
        <w:t xml:space="preserve">the </w:t>
      </w:r>
      <w:r w:rsidR="00A92249">
        <w:t xml:space="preserve">comparative </w:t>
      </w:r>
      <w:r w:rsidRPr="00A83545">
        <w:t xml:space="preserve">studies reported </w:t>
      </w:r>
      <w:r w:rsidR="00A92249">
        <w:t xml:space="preserve">more </w:t>
      </w:r>
      <w:r w:rsidRPr="00A83545">
        <w:t>ex</w:t>
      </w:r>
      <w:r>
        <w:t xml:space="preserve">tended follow-up of </w:t>
      </w:r>
      <w:r w:rsidRPr="00A83545">
        <w:t>patients treated with 3D-CRT</w:t>
      </w:r>
      <w:r w:rsidR="00A92249">
        <w:t xml:space="preserve"> than IMRT</w:t>
      </w:r>
      <w:r>
        <w:t>.  Therefore, late</w:t>
      </w:r>
      <w:r w:rsidRPr="00A83545">
        <w:t xml:space="preserve"> events </w:t>
      </w:r>
      <w:r>
        <w:t xml:space="preserve">were more likely </w:t>
      </w:r>
      <w:r w:rsidRPr="00A83545">
        <w:t>to have been captured</w:t>
      </w:r>
      <w:r>
        <w:t xml:space="preserve"> for the 3D-CRT group.</w:t>
      </w:r>
    </w:p>
    <w:p w:rsidR="00A16C3B" w:rsidRDefault="00A16C3B" w:rsidP="00A16C3B">
      <w:pPr>
        <w:pStyle w:val="ListParagraph"/>
        <w:numPr>
          <w:ilvl w:val="0"/>
          <w:numId w:val="42"/>
        </w:numPr>
      </w:pPr>
      <w:r>
        <w:t>For comparative effectiveness</w:t>
      </w:r>
      <w:proofErr w:type="gramStart"/>
      <w:r>
        <w:t>,.</w:t>
      </w:r>
      <w:proofErr w:type="gramEnd"/>
      <w:r>
        <w:t xml:space="preserve">  MSAC noted the limited data for IMRT and inconsistent results for tumour response, local control, </w:t>
      </w:r>
      <w:r w:rsidR="00A92249">
        <w:t>progression-free survival (</w:t>
      </w:r>
      <w:r>
        <w:t>PFS</w:t>
      </w:r>
      <w:r w:rsidR="00A92249">
        <w:t>)</w:t>
      </w:r>
      <w:r>
        <w:t xml:space="preserve"> and overall survival. MSAC observed that some of </w:t>
      </w:r>
      <w:r w:rsidRPr="004A4458">
        <w:t xml:space="preserve">the effectiveness data </w:t>
      </w:r>
      <w:r>
        <w:t>suggested</w:t>
      </w:r>
      <w:r w:rsidRPr="004A4458">
        <w:t xml:space="preserve"> advantages </w:t>
      </w:r>
      <w:r>
        <w:t>with</w:t>
      </w:r>
      <w:r w:rsidRPr="004A4458">
        <w:t xml:space="preserve"> IMRT</w:t>
      </w:r>
      <w:r>
        <w:t>.  However, MSAC agreed that</w:t>
      </w:r>
      <w:r w:rsidRPr="004A4458">
        <w:t xml:space="preserve"> </w:t>
      </w:r>
      <w:r>
        <w:t>there was inadequate evidence of</w:t>
      </w:r>
      <w:r w:rsidRPr="00071189">
        <w:t xml:space="preserve"> superior health outcomes</w:t>
      </w:r>
      <w:r>
        <w:t xml:space="preserve"> for IMRT.</w:t>
      </w:r>
    </w:p>
    <w:p w:rsidR="00A16C3B" w:rsidRDefault="00A16C3B" w:rsidP="00A16C3B">
      <w:pPr>
        <w:pStyle w:val="ListParagraph"/>
        <w:numPr>
          <w:ilvl w:val="0"/>
          <w:numId w:val="42"/>
        </w:numPr>
      </w:pPr>
      <w:r>
        <w:t xml:space="preserve">The economic evaluation referenced the ‘Assessment of New Radiation Oncology Technology and Treatment’ (ANROTAT) and estimates of the incremental cost of delivering IMRT </w:t>
      </w:r>
      <w:r w:rsidRPr="00BF0EE2">
        <w:t>for small and high volume disease</w:t>
      </w:r>
      <w:r>
        <w:t xml:space="preserve">.  MSAC was concerned that </w:t>
      </w:r>
      <w:r w:rsidRPr="000E3F6F">
        <w:t xml:space="preserve">ANROTAT </w:t>
      </w:r>
      <w:r>
        <w:t xml:space="preserve">relied heavily on expert opinion for derivation of utilities, </w:t>
      </w:r>
      <w:r w:rsidR="00A92249">
        <w:t xml:space="preserve">quality of </w:t>
      </w:r>
      <w:r w:rsidR="002A3600">
        <w:t xml:space="preserve">life </w:t>
      </w:r>
      <w:r w:rsidR="00A92249">
        <w:t>(</w:t>
      </w:r>
      <w:proofErr w:type="spellStart"/>
      <w:r>
        <w:t>QoL</w:t>
      </w:r>
      <w:proofErr w:type="spellEnd"/>
      <w:r w:rsidR="00A92249">
        <w:t>)</w:t>
      </w:r>
      <w:r>
        <w:t xml:space="preserve"> of various health states and costs and that at times these appeared unreasonable (e.g. assuming men with stable </w:t>
      </w:r>
      <w:r w:rsidR="00A92249">
        <w:t xml:space="preserve">prostate </w:t>
      </w:r>
      <w:r>
        <w:t xml:space="preserve">cancer but no toxicity are in a perfect health state </w:t>
      </w:r>
      <w:r w:rsidR="00A92249">
        <w:t>[</w:t>
      </w:r>
      <w:r>
        <w:t>a utility of 1.0</w:t>
      </w:r>
      <w:r w:rsidR="00A92249">
        <w:t>]</w:t>
      </w:r>
      <w:r>
        <w:t>).</w:t>
      </w:r>
    </w:p>
    <w:p w:rsidR="00A16C3B" w:rsidRDefault="00A16C3B" w:rsidP="00A16C3B">
      <w:pPr>
        <w:pStyle w:val="ListParagraph"/>
        <w:numPr>
          <w:ilvl w:val="0"/>
          <w:numId w:val="42"/>
        </w:numPr>
      </w:pPr>
      <w:r>
        <w:t>MSAC did not support a higher fee for IMRT as the</w:t>
      </w:r>
      <w:r w:rsidR="00A92249">
        <w:t>re was insufficient</w:t>
      </w:r>
      <w:r>
        <w:t xml:space="preserve"> evidence </w:t>
      </w:r>
      <w:r w:rsidR="00A92249">
        <w:t xml:space="preserve">of </w:t>
      </w:r>
      <w:r>
        <w:t xml:space="preserve">superior effectiveness.  </w:t>
      </w:r>
    </w:p>
    <w:p w:rsidR="00A16C3B" w:rsidRDefault="00A16C3B" w:rsidP="00A16C3B">
      <w:pPr>
        <w:pStyle w:val="ListParagraph"/>
        <w:numPr>
          <w:ilvl w:val="0"/>
          <w:numId w:val="42"/>
        </w:numPr>
      </w:pPr>
      <w:r>
        <w:t xml:space="preserve">MSAC was concerned about the </w:t>
      </w:r>
      <w:r w:rsidR="00A92249">
        <w:t xml:space="preserve">additional </w:t>
      </w:r>
      <w:r>
        <w:t xml:space="preserve">economic impact of </w:t>
      </w:r>
      <w:r w:rsidR="00A92249">
        <w:t>image-guided radiotherapy (</w:t>
      </w:r>
      <w:r>
        <w:t>IGRT</w:t>
      </w:r>
      <w:r w:rsidR="00A92249">
        <w:t>)</w:t>
      </w:r>
      <w:r>
        <w:t xml:space="preserve"> given this technique would be required at each treatment session.  MSAC recommended that if IMRT </w:t>
      </w:r>
      <w:r w:rsidR="00A92249">
        <w:t xml:space="preserve">were to be </w:t>
      </w:r>
      <w:r>
        <w:t>listed, there should not be any incremental cost arising from IGRT use.</w:t>
      </w:r>
    </w:p>
    <w:p w:rsidR="00A16C3B" w:rsidRDefault="00A16C3B" w:rsidP="00A16C3B">
      <w:pPr>
        <w:pStyle w:val="ListParagraph"/>
        <w:numPr>
          <w:ilvl w:val="0"/>
          <w:numId w:val="42"/>
        </w:numPr>
      </w:pPr>
      <w:r w:rsidRPr="008049E1">
        <w:t xml:space="preserve">MSAC </w:t>
      </w:r>
      <w:r>
        <w:t xml:space="preserve">discussed concerns raised by </w:t>
      </w:r>
      <w:r w:rsidRPr="008049E1">
        <w:t xml:space="preserve">the applicant </w:t>
      </w:r>
      <w:r>
        <w:t xml:space="preserve">regarding the interpretation of evidence and the validity of the assessment.  </w:t>
      </w:r>
      <w:r w:rsidRPr="008049E1">
        <w:t xml:space="preserve">However, MSAC agreed with ESC that the assessment </w:t>
      </w:r>
      <w:r>
        <w:t xml:space="preserve">report </w:t>
      </w:r>
      <w:r w:rsidRPr="008049E1">
        <w:t xml:space="preserve">generally represented a </w:t>
      </w:r>
      <w:r>
        <w:t>fair</w:t>
      </w:r>
      <w:r w:rsidRPr="008049E1">
        <w:t xml:space="preserve"> analysis of a poor dataset.</w:t>
      </w:r>
    </w:p>
    <w:p w:rsidR="00A16C3B" w:rsidRPr="006D2FFA" w:rsidRDefault="00A16C3B" w:rsidP="00500152"/>
    <w:p w:rsidR="00E977EE" w:rsidRDefault="00E977EE" w:rsidP="00500152">
      <w:pPr>
        <w:pStyle w:val="Heading1"/>
      </w:pPr>
      <w:r w:rsidRPr="008D5885">
        <w:t>MSAC’s</w:t>
      </w:r>
      <w:r w:rsidR="00F26128">
        <w:t xml:space="preserve"> November 2014 consideration</w:t>
      </w:r>
    </w:p>
    <w:p w:rsidR="00500152" w:rsidRDefault="00500152" w:rsidP="00602DE3"/>
    <w:p w:rsidR="00602DE3" w:rsidRDefault="00602DE3" w:rsidP="00602DE3">
      <w:r>
        <w:t>After considering the strength of the available evidence in relation to safety, clinical effectiveness and cost-effectiveness, MSAC deferred the application, noting the co-dependence of IMRT and IGRT, until the Department has provided the further information requested for IGRT.</w:t>
      </w:r>
    </w:p>
    <w:p w:rsidR="00602DE3" w:rsidRDefault="00602DE3" w:rsidP="00602DE3"/>
    <w:p w:rsidR="00602DE3" w:rsidRDefault="00602DE3" w:rsidP="00602DE3">
      <w:r>
        <w:t>MSAC concluded that there was insufficient evidence overall of improved health outcomes over the comparator of 3D-CRT, and so foreshadowed its intention to support funding of IMRT on the basis of an implementation strategy that would achieve budget neutrality, such as adopting the same MBS fees as apply to 3D-CRT.</w:t>
      </w:r>
    </w:p>
    <w:p w:rsidR="00956255" w:rsidRDefault="00956255" w:rsidP="00956255">
      <w:r>
        <w:t xml:space="preserve"> </w:t>
      </w:r>
    </w:p>
    <w:p w:rsidR="00602DE3" w:rsidRDefault="00602DE3" w:rsidP="00602DE3">
      <w:pPr>
        <w:pStyle w:val="Heading1"/>
      </w:pPr>
      <w:r w:rsidRPr="008D5885">
        <w:lastRenderedPageBreak/>
        <w:t>Summary of consideration and rationale for MSAC’s advice</w:t>
      </w:r>
      <w:r w:rsidRPr="00707064">
        <w:t xml:space="preserve"> </w:t>
      </w:r>
    </w:p>
    <w:p w:rsidR="00602DE3" w:rsidRDefault="00602DE3" w:rsidP="00602DE3">
      <w:pPr>
        <w:rPr>
          <w:szCs w:val="24"/>
        </w:rPr>
      </w:pPr>
    </w:p>
    <w:p w:rsidR="00602DE3" w:rsidRDefault="00602DE3" w:rsidP="00602DE3">
      <w:r>
        <w:t>MSAC considered this application alongside MSAC application 1319 IGRT prior to or alongside EBRT including IMRT.</w:t>
      </w:r>
    </w:p>
    <w:p w:rsidR="00602DE3" w:rsidRDefault="00602DE3" w:rsidP="00602DE3"/>
    <w:p w:rsidR="00602DE3" w:rsidRDefault="00602DE3" w:rsidP="00602DE3">
      <w:r>
        <w:t xml:space="preserve">MSAC noted that </w:t>
      </w:r>
      <w:r w:rsidRPr="00E71CB8">
        <w:rPr>
          <w:bCs/>
        </w:rPr>
        <w:t xml:space="preserve">IMRT </w:t>
      </w:r>
      <w:r>
        <w:rPr>
          <w:bCs/>
        </w:rPr>
        <w:t>for</w:t>
      </w:r>
      <w:r w:rsidRPr="00E71CB8">
        <w:rPr>
          <w:bCs/>
        </w:rPr>
        <w:t xml:space="preserve"> treatment of cancer</w:t>
      </w:r>
      <w:r>
        <w:rPr>
          <w:bCs/>
        </w:rPr>
        <w:t xml:space="preserve"> (curative or palliative)</w:t>
      </w:r>
      <w:r>
        <w:t xml:space="preserve"> is not specifically listed on the MBS but is currently being funded via existing MBS items for radiation therapy. The applicant is proposing new items and fees for this intervention.</w:t>
      </w:r>
      <w:r w:rsidRPr="0041112C">
        <w:t xml:space="preserve"> </w:t>
      </w:r>
      <w:r>
        <w:t xml:space="preserve">IMRT delivers ionising radiation to cancerous cells in a similar way to 3D-CRT. However, while both technologies deliver geometrically shaped beams, the intensity of the beams generated by IMRT is able to be modulated which results in a customisable radiation dose to target a tumour better while sparing surrounding non-tumour tissues therefore potentially improving treatment outcomes. MSAC noted the capacity to sculpt the radiation around complex tumour volumes to avoid adjacent structures may provide a treatment advantage in some patients, such as those with small volume tumours located near critical organs. MSAC observed that while IMRT had the potential to reduce the rate and severity of treatment side effects (i.e., radiation toxicity outcomes), compared with 3D-CRT, the delivery of this intervention would likely be associated with increased complexity and increased time requirements at the treatment planning stages. </w:t>
      </w:r>
    </w:p>
    <w:p w:rsidR="00602DE3" w:rsidRDefault="00602DE3" w:rsidP="00602DE3"/>
    <w:p w:rsidR="00602DE3" w:rsidRDefault="00602DE3" w:rsidP="00602DE3">
      <w:r>
        <w:t xml:space="preserve">Comparative clinical evaluation of IMRT against 3D-CRT was informed by a systematic review of 163 studies, which evaluated safety (acute and late toxicity) and clinical effectiveness (tumour response, local control of tumour, progression-free survival (PFS), overall survival, quality of life) outcomes across a range of cancer types. </w:t>
      </w:r>
    </w:p>
    <w:p w:rsidR="00602DE3" w:rsidRDefault="00602DE3" w:rsidP="00602DE3"/>
    <w:p w:rsidR="00602DE3" w:rsidRDefault="00602DE3" w:rsidP="00602DE3">
      <w:r>
        <w:t xml:space="preserve">MSAC considered that the data indicated there may be </w:t>
      </w:r>
      <w:r w:rsidRPr="00582E7D">
        <w:t>benefit</w:t>
      </w:r>
      <w:r>
        <w:t xml:space="preserve">s for IMRT compared with 3D-CRT in terms of a reduction in acute and late toxicity; however, </w:t>
      </w:r>
      <w:r w:rsidRPr="00582E7D">
        <w:t xml:space="preserve">a large proportion of the literature </w:t>
      </w:r>
      <w:r>
        <w:t>suggested</w:t>
      </w:r>
      <w:r w:rsidRPr="00582E7D">
        <w:t xml:space="preserve"> that IMRT is </w:t>
      </w:r>
      <w:r>
        <w:t xml:space="preserve">as safe as but </w:t>
      </w:r>
      <w:r w:rsidRPr="00582E7D">
        <w:t>no safer than</w:t>
      </w:r>
      <w:r>
        <w:t xml:space="preserve"> 3D-CRT despite the increased dose of radiation in several of the studies. MSAC noted that a</w:t>
      </w:r>
      <w:r w:rsidRPr="00A83545">
        <w:t xml:space="preserve"> number of </w:t>
      </w:r>
      <w:r>
        <w:t xml:space="preserve">the observational </w:t>
      </w:r>
      <w:r w:rsidRPr="00A83545">
        <w:t>studies reported ex</w:t>
      </w:r>
      <w:r>
        <w:t xml:space="preserve">tended periods of follow-up in </w:t>
      </w:r>
      <w:r w:rsidRPr="00A83545">
        <w:t xml:space="preserve">patients treated with 3D-CRT compared with IMRT, </w:t>
      </w:r>
      <w:r>
        <w:t>suggesting</w:t>
      </w:r>
      <w:r w:rsidRPr="00A83545">
        <w:t xml:space="preserve"> a greater opportunity for late events to have been captured</w:t>
      </w:r>
      <w:r>
        <w:t xml:space="preserve"> in the 3D-CRT group.</w:t>
      </w:r>
    </w:p>
    <w:p w:rsidR="00602DE3" w:rsidRDefault="00602DE3" w:rsidP="00602DE3"/>
    <w:p w:rsidR="00602DE3" w:rsidRDefault="00602DE3" w:rsidP="00602DE3">
      <w:r>
        <w:t xml:space="preserve">MSAC noted that the clinical effectiveness data for IMRT were limited and the results inconsistent for tumour response, local control, PFS and overall survival. MSAC observed that although </w:t>
      </w:r>
      <w:r w:rsidRPr="004A4458">
        <w:t xml:space="preserve">the effectiveness data </w:t>
      </w:r>
      <w:r>
        <w:t>suggested</w:t>
      </w:r>
      <w:r w:rsidRPr="004A4458">
        <w:t xml:space="preserve"> some advantages of IMRT, </w:t>
      </w:r>
      <w:r>
        <w:t>there was inadequate evidence of</w:t>
      </w:r>
      <w:r w:rsidRPr="00071189">
        <w:t xml:space="preserve"> superior health outcomes</w:t>
      </w:r>
      <w:r>
        <w:t>,</w:t>
      </w:r>
      <w:r w:rsidRPr="00071189">
        <w:t xml:space="preserve"> </w:t>
      </w:r>
      <w:r>
        <w:t xml:space="preserve">and MSAC concluded that IMRT appears to be as effective as 3D-CRT. </w:t>
      </w:r>
    </w:p>
    <w:p w:rsidR="00602DE3" w:rsidRDefault="00602DE3" w:rsidP="00602DE3"/>
    <w:p w:rsidR="00602DE3" w:rsidRDefault="00602DE3" w:rsidP="00602DE3">
      <w:r>
        <w:t xml:space="preserve">The economic evaluation presented noted data from the ‘Assessment of New Radiation Oncology Technology and Treatment’ (ANROTAT) study. The results suggested that </w:t>
      </w:r>
      <w:r w:rsidRPr="00990827">
        <w:t>the cost of delivering IMRT is likely significantly lower than the</w:t>
      </w:r>
      <w:r>
        <w:t xml:space="preserve"> MBS</w:t>
      </w:r>
      <w:r w:rsidRPr="00990827">
        <w:t xml:space="preserve"> items which would be claimed currently</w:t>
      </w:r>
      <w:r>
        <w:t xml:space="preserve">. However, MSAC noted that the Applicant advised the cost associated with the delivery of IMRT is greater than that estimated in the ANTROTAT study. MSAC was concerned </w:t>
      </w:r>
      <w:r w:rsidRPr="000E3F6F">
        <w:t xml:space="preserve">that the conclusions from the ANROTAT </w:t>
      </w:r>
      <w:r>
        <w:t xml:space="preserve">study, such as derivation of utilities, </w:t>
      </w:r>
      <w:proofErr w:type="spellStart"/>
      <w:r>
        <w:t>QoL</w:t>
      </w:r>
      <w:proofErr w:type="spellEnd"/>
      <w:r>
        <w:t xml:space="preserve"> of various health states and IMRT costs</w:t>
      </w:r>
      <w:r w:rsidRPr="000E3F6F">
        <w:t xml:space="preserve"> were heavily reliant on expert opinion </w:t>
      </w:r>
      <w:r>
        <w:t xml:space="preserve"> rather than actual data and in some cases appeared to be unreasonable – such assuming men with stable cancer but no toxicity are in a perfect health state (a utility of 1.0).</w:t>
      </w:r>
    </w:p>
    <w:p w:rsidR="00602DE3" w:rsidRDefault="00602DE3" w:rsidP="00602DE3"/>
    <w:p w:rsidR="00602DE3" w:rsidRDefault="00602DE3" w:rsidP="00602DE3">
      <w:r>
        <w:t xml:space="preserve">The assessment report also contained data provided by Genesis Care regarding </w:t>
      </w:r>
      <w:r w:rsidRPr="00BF0EE2">
        <w:t xml:space="preserve">estimates of the incremental cost of delivering IMRT for small and high volume disease compared with </w:t>
      </w:r>
      <w:r w:rsidRPr="00BF0EE2">
        <w:lastRenderedPageBreak/>
        <w:t>3D-CRT</w:t>
      </w:r>
      <w:r>
        <w:t>.</w:t>
      </w:r>
      <w:r w:rsidRPr="00BF0EE2">
        <w:t xml:space="preserve"> </w:t>
      </w:r>
      <w:r>
        <w:t>In this analysis, higher costs were reported for IMRT compared with 3D-CRT for the treatment of both large volume and small volume disease.</w:t>
      </w:r>
    </w:p>
    <w:p w:rsidR="00602DE3" w:rsidRDefault="00602DE3" w:rsidP="00602DE3"/>
    <w:p w:rsidR="00602DE3" w:rsidRDefault="00602DE3" w:rsidP="00602DE3">
      <w:r>
        <w:t>MSAC noted the application requested a premium fee for IMRT compared with 3D-CRT, since IMRT is more resource intensive. Given the lack of evidence of superior effectiveness, MSAC considered an increased fee for IMRT was not justified. MSAC also noted that IGRT would be used every time a patient was treated with IMRT and this may also impact on overall costs. MSAC considered that there should not be any incremental cost to the MBS if IMRT was listed.</w:t>
      </w:r>
    </w:p>
    <w:p w:rsidR="00602DE3" w:rsidRDefault="00602DE3" w:rsidP="00602DE3"/>
    <w:p w:rsidR="00602DE3" w:rsidRDefault="00602DE3" w:rsidP="00602DE3">
      <w:r w:rsidRPr="008049E1">
        <w:t xml:space="preserve">MSAC noted that the applicant was </w:t>
      </w:r>
      <w:r w:rsidR="002A3600">
        <w:t>dissatisfied</w:t>
      </w:r>
      <w:r w:rsidR="002A3600" w:rsidRPr="008049E1">
        <w:t xml:space="preserve"> </w:t>
      </w:r>
      <w:r w:rsidRPr="008049E1">
        <w:t>with the contracted assessment report</w:t>
      </w:r>
      <w:r w:rsidR="000E41F7">
        <w:t xml:space="preserve"> because the applicant was of the opinion that the report continued to demonstrate a poor understanding of radiation therapy, the application and the data</w:t>
      </w:r>
      <w:r w:rsidRPr="008049E1">
        <w:t xml:space="preserve">. However, MSAC agreed with ESC that the assessment </w:t>
      </w:r>
      <w:r>
        <w:t xml:space="preserve">report </w:t>
      </w:r>
      <w:r w:rsidRPr="008049E1">
        <w:t xml:space="preserve">generally represented a </w:t>
      </w:r>
      <w:r>
        <w:t>fair</w:t>
      </w:r>
      <w:r w:rsidRPr="008049E1">
        <w:t xml:space="preserve"> analysis of a poor dataset.</w:t>
      </w:r>
    </w:p>
    <w:p w:rsidR="00F26128" w:rsidRPr="00707064" w:rsidRDefault="00F26128" w:rsidP="00550354">
      <w:pPr>
        <w:rPr>
          <w:szCs w:val="24"/>
        </w:rPr>
      </w:pPr>
    </w:p>
    <w:p w:rsidR="00BC1364" w:rsidRPr="00D90A38" w:rsidRDefault="00BC1364" w:rsidP="007B32D1">
      <w:pPr>
        <w:pStyle w:val="Heading1"/>
        <w:numPr>
          <w:ilvl w:val="0"/>
          <w:numId w:val="23"/>
        </w:numPr>
        <w:ind w:hanging="720"/>
      </w:pPr>
      <w:r w:rsidRPr="00D90A38">
        <w:t>Background</w:t>
      </w:r>
    </w:p>
    <w:p w:rsidR="00BC1364" w:rsidRDefault="00BC1364" w:rsidP="00DD2858">
      <w:pPr>
        <w:rPr>
          <w:b/>
          <w:szCs w:val="24"/>
        </w:rPr>
      </w:pPr>
    </w:p>
    <w:p w:rsidR="00927922" w:rsidRDefault="00927922" w:rsidP="00927922">
      <w:pPr>
        <w:tabs>
          <w:tab w:val="left" w:pos="720"/>
          <w:tab w:val="left" w:pos="1140"/>
        </w:tabs>
        <w:spacing w:after="240"/>
        <w:rPr>
          <w:szCs w:val="24"/>
        </w:rPr>
      </w:pPr>
      <w:r w:rsidRPr="00EE5577">
        <w:rPr>
          <w:szCs w:val="24"/>
        </w:rPr>
        <w:t xml:space="preserve">MSAC </w:t>
      </w:r>
      <w:r>
        <w:rPr>
          <w:szCs w:val="24"/>
        </w:rPr>
        <w:t>has not previously considered IM</w:t>
      </w:r>
      <w:r w:rsidRPr="00EE5577">
        <w:rPr>
          <w:szCs w:val="24"/>
        </w:rPr>
        <w:t xml:space="preserve">RT for use in cancer treatment. </w:t>
      </w:r>
    </w:p>
    <w:p w:rsidR="007B32D1" w:rsidRDefault="00927922" w:rsidP="007B32D1">
      <w:r>
        <w:t>This application was considered by ESC in June 2014. F</w:t>
      </w:r>
      <w:r w:rsidR="00956255">
        <w:t xml:space="preserve">ollowing discussion with the applicant additional analysis </w:t>
      </w:r>
      <w:r>
        <w:t xml:space="preserve">was commissioned to </w:t>
      </w:r>
      <w:r w:rsidR="00956255">
        <w:t xml:space="preserve">revise </w:t>
      </w:r>
      <w:r>
        <w:t xml:space="preserve">the assessment report </w:t>
      </w:r>
      <w:r w:rsidR="00956255">
        <w:t>following publication of</w:t>
      </w:r>
      <w:r>
        <w:t xml:space="preserve"> new evidence</w:t>
      </w:r>
      <w:r w:rsidR="00956255">
        <w:t>.</w:t>
      </w:r>
    </w:p>
    <w:p w:rsidR="00D801A6" w:rsidRPr="007B32D1" w:rsidRDefault="00D801A6" w:rsidP="007B32D1"/>
    <w:p w:rsidR="00074C9F" w:rsidRPr="00074C9F" w:rsidRDefault="00BC1364" w:rsidP="00074C9F">
      <w:pPr>
        <w:pStyle w:val="Heading1"/>
        <w:numPr>
          <w:ilvl w:val="0"/>
          <w:numId w:val="23"/>
        </w:numPr>
        <w:ind w:hanging="720"/>
      </w:pPr>
      <w:r w:rsidRPr="00D90A38">
        <w:t>Prerequisites to implementation of any funding advice</w:t>
      </w:r>
    </w:p>
    <w:p w:rsidR="00BC1364" w:rsidRPr="00707064" w:rsidRDefault="00BC1364" w:rsidP="00DD2858">
      <w:pPr>
        <w:tabs>
          <w:tab w:val="left" w:pos="720"/>
          <w:tab w:val="left" w:pos="1140"/>
        </w:tabs>
        <w:ind w:left="706"/>
        <w:rPr>
          <w:b/>
          <w:szCs w:val="24"/>
        </w:rPr>
      </w:pPr>
    </w:p>
    <w:p w:rsidR="00927922" w:rsidRDefault="00927922" w:rsidP="00927922">
      <w:r w:rsidRPr="007C44E6">
        <w:t>The delivery of IMRT may require more capital investment compared to a standard 3D-CRT linear accelerator and treatment planning system, specifically software and hardware enabled for IMRT treatment planning and delivery.</w:t>
      </w:r>
    </w:p>
    <w:p w:rsidR="00927922" w:rsidRPr="007C44E6" w:rsidRDefault="00927922" w:rsidP="00927922"/>
    <w:p w:rsidR="00927922" w:rsidRDefault="00534555" w:rsidP="00927922">
      <w:pPr>
        <w:rPr>
          <w:szCs w:val="24"/>
        </w:rPr>
      </w:pPr>
      <w:r>
        <w:t>Similar to 3D-CRT, a</w:t>
      </w:r>
      <w:r w:rsidR="00927922" w:rsidRPr="007C44E6">
        <w:t xml:space="preserve"> multi-disciplinary </w:t>
      </w:r>
      <w:r w:rsidR="00956255">
        <w:t>team of</w:t>
      </w:r>
      <w:r w:rsidR="00927922" w:rsidRPr="007C44E6">
        <w:t xml:space="preserve"> radiation oncologists, radiation therapists</w:t>
      </w:r>
      <w:r w:rsidR="00956255">
        <w:t xml:space="preserve"> and</w:t>
      </w:r>
      <w:r w:rsidR="00927922" w:rsidRPr="007C44E6">
        <w:t xml:space="preserve"> medical physicists </w:t>
      </w:r>
      <w:r w:rsidR="00956255">
        <w:t>is required for IMRT</w:t>
      </w:r>
      <w:r w:rsidR="00927922" w:rsidRPr="007C44E6">
        <w:rPr>
          <w:szCs w:val="24"/>
        </w:rPr>
        <w:t>.</w:t>
      </w:r>
    </w:p>
    <w:p w:rsidR="00BC1364" w:rsidRPr="00707064" w:rsidRDefault="00BC1364" w:rsidP="009E0D98">
      <w:pPr>
        <w:tabs>
          <w:tab w:val="left" w:pos="720"/>
          <w:tab w:val="left" w:pos="1140"/>
        </w:tabs>
        <w:rPr>
          <w:color w:val="0070C0"/>
          <w:szCs w:val="24"/>
        </w:rPr>
      </w:pPr>
    </w:p>
    <w:p w:rsidR="00BC1364" w:rsidRPr="007B32D1" w:rsidRDefault="00BC1364" w:rsidP="007B32D1">
      <w:pPr>
        <w:pStyle w:val="Heading1"/>
        <w:numPr>
          <w:ilvl w:val="0"/>
          <w:numId w:val="23"/>
        </w:numPr>
        <w:ind w:hanging="720"/>
      </w:pPr>
      <w:r w:rsidRPr="007B32D1">
        <w:t>Proposal for public funding</w:t>
      </w:r>
    </w:p>
    <w:p w:rsidR="00BC1364" w:rsidRDefault="00BC1364" w:rsidP="00AB3BFC">
      <w:pPr>
        <w:tabs>
          <w:tab w:val="left" w:pos="720"/>
          <w:tab w:val="left" w:pos="1140"/>
        </w:tabs>
        <w:rPr>
          <w:sz w:val="23"/>
          <w:szCs w:val="23"/>
        </w:rPr>
      </w:pPr>
    </w:p>
    <w:p w:rsidR="00927922" w:rsidRDefault="00927922" w:rsidP="00927922">
      <w:r>
        <w:t>Tables 1 and 2 outline the proposed MBS descriptors for the planning and treatment associated with IMRT.</w:t>
      </w:r>
    </w:p>
    <w:p w:rsidR="00074C9F" w:rsidRDefault="00074C9F" w:rsidP="00927922">
      <w:r>
        <w:br w:type="page"/>
      </w:r>
    </w:p>
    <w:p w:rsidR="00074C9F" w:rsidRDefault="00074C9F" w:rsidP="00927922"/>
    <w:p w:rsidR="00927922" w:rsidRDefault="00F41423" w:rsidP="00927922">
      <w:pPr>
        <w:pStyle w:val="TableName"/>
        <w:ind w:left="720" w:firstLine="0"/>
        <w:rPr>
          <w:rFonts w:ascii="Times New Roman" w:hAnsi="Times New Roman"/>
          <w:b w:val="0"/>
          <w:sz w:val="24"/>
        </w:rPr>
      </w:pPr>
      <w:bookmarkStart w:id="1" w:name="_Toc387403272"/>
      <w:bookmarkStart w:id="2" w:name="_Toc387404064"/>
      <w:r>
        <w:t>T</w:t>
      </w:r>
      <w:r w:rsidR="00927922">
        <w:t>able 1:</w:t>
      </w:r>
      <w:r w:rsidR="00927922">
        <w:tab/>
        <w:t xml:space="preserve">Proposed </w:t>
      </w:r>
      <w:r w:rsidR="00927922" w:rsidRPr="00A34E9C">
        <w:t xml:space="preserve">MBS item descriptor for </w:t>
      </w:r>
      <w:r w:rsidR="00927922">
        <w:t>computerised planning for IMRT</w:t>
      </w:r>
      <w:bookmarkEnd w:id="1"/>
      <w:bookmarkEnd w:id="2"/>
    </w:p>
    <w:tbl>
      <w:tblPr>
        <w:tblStyle w:val="LightList"/>
        <w:tblW w:w="0" w:type="auto"/>
        <w:tblLook w:val="00A0" w:firstRow="1" w:lastRow="0" w:firstColumn="1" w:lastColumn="0" w:noHBand="0" w:noVBand="0"/>
        <w:tblCaption w:val="Proposed MBS item descriptor for computerised planning for IMRT"/>
        <w:tblDescription w:val="describes the proposed item descriptor for intensity modulated radiation therapy treatment planning"/>
      </w:tblPr>
      <w:tblGrid>
        <w:gridCol w:w="8425"/>
      </w:tblGrid>
      <w:tr w:rsidR="00A355CF" w:rsidRPr="00A355CF" w:rsidTr="00A355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25" w:type="dxa"/>
            <w:shd w:val="clear" w:color="auto" w:fill="FFFFFF" w:themeFill="background1"/>
          </w:tcPr>
          <w:p w:rsidR="00074C9F" w:rsidRPr="00A355CF" w:rsidRDefault="00074C9F" w:rsidP="00A355CF">
            <w:pPr>
              <w:jc w:val="center"/>
              <w:rPr>
                <w:b w:val="0"/>
                <w:color w:val="auto"/>
                <w:sz w:val="20"/>
              </w:rPr>
            </w:pPr>
            <w:r w:rsidRPr="00A355CF">
              <w:rPr>
                <w:b w:val="0"/>
                <w:color w:val="auto"/>
                <w:sz w:val="20"/>
              </w:rPr>
              <w:t>Category 3, Group T2 – Radiation Oncology Computerised Planning</w:t>
            </w:r>
          </w:p>
        </w:tc>
      </w:tr>
      <w:tr w:rsidR="00A355CF" w:rsidRPr="00A355CF" w:rsidTr="00A35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shd w:val="clear" w:color="auto" w:fill="FFFFFF" w:themeFill="background1"/>
          </w:tcPr>
          <w:p w:rsidR="00074C9F" w:rsidRPr="00A355CF" w:rsidRDefault="00074C9F" w:rsidP="00074C9F">
            <w:pPr>
              <w:pBdr>
                <w:top w:val="single" w:sz="4" w:space="1" w:color="auto"/>
                <w:left w:val="single" w:sz="4" w:space="4" w:color="auto"/>
                <w:right w:val="single" w:sz="4" w:space="4" w:color="auto"/>
              </w:pBdr>
              <w:shd w:val="clear" w:color="auto" w:fill="FBFBFB"/>
              <w:rPr>
                <w:rStyle w:val="highlight1"/>
                <w:b w:val="0"/>
                <w:color w:val="auto"/>
                <w:sz w:val="20"/>
                <w:shd w:val="clear" w:color="auto" w:fill="FFFFFF" w:themeFill="background1"/>
              </w:rPr>
            </w:pPr>
          </w:p>
          <w:p w:rsidR="00074C9F" w:rsidRPr="00A355CF" w:rsidRDefault="00074C9F" w:rsidP="00074C9F">
            <w:pPr>
              <w:pBdr>
                <w:top w:val="single" w:sz="4" w:space="1" w:color="auto"/>
                <w:left w:val="single" w:sz="4" w:space="4" w:color="auto"/>
                <w:right w:val="single" w:sz="4" w:space="4" w:color="auto"/>
              </w:pBdr>
              <w:shd w:val="clear" w:color="auto" w:fill="FBFBFB"/>
              <w:rPr>
                <w:rStyle w:val="highlight1"/>
                <w:b w:val="0"/>
                <w:color w:val="auto"/>
                <w:sz w:val="20"/>
                <w:shd w:val="clear" w:color="auto" w:fill="FFFFFF" w:themeFill="background1"/>
              </w:rPr>
            </w:pPr>
            <w:r w:rsidRPr="00A355CF">
              <w:rPr>
                <w:rStyle w:val="highlight1"/>
                <w:b w:val="0"/>
                <w:color w:val="auto"/>
                <w:sz w:val="20"/>
                <w:shd w:val="clear" w:color="auto" w:fill="FFFFFF" w:themeFill="background1"/>
              </w:rPr>
              <w:t>MBS XXXXX</w:t>
            </w:r>
          </w:p>
          <w:p w:rsidR="00074C9F" w:rsidRPr="00A355CF" w:rsidRDefault="00074C9F" w:rsidP="00074C9F">
            <w:pPr>
              <w:pBdr>
                <w:top w:val="single" w:sz="4" w:space="1" w:color="auto"/>
                <w:left w:val="single" w:sz="4" w:space="4" w:color="auto"/>
                <w:right w:val="single" w:sz="4" w:space="4" w:color="auto"/>
              </w:pBdr>
              <w:shd w:val="clear" w:color="auto" w:fill="FBFBFB"/>
              <w:rPr>
                <w:rStyle w:val="highlight1"/>
                <w:b w:val="0"/>
                <w:color w:val="auto"/>
                <w:sz w:val="20"/>
                <w:shd w:val="clear" w:color="auto" w:fill="FFFFFF" w:themeFill="background1"/>
              </w:rPr>
            </w:pPr>
          </w:p>
          <w:p w:rsidR="00074C9F" w:rsidRPr="00A355CF" w:rsidRDefault="00074C9F" w:rsidP="00074C9F">
            <w:pPr>
              <w:pBdr>
                <w:top w:val="single" w:sz="4" w:space="1" w:color="auto"/>
                <w:left w:val="single" w:sz="4" w:space="4" w:color="auto"/>
                <w:right w:val="single" w:sz="4" w:space="4" w:color="auto"/>
              </w:pBdr>
              <w:shd w:val="clear" w:color="auto" w:fill="FBFBFB"/>
              <w:rPr>
                <w:b w:val="0"/>
                <w:sz w:val="20"/>
              </w:rPr>
            </w:pPr>
            <w:r w:rsidRPr="00A355CF">
              <w:rPr>
                <w:rStyle w:val="highlight1"/>
                <w:b w:val="0"/>
                <w:color w:val="auto"/>
                <w:sz w:val="20"/>
                <w:shd w:val="clear" w:color="auto" w:fill="FFFFFF" w:themeFill="background1"/>
              </w:rPr>
              <w:t>SIMULATION</w:t>
            </w:r>
            <w:r w:rsidRPr="00A355CF">
              <w:rPr>
                <w:b w:val="0"/>
                <w:sz w:val="20"/>
              </w:rPr>
              <w:t xml:space="preserve"> for Intensity Modulated Radiation Therapy, with or without intravenous contrast medium, where: </w:t>
            </w:r>
          </w:p>
          <w:p w:rsidR="00074C9F" w:rsidRPr="00A355CF" w:rsidRDefault="00074C9F" w:rsidP="00074C9F">
            <w:pPr>
              <w:pStyle w:val="ListParagraph"/>
              <w:widowControl w:val="0"/>
              <w:numPr>
                <w:ilvl w:val="0"/>
                <w:numId w:val="44"/>
              </w:numPr>
              <w:pBdr>
                <w:left w:val="single" w:sz="4" w:space="23" w:color="auto"/>
                <w:right w:val="single" w:sz="4" w:space="4" w:color="auto"/>
              </w:pBdr>
              <w:shd w:val="clear" w:color="auto" w:fill="FBFBFB"/>
              <w:rPr>
                <w:b w:val="0"/>
                <w:sz w:val="20"/>
              </w:rPr>
            </w:pPr>
            <w:r w:rsidRPr="00A355CF">
              <w:rPr>
                <w:b w:val="0"/>
                <w:sz w:val="20"/>
              </w:rPr>
              <w:t>treatment set up and technique specifications are in preparations for</w:t>
            </w:r>
            <w:r w:rsidRPr="00E44400">
              <w:rPr>
                <w:b w:val="0"/>
                <w:color w:val="FF0000"/>
                <w:sz w:val="20"/>
              </w:rPr>
              <w:t xml:space="preserve"> </w:t>
            </w:r>
            <w:r w:rsidR="00E44400" w:rsidRPr="00DF6BCE">
              <w:rPr>
                <w:b w:val="0"/>
                <w:sz w:val="20"/>
              </w:rPr>
              <w:t>IMRT</w:t>
            </w:r>
            <w:r w:rsidRPr="00DF6BCE">
              <w:rPr>
                <w:b w:val="0"/>
                <w:sz w:val="20"/>
              </w:rPr>
              <w:t xml:space="preserve"> </w:t>
            </w:r>
            <w:r w:rsidRPr="00A355CF">
              <w:rPr>
                <w:b w:val="0"/>
                <w:sz w:val="20"/>
              </w:rPr>
              <w:t xml:space="preserve">dose planning; and </w:t>
            </w:r>
          </w:p>
          <w:p w:rsidR="00074C9F" w:rsidRPr="00A355CF" w:rsidRDefault="00074C9F" w:rsidP="00074C9F">
            <w:pPr>
              <w:pStyle w:val="ListParagraph"/>
              <w:widowControl w:val="0"/>
              <w:numPr>
                <w:ilvl w:val="0"/>
                <w:numId w:val="44"/>
              </w:numPr>
              <w:pBdr>
                <w:left w:val="single" w:sz="4" w:space="23" w:color="auto"/>
                <w:right w:val="single" w:sz="4" w:space="4" w:color="auto"/>
              </w:pBdr>
              <w:shd w:val="clear" w:color="auto" w:fill="FBFBFB"/>
              <w:rPr>
                <w:b w:val="0"/>
                <w:sz w:val="20"/>
              </w:rPr>
            </w:pPr>
            <w:r w:rsidRPr="00A355CF">
              <w:rPr>
                <w:b w:val="0"/>
                <w:sz w:val="20"/>
              </w:rPr>
              <w:t xml:space="preserve">patient set up and immobilisation techniques are suitable for reliable CT image volume data acquisition </w:t>
            </w:r>
            <w:r w:rsidR="00E44400" w:rsidRPr="00DF6BCE">
              <w:rPr>
                <w:b w:val="0"/>
                <w:sz w:val="20"/>
              </w:rPr>
              <w:t>IMRT</w:t>
            </w:r>
            <w:r w:rsidRPr="00DF6BCE">
              <w:rPr>
                <w:b w:val="0"/>
                <w:sz w:val="20"/>
              </w:rPr>
              <w:t>;</w:t>
            </w:r>
            <w:r w:rsidRPr="00A355CF">
              <w:rPr>
                <w:b w:val="0"/>
                <w:sz w:val="20"/>
              </w:rPr>
              <w:t xml:space="preserve"> and </w:t>
            </w:r>
          </w:p>
          <w:p w:rsidR="00074C9F" w:rsidRPr="00A355CF" w:rsidRDefault="00074C9F" w:rsidP="00074C9F">
            <w:pPr>
              <w:pStyle w:val="ListParagraph"/>
              <w:widowControl w:val="0"/>
              <w:numPr>
                <w:ilvl w:val="0"/>
                <w:numId w:val="44"/>
              </w:numPr>
              <w:pBdr>
                <w:left w:val="single" w:sz="4" w:space="23" w:color="auto"/>
                <w:right w:val="single" w:sz="4" w:space="4" w:color="auto"/>
              </w:pBdr>
              <w:shd w:val="clear" w:color="auto" w:fill="FBFBFB"/>
              <w:rPr>
                <w:b w:val="0"/>
                <w:sz w:val="20"/>
              </w:rPr>
            </w:pPr>
            <w:r w:rsidRPr="00A355CF">
              <w:rPr>
                <w:b w:val="0"/>
                <w:sz w:val="20"/>
              </w:rPr>
              <w:t xml:space="preserve">a high-quality CT-image volume dataset must be acquired for the relevant region of interest to be planned and treated; and </w:t>
            </w:r>
          </w:p>
          <w:p w:rsidR="00074C9F" w:rsidRPr="00A355CF" w:rsidRDefault="00074C9F" w:rsidP="00074C9F">
            <w:pPr>
              <w:pStyle w:val="ListParagraph"/>
              <w:widowControl w:val="0"/>
              <w:numPr>
                <w:ilvl w:val="0"/>
                <w:numId w:val="44"/>
              </w:numPr>
              <w:pBdr>
                <w:left w:val="single" w:sz="4" w:space="23" w:color="auto"/>
                <w:right w:val="single" w:sz="4" w:space="4" w:color="auto"/>
              </w:pBdr>
              <w:shd w:val="clear" w:color="auto" w:fill="FBFBFB"/>
              <w:rPr>
                <w:b w:val="0"/>
                <w:sz w:val="20"/>
              </w:rPr>
            </w:pPr>
            <w:r w:rsidRPr="00A355CF">
              <w:rPr>
                <w:b w:val="0"/>
                <w:sz w:val="20"/>
              </w:rPr>
              <w:t xml:space="preserve">the image set must be suitable for the generation of quality digitally reconstructed radiographic images </w:t>
            </w:r>
          </w:p>
          <w:p w:rsidR="00074C9F" w:rsidRPr="00A355CF" w:rsidRDefault="00074C9F" w:rsidP="00074C9F">
            <w:pPr>
              <w:rPr>
                <w:b w:val="0"/>
                <w:sz w:val="20"/>
              </w:rPr>
            </w:pPr>
          </w:p>
          <w:p w:rsidR="00074C9F" w:rsidRPr="00A355CF" w:rsidRDefault="00074C9F" w:rsidP="00074C9F">
            <w:pPr>
              <w:rPr>
                <w:b w:val="0"/>
                <w:sz w:val="20"/>
              </w:rPr>
            </w:pPr>
            <w:r w:rsidRPr="00A355CF">
              <w:rPr>
                <w:b w:val="0"/>
                <w:sz w:val="20"/>
              </w:rPr>
              <w:t>DOSIMETRY for Intensity Modulated Radiotherapy treatment plan using CT image volume dataset(s). The planning process must include the following;</w:t>
            </w:r>
          </w:p>
          <w:p w:rsidR="00074C9F" w:rsidRPr="00A355CF" w:rsidRDefault="00074C9F" w:rsidP="00074C9F">
            <w:pPr>
              <w:widowControl w:val="0"/>
              <w:numPr>
                <w:ilvl w:val="0"/>
                <w:numId w:val="43"/>
              </w:numPr>
              <w:autoSpaceDE w:val="0"/>
              <w:autoSpaceDN w:val="0"/>
              <w:adjustRightInd w:val="0"/>
              <w:rPr>
                <w:b w:val="0"/>
                <w:sz w:val="20"/>
              </w:rPr>
            </w:pPr>
            <w:r w:rsidRPr="00A355CF">
              <w:rPr>
                <w:b w:val="0"/>
                <w:sz w:val="20"/>
              </w:rPr>
              <w:t>The IMRT planning process must maximize the differential between target dose and normal tissue dose based on the review and assessment by a Radiation Oncologist.</w:t>
            </w:r>
          </w:p>
          <w:p w:rsidR="00074C9F" w:rsidRPr="00A355CF" w:rsidRDefault="00074C9F" w:rsidP="00074C9F">
            <w:pPr>
              <w:widowControl w:val="0"/>
              <w:numPr>
                <w:ilvl w:val="0"/>
                <w:numId w:val="43"/>
              </w:numPr>
              <w:autoSpaceDE w:val="0"/>
              <w:autoSpaceDN w:val="0"/>
              <w:adjustRightInd w:val="0"/>
              <w:rPr>
                <w:b w:val="0"/>
                <w:sz w:val="20"/>
              </w:rPr>
            </w:pPr>
            <w:r w:rsidRPr="00A355CF">
              <w:rPr>
                <w:b w:val="0"/>
                <w:sz w:val="20"/>
              </w:rPr>
              <w:t>All gross tumour targets, clinical targets, planning targets and organs at risk as defined in the prescription must be rendered as volumes</w:t>
            </w:r>
          </w:p>
          <w:p w:rsidR="00074C9F" w:rsidRPr="00A355CF" w:rsidRDefault="00074C9F" w:rsidP="00074C9F">
            <w:pPr>
              <w:widowControl w:val="0"/>
              <w:numPr>
                <w:ilvl w:val="0"/>
                <w:numId w:val="43"/>
              </w:numPr>
              <w:autoSpaceDE w:val="0"/>
              <w:autoSpaceDN w:val="0"/>
              <w:adjustRightInd w:val="0"/>
              <w:rPr>
                <w:b w:val="0"/>
                <w:sz w:val="20"/>
              </w:rPr>
            </w:pPr>
            <w:r w:rsidRPr="00A355CF">
              <w:rPr>
                <w:b w:val="0"/>
                <w:sz w:val="20"/>
              </w:rPr>
              <w:t>The organs at risk must be nominated as planning dose goals or constraints and the prescription must specify the organs at risk as dose goals or constraints</w:t>
            </w:r>
          </w:p>
          <w:p w:rsidR="00074C9F" w:rsidRPr="00A355CF" w:rsidRDefault="00074C9F" w:rsidP="00074C9F">
            <w:pPr>
              <w:widowControl w:val="0"/>
              <w:numPr>
                <w:ilvl w:val="0"/>
                <w:numId w:val="43"/>
              </w:numPr>
              <w:autoSpaceDE w:val="0"/>
              <w:autoSpaceDN w:val="0"/>
              <w:adjustRightInd w:val="0"/>
              <w:rPr>
                <w:b w:val="0"/>
                <w:sz w:val="20"/>
              </w:rPr>
            </w:pPr>
            <w:r w:rsidRPr="00A355CF">
              <w:rPr>
                <w:b w:val="0"/>
                <w:sz w:val="20"/>
              </w:rPr>
              <w:t>Dose calculations and dose volume histograms must be generated in an inverse planned process using a specialized calculation algorithm with prescription and plan details approved and recorded with the plan</w:t>
            </w:r>
          </w:p>
          <w:p w:rsidR="00074C9F" w:rsidRPr="00A355CF" w:rsidRDefault="00074C9F" w:rsidP="00074C9F">
            <w:pPr>
              <w:widowControl w:val="0"/>
              <w:numPr>
                <w:ilvl w:val="0"/>
                <w:numId w:val="43"/>
              </w:numPr>
              <w:autoSpaceDE w:val="0"/>
              <w:autoSpaceDN w:val="0"/>
              <w:adjustRightInd w:val="0"/>
              <w:rPr>
                <w:b w:val="0"/>
                <w:sz w:val="20"/>
              </w:rPr>
            </w:pPr>
            <w:r w:rsidRPr="00A355CF">
              <w:rPr>
                <w:b w:val="0"/>
                <w:sz w:val="20"/>
              </w:rPr>
              <w:t>A CT image volume dataset must be used for the relevant region to be planned and treated</w:t>
            </w:r>
          </w:p>
          <w:p w:rsidR="00074C9F" w:rsidRPr="00A355CF" w:rsidRDefault="00074C9F" w:rsidP="00074C9F">
            <w:pPr>
              <w:widowControl w:val="0"/>
              <w:numPr>
                <w:ilvl w:val="0"/>
                <w:numId w:val="43"/>
              </w:numPr>
              <w:autoSpaceDE w:val="0"/>
              <w:autoSpaceDN w:val="0"/>
              <w:adjustRightInd w:val="0"/>
              <w:rPr>
                <w:b w:val="0"/>
                <w:sz w:val="20"/>
              </w:rPr>
            </w:pPr>
            <w:r w:rsidRPr="00A355CF">
              <w:rPr>
                <w:b w:val="0"/>
                <w:sz w:val="20"/>
              </w:rPr>
              <w:t>The CT images must be suitable for the generation of quality digitally reconstructed radiographic images.</w:t>
            </w:r>
          </w:p>
          <w:p w:rsidR="00074C9F" w:rsidRPr="00A355CF" w:rsidRDefault="00074C9F" w:rsidP="00074C9F">
            <w:pPr>
              <w:widowControl w:val="0"/>
              <w:numPr>
                <w:ilvl w:val="0"/>
                <w:numId w:val="43"/>
              </w:numPr>
              <w:autoSpaceDE w:val="0"/>
              <w:autoSpaceDN w:val="0"/>
              <w:adjustRightInd w:val="0"/>
              <w:rPr>
                <w:b w:val="0"/>
                <w:sz w:val="20"/>
              </w:rPr>
            </w:pPr>
            <w:r w:rsidRPr="00A355CF">
              <w:rPr>
                <w:b w:val="0"/>
                <w:sz w:val="20"/>
              </w:rPr>
              <w:t>The final dosimetry plan must be validated using robust quality assurance processes by both the Radiation Therapist and Medical Physicist and approved by the Radiation Oncologist prior to delivery. This may include;</w:t>
            </w:r>
          </w:p>
          <w:p w:rsidR="00074C9F" w:rsidRPr="00A355CF" w:rsidRDefault="00074C9F" w:rsidP="00074C9F">
            <w:pPr>
              <w:pStyle w:val="ListParagraph"/>
              <w:keepNext/>
              <w:numPr>
                <w:ilvl w:val="1"/>
                <w:numId w:val="43"/>
              </w:numPr>
              <w:rPr>
                <w:b w:val="0"/>
                <w:sz w:val="20"/>
              </w:rPr>
            </w:pPr>
            <w:r w:rsidRPr="00A355CF">
              <w:rPr>
                <w:b w:val="0"/>
                <w:sz w:val="20"/>
              </w:rPr>
              <w:t xml:space="preserve">The determination of the accuracy of the dose </w:t>
            </w:r>
            <w:proofErr w:type="spellStart"/>
            <w:r w:rsidRPr="00A355CF">
              <w:rPr>
                <w:b w:val="0"/>
                <w:sz w:val="20"/>
              </w:rPr>
              <w:t>fluence</w:t>
            </w:r>
            <w:proofErr w:type="spellEnd"/>
            <w:r w:rsidRPr="00A355CF">
              <w:rPr>
                <w:b w:val="0"/>
                <w:sz w:val="20"/>
              </w:rPr>
              <w:t xml:space="preserve"> delivered by the MLC and Gantry position (static or dynamic).</w:t>
            </w:r>
          </w:p>
          <w:p w:rsidR="00074C9F" w:rsidRPr="00A355CF" w:rsidRDefault="00074C9F" w:rsidP="00074C9F">
            <w:pPr>
              <w:keepNext/>
              <w:keepLines/>
              <w:widowControl w:val="0"/>
              <w:numPr>
                <w:ilvl w:val="1"/>
                <w:numId w:val="43"/>
              </w:numPr>
              <w:autoSpaceDE w:val="0"/>
              <w:autoSpaceDN w:val="0"/>
              <w:adjustRightInd w:val="0"/>
              <w:outlineLvl w:val="6"/>
              <w:rPr>
                <w:b w:val="0"/>
                <w:sz w:val="20"/>
              </w:rPr>
            </w:pPr>
            <w:r w:rsidRPr="00A355CF">
              <w:rPr>
                <w:b w:val="0"/>
                <w:sz w:val="20"/>
              </w:rPr>
              <w:t>Ensuring the plan is deliverable, data transfer is acceptable and validation checks are completed on a linear accelerator.</w:t>
            </w:r>
          </w:p>
          <w:p w:rsidR="00074C9F" w:rsidRPr="00A355CF" w:rsidRDefault="00074C9F" w:rsidP="00074C9F">
            <w:pPr>
              <w:keepNext/>
              <w:keepLines/>
              <w:widowControl w:val="0"/>
              <w:numPr>
                <w:ilvl w:val="1"/>
                <w:numId w:val="43"/>
              </w:numPr>
              <w:autoSpaceDE w:val="0"/>
              <w:autoSpaceDN w:val="0"/>
              <w:adjustRightInd w:val="0"/>
              <w:outlineLvl w:val="6"/>
              <w:rPr>
                <w:b w:val="0"/>
                <w:sz w:val="20"/>
              </w:rPr>
            </w:pPr>
            <w:r w:rsidRPr="00A355CF">
              <w:rPr>
                <w:b w:val="0"/>
                <w:sz w:val="20"/>
              </w:rPr>
              <w:t xml:space="preserve">Validating the accuracy of the derived IMRT treatment plan in a known </w:t>
            </w:r>
            <w:proofErr w:type="spellStart"/>
            <w:r w:rsidRPr="00A355CF">
              <w:rPr>
                <w:b w:val="0"/>
                <w:sz w:val="20"/>
              </w:rPr>
              <w:t>dosimetric</w:t>
            </w:r>
            <w:proofErr w:type="spellEnd"/>
            <w:r w:rsidRPr="00A355CF">
              <w:rPr>
                <w:b w:val="0"/>
                <w:sz w:val="20"/>
              </w:rPr>
              <w:t xml:space="preserve"> phantom.</w:t>
            </w:r>
          </w:p>
          <w:p w:rsidR="00074C9F" w:rsidRPr="00A355CF" w:rsidRDefault="00074C9F" w:rsidP="00074C9F">
            <w:pPr>
              <w:keepNext/>
              <w:keepLines/>
              <w:widowControl w:val="0"/>
              <w:numPr>
                <w:ilvl w:val="1"/>
                <w:numId w:val="43"/>
              </w:numPr>
              <w:autoSpaceDE w:val="0"/>
              <w:autoSpaceDN w:val="0"/>
              <w:adjustRightInd w:val="0"/>
              <w:outlineLvl w:val="6"/>
              <w:rPr>
                <w:b w:val="0"/>
                <w:sz w:val="20"/>
              </w:rPr>
            </w:pPr>
            <w:r w:rsidRPr="00A355CF">
              <w:rPr>
                <w:b w:val="0"/>
                <w:sz w:val="20"/>
              </w:rPr>
              <w:t>Determining the accuracy of planned doses in comparison to delivered dose to designated points within the phantom and/or dosimetry device.</w:t>
            </w:r>
          </w:p>
          <w:p w:rsidR="00074C9F" w:rsidRPr="00A355CF" w:rsidRDefault="00074C9F" w:rsidP="00074C9F">
            <w:pPr>
              <w:rPr>
                <w:b w:val="0"/>
                <w:sz w:val="20"/>
              </w:rPr>
            </w:pPr>
          </w:p>
          <w:p w:rsidR="00074C9F" w:rsidRPr="00A355CF" w:rsidRDefault="00074C9F" w:rsidP="00074C9F">
            <w:pPr>
              <w:rPr>
                <w:b w:val="0"/>
                <w:sz w:val="20"/>
              </w:rPr>
            </w:pPr>
            <w:r w:rsidRPr="00A355CF">
              <w:rPr>
                <w:b w:val="0"/>
                <w:sz w:val="20"/>
              </w:rPr>
              <w:t>Fee:  Under development</w:t>
            </w:r>
          </w:p>
        </w:tc>
      </w:tr>
    </w:tbl>
    <w:p w:rsidR="00927922" w:rsidRDefault="00927922" w:rsidP="00927922"/>
    <w:p w:rsidR="00927922" w:rsidRDefault="00927922" w:rsidP="00927922">
      <w:pPr>
        <w:pStyle w:val="TableName"/>
        <w:ind w:left="720" w:firstLine="0"/>
      </w:pPr>
      <w:bookmarkStart w:id="3" w:name="_Toc387403273"/>
      <w:bookmarkStart w:id="4" w:name="_Toc387404065"/>
      <w:r>
        <w:t>Table 2:</w:t>
      </w:r>
      <w:r>
        <w:tab/>
        <w:t xml:space="preserve">Proposed </w:t>
      </w:r>
      <w:r w:rsidRPr="00A34E9C">
        <w:t xml:space="preserve">MBS item descriptor for </w:t>
      </w:r>
      <w:r>
        <w:t>treatment delivery using IMRT</w:t>
      </w:r>
      <w:bookmarkEnd w:id="3"/>
      <w:bookmarkEnd w:id="4"/>
    </w:p>
    <w:tbl>
      <w:tblPr>
        <w:tblStyle w:val="LightList"/>
        <w:tblW w:w="8505" w:type="dxa"/>
        <w:tblLayout w:type="fixed"/>
        <w:tblLook w:val="00A0" w:firstRow="1" w:lastRow="0" w:firstColumn="1" w:lastColumn="0" w:noHBand="0" w:noVBand="0"/>
        <w:tblCaption w:val="Proposed MBS item descriptor for treatment delivery using IMRT"/>
        <w:tblDescription w:val="Proposed MBS item descriptor for treatment delivery using IMRT"/>
      </w:tblPr>
      <w:tblGrid>
        <w:gridCol w:w="8505"/>
      </w:tblGrid>
      <w:tr w:rsidR="00A355CF" w:rsidRPr="00A355CF" w:rsidTr="00A355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5" w:type="dxa"/>
            <w:shd w:val="clear" w:color="auto" w:fill="FFFFFF" w:themeFill="background1"/>
          </w:tcPr>
          <w:p w:rsidR="00074C9F" w:rsidRPr="00A355CF" w:rsidRDefault="00074C9F" w:rsidP="00A355CF">
            <w:pPr>
              <w:keepNext/>
              <w:spacing w:before="240" w:after="120"/>
              <w:jc w:val="center"/>
              <w:rPr>
                <w:b w:val="0"/>
                <w:color w:val="auto"/>
                <w:sz w:val="20"/>
                <w:lang w:eastAsia="ja-JP"/>
              </w:rPr>
            </w:pPr>
            <w:r w:rsidRPr="00A355CF">
              <w:rPr>
                <w:b w:val="0"/>
                <w:color w:val="auto"/>
                <w:sz w:val="20"/>
              </w:rPr>
              <w:t>Category 3, Group T2 – Radiation Oncology – Megavoltage</w:t>
            </w:r>
          </w:p>
        </w:tc>
      </w:tr>
      <w:tr w:rsidR="00A355CF" w:rsidRPr="00A355CF" w:rsidTr="00A35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shd w:val="clear" w:color="auto" w:fill="FFFFFF" w:themeFill="background1"/>
          </w:tcPr>
          <w:p w:rsidR="00074C9F" w:rsidRPr="00A355CF" w:rsidRDefault="00074C9F" w:rsidP="00A355CF">
            <w:pPr>
              <w:keepNext/>
              <w:spacing w:before="240" w:after="120"/>
              <w:rPr>
                <w:b w:val="0"/>
                <w:sz w:val="20"/>
                <w:lang w:eastAsia="ja-JP"/>
              </w:rPr>
            </w:pPr>
            <w:r w:rsidRPr="00A355CF">
              <w:rPr>
                <w:b w:val="0"/>
                <w:sz w:val="20"/>
                <w:lang w:eastAsia="ja-JP"/>
              </w:rPr>
              <w:t>MBS XXXXX</w:t>
            </w:r>
          </w:p>
          <w:p w:rsidR="00074C9F" w:rsidRPr="00A355CF" w:rsidRDefault="00074C9F" w:rsidP="00A355CF">
            <w:pPr>
              <w:autoSpaceDE w:val="0"/>
              <w:autoSpaceDN w:val="0"/>
              <w:adjustRightInd w:val="0"/>
              <w:rPr>
                <w:b w:val="0"/>
                <w:sz w:val="20"/>
              </w:rPr>
            </w:pPr>
            <w:r w:rsidRPr="00A355CF">
              <w:rPr>
                <w:b w:val="0"/>
                <w:sz w:val="20"/>
              </w:rPr>
              <w:t xml:space="preserve">Radiation Oncology Treatment with IGRT imaging facilities utilizing an intensity modulated treatment delivery (fixed or dynamic gantry linear accelerator or </w:t>
            </w:r>
            <w:proofErr w:type="spellStart"/>
            <w:r w:rsidRPr="00A355CF">
              <w:rPr>
                <w:b w:val="0"/>
                <w:sz w:val="20"/>
              </w:rPr>
              <w:t>non linear</w:t>
            </w:r>
            <w:proofErr w:type="spellEnd"/>
            <w:r w:rsidRPr="00A355CF">
              <w:rPr>
                <w:b w:val="0"/>
                <w:sz w:val="20"/>
              </w:rPr>
              <w:t xml:space="preserve"> accelerator) mode at each attendance at which treatment is given using a IMRT Plan (in association with MBS Item 15564).</w:t>
            </w:r>
          </w:p>
          <w:p w:rsidR="00074C9F" w:rsidRPr="00A355CF" w:rsidRDefault="00074C9F" w:rsidP="00A355CF">
            <w:pPr>
              <w:keepNext/>
              <w:rPr>
                <w:b w:val="0"/>
                <w:sz w:val="20"/>
                <w:lang w:eastAsia="ja-JP"/>
              </w:rPr>
            </w:pPr>
          </w:p>
          <w:p w:rsidR="00074C9F" w:rsidRPr="00A355CF" w:rsidRDefault="00074C9F" w:rsidP="00A355CF">
            <w:pPr>
              <w:keepNext/>
              <w:rPr>
                <w:b w:val="0"/>
                <w:sz w:val="20"/>
                <w:lang w:eastAsia="ja-JP"/>
              </w:rPr>
            </w:pPr>
            <w:r w:rsidRPr="00A355CF">
              <w:rPr>
                <w:b w:val="0"/>
                <w:sz w:val="20"/>
                <w:lang w:eastAsia="ja-JP"/>
              </w:rPr>
              <w:t>Fee: Under development</w:t>
            </w:r>
          </w:p>
        </w:tc>
      </w:tr>
    </w:tbl>
    <w:p w:rsidR="00074C9F" w:rsidRDefault="00074C9F" w:rsidP="00927922">
      <w:pPr>
        <w:pStyle w:val="TableName"/>
        <w:ind w:left="720" w:firstLine="0"/>
      </w:pPr>
    </w:p>
    <w:p w:rsidR="00927922" w:rsidRDefault="00927922" w:rsidP="00927922"/>
    <w:p w:rsidR="00927922" w:rsidRPr="00C60B45" w:rsidRDefault="00956255" w:rsidP="00927922">
      <w:pPr>
        <w:rPr>
          <w:rFonts w:cs="Tahoma"/>
        </w:rPr>
      </w:pPr>
      <w:r>
        <w:rPr>
          <w:rFonts w:cs="Tahoma"/>
        </w:rPr>
        <w:lastRenderedPageBreak/>
        <w:t>IMRT requires the same</w:t>
      </w:r>
      <w:r w:rsidRPr="00C60B45">
        <w:rPr>
          <w:rFonts w:cs="Tahoma"/>
        </w:rPr>
        <w:t xml:space="preserve"> </w:t>
      </w:r>
      <w:r w:rsidRPr="00060453">
        <w:t>patient</w:t>
      </w:r>
      <w:r w:rsidRPr="00C60B45">
        <w:rPr>
          <w:rFonts w:cs="Tahoma"/>
        </w:rPr>
        <w:t xml:space="preserve"> referral </w:t>
      </w:r>
      <w:r>
        <w:rPr>
          <w:rFonts w:cs="Tahoma"/>
        </w:rPr>
        <w:t>pathway</w:t>
      </w:r>
      <w:r w:rsidRPr="00C60B45">
        <w:rPr>
          <w:rFonts w:cs="Tahoma"/>
        </w:rPr>
        <w:t xml:space="preserve"> </w:t>
      </w:r>
      <w:r>
        <w:rPr>
          <w:rFonts w:cs="Tahoma"/>
        </w:rPr>
        <w:t>as 3D-CRT</w:t>
      </w:r>
      <w:r w:rsidRPr="00C60B45">
        <w:rPr>
          <w:rFonts w:cs="Tahoma"/>
        </w:rPr>
        <w:t>.</w:t>
      </w:r>
      <w:r>
        <w:rPr>
          <w:rFonts w:cs="Tahoma"/>
        </w:rPr>
        <w:t xml:space="preserve">  IMRT may</w:t>
      </w:r>
      <w:r w:rsidR="00927922">
        <w:t xml:space="preserve"> be curative or to </w:t>
      </w:r>
      <w:r w:rsidR="0013780F">
        <w:t>palliate</w:t>
      </w:r>
      <w:r w:rsidR="00927922">
        <w:t xml:space="preserve">. </w:t>
      </w:r>
      <w:r>
        <w:rPr>
          <w:rFonts w:cs="Tahoma"/>
        </w:rPr>
        <w:t>R</w:t>
      </w:r>
      <w:r w:rsidR="00927922" w:rsidRPr="00C60B45">
        <w:rPr>
          <w:rFonts w:cs="Tahoma"/>
        </w:rPr>
        <w:t xml:space="preserve">adiation therapy </w:t>
      </w:r>
      <w:r>
        <w:rPr>
          <w:rFonts w:cs="Tahoma"/>
        </w:rPr>
        <w:t>requires</w:t>
      </w:r>
      <w:r w:rsidR="00927922" w:rsidRPr="00C60B45">
        <w:rPr>
          <w:rFonts w:cs="Tahoma"/>
        </w:rPr>
        <w:t xml:space="preserve"> a </w:t>
      </w:r>
      <w:r>
        <w:rPr>
          <w:rFonts w:cs="Tahoma"/>
        </w:rPr>
        <w:t xml:space="preserve">multidisciplinary </w:t>
      </w:r>
      <w:r w:rsidR="00927922" w:rsidRPr="00C60B45">
        <w:rPr>
          <w:rFonts w:cs="Tahoma"/>
        </w:rPr>
        <w:t xml:space="preserve">team including radiation oncologists, medical physicists and radiation therapists. </w:t>
      </w:r>
      <w:r>
        <w:rPr>
          <w:rFonts w:cs="Tahoma"/>
        </w:rPr>
        <w:t>Some</w:t>
      </w:r>
      <w:r w:rsidR="00927922" w:rsidRPr="00C60B45">
        <w:rPr>
          <w:rFonts w:cs="Tahoma"/>
        </w:rPr>
        <w:t xml:space="preserve"> site</w:t>
      </w:r>
      <w:r>
        <w:rPr>
          <w:rFonts w:cs="Tahoma"/>
        </w:rPr>
        <w:t>-specific cancers</w:t>
      </w:r>
      <w:r>
        <w:t xml:space="preserve"> may also</w:t>
      </w:r>
      <w:r w:rsidR="00927922" w:rsidRPr="00C60B45">
        <w:rPr>
          <w:rFonts w:cs="Tahoma"/>
        </w:rPr>
        <w:t xml:space="preserve"> involve</w:t>
      </w:r>
      <w:r w:rsidR="003A2641">
        <w:rPr>
          <w:rFonts w:cs="Tahoma"/>
        </w:rPr>
        <w:t xml:space="preserve"> a </w:t>
      </w:r>
      <w:r w:rsidR="00927922" w:rsidRPr="00C60B45">
        <w:rPr>
          <w:rFonts w:cs="Tahoma"/>
        </w:rPr>
        <w:t>diagnostic radiologist and/or surgeon.</w:t>
      </w:r>
    </w:p>
    <w:p w:rsidR="00BC1364" w:rsidRPr="00707064" w:rsidRDefault="00BC1364" w:rsidP="00AB3BFC">
      <w:pPr>
        <w:tabs>
          <w:tab w:val="left" w:pos="720"/>
          <w:tab w:val="left" w:pos="1140"/>
        </w:tabs>
        <w:rPr>
          <w:color w:val="0070C0"/>
          <w:szCs w:val="24"/>
        </w:rPr>
      </w:pPr>
    </w:p>
    <w:p w:rsidR="00BC1364" w:rsidRPr="007B32D1" w:rsidRDefault="00BC1364" w:rsidP="007B32D1">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rsidR="00BC1364" w:rsidRDefault="00BC1364" w:rsidP="00DD2858">
      <w:pPr>
        <w:rPr>
          <w:b/>
          <w:szCs w:val="24"/>
        </w:rPr>
      </w:pPr>
    </w:p>
    <w:p w:rsidR="00927922" w:rsidRDefault="00C51149" w:rsidP="00927922">
      <w:r>
        <w:t xml:space="preserve">Consumers </w:t>
      </w:r>
      <w:r w:rsidR="003A2641">
        <w:t>expressed concern that IMRT</w:t>
      </w:r>
      <w:r w:rsidR="00927922" w:rsidRPr="007C44E6">
        <w:t xml:space="preserve"> </w:t>
      </w:r>
      <w:r w:rsidR="003A2641">
        <w:t>may</w:t>
      </w:r>
      <w:r w:rsidR="003A2641" w:rsidRPr="007C44E6">
        <w:t xml:space="preserve"> </w:t>
      </w:r>
      <w:r w:rsidR="00927922" w:rsidRPr="007C44E6">
        <w:t xml:space="preserve">lead to higher costs for the community, specifically staffing and capital costs.  </w:t>
      </w:r>
      <w:r w:rsidR="003A2641">
        <w:t>It was</w:t>
      </w:r>
      <w:r w:rsidR="003A2641" w:rsidRPr="007C44E6">
        <w:t xml:space="preserve"> </w:t>
      </w:r>
      <w:r w:rsidR="003A2641">
        <w:t xml:space="preserve">noted that some consumers </w:t>
      </w:r>
      <w:r w:rsidR="00927922" w:rsidRPr="007C44E6">
        <w:t>may assume</w:t>
      </w:r>
      <w:r w:rsidR="003A2641">
        <w:t xml:space="preserve"> that</w:t>
      </w:r>
      <w:r w:rsidR="00927922" w:rsidRPr="007C44E6">
        <w:t xml:space="preserve"> the latest treatments are the best treatments</w:t>
      </w:r>
      <w:r w:rsidR="003A2641">
        <w:t xml:space="preserve"> because of a </w:t>
      </w:r>
      <w:r w:rsidR="00927922" w:rsidRPr="007C44E6">
        <w:t xml:space="preserve">lack of information </w:t>
      </w:r>
      <w:r w:rsidR="003A2641">
        <w:t>about</w:t>
      </w:r>
      <w:r w:rsidR="003A2641" w:rsidRPr="007C44E6">
        <w:t xml:space="preserve"> </w:t>
      </w:r>
      <w:r w:rsidR="00927922" w:rsidRPr="007C44E6">
        <w:t>radiation exposure and side effect management</w:t>
      </w:r>
      <w:r w:rsidR="003A2641">
        <w:t>.  This can make it difficult</w:t>
      </w:r>
      <w:r w:rsidR="00927922" w:rsidRPr="007C44E6">
        <w:t xml:space="preserve"> to assess </w:t>
      </w:r>
      <w:r w:rsidR="003A2641">
        <w:t xml:space="preserve">impact of some treatments on </w:t>
      </w:r>
      <w:r w:rsidR="00927922" w:rsidRPr="007C44E6">
        <w:t>safety and wellbeing</w:t>
      </w:r>
      <w:r w:rsidR="00927922">
        <w:t>.</w:t>
      </w:r>
      <w:r w:rsidR="00927922" w:rsidRPr="007C44E6">
        <w:t xml:space="preserve"> </w:t>
      </w:r>
      <w:r w:rsidR="00927922">
        <w:t>T</w:t>
      </w:r>
      <w:r w:rsidR="00927922" w:rsidRPr="007C44E6">
        <w:t>h</w:t>
      </w:r>
      <w:r w:rsidR="003A2641">
        <w:t xml:space="preserve">is is particularly relevant to </w:t>
      </w:r>
      <w:r w:rsidR="00927922" w:rsidRPr="007C44E6">
        <w:t>consumer</w:t>
      </w:r>
      <w:r w:rsidR="003A2641">
        <w:t xml:space="preserve">s with cancer who </w:t>
      </w:r>
      <w:r w:rsidR="003A2641" w:rsidRPr="007C44E6">
        <w:t xml:space="preserve">depend on </w:t>
      </w:r>
      <w:r w:rsidR="003A2641">
        <w:t xml:space="preserve">their </w:t>
      </w:r>
      <w:r w:rsidR="003A2641" w:rsidRPr="007C44E6">
        <w:t xml:space="preserve">clinicians to provide evidence based advice </w:t>
      </w:r>
      <w:r w:rsidR="003A2641">
        <w:t xml:space="preserve">on </w:t>
      </w:r>
      <w:r w:rsidR="003A2641" w:rsidRPr="007C44E6">
        <w:t>treatment</w:t>
      </w:r>
      <w:r w:rsidR="003A2641">
        <w:t xml:space="preserve"> when they are at their</w:t>
      </w:r>
      <w:r w:rsidR="003A2641" w:rsidRPr="007C44E6">
        <w:t xml:space="preserve"> </w:t>
      </w:r>
      <w:r w:rsidR="00927922" w:rsidRPr="007C44E6">
        <w:t>most vulnerable.</w:t>
      </w:r>
    </w:p>
    <w:p w:rsidR="00927922" w:rsidRPr="007C44E6" w:rsidRDefault="00927922" w:rsidP="00927922"/>
    <w:p w:rsidR="00927922" w:rsidRDefault="00927922" w:rsidP="00927922">
      <w:r>
        <w:t xml:space="preserve">The Protocol Advisory Sub-Committee (PASC) </w:t>
      </w:r>
      <w:r w:rsidRPr="007C44E6">
        <w:t xml:space="preserve">received two responses to the public consultation request from professional bodies (the Australasian College of Physical Scientists and Engineering in Medicine and the Royal Australian and New Zealand College of Radiologists) and thirteen responses from the public. </w:t>
      </w:r>
    </w:p>
    <w:p w:rsidR="00927922" w:rsidRPr="007C44E6" w:rsidRDefault="00927922" w:rsidP="00927922"/>
    <w:p w:rsidR="00927922" w:rsidRDefault="00927922" w:rsidP="00927922">
      <w:r w:rsidRPr="007C44E6">
        <w:t>Overall, public consultation feedback for the proposal was positive</w:t>
      </w:r>
      <w:r w:rsidR="003A2641">
        <w:t xml:space="preserve">, although concern was expressed about </w:t>
      </w:r>
      <w:r w:rsidRPr="007C44E6">
        <w:t xml:space="preserve">the greater financial and resource investment required.  It was noted that IMRT requires a robust and quality </w:t>
      </w:r>
      <w:r w:rsidR="002C6714">
        <w:t xml:space="preserve">assurance </w:t>
      </w:r>
      <w:r w:rsidRPr="007C44E6">
        <w:t>framework to ensure safe</w:t>
      </w:r>
      <w:r w:rsidR="002C6714">
        <w:t>,</w:t>
      </w:r>
      <w:r w:rsidRPr="007C44E6">
        <w:t xml:space="preserve"> effective delivery.</w:t>
      </w:r>
    </w:p>
    <w:p w:rsidR="00927922" w:rsidRPr="007C44E6" w:rsidRDefault="00927922" w:rsidP="00927922"/>
    <w:p w:rsidR="00927922" w:rsidRPr="007C44E6" w:rsidRDefault="00927922" w:rsidP="00927922">
      <w:r w:rsidRPr="007C44E6">
        <w:t xml:space="preserve">Public consultation </w:t>
      </w:r>
      <w:r w:rsidR="003A2641">
        <w:t>supported IMRT based on the claimed</w:t>
      </w:r>
      <w:r>
        <w:t xml:space="preserve"> </w:t>
      </w:r>
      <w:r w:rsidRPr="007C44E6">
        <w:t xml:space="preserve">advantages </w:t>
      </w:r>
      <w:r w:rsidR="003A2641">
        <w:t>noting that</w:t>
      </w:r>
      <w:r w:rsidRPr="007C44E6">
        <w:t xml:space="preserve"> </w:t>
      </w:r>
      <w:r w:rsidR="003A2641">
        <w:t>it may</w:t>
      </w:r>
      <w:r w:rsidRPr="007C44E6">
        <w:t xml:space="preserve"> lead to better patient outcomes as it is able to more accurately target tumours, reduce toxicities associated with radiation therapy and, by extension, increase survival and progression free survival. </w:t>
      </w:r>
    </w:p>
    <w:p w:rsidR="003A2641" w:rsidRDefault="003A2641" w:rsidP="00927922"/>
    <w:p w:rsidR="00927922" w:rsidRDefault="00927922" w:rsidP="00927922">
      <w:r w:rsidRPr="007C44E6">
        <w:t xml:space="preserve">It was noted that </w:t>
      </w:r>
      <w:r>
        <w:t>the fee</w:t>
      </w:r>
      <w:r w:rsidRPr="007C44E6">
        <w:t xml:space="preserve"> </w:t>
      </w:r>
      <w:r w:rsidR="002C6714">
        <w:t xml:space="preserve">for IMRT </w:t>
      </w:r>
      <w:r w:rsidRPr="007C44E6">
        <w:t xml:space="preserve">should take into account the </w:t>
      </w:r>
      <w:r w:rsidR="002C6714">
        <w:t xml:space="preserve">increased </w:t>
      </w:r>
      <w:r w:rsidRPr="007C44E6">
        <w:t xml:space="preserve">complexity. </w:t>
      </w:r>
    </w:p>
    <w:p w:rsidR="00BC1364" w:rsidRPr="00707064" w:rsidRDefault="00BC1364" w:rsidP="00DD2858">
      <w:pPr>
        <w:rPr>
          <w:b/>
          <w:szCs w:val="24"/>
        </w:rPr>
      </w:pPr>
    </w:p>
    <w:p w:rsidR="00BC1364" w:rsidRDefault="00BC1364" w:rsidP="007B32D1">
      <w:pPr>
        <w:pStyle w:val="Heading1"/>
        <w:numPr>
          <w:ilvl w:val="0"/>
          <w:numId w:val="23"/>
        </w:numPr>
        <w:ind w:hanging="720"/>
      </w:pPr>
      <w:r w:rsidRPr="00D90A38">
        <w:t>Proposed intervention’s place in clinical management</w:t>
      </w:r>
    </w:p>
    <w:p w:rsidR="00BC1364" w:rsidRDefault="00BC1364" w:rsidP="00DD2858">
      <w:pPr>
        <w:rPr>
          <w:color w:val="3366FF"/>
          <w:szCs w:val="24"/>
        </w:rPr>
      </w:pPr>
    </w:p>
    <w:p w:rsidR="00DC2168" w:rsidRPr="00CA258D" w:rsidRDefault="005C2229" w:rsidP="00DC2168">
      <w:r>
        <w:t>IMRT is a</w:t>
      </w:r>
      <w:r w:rsidR="000C01DC" w:rsidRPr="007C44E6">
        <w:t xml:space="preserve"> form of </w:t>
      </w:r>
      <w:r w:rsidR="00793138">
        <w:t>external beam radiation therapy (EBRT)</w:t>
      </w:r>
      <w:r>
        <w:t xml:space="preserve"> delivered with a linear accelerator (“</w:t>
      </w:r>
      <w:proofErr w:type="spellStart"/>
      <w:r>
        <w:t>linac</w:t>
      </w:r>
      <w:proofErr w:type="spellEnd"/>
      <w:r>
        <w:t>”).</w:t>
      </w:r>
      <w:r w:rsidR="00793138">
        <w:t xml:space="preserve"> </w:t>
      </w:r>
      <w:r>
        <w:t>B</w:t>
      </w:r>
      <w:r w:rsidR="000C01DC" w:rsidRPr="007C44E6">
        <w:t xml:space="preserve">oth 3D-CRT and IMRT deliver </w:t>
      </w:r>
      <w:r w:rsidRPr="007C44E6">
        <w:t>ioni</w:t>
      </w:r>
      <w:r>
        <w:t>s</w:t>
      </w:r>
      <w:r w:rsidRPr="007C44E6">
        <w:t xml:space="preserve">ing radiation </w:t>
      </w:r>
      <w:r>
        <w:t xml:space="preserve">in geometrically shaped </w:t>
      </w:r>
      <w:r w:rsidR="000C01DC" w:rsidRPr="007C44E6">
        <w:t xml:space="preserve">beams </w:t>
      </w:r>
      <w:r w:rsidRPr="007C44E6">
        <w:t>to cancer cells</w:t>
      </w:r>
      <w:r>
        <w:t xml:space="preserve">.  However, with </w:t>
      </w:r>
      <w:r w:rsidR="000C01DC" w:rsidRPr="007C44E6">
        <w:t xml:space="preserve">IMRT the intensity of </w:t>
      </w:r>
      <w:r>
        <w:t>each</w:t>
      </w:r>
      <w:r w:rsidRPr="007C44E6">
        <w:t xml:space="preserve"> </w:t>
      </w:r>
      <w:r w:rsidR="000C01DC" w:rsidRPr="007C44E6">
        <w:t>beam</w:t>
      </w:r>
      <w:r>
        <w:t xml:space="preserve"> can be modulated</w:t>
      </w:r>
      <w:r w:rsidR="000C01DC" w:rsidRPr="007C44E6">
        <w:t>. Th</w:t>
      </w:r>
      <w:r>
        <w:t>is means that the</w:t>
      </w:r>
      <w:r w:rsidR="000C01DC" w:rsidRPr="007C44E6">
        <w:t xml:space="preserve"> </w:t>
      </w:r>
      <w:r w:rsidR="00DC2168">
        <w:t>treatment</w:t>
      </w:r>
      <w:r w:rsidR="000C01DC" w:rsidRPr="007C44E6">
        <w:t xml:space="preserve"> </w:t>
      </w:r>
      <w:r>
        <w:t xml:space="preserve">can be customised </w:t>
      </w:r>
      <w:r w:rsidR="000C01DC" w:rsidRPr="007C44E6">
        <w:t xml:space="preserve">to maximise </w:t>
      </w:r>
      <w:r>
        <w:t xml:space="preserve">the </w:t>
      </w:r>
      <w:r w:rsidR="00DC2168">
        <w:t xml:space="preserve">radiation dose delivered to the </w:t>
      </w:r>
      <w:r w:rsidR="000C01DC" w:rsidRPr="007C44E6">
        <w:t xml:space="preserve">tumour. </w:t>
      </w:r>
      <w:r w:rsidR="00DC2168">
        <w:t>In addition,</w:t>
      </w:r>
      <w:r w:rsidR="00DC2168" w:rsidRPr="00CA258D">
        <w:t xml:space="preserve"> </w:t>
      </w:r>
      <w:r w:rsidR="00DC2168">
        <w:t>the radiation dose can</w:t>
      </w:r>
      <w:r w:rsidR="00DC2168" w:rsidRPr="00CA258D">
        <w:t xml:space="preserve"> </w:t>
      </w:r>
      <w:r w:rsidR="00DC2168">
        <w:t xml:space="preserve">be </w:t>
      </w:r>
      <w:r w:rsidR="00DC2168" w:rsidRPr="00CA258D">
        <w:t>sculpt</w:t>
      </w:r>
      <w:r w:rsidR="00DC2168">
        <w:t>ed</w:t>
      </w:r>
      <w:r w:rsidR="00DC2168" w:rsidRPr="00CA258D">
        <w:t xml:space="preserve"> around complex </w:t>
      </w:r>
      <w:r w:rsidR="00DC2168">
        <w:t>tumour volumes</w:t>
      </w:r>
      <w:r w:rsidR="00DC2168" w:rsidRPr="00CA258D">
        <w:t xml:space="preserve"> mak</w:t>
      </w:r>
      <w:r w:rsidR="00DC2168">
        <w:t>ing</w:t>
      </w:r>
      <w:r w:rsidR="00DC2168" w:rsidRPr="00CA258D">
        <w:t xml:space="preserve"> it </w:t>
      </w:r>
      <w:r w:rsidR="00DC2168">
        <w:t>attractive</w:t>
      </w:r>
      <w:r w:rsidR="00DC2168" w:rsidRPr="00CA258D">
        <w:t xml:space="preserve"> for the treatment of tumours that are adjacent to </w:t>
      </w:r>
      <w:r w:rsidR="00DC2168">
        <w:t>critical organs</w:t>
      </w:r>
      <w:r w:rsidR="00DC2168" w:rsidRPr="00CA258D">
        <w:t xml:space="preserve">. </w:t>
      </w:r>
      <w:r>
        <w:t>It is claimed that this</w:t>
      </w:r>
      <w:r w:rsidR="000C01DC" w:rsidRPr="007C44E6">
        <w:t xml:space="preserve"> result</w:t>
      </w:r>
      <w:r>
        <w:t>s</w:t>
      </w:r>
      <w:r w:rsidR="000C01DC" w:rsidRPr="007C44E6">
        <w:t xml:space="preserve"> in </w:t>
      </w:r>
      <w:r w:rsidR="0013780F">
        <w:t>better</w:t>
      </w:r>
      <w:r w:rsidR="0013780F" w:rsidRPr="007C44E6">
        <w:t xml:space="preserve"> outcomes </w:t>
      </w:r>
      <w:r w:rsidR="00DC2168">
        <w:t>compared</w:t>
      </w:r>
      <w:r w:rsidR="00DC2168" w:rsidRPr="007C44E6">
        <w:t xml:space="preserve"> </w:t>
      </w:r>
      <w:r>
        <w:t xml:space="preserve">with </w:t>
      </w:r>
      <w:r w:rsidR="0013780F" w:rsidRPr="007C44E6">
        <w:t>3DCRT</w:t>
      </w:r>
      <w:r w:rsidR="000C01DC" w:rsidRPr="007C44E6">
        <w:t xml:space="preserve">, </w:t>
      </w:r>
      <w:r>
        <w:t>including</w:t>
      </w:r>
      <w:r w:rsidRPr="007C44E6">
        <w:t xml:space="preserve"> </w:t>
      </w:r>
      <w:r w:rsidR="000C01DC" w:rsidRPr="007C44E6">
        <w:t xml:space="preserve">reduced incidence and severity of side effects </w:t>
      </w:r>
      <w:r w:rsidR="00DC2168">
        <w:t xml:space="preserve">such as acute and late toxicity </w:t>
      </w:r>
      <w:r w:rsidR="000C01DC" w:rsidRPr="007C44E6">
        <w:t>(Hummel</w:t>
      </w:r>
      <w:r w:rsidR="00C51149">
        <w:t xml:space="preserve"> 2010). Th</w:t>
      </w:r>
      <w:r>
        <w:t>e</w:t>
      </w:r>
      <w:r w:rsidR="00C51149">
        <w:t xml:space="preserve"> application </w:t>
      </w:r>
      <w:r>
        <w:t xml:space="preserve">claims </w:t>
      </w:r>
      <w:r w:rsidR="000C01DC" w:rsidRPr="007C44E6">
        <w:t xml:space="preserve">that </w:t>
      </w:r>
      <w:r>
        <w:t xml:space="preserve">IMRT is more </w:t>
      </w:r>
      <w:r w:rsidR="000C01DC" w:rsidRPr="007C44E6">
        <w:t>complex</w:t>
      </w:r>
      <w:r w:rsidR="0013780F">
        <w:t>,</w:t>
      </w:r>
      <w:r w:rsidR="000C01DC" w:rsidRPr="007C44E6">
        <w:t xml:space="preserve"> </w:t>
      </w:r>
      <w:r>
        <w:t>requires more planning</w:t>
      </w:r>
      <w:r w:rsidR="000C01DC" w:rsidRPr="007C44E6">
        <w:t xml:space="preserve"> time </w:t>
      </w:r>
      <w:r w:rsidR="0013780F">
        <w:t xml:space="preserve">and </w:t>
      </w:r>
      <w:r>
        <w:t xml:space="preserve">is more </w:t>
      </w:r>
      <w:r w:rsidR="0013780F">
        <w:t xml:space="preserve">resource </w:t>
      </w:r>
      <w:r>
        <w:t xml:space="preserve">intensive than 3D-CRT.  </w:t>
      </w:r>
      <w:r w:rsidRPr="007C44E6">
        <w:t xml:space="preserve"> </w:t>
      </w:r>
      <w:r w:rsidR="00DC2168">
        <w:t>It</w:t>
      </w:r>
      <w:r w:rsidR="00DC2168" w:rsidRPr="007C44E6">
        <w:t xml:space="preserve"> </w:t>
      </w:r>
      <w:r w:rsidR="000C01DC" w:rsidRPr="007C44E6">
        <w:t xml:space="preserve">is proposed </w:t>
      </w:r>
      <w:r w:rsidR="00DC2168">
        <w:t xml:space="preserve">for </w:t>
      </w:r>
      <w:r w:rsidR="000C01DC" w:rsidRPr="007C44E6">
        <w:t xml:space="preserve">treatment </w:t>
      </w:r>
      <w:r w:rsidR="00DC2168">
        <w:t>of</w:t>
      </w:r>
      <w:r w:rsidR="000C01DC" w:rsidRPr="007C44E6">
        <w:t xml:space="preserve"> </w:t>
      </w:r>
      <w:r w:rsidR="00DC2168">
        <w:t>generic</w:t>
      </w:r>
      <w:r w:rsidR="000C01DC" w:rsidRPr="007C44E6">
        <w:t xml:space="preserve"> cancer</w:t>
      </w:r>
      <w:r w:rsidR="00DC2168">
        <w:t>s</w:t>
      </w:r>
      <w:r w:rsidR="000C01DC" w:rsidRPr="007C44E6">
        <w:t>.</w:t>
      </w:r>
      <w:r w:rsidR="00DC2168" w:rsidRPr="00DC2168">
        <w:t xml:space="preserve"> </w:t>
      </w:r>
      <w:r w:rsidR="00DC2168" w:rsidRPr="00CA258D">
        <w:t>While not all patients will require IMRT, that there are circumstances where this treatment would be preferred over 3D-CRT</w:t>
      </w:r>
      <w:r w:rsidR="00DC2168">
        <w:t>, such as with prostate, anal and head and neck cancers</w:t>
      </w:r>
      <w:r w:rsidR="00DC2168" w:rsidRPr="00CA258D">
        <w:t>.</w:t>
      </w:r>
    </w:p>
    <w:p w:rsidR="00C51149" w:rsidRDefault="00C51149"/>
    <w:p w:rsidR="0094144D" w:rsidRDefault="0094144D">
      <w:r>
        <w:br w:type="page"/>
      </w:r>
    </w:p>
    <w:p w:rsidR="00CA258D" w:rsidRPr="00CA258D" w:rsidRDefault="00CA258D" w:rsidP="00CA258D">
      <w:r w:rsidRPr="00CA258D">
        <w:lastRenderedPageBreak/>
        <w:t>Figure 1 shows the generalised clinical management algorithm for cancer patients undergoing radiotherapy. Differences between 3D-CRT and IMRT are highlighted in grey.</w:t>
      </w:r>
    </w:p>
    <w:p w:rsidR="00CA258D" w:rsidRDefault="00CA258D" w:rsidP="00DD2858">
      <w:pPr>
        <w:rPr>
          <w:color w:val="3366FF"/>
          <w:szCs w:val="24"/>
        </w:rPr>
      </w:pPr>
    </w:p>
    <w:p w:rsidR="00C167CA" w:rsidRPr="00707064" w:rsidRDefault="00CA258D" w:rsidP="00DD2858">
      <w:pPr>
        <w:rPr>
          <w:color w:val="3366FF"/>
          <w:szCs w:val="24"/>
        </w:rPr>
      </w:pPr>
      <w:r>
        <w:rPr>
          <w:noProof/>
        </w:rPr>
        <mc:AlternateContent>
          <mc:Choice Requires="wpc">
            <w:drawing>
              <wp:inline distT="0" distB="0" distL="0" distR="0" wp14:anchorId="5CC7D5B9" wp14:editId="795F0906">
                <wp:extent cx="5731510" cy="6595745"/>
                <wp:effectExtent l="0" t="0" r="2540" b="0"/>
                <wp:docPr id="121" name="Canvas 121" descr="the clinical management algorithm for cancer patients undergoing radiotherapy. Differences between three dimensional conformal radiation therapy and intensity modulated radiation therapy are highlighted" title=" clinical management algorithm for cancer patients undergoing radiotherapy"/>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7" name="Text Box 4"/>
                        <wps:cNvSpPr txBox="1">
                          <a:spLocks noChangeArrowheads="1"/>
                        </wps:cNvSpPr>
                        <wps:spPr bwMode="auto">
                          <a:xfrm>
                            <a:off x="1659803" y="0"/>
                            <a:ext cx="2053004" cy="252702"/>
                          </a:xfrm>
                          <a:prstGeom prst="rect">
                            <a:avLst/>
                          </a:prstGeom>
                          <a:solidFill>
                            <a:srgbClr val="FFFFFF"/>
                          </a:solidFill>
                          <a:ln w="9525">
                            <a:solidFill>
                              <a:srgbClr val="000000"/>
                            </a:solidFill>
                            <a:miter lim="800000"/>
                            <a:headEnd/>
                            <a:tailEnd/>
                          </a:ln>
                        </wps:spPr>
                        <wps:txbx>
                          <w:txbxContent>
                            <w:p w:rsidR="00BA51C8" w:rsidRPr="00005672" w:rsidRDefault="00BA51C8" w:rsidP="00CA258D">
                              <w:pPr>
                                <w:jc w:val="center"/>
                                <w:rPr>
                                  <w:rFonts w:ascii="Arial Narrow" w:hAnsi="Arial Narrow"/>
                                  <w:sz w:val="18"/>
                                  <w:szCs w:val="18"/>
                                </w:rPr>
                              </w:pPr>
                              <w:r w:rsidRPr="00005672">
                                <w:rPr>
                                  <w:rFonts w:ascii="Arial Narrow" w:hAnsi="Arial Narrow"/>
                                  <w:sz w:val="18"/>
                                  <w:szCs w:val="18"/>
                                </w:rPr>
                                <w:t>Patients diagnosed with cancer</w:t>
                              </w:r>
                            </w:p>
                          </w:txbxContent>
                        </wps:txbx>
                        <wps:bodyPr rot="0" vert="horz" wrap="square" lIns="91440" tIns="45720" rIns="91440" bIns="45720" anchor="t" anchorCtr="0" upright="1">
                          <a:noAutofit/>
                        </wps:bodyPr>
                      </wps:wsp>
                      <wps:wsp>
                        <wps:cNvPr id="88" name="Text Box 5"/>
                        <wps:cNvSpPr txBox="1">
                          <a:spLocks noChangeArrowheads="1"/>
                        </wps:cNvSpPr>
                        <wps:spPr bwMode="auto">
                          <a:xfrm>
                            <a:off x="1374702" y="6097942"/>
                            <a:ext cx="2982005" cy="381003"/>
                          </a:xfrm>
                          <a:prstGeom prst="rect">
                            <a:avLst/>
                          </a:prstGeom>
                          <a:solidFill>
                            <a:srgbClr val="FFFFFF"/>
                          </a:solidFill>
                          <a:ln w="9525">
                            <a:solidFill>
                              <a:srgbClr val="000000"/>
                            </a:solidFill>
                            <a:miter lim="800000"/>
                            <a:headEnd/>
                            <a:tailEnd/>
                          </a:ln>
                        </wps:spPr>
                        <wps:txbx>
                          <w:txbxContent>
                            <w:p w:rsidR="00BA51C8" w:rsidRPr="00005672" w:rsidRDefault="00BA51C8" w:rsidP="00CA258D">
                              <w:pPr>
                                <w:jc w:val="center"/>
                                <w:rPr>
                                  <w:rFonts w:ascii="Arial Narrow" w:hAnsi="Arial Narrow"/>
                                  <w:sz w:val="18"/>
                                  <w:szCs w:val="18"/>
                                </w:rPr>
                              </w:pPr>
                              <w:r w:rsidRPr="00005672">
                                <w:rPr>
                                  <w:rFonts w:ascii="Arial Narrow" w:hAnsi="Arial Narrow"/>
                                  <w:sz w:val="18"/>
                                  <w:szCs w:val="18"/>
                                </w:rPr>
                                <w:t>Primary outcomes: toxicity, tumour control, progression free survival, overall survival, quality of life</w:t>
                              </w:r>
                            </w:p>
                          </w:txbxContent>
                        </wps:txbx>
                        <wps:bodyPr rot="0" vert="horz" wrap="square" lIns="91440" tIns="45720" rIns="91440" bIns="45720" anchor="t" anchorCtr="0" upright="1">
                          <a:noAutofit/>
                        </wps:bodyPr>
                      </wps:wsp>
                      <wps:wsp>
                        <wps:cNvPr id="89" name="AutoShape 6"/>
                        <wps:cNvSpPr>
                          <a:spLocks noChangeArrowheads="1"/>
                        </wps:cNvSpPr>
                        <wps:spPr bwMode="auto">
                          <a:xfrm>
                            <a:off x="405101" y="790505"/>
                            <a:ext cx="1388702" cy="635704"/>
                          </a:xfrm>
                          <a:prstGeom prst="diamond">
                            <a:avLst/>
                          </a:prstGeom>
                          <a:solidFill>
                            <a:srgbClr val="FFFFFF"/>
                          </a:solidFill>
                          <a:ln w="9525">
                            <a:solidFill>
                              <a:srgbClr val="000000"/>
                            </a:solidFill>
                            <a:miter lim="800000"/>
                            <a:headEnd/>
                            <a:tailEnd/>
                          </a:ln>
                        </wps:spPr>
                        <wps:txbx>
                          <w:txbxContent>
                            <w:p w:rsidR="00BA51C8" w:rsidRPr="00005672" w:rsidRDefault="00BA51C8" w:rsidP="00CA258D">
                              <w:pPr>
                                <w:jc w:val="center"/>
                                <w:rPr>
                                  <w:rFonts w:ascii="Arial Narrow" w:hAnsi="Arial Narrow"/>
                                  <w:sz w:val="18"/>
                                  <w:szCs w:val="18"/>
                                </w:rPr>
                              </w:pPr>
                              <w:r w:rsidRPr="00005672">
                                <w:rPr>
                                  <w:rFonts w:ascii="Arial Narrow" w:hAnsi="Arial Narrow"/>
                                  <w:sz w:val="18"/>
                                  <w:szCs w:val="18"/>
                                </w:rPr>
                                <w:t>Treatment decision</w:t>
                              </w:r>
                            </w:p>
                          </w:txbxContent>
                        </wps:txbx>
                        <wps:bodyPr rot="0" vert="horz" wrap="square" lIns="91440" tIns="45720" rIns="91440" bIns="45720" anchor="t" anchorCtr="0" upright="1">
                          <a:noAutofit/>
                        </wps:bodyPr>
                      </wps:wsp>
                      <wps:wsp>
                        <wps:cNvPr id="90" name="Rectangle 7"/>
                        <wps:cNvSpPr>
                          <a:spLocks noChangeArrowheads="1"/>
                        </wps:cNvSpPr>
                        <wps:spPr bwMode="auto">
                          <a:xfrm>
                            <a:off x="3284806" y="894006"/>
                            <a:ext cx="1764703" cy="428003"/>
                          </a:xfrm>
                          <a:prstGeom prst="rect">
                            <a:avLst/>
                          </a:prstGeom>
                          <a:solidFill>
                            <a:srgbClr val="FFFFFF"/>
                          </a:solidFill>
                          <a:ln w="9525">
                            <a:solidFill>
                              <a:srgbClr val="000000"/>
                            </a:solidFill>
                            <a:miter lim="800000"/>
                            <a:headEnd/>
                            <a:tailEnd/>
                          </a:ln>
                        </wps:spPr>
                        <wps:txbx>
                          <w:txbxContent>
                            <w:p w:rsidR="00BA51C8" w:rsidRPr="00005672" w:rsidRDefault="00BA51C8" w:rsidP="00CA258D">
                              <w:pPr>
                                <w:jc w:val="center"/>
                                <w:rPr>
                                  <w:rFonts w:ascii="Arial Narrow" w:hAnsi="Arial Narrow"/>
                                  <w:sz w:val="18"/>
                                  <w:szCs w:val="18"/>
                                </w:rPr>
                              </w:pPr>
                              <w:r w:rsidRPr="00005672">
                                <w:rPr>
                                  <w:rFonts w:ascii="Arial Narrow" w:hAnsi="Arial Narrow"/>
                                  <w:sz w:val="18"/>
                                  <w:szCs w:val="18"/>
                                </w:rPr>
                                <w:t>Surgery, chemotherapy, active surveillance, radiation therapy</w:t>
                              </w:r>
                            </w:p>
                          </w:txbxContent>
                        </wps:txbx>
                        <wps:bodyPr rot="0" vert="horz" wrap="square" lIns="91440" tIns="45720" rIns="91440" bIns="45720" anchor="t" anchorCtr="0" upright="1">
                          <a:noAutofit/>
                        </wps:bodyPr>
                      </wps:wsp>
                      <wps:wsp>
                        <wps:cNvPr id="91" name="AutoShape 8"/>
                        <wps:cNvCnPr/>
                        <wps:spPr bwMode="auto">
                          <a:xfrm flipV="1">
                            <a:off x="1793803" y="1108008"/>
                            <a:ext cx="1491003" cy="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Rectangle 9"/>
                        <wps:cNvSpPr>
                          <a:spLocks noChangeArrowheads="1"/>
                        </wps:cNvSpPr>
                        <wps:spPr bwMode="auto">
                          <a:xfrm>
                            <a:off x="2145604" y="1788712"/>
                            <a:ext cx="1440203" cy="271202"/>
                          </a:xfrm>
                          <a:prstGeom prst="rect">
                            <a:avLst/>
                          </a:prstGeom>
                          <a:solidFill>
                            <a:srgbClr val="FFFFFF"/>
                          </a:solidFill>
                          <a:ln w="9525">
                            <a:solidFill>
                              <a:srgbClr val="000000"/>
                            </a:solidFill>
                            <a:miter lim="800000"/>
                            <a:headEnd/>
                            <a:tailEnd/>
                          </a:ln>
                        </wps:spPr>
                        <wps:txbx>
                          <w:txbxContent>
                            <w:p w:rsidR="00BA51C8" w:rsidRPr="00005672" w:rsidRDefault="00BA51C8" w:rsidP="00CA258D">
                              <w:pPr>
                                <w:ind w:hanging="720"/>
                                <w:jc w:val="center"/>
                                <w:rPr>
                                  <w:rFonts w:ascii="Arial Narrow" w:hAnsi="Arial Narrow"/>
                                  <w:sz w:val="18"/>
                                  <w:szCs w:val="18"/>
                                </w:rPr>
                              </w:pPr>
                              <w:r w:rsidRPr="00005672">
                                <w:rPr>
                                  <w:rFonts w:ascii="Arial Narrow" w:hAnsi="Arial Narrow"/>
                                  <w:sz w:val="18"/>
                                  <w:szCs w:val="18"/>
                                </w:rPr>
                                <w:t>Radiation therapy</w:t>
                              </w:r>
                            </w:p>
                          </w:txbxContent>
                        </wps:txbx>
                        <wps:bodyPr rot="0" vert="horz" wrap="square" lIns="91440" tIns="45720" rIns="91440" bIns="45720" anchor="t" anchorCtr="0" upright="1">
                          <a:noAutofit/>
                        </wps:bodyPr>
                      </wps:wsp>
                      <wps:wsp>
                        <wps:cNvPr id="93" name="AutoShape 10" descr="Figure 1. Generalised clinical management algorithm for cancer patients undergoing radiotherapy. Differences between 3DCRT and IMRT are highlighted grey." title="Figure 1. Generalised clinical management algorithm for cancer patients undergoing radiotherapy. Differences between 3DCRT and IMRT are highlighted grey."/>
                        <wps:cNvCnPr/>
                        <wps:spPr bwMode="auto">
                          <a:xfrm rot="5400000">
                            <a:off x="1624301" y="-271798"/>
                            <a:ext cx="537804" cy="1586803"/>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4" name="AutoShape 11"/>
                        <wps:cNvCnPr/>
                        <wps:spPr bwMode="auto">
                          <a:xfrm rot="16200000" flipH="1">
                            <a:off x="1801502" y="724509"/>
                            <a:ext cx="362502" cy="1765903"/>
                          </a:xfrm>
                          <a:prstGeom prst="bentConnector3">
                            <a:avLst>
                              <a:gd name="adj1" fmla="val 4991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5" name="Text Box 12"/>
                        <wps:cNvSpPr txBox="1">
                          <a:spLocks noChangeArrowheads="1"/>
                        </wps:cNvSpPr>
                        <wps:spPr bwMode="auto">
                          <a:xfrm>
                            <a:off x="4192907" y="2237115"/>
                            <a:ext cx="1440103" cy="247602"/>
                          </a:xfrm>
                          <a:prstGeom prst="rect">
                            <a:avLst/>
                          </a:prstGeom>
                          <a:solidFill>
                            <a:srgbClr val="FFFFFF"/>
                          </a:solidFill>
                          <a:ln w="9525">
                            <a:solidFill>
                              <a:srgbClr val="000000"/>
                            </a:solidFill>
                            <a:miter lim="800000"/>
                            <a:headEnd/>
                            <a:tailEnd/>
                          </a:ln>
                        </wps:spPr>
                        <wps:txbx>
                          <w:txbxContent>
                            <w:p w:rsidR="00BA51C8" w:rsidRPr="00005672" w:rsidRDefault="00BA51C8" w:rsidP="00CA258D">
                              <w:pPr>
                                <w:jc w:val="center"/>
                                <w:rPr>
                                  <w:rFonts w:ascii="Arial Narrow" w:hAnsi="Arial Narrow"/>
                                  <w:b/>
                                  <w:sz w:val="18"/>
                                  <w:szCs w:val="18"/>
                                </w:rPr>
                              </w:pPr>
                              <w:r w:rsidRPr="00005672">
                                <w:rPr>
                                  <w:rFonts w:ascii="Arial Narrow" w:hAnsi="Arial Narrow"/>
                                  <w:b/>
                                  <w:sz w:val="18"/>
                                  <w:szCs w:val="18"/>
                                </w:rPr>
                                <w:t>IMRT</w:t>
                              </w:r>
                            </w:p>
                          </w:txbxContent>
                        </wps:txbx>
                        <wps:bodyPr rot="0" vert="horz" wrap="square" lIns="91440" tIns="45720" rIns="91440" bIns="45720" anchor="t" anchorCtr="0" upright="1">
                          <a:noAutofit/>
                        </wps:bodyPr>
                      </wps:wsp>
                      <wps:wsp>
                        <wps:cNvPr id="96" name="Text Box 13"/>
                        <wps:cNvSpPr txBox="1">
                          <a:spLocks noChangeArrowheads="1"/>
                        </wps:cNvSpPr>
                        <wps:spPr bwMode="auto">
                          <a:xfrm>
                            <a:off x="4189007" y="4460230"/>
                            <a:ext cx="1440203" cy="675605"/>
                          </a:xfrm>
                          <a:prstGeom prst="rect">
                            <a:avLst/>
                          </a:prstGeom>
                          <a:solidFill>
                            <a:srgbClr val="D8D8D8"/>
                          </a:solidFill>
                          <a:ln w="9525">
                            <a:solidFill>
                              <a:srgbClr val="000000"/>
                            </a:solidFill>
                            <a:miter lim="800000"/>
                            <a:headEnd/>
                            <a:tailEnd/>
                          </a:ln>
                        </wps:spPr>
                        <wps:txbx>
                          <w:txbxContent>
                            <w:p w:rsidR="00BA51C8" w:rsidRPr="00005672" w:rsidRDefault="00BA51C8" w:rsidP="00CA258D">
                              <w:pPr>
                                <w:jc w:val="center"/>
                                <w:rPr>
                                  <w:rFonts w:ascii="Arial Narrow" w:hAnsi="Arial Narrow"/>
                                  <w:sz w:val="18"/>
                                  <w:szCs w:val="18"/>
                                </w:rPr>
                              </w:pPr>
                              <w:r w:rsidRPr="00005672">
                                <w:rPr>
                                  <w:rFonts w:ascii="Arial Narrow" w:hAnsi="Arial Narrow"/>
                                  <w:sz w:val="18"/>
                                  <w:szCs w:val="18"/>
                                </w:rPr>
                                <w:t>IMRT treatment and IGRT: treatment delivered over several sessions</w:t>
                              </w:r>
                            </w:p>
                            <w:p w:rsidR="00BA51C8" w:rsidRPr="00005672" w:rsidRDefault="00BA51C8" w:rsidP="00CA258D">
                              <w:pPr>
                                <w:jc w:val="center"/>
                                <w:rPr>
                                  <w:rFonts w:ascii="Arial Narrow" w:hAnsi="Arial Narrow"/>
                                  <w:sz w:val="18"/>
                                  <w:szCs w:val="18"/>
                                </w:rPr>
                              </w:pPr>
                              <w:r w:rsidRPr="00005672">
                                <w:rPr>
                                  <w:rFonts w:ascii="Arial Narrow" w:hAnsi="Arial Narrow"/>
                                  <w:sz w:val="18"/>
                                  <w:szCs w:val="18"/>
                                </w:rPr>
                                <w:t xml:space="preserve"> </w:t>
                              </w:r>
                            </w:p>
                          </w:txbxContent>
                        </wps:txbx>
                        <wps:bodyPr rot="0" vert="horz" wrap="square" lIns="91440" tIns="45720" rIns="91440" bIns="45720" anchor="t" anchorCtr="0" upright="1">
                          <a:noAutofit/>
                        </wps:bodyPr>
                      </wps:wsp>
                      <wps:wsp>
                        <wps:cNvPr id="97" name="Rectangle 14"/>
                        <wps:cNvSpPr>
                          <a:spLocks noChangeArrowheads="1"/>
                        </wps:cNvSpPr>
                        <wps:spPr bwMode="auto">
                          <a:xfrm>
                            <a:off x="4191007" y="2670118"/>
                            <a:ext cx="1440803" cy="255302"/>
                          </a:xfrm>
                          <a:prstGeom prst="rect">
                            <a:avLst/>
                          </a:prstGeom>
                          <a:solidFill>
                            <a:srgbClr val="FFFFFF"/>
                          </a:solidFill>
                          <a:ln w="9525">
                            <a:solidFill>
                              <a:srgbClr val="000000"/>
                            </a:solidFill>
                            <a:miter lim="800000"/>
                            <a:headEnd/>
                            <a:tailEnd/>
                          </a:ln>
                        </wps:spPr>
                        <wps:txbx>
                          <w:txbxContent>
                            <w:p w:rsidR="00BA51C8" w:rsidRPr="00005672" w:rsidRDefault="00BA51C8" w:rsidP="00CA258D">
                              <w:pPr>
                                <w:jc w:val="center"/>
                                <w:rPr>
                                  <w:rFonts w:ascii="Arial Narrow" w:hAnsi="Arial Narrow"/>
                                  <w:sz w:val="18"/>
                                  <w:szCs w:val="18"/>
                                </w:rPr>
                              </w:pPr>
                              <w:r w:rsidRPr="00005672">
                                <w:rPr>
                                  <w:rFonts w:ascii="Arial Narrow" w:hAnsi="Arial Narrow"/>
                                  <w:sz w:val="18"/>
                                  <w:szCs w:val="18"/>
                                </w:rPr>
                                <w:t>Simulation</w:t>
                              </w:r>
                            </w:p>
                          </w:txbxContent>
                        </wps:txbx>
                        <wps:bodyPr rot="0" vert="horz" wrap="square" lIns="91440" tIns="45720" rIns="91440" bIns="45720" anchor="t" anchorCtr="0" upright="1">
                          <a:noAutofit/>
                        </wps:bodyPr>
                      </wps:wsp>
                      <wps:wsp>
                        <wps:cNvPr id="98" name="Text Box 15"/>
                        <wps:cNvSpPr txBox="1">
                          <a:spLocks noChangeArrowheads="1"/>
                        </wps:cNvSpPr>
                        <wps:spPr bwMode="auto">
                          <a:xfrm>
                            <a:off x="4192907" y="3110821"/>
                            <a:ext cx="1440803" cy="402603"/>
                          </a:xfrm>
                          <a:prstGeom prst="rect">
                            <a:avLst/>
                          </a:prstGeom>
                          <a:solidFill>
                            <a:srgbClr val="D8D8D8"/>
                          </a:solidFill>
                          <a:ln w="9525">
                            <a:solidFill>
                              <a:srgbClr val="000000"/>
                            </a:solidFill>
                            <a:miter lim="800000"/>
                            <a:headEnd/>
                            <a:tailEnd/>
                          </a:ln>
                        </wps:spPr>
                        <wps:txbx>
                          <w:txbxContent>
                            <w:p w:rsidR="00BA51C8" w:rsidRPr="00005672" w:rsidRDefault="00BA51C8" w:rsidP="00CA258D">
                              <w:pPr>
                                <w:jc w:val="center"/>
                                <w:rPr>
                                  <w:rFonts w:ascii="Arial Narrow" w:hAnsi="Arial Narrow"/>
                                  <w:sz w:val="18"/>
                                  <w:szCs w:val="18"/>
                                </w:rPr>
                              </w:pPr>
                              <w:r w:rsidRPr="00005672">
                                <w:rPr>
                                  <w:rFonts w:ascii="Arial Narrow" w:hAnsi="Arial Narrow"/>
                                  <w:sz w:val="18"/>
                                  <w:szCs w:val="18"/>
                                </w:rPr>
                                <w:t>Planning (increased complexity and time)</w:t>
                              </w:r>
                            </w:p>
                          </w:txbxContent>
                        </wps:txbx>
                        <wps:bodyPr rot="0" vert="horz" wrap="square" lIns="91440" tIns="45720" rIns="91440" bIns="45720" anchor="t" anchorCtr="0" upright="1">
                          <a:noAutofit/>
                        </wps:bodyPr>
                      </wps:wsp>
                      <wps:wsp>
                        <wps:cNvPr id="99" name="Text Box 16"/>
                        <wps:cNvSpPr txBox="1">
                          <a:spLocks noChangeArrowheads="1"/>
                        </wps:cNvSpPr>
                        <wps:spPr bwMode="auto">
                          <a:xfrm>
                            <a:off x="220300" y="2237115"/>
                            <a:ext cx="1440203" cy="247602"/>
                          </a:xfrm>
                          <a:prstGeom prst="rect">
                            <a:avLst/>
                          </a:prstGeom>
                          <a:solidFill>
                            <a:srgbClr val="FFFFFF"/>
                          </a:solidFill>
                          <a:ln w="9525">
                            <a:solidFill>
                              <a:srgbClr val="000000"/>
                            </a:solidFill>
                            <a:miter lim="800000"/>
                            <a:headEnd/>
                            <a:tailEnd/>
                          </a:ln>
                        </wps:spPr>
                        <wps:txbx>
                          <w:txbxContent>
                            <w:p w:rsidR="00BA51C8" w:rsidRPr="00005672" w:rsidRDefault="00BA51C8" w:rsidP="00CA258D">
                              <w:pPr>
                                <w:ind w:hanging="720"/>
                                <w:jc w:val="center"/>
                                <w:rPr>
                                  <w:rFonts w:ascii="Arial Narrow" w:hAnsi="Arial Narrow"/>
                                  <w:b/>
                                  <w:sz w:val="18"/>
                                  <w:szCs w:val="18"/>
                                </w:rPr>
                              </w:pPr>
                              <w:r w:rsidRPr="00005672">
                                <w:rPr>
                                  <w:rFonts w:ascii="Arial Narrow" w:hAnsi="Arial Narrow"/>
                                  <w:b/>
                                  <w:sz w:val="18"/>
                                  <w:szCs w:val="18"/>
                                </w:rPr>
                                <w:t>3DCRT</w:t>
                              </w:r>
                            </w:p>
                          </w:txbxContent>
                        </wps:txbx>
                        <wps:bodyPr rot="0" vert="horz" wrap="square" lIns="91440" tIns="45720" rIns="91440" bIns="45720" anchor="t" anchorCtr="0" upright="1">
                          <a:noAutofit/>
                        </wps:bodyPr>
                      </wps:wsp>
                      <wps:wsp>
                        <wps:cNvPr id="100" name="Rectangle 17"/>
                        <wps:cNvSpPr>
                          <a:spLocks noChangeArrowheads="1"/>
                        </wps:cNvSpPr>
                        <wps:spPr bwMode="auto">
                          <a:xfrm>
                            <a:off x="220300" y="2735519"/>
                            <a:ext cx="1440803" cy="246402"/>
                          </a:xfrm>
                          <a:prstGeom prst="rect">
                            <a:avLst/>
                          </a:prstGeom>
                          <a:solidFill>
                            <a:srgbClr val="FFFFFF"/>
                          </a:solidFill>
                          <a:ln w="9525">
                            <a:solidFill>
                              <a:srgbClr val="000000"/>
                            </a:solidFill>
                            <a:miter lim="800000"/>
                            <a:headEnd/>
                            <a:tailEnd/>
                          </a:ln>
                        </wps:spPr>
                        <wps:txbx>
                          <w:txbxContent>
                            <w:p w:rsidR="00BA51C8" w:rsidRPr="00005672" w:rsidRDefault="00BA51C8" w:rsidP="00CA258D">
                              <w:pPr>
                                <w:ind w:hanging="720"/>
                                <w:jc w:val="center"/>
                                <w:rPr>
                                  <w:rFonts w:ascii="Arial Narrow" w:hAnsi="Arial Narrow"/>
                                  <w:sz w:val="18"/>
                                  <w:szCs w:val="18"/>
                                </w:rPr>
                              </w:pPr>
                              <w:r w:rsidRPr="00005672">
                                <w:rPr>
                                  <w:rFonts w:ascii="Arial Narrow" w:hAnsi="Arial Narrow"/>
                                  <w:sz w:val="18"/>
                                  <w:szCs w:val="18"/>
                                </w:rPr>
                                <w:t>Simulation</w:t>
                              </w:r>
                            </w:p>
                            <w:p w:rsidR="00BA51C8" w:rsidRPr="00005672" w:rsidRDefault="00BA51C8" w:rsidP="00CA258D">
                              <w:pPr>
                                <w:jc w:val="center"/>
                                <w:rPr>
                                  <w:rFonts w:ascii="Arial Narrow" w:hAnsi="Arial Narrow"/>
                                </w:rPr>
                              </w:pPr>
                            </w:p>
                          </w:txbxContent>
                        </wps:txbx>
                        <wps:bodyPr rot="0" vert="horz" wrap="square" lIns="91440" tIns="45720" rIns="91440" bIns="45720" anchor="t" anchorCtr="0" upright="1">
                          <a:noAutofit/>
                        </wps:bodyPr>
                      </wps:wsp>
                      <wps:wsp>
                        <wps:cNvPr id="101" name="Rectangle 18"/>
                        <wps:cNvSpPr>
                          <a:spLocks noChangeArrowheads="1"/>
                        </wps:cNvSpPr>
                        <wps:spPr bwMode="auto">
                          <a:xfrm>
                            <a:off x="219700" y="3232722"/>
                            <a:ext cx="1440803" cy="254702"/>
                          </a:xfrm>
                          <a:prstGeom prst="rect">
                            <a:avLst/>
                          </a:prstGeom>
                          <a:solidFill>
                            <a:srgbClr val="FFFFFF"/>
                          </a:solidFill>
                          <a:ln w="9525">
                            <a:solidFill>
                              <a:srgbClr val="000000"/>
                            </a:solidFill>
                            <a:miter lim="800000"/>
                            <a:headEnd/>
                            <a:tailEnd/>
                          </a:ln>
                        </wps:spPr>
                        <wps:txbx>
                          <w:txbxContent>
                            <w:p w:rsidR="00BA51C8" w:rsidRPr="00005672" w:rsidRDefault="00BA51C8" w:rsidP="00CA258D">
                              <w:pPr>
                                <w:ind w:hanging="720"/>
                                <w:jc w:val="center"/>
                                <w:rPr>
                                  <w:rFonts w:ascii="Arial Narrow" w:hAnsi="Arial Narrow"/>
                                  <w:sz w:val="18"/>
                                  <w:szCs w:val="18"/>
                                </w:rPr>
                              </w:pPr>
                              <w:r w:rsidRPr="00005672">
                                <w:rPr>
                                  <w:rFonts w:ascii="Arial Narrow" w:hAnsi="Arial Narrow"/>
                                  <w:sz w:val="18"/>
                                  <w:szCs w:val="18"/>
                                </w:rPr>
                                <w:t>Planning</w:t>
                              </w:r>
                            </w:p>
                            <w:p w:rsidR="00BA51C8" w:rsidRPr="00005672" w:rsidRDefault="00BA51C8" w:rsidP="00CA258D">
                              <w:pPr>
                                <w:jc w:val="center"/>
                                <w:rPr>
                                  <w:rFonts w:ascii="Arial Narrow" w:hAnsi="Arial Narrow"/>
                                </w:rPr>
                              </w:pPr>
                            </w:p>
                          </w:txbxContent>
                        </wps:txbx>
                        <wps:bodyPr rot="0" vert="horz" wrap="square" lIns="91440" tIns="45720" rIns="91440" bIns="45720" anchor="t" anchorCtr="0" upright="1">
                          <a:noAutofit/>
                        </wps:bodyPr>
                      </wps:wsp>
                      <wps:wsp>
                        <wps:cNvPr id="102" name="Rectangle 19"/>
                        <wps:cNvSpPr>
                          <a:spLocks noChangeArrowheads="1"/>
                        </wps:cNvSpPr>
                        <wps:spPr bwMode="auto">
                          <a:xfrm>
                            <a:off x="220300" y="4466530"/>
                            <a:ext cx="1440803" cy="635704"/>
                          </a:xfrm>
                          <a:prstGeom prst="rect">
                            <a:avLst/>
                          </a:prstGeom>
                          <a:solidFill>
                            <a:srgbClr val="FFFFFF"/>
                          </a:solidFill>
                          <a:ln w="9525">
                            <a:solidFill>
                              <a:srgbClr val="000000"/>
                            </a:solidFill>
                            <a:miter lim="800000"/>
                            <a:headEnd/>
                            <a:tailEnd/>
                          </a:ln>
                        </wps:spPr>
                        <wps:txbx>
                          <w:txbxContent>
                            <w:p w:rsidR="00BA51C8" w:rsidRPr="00005672" w:rsidRDefault="00BA51C8" w:rsidP="00CA258D">
                              <w:pPr>
                                <w:jc w:val="center"/>
                                <w:rPr>
                                  <w:rFonts w:ascii="Arial Narrow" w:hAnsi="Arial Narrow"/>
                                  <w:sz w:val="18"/>
                                  <w:szCs w:val="18"/>
                                </w:rPr>
                              </w:pPr>
                              <w:r w:rsidRPr="00005672">
                                <w:rPr>
                                  <w:rFonts w:ascii="Arial Narrow" w:hAnsi="Arial Narrow"/>
                                  <w:sz w:val="18"/>
                                  <w:szCs w:val="18"/>
                                </w:rPr>
                                <w:t>3DCRT treatment and verification or IGRT: treatment delivered over several sessions</w:t>
                              </w:r>
                            </w:p>
                            <w:p w:rsidR="00BA51C8" w:rsidRPr="00005672" w:rsidRDefault="00BA51C8" w:rsidP="00CA258D">
                              <w:pPr>
                                <w:jc w:val="center"/>
                                <w:rPr>
                                  <w:rFonts w:ascii="Arial Narrow" w:hAnsi="Arial Narrow"/>
                                </w:rPr>
                              </w:pPr>
                            </w:p>
                          </w:txbxContent>
                        </wps:txbx>
                        <wps:bodyPr rot="0" vert="horz" wrap="square" lIns="91440" tIns="45720" rIns="91440" bIns="45720" anchor="t" anchorCtr="0" upright="1">
                          <a:noAutofit/>
                        </wps:bodyPr>
                      </wps:wsp>
                      <wps:wsp>
                        <wps:cNvPr id="103" name="AutoShape 20"/>
                        <wps:cNvCnPr/>
                        <wps:spPr bwMode="auto">
                          <a:xfrm rot="10800000" flipV="1">
                            <a:off x="940402" y="1924613"/>
                            <a:ext cx="1205202" cy="31250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4" name="AutoShape 21"/>
                        <wps:cNvCnPr/>
                        <wps:spPr bwMode="auto">
                          <a:xfrm>
                            <a:off x="3585806" y="1924613"/>
                            <a:ext cx="1332202" cy="30610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5" name="Text Box 22"/>
                        <wps:cNvSpPr txBox="1">
                          <a:spLocks noChangeArrowheads="1"/>
                        </wps:cNvSpPr>
                        <wps:spPr bwMode="auto">
                          <a:xfrm>
                            <a:off x="4189007" y="3698825"/>
                            <a:ext cx="1442103" cy="515604"/>
                          </a:xfrm>
                          <a:prstGeom prst="rect">
                            <a:avLst/>
                          </a:prstGeom>
                          <a:solidFill>
                            <a:srgbClr val="D8D8D8"/>
                          </a:solidFill>
                          <a:ln w="9525">
                            <a:solidFill>
                              <a:srgbClr val="000000"/>
                            </a:solidFill>
                            <a:miter lim="800000"/>
                            <a:headEnd/>
                            <a:tailEnd/>
                          </a:ln>
                        </wps:spPr>
                        <wps:txbx>
                          <w:txbxContent>
                            <w:p w:rsidR="00BA51C8" w:rsidRPr="00005672" w:rsidRDefault="00BA51C8" w:rsidP="00CA258D">
                              <w:pPr>
                                <w:jc w:val="center"/>
                                <w:rPr>
                                  <w:rFonts w:ascii="Arial Narrow" w:hAnsi="Arial Narrow"/>
                                  <w:sz w:val="18"/>
                                  <w:szCs w:val="18"/>
                                </w:rPr>
                              </w:pPr>
                              <w:r w:rsidRPr="00005672">
                                <w:rPr>
                                  <w:rFonts w:ascii="Arial Narrow" w:hAnsi="Arial Narrow"/>
                                  <w:sz w:val="18"/>
                                  <w:szCs w:val="18"/>
                                </w:rPr>
                                <w:t>Quality Assurance including pre-treatment imaging (IGRT)</w:t>
                              </w:r>
                            </w:p>
                          </w:txbxContent>
                        </wps:txbx>
                        <wps:bodyPr rot="0" vert="horz" wrap="square" lIns="91440" tIns="45720" rIns="91440" bIns="45720" anchor="t" anchorCtr="0" upright="1">
                          <a:noAutofit/>
                        </wps:bodyPr>
                      </wps:wsp>
                      <wps:wsp>
                        <wps:cNvPr id="106" name="Text Box 23"/>
                        <wps:cNvSpPr txBox="1">
                          <a:spLocks noChangeArrowheads="1"/>
                        </wps:cNvSpPr>
                        <wps:spPr bwMode="auto">
                          <a:xfrm>
                            <a:off x="4191007" y="5353637"/>
                            <a:ext cx="1440103" cy="259102"/>
                          </a:xfrm>
                          <a:prstGeom prst="rect">
                            <a:avLst/>
                          </a:prstGeom>
                          <a:solidFill>
                            <a:srgbClr val="FFFFFF"/>
                          </a:solidFill>
                          <a:ln w="9525">
                            <a:solidFill>
                              <a:srgbClr val="000000"/>
                            </a:solidFill>
                            <a:miter lim="800000"/>
                            <a:headEnd/>
                            <a:tailEnd/>
                          </a:ln>
                        </wps:spPr>
                        <wps:txbx>
                          <w:txbxContent>
                            <w:p w:rsidR="00BA51C8" w:rsidRPr="00005672" w:rsidRDefault="00BA51C8" w:rsidP="00CA258D">
                              <w:pPr>
                                <w:ind w:hanging="720"/>
                                <w:jc w:val="center"/>
                                <w:rPr>
                                  <w:rFonts w:ascii="Arial Narrow" w:hAnsi="Arial Narrow"/>
                                  <w:sz w:val="18"/>
                                  <w:szCs w:val="18"/>
                                </w:rPr>
                              </w:pPr>
                              <w:proofErr w:type="gramStart"/>
                              <w:r w:rsidRPr="00005672">
                                <w:rPr>
                                  <w:rFonts w:ascii="Arial Narrow" w:hAnsi="Arial Narrow"/>
                                  <w:sz w:val="18"/>
                                  <w:szCs w:val="18"/>
                                </w:rPr>
                                <w:t>Patient follow</w:t>
                              </w:r>
                              <w:proofErr w:type="gramEnd"/>
                              <w:r w:rsidRPr="00005672">
                                <w:rPr>
                                  <w:rFonts w:ascii="Arial Narrow" w:hAnsi="Arial Narrow"/>
                                  <w:sz w:val="18"/>
                                  <w:szCs w:val="18"/>
                                </w:rPr>
                                <w:t xml:space="preserve"> up</w:t>
                              </w:r>
                            </w:p>
                          </w:txbxContent>
                        </wps:txbx>
                        <wps:bodyPr rot="0" vert="horz" wrap="square" lIns="91440" tIns="45720" rIns="91440" bIns="45720" anchor="t" anchorCtr="0" upright="1">
                          <a:noAutofit/>
                        </wps:bodyPr>
                      </wps:wsp>
                      <wps:wsp>
                        <wps:cNvPr id="107" name="Text Box 24"/>
                        <wps:cNvSpPr txBox="1">
                          <a:spLocks noChangeArrowheads="1"/>
                        </wps:cNvSpPr>
                        <wps:spPr bwMode="auto">
                          <a:xfrm>
                            <a:off x="219700" y="5353637"/>
                            <a:ext cx="1440103" cy="259102"/>
                          </a:xfrm>
                          <a:prstGeom prst="rect">
                            <a:avLst/>
                          </a:prstGeom>
                          <a:solidFill>
                            <a:srgbClr val="FFFFFF"/>
                          </a:solidFill>
                          <a:ln w="9525">
                            <a:solidFill>
                              <a:srgbClr val="000000"/>
                            </a:solidFill>
                            <a:miter lim="800000"/>
                            <a:headEnd/>
                            <a:tailEnd/>
                          </a:ln>
                        </wps:spPr>
                        <wps:txbx>
                          <w:txbxContent>
                            <w:p w:rsidR="00BA51C8" w:rsidRPr="00005672" w:rsidRDefault="00BA51C8" w:rsidP="00CA258D">
                              <w:pPr>
                                <w:ind w:hanging="720"/>
                                <w:jc w:val="center"/>
                                <w:rPr>
                                  <w:rFonts w:ascii="Arial Narrow" w:hAnsi="Arial Narrow"/>
                                  <w:sz w:val="18"/>
                                  <w:szCs w:val="18"/>
                                </w:rPr>
                              </w:pPr>
                              <w:proofErr w:type="gramStart"/>
                              <w:r w:rsidRPr="00005672">
                                <w:rPr>
                                  <w:rFonts w:ascii="Arial Narrow" w:hAnsi="Arial Narrow"/>
                                  <w:sz w:val="18"/>
                                  <w:szCs w:val="18"/>
                                </w:rPr>
                                <w:t>Patient follow</w:t>
                              </w:r>
                              <w:proofErr w:type="gramEnd"/>
                              <w:r w:rsidRPr="00005672">
                                <w:rPr>
                                  <w:rFonts w:ascii="Arial Narrow" w:hAnsi="Arial Narrow"/>
                                  <w:sz w:val="18"/>
                                  <w:szCs w:val="18"/>
                                </w:rPr>
                                <w:t xml:space="preserve"> up</w:t>
                              </w:r>
                            </w:p>
                          </w:txbxContent>
                        </wps:txbx>
                        <wps:bodyPr rot="0" vert="horz" wrap="square" lIns="91440" tIns="45720" rIns="91440" bIns="45720" anchor="t" anchorCtr="0" upright="1">
                          <a:noAutofit/>
                        </wps:bodyPr>
                      </wps:wsp>
                      <wps:wsp>
                        <wps:cNvPr id="108" name="AutoShape 25"/>
                        <wps:cNvCnPr/>
                        <wps:spPr bwMode="auto">
                          <a:xfrm rot="16200000" flipH="1">
                            <a:off x="1660502" y="4892038"/>
                            <a:ext cx="485103" cy="192590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9" name="AutoShape 26"/>
                        <wps:cNvCnPr/>
                        <wps:spPr bwMode="auto">
                          <a:xfrm rot="5400000">
                            <a:off x="3649305" y="4829138"/>
                            <a:ext cx="485203" cy="205230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0" name="Rectangle 27"/>
                        <wps:cNvSpPr>
                          <a:spLocks noChangeArrowheads="1"/>
                        </wps:cNvSpPr>
                        <wps:spPr bwMode="auto">
                          <a:xfrm>
                            <a:off x="219000" y="3738826"/>
                            <a:ext cx="1440803" cy="518804"/>
                          </a:xfrm>
                          <a:prstGeom prst="rect">
                            <a:avLst/>
                          </a:prstGeom>
                          <a:solidFill>
                            <a:srgbClr val="FFFFFF"/>
                          </a:solidFill>
                          <a:ln w="9525">
                            <a:solidFill>
                              <a:srgbClr val="000000"/>
                            </a:solidFill>
                            <a:miter lim="800000"/>
                            <a:headEnd/>
                            <a:tailEnd/>
                          </a:ln>
                        </wps:spPr>
                        <wps:txbx>
                          <w:txbxContent>
                            <w:p w:rsidR="00BA51C8" w:rsidRPr="00005672" w:rsidRDefault="00BA51C8" w:rsidP="00CA258D">
                              <w:pPr>
                                <w:jc w:val="center"/>
                                <w:rPr>
                                  <w:rFonts w:ascii="Arial Narrow" w:hAnsi="Arial Narrow"/>
                                  <w:sz w:val="18"/>
                                  <w:szCs w:val="18"/>
                                </w:rPr>
                              </w:pPr>
                              <w:r w:rsidRPr="00005672">
                                <w:rPr>
                                  <w:rFonts w:ascii="Arial Narrow" w:hAnsi="Arial Narrow"/>
                                  <w:sz w:val="18"/>
                                  <w:szCs w:val="18"/>
                                </w:rPr>
                                <w:t>Quality Assurance (with or without pre-treatment IGRT)</w:t>
                              </w:r>
                            </w:p>
                          </w:txbxContent>
                        </wps:txbx>
                        <wps:bodyPr rot="0" vert="horz" wrap="square" lIns="91440" tIns="45720" rIns="91440" bIns="45720" anchor="t" anchorCtr="0" upright="1">
                          <a:noAutofit/>
                        </wps:bodyPr>
                      </wps:wsp>
                      <wps:wsp>
                        <wps:cNvPr id="111" name="AutoShape 28"/>
                        <wps:cNvCnPr/>
                        <wps:spPr bwMode="auto">
                          <a:xfrm>
                            <a:off x="940402" y="2484717"/>
                            <a:ext cx="600" cy="2508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29"/>
                        <wps:cNvCnPr/>
                        <wps:spPr bwMode="auto">
                          <a:xfrm flipH="1">
                            <a:off x="940402" y="2981920"/>
                            <a:ext cx="600" cy="2508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AutoShape 30"/>
                        <wps:cNvCnPr/>
                        <wps:spPr bwMode="auto">
                          <a:xfrm flipH="1">
                            <a:off x="939802" y="3487424"/>
                            <a:ext cx="600" cy="2514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AutoShape 31"/>
                        <wps:cNvCnPr/>
                        <wps:spPr bwMode="auto">
                          <a:xfrm>
                            <a:off x="939802" y="4257629"/>
                            <a:ext cx="1200" cy="2089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AutoShape 32"/>
                        <wps:cNvCnPr/>
                        <wps:spPr bwMode="auto">
                          <a:xfrm flipH="1">
                            <a:off x="939802" y="5102235"/>
                            <a:ext cx="1200" cy="2514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AutoShape 33"/>
                        <wps:cNvCnPr/>
                        <wps:spPr bwMode="auto">
                          <a:xfrm flipH="1">
                            <a:off x="4911709" y="2484717"/>
                            <a:ext cx="1200" cy="185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AutoShape 34"/>
                        <wps:cNvCnPr/>
                        <wps:spPr bwMode="auto">
                          <a:xfrm>
                            <a:off x="4911709" y="2925420"/>
                            <a:ext cx="1900" cy="185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AutoShape 35"/>
                        <wps:cNvCnPr/>
                        <wps:spPr bwMode="auto">
                          <a:xfrm flipH="1">
                            <a:off x="4910409" y="3513424"/>
                            <a:ext cx="3200" cy="185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AutoShape 36"/>
                        <wps:cNvCnPr/>
                        <wps:spPr bwMode="auto">
                          <a:xfrm flipH="1">
                            <a:off x="4909109" y="4214429"/>
                            <a:ext cx="1300" cy="2458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AutoShape 37"/>
                        <wps:cNvCnPr/>
                        <wps:spPr bwMode="auto">
                          <a:xfrm>
                            <a:off x="4909109" y="5135835"/>
                            <a:ext cx="1900" cy="2178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21" o:spid="_x0000_s1026" editas="canvas" alt="Title:  clinical management algorithm for cancer patients undergoing radiotherapy - Description: the clinical management algorithm for cancer patients undergoing radiotherapy. Differences between three dimensional conformal radiation therapy and intensity modulated radiation therapy are highlighted" style="width:451.3pt;height:519.35pt;mso-position-horizontal-relative:char;mso-position-vertical-relative:line" coordsize="57315,65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e clinical management algorithm for cancer patients undergoing radiotherapy. Differences between three dimensional conformal radiation therapy and intensity modulated radiation therapy are highlighted" style="position:absolute;width:57315;height:65957;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6598;width:20530;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rsidR="00BA51C8" w:rsidRPr="00005672" w:rsidRDefault="00BA51C8" w:rsidP="00CA258D">
                        <w:pPr>
                          <w:jc w:val="center"/>
                          <w:rPr>
                            <w:rFonts w:ascii="Arial Narrow" w:hAnsi="Arial Narrow"/>
                            <w:sz w:val="18"/>
                            <w:szCs w:val="18"/>
                          </w:rPr>
                        </w:pPr>
                        <w:r w:rsidRPr="00005672">
                          <w:rPr>
                            <w:rFonts w:ascii="Arial Narrow" w:hAnsi="Arial Narrow"/>
                            <w:sz w:val="18"/>
                            <w:szCs w:val="18"/>
                          </w:rPr>
                          <w:t>Patients diagnosed with cancer</w:t>
                        </w:r>
                      </w:p>
                    </w:txbxContent>
                  </v:textbox>
                </v:shape>
                <v:shape id="Text Box 5" o:spid="_x0000_s1029" type="#_x0000_t202" style="position:absolute;left:13747;top:60979;width:29820;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BA51C8" w:rsidRPr="00005672" w:rsidRDefault="00BA51C8" w:rsidP="00CA258D">
                        <w:pPr>
                          <w:jc w:val="center"/>
                          <w:rPr>
                            <w:rFonts w:ascii="Arial Narrow" w:hAnsi="Arial Narrow"/>
                            <w:sz w:val="18"/>
                            <w:szCs w:val="18"/>
                          </w:rPr>
                        </w:pPr>
                        <w:r w:rsidRPr="00005672">
                          <w:rPr>
                            <w:rFonts w:ascii="Arial Narrow" w:hAnsi="Arial Narrow"/>
                            <w:sz w:val="18"/>
                            <w:szCs w:val="18"/>
                          </w:rPr>
                          <w:t>Primary outcomes: toxicity, tumour control, progression free survival, overall survival, quality of life</w:t>
                        </w:r>
                      </w:p>
                    </w:txbxContent>
                  </v:textbox>
                </v:shape>
                <v:shapetype id="_x0000_t4" coordsize="21600,21600" o:spt="4" path="m10800,l,10800,10800,21600,21600,10800xe">
                  <v:stroke joinstyle="miter"/>
                  <v:path gradientshapeok="t" o:connecttype="rect" textboxrect="5400,5400,16200,16200"/>
                </v:shapetype>
                <v:shape id="AutoShape 6" o:spid="_x0000_s1030" type="#_x0000_t4" style="position:absolute;left:4051;top:7905;width:13887;height:6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NVuMMA&#10;AADbAAAADwAAAGRycy9kb3ducmV2LnhtbESPwW7CMBBE75X4B2uReisOHKo0xaAKCQlRLqT9gG28&#10;xGnjdbBNkv49RkLiOJqZN5rlerSt6MmHxrGC+SwDQVw53XCt4Ptr+5KDCBFZY+uYFPxTgPVq8rTE&#10;QruBj9SXsRYJwqFABSbGrpAyVIYshpnriJN3ct5iTNLXUnscEty2cpFlr9Jiw2nBYEcbQ9VfebEK&#10;fn86Mxzy8ykrK9/L/cHvzsdPpZ6n48c7iEhjfITv7Z1WkL/B7Uv6A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NVuMMAAADbAAAADwAAAAAAAAAAAAAAAACYAgAAZHJzL2Rv&#10;d25yZXYueG1sUEsFBgAAAAAEAAQA9QAAAIgDAAAAAA==&#10;">
                  <v:textbox>
                    <w:txbxContent>
                      <w:p w:rsidR="00BA51C8" w:rsidRPr="00005672" w:rsidRDefault="00BA51C8" w:rsidP="00CA258D">
                        <w:pPr>
                          <w:jc w:val="center"/>
                          <w:rPr>
                            <w:rFonts w:ascii="Arial Narrow" w:hAnsi="Arial Narrow"/>
                            <w:sz w:val="18"/>
                            <w:szCs w:val="18"/>
                          </w:rPr>
                        </w:pPr>
                        <w:r w:rsidRPr="00005672">
                          <w:rPr>
                            <w:rFonts w:ascii="Arial Narrow" w:hAnsi="Arial Narrow"/>
                            <w:sz w:val="18"/>
                            <w:szCs w:val="18"/>
                          </w:rPr>
                          <w:t>Treatment decision</w:t>
                        </w:r>
                      </w:p>
                    </w:txbxContent>
                  </v:textbox>
                </v:shape>
                <v:rect id="Rectangle 7" o:spid="_x0000_s1031" style="position:absolute;left:32848;top:8940;width:17647;height:4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textbox>
                    <w:txbxContent>
                      <w:p w:rsidR="00BA51C8" w:rsidRPr="00005672" w:rsidRDefault="00BA51C8" w:rsidP="00CA258D">
                        <w:pPr>
                          <w:jc w:val="center"/>
                          <w:rPr>
                            <w:rFonts w:ascii="Arial Narrow" w:hAnsi="Arial Narrow"/>
                            <w:sz w:val="18"/>
                            <w:szCs w:val="18"/>
                          </w:rPr>
                        </w:pPr>
                        <w:r w:rsidRPr="00005672">
                          <w:rPr>
                            <w:rFonts w:ascii="Arial Narrow" w:hAnsi="Arial Narrow"/>
                            <w:sz w:val="18"/>
                            <w:szCs w:val="18"/>
                          </w:rPr>
                          <w:t>Surgery, chemotherapy, active surveillance, radiation therapy</w:t>
                        </w:r>
                      </w:p>
                    </w:txbxContent>
                  </v:textbox>
                </v:rect>
                <v:shapetype id="_x0000_t32" coordsize="21600,21600" o:spt="32" o:oned="t" path="m,l21600,21600e" filled="f">
                  <v:path arrowok="t" fillok="f" o:connecttype="none"/>
                  <o:lock v:ext="edit" shapetype="t"/>
                </v:shapetype>
                <v:shape id="AutoShape 8" o:spid="_x0000_s1032" type="#_x0000_t32" style="position:absolute;left:17938;top:11080;width:14910;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W2msMAAADbAAAADwAAAGRycy9kb3ducmV2LnhtbESPT2sCMRTE7wW/Q3hCb92sQktdjaJC&#10;QXop/gE9PjbP3eDmZdnEzfrtm4LQ4zAzv2EWq8E2oqfOG8cKJlkOgrh02nCl4HT8evsE4QOyxsYx&#10;KXiQh9Vy9LLAQrvIe+oPoRIJwr5ABXUIbSGlL2uy6DPXEifv6jqLIcmukrrDmOC2kdM8/5AWDaeF&#10;Glva1lTeDnerwMQf07e7bdx8ny9eRzKPd2eUeh0P6zmIQEP4Dz/bO61gN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ltprDAAAA2wAAAA8AAAAAAAAAAAAA&#10;AAAAoQIAAGRycy9kb3ducmV2LnhtbFBLBQYAAAAABAAEAPkAAACRAwAAAAA=&#10;">
                  <v:stroke endarrow="block"/>
                </v:shape>
                <v:rect id="Rectangle 9" o:spid="_x0000_s1033" style="position:absolute;left:21456;top:17887;width:14402;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textbox>
                    <w:txbxContent>
                      <w:p w:rsidR="00BA51C8" w:rsidRPr="00005672" w:rsidRDefault="00BA51C8" w:rsidP="00CA258D">
                        <w:pPr>
                          <w:ind w:hanging="720"/>
                          <w:jc w:val="center"/>
                          <w:rPr>
                            <w:rFonts w:ascii="Arial Narrow" w:hAnsi="Arial Narrow"/>
                            <w:sz w:val="18"/>
                            <w:szCs w:val="18"/>
                          </w:rPr>
                        </w:pPr>
                        <w:r w:rsidRPr="00005672">
                          <w:rPr>
                            <w:rFonts w:ascii="Arial Narrow" w:hAnsi="Arial Narrow"/>
                            <w:sz w:val="18"/>
                            <w:szCs w:val="18"/>
                          </w:rPr>
                          <w:t>Radiation therapy</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34" type="#_x0000_t34" alt="Figure 1. Generalised clinical management algorithm for cancer patients undergoing radiotherapy. Differences between 3DCRT and IMRT are highlighted grey." style="position:absolute;left:16243;top:-2718;width:5378;height:1586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RYFcQAAADbAAAADwAAAGRycy9kb3ducmV2LnhtbESP0WrCQBRE3wv9h+UWfCl1o1JrU1cJ&#10;YsCnliR+wCV7m4Rm78bsmsS/dwuFPg4zc4bZ7ifTioF611hWsJhHIIhLqxuuFJyL9GUDwnlkja1l&#10;UnAjB/vd48MWY21HzmjIfSUChF2MCmrvu1hKV9Zk0M1tRxy8b9sb9EH2ldQ9jgFuWrmMorU02HBY&#10;qLGjQ03lT341Cui5PU7Fqz9m6ddbs750SfppE6VmT1PyAcLT5P/Df+2TVvC+gt8v4QfI3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FFgVxAAAANsAAAAPAAAAAAAAAAAA&#10;AAAAAKECAABkcnMvZG93bnJldi54bWxQSwUGAAAAAAQABAD5AAAAkgMAAAAA&#10;" adj="10787">
                  <v:stroke endarrow="block"/>
                </v:shape>
                <v:shape id="AutoShape 11" o:spid="_x0000_s1035" type="#_x0000_t34" style="position:absolute;left:18015;top:7245;width:3625;height:1765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9asMAAADbAAAADwAAAGRycy9kb3ducmV2LnhtbESP3YrCMBSE7wXfIRzBO01dZFmrUdRV&#10;lEX8f4BDc2xLm5PSRO2+vVlY8HKY+WaYyawxpXhQ7XLLCgb9CARxYnXOqYLrZd37AuE8ssbSMin4&#10;JQezabs1wVjbJ5/ocfapCCXsYlSQeV/FUrokI4Oubyvi4N1sbdAHWadS1/gM5aaUH1H0KQ3mHBYy&#10;rGiZUVKc70bBaLffLwZ+VQzd/XD7Ps6x2Cx/lOp2mvkYhKfGv8P/9FYHbgh/X8IPkN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7qfWrDAAAA2wAAAA8AAAAAAAAAAAAA&#10;AAAAoQIAAGRycy9kb3ducmV2LnhtbFBLBQYAAAAABAAEAPkAAACRAwAAAAA=&#10;" adj="10781">
                  <v:stroke endarrow="block"/>
                </v:shape>
                <v:shape id="Text Box 12" o:spid="_x0000_s1036" type="#_x0000_t202" style="position:absolute;left:41929;top:22371;width:14401;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rsidR="00BA51C8" w:rsidRPr="00005672" w:rsidRDefault="00BA51C8" w:rsidP="00CA258D">
                        <w:pPr>
                          <w:jc w:val="center"/>
                          <w:rPr>
                            <w:rFonts w:ascii="Arial Narrow" w:hAnsi="Arial Narrow"/>
                            <w:b/>
                            <w:sz w:val="18"/>
                            <w:szCs w:val="18"/>
                          </w:rPr>
                        </w:pPr>
                        <w:r w:rsidRPr="00005672">
                          <w:rPr>
                            <w:rFonts w:ascii="Arial Narrow" w:hAnsi="Arial Narrow"/>
                            <w:b/>
                            <w:sz w:val="18"/>
                            <w:szCs w:val="18"/>
                          </w:rPr>
                          <w:t>IMRT</w:t>
                        </w:r>
                      </w:p>
                    </w:txbxContent>
                  </v:textbox>
                </v:shape>
                <v:shape id="Text Box 13" o:spid="_x0000_s1037" type="#_x0000_t202" style="position:absolute;left:41890;top:44602;width:14402;height:6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9lGr8A&#10;AADbAAAADwAAAGRycy9kb3ducmV2LnhtbESP2wrCMBBE3wX/Iazgi2jqFa1GEUG8vHn5gKVZ22Kz&#10;KU3U+vdGEHwcZuYMs1jVphBPqlxuWUG/F4EgTqzOOVVwvWy7UxDOI2ssLJOCNzlYLZuNBcbavvhE&#10;z7NPRYCwi1FB5n0ZS+mSjAy6ni2Jg3ezlUEfZJVKXeErwE0hB1E0kQZzDgsZlrTJKLmfH0aB3hSd&#10;7SjB/frqD0f3Htbjy+6kVLtVr+cgPNX+H/6191rBbALfL+EH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f2UavwAAANsAAAAPAAAAAAAAAAAAAAAAAJgCAABkcnMvZG93bnJl&#10;di54bWxQSwUGAAAAAAQABAD1AAAAhAMAAAAA&#10;" fillcolor="#d8d8d8">
                  <v:textbox>
                    <w:txbxContent>
                      <w:p w:rsidR="00BA51C8" w:rsidRPr="00005672" w:rsidRDefault="00BA51C8" w:rsidP="00CA258D">
                        <w:pPr>
                          <w:jc w:val="center"/>
                          <w:rPr>
                            <w:rFonts w:ascii="Arial Narrow" w:hAnsi="Arial Narrow"/>
                            <w:sz w:val="18"/>
                            <w:szCs w:val="18"/>
                          </w:rPr>
                        </w:pPr>
                        <w:r w:rsidRPr="00005672">
                          <w:rPr>
                            <w:rFonts w:ascii="Arial Narrow" w:hAnsi="Arial Narrow"/>
                            <w:sz w:val="18"/>
                            <w:szCs w:val="18"/>
                          </w:rPr>
                          <w:t>IMRT treatment and IGRT: treatment delivered over several sessions</w:t>
                        </w:r>
                      </w:p>
                      <w:p w:rsidR="00BA51C8" w:rsidRPr="00005672" w:rsidRDefault="00BA51C8" w:rsidP="00CA258D">
                        <w:pPr>
                          <w:jc w:val="center"/>
                          <w:rPr>
                            <w:rFonts w:ascii="Arial Narrow" w:hAnsi="Arial Narrow"/>
                            <w:sz w:val="18"/>
                            <w:szCs w:val="18"/>
                          </w:rPr>
                        </w:pPr>
                        <w:r w:rsidRPr="00005672">
                          <w:rPr>
                            <w:rFonts w:ascii="Arial Narrow" w:hAnsi="Arial Narrow"/>
                            <w:sz w:val="18"/>
                            <w:szCs w:val="18"/>
                          </w:rPr>
                          <w:t xml:space="preserve"> </w:t>
                        </w:r>
                      </w:p>
                    </w:txbxContent>
                  </v:textbox>
                </v:shape>
                <v:rect id="Rectangle 14" o:spid="_x0000_s1038" style="position:absolute;left:41910;top:26701;width:14408;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WsMQA&#10;AADbAAAADwAAAGRycy9kb3ducmV2LnhtbESPQWvCQBSE7wX/w/KE3pqNFmwTXUUUix41ufT2mn0m&#10;abNvQ3ZN0v76rlDocZiZb5jVZjSN6KlztWUFsygGQVxYXXOpIM8OT68gnEfW2FgmBd/kYLOePKww&#10;1XbgM/UXX4oAYZeigsr7NpXSFRUZdJFtiYN3tZ1BH2RXSt3hEOCmkfM4XkiDNYeFClvaVVR8XW5G&#10;wUc9z/HnnL3FJjk8+9OYfd7e90o9TsftEoSn0f+H/9pHrSB5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1rDEAAAA2wAAAA8AAAAAAAAAAAAAAAAAmAIAAGRycy9k&#10;b3ducmV2LnhtbFBLBQYAAAAABAAEAPUAAACJAwAAAAA=&#10;">
                  <v:textbox>
                    <w:txbxContent>
                      <w:p w:rsidR="00BA51C8" w:rsidRPr="00005672" w:rsidRDefault="00BA51C8" w:rsidP="00CA258D">
                        <w:pPr>
                          <w:jc w:val="center"/>
                          <w:rPr>
                            <w:rFonts w:ascii="Arial Narrow" w:hAnsi="Arial Narrow"/>
                            <w:sz w:val="18"/>
                            <w:szCs w:val="18"/>
                          </w:rPr>
                        </w:pPr>
                        <w:r w:rsidRPr="00005672">
                          <w:rPr>
                            <w:rFonts w:ascii="Arial Narrow" w:hAnsi="Arial Narrow"/>
                            <w:sz w:val="18"/>
                            <w:szCs w:val="18"/>
                          </w:rPr>
                          <w:t>Simulation</w:t>
                        </w:r>
                      </w:p>
                    </w:txbxContent>
                  </v:textbox>
                </v:rect>
                <v:shape id="Text Box 15" o:spid="_x0000_s1039" type="#_x0000_t202" style="position:absolute;left:41929;top:31108;width:14408;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xU87wA&#10;AADbAAAADwAAAGRycy9kb3ducmV2LnhtbERPSwrCMBDdC94hjOBGNPWLVqOIIH52VQ8wNGNbbCal&#10;iVpvbxaCy8f7rzaNKcWLaldYVjAcRCCIU6sLzhTcrvv+HITzyBpLy6TgQw4263ZrhbG2b07odfGZ&#10;CCHsYlSQe1/FUro0J4NuYCviwN1tbdAHWGdS1/gO4aaUoyiaSYMFh4YcK9rllD4uT6NA78refpLi&#10;cXvzp7P7jJvp9ZAo1e002yUIT43/i3/uo1awCGPDl/AD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crFTzvAAAANsAAAAPAAAAAAAAAAAAAAAAAJgCAABkcnMvZG93bnJldi54&#10;bWxQSwUGAAAAAAQABAD1AAAAgQMAAAAA&#10;" fillcolor="#d8d8d8">
                  <v:textbox>
                    <w:txbxContent>
                      <w:p w:rsidR="00BA51C8" w:rsidRPr="00005672" w:rsidRDefault="00BA51C8" w:rsidP="00CA258D">
                        <w:pPr>
                          <w:jc w:val="center"/>
                          <w:rPr>
                            <w:rFonts w:ascii="Arial Narrow" w:hAnsi="Arial Narrow"/>
                            <w:sz w:val="18"/>
                            <w:szCs w:val="18"/>
                          </w:rPr>
                        </w:pPr>
                        <w:r w:rsidRPr="00005672">
                          <w:rPr>
                            <w:rFonts w:ascii="Arial Narrow" w:hAnsi="Arial Narrow"/>
                            <w:sz w:val="18"/>
                            <w:szCs w:val="18"/>
                          </w:rPr>
                          <w:t>Planning (increased complexity and time)</w:t>
                        </w:r>
                      </w:p>
                    </w:txbxContent>
                  </v:textbox>
                </v:shape>
                <v:shape id="Text Box 16" o:spid="_x0000_s1040" type="#_x0000_t202" style="position:absolute;left:2203;top:22371;width:14402;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w:txbxContent>
                      <w:p w:rsidR="00BA51C8" w:rsidRPr="00005672" w:rsidRDefault="00BA51C8" w:rsidP="00CA258D">
                        <w:pPr>
                          <w:ind w:hanging="720"/>
                          <w:jc w:val="center"/>
                          <w:rPr>
                            <w:rFonts w:ascii="Arial Narrow" w:hAnsi="Arial Narrow"/>
                            <w:b/>
                            <w:sz w:val="18"/>
                            <w:szCs w:val="18"/>
                          </w:rPr>
                        </w:pPr>
                        <w:r w:rsidRPr="00005672">
                          <w:rPr>
                            <w:rFonts w:ascii="Arial Narrow" w:hAnsi="Arial Narrow"/>
                            <w:b/>
                            <w:sz w:val="18"/>
                            <w:szCs w:val="18"/>
                          </w:rPr>
                          <w:t>3DCRT</w:t>
                        </w:r>
                      </w:p>
                    </w:txbxContent>
                  </v:textbox>
                </v:shape>
                <v:rect id="Rectangle 17" o:spid="_x0000_s1041" style="position:absolute;left:2203;top:27355;width:14408;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ksUA&#10;AADcAAAADwAAAGRycy9kb3ducmV2LnhtbESPQW/CMAyF70j7D5En7QYJTJpGISC0iWk7QnvhZhrT&#10;FhqnagJ0+/XzYdJutt7ze5+X68G36kZ9bAJbmE4MKOIyuIYrC0W+Hb+CignZYRuYLHxThPXqYbTE&#10;zIU77+i2T5WSEI4ZWqhT6jKtY1mTxzgJHbFop9B7TLL2lXY93iXct3pmzIv22LA01NjRW03lZX/1&#10;Fo7NrMCfXf5h/Hz7nL6G/Hw9vFv79DhsFqASDenf/Hf96Q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3+SxQAAANwAAAAPAAAAAAAAAAAAAAAAAJgCAABkcnMv&#10;ZG93bnJldi54bWxQSwUGAAAAAAQABAD1AAAAigMAAAAA&#10;">
                  <v:textbox>
                    <w:txbxContent>
                      <w:p w:rsidR="00BA51C8" w:rsidRPr="00005672" w:rsidRDefault="00BA51C8" w:rsidP="00CA258D">
                        <w:pPr>
                          <w:ind w:hanging="720"/>
                          <w:jc w:val="center"/>
                          <w:rPr>
                            <w:rFonts w:ascii="Arial Narrow" w:hAnsi="Arial Narrow"/>
                            <w:sz w:val="18"/>
                            <w:szCs w:val="18"/>
                          </w:rPr>
                        </w:pPr>
                        <w:r w:rsidRPr="00005672">
                          <w:rPr>
                            <w:rFonts w:ascii="Arial Narrow" w:hAnsi="Arial Narrow"/>
                            <w:sz w:val="18"/>
                            <w:szCs w:val="18"/>
                          </w:rPr>
                          <w:t>Simulation</w:t>
                        </w:r>
                      </w:p>
                      <w:p w:rsidR="00BA51C8" w:rsidRPr="00005672" w:rsidRDefault="00BA51C8" w:rsidP="00CA258D">
                        <w:pPr>
                          <w:jc w:val="center"/>
                          <w:rPr>
                            <w:rFonts w:ascii="Arial Narrow" w:hAnsi="Arial Narrow"/>
                          </w:rPr>
                        </w:pPr>
                      </w:p>
                    </w:txbxContent>
                  </v:textbox>
                </v:rect>
                <v:rect id="Rectangle 18" o:spid="_x0000_s1042" style="position:absolute;left:2197;top:32327;width:14408;height:2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textbox>
                    <w:txbxContent>
                      <w:p w:rsidR="00BA51C8" w:rsidRPr="00005672" w:rsidRDefault="00BA51C8" w:rsidP="00CA258D">
                        <w:pPr>
                          <w:ind w:hanging="720"/>
                          <w:jc w:val="center"/>
                          <w:rPr>
                            <w:rFonts w:ascii="Arial Narrow" w:hAnsi="Arial Narrow"/>
                            <w:sz w:val="18"/>
                            <w:szCs w:val="18"/>
                          </w:rPr>
                        </w:pPr>
                        <w:r w:rsidRPr="00005672">
                          <w:rPr>
                            <w:rFonts w:ascii="Arial Narrow" w:hAnsi="Arial Narrow"/>
                            <w:sz w:val="18"/>
                            <w:szCs w:val="18"/>
                          </w:rPr>
                          <w:t>Planning</w:t>
                        </w:r>
                      </w:p>
                      <w:p w:rsidR="00BA51C8" w:rsidRPr="00005672" w:rsidRDefault="00BA51C8" w:rsidP="00CA258D">
                        <w:pPr>
                          <w:jc w:val="center"/>
                          <w:rPr>
                            <w:rFonts w:ascii="Arial Narrow" w:hAnsi="Arial Narrow"/>
                          </w:rPr>
                        </w:pPr>
                      </w:p>
                    </w:txbxContent>
                  </v:textbox>
                </v:rect>
                <v:rect id="Rectangle 19" o:spid="_x0000_s1043" style="position:absolute;left:2203;top:44665;width:14408;height:6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EfsEA&#10;AADcAAAADwAAAGRycy9kb3ducmV2LnhtbERPTYvCMBC9L/gfwgje1sQuLG41iigu7lHrxdvYjG21&#10;mZQmavXXbxaEvc3jfc503tla3Kj1lWMNo6ECQZw7U3GhYZ+t38cgfEA2WDsmDQ/yMJ/13qaYGnfn&#10;Ld12oRAxhH2KGsoQmlRKn5dk0Q9dQxy5k2sthgjbQpoW7zHc1jJR6lNarDg2lNjQsqT8srtaDccq&#10;2eNzm30r+7X+CD9ddr4eVloP+t1iAiJQF/7FL/fGxPkqgb9n4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RH7BAAAA3AAAAA8AAAAAAAAAAAAAAAAAmAIAAGRycy9kb3du&#10;cmV2LnhtbFBLBQYAAAAABAAEAPUAAACGAwAAAAA=&#10;">
                  <v:textbox>
                    <w:txbxContent>
                      <w:p w:rsidR="00BA51C8" w:rsidRPr="00005672" w:rsidRDefault="00BA51C8" w:rsidP="00CA258D">
                        <w:pPr>
                          <w:jc w:val="center"/>
                          <w:rPr>
                            <w:rFonts w:ascii="Arial Narrow" w:hAnsi="Arial Narrow"/>
                            <w:sz w:val="18"/>
                            <w:szCs w:val="18"/>
                          </w:rPr>
                        </w:pPr>
                        <w:r w:rsidRPr="00005672">
                          <w:rPr>
                            <w:rFonts w:ascii="Arial Narrow" w:hAnsi="Arial Narrow"/>
                            <w:sz w:val="18"/>
                            <w:szCs w:val="18"/>
                          </w:rPr>
                          <w:t>3DCRT treatment and verification or IGRT: treatment delivered over several sessions</w:t>
                        </w:r>
                      </w:p>
                      <w:p w:rsidR="00BA51C8" w:rsidRPr="00005672" w:rsidRDefault="00BA51C8" w:rsidP="00CA258D">
                        <w:pPr>
                          <w:jc w:val="center"/>
                          <w:rPr>
                            <w:rFonts w:ascii="Arial Narrow" w:hAnsi="Arial Narrow"/>
                          </w:rPr>
                        </w:pPr>
                      </w:p>
                    </w:txbxContent>
                  </v:textbox>
                </v:rect>
                <v:shapetype id="_x0000_t33" coordsize="21600,21600" o:spt="33" o:oned="t" path="m,l21600,r,21600e" filled="f">
                  <v:stroke joinstyle="miter"/>
                  <v:path arrowok="t" fillok="f" o:connecttype="none"/>
                  <o:lock v:ext="edit" shapetype="t"/>
                </v:shapetype>
                <v:shape id="AutoShape 20" o:spid="_x0000_s1044" type="#_x0000_t33" style="position:absolute;left:9404;top:19246;width:12052;height:312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psK8MAAADcAAAADwAAAGRycy9kb3ducmV2LnhtbERPTWvCQBC9F/wPywjedGPFoqmrqCh6&#10;KaLpocchO80Gs7NpdqPx33cLQm/zeJ+zWHW2EjdqfOlYwXiUgCDOnS65UPCZ7YczED4ga6wck4IH&#10;eVgtey8LTLW785lul1CIGMI+RQUmhDqV0ueGLPqRq4kj9+0aiyHCppC6wXsMt5V8TZI3abHk2GCw&#10;pq2h/HpprYKp+cnn++ODT7NNnbXZrv34OrRKDfrd+h1EoC78i5/uo47zkwn8PRMv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qbCvDAAAA3AAAAA8AAAAAAAAAAAAA&#10;AAAAoQIAAGRycy9kb3ducmV2LnhtbFBLBQYAAAAABAAEAPkAAACRAwAAAAA=&#10;">
                  <v:stroke endarrow="block"/>
                </v:shape>
                <v:shape id="AutoShape 21" o:spid="_x0000_s1045" type="#_x0000_t33" style="position:absolute;left:35858;top:19246;width:13322;height:306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CNMIAAADcAAAADwAAAGRycy9kb3ducmV2LnhtbERPTWvCQBC9F/wPywje6sYiVqKriFCV&#10;3kx78DhmxySanY27q4n99W6h0Ns83ufMl52pxZ2crywrGA0TEMS51RUXCr6/Pl6nIHxA1lhbJgUP&#10;8rBc9F7mmGrb8p7uWShEDGGfooIyhCaV0uclGfRD2xBH7mSdwRChK6R22MZwU8u3JJlIgxXHhhIb&#10;WpeUX7KbUbBdnVsnfw7v1+PoprHdTD6zKyo16HerGYhAXfgX/7l3Os5PxvD7TL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F+CNMIAAADcAAAADwAAAAAAAAAAAAAA&#10;AAChAgAAZHJzL2Rvd25yZXYueG1sUEsFBgAAAAAEAAQA+QAAAJADAAAAAA==&#10;">
                  <v:stroke endarrow="block"/>
                </v:shape>
                <v:shape id="Text Box 22" o:spid="_x0000_s1046" type="#_x0000_t202" style="position:absolute;left:41890;top:36988;width:14421;height:5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U/L0A&#10;AADcAAAADwAAAGRycy9kb3ducmV2LnhtbERPSwrCMBDdC94hjOBGNPWLVKOIIH52VQ8wNGNbbCal&#10;iVpvbwTB3Tzed5brxpTiSbUrLCsYDiIQxKnVBWcKrpddfw7CeWSNpWVS8CYH61W7tcRY2xcn9Dz7&#10;TIQQdjEqyL2vYildmpNBN7AVceButjboA6wzqWt8hXBTylEUzaTBgkNDjhVtc0rv54dRoLdlbzdJ&#10;8bC5+uPJvcfN9LJPlOp2ms0ChKfG/8U/90GH+dEUvs+EC+Tq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hU/L0AAADcAAAADwAAAAAAAAAAAAAAAACYAgAAZHJzL2Rvd25yZXYu&#10;eG1sUEsFBgAAAAAEAAQA9QAAAIIDAAAAAA==&#10;" fillcolor="#d8d8d8">
                  <v:textbox>
                    <w:txbxContent>
                      <w:p w:rsidR="00BA51C8" w:rsidRPr="00005672" w:rsidRDefault="00BA51C8" w:rsidP="00CA258D">
                        <w:pPr>
                          <w:jc w:val="center"/>
                          <w:rPr>
                            <w:rFonts w:ascii="Arial Narrow" w:hAnsi="Arial Narrow"/>
                            <w:sz w:val="18"/>
                            <w:szCs w:val="18"/>
                          </w:rPr>
                        </w:pPr>
                        <w:r w:rsidRPr="00005672">
                          <w:rPr>
                            <w:rFonts w:ascii="Arial Narrow" w:hAnsi="Arial Narrow"/>
                            <w:sz w:val="18"/>
                            <w:szCs w:val="18"/>
                          </w:rPr>
                          <w:t>Quality Assurance including pre-treatment imaging (IGRT)</w:t>
                        </w:r>
                      </w:p>
                    </w:txbxContent>
                  </v:textbox>
                </v:shape>
                <v:shape id="Text Box 23" o:spid="_x0000_s1047" type="#_x0000_t202" style="position:absolute;left:41910;top:53536;width:14401;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BycMA&#10;AADcAAAADwAAAGRycy9kb3ducmV2LnhtbERPTWvCQBC9F/oflin0UnTTKlFTVxFBsTebil6H7JiE&#10;ZmfT3TWm/75bELzN433OfNmbRnTkfG1ZweswAUFcWF1zqeDwtRlMQfiArLGxTAp+ycNy8fgwx0zb&#10;K39Sl4dSxBD2GSqoQmgzKX1RkUE/tC1x5M7WGQwRulJqh9cYbhr5liSpNFhzbKiwpXVFxXd+MQqm&#10;41138h+j/bFIz80svEy67Y9T6vmpX72DCNSHu/jm3uk4P0n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UBycMAAADcAAAADwAAAAAAAAAAAAAAAACYAgAAZHJzL2Rv&#10;d25yZXYueG1sUEsFBgAAAAAEAAQA9QAAAIgDAAAAAA==&#10;">
                  <v:textbox>
                    <w:txbxContent>
                      <w:p w:rsidR="00BA51C8" w:rsidRPr="00005672" w:rsidRDefault="00BA51C8" w:rsidP="00CA258D">
                        <w:pPr>
                          <w:ind w:hanging="720"/>
                          <w:jc w:val="center"/>
                          <w:rPr>
                            <w:rFonts w:ascii="Arial Narrow" w:hAnsi="Arial Narrow"/>
                            <w:sz w:val="18"/>
                            <w:szCs w:val="18"/>
                          </w:rPr>
                        </w:pPr>
                        <w:proofErr w:type="gramStart"/>
                        <w:r w:rsidRPr="00005672">
                          <w:rPr>
                            <w:rFonts w:ascii="Arial Narrow" w:hAnsi="Arial Narrow"/>
                            <w:sz w:val="18"/>
                            <w:szCs w:val="18"/>
                          </w:rPr>
                          <w:t>Patient follow</w:t>
                        </w:r>
                        <w:proofErr w:type="gramEnd"/>
                        <w:r w:rsidRPr="00005672">
                          <w:rPr>
                            <w:rFonts w:ascii="Arial Narrow" w:hAnsi="Arial Narrow"/>
                            <w:sz w:val="18"/>
                            <w:szCs w:val="18"/>
                          </w:rPr>
                          <w:t xml:space="preserve"> up</w:t>
                        </w:r>
                      </w:p>
                    </w:txbxContent>
                  </v:textbox>
                </v:shape>
                <v:shape id="Text Box 24" o:spid="_x0000_s1048" type="#_x0000_t202" style="position:absolute;left:2197;top:53536;width:14401;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BA51C8" w:rsidRPr="00005672" w:rsidRDefault="00BA51C8" w:rsidP="00CA258D">
                        <w:pPr>
                          <w:ind w:hanging="720"/>
                          <w:jc w:val="center"/>
                          <w:rPr>
                            <w:rFonts w:ascii="Arial Narrow" w:hAnsi="Arial Narrow"/>
                            <w:sz w:val="18"/>
                            <w:szCs w:val="18"/>
                          </w:rPr>
                        </w:pPr>
                        <w:proofErr w:type="gramStart"/>
                        <w:r w:rsidRPr="00005672">
                          <w:rPr>
                            <w:rFonts w:ascii="Arial Narrow" w:hAnsi="Arial Narrow"/>
                            <w:sz w:val="18"/>
                            <w:szCs w:val="18"/>
                          </w:rPr>
                          <w:t>Patient follow</w:t>
                        </w:r>
                        <w:proofErr w:type="gramEnd"/>
                        <w:r w:rsidRPr="00005672">
                          <w:rPr>
                            <w:rFonts w:ascii="Arial Narrow" w:hAnsi="Arial Narrow"/>
                            <w:sz w:val="18"/>
                            <w:szCs w:val="18"/>
                          </w:rPr>
                          <w:t xml:space="preserve"> up</w:t>
                        </w:r>
                      </w:p>
                    </w:txbxContent>
                  </v:textbox>
                </v:shape>
                <v:shape id="AutoShape 25" o:spid="_x0000_s1049" type="#_x0000_t34" style="position:absolute;left:16605;top:48920;width:4851;height:1925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i0q8QAAADcAAAADwAAAGRycy9kb3ducmV2LnhtbESPQWvCQBCF7wX/wzKCt7pbkappNiJC&#10;0Uuh2v6AaXZMQrOzIbvV6K93DgVvM7w3732TrwffqjP1sQls4WVqQBGXwTVcWfj+en9egooJ2WEb&#10;mCxcKcK6GD3lmLlw4QOdj6lSEsIxQwt1Sl2mdSxr8hinoSMW7RR6j0nWvtKux4uE+1bPjHnVHhuW&#10;hho72tZU/h7/vIX5NR5u9LHUs89qtSqjWexO/GPtZDxs3kAlGtLD/H+9d4JvhFaekQl0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yLSrxAAAANwAAAAPAAAAAAAAAAAA&#10;AAAAAKECAABkcnMvZG93bnJldi54bWxQSwUGAAAAAAQABAD5AAAAkgMAAAAA&#10;">
                  <v:stroke endarrow="block"/>
                </v:shape>
                <v:shape id="AutoShape 26" o:spid="_x0000_s1050" type="#_x0000_t34" style="position:absolute;left:36493;top:48290;width:4852;height:2052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buI8MAAADcAAAADwAAAGRycy9kb3ducmV2LnhtbERPTWvCQBC9F/wPywje6kYPYqOrqCDk&#10;oEhTS/E2ZKfZ2OxsyG40/nu3UOhtHu9zluve1uJGra8cK5iMExDEhdMVlwrOH/vXOQgfkDXWjknB&#10;gzysV4OXJaba3fmdbnkoRQxhn6ICE0KTSukLQxb92DXEkft2rcUQYVtK3eI9httaTpNkJi1WHBsM&#10;NrQzVPzknVVw+TyWh8dpm28wyzpz3l27r8NVqdGw3yxABOrDv/jPnek4P3mD32fiB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W7iPDAAAA3AAAAA8AAAAAAAAAAAAA&#10;AAAAoQIAAGRycy9kb3ducmV2LnhtbFBLBQYAAAAABAAEAPkAAACRAwAAAAA=&#10;">
                  <v:stroke endarrow="block"/>
                </v:shape>
                <v:rect id="Rectangle 27" o:spid="_x0000_s1051" style="position:absolute;left:2190;top:37388;width:14408;height:5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bpT8UA&#10;AADcAAAADwAAAGRycy9kb3ducmV2LnhtbESPQW/CMAyF75P2HyJP4jZSQJq2QlpNIBA7QrnsZhrT&#10;ljVO1QQo/Pr5MGk3W+/5vc+LfHCtulIfGs8GJuMEFHHpbcOVgUOxfn0HFSKyxdYzGbhTgDx7flpg&#10;av2Nd3Tdx0pJCIcUDdQxdqnWoazJYRj7jli0k+8dRln7StsebxLuWj1NkjftsGFpqLGjZU3lz/7i&#10;DByb6QEfu2KTuI/1LH4NxfnyvTJm9DJ8zkFFGuK/+e96awV/Ivj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ulPxQAAANwAAAAPAAAAAAAAAAAAAAAAAJgCAABkcnMv&#10;ZG93bnJldi54bWxQSwUGAAAAAAQABAD1AAAAigMAAAAA&#10;">
                  <v:textbox>
                    <w:txbxContent>
                      <w:p w:rsidR="00BA51C8" w:rsidRPr="00005672" w:rsidRDefault="00BA51C8" w:rsidP="00CA258D">
                        <w:pPr>
                          <w:jc w:val="center"/>
                          <w:rPr>
                            <w:rFonts w:ascii="Arial Narrow" w:hAnsi="Arial Narrow"/>
                            <w:sz w:val="18"/>
                            <w:szCs w:val="18"/>
                          </w:rPr>
                        </w:pPr>
                        <w:r w:rsidRPr="00005672">
                          <w:rPr>
                            <w:rFonts w:ascii="Arial Narrow" w:hAnsi="Arial Narrow"/>
                            <w:sz w:val="18"/>
                            <w:szCs w:val="18"/>
                          </w:rPr>
                          <w:t>Quality Assurance (with or without pre-treatment IGRT)</w:t>
                        </w:r>
                      </w:p>
                    </w:txbxContent>
                  </v:textbox>
                </v:rect>
                <v:shape id="AutoShape 28" o:spid="_x0000_s1052" type="#_x0000_t32" style="position:absolute;left:9404;top:24847;width:6;height:25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od0sMAAADcAAAADwAAAGRycy9kb3ducmV2LnhtbERPTWvCQBC9F/wPywjemk08iKauUgqK&#10;WDyoJbS3ITsmwexs2F019te7hYK3ebzPmS9704orOd9YVpAlKQji0uqGKwVfx9XrFIQPyBpby6Tg&#10;Th6Wi8HLHHNtb7yn6yFUIoawz1FBHUKXS+nLmgz6xHbEkTtZZzBE6CqpHd5iuGnlOE0n0mDDsaHG&#10;jj5qKs+Hi1Hw/Tm7FPdiR9sim21/0Bn/e1wrNRr2728gAvXhKf53b3Scn2Xw90y8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qHdLDAAAA3AAAAA8AAAAAAAAAAAAA&#10;AAAAoQIAAGRycy9kb3ducmV2LnhtbFBLBQYAAAAABAAEAPkAAACRAwAAAAA=&#10;">
                  <v:stroke endarrow="block"/>
                </v:shape>
                <v:shape id="AutoShape 29" o:spid="_x0000_s1053" type="#_x0000_t32" style="position:absolute;left:9404;top:29819;width:6;height:25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I5sAAAADcAAAADwAAAGRycy9kb3ducmV2LnhtbERPS4vCMBC+C/sfwizsTVMFRapRVFgQ&#10;L4sP0OPQjG2wmZQm29R/v1kQvM3H95zlure16Kj1xrGC8SgDQVw4bbhUcDl/D+cgfEDWWDsmBU/y&#10;sF59DJaYaxf5SN0plCKFsM9RQRVCk0vpi4os+pFriBN3d63FkGBbSt1iTOG2lpMsm0mLhlNDhQ3t&#10;Kioep1+rwMQf0zX7XdwerjevI5nn1Bmlvj77zQJEoD68xS/3Xqf54wn8P5MukK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pyObAAAAA3AAAAA8AAAAAAAAAAAAAAAAA&#10;oQIAAGRycy9kb3ducmV2LnhtbFBLBQYAAAAABAAEAPkAAACOAwAAAAA=&#10;">
                  <v:stroke endarrow="block"/>
                </v:shape>
                <v:shape id="AutoShape 30" o:spid="_x0000_s1054" type="#_x0000_t32" style="position:absolute;left:9398;top:34874;width:6;height:25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VtfcEAAADcAAAADwAAAGRycy9kb3ducmV2LnhtbERP32vCMBB+F/Y/hBv4pmknyuiMZRME&#10;8UXmBtvj0ZxtsLmUJmvqf2+EgW/38f28dTnaVgzUe+NYQT7PQBBXThuuFXx/7WavIHxA1tg6JgVX&#10;8lBuniZrLLSL/EnDKdQihbAvUEETQldI6auGLPq564gTd3a9xZBgX0vdY0zhtpUvWbaSFg2nhgY7&#10;2jZUXU5/VoGJRzN0+238OPz8eh3JXJfOKDV9Ht/fQAQaw0P8797rND9fwP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pW19wQAAANwAAAAPAAAAAAAAAAAAAAAA&#10;AKECAABkcnMvZG93bnJldi54bWxQSwUGAAAAAAQABAD5AAAAjwMAAAAA&#10;">
                  <v:stroke endarrow="block"/>
                </v:shape>
                <v:shape id="AutoShape 31" o:spid="_x0000_s1055" type="#_x0000_t32" style="position:absolute;left:9398;top:42576;width:12;height:20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2+SsQAAADcAAAADwAAAGRycy9kb3ducmV2LnhtbERPTWvCQBC9F/wPywje6iZFpK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Xb5KxAAAANwAAAAPAAAAAAAAAAAA&#10;AAAAAKECAABkcnMvZG93bnJldi54bWxQSwUGAAAAAAQABAD5AAAAkgMAAAAA&#10;">
                  <v:stroke endarrow="block"/>
                </v:shape>
                <v:shape id="AutoShape 32" o:spid="_x0000_s1056" type="#_x0000_t32" style="position:absolute;left:9398;top:51022;width:12;height:25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BQksAAAADcAAAADwAAAGRycy9kb3ducmV2LnhtbERPS4vCMBC+C/sfwizsTVMXFKlGUWFB&#10;vCw+QI9DM7bBZlKa2NR/v1kQvM3H95zFqre16Kj1xrGC8SgDQVw4bbhUcD79DGcgfEDWWDsmBU/y&#10;sFp+DBaYaxf5QN0xlCKFsM9RQRVCk0vpi4os+pFriBN3c63FkGBbSt1iTOG2lt9ZNpUWDaeGChva&#10;VlTcjw+rwMRf0zW7bdzsL1evI5nnxBmlvj779RxEoD68xS/3Tqf54wn8P5MukM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MAUJLAAAAA3AAAAA8AAAAAAAAAAAAAAAAA&#10;oQIAAGRycy9kb3ducmV2LnhtbFBLBQYAAAAABAAEAPkAAACOAwAAAAA=&#10;">
                  <v:stroke endarrow="block"/>
                </v:shape>
                <v:shape id="AutoShape 33" o:spid="_x0000_s1057" type="#_x0000_t32" style="position:absolute;left:49117;top:24847;width:12;height:18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LO5cAAAADcAAAADwAAAGRycy9kb3ducmV2LnhtbERPS4vCMBC+C/sfwizsTVMXVqQaRYUF&#10;8bL4AD0OzdgGm0lpYlP//UYQvM3H95z5sre16Kj1xrGC8SgDQVw4bbhUcDr+DqcgfEDWWDsmBQ/y&#10;sFx8DOaYaxd5T90hlCKFsM9RQRVCk0vpi4os+pFriBN3da3FkGBbSt1iTOG2lt9ZNpEWDaeGChva&#10;VFTcDnerwMQ/0zXbTVzvzhevI5nHjzNKfX32qxmIQH14i1/urU7zxxN4PpMu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PSzuXAAAAA3AAAAA8AAAAAAAAAAAAAAAAA&#10;oQIAAGRycy9kb3ducmV2LnhtbFBLBQYAAAAABAAEAPkAAACOAwAAAAA=&#10;">
                  <v:stroke endarrow="block"/>
                </v:shape>
                <v:shape id="AutoShape 34" o:spid="_x0000_s1058" type="#_x0000_t32" style="position:absolute;left:49117;top:29254;width:19;height:18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gPcQAAADcAAAADwAAAGRycy9kb3ducmV2LnhtbERPTWvCQBC9F/wPywje6iY9aE1dgwgV&#10;UXqoSrC3ITtNQrOzYXeNsb++Wyj0No/3Oct8MK3oyfnGsoJ0moAgLq1uuFJwPr0+PoPwAVlja5kU&#10;3MlDvho9LDHT9sbv1B9DJWII+wwV1CF0mZS+rMmgn9qOOHKf1hkMEbpKaoe3GG5a+ZQkM2mw4dhQ&#10;Y0ebmsqv49UouBwW1+JevNG+SBf7D3TGf5+2Sk3Gw/oFRKAh/Iv/3Dsd56dz+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jyA9xAAAANwAAAAPAAAAAAAAAAAA&#10;AAAAAKECAABkcnMvZG93bnJldi54bWxQSwUGAAAAAAQABAD5AAAAkgMAAAAA&#10;">
                  <v:stroke endarrow="block"/>
                </v:shape>
                <v:shape id="AutoShape 35" o:spid="_x0000_s1059" type="#_x0000_t32" style="position:absolute;left:49104;top:35134;width:32;height:18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H/DMMAAADcAAAADwAAAGRycy9kb3ducmV2LnhtbESPQWsCMRCF7wX/QxjBW80qWGQ1SisI&#10;0kupFupx2Ex3QzeTZZNu1n/fOQjeZnhv3vtmux99qwbqowtsYDEvQBFXwTquDXxdjs9rUDEhW2wD&#10;k4EbRdjvJk9bLG3I/EnDOdVKQjiWaKBJqSu1jlVDHuM8dMSi/YTeY5K1r7XtMUu4b/WyKF60R8fS&#10;0GBHh4aq3/OfN+Dyhxu60yG/vX9fo83kbqvgjJlNx9cNqERjepjv1ycr+AuhlWdkAr3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B/wzDAAAA3AAAAA8AAAAAAAAAAAAA&#10;AAAAoQIAAGRycy9kb3ducmV2LnhtbFBLBQYAAAAABAAEAPkAAACRAwAAAAA=&#10;">
                  <v:stroke endarrow="block"/>
                </v:shape>
                <v:shape id="AutoShape 36" o:spid="_x0000_s1060" type="#_x0000_t32" style="position:absolute;left:49091;top:42144;width:13;height:24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1al8EAAADcAAAADwAAAGRycy9kb3ducmV2LnhtbERP32vCMBB+F/Y/hBv4pmkHiuuMZRME&#10;8UXmBtvj0ZxtsLmUJmvqf2+EgW/38f28dTnaVgzUe+NYQT7PQBBXThuuFXx/7WYrED4ga2wdk4Ir&#10;eSg3T5M1FtpF/qThFGqRQtgXqKAJoSuk9FVDFv3cdcSJO7veYkiwr6XuMaZw28qXLFtKi4ZTQ4Md&#10;bRuqLqc/q8DEoxm6/TZ+HH5+vY5krgtnlJo+j+9vIAKN4SH+d+91mp+/wv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TVqXwQAAANwAAAAPAAAAAAAAAAAAAAAA&#10;AKECAABkcnMvZG93bnJldi54bWxQSwUGAAAAAAQABAD5AAAAjwMAAAAA&#10;">
                  <v:stroke endarrow="block"/>
                </v:shape>
                <v:shape id="AutoShape 37" o:spid="_x0000_s1061" type="#_x0000_t32" style="position:absolute;left:49091;top:51358;width:19;height:21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py9MYAAADcAAAADwAAAGRycy9kb3ducmV2LnhtbESPQWvCQBCF74X+h2UK3upGD1Kjq0ih&#10;pVh6qErQ25Adk2B2NuyuGvvrOwfB2wzvzXvfzJe9a9WFQmw8GxgNM1DEpbcNVwZ224/XN1AxIVts&#10;PZOBG0VYLp6f5phbf+VfumxSpSSEY44G6pS6XOtY1uQwDn1HLNrRB4dJ1lBpG/Aq4a7V4yybaIcN&#10;S0ONHb3XVJ42Z2dg/z09F7fih9bFaLo+YHDxb/tpzOClX81AJerTw3y//rKCPxZ8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KcvTGAAAA3AAAAA8AAAAAAAAA&#10;AAAAAAAAoQIAAGRycy9kb3ducmV2LnhtbFBLBQYAAAAABAAEAPkAAACUAwAAAAA=&#10;">
                  <v:stroke endarrow="block"/>
                </v:shape>
                <w10:anchorlock/>
              </v:group>
            </w:pict>
          </mc:Fallback>
        </mc:AlternateContent>
      </w:r>
    </w:p>
    <w:p w:rsidR="000C01DC" w:rsidRDefault="000C01DC" w:rsidP="00500152"/>
    <w:p w:rsidR="000C01DC" w:rsidRPr="000C01DC" w:rsidRDefault="00BC1364" w:rsidP="000C01DC">
      <w:pPr>
        <w:pStyle w:val="Heading1"/>
        <w:numPr>
          <w:ilvl w:val="0"/>
          <w:numId w:val="23"/>
        </w:numPr>
        <w:ind w:hanging="720"/>
      </w:pPr>
      <w:r w:rsidRPr="008D5885">
        <w:t xml:space="preserve">Comparator </w:t>
      </w:r>
    </w:p>
    <w:p w:rsidR="00BC1364" w:rsidRDefault="00BC1364" w:rsidP="00DD2858">
      <w:pPr>
        <w:rPr>
          <w:b/>
          <w:szCs w:val="24"/>
        </w:rPr>
      </w:pPr>
    </w:p>
    <w:p w:rsidR="00793138" w:rsidRPr="00245A9E" w:rsidRDefault="00DC2168" w:rsidP="00793138">
      <w:pPr>
        <w:rPr>
          <w:bCs/>
        </w:rPr>
      </w:pPr>
      <w:r>
        <w:rPr>
          <w:bCs/>
        </w:rPr>
        <w:t>At present, the standard of care in radiation therapy is 3D-CRT. Treatment with 3D-CRT is delivered using a linear accelerator</w:t>
      </w:r>
      <w:r w:rsidR="003B1C8F">
        <w:rPr>
          <w:bCs/>
        </w:rPr>
        <w:t xml:space="preserve"> with a computerised planning system</w:t>
      </w:r>
      <w:r>
        <w:rPr>
          <w:bCs/>
        </w:rPr>
        <w:t xml:space="preserve">.  </w:t>
      </w:r>
      <w:r w:rsidR="00793138" w:rsidRPr="00245A9E">
        <w:rPr>
          <w:bCs/>
        </w:rPr>
        <w:t xml:space="preserve">The technology is </w:t>
      </w:r>
      <w:r w:rsidR="003B1C8F">
        <w:rPr>
          <w:bCs/>
        </w:rPr>
        <w:t>widespread</w:t>
      </w:r>
      <w:r w:rsidR="003B1C8F" w:rsidRPr="00245A9E">
        <w:rPr>
          <w:bCs/>
        </w:rPr>
        <w:t xml:space="preserve"> </w:t>
      </w:r>
      <w:r w:rsidR="00793138" w:rsidRPr="00245A9E">
        <w:rPr>
          <w:bCs/>
        </w:rPr>
        <w:t>throughout Australian radiation therapy departments.</w:t>
      </w:r>
    </w:p>
    <w:p w:rsidR="00793138" w:rsidRDefault="00793138" w:rsidP="00793138">
      <w:pPr>
        <w:rPr>
          <w:bCs/>
        </w:rPr>
      </w:pPr>
    </w:p>
    <w:p w:rsidR="00CA258D" w:rsidRDefault="00CA258D" w:rsidP="00CA258D">
      <w:r>
        <w:t>The proposed comparator</w:t>
      </w:r>
      <w:r w:rsidR="003B1C8F">
        <w:t xml:space="preserve">, </w:t>
      </w:r>
      <w:r>
        <w:t>3D</w:t>
      </w:r>
      <w:r w:rsidR="00793138">
        <w:t>-</w:t>
      </w:r>
      <w:r>
        <w:t>CRT</w:t>
      </w:r>
      <w:r w:rsidR="003B1C8F">
        <w:t>, is</w:t>
      </w:r>
      <w:r>
        <w:t xml:space="preserve"> reimbursed under </w:t>
      </w:r>
      <w:r w:rsidR="003B1C8F">
        <w:t>existing</w:t>
      </w:r>
      <w:r>
        <w:t xml:space="preserve"> MBS items, </w:t>
      </w:r>
      <w:r w:rsidRPr="00F92BA8">
        <w:t xml:space="preserve">which are also being </w:t>
      </w:r>
      <w:r w:rsidR="003B1C8F">
        <w:t>claimed for</w:t>
      </w:r>
      <w:r w:rsidRPr="00F92BA8">
        <w:t xml:space="preserve"> </w:t>
      </w:r>
      <w:r>
        <w:t xml:space="preserve">IMRT.  The majority of these services are provided as </w:t>
      </w:r>
      <w:r w:rsidR="003B1C8F">
        <w:t>non-admitted patient services.</w:t>
      </w:r>
    </w:p>
    <w:p w:rsidR="00CA258D" w:rsidRDefault="00CA258D" w:rsidP="00CA258D">
      <w:pPr>
        <w:rPr>
          <w:bCs/>
        </w:rPr>
      </w:pPr>
    </w:p>
    <w:p w:rsidR="00CA258D" w:rsidRDefault="00CA258D" w:rsidP="00CA258D">
      <w:pPr>
        <w:rPr>
          <w:bCs/>
        </w:rPr>
      </w:pPr>
      <w:r w:rsidRPr="00245A9E">
        <w:rPr>
          <w:bCs/>
        </w:rPr>
        <w:lastRenderedPageBreak/>
        <w:t>For the purposes of this assessment, IMRT is considered a direct substitute for 3D-CRT</w:t>
      </w:r>
      <w:r>
        <w:rPr>
          <w:bCs/>
        </w:rPr>
        <w:t xml:space="preserve"> </w:t>
      </w:r>
      <w:r w:rsidRPr="00F92BA8">
        <w:rPr>
          <w:bCs/>
        </w:rPr>
        <w:t>(when applicable for the patient).</w:t>
      </w:r>
    </w:p>
    <w:p w:rsidR="00BC1364" w:rsidRPr="00707064" w:rsidRDefault="00BC1364" w:rsidP="00DD2858">
      <w:pPr>
        <w:rPr>
          <w:b/>
          <w:szCs w:val="24"/>
        </w:rPr>
      </w:pPr>
    </w:p>
    <w:p w:rsidR="00BC1364" w:rsidRPr="008D5885" w:rsidRDefault="00BC1364" w:rsidP="007B32D1">
      <w:pPr>
        <w:pStyle w:val="Heading1"/>
        <w:numPr>
          <w:ilvl w:val="0"/>
          <w:numId w:val="23"/>
        </w:numPr>
        <w:ind w:hanging="720"/>
      </w:pPr>
      <w:r w:rsidRPr="008D5885">
        <w:t>Comparative safety</w:t>
      </w:r>
    </w:p>
    <w:p w:rsidR="00BC1364" w:rsidRDefault="00BC1364" w:rsidP="00DD2858">
      <w:pPr>
        <w:pStyle w:val="ListParagraph"/>
        <w:ind w:left="0"/>
        <w:rPr>
          <w:b/>
          <w:szCs w:val="24"/>
        </w:rPr>
      </w:pPr>
    </w:p>
    <w:p w:rsidR="00CA258D" w:rsidRDefault="00CA258D" w:rsidP="00CA258D">
      <w:r w:rsidRPr="002229B7">
        <w:t xml:space="preserve">The comparative </w:t>
      </w:r>
      <w:r>
        <w:t xml:space="preserve">acute and late/chronic </w:t>
      </w:r>
      <w:r w:rsidRPr="002229B7">
        <w:t>safety of IMRT and 3D-CRT</w:t>
      </w:r>
      <w:r>
        <w:t xml:space="preserve"> s</w:t>
      </w:r>
      <w:r w:rsidRPr="002229B7">
        <w:t xml:space="preserve">tudies </w:t>
      </w:r>
      <w:r>
        <w:t>a</w:t>
      </w:r>
      <w:r w:rsidRPr="002229B7">
        <w:t xml:space="preserve">re categorised </w:t>
      </w:r>
      <w:r>
        <w:t xml:space="preserve">in tables 3 and 4. </w:t>
      </w:r>
    </w:p>
    <w:p w:rsidR="00B2338B" w:rsidRDefault="00B2338B" w:rsidP="00CA258D"/>
    <w:p w:rsidR="00CA258D" w:rsidRPr="00D03E8D" w:rsidRDefault="00CA258D" w:rsidP="00CA258D">
      <w:pPr>
        <w:pStyle w:val="TableName"/>
      </w:pPr>
      <w:bookmarkStart w:id="5" w:name="_Toc387403267"/>
      <w:bookmarkStart w:id="6" w:name="_Toc387404059"/>
      <w:bookmarkStart w:id="7" w:name="_Toc396990546"/>
      <w:bookmarkStart w:id="8" w:name="_Toc396990659"/>
      <w:bookmarkStart w:id="9" w:name="_Toc387403268"/>
      <w:bookmarkStart w:id="10" w:name="_Toc387404060"/>
      <w:r>
        <w:t>Table 3</w:t>
      </w:r>
      <w:r>
        <w:tab/>
      </w:r>
      <w:r w:rsidRPr="00D03E8D">
        <w:t>Overall summary of the comparative acute toxicity associated with IMRT versus 3D-CRT</w:t>
      </w:r>
      <w:bookmarkEnd w:id="5"/>
      <w:bookmarkEnd w:id="6"/>
      <w:bookmarkEnd w:id="7"/>
      <w:bookmarkEnd w:id="8"/>
    </w:p>
    <w:tbl>
      <w:tblPr>
        <w:tblStyle w:val="LightList"/>
        <w:tblW w:w="0" w:type="auto"/>
        <w:shd w:val="clear" w:color="auto" w:fill="FFFFFF" w:themeFill="background1"/>
        <w:tblLook w:val="04A0" w:firstRow="1" w:lastRow="0" w:firstColumn="1" w:lastColumn="0" w:noHBand="0" w:noVBand="1"/>
        <w:tblCaption w:val="Overall summary of the comparative acute toxicity associated with IMRT versus 3D-CRT"/>
        <w:tblDescription w:val="Overall summary of the comparative acute toxicity associated with IMRT versus 3D-CRT"/>
      </w:tblPr>
      <w:tblGrid>
        <w:gridCol w:w="1402"/>
        <w:gridCol w:w="1231"/>
        <w:gridCol w:w="1231"/>
        <w:gridCol w:w="1231"/>
        <w:gridCol w:w="1231"/>
        <w:gridCol w:w="1231"/>
        <w:gridCol w:w="1232"/>
      </w:tblGrid>
      <w:tr w:rsidR="002E2B89" w:rsidRPr="00A355CF" w:rsidTr="002528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2" w:type="dxa"/>
            <w:shd w:val="clear" w:color="auto" w:fill="FFFFFF" w:themeFill="background1"/>
          </w:tcPr>
          <w:p w:rsidR="002E2B89" w:rsidRPr="00A355CF" w:rsidRDefault="002E2B89" w:rsidP="00CA258D">
            <w:pPr>
              <w:pStyle w:val="TableHeading"/>
              <w:rPr>
                <w:rFonts w:ascii="Times New Roman" w:hAnsi="Times New Roman"/>
                <w:color w:val="auto"/>
                <w:szCs w:val="18"/>
              </w:rPr>
            </w:pPr>
            <w:r w:rsidRPr="00A355CF">
              <w:rPr>
                <w:rFonts w:ascii="Times New Roman" w:hAnsi="Times New Roman"/>
                <w:color w:val="auto"/>
                <w:szCs w:val="18"/>
              </w:rPr>
              <w:t>Cancer</w:t>
            </w:r>
          </w:p>
        </w:tc>
        <w:tc>
          <w:tcPr>
            <w:tcW w:w="1231" w:type="dxa"/>
            <w:shd w:val="clear" w:color="auto" w:fill="FFFFFF" w:themeFill="background1"/>
          </w:tcPr>
          <w:p w:rsidR="002E2B89" w:rsidRPr="00A355CF" w:rsidRDefault="002E2B89" w:rsidP="00CA258D">
            <w:pPr>
              <w:pStyle w:val="TableHead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18"/>
              </w:rPr>
            </w:pPr>
          </w:p>
        </w:tc>
        <w:tc>
          <w:tcPr>
            <w:tcW w:w="1231" w:type="dxa"/>
            <w:shd w:val="clear" w:color="auto" w:fill="FFFFFF" w:themeFill="background1"/>
          </w:tcPr>
          <w:p w:rsidR="002E2B89" w:rsidRPr="00A355CF" w:rsidRDefault="002E2B89" w:rsidP="00CA258D">
            <w:pPr>
              <w:pStyle w:val="TableHead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val="0"/>
                <w:szCs w:val="18"/>
              </w:rPr>
            </w:pPr>
            <w:r w:rsidRPr="00A355CF">
              <w:rPr>
                <w:rFonts w:ascii="Times New Roman" w:hAnsi="Times New Roman"/>
                <w:color w:val="auto"/>
                <w:szCs w:val="18"/>
              </w:rPr>
              <w:t>RCT</w:t>
            </w:r>
          </w:p>
        </w:tc>
        <w:tc>
          <w:tcPr>
            <w:tcW w:w="1231" w:type="dxa"/>
            <w:shd w:val="clear" w:color="auto" w:fill="FFFFFF" w:themeFill="background1"/>
          </w:tcPr>
          <w:p w:rsidR="002E2B89" w:rsidRPr="00A355CF" w:rsidRDefault="002E2B89" w:rsidP="00CA258D">
            <w:pPr>
              <w:pStyle w:val="TableHead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val="0"/>
                <w:szCs w:val="18"/>
              </w:rPr>
            </w:pPr>
          </w:p>
        </w:tc>
        <w:tc>
          <w:tcPr>
            <w:tcW w:w="1231" w:type="dxa"/>
            <w:shd w:val="clear" w:color="auto" w:fill="FFFFFF" w:themeFill="background1"/>
          </w:tcPr>
          <w:p w:rsidR="002E2B89" w:rsidRPr="00A355CF" w:rsidRDefault="002E2B89" w:rsidP="00CA258D">
            <w:pPr>
              <w:pStyle w:val="TableHead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val="0"/>
                <w:szCs w:val="18"/>
              </w:rPr>
            </w:pPr>
          </w:p>
        </w:tc>
        <w:tc>
          <w:tcPr>
            <w:tcW w:w="1231" w:type="dxa"/>
            <w:shd w:val="clear" w:color="auto" w:fill="FFFFFF" w:themeFill="background1"/>
          </w:tcPr>
          <w:p w:rsidR="002E2B89" w:rsidRPr="00A355CF" w:rsidRDefault="002E2B89" w:rsidP="00CA258D">
            <w:pPr>
              <w:pStyle w:val="TableHead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val="0"/>
                <w:szCs w:val="18"/>
              </w:rPr>
            </w:pPr>
            <w:r w:rsidRPr="00A355CF">
              <w:rPr>
                <w:rFonts w:ascii="Times New Roman" w:hAnsi="Times New Roman"/>
                <w:color w:val="auto"/>
                <w:szCs w:val="18"/>
              </w:rPr>
              <w:t>Comparative studies</w:t>
            </w:r>
          </w:p>
        </w:tc>
        <w:tc>
          <w:tcPr>
            <w:tcW w:w="1232" w:type="dxa"/>
            <w:shd w:val="clear" w:color="auto" w:fill="FFFFFF" w:themeFill="background1"/>
          </w:tcPr>
          <w:p w:rsidR="002E2B89" w:rsidRPr="00A355CF" w:rsidRDefault="002E2B89" w:rsidP="00CA258D">
            <w:pPr>
              <w:pStyle w:val="TableHead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18"/>
              </w:rPr>
            </w:pPr>
          </w:p>
        </w:tc>
      </w:tr>
      <w:tr w:rsidR="002E2B89" w:rsidRPr="00A355CF" w:rsidTr="00A355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2" w:type="dxa"/>
            <w:shd w:val="clear" w:color="auto" w:fill="FFFFFF" w:themeFill="background1"/>
          </w:tcPr>
          <w:p w:rsidR="002E2B89" w:rsidRPr="00A355CF" w:rsidRDefault="002E2B89" w:rsidP="00CA258D">
            <w:pPr>
              <w:pStyle w:val="TableText"/>
              <w:rPr>
                <w:rFonts w:ascii="Times New Roman" w:hAnsi="Times New Roman"/>
                <w:b w:val="0"/>
                <w:color w:val="auto"/>
                <w:szCs w:val="18"/>
              </w:rPr>
            </w:pPr>
          </w:p>
        </w:tc>
        <w:tc>
          <w:tcPr>
            <w:tcW w:w="1231" w:type="dxa"/>
            <w:shd w:val="clear" w:color="auto" w:fill="FFFFFF" w:themeFill="background1"/>
          </w:tcPr>
          <w:p w:rsidR="002E2B89" w:rsidRPr="00A355CF" w:rsidRDefault="002E2B89" w:rsidP="00CA258D">
            <w:pPr>
              <w:spacing w:before="40" w:after="40"/>
              <w:jc w:val="cente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A355CF">
              <w:rPr>
                <w:b w:val="0"/>
                <w:color w:val="auto"/>
                <w:sz w:val="18"/>
                <w:szCs w:val="18"/>
              </w:rPr>
              <w:t>Favours IMRT</w:t>
            </w:r>
          </w:p>
        </w:tc>
        <w:tc>
          <w:tcPr>
            <w:tcW w:w="1231" w:type="dxa"/>
            <w:shd w:val="clear" w:color="auto" w:fill="FFFFFF" w:themeFill="background1"/>
          </w:tcPr>
          <w:p w:rsidR="002E2B89" w:rsidRPr="00A355CF" w:rsidRDefault="002E2B89" w:rsidP="00CA258D">
            <w:pPr>
              <w:spacing w:before="40" w:after="40"/>
              <w:jc w:val="cente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A355CF">
              <w:rPr>
                <w:b w:val="0"/>
                <w:color w:val="auto"/>
                <w:sz w:val="18"/>
                <w:szCs w:val="18"/>
              </w:rPr>
              <w:t>No difference</w:t>
            </w:r>
          </w:p>
        </w:tc>
        <w:tc>
          <w:tcPr>
            <w:tcW w:w="1231" w:type="dxa"/>
            <w:shd w:val="clear" w:color="auto" w:fill="FFFFFF" w:themeFill="background1"/>
          </w:tcPr>
          <w:p w:rsidR="002E2B89" w:rsidRPr="00A355CF" w:rsidRDefault="002E2B89" w:rsidP="00CA258D">
            <w:pPr>
              <w:spacing w:before="40" w:after="40"/>
              <w:jc w:val="cente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A355CF">
              <w:rPr>
                <w:b w:val="0"/>
                <w:color w:val="auto"/>
                <w:sz w:val="18"/>
                <w:szCs w:val="18"/>
              </w:rPr>
              <w:t xml:space="preserve">Favours </w:t>
            </w:r>
            <w:r w:rsidRPr="00A355CF">
              <w:rPr>
                <w:b w:val="0"/>
                <w:color w:val="auto"/>
                <w:sz w:val="18"/>
                <w:szCs w:val="18"/>
              </w:rPr>
              <w:br/>
              <w:t>3D-CRT</w:t>
            </w:r>
          </w:p>
        </w:tc>
        <w:tc>
          <w:tcPr>
            <w:tcW w:w="1231" w:type="dxa"/>
            <w:shd w:val="clear" w:color="auto" w:fill="FFFFFF" w:themeFill="background1"/>
          </w:tcPr>
          <w:p w:rsidR="002E2B89" w:rsidRPr="00A355CF" w:rsidRDefault="002E2B89" w:rsidP="00CA258D">
            <w:pPr>
              <w:spacing w:before="40" w:after="40"/>
              <w:jc w:val="cente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A355CF">
              <w:rPr>
                <w:b w:val="0"/>
                <w:color w:val="auto"/>
                <w:sz w:val="18"/>
                <w:szCs w:val="18"/>
              </w:rPr>
              <w:t>Favours IMRT</w:t>
            </w:r>
          </w:p>
        </w:tc>
        <w:tc>
          <w:tcPr>
            <w:tcW w:w="1231" w:type="dxa"/>
            <w:shd w:val="clear" w:color="auto" w:fill="FFFFFF" w:themeFill="background1"/>
          </w:tcPr>
          <w:p w:rsidR="002E2B89" w:rsidRPr="00A355CF" w:rsidRDefault="002E2B89" w:rsidP="00CA258D">
            <w:pPr>
              <w:spacing w:before="40" w:after="40"/>
              <w:jc w:val="cente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A355CF">
              <w:rPr>
                <w:b w:val="0"/>
                <w:color w:val="auto"/>
                <w:sz w:val="18"/>
                <w:szCs w:val="18"/>
              </w:rPr>
              <w:t>No difference</w:t>
            </w:r>
          </w:p>
        </w:tc>
        <w:tc>
          <w:tcPr>
            <w:tcW w:w="1232" w:type="dxa"/>
            <w:shd w:val="clear" w:color="auto" w:fill="FFFFFF" w:themeFill="background1"/>
          </w:tcPr>
          <w:p w:rsidR="002E2B89" w:rsidRPr="00A355CF" w:rsidRDefault="002E2B89" w:rsidP="00CA258D">
            <w:pPr>
              <w:spacing w:before="40" w:after="40"/>
              <w:jc w:val="cente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A355CF">
              <w:rPr>
                <w:b w:val="0"/>
                <w:color w:val="auto"/>
                <w:sz w:val="18"/>
                <w:szCs w:val="18"/>
              </w:rPr>
              <w:t xml:space="preserve">Favours </w:t>
            </w:r>
            <w:r w:rsidRPr="00A355CF">
              <w:rPr>
                <w:b w:val="0"/>
                <w:color w:val="auto"/>
                <w:sz w:val="18"/>
                <w:szCs w:val="18"/>
              </w:rPr>
              <w:br/>
              <w:t>3D-CRT</w:t>
            </w:r>
          </w:p>
        </w:tc>
      </w:tr>
      <w:tr w:rsidR="00A355CF" w:rsidRPr="00A355CF" w:rsidTr="00A35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 w:type="dxa"/>
            <w:shd w:val="clear" w:color="auto" w:fill="FFFFFF" w:themeFill="background1"/>
          </w:tcPr>
          <w:p w:rsidR="00CA258D" w:rsidRPr="00A355CF" w:rsidRDefault="00CA258D" w:rsidP="00CA258D">
            <w:pPr>
              <w:pStyle w:val="TableText"/>
              <w:rPr>
                <w:rFonts w:ascii="Times New Roman" w:hAnsi="Times New Roman"/>
                <w:b w:val="0"/>
                <w:szCs w:val="18"/>
              </w:rPr>
            </w:pPr>
            <w:r w:rsidRPr="00A355CF">
              <w:rPr>
                <w:rFonts w:ascii="Times New Roman" w:hAnsi="Times New Roman"/>
                <w:b w:val="0"/>
                <w:szCs w:val="18"/>
              </w:rPr>
              <w:t xml:space="preserve">Brain </w:t>
            </w:r>
          </w:p>
        </w:tc>
        <w:tc>
          <w:tcPr>
            <w:tcW w:w="1231" w:type="dxa"/>
            <w:shd w:val="clear" w:color="auto" w:fill="FFFFFF" w:themeFill="background1"/>
          </w:tcPr>
          <w:p w:rsidR="00CA258D" w:rsidRPr="00A355CF" w:rsidRDefault="00CA258D" w:rsidP="00CA258D">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c>
          <w:tcPr>
            <w:tcW w:w="1231" w:type="dxa"/>
            <w:shd w:val="clear" w:color="auto" w:fill="FFFFFF" w:themeFill="background1"/>
          </w:tcPr>
          <w:p w:rsidR="00CA258D" w:rsidRPr="00A355CF" w:rsidRDefault="00CA258D" w:rsidP="00CA258D">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c>
          <w:tcPr>
            <w:tcW w:w="1231" w:type="dxa"/>
            <w:shd w:val="clear" w:color="auto" w:fill="FFFFFF" w:themeFill="background1"/>
          </w:tcPr>
          <w:p w:rsidR="00CA258D" w:rsidRPr="00A355CF" w:rsidRDefault="00CA258D" w:rsidP="00CA258D">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c>
          <w:tcPr>
            <w:tcW w:w="1231" w:type="dxa"/>
            <w:shd w:val="clear" w:color="auto" w:fill="FFFFFF" w:themeFill="background1"/>
          </w:tcPr>
          <w:p w:rsidR="00CA258D" w:rsidRPr="00A355CF" w:rsidRDefault="00CA258D" w:rsidP="00CA258D">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c>
          <w:tcPr>
            <w:tcW w:w="1231" w:type="dxa"/>
            <w:shd w:val="clear" w:color="auto" w:fill="FFFFFF" w:themeFill="background1"/>
          </w:tcPr>
          <w:p w:rsidR="00CA258D" w:rsidRPr="00A355CF" w:rsidRDefault="00CA258D" w:rsidP="00CA258D">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rPr>
            </w:pPr>
            <w:r w:rsidRPr="00A355CF">
              <w:rPr>
                <w:rFonts w:ascii="Times New Roman" w:hAnsi="Times New Roman"/>
                <w:szCs w:val="18"/>
              </w:rPr>
              <w:t>N=1 (n=54)</w:t>
            </w:r>
          </w:p>
        </w:tc>
        <w:tc>
          <w:tcPr>
            <w:tcW w:w="1232" w:type="dxa"/>
            <w:shd w:val="clear" w:color="auto" w:fill="FFFFFF" w:themeFill="background1"/>
          </w:tcPr>
          <w:p w:rsidR="00CA258D" w:rsidRPr="00A355CF" w:rsidRDefault="00CA258D" w:rsidP="00CA258D">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r>
      <w:tr w:rsidR="00A355CF" w:rsidRPr="00A355CF" w:rsidTr="00A355CF">
        <w:tc>
          <w:tcPr>
            <w:cnfStyle w:val="001000000000" w:firstRow="0" w:lastRow="0" w:firstColumn="1" w:lastColumn="0" w:oddVBand="0" w:evenVBand="0" w:oddHBand="0" w:evenHBand="0" w:firstRowFirstColumn="0" w:firstRowLastColumn="0" w:lastRowFirstColumn="0" w:lastRowLastColumn="0"/>
            <w:tcW w:w="1402" w:type="dxa"/>
            <w:shd w:val="clear" w:color="auto" w:fill="FFFFFF" w:themeFill="background1"/>
          </w:tcPr>
          <w:p w:rsidR="00CA258D" w:rsidRPr="00A355CF" w:rsidRDefault="00CA258D" w:rsidP="00CA258D">
            <w:pPr>
              <w:pStyle w:val="TableText"/>
              <w:rPr>
                <w:rFonts w:ascii="Times New Roman" w:hAnsi="Times New Roman"/>
                <w:b w:val="0"/>
                <w:szCs w:val="18"/>
              </w:rPr>
            </w:pPr>
            <w:r w:rsidRPr="00A355CF">
              <w:rPr>
                <w:rFonts w:ascii="Times New Roman" w:hAnsi="Times New Roman"/>
                <w:b w:val="0"/>
                <w:szCs w:val="18"/>
              </w:rPr>
              <w:t xml:space="preserve">Breast </w:t>
            </w:r>
          </w:p>
        </w:tc>
        <w:tc>
          <w:tcPr>
            <w:tcW w:w="1231" w:type="dxa"/>
            <w:shd w:val="clear" w:color="auto" w:fill="FFFFFF" w:themeFill="background1"/>
          </w:tcPr>
          <w:p w:rsidR="00CA258D" w:rsidRPr="00A355CF" w:rsidRDefault="00CA258D" w:rsidP="00CA258D">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A355CF">
              <w:rPr>
                <w:rFonts w:ascii="Times New Roman" w:hAnsi="Times New Roman"/>
                <w:szCs w:val="18"/>
              </w:rPr>
              <w:t>N=2 (n=751)</w:t>
            </w:r>
          </w:p>
        </w:tc>
        <w:tc>
          <w:tcPr>
            <w:tcW w:w="1231" w:type="dxa"/>
            <w:shd w:val="clear" w:color="auto" w:fill="FFFFFF" w:themeFill="background1"/>
          </w:tcPr>
          <w:p w:rsidR="00CA258D" w:rsidRPr="00A355CF" w:rsidRDefault="00CA258D" w:rsidP="00CA258D">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A355CF">
              <w:rPr>
                <w:rFonts w:ascii="Times New Roman" w:hAnsi="Times New Roman"/>
                <w:szCs w:val="18"/>
              </w:rPr>
              <w:t>N=1 (n=851)</w:t>
            </w:r>
          </w:p>
        </w:tc>
        <w:tc>
          <w:tcPr>
            <w:tcW w:w="1231" w:type="dxa"/>
            <w:shd w:val="clear" w:color="auto" w:fill="FFFFFF" w:themeFill="background1"/>
          </w:tcPr>
          <w:p w:rsidR="00CA258D" w:rsidRPr="00A355CF" w:rsidRDefault="00CA258D" w:rsidP="00CA258D">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c>
          <w:tcPr>
            <w:tcW w:w="1231" w:type="dxa"/>
            <w:shd w:val="clear" w:color="auto" w:fill="FFFFFF" w:themeFill="background1"/>
          </w:tcPr>
          <w:p w:rsidR="00CA258D" w:rsidRPr="00A355CF" w:rsidRDefault="00CA258D" w:rsidP="00CA258D">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A355CF">
              <w:rPr>
                <w:rFonts w:ascii="Times New Roman" w:hAnsi="Times New Roman"/>
                <w:szCs w:val="18"/>
              </w:rPr>
              <w:t>N=5 (n=1568)</w:t>
            </w:r>
          </w:p>
        </w:tc>
        <w:tc>
          <w:tcPr>
            <w:tcW w:w="1231" w:type="dxa"/>
            <w:shd w:val="clear" w:color="auto" w:fill="FFFFFF" w:themeFill="background1"/>
          </w:tcPr>
          <w:p w:rsidR="00CA258D" w:rsidRPr="00A355CF" w:rsidRDefault="00CA258D" w:rsidP="00CA258D">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A355CF">
              <w:rPr>
                <w:rFonts w:ascii="Times New Roman" w:hAnsi="Times New Roman"/>
                <w:szCs w:val="18"/>
              </w:rPr>
              <w:t>N=1 (n=233)</w:t>
            </w:r>
          </w:p>
        </w:tc>
        <w:tc>
          <w:tcPr>
            <w:tcW w:w="1232" w:type="dxa"/>
            <w:shd w:val="clear" w:color="auto" w:fill="FFFFFF" w:themeFill="background1"/>
          </w:tcPr>
          <w:p w:rsidR="00CA258D" w:rsidRPr="00A355CF" w:rsidRDefault="00CA258D" w:rsidP="00CA258D">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r>
      <w:tr w:rsidR="00A355CF" w:rsidRPr="00A355CF" w:rsidTr="00A35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 w:type="dxa"/>
            <w:shd w:val="clear" w:color="auto" w:fill="FFFFFF" w:themeFill="background1"/>
          </w:tcPr>
          <w:p w:rsidR="00CA258D" w:rsidRPr="00A355CF" w:rsidRDefault="00CA258D" w:rsidP="00CA258D">
            <w:pPr>
              <w:pStyle w:val="TableText"/>
              <w:rPr>
                <w:rFonts w:ascii="Times New Roman" w:hAnsi="Times New Roman"/>
                <w:b w:val="0"/>
                <w:szCs w:val="18"/>
              </w:rPr>
            </w:pPr>
            <w:r w:rsidRPr="00A355CF">
              <w:rPr>
                <w:rFonts w:ascii="Times New Roman" w:hAnsi="Times New Roman"/>
                <w:b w:val="0"/>
                <w:szCs w:val="18"/>
              </w:rPr>
              <w:t>Connective tissue</w:t>
            </w:r>
          </w:p>
        </w:tc>
        <w:tc>
          <w:tcPr>
            <w:tcW w:w="1231" w:type="dxa"/>
            <w:shd w:val="clear" w:color="auto" w:fill="FFFFFF" w:themeFill="background1"/>
          </w:tcPr>
          <w:p w:rsidR="00CA258D" w:rsidRPr="00A355CF" w:rsidRDefault="00CA258D" w:rsidP="00CA258D">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c>
          <w:tcPr>
            <w:tcW w:w="1231" w:type="dxa"/>
            <w:shd w:val="clear" w:color="auto" w:fill="FFFFFF" w:themeFill="background1"/>
          </w:tcPr>
          <w:p w:rsidR="00CA258D" w:rsidRPr="00A355CF" w:rsidRDefault="00CA258D" w:rsidP="00CA258D">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c>
          <w:tcPr>
            <w:tcW w:w="1231" w:type="dxa"/>
            <w:shd w:val="clear" w:color="auto" w:fill="FFFFFF" w:themeFill="background1"/>
          </w:tcPr>
          <w:p w:rsidR="00CA258D" w:rsidRPr="00A355CF" w:rsidRDefault="00CA258D" w:rsidP="00CA258D">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c>
          <w:tcPr>
            <w:tcW w:w="1231" w:type="dxa"/>
            <w:shd w:val="clear" w:color="auto" w:fill="FFFFFF" w:themeFill="background1"/>
          </w:tcPr>
          <w:p w:rsidR="00CA258D" w:rsidRPr="00A355CF" w:rsidRDefault="00CA258D" w:rsidP="00CA258D">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rPr>
            </w:pPr>
            <w:r w:rsidRPr="00A355CF">
              <w:rPr>
                <w:rFonts w:ascii="Times New Roman" w:hAnsi="Times New Roman"/>
                <w:szCs w:val="18"/>
              </w:rPr>
              <w:t>N=1 (n=375)</w:t>
            </w:r>
          </w:p>
        </w:tc>
        <w:tc>
          <w:tcPr>
            <w:tcW w:w="1231" w:type="dxa"/>
            <w:shd w:val="clear" w:color="auto" w:fill="FFFFFF" w:themeFill="background1"/>
          </w:tcPr>
          <w:p w:rsidR="00CA258D" w:rsidRPr="00A355CF" w:rsidRDefault="00CA258D" w:rsidP="00CA258D">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c>
          <w:tcPr>
            <w:tcW w:w="1232" w:type="dxa"/>
            <w:shd w:val="clear" w:color="auto" w:fill="FFFFFF" w:themeFill="background1"/>
          </w:tcPr>
          <w:p w:rsidR="00CA258D" w:rsidRPr="00A355CF" w:rsidRDefault="00CA258D" w:rsidP="00CA258D">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r>
      <w:tr w:rsidR="00A355CF" w:rsidRPr="00A355CF" w:rsidTr="00A355CF">
        <w:tc>
          <w:tcPr>
            <w:cnfStyle w:val="001000000000" w:firstRow="0" w:lastRow="0" w:firstColumn="1" w:lastColumn="0" w:oddVBand="0" w:evenVBand="0" w:oddHBand="0" w:evenHBand="0" w:firstRowFirstColumn="0" w:firstRowLastColumn="0" w:lastRowFirstColumn="0" w:lastRowLastColumn="0"/>
            <w:tcW w:w="1402" w:type="dxa"/>
            <w:shd w:val="clear" w:color="auto" w:fill="FFFFFF" w:themeFill="background1"/>
          </w:tcPr>
          <w:p w:rsidR="00CA258D" w:rsidRPr="00A355CF" w:rsidRDefault="00CA258D" w:rsidP="00CA258D">
            <w:pPr>
              <w:pStyle w:val="TableText"/>
              <w:rPr>
                <w:rFonts w:ascii="Times New Roman" w:hAnsi="Times New Roman"/>
                <w:b w:val="0"/>
                <w:szCs w:val="18"/>
              </w:rPr>
            </w:pPr>
            <w:r w:rsidRPr="00A355CF">
              <w:rPr>
                <w:rFonts w:ascii="Times New Roman" w:hAnsi="Times New Roman"/>
                <w:b w:val="0"/>
                <w:szCs w:val="18"/>
              </w:rPr>
              <w:t xml:space="preserve">Gastrointestinal </w:t>
            </w:r>
          </w:p>
        </w:tc>
        <w:tc>
          <w:tcPr>
            <w:tcW w:w="1231" w:type="dxa"/>
            <w:shd w:val="clear" w:color="auto" w:fill="FFFFFF" w:themeFill="background1"/>
          </w:tcPr>
          <w:p w:rsidR="00CA258D" w:rsidRPr="00A355CF" w:rsidRDefault="00CA258D" w:rsidP="00CA258D">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c>
          <w:tcPr>
            <w:tcW w:w="1231" w:type="dxa"/>
            <w:shd w:val="clear" w:color="auto" w:fill="FFFFFF" w:themeFill="background1"/>
          </w:tcPr>
          <w:p w:rsidR="00CA258D" w:rsidRPr="00A355CF" w:rsidRDefault="00CA258D" w:rsidP="00CA258D">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c>
          <w:tcPr>
            <w:tcW w:w="1231" w:type="dxa"/>
            <w:shd w:val="clear" w:color="auto" w:fill="FFFFFF" w:themeFill="background1"/>
          </w:tcPr>
          <w:p w:rsidR="00CA258D" w:rsidRPr="00A355CF" w:rsidRDefault="00CA258D" w:rsidP="00CA258D">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c>
          <w:tcPr>
            <w:tcW w:w="1231" w:type="dxa"/>
            <w:shd w:val="clear" w:color="auto" w:fill="FFFFFF" w:themeFill="background1"/>
          </w:tcPr>
          <w:p w:rsidR="00CA258D" w:rsidRPr="00A355CF" w:rsidRDefault="00CA258D" w:rsidP="00CA258D">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A355CF">
              <w:rPr>
                <w:rFonts w:ascii="Times New Roman" w:hAnsi="Times New Roman"/>
                <w:szCs w:val="18"/>
              </w:rPr>
              <w:t>N=6 (844)</w:t>
            </w:r>
          </w:p>
        </w:tc>
        <w:tc>
          <w:tcPr>
            <w:tcW w:w="1231" w:type="dxa"/>
            <w:shd w:val="clear" w:color="auto" w:fill="FFFFFF" w:themeFill="background1"/>
          </w:tcPr>
          <w:p w:rsidR="00CA258D" w:rsidRPr="00A355CF" w:rsidRDefault="00CA258D" w:rsidP="00CA258D">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A355CF">
              <w:rPr>
                <w:rFonts w:ascii="Times New Roman" w:hAnsi="Times New Roman"/>
                <w:szCs w:val="18"/>
              </w:rPr>
              <w:t>N=6 (300)</w:t>
            </w:r>
          </w:p>
        </w:tc>
        <w:tc>
          <w:tcPr>
            <w:tcW w:w="1232" w:type="dxa"/>
            <w:shd w:val="clear" w:color="auto" w:fill="FFFFFF" w:themeFill="background1"/>
          </w:tcPr>
          <w:p w:rsidR="00CA258D" w:rsidRPr="00A355CF" w:rsidRDefault="00CA258D" w:rsidP="00CA258D">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r>
      <w:tr w:rsidR="00A355CF" w:rsidRPr="00A355CF" w:rsidTr="00A35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 w:type="dxa"/>
            <w:shd w:val="clear" w:color="auto" w:fill="FFFFFF" w:themeFill="background1"/>
          </w:tcPr>
          <w:p w:rsidR="00CA258D" w:rsidRPr="00A355CF" w:rsidRDefault="00CA258D" w:rsidP="00CA258D">
            <w:pPr>
              <w:pStyle w:val="TableText"/>
              <w:rPr>
                <w:rFonts w:ascii="Times New Roman" w:hAnsi="Times New Roman"/>
                <w:b w:val="0"/>
                <w:szCs w:val="18"/>
              </w:rPr>
            </w:pPr>
            <w:r w:rsidRPr="00A355CF">
              <w:rPr>
                <w:rFonts w:ascii="Times New Roman" w:hAnsi="Times New Roman"/>
                <w:b w:val="0"/>
                <w:szCs w:val="18"/>
              </w:rPr>
              <w:t xml:space="preserve">Gynaecological </w:t>
            </w:r>
          </w:p>
        </w:tc>
        <w:tc>
          <w:tcPr>
            <w:tcW w:w="1231" w:type="dxa"/>
            <w:shd w:val="clear" w:color="auto" w:fill="FFFFFF" w:themeFill="background1"/>
          </w:tcPr>
          <w:p w:rsidR="00CA258D" w:rsidRPr="00A355CF" w:rsidRDefault="00CA258D" w:rsidP="00CA258D">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rPr>
            </w:pPr>
            <w:r w:rsidRPr="00A355CF">
              <w:rPr>
                <w:rFonts w:ascii="Times New Roman" w:hAnsi="Times New Roman"/>
                <w:szCs w:val="18"/>
              </w:rPr>
              <w:t>N=1 (n=44)</w:t>
            </w:r>
          </w:p>
        </w:tc>
        <w:tc>
          <w:tcPr>
            <w:tcW w:w="1231" w:type="dxa"/>
            <w:shd w:val="clear" w:color="auto" w:fill="FFFFFF" w:themeFill="background1"/>
          </w:tcPr>
          <w:p w:rsidR="00CA258D" w:rsidRPr="00A355CF" w:rsidRDefault="00CA258D" w:rsidP="00CA258D">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c>
          <w:tcPr>
            <w:tcW w:w="1231" w:type="dxa"/>
            <w:shd w:val="clear" w:color="auto" w:fill="FFFFFF" w:themeFill="background1"/>
          </w:tcPr>
          <w:p w:rsidR="00CA258D" w:rsidRPr="00A355CF" w:rsidRDefault="00CA258D" w:rsidP="00CA258D">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c>
          <w:tcPr>
            <w:tcW w:w="1231" w:type="dxa"/>
            <w:shd w:val="clear" w:color="auto" w:fill="FFFFFF" w:themeFill="background1"/>
          </w:tcPr>
          <w:p w:rsidR="00CA258D" w:rsidRPr="00A355CF" w:rsidRDefault="00CA258D" w:rsidP="00CA258D">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rPr>
            </w:pPr>
            <w:r w:rsidRPr="00A355CF">
              <w:rPr>
                <w:rFonts w:ascii="Times New Roman" w:hAnsi="Times New Roman"/>
                <w:szCs w:val="18"/>
              </w:rPr>
              <w:t>N=5 (n=685)</w:t>
            </w:r>
          </w:p>
        </w:tc>
        <w:tc>
          <w:tcPr>
            <w:tcW w:w="1231" w:type="dxa"/>
            <w:shd w:val="clear" w:color="auto" w:fill="FFFFFF" w:themeFill="background1"/>
          </w:tcPr>
          <w:p w:rsidR="00CA258D" w:rsidRPr="00A355CF" w:rsidRDefault="00CA258D" w:rsidP="00CA258D">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rPr>
            </w:pPr>
            <w:r w:rsidRPr="00A355CF">
              <w:rPr>
                <w:rFonts w:ascii="Times New Roman" w:hAnsi="Times New Roman"/>
                <w:szCs w:val="18"/>
              </w:rPr>
              <w:t>N=2 (n=194)</w:t>
            </w:r>
          </w:p>
        </w:tc>
        <w:tc>
          <w:tcPr>
            <w:tcW w:w="1232" w:type="dxa"/>
            <w:shd w:val="clear" w:color="auto" w:fill="FFFFFF" w:themeFill="background1"/>
          </w:tcPr>
          <w:p w:rsidR="00CA258D" w:rsidRPr="00A355CF" w:rsidRDefault="00CA258D" w:rsidP="00CA258D">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rPr>
            </w:pPr>
            <w:r w:rsidRPr="00A355CF">
              <w:rPr>
                <w:rFonts w:ascii="Times New Roman" w:hAnsi="Times New Roman"/>
                <w:szCs w:val="18"/>
              </w:rPr>
              <w:t>N=1 (n=48)</w:t>
            </w:r>
          </w:p>
        </w:tc>
      </w:tr>
      <w:tr w:rsidR="00A355CF" w:rsidRPr="00A355CF" w:rsidTr="00A355CF">
        <w:tc>
          <w:tcPr>
            <w:cnfStyle w:val="001000000000" w:firstRow="0" w:lastRow="0" w:firstColumn="1" w:lastColumn="0" w:oddVBand="0" w:evenVBand="0" w:oddHBand="0" w:evenHBand="0" w:firstRowFirstColumn="0" w:firstRowLastColumn="0" w:lastRowFirstColumn="0" w:lastRowLastColumn="0"/>
            <w:tcW w:w="1402" w:type="dxa"/>
            <w:shd w:val="clear" w:color="auto" w:fill="FFFFFF" w:themeFill="background1"/>
          </w:tcPr>
          <w:p w:rsidR="00CA258D" w:rsidRPr="00A355CF" w:rsidRDefault="00CA258D" w:rsidP="00CA258D">
            <w:pPr>
              <w:pStyle w:val="TableText"/>
              <w:rPr>
                <w:rFonts w:ascii="Times New Roman" w:hAnsi="Times New Roman"/>
                <w:b w:val="0"/>
                <w:szCs w:val="18"/>
                <w:vertAlign w:val="superscript"/>
              </w:rPr>
            </w:pPr>
            <w:r w:rsidRPr="00A355CF">
              <w:rPr>
                <w:rFonts w:ascii="Times New Roman" w:hAnsi="Times New Roman"/>
                <w:b w:val="0"/>
                <w:szCs w:val="18"/>
              </w:rPr>
              <w:t xml:space="preserve">Head &amp; </w:t>
            </w:r>
            <w:proofErr w:type="spellStart"/>
            <w:r w:rsidRPr="00A355CF">
              <w:rPr>
                <w:rFonts w:ascii="Times New Roman" w:hAnsi="Times New Roman"/>
                <w:b w:val="0"/>
                <w:szCs w:val="18"/>
              </w:rPr>
              <w:t>neck</w:t>
            </w:r>
            <w:r w:rsidRPr="00A355CF">
              <w:rPr>
                <w:rFonts w:ascii="Times New Roman" w:hAnsi="Times New Roman"/>
                <w:b w:val="0"/>
                <w:szCs w:val="18"/>
                <w:vertAlign w:val="superscript"/>
              </w:rPr>
              <w:t>c</w:t>
            </w:r>
            <w:proofErr w:type="spellEnd"/>
          </w:p>
        </w:tc>
        <w:tc>
          <w:tcPr>
            <w:tcW w:w="1231" w:type="dxa"/>
            <w:shd w:val="clear" w:color="auto" w:fill="FFFFFF" w:themeFill="background1"/>
          </w:tcPr>
          <w:p w:rsidR="00CA258D" w:rsidRPr="00A355CF" w:rsidRDefault="00CA258D" w:rsidP="00CA258D">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A355CF">
              <w:rPr>
                <w:rFonts w:ascii="Times New Roman" w:hAnsi="Times New Roman"/>
                <w:szCs w:val="18"/>
              </w:rPr>
              <w:t>N=1 (n=60)</w:t>
            </w:r>
            <w:r w:rsidRPr="00A355CF">
              <w:rPr>
                <w:rFonts w:ascii="Times New Roman" w:hAnsi="Times New Roman"/>
                <w:szCs w:val="18"/>
                <w:vertAlign w:val="superscript"/>
              </w:rPr>
              <w:t>a</w:t>
            </w:r>
          </w:p>
          <w:p w:rsidR="00CA258D" w:rsidRPr="00A355CF" w:rsidRDefault="00CA258D" w:rsidP="00CA258D">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vertAlign w:val="superscript"/>
              </w:rPr>
            </w:pPr>
            <w:r w:rsidRPr="00A355CF">
              <w:rPr>
                <w:rFonts w:ascii="Times New Roman" w:hAnsi="Times New Roman"/>
                <w:szCs w:val="18"/>
              </w:rPr>
              <w:t>N=4 (n=826)</w:t>
            </w:r>
            <w:r w:rsidRPr="00A355CF">
              <w:rPr>
                <w:rFonts w:ascii="Times New Roman" w:hAnsi="Times New Roman"/>
                <w:szCs w:val="18"/>
                <w:vertAlign w:val="superscript"/>
              </w:rPr>
              <w:t>b</w:t>
            </w:r>
          </w:p>
        </w:tc>
        <w:tc>
          <w:tcPr>
            <w:tcW w:w="1231" w:type="dxa"/>
            <w:shd w:val="clear" w:color="auto" w:fill="FFFFFF" w:themeFill="background1"/>
          </w:tcPr>
          <w:p w:rsidR="00CA258D" w:rsidRPr="00A355CF" w:rsidRDefault="00CA258D" w:rsidP="00CA258D">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A355CF">
              <w:rPr>
                <w:rFonts w:ascii="Times New Roman" w:hAnsi="Times New Roman"/>
                <w:szCs w:val="18"/>
              </w:rPr>
              <w:t>N=1 (n=94)</w:t>
            </w:r>
          </w:p>
        </w:tc>
        <w:tc>
          <w:tcPr>
            <w:tcW w:w="1231" w:type="dxa"/>
            <w:shd w:val="clear" w:color="auto" w:fill="FFFFFF" w:themeFill="background1"/>
          </w:tcPr>
          <w:p w:rsidR="00CA258D" w:rsidRPr="00A355CF" w:rsidRDefault="00CA258D" w:rsidP="00CA258D">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c>
          <w:tcPr>
            <w:tcW w:w="1231" w:type="dxa"/>
            <w:shd w:val="clear" w:color="auto" w:fill="FFFFFF" w:themeFill="background1"/>
          </w:tcPr>
          <w:p w:rsidR="00CA258D" w:rsidRPr="00A355CF" w:rsidRDefault="00CA258D" w:rsidP="00CA258D">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A355CF">
              <w:rPr>
                <w:rFonts w:ascii="Times New Roman" w:hAnsi="Times New Roman"/>
                <w:szCs w:val="18"/>
              </w:rPr>
              <w:t>N=9 (n=1680)</w:t>
            </w:r>
          </w:p>
        </w:tc>
        <w:tc>
          <w:tcPr>
            <w:tcW w:w="1231" w:type="dxa"/>
            <w:shd w:val="clear" w:color="auto" w:fill="FFFFFF" w:themeFill="background1"/>
          </w:tcPr>
          <w:p w:rsidR="00CA258D" w:rsidRPr="00A355CF" w:rsidRDefault="00CA258D" w:rsidP="00CA258D">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A355CF">
              <w:rPr>
                <w:rFonts w:ascii="Times New Roman" w:hAnsi="Times New Roman"/>
                <w:szCs w:val="18"/>
              </w:rPr>
              <w:t>N=6 (n=913)</w:t>
            </w:r>
          </w:p>
        </w:tc>
        <w:tc>
          <w:tcPr>
            <w:tcW w:w="1232" w:type="dxa"/>
            <w:shd w:val="clear" w:color="auto" w:fill="FFFFFF" w:themeFill="background1"/>
          </w:tcPr>
          <w:p w:rsidR="00CA258D" w:rsidRPr="00A355CF" w:rsidRDefault="00CA258D" w:rsidP="00CA258D">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r>
      <w:tr w:rsidR="00A355CF" w:rsidRPr="00A355CF" w:rsidTr="00A35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 w:type="dxa"/>
            <w:shd w:val="clear" w:color="auto" w:fill="FFFFFF" w:themeFill="background1"/>
          </w:tcPr>
          <w:p w:rsidR="00CA258D" w:rsidRPr="00A355CF" w:rsidRDefault="00CA258D" w:rsidP="00CA258D">
            <w:pPr>
              <w:pStyle w:val="TableText"/>
              <w:rPr>
                <w:rFonts w:ascii="Times New Roman" w:hAnsi="Times New Roman"/>
                <w:b w:val="0"/>
                <w:szCs w:val="18"/>
              </w:rPr>
            </w:pPr>
            <w:r w:rsidRPr="00A355CF">
              <w:rPr>
                <w:rFonts w:ascii="Times New Roman" w:hAnsi="Times New Roman"/>
                <w:b w:val="0"/>
                <w:szCs w:val="18"/>
              </w:rPr>
              <w:t xml:space="preserve">Immunological </w:t>
            </w:r>
          </w:p>
        </w:tc>
        <w:tc>
          <w:tcPr>
            <w:tcW w:w="1231" w:type="dxa"/>
            <w:shd w:val="clear" w:color="auto" w:fill="FFFFFF" w:themeFill="background1"/>
          </w:tcPr>
          <w:p w:rsidR="00CA258D" w:rsidRPr="00A355CF" w:rsidRDefault="00CA258D" w:rsidP="00CA258D">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c>
          <w:tcPr>
            <w:tcW w:w="1231" w:type="dxa"/>
            <w:shd w:val="clear" w:color="auto" w:fill="FFFFFF" w:themeFill="background1"/>
          </w:tcPr>
          <w:p w:rsidR="00CA258D" w:rsidRPr="00A355CF" w:rsidRDefault="00CA258D" w:rsidP="00CA258D">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c>
          <w:tcPr>
            <w:tcW w:w="1231" w:type="dxa"/>
            <w:shd w:val="clear" w:color="auto" w:fill="FFFFFF" w:themeFill="background1"/>
          </w:tcPr>
          <w:p w:rsidR="00CA258D" w:rsidRPr="00A355CF" w:rsidRDefault="00CA258D" w:rsidP="00CA258D">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c>
          <w:tcPr>
            <w:tcW w:w="1231" w:type="dxa"/>
            <w:shd w:val="clear" w:color="auto" w:fill="FFFFFF" w:themeFill="background1"/>
          </w:tcPr>
          <w:p w:rsidR="00CA258D" w:rsidRPr="00A355CF" w:rsidRDefault="00CA258D" w:rsidP="00CA258D">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rPr>
            </w:pPr>
            <w:r w:rsidRPr="00A355CF">
              <w:rPr>
                <w:rFonts w:ascii="Times New Roman" w:hAnsi="Times New Roman"/>
                <w:szCs w:val="18"/>
              </w:rPr>
              <w:t>N=1 (n=90)</w:t>
            </w:r>
          </w:p>
        </w:tc>
        <w:tc>
          <w:tcPr>
            <w:tcW w:w="1231" w:type="dxa"/>
            <w:shd w:val="clear" w:color="auto" w:fill="FFFFFF" w:themeFill="background1"/>
          </w:tcPr>
          <w:p w:rsidR="00CA258D" w:rsidRPr="00A355CF" w:rsidRDefault="00CA258D" w:rsidP="00CA258D">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rPr>
            </w:pPr>
            <w:r w:rsidRPr="00A355CF">
              <w:rPr>
                <w:rFonts w:ascii="Times New Roman" w:hAnsi="Times New Roman"/>
                <w:szCs w:val="18"/>
              </w:rPr>
              <w:t>N=1 (n=94)</w:t>
            </w:r>
          </w:p>
        </w:tc>
        <w:tc>
          <w:tcPr>
            <w:tcW w:w="1232" w:type="dxa"/>
            <w:shd w:val="clear" w:color="auto" w:fill="FFFFFF" w:themeFill="background1"/>
          </w:tcPr>
          <w:p w:rsidR="00CA258D" w:rsidRPr="00A355CF" w:rsidRDefault="00CA258D" w:rsidP="00CA258D">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r>
      <w:tr w:rsidR="00A355CF" w:rsidRPr="00A355CF" w:rsidTr="00A355CF">
        <w:tc>
          <w:tcPr>
            <w:cnfStyle w:val="001000000000" w:firstRow="0" w:lastRow="0" w:firstColumn="1" w:lastColumn="0" w:oddVBand="0" w:evenVBand="0" w:oddHBand="0" w:evenHBand="0" w:firstRowFirstColumn="0" w:firstRowLastColumn="0" w:lastRowFirstColumn="0" w:lastRowLastColumn="0"/>
            <w:tcW w:w="1402" w:type="dxa"/>
            <w:shd w:val="clear" w:color="auto" w:fill="FFFFFF" w:themeFill="background1"/>
          </w:tcPr>
          <w:p w:rsidR="00CA258D" w:rsidRPr="00A355CF" w:rsidRDefault="00CA258D" w:rsidP="00CA258D">
            <w:pPr>
              <w:pStyle w:val="TableText"/>
              <w:rPr>
                <w:rFonts w:ascii="Times New Roman" w:hAnsi="Times New Roman"/>
                <w:b w:val="0"/>
                <w:szCs w:val="18"/>
                <w:vertAlign w:val="superscript"/>
              </w:rPr>
            </w:pPr>
            <w:proofErr w:type="spellStart"/>
            <w:r w:rsidRPr="00A355CF">
              <w:rPr>
                <w:rFonts w:ascii="Times New Roman" w:hAnsi="Times New Roman"/>
                <w:b w:val="0"/>
                <w:szCs w:val="18"/>
              </w:rPr>
              <w:t>Lung</w:t>
            </w:r>
            <w:r w:rsidRPr="00A355CF">
              <w:rPr>
                <w:rFonts w:ascii="Times New Roman" w:hAnsi="Times New Roman"/>
                <w:b w:val="0"/>
                <w:szCs w:val="18"/>
                <w:vertAlign w:val="superscript"/>
              </w:rPr>
              <w:t>c</w:t>
            </w:r>
            <w:proofErr w:type="spellEnd"/>
          </w:p>
        </w:tc>
        <w:tc>
          <w:tcPr>
            <w:tcW w:w="1231" w:type="dxa"/>
            <w:shd w:val="clear" w:color="auto" w:fill="FFFFFF" w:themeFill="background1"/>
          </w:tcPr>
          <w:p w:rsidR="00CA258D" w:rsidRPr="00A355CF" w:rsidRDefault="00CA258D" w:rsidP="00CA258D">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c>
          <w:tcPr>
            <w:tcW w:w="1231" w:type="dxa"/>
            <w:shd w:val="clear" w:color="auto" w:fill="FFFFFF" w:themeFill="background1"/>
          </w:tcPr>
          <w:p w:rsidR="00CA258D" w:rsidRPr="00A355CF" w:rsidRDefault="00CA258D" w:rsidP="00CA258D">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c>
          <w:tcPr>
            <w:tcW w:w="1231" w:type="dxa"/>
            <w:shd w:val="clear" w:color="auto" w:fill="FFFFFF" w:themeFill="background1"/>
          </w:tcPr>
          <w:p w:rsidR="00CA258D" w:rsidRPr="00A355CF" w:rsidRDefault="00CA258D" w:rsidP="00CA258D">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c>
          <w:tcPr>
            <w:tcW w:w="1231" w:type="dxa"/>
            <w:shd w:val="clear" w:color="auto" w:fill="FFFFFF" w:themeFill="background1"/>
          </w:tcPr>
          <w:p w:rsidR="00CA258D" w:rsidRPr="00A355CF" w:rsidRDefault="00CA258D" w:rsidP="00CA258D">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c>
          <w:tcPr>
            <w:tcW w:w="1231" w:type="dxa"/>
            <w:shd w:val="clear" w:color="auto" w:fill="FFFFFF" w:themeFill="background1"/>
          </w:tcPr>
          <w:p w:rsidR="00CA258D" w:rsidRPr="00A355CF" w:rsidRDefault="00CA258D" w:rsidP="00CA258D">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A355CF">
              <w:rPr>
                <w:rFonts w:ascii="Times New Roman" w:hAnsi="Times New Roman"/>
                <w:szCs w:val="18"/>
              </w:rPr>
              <w:t>N=3 (n=448)</w:t>
            </w:r>
          </w:p>
        </w:tc>
        <w:tc>
          <w:tcPr>
            <w:tcW w:w="1232" w:type="dxa"/>
            <w:shd w:val="clear" w:color="auto" w:fill="FFFFFF" w:themeFill="background1"/>
          </w:tcPr>
          <w:p w:rsidR="00CA258D" w:rsidRPr="00A355CF" w:rsidRDefault="00CA258D" w:rsidP="00CA258D">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A355CF">
              <w:rPr>
                <w:rFonts w:ascii="Times New Roman" w:hAnsi="Times New Roman"/>
                <w:szCs w:val="18"/>
              </w:rPr>
              <w:t>N=1 (n=544)</w:t>
            </w:r>
          </w:p>
        </w:tc>
      </w:tr>
      <w:tr w:rsidR="00A355CF" w:rsidRPr="00A355CF" w:rsidTr="00A35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 w:type="dxa"/>
            <w:shd w:val="clear" w:color="auto" w:fill="FFFFFF" w:themeFill="background1"/>
          </w:tcPr>
          <w:p w:rsidR="00CA258D" w:rsidRPr="00A355CF" w:rsidRDefault="00CA258D" w:rsidP="00CA258D">
            <w:pPr>
              <w:pStyle w:val="TableText"/>
              <w:rPr>
                <w:rFonts w:ascii="Times New Roman" w:hAnsi="Times New Roman"/>
                <w:b w:val="0"/>
                <w:szCs w:val="18"/>
              </w:rPr>
            </w:pPr>
            <w:proofErr w:type="spellStart"/>
            <w:r w:rsidRPr="00A355CF">
              <w:rPr>
                <w:rFonts w:ascii="Times New Roman" w:hAnsi="Times New Roman"/>
                <w:b w:val="0"/>
                <w:szCs w:val="18"/>
              </w:rPr>
              <w:t>Prostate</w:t>
            </w:r>
            <w:r w:rsidRPr="00A355CF">
              <w:rPr>
                <w:rFonts w:ascii="Times New Roman" w:hAnsi="Times New Roman"/>
                <w:b w:val="0"/>
                <w:szCs w:val="18"/>
                <w:vertAlign w:val="superscript"/>
              </w:rPr>
              <w:t>c</w:t>
            </w:r>
            <w:proofErr w:type="spellEnd"/>
            <w:r w:rsidRPr="00A355CF">
              <w:rPr>
                <w:rFonts w:ascii="Times New Roman" w:hAnsi="Times New Roman"/>
                <w:b w:val="0"/>
                <w:szCs w:val="18"/>
              </w:rPr>
              <w:t xml:space="preserve"> </w:t>
            </w:r>
          </w:p>
        </w:tc>
        <w:tc>
          <w:tcPr>
            <w:tcW w:w="1231" w:type="dxa"/>
            <w:shd w:val="clear" w:color="auto" w:fill="FFFFFF" w:themeFill="background1"/>
          </w:tcPr>
          <w:p w:rsidR="00CA258D" w:rsidRPr="00A355CF" w:rsidRDefault="00CA258D" w:rsidP="00CA258D">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c>
          <w:tcPr>
            <w:tcW w:w="1231" w:type="dxa"/>
            <w:shd w:val="clear" w:color="auto" w:fill="FFFFFF" w:themeFill="background1"/>
          </w:tcPr>
          <w:p w:rsidR="00CA258D" w:rsidRPr="00A355CF" w:rsidRDefault="00CA258D" w:rsidP="00CA258D">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c>
          <w:tcPr>
            <w:tcW w:w="1231" w:type="dxa"/>
            <w:shd w:val="clear" w:color="auto" w:fill="FFFFFF" w:themeFill="background1"/>
          </w:tcPr>
          <w:p w:rsidR="00CA258D" w:rsidRPr="00A355CF" w:rsidRDefault="00CA258D" w:rsidP="00CA258D">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c>
          <w:tcPr>
            <w:tcW w:w="1231" w:type="dxa"/>
            <w:shd w:val="clear" w:color="auto" w:fill="FFFFFF" w:themeFill="background1"/>
          </w:tcPr>
          <w:p w:rsidR="00CA258D" w:rsidRPr="00A355CF" w:rsidRDefault="00CA258D" w:rsidP="00CA258D">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rPr>
            </w:pPr>
            <w:r w:rsidRPr="00A355CF">
              <w:rPr>
                <w:rFonts w:ascii="Times New Roman" w:hAnsi="Times New Roman"/>
                <w:szCs w:val="18"/>
              </w:rPr>
              <w:t>N=13 (n=5582)</w:t>
            </w:r>
          </w:p>
        </w:tc>
        <w:tc>
          <w:tcPr>
            <w:tcW w:w="1231" w:type="dxa"/>
            <w:shd w:val="clear" w:color="auto" w:fill="FFFFFF" w:themeFill="background1"/>
          </w:tcPr>
          <w:p w:rsidR="00CA258D" w:rsidRPr="00A355CF" w:rsidRDefault="00CA258D" w:rsidP="00CA258D">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rPr>
            </w:pPr>
            <w:r w:rsidRPr="00A355CF">
              <w:rPr>
                <w:rFonts w:ascii="Times New Roman" w:hAnsi="Times New Roman"/>
                <w:szCs w:val="18"/>
              </w:rPr>
              <w:t>N=9 (2043)</w:t>
            </w:r>
          </w:p>
        </w:tc>
        <w:tc>
          <w:tcPr>
            <w:tcW w:w="1232" w:type="dxa"/>
            <w:shd w:val="clear" w:color="auto" w:fill="FFFFFF" w:themeFill="background1"/>
          </w:tcPr>
          <w:p w:rsidR="00CA258D" w:rsidRPr="00A355CF" w:rsidRDefault="00CA258D" w:rsidP="00CA258D">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rPr>
            </w:pPr>
            <w:r w:rsidRPr="00A355CF">
              <w:rPr>
                <w:rFonts w:ascii="Times New Roman" w:hAnsi="Times New Roman"/>
                <w:szCs w:val="18"/>
              </w:rPr>
              <w:t>N=1 (n=44)</w:t>
            </w:r>
          </w:p>
        </w:tc>
      </w:tr>
      <w:tr w:rsidR="00A355CF" w:rsidRPr="00A355CF" w:rsidTr="00A355CF">
        <w:tc>
          <w:tcPr>
            <w:cnfStyle w:val="001000000000" w:firstRow="0" w:lastRow="0" w:firstColumn="1" w:lastColumn="0" w:oddVBand="0" w:evenVBand="0" w:oddHBand="0" w:evenHBand="0" w:firstRowFirstColumn="0" w:firstRowLastColumn="0" w:lastRowFirstColumn="0" w:lastRowLastColumn="0"/>
            <w:tcW w:w="1402" w:type="dxa"/>
            <w:shd w:val="clear" w:color="auto" w:fill="FFFFFF" w:themeFill="background1"/>
          </w:tcPr>
          <w:p w:rsidR="00CA258D" w:rsidRPr="00A355CF" w:rsidRDefault="00CA258D" w:rsidP="00CA258D">
            <w:pPr>
              <w:pStyle w:val="TableText"/>
              <w:rPr>
                <w:rFonts w:ascii="Times New Roman" w:hAnsi="Times New Roman"/>
                <w:b w:val="0"/>
                <w:szCs w:val="18"/>
              </w:rPr>
            </w:pPr>
            <w:r w:rsidRPr="00A355CF">
              <w:rPr>
                <w:rFonts w:ascii="Times New Roman" w:hAnsi="Times New Roman"/>
                <w:b w:val="0"/>
                <w:szCs w:val="18"/>
              </w:rPr>
              <w:t xml:space="preserve">Skin </w:t>
            </w:r>
          </w:p>
        </w:tc>
        <w:tc>
          <w:tcPr>
            <w:tcW w:w="1231" w:type="dxa"/>
            <w:shd w:val="clear" w:color="auto" w:fill="FFFFFF" w:themeFill="background1"/>
          </w:tcPr>
          <w:p w:rsidR="00CA258D" w:rsidRPr="00A355CF" w:rsidRDefault="00CA258D" w:rsidP="00CA258D">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c>
          <w:tcPr>
            <w:tcW w:w="1231" w:type="dxa"/>
            <w:shd w:val="clear" w:color="auto" w:fill="FFFFFF" w:themeFill="background1"/>
          </w:tcPr>
          <w:p w:rsidR="00CA258D" w:rsidRPr="00A355CF" w:rsidRDefault="00CA258D" w:rsidP="00CA258D">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c>
          <w:tcPr>
            <w:tcW w:w="1231" w:type="dxa"/>
            <w:shd w:val="clear" w:color="auto" w:fill="FFFFFF" w:themeFill="background1"/>
          </w:tcPr>
          <w:p w:rsidR="00CA258D" w:rsidRPr="00A355CF" w:rsidRDefault="00CA258D" w:rsidP="00CA258D">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c>
          <w:tcPr>
            <w:tcW w:w="1231" w:type="dxa"/>
            <w:shd w:val="clear" w:color="auto" w:fill="FFFFFF" w:themeFill="background1"/>
          </w:tcPr>
          <w:p w:rsidR="00CA258D" w:rsidRPr="00A355CF" w:rsidRDefault="00CA258D" w:rsidP="00CA258D">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c>
          <w:tcPr>
            <w:tcW w:w="1231" w:type="dxa"/>
            <w:shd w:val="clear" w:color="auto" w:fill="FFFFFF" w:themeFill="background1"/>
          </w:tcPr>
          <w:p w:rsidR="00CA258D" w:rsidRPr="00A355CF" w:rsidRDefault="00CA258D" w:rsidP="00CA258D">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c>
          <w:tcPr>
            <w:tcW w:w="1232" w:type="dxa"/>
            <w:shd w:val="clear" w:color="auto" w:fill="FFFFFF" w:themeFill="background1"/>
          </w:tcPr>
          <w:p w:rsidR="00CA258D" w:rsidRPr="00A355CF" w:rsidRDefault="00CA258D" w:rsidP="00CA258D">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A355CF">
              <w:rPr>
                <w:rFonts w:ascii="Times New Roman" w:hAnsi="Times New Roman"/>
                <w:szCs w:val="18"/>
              </w:rPr>
              <w:t>-</w:t>
            </w:r>
          </w:p>
        </w:tc>
      </w:tr>
    </w:tbl>
    <w:p w:rsidR="00CA258D" w:rsidRPr="00D03E8D" w:rsidRDefault="00CA258D" w:rsidP="00CA258D">
      <w:pPr>
        <w:pStyle w:val="TableNotes"/>
        <w:ind w:hanging="11"/>
      </w:pPr>
      <w:r w:rsidRPr="00D03E8D">
        <w:t>N=number of studies; (n=number of patients, based on number randomised or enrolled)</w:t>
      </w:r>
    </w:p>
    <w:p w:rsidR="00CA258D" w:rsidRPr="00D03E8D" w:rsidRDefault="00CA258D" w:rsidP="00CA258D">
      <w:pPr>
        <w:pStyle w:val="TableNotes"/>
        <w:ind w:hanging="11"/>
      </w:pPr>
      <w:proofErr w:type="spellStart"/>
      <w:proofErr w:type="gramStart"/>
      <w:r w:rsidRPr="00D03E8D">
        <w:rPr>
          <w:vertAlign w:val="superscript"/>
        </w:rPr>
        <w:t>a</w:t>
      </w:r>
      <w:proofErr w:type="spellEnd"/>
      <w:proofErr w:type="gramEnd"/>
      <w:r w:rsidRPr="00D03E8D">
        <w:rPr>
          <w:vertAlign w:val="superscript"/>
        </w:rPr>
        <w:tab/>
      </w:r>
      <w:r w:rsidRPr="00D03E8D">
        <w:t>includes Nutting 2011 and Gupta 2012</w:t>
      </w:r>
    </w:p>
    <w:p w:rsidR="00CA258D" w:rsidRPr="00D03E8D" w:rsidRDefault="00CA258D" w:rsidP="00CA258D">
      <w:pPr>
        <w:pStyle w:val="TableNotes"/>
        <w:ind w:hanging="11"/>
      </w:pPr>
      <w:proofErr w:type="gramStart"/>
      <w:r w:rsidRPr="00D03E8D">
        <w:rPr>
          <w:vertAlign w:val="superscript"/>
        </w:rPr>
        <w:t>b</w:t>
      </w:r>
      <w:proofErr w:type="gramEnd"/>
      <w:r w:rsidRPr="00D03E8D">
        <w:rPr>
          <w:vertAlign w:val="superscript"/>
        </w:rPr>
        <w:tab/>
      </w:r>
      <w:r w:rsidRPr="00D03E8D">
        <w:t xml:space="preserve">includes Nutting 2011, Gupta 2012, </w:t>
      </w:r>
      <w:proofErr w:type="spellStart"/>
      <w:r w:rsidRPr="00D03E8D">
        <w:t>Kam</w:t>
      </w:r>
      <w:proofErr w:type="spellEnd"/>
      <w:r w:rsidRPr="00D03E8D">
        <w:t xml:space="preserve"> 2006 and Peng 2012</w:t>
      </w:r>
    </w:p>
    <w:p w:rsidR="00CA258D" w:rsidRDefault="00CA258D" w:rsidP="00CA258D">
      <w:pPr>
        <w:pStyle w:val="TableNotes"/>
        <w:ind w:hanging="11"/>
      </w:pPr>
      <w:proofErr w:type="gramStart"/>
      <w:r w:rsidRPr="00D03E8D">
        <w:rPr>
          <w:vertAlign w:val="superscript"/>
        </w:rPr>
        <w:t>c</w:t>
      </w:r>
      <w:proofErr w:type="gramEnd"/>
      <w:r w:rsidRPr="00D03E8D">
        <w:tab/>
        <w:t>excludes SEER data</w:t>
      </w:r>
    </w:p>
    <w:p w:rsidR="00CA258D" w:rsidRDefault="00CA258D" w:rsidP="00CA258D">
      <w:pPr>
        <w:pStyle w:val="TableNotes"/>
        <w:ind w:left="0"/>
      </w:pPr>
    </w:p>
    <w:p w:rsidR="00CA258D" w:rsidRPr="006C16FD" w:rsidRDefault="00CA258D" w:rsidP="00CA258D">
      <w:pPr>
        <w:pStyle w:val="TableName"/>
      </w:pPr>
      <w:bookmarkStart w:id="11" w:name="_Toc396990547"/>
      <w:bookmarkStart w:id="12" w:name="_Toc396990660"/>
      <w:bookmarkEnd w:id="9"/>
      <w:bookmarkEnd w:id="10"/>
      <w:r>
        <w:lastRenderedPageBreak/>
        <w:t>Table 4</w:t>
      </w:r>
      <w:r>
        <w:tab/>
      </w:r>
      <w:r w:rsidRPr="006C16FD">
        <w:t>Overall summary of the comparative late/chronic toxicity associated with IMRT versus 3D-CRT</w:t>
      </w:r>
      <w:bookmarkEnd w:id="11"/>
      <w:bookmarkEnd w:id="12"/>
    </w:p>
    <w:tbl>
      <w:tblPr>
        <w:tblStyle w:val="LightList"/>
        <w:tblW w:w="0" w:type="auto"/>
        <w:tblLook w:val="04A0" w:firstRow="1" w:lastRow="0" w:firstColumn="1" w:lastColumn="0" w:noHBand="0" w:noVBand="1"/>
        <w:tblCaption w:val="Overall summary of the comparative late/chronic toxicity associated with IMRT versus 3D-CRT"/>
        <w:tblDescription w:val="Overall summary of the comparative late/chronic toxicity associated with IMRT versus 3D-CRT"/>
      </w:tblPr>
      <w:tblGrid>
        <w:gridCol w:w="1402"/>
        <w:gridCol w:w="1148"/>
        <w:gridCol w:w="1148"/>
        <w:gridCol w:w="1148"/>
        <w:gridCol w:w="1148"/>
        <w:gridCol w:w="1148"/>
        <w:gridCol w:w="1149"/>
      </w:tblGrid>
      <w:tr w:rsidR="002E2B89" w:rsidRPr="00A355CF" w:rsidTr="002528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2" w:type="dxa"/>
            <w:shd w:val="clear" w:color="auto" w:fill="FFFFFF" w:themeFill="background1"/>
          </w:tcPr>
          <w:p w:rsidR="002E2B89" w:rsidRPr="00A355CF" w:rsidRDefault="002E2B89" w:rsidP="00CA258D">
            <w:pPr>
              <w:pStyle w:val="TableHeading"/>
              <w:rPr>
                <w:rFonts w:ascii="Times New Roman" w:hAnsi="Times New Roman"/>
                <w:color w:val="auto"/>
                <w:szCs w:val="18"/>
              </w:rPr>
            </w:pPr>
            <w:r w:rsidRPr="00A355CF">
              <w:rPr>
                <w:rFonts w:ascii="Times New Roman" w:hAnsi="Times New Roman"/>
                <w:color w:val="auto"/>
                <w:szCs w:val="18"/>
              </w:rPr>
              <w:t>Cancer</w:t>
            </w:r>
          </w:p>
        </w:tc>
        <w:tc>
          <w:tcPr>
            <w:tcW w:w="1148" w:type="dxa"/>
            <w:shd w:val="clear" w:color="auto" w:fill="FFFFFF" w:themeFill="background1"/>
          </w:tcPr>
          <w:p w:rsidR="002E2B89" w:rsidRPr="00A355CF" w:rsidRDefault="002E2B89" w:rsidP="00CA258D">
            <w:pPr>
              <w:pStyle w:val="TableHead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18"/>
              </w:rPr>
            </w:pPr>
          </w:p>
        </w:tc>
        <w:tc>
          <w:tcPr>
            <w:tcW w:w="1148" w:type="dxa"/>
            <w:shd w:val="clear" w:color="auto" w:fill="FFFFFF" w:themeFill="background1"/>
          </w:tcPr>
          <w:p w:rsidR="002E2B89" w:rsidRPr="00A355CF" w:rsidRDefault="002E2B89" w:rsidP="00CA258D">
            <w:pPr>
              <w:pStyle w:val="TableHead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val="0"/>
                <w:szCs w:val="18"/>
              </w:rPr>
            </w:pPr>
            <w:r w:rsidRPr="00A355CF">
              <w:rPr>
                <w:rFonts w:ascii="Times New Roman" w:hAnsi="Times New Roman"/>
                <w:color w:val="auto"/>
                <w:szCs w:val="18"/>
              </w:rPr>
              <w:t>RCT</w:t>
            </w:r>
          </w:p>
        </w:tc>
        <w:tc>
          <w:tcPr>
            <w:tcW w:w="1148" w:type="dxa"/>
            <w:shd w:val="clear" w:color="auto" w:fill="FFFFFF" w:themeFill="background1"/>
          </w:tcPr>
          <w:p w:rsidR="002E2B89" w:rsidRPr="00A355CF" w:rsidRDefault="002E2B89" w:rsidP="00CA258D">
            <w:pPr>
              <w:pStyle w:val="TableHead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val="0"/>
                <w:szCs w:val="18"/>
              </w:rPr>
            </w:pPr>
          </w:p>
        </w:tc>
        <w:tc>
          <w:tcPr>
            <w:tcW w:w="1148" w:type="dxa"/>
            <w:shd w:val="clear" w:color="auto" w:fill="FFFFFF" w:themeFill="background1"/>
          </w:tcPr>
          <w:p w:rsidR="002E2B89" w:rsidRPr="00A355CF" w:rsidRDefault="002E2B89" w:rsidP="00CA258D">
            <w:pPr>
              <w:pStyle w:val="TableHead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val="0"/>
                <w:szCs w:val="18"/>
              </w:rPr>
            </w:pPr>
          </w:p>
        </w:tc>
        <w:tc>
          <w:tcPr>
            <w:tcW w:w="1148" w:type="dxa"/>
            <w:shd w:val="clear" w:color="auto" w:fill="FFFFFF" w:themeFill="background1"/>
          </w:tcPr>
          <w:p w:rsidR="002E2B89" w:rsidRPr="00A355CF" w:rsidRDefault="002E2B89" w:rsidP="00CA258D">
            <w:pPr>
              <w:pStyle w:val="TableHead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val="0"/>
                <w:szCs w:val="18"/>
              </w:rPr>
            </w:pPr>
            <w:r w:rsidRPr="00A355CF">
              <w:rPr>
                <w:rFonts w:ascii="Times New Roman" w:hAnsi="Times New Roman"/>
                <w:color w:val="auto"/>
                <w:szCs w:val="18"/>
              </w:rPr>
              <w:t>Comparative studies</w:t>
            </w:r>
          </w:p>
        </w:tc>
        <w:tc>
          <w:tcPr>
            <w:tcW w:w="1149" w:type="dxa"/>
            <w:shd w:val="clear" w:color="auto" w:fill="FFFFFF" w:themeFill="background1"/>
          </w:tcPr>
          <w:p w:rsidR="002E2B89" w:rsidRPr="00A355CF" w:rsidRDefault="002E2B89" w:rsidP="00CA258D">
            <w:pPr>
              <w:pStyle w:val="TableHead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18"/>
              </w:rPr>
            </w:pPr>
          </w:p>
        </w:tc>
      </w:tr>
      <w:tr w:rsidR="002E2B89" w:rsidRPr="00A355CF" w:rsidTr="00A355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2" w:type="dxa"/>
            <w:shd w:val="clear" w:color="auto" w:fill="FFFFFF" w:themeFill="background1"/>
          </w:tcPr>
          <w:p w:rsidR="002E2B89" w:rsidRPr="00A355CF" w:rsidRDefault="002E2B89" w:rsidP="00CA258D">
            <w:pPr>
              <w:pStyle w:val="TableHeading"/>
              <w:rPr>
                <w:rFonts w:ascii="Times New Roman" w:hAnsi="Times New Roman"/>
                <w:color w:val="auto"/>
                <w:szCs w:val="18"/>
              </w:rPr>
            </w:pPr>
          </w:p>
        </w:tc>
        <w:tc>
          <w:tcPr>
            <w:tcW w:w="1148" w:type="dxa"/>
            <w:shd w:val="clear" w:color="auto" w:fill="FFFFFF" w:themeFill="background1"/>
          </w:tcPr>
          <w:p w:rsidR="002E2B89" w:rsidRPr="00A355CF" w:rsidRDefault="002E2B89" w:rsidP="00CA258D">
            <w:pPr>
              <w:pStyle w:val="TableHead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18"/>
              </w:rPr>
            </w:pPr>
            <w:r w:rsidRPr="00A355CF">
              <w:rPr>
                <w:rFonts w:ascii="Times New Roman" w:hAnsi="Times New Roman"/>
                <w:color w:val="auto"/>
                <w:szCs w:val="18"/>
              </w:rPr>
              <w:t>Favours IMRT</w:t>
            </w:r>
          </w:p>
        </w:tc>
        <w:tc>
          <w:tcPr>
            <w:tcW w:w="1148" w:type="dxa"/>
            <w:shd w:val="clear" w:color="auto" w:fill="FFFFFF" w:themeFill="background1"/>
          </w:tcPr>
          <w:p w:rsidR="002E2B89" w:rsidRPr="00A355CF" w:rsidRDefault="002E2B89" w:rsidP="00CA258D">
            <w:pPr>
              <w:pStyle w:val="TableHead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18"/>
              </w:rPr>
            </w:pPr>
            <w:r w:rsidRPr="00A355CF">
              <w:rPr>
                <w:rFonts w:ascii="Times New Roman" w:hAnsi="Times New Roman"/>
                <w:color w:val="auto"/>
                <w:szCs w:val="18"/>
              </w:rPr>
              <w:t>No difference</w:t>
            </w:r>
          </w:p>
        </w:tc>
        <w:tc>
          <w:tcPr>
            <w:tcW w:w="1148" w:type="dxa"/>
            <w:shd w:val="clear" w:color="auto" w:fill="FFFFFF" w:themeFill="background1"/>
          </w:tcPr>
          <w:p w:rsidR="002E2B89" w:rsidRPr="00A355CF" w:rsidRDefault="002E2B89" w:rsidP="00CA258D">
            <w:pPr>
              <w:pStyle w:val="TableHead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18"/>
              </w:rPr>
            </w:pPr>
            <w:r w:rsidRPr="00A355CF">
              <w:rPr>
                <w:rFonts w:ascii="Times New Roman" w:hAnsi="Times New Roman"/>
                <w:color w:val="auto"/>
                <w:szCs w:val="18"/>
              </w:rPr>
              <w:t xml:space="preserve">Favours </w:t>
            </w:r>
            <w:r w:rsidRPr="00A355CF">
              <w:rPr>
                <w:rFonts w:ascii="Times New Roman" w:hAnsi="Times New Roman"/>
                <w:color w:val="auto"/>
                <w:szCs w:val="18"/>
              </w:rPr>
              <w:br/>
              <w:t>3D-CRT</w:t>
            </w:r>
          </w:p>
        </w:tc>
        <w:tc>
          <w:tcPr>
            <w:tcW w:w="1148" w:type="dxa"/>
            <w:shd w:val="clear" w:color="auto" w:fill="FFFFFF" w:themeFill="background1"/>
          </w:tcPr>
          <w:p w:rsidR="002E2B89" w:rsidRPr="00A355CF" w:rsidRDefault="002E2B89" w:rsidP="00CA258D">
            <w:pPr>
              <w:pStyle w:val="TableHead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18"/>
              </w:rPr>
            </w:pPr>
            <w:r w:rsidRPr="00A355CF">
              <w:rPr>
                <w:rFonts w:ascii="Times New Roman" w:hAnsi="Times New Roman"/>
                <w:color w:val="auto"/>
                <w:szCs w:val="18"/>
              </w:rPr>
              <w:t>Favours IMRT</w:t>
            </w:r>
          </w:p>
        </w:tc>
        <w:tc>
          <w:tcPr>
            <w:tcW w:w="1148" w:type="dxa"/>
            <w:shd w:val="clear" w:color="auto" w:fill="FFFFFF" w:themeFill="background1"/>
          </w:tcPr>
          <w:p w:rsidR="002E2B89" w:rsidRPr="00A355CF" w:rsidRDefault="002E2B89" w:rsidP="00CA258D">
            <w:pPr>
              <w:pStyle w:val="TableHead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18"/>
              </w:rPr>
            </w:pPr>
            <w:r w:rsidRPr="00A355CF">
              <w:rPr>
                <w:rFonts w:ascii="Times New Roman" w:hAnsi="Times New Roman"/>
                <w:color w:val="auto"/>
                <w:szCs w:val="18"/>
              </w:rPr>
              <w:t>No difference</w:t>
            </w:r>
          </w:p>
        </w:tc>
        <w:tc>
          <w:tcPr>
            <w:tcW w:w="1149" w:type="dxa"/>
            <w:shd w:val="clear" w:color="auto" w:fill="FFFFFF" w:themeFill="background1"/>
          </w:tcPr>
          <w:p w:rsidR="002E2B89" w:rsidRPr="00A355CF" w:rsidRDefault="002E2B89" w:rsidP="00CA258D">
            <w:pPr>
              <w:pStyle w:val="TableHead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18"/>
              </w:rPr>
            </w:pPr>
            <w:r w:rsidRPr="00A355CF">
              <w:rPr>
                <w:rFonts w:ascii="Times New Roman" w:hAnsi="Times New Roman"/>
                <w:color w:val="auto"/>
                <w:szCs w:val="18"/>
              </w:rPr>
              <w:t xml:space="preserve">Favours </w:t>
            </w:r>
            <w:r w:rsidRPr="00A355CF">
              <w:rPr>
                <w:rFonts w:ascii="Times New Roman" w:hAnsi="Times New Roman"/>
                <w:color w:val="auto"/>
                <w:szCs w:val="18"/>
              </w:rPr>
              <w:br/>
              <w:t>3D-CRT</w:t>
            </w:r>
          </w:p>
        </w:tc>
      </w:tr>
      <w:tr w:rsidR="00A355CF" w:rsidRPr="00A355CF" w:rsidTr="00A355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2" w:type="dxa"/>
            <w:shd w:val="clear" w:color="auto" w:fill="FFFFFF" w:themeFill="background1"/>
          </w:tcPr>
          <w:p w:rsidR="00CA258D" w:rsidRPr="00A355CF" w:rsidRDefault="00CA258D" w:rsidP="00CA258D">
            <w:pPr>
              <w:pStyle w:val="TableText"/>
              <w:rPr>
                <w:rFonts w:ascii="Times New Roman" w:hAnsi="Times New Roman"/>
                <w:b w:val="0"/>
                <w:color w:val="auto"/>
                <w:szCs w:val="18"/>
              </w:rPr>
            </w:pPr>
            <w:r w:rsidRPr="00A355CF">
              <w:rPr>
                <w:rFonts w:ascii="Times New Roman" w:hAnsi="Times New Roman"/>
                <w:b w:val="0"/>
                <w:color w:val="auto"/>
                <w:szCs w:val="18"/>
              </w:rPr>
              <w:t xml:space="preserve">Brain </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N=1 (n=26)</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N=1 (n=54)</w:t>
            </w:r>
          </w:p>
        </w:tc>
        <w:tc>
          <w:tcPr>
            <w:tcW w:w="1149"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r>
      <w:tr w:rsidR="00A355CF" w:rsidRPr="00A355CF" w:rsidTr="00A355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2" w:type="dxa"/>
            <w:shd w:val="clear" w:color="auto" w:fill="FFFFFF" w:themeFill="background1"/>
          </w:tcPr>
          <w:p w:rsidR="00CA258D" w:rsidRPr="00A355CF" w:rsidRDefault="00CA258D" w:rsidP="00CA258D">
            <w:pPr>
              <w:pStyle w:val="TableText"/>
              <w:rPr>
                <w:rFonts w:ascii="Times New Roman" w:hAnsi="Times New Roman"/>
                <w:b w:val="0"/>
                <w:color w:val="auto"/>
                <w:szCs w:val="18"/>
              </w:rPr>
            </w:pPr>
            <w:r w:rsidRPr="00A355CF">
              <w:rPr>
                <w:rFonts w:ascii="Times New Roman" w:hAnsi="Times New Roman"/>
                <w:b w:val="0"/>
                <w:color w:val="auto"/>
                <w:szCs w:val="18"/>
              </w:rPr>
              <w:t xml:space="preserve">Breast </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N=2 (n=1033)</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N=1 (n=486)</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N=1 (n=172)</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N=2 (n=343)</w:t>
            </w:r>
          </w:p>
        </w:tc>
        <w:tc>
          <w:tcPr>
            <w:tcW w:w="1149"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r>
      <w:tr w:rsidR="00A355CF" w:rsidRPr="00A355CF" w:rsidTr="00A355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2" w:type="dxa"/>
            <w:shd w:val="clear" w:color="auto" w:fill="FFFFFF" w:themeFill="background1"/>
          </w:tcPr>
          <w:p w:rsidR="00CA258D" w:rsidRPr="00A355CF" w:rsidRDefault="00CA258D" w:rsidP="00CA258D">
            <w:pPr>
              <w:pStyle w:val="TableText"/>
              <w:rPr>
                <w:rFonts w:ascii="Times New Roman" w:hAnsi="Times New Roman"/>
                <w:b w:val="0"/>
                <w:color w:val="auto"/>
                <w:szCs w:val="18"/>
              </w:rPr>
            </w:pPr>
            <w:r w:rsidRPr="00A355CF">
              <w:rPr>
                <w:rFonts w:ascii="Times New Roman" w:hAnsi="Times New Roman"/>
                <w:b w:val="0"/>
                <w:color w:val="auto"/>
                <w:szCs w:val="18"/>
              </w:rPr>
              <w:t>Connective tissue</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N=1 (n=375)</w:t>
            </w:r>
          </w:p>
        </w:tc>
        <w:tc>
          <w:tcPr>
            <w:tcW w:w="1149"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r>
      <w:tr w:rsidR="00A355CF" w:rsidRPr="00A355CF" w:rsidTr="00A355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2" w:type="dxa"/>
            <w:shd w:val="clear" w:color="auto" w:fill="FFFFFF" w:themeFill="background1"/>
          </w:tcPr>
          <w:p w:rsidR="00CA258D" w:rsidRPr="00A355CF" w:rsidRDefault="00CA258D" w:rsidP="00CA258D">
            <w:pPr>
              <w:pStyle w:val="TableText"/>
              <w:rPr>
                <w:rFonts w:ascii="Times New Roman" w:hAnsi="Times New Roman"/>
                <w:b w:val="0"/>
                <w:color w:val="auto"/>
                <w:szCs w:val="18"/>
              </w:rPr>
            </w:pPr>
            <w:r w:rsidRPr="00A355CF">
              <w:rPr>
                <w:rFonts w:ascii="Times New Roman" w:hAnsi="Times New Roman"/>
                <w:b w:val="0"/>
                <w:color w:val="auto"/>
                <w:szCs w:val="18"/>
              </w:rPr>
              <w:t xml:space="preserve">Gastrointestinal </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N=2 (n=461)</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N=5 (n=302)</w:t>
            </w:r>
          </w:p>
        </w:tc>
        <w:tc>
          <w:tcPr>
            <w:tcW w:w="1149"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r>
      <w:tr w:rsidR="00A355CF" w:rsidRPr="00A355CF" w:rsidTr="00A355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2" w:type="dxa"/>
            <w:shd w:val="clear" w:color="auto" w:fill="FFFFFF" w:themeFill="background1"/>
          </w:tcPr>
          <w:p w:rsidR="00CA258D" w:rsidRPr="00A355CF" w:rsidRDefault="00CA258D" w:rsidP="00CA258D">
            <w:pPr>
              <w:pStyle w:val="TableText"/>
              <w:rPr>
                <w:rFonts w:ascii="Times New Roman" w:hAnsi="Times New Roman"/>
                <w:b w:val="0"/>
                <w:color w:val="auto"/>
                <w:szCs w:val="18"/>
              </w:rPr>
            </w:pPr>
            <w:r w:rsidRPr="00A355CF">
              <w:rPr>
                <w:rFonts w:ascii="Times New Roman" w:hAnsi="Times New Roman"/>
                <w:b w:val="0"/>
                <w:color w:val="auto"/>
                <w:szCs w:val="18"/>
              </w:rPr>
              <w:t xml:space="preserve">Gynaecological </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N=4 (n=802)</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N=3 (n=326)</w:t>
            </w:r>
          </w:p>
        </w:tc>
        <w:tc>
          <w:tcPr>
            <w:tcW w:w="1149"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N=1 (n=33)</w:t>
            </w:r>
          </w:p>
        </w:tc>
      </w:tr>
      <w:tr w:rsidR="00A355CF" w:rsidRPr="00A355CF" w:rsidTr="00A355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2" w:type="dxa"/>
            <w:shd w:val="clear" w:color="auto" w:fill="FFFFFF" w:themeFill="background1"/>
          </w:tcPr>
          <w:p w:rsidR="00CA258D" w:rsidRPr="00A355CF" w:rsidRDefault="00CA258D" w:rsidP="00CA258D">
            <w:pPr>
              <w:pStyle w:val="TableText"/>
              <w:rPr>
                <w:rFonts w:ascii="Times New Roman" w:hAnsi="Times New Roman"/>
                <w:b w:val="0"/>
                <w:color w:val="auto"/>
                <w:szCs w:val="18"/>
              </w:rPr>
            </w:pPr>
            <w:r w:rsidRPr="00A355CF">
              <w:rPr>
                <w:rFonts w:ascii="Times New Roman" w:hAnsi="Times New Roman"/>
                <w:b w:val="0"/>
                <w:color w:val="auto"/>
                <w:szCs w:val="18"/>
              </w:rPr>
              <w:t>Head &amp; neck</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N=2 (n=182)</w:t>
            </w:r>
            <w:r w:rsidRPr="00A355CF">
              <w:rPr>
                <w:rFonts w:ascii="Times New Roman" w:hAnsi="Times New Roman"/>
                <w:b w:val="0"/>
                <w:color w:val="auto"/>
                <w:szCs w:val="18"/>
                <w:vertAlign w:val="superscript"/>
              </w:rPr>
              <w:t>a</w:t>
            </w:r>
          </w:p>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N=4 (n=826)</w:t>
            </w:r>
            <w:r w:rsidRPr="00A355CF">
              <w:rPr>
                <w:rFonts w:ascii="Times New Roman" w:hAnsi="Times New Roman"/>
                <w:b w:val="0"/>
                <w:color w:val="auto"/>
                <w:szCs w:val="18"/>
                <w:vertAlign w:val="superscript"/>
              </w:rPr>
              <w:t>b</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N=13 (2167)</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N=8 (n=1604)</w:t>
            </w:r>
          </w:p>
        </w:tc>
        <w:tc>
          <w:tcPr>
            <w:tcW w:w="1149"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r>
      <w:tr w:rsidR="00A355CF" w:rsidRPr="00A355CF" w:rsidTr="00A355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2" w:type="dxa"/>
            <w:shd w:val="clear" w:color="auto" w:fill="FFFFFF" w:themeFill="background1"/>
          </w:tcPr>
          <w:p w:rsidR="00CA258D" w:rsidRPr="00A355CF" w:rsidRDefault="00CA258D" w:rsidP="00CA258D">
            <w:pPr>
              <w:pStyle w:val="TableText"/>
              <w:rPr>
                <w:rFonts w:ascii="Times New Roman" w:hAnsi="Times New Roman"/>
                <w:b w:val="0"/>
                <w:color w:val="auto"/>
                <w:szCs w:val="18"/>
              </w:rPr>
            </w:pPr>
            <w:r w:rsidRPr="00A355CF">
              <w:rPr>
                <w:rFonts w:ascii="Times New Roman" w:hAnsi="Times New Roman"/>
                <w:b w:val="0"/>
                <w:color w:val="auto"/>
                <w:szCs w:val="18"/>
              </w:rPr>
              <w:t xml:space="preserve">Immunological </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N=1 (n=94)</w:t>
            </w:r>
          </w:p>
        </w:tc>
        <w:tc>
          <w:tcPr>
            <w:tcW w:w="1149"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r>
      <w:tr w:rsidR="00A355CF" w:rsidRPr="00A355CF" w:rsidTr="00A355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2" w:type="dxa"/>
            <w:shd w:val="clear" w:color="auto" w:fill="FFFFFF" w:themeFill="background1"/>
          </w:tcPr>
          <w:p w:rsidR="00CA258D" w:rsidRPr="00A355CF" w:rsidRDefault="00CA258D" w:rsidP="00CA258D">
            <w:pPr>
              <w:pStyle w:val="TableText"/>
              <w:rPr>
                <w:rFonts w:ascii="Times New Roman" w:hAnsi="Times New Roman"/>
                <w:b w:val="0"/>
                <w:color w:val="auto"/>
                <w:szCs w:val="18"/>
              </w:rPr>
            </w:pPr>
            <w:r w:rsidRPr="00A355CF">
              <w:rPr>
                <w:rFonts w:ascii="Times New Roman" w:hAnsi="Times New Roman"/>
                <w:b w:val="0"/>
                <w:color w:val="auto"/>
                <w:szCs w:val="18"/>
              </w:rPr>
              <w:t xml:space="preserve">Lung </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N=2 (n=541)</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N=2 (233)</w:t>
            </w:r>
          </w:p>
        </w:tc>
        <w:tc>
          <w:tcPr>
            <w:tcW w:w="1149"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r>
      <w:tr w:rsidR="00A355CF" w:rsidRPr="00A355CF" w:rsidTr="00A355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2" w:type="dxa"/>
            <w:shd w:val="clear" w:color="auto" w:fill="FFFFFF" w:themeFill="background1"/>
          </w:tcPr>
          <w:p w:rsidR="00CA258D" w:rsidRPr="00A355CF" w:rsidRDefault="00CA258D" w:rsidP="00CA258D">
            <w:pPr>
              <w:pStyle w:val="TableText"/>
              <w:rPr>
                <w:rFonts w:ascii="Times New Roman" w:hAnsi="Times New Roman"/>
                <w:b w:val="0"/>
                <w:color w:val="auto"/>
                <w:szCs w:val="18"/>
              </w:rPr>
            </w:pPr>
            <w:proofErr w:type="spellStart"/>
            <w:r w:rsidRPr="00A355CF">
              <w:rPr>
                <w:rFonts w:ascii="Times New Roman" w:hAnsi="Times New Roman"/>
                <w:b w:val="0"/>
                <w:color w:val="auto"/>
                <w:szCs w:val="18"/>
              </w:rPr>
              <w:t>Prostate</w:t>
            </w:r>
            <w:r w:rsidRPr="00A355CF">
              <w:rPr>
                <w:rFonts w:ascii="Times New Roman" w:hAnsi="Times New Roman"/>
                <w:b w:val="0"/>
                <w:color w:val="auto"/>
                <w:szCs w:val="18"/>
                <w:vertAlign w:val="superscript"/>
              </w:rPr>
              <w:t>c</w:t>
            </w:r>
            <w:proofErr w:type="spellEnd"/>
            <w:r w:rsidRPr="00A355CF">
              <w:rPr>
                <w:rFonts w:ascii="Times New Roman" w:hAnsi="Times New Roman"/>
                <w:b w:val="0"/>
                <w:color w:val="auto"/>
                <w:szCs w:val="18"/>
              </w:rPr>
              <w:t xml:space="preserve"> </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N=11 (n=4429)</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N=12 (n=4763)</w:t>
            </w:r>
          </w:p>
        </w:tc>
        <w:tc>
          <w:tcPr>
            <w:tcW w:w="1149"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r>
      <w:tr w:rsidR="00A355CF" w:rsidRPr="00A355CF" w:rsidTr="00A355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2" w:type="dxa"/>
            <w:shd w:val="clear" w:color="auto" w:fill="FFFFFF" w:themeFill="background1"/>
          </w:tcPr>
          <w:p w:rsidR="00CA258D" w:rsidRPr="00A355CF" w:rsidRDefault="00CA258D" w:rsidP="00CA258D">
            <w:pPr>
              <w:pStyle w:val="TableText"/>
              <w:rPr>
                <w:rFonts w:ascii="Times New Roman" w:hAnsi="Times New Roman"/>
                <w:b w:val="0"/>
                <w:color w:val="auto"/>
                <w:szCs w:val="18"/>
              </w:rPr>
            </w:pPr>
            <w:r w:rsidRPr="00A355CF">
              <w:rPr>
                <w:rFonts w:ascii="Times New Roman" w:hAnsi="Times New Roman"/>
                <w:b w:val="0"/>
                <w:color w:val="auto"/>
                <w:szCs w:val="18"/>
              </w:rPr>
              <w:t xml:space="preserve">Skin </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c>
          <w:tcPr>
            <w:tcW w:w="1148"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c>
          <w:tcPr>
            <w:tcW w:w="1149" w:type="dxa"/>
            <w:shd w:val="clear" w:color="auto" w:fill="FFFFFF" w:themeFill="background1"/>
          </w:tcPr>
          <w:p w:rsidR="00CA258D" w:rsidRPr="00A355CF" w:rsidRDefault="00CA258D" w:rsidP="00CA258D">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18"/>
              </w:rPr>
            </w:pPr>
            <w:r w:rsidRPr="00A355CF">
              <w:rPr>
                <w:rFonts w:ascii="Times New Roman" w:hAnsi="Times New Roman"/>
                <w:b w:val="0"/>
                <w:color w:val="auto"/>
                <w:szCs w:val="18"/>
              </w:rPr>
              <w:t>-</w:t>
            </w:r>
          </w:p>
        </w:tc>
      </w:tr>
    </w:tbl>
    <w:p w:rsidR="00CA258D" w:rsidRPr="006C16FD" w:rsidRDefault="00CA258D" w:rsidP="00CA258D">
      <w:pPr>
        <w:pStyle w:val="TableNotes"/>
        <w:ind w:hanging="11"/>
      </w:pPr>
      <w:r w:rsidRPr="006C16FD">
        <w:t>N=number of studies; (n=number of patients, based on number randomised or enrolled)</w:t>
      </w:r>
    </w:p>
    <w:p w:rsidR="00CA258D" w:rsidRPr="006C16FD" w:rsidRDefault="00CA258D" w:rsidP="00CA258D">
      <w:pPr>
        <w:pStyle w:val="TableNotes"/>
        <w:ind w:hanging="11"/>
      </w:pPr>
      <w:proofErr w:type="spellStart"/>
      <w:proofErr w:type="gramStart"/>
      <w:r w:rsidRPr="006C16FD">
        <w:rPr>
          <w:vertAlign w:val="superscript"/>
        </w:rPr>
        <w:t>a</w:t>
      </w:r>
      <w:proofErr w:type="spellEnd"/>
      <w:proofErr w:type="gramEnd"/>
      <w:r w:rsidRPr="006C16FD">
        <w:rPr>
          <w:vertAlign w:val="superscript"/>
        </w:rPr>
        <w:tab/>
      </w:r>
      <w:r w:rsidRPr="006C16FD">
        <w:t>includes Nutting 2011 and Gupta 2012</w:t>
      </w:r>
    </w:p>
    <w:p w:rsidR="00CA258D" w:rsidRPr="006C16FD" w:rsidRDefault="00CA258D" w:rsidP="00CA258D">
      <w:pPr>
        <w:pStyle w:val="TableNotes"/>
        <w:ind w:hanging="11"/>
      </w:pPr>
      <w:proofErr w:type="gramStart"/>
      <w:r w:rsidRPr="006C16FD">
        <w:rPr>
          <w:vertAlign w:val="superscript"/>
        </w:rPr>
        <w:t>b</w:t>
      </w:r>
      <w:proofErr w:type="gramEnd"/>
      <w:r w:rsidRPr="006C16FD">
        <w:rPr>
          <w:vertAlign w:val="superscript"/>
        </w:rPr>
        <w:tab/>
      </w:r>
      <w:r w:rsidRPr="006C16FD">
        <w:t xml:space="preserve">includes Nutting 2011, Gupta 2012, </w:t>
      </w:r>
      <w:proofErr w:type="spellStart"/>
      <w:r w:rsidRPr="006C16FD">
        <w:t>Kam</w:t>
      </w:r>
      <w:proofErr w:type="spellEnd"/>
      <w:r w:rsidRPr="006C16FD">
        <w:t xml:space="preserve"> 2006 and Peng 2012</w:t>
      </w:r>
    </w:p>
    <w:p w:rsidR="00CA258D" w:rsidRPr="006C16FD" w:rsidRDefault="00CA258D" w:rsidP="00CA258D">
      <w:pPr>
        <w:pStyle w:val="TableNotes"/>
        <w:ind w:hanging="11"/>
      </w:pPr>
      <w:proofErr w:type="gramStart"/>
      <w:r w:rsidRPr="006C16FD">
        <w:rPr>
          <w:vertAlign w:val="superscript"/>
        </w:rPr>
        <w:t>c</w:t>
      </w:r>
      <w:proofErr w:type="gramEnd"/>
      <w:r w:rsidRPr="006C16FD">
        <w:tab/>
        <w:t>excludes SEER data</w:t>
      </w:r>
    </w:p>
    <w:p w:rsidR="00CA258D" w:rsidRDefault="00CA258D" w:rsidP="00CA258D">
      <w:r>
        <w:t xml:space="preserve">While the data </w:t>
      </w:r>
      <w:r w:rsidR="003B1C8F">
        <w:t xml:space="preserve">suggest </w:t>
      </w:r>
      <w:r>
        <w:t xml:space="preserve">there may be </w:t>
      </w:r>
      <w:r w:rsidR="00793138">
        <w:t xml:space="preserve">less late toxicity </w:t>
      </w:r>
      <w:r>
        <w:t>from IMRT compared with 3D-CRT</w:t>
      </w:r>
      <w:proofErr w:type="gramStart"/>
      <w:r>
        <w:t xml:space="preserve">,  </w:t>
      </w:r>
      <w:r w:rsidR="003B1C8F">
        <w:t>most</w:t>
      </w:r>
      <w:proofErr w:type="gramEnd"/>
      <w:r>
        <w:t xml:space="preserve"> of the literature </w:t>
      </w:r>
      <w:r w:rsidR="003B1C8F">
        <w:t>indicates</w:t>
      </w:r>
      <w:r>
        <w:t xml:space="preserve"> that there </w:t>
      </w:r>
      <w:r w:rsidR="003B1C8F">
        <w:t>is</w:t>
      </w:r>
      <w:r>
        <w:t xml:space="preserve"> no </w:t>
      </w:r>
      <w:r w:rsidR="00793138">
        <w:t>difference</w:t>
      </w:r>
      <w:r>
        <w:t>.</w:t>
      </w:r>
    </w:p>
    <w:p w:rsidR="00E613E3" w:rsidRDefault="00E613E3">
      <w:pPr>
        <w:rPr>
          <w:b/>
          <w:szCs w:val="24"/>
        </w:rPr>
      </w:pPr>
    </w:p>
    <w:p w:rsidR="00BC1364" w:rsidRPr="008D5885" w:rsidRDefault="00BC1364" w:rsidP="007B32D1">
      <w:pPr>
        <w:pStyle w:val="Heading1"/>
        <w:numPr>
          <w:ilvl w:val="0"/>
          <w:numId w:val="23"/>
        </w:numPr>
        <w:ind w:hanging="720"/>
      </w:pPr>
      <w:r w:rsidRPr="008D5885">
        <w:t>Comparative effectiveness</w:t>
      </w:r>
    </w:p>
    <w:p w:rsidR="00BC1364" w:rsidRDefault="00BC1364" w:rsidP="00DD2858">
      <w:pPr>
        <w:rPr>
          <w:b/>
        </w:rPr>
      </w:pPr>
    </w:p>
    <w:p w:rsidR="00CA258D" w:rsidRDefault="00CA258D" w:rsidP="00CA258D">
      <w:pPr>
        <w:spacing w:after="240"/>
        <w:rPr>
          <w:u w:val="single"/>
        </w:rPr>
      </w:pPr>
      <w:r>
        <w:rPr>
          <w:u w:val="single"/>
        </w:rPr>
        <w:t xml:space="preserve">Tumour response </w:t>
      </w:r>
    </w:p>
    <w:p w:rsidR="00CA258D" w:rsidRPr="00F92BA8" w:rsidRDefault="00CA258D" w:rsidP="00CA258D">
      <w:pPr>
        <w:spacing w:after="240"/>
        <w:rPr>
          <w:u w:val="single"/>
        </w:rPr>
      </w:pPr>
      <w:r>
        <w:t xml:space="preserve">Two studies reported tumour response to IMRT or volumetric modulated arc therapy (VMAT) compared with 3D-CRT in the treatment of oesophageal and non-small cell lung cancer (NSCLC) cancer. </w:t>
      </w:r>
      <w:r w:rsidR="003B1C8F">
        <w:t>N</w:t>
      </w:r>
      <w:r>
        <w:t>either study reported any statistical analysis of the observed rates of progressive or stable disease, or partial or complete response</w:t>
      </w:r>
      <w:r w:rsidR="003B1C8F">
        <w:t>.</w:t>
      </w:r>
      <w:r>
        <w:t xml:space="preserve"> </w:t>
      </w:r>
      <w:r w:rsidR="003B1C8F">
        <w:t xml:space="preserve">While </w:t>
      </w:r>
      <w:r>
        <w:t xml:space="preserve">the results reported for oesophageal cancer </w:t>
      </w:r>
      <w:r w:rsidR="00793138">
        <w:t xml:space="preserve">did </w:t>
      </w:r>
      <w:r>
        <w:t>not indicate any differences between treatments, those reported for NSCLC appear</w:t>
      </w:r>
      <w:r w:rsidR="00793138">
        <w:t>ed</w:t>
      </w:r>
      <w:r>
        <w:t xml:space="preserve"> to favour VMAT.</w:t>
      </w:r>
    </w:p>
    <w:p w:rsidR="00CA258D" w:rsidRPr="00362A1B" w:rsidRDefault="00CA258D" w:rsidP="00CA258D">
      <w:pPr>
        <w:spacing w:after="240"/>
        <w:rPr>
          <w:u w:val="single"/>
        </w:rPr>
      </w:pPr>
      <w:r w:rsidRPr="00362A1B">
        <w:rPr>
          <w:u w:val="single"/>
        </w:rPr>
        <w:t>Local control</w:t>
      </w:r>
    </w:p>
    <w:p w:rsidR="00CA258D" w:rsidRDefault="00CA258D" w:rsidP="00CA258D">
      <w:pPr>
        <w:spacing w:after="240"/>
      </w:pPr>
      <w:r>
        <w:t>A number of included studies reported local control rates:</w:t>
      </w:r>
    </w:p>
    <w:p w:rsidR="00CA258D" w:rsidRDefault="00CA258D" w:rsidP="00CA258D">
      <w:pPr>
        <w:pStyle w:val="ListParagraph"/>
        <w:numPr>
          <w:ilvl w:val="0"/>
          <w:numId w:val="25"/>
        </w:numPr>
        <w:spacing w:after="240"/>
      </w:pPr>
      <w:r>
        <w:t>One study reported that 24% and 72% of IMRT and 3D-CRT patients treated for brain cancer experienced local tumour progression (</w:t>
      </w:r>
      <w:r w:rsidR="00793138">
        <w:t>statistical analysis</w:t>
      </w:r>
      <w:r>
        <w:t xml:space="preserve"> not reported). </w:t>
      </w:r>
    </w:p>
    <w:p w:rsidR="00CA258D" w:rsidRDefault="00793138" w:rsidP="00CA258D">
      <w:pPr>
        <w:pStyle w:val="ListParagraph"/>
        <w:numPr>
          <w:ilvl w:val="0"/>
          <w:numId w:val="25"/>
        </w:numPr>
        <w:spacing w:after="240"/>
      </w:pPr>
      <w:r>
        <w:t xml:space="preserve">A </w:t>
      </w:r>
      <w:r w:rsidR="00CA258D">
        <w:t xml:space="preserve">study including patients with connective tissue </w:t>
      </w:r>
      <w:r>
        <w:t xml:space="preserve">sarcomas </w:t>
      </w:r>
      <w:r w:rsidR="00CA258D">
        <w:t>reported no statistically significant differences between treatments for loco-regional control at 5 years.</w:t>
      </w:r>
    </w:p>
    <w:p w:rsidR="00CA258D" w:rsidRDefault="00CA258D" w:rsidP="00CA258D">
      <w:pPr>
        <w:pStyle w:val="ListParagraph"/>
        <w:numPr>
          <w:ilvl w:val="0"/>
          <w:numId w:val="25"/>
        </w:numPr>
        <w:spacing w:after="240"/>
      </w:pPr>
      <w:r>
        <w:t>Among the gastrointestinal cancer studies, local tumour progression was not statistically significantly different between treatments in the th</w:t>
      </w:r>
      <w:r w:rsidR="00793138">
        <w:t>r</w:t>
      </w:r>
      <w:r>
        <w:t>ee studies reporting this outcome.</w:t>
      </w:r>
    </w:p>
    <w:p w:rsidR="00CA258D" w:rsidRDefault="00CA258D" w:rsidP="00CA258D">
      <w:pPr>
        <w:pStyle w:val="ListParagraph"/>
        <w:numPr>
          <w:ilvl w:val="0"/>
          <w:numId w:val="25"/>
        </w:numPr>
        <w:spacing w:after="240"/>
      </w:pPr>
      <w:r>
        <w:lastRenderedPageBreak/>
        <w:t xml:space="preserve">Two gynaecological </w:t>
      </w:r>
      <w:r w:rsidR="00793138">
        <w:t xml:space="preserve">cancer </w:t>
      </w:r>
      <w:r>
        <w:t xml:space="preserve">studies reported no statistically significant differences between treatments for loco-regional control at 1 year or </w:t>
      </w:r>
      <w:r w:rsidR="00793138">
        <w:t xml:space="preserve">3 </w:t>
      </w:r>
      <w:r>
        <w:t>years.</w:t>
      </w:r>
    </w:p>
    <w:p w:rsidR="00CA258D" w:rsidRDefault="00CA258D" w:rsidP="00CA258D">
      <w:pPr>
        <w:pStyle w:val="ListParagraph"/>
        <w:numPr>
          <w:ilvl w:val="0"/>
          <w:numId w:val="25"/>
        </w:numPr>
        <w:spacing w:after="240"/>
      </w:pPr>
      <w:r>
        <w:t>Fourteen of the head &amp; neck trials/studies reported loco-regional control. Whilst five studies reported statistically significant better loco-regional control in those treated with IMRT compared with 3D-CRT, no differences were reported in nine studies.</w:t>
      </w:r>
    </w:p>
    <w:p w:rsidR="00CA258D" w:rsidRDefault="00CA258D" w:rsidP="00CA258D">
      <w:pPr>
        <w:pStyle w:val="ListParagraph"/>
        <w:numPr>
          <w:ilvl w:val="0"/>
          <w:numId w:val="25"/>
        </w:numPr>
        <w:spacing w:after="240"/>
      </w:pPr>
      <w:r>
        <w:t xml:space="preserve">Four-year local control was not statistically different in patients with </w:t>
      </w:r>
      <w:r w:rsidR="00793138">
        <w:t>lymphomas</w:t>
      </w:r>
      <w:r>
        <w:t xml:space="preserve"> treated with IMRT or 3D-CRT.</w:t>
      </w:r>
    </w:p>
    <w:p w:rsidR="00CA258D" w:rsidRDefault="00CA258D" w:rsidP="00CA258D">
      <w:pPr>
        <w:pStyle w:val="ListParagraph"/>
        <w:numPr>
          <w:ilvl w:val="0"/>
          <w:numId w:val="25"/>
        </w:numPr>
        <w:spacing w:after="240"/>
      </w:pPr>
      <w:r>
        <w:t>One study reported a significant</w:t>
      </w:r>
      <w:r w:rsidR="008129FD">
        <w:t>ly</w:t>
      </w:r>
      <w:r>
        <w:t xml:space="preserve"> </w:t>
      </w:r>
      <w:r w:rsidR="008129FD">
        <w:t>better</w:t>
      </w:r>
      <w:r>
        <w:t xml:space="preserve"> 1-year local </w:t>
      </w:r>
      <w:r w:rsidR="008129FD">
        <w:t xml:space="preserve">control </w:t>
      </w:r>
      <w:r>
        <w:t xml:space="preserve">in lung cancer patients treated with IMRT </w:t>
      </w:r>
      <w:r w:rsidR="008129FD">
        <w:t xml:space="preserve">compared to </w:t>
      </w:r>
      <w:r>
        <w:t xml:space="preserve">3D-CRT, whereas no </w:t>
      </w:r>
      <w:r w:rsidR="008129FD">
        <w:t xml:space="preserve">significant </w:t>
      </w:r>
      <w:r>
        <w:t xml:space="preserve">difference was observed between </w:t>
      </w:r>
      <w:r w:rsidR="008129FD">
        <w:t xml:space="preserve">the </w:t>
      </w:r>
      <w:r>
        <w:t>treatments in two others.</w:t>
      </w:r>
    </w:p>
    <w:p w:rsidR="00CA258D" w:rsidRPr="00362A1B" w:rsidRDefault="00CA258D" w:rsidP="00CA258D">
      <w:pPr>
        <w:spacing w:after="240"/>
        <w:rPr>
          <w:u w:val="single"/>
        </w:rPr>
      </w:pPr>
      <w:r w:rsidRPr="00362A1B">
        <w:rPr>
          <w:u w:val="single"/>
        </w:rPr>
        <w:t>Progression-free survival (PFS)</w:t>
      </w:r>
    </w:p>
    <w:p w:rsidR="00CA258D" w:rsidRDefault="00CA258D" w:rsidP="00CA258D">
      <w:pPr>
        <w:spacing w:after="240"/>
      </w:pPr>
      <w:r>
        <w:t>A number of studies included in this review reported comparative progression-free survival:</w:t>
      </w:r>
    </w:p>
    <w:p w:rsidR="00CA258D" w:rsidRDefault="00CA258D" w:rsidP="00CA258D">
      <w:pPr>
        <w:pStyle w:val="ListParagraph"/>
        <w:numPr>
          <w:ilvl w:val="0"/>
          <w:numId w:val="25"/>
        </w:numPr>
        <w:spacing w:after="240"/>
      </w:pPr>
      <w:r>
        <w:t>Of the studies reporting PFS amongst patients with brain cancer who were treated with IMRT or 3D-CRT, one reported that 71% and 64% of IMRT and 26% and 18% of 3D-CRT patients remained progression free at 1 and 2 years, respectively (</w:t>
      </w:r>
      <w:r w:rsidR="008129FD">
        <w:t>statistical analysis</w:t>
      </w:r>
      <w:r>
        <w:t xml:space="preserve"> not reported). Another study reported no statistically differences in PFS between treatments at one year.</w:t>
      </w:r>
    </w:p>
    <w:p w:rsidR="00CA258D" w:rsidRDefault="00CA258D" w:rsidP="00CA258D">
      <w:pPr>
        <w:pStyle w:val="ListParagraph"/>
        <w:numPr>
          <w:ilvl w:val="0"/>
          <w:numId w:val="25"/>
        </w:numPr>
        <w:spacing w:after="240"/>
      </w:pPr>
      <w:r>
        <w:t xml:space="preserve">Statistically significantly improved 3-year PFS was observed in patients with anal cancer treated with IMRT in one study, however no differences were observed at 3 years or at 2 years in three other studies. Similarly, no differences were observed between treatments in a study including patients treated for gastric cancer at 2 years or in two other studies including patients with pancreatic or rectal cancer. </w:t>
      </w:r>
    </w:p>
    <w:p w:rsidR="00CA258D" w:rsidRDefault="00CA258D" w:rsidP="00CA258D">
      <w:pPr>
        <w:pStyle w:val="ListParagraph"/>
        <w:numPr>
          <w:ilvl w:val="0"/>
          <w:numId w:val="25"/>
        </w:numPr>
        <w:spacing w:after="240"/>
      </w:pPr>
      <w:r>
        <w:t>Among the gynaecological cancer studies, significant</w:t>
      </w:r>
      <w:r w:rsidR="008129FD">
        <w:t>ly</w:t>
      </w:r>
      <w:r>
        <w:t xml:space="preserve"> improved PFS was observed in one study, but no differences were observed for 2-year PFS or 5-year disease free survival in two other studies. </w:t>
      </w:r>
    </w:p>
    <w:p w:rsidR="00CA258D" w:rsidRDefault="00CA258D" w:rsidP="00CA258D">
      <w:pPr>
        <w:pStyle w:val="ListParagraph"/>
        <w:numPr>
          <w:ilvl w:val="0"/>
          <w:numId w:val="25"/>
        </w:numPr>
        <w:spacing w:after="240"/>
      </w:pPr>
      <w:r>
        <w:t xml:space="preserve">Two-year disease free survival was statistically significantly improved among those treated with IMRT compared with 3D-CRT for head &amp; neck cancers in one study, but no difference in this outcome was observed in three other head &amp; neck </w:t>
      </w:r>
      <w:r w:rsidR="008129FD">
        <w:t xml:space="preserve">cancer </w:t>
      </w:r>
      <w:r>
        <w:t>studies.</w:t>
      </w:r>
    </w:p>
    <w:p w:rsidR="00CA258D" w:rsidRPr="00362A1B" w:rsidRDefault="00CA258D" w:rsidP="00CA258D">
      <w:pPr>
        <w:spacing w:after="240"/>
        <w:rPr>
          <w:u w:val="single"/>
        </w:rPr>
      </w:pPr>
      <w:r w:rsidRPr="00362A1B">
        <w:rPr>
          <w:u w:val="single"/>
        </w:rPr>
        <w:t>Overall survival</w:t>
      </w:r>
    </w:p>
    <w:p w:rsidR="00CA258D" w:rsidRDefault="00CA258D" w:rsidP="00CA258D">
      <w:pPr>
        <w:spacing w:after="240"/>
      </w:pPr>
      <w:r>
        <w:t>Thirty-five studies included in this review reported comparative overall survival.  Of these:</w:t>
      </w:r>
    </w:p>
    <w:p w:rsidR="00CA258D" w:rsidRDefault="00CA258D" w:rsidP="00CA258D">
      <w:pPr>
        <w:pStyle w:val="ListParagraph"/>
        <w:numPr>
          <w:ilvl w:val="0"/>
          <w:numId w:val="25"/>
        </w:numPr>
        <w:spacing w:after="240"/>
      </w:pPr>
      <w:r>
        <w:t xml:space="preserve">Seven studies – (one brain, one anal one gastric, two cervical and two head &amp; neck </w:t>
      </w:r>
      <w:r w:rsidR="00A82F7C">
        <w:t xml:space="preserve">cancer </w:t>
      </w:r>
      <w:r>
        <w:t>studies) reported statistically significantly improved overall survival amongst those treated with IMRT compared with 3D-CRT, whereas,</w:t>
      </w:r>
    </w:p>
    <w:p w:rsidR="00CA258D" w:rsidRDefault="00CA258D" w:rsidP="00CA258D">
      <w:pPr>
        <w:pStyle w:val="ListParagraph"/>
        <w:numPr>
          <w:ilvl w:val="0"/>
          <w:numId w:val="25"/>
        </w:numPr>
        <w:spacing w:after="240"/>
      </w:pPr>
      <w:r>
        <w:t xml:space="preserve">Twenty-seven studies reported no differences: one brain, one breast, three anal, three gastric, two oesophageal, one rectal, two cervical, and 14 head &amp; neck </w:t>
      </w:r>
      <w:r w:rsidR="00A82F7C">
        <w:t xml:space="preserve">cancer </w:t>
      </w:r>
      <w:r>
        <w:t>studies; and</w:t>
      </w:r>
    </w:p>
    <w:p w:rsidR="00CA258D" w:rsidRDefault="00CA258D" w:rsidP="00CA258D">
      <w:pPr>
        <w:pStyle w:val="ListParagraph"/>
        <w:numPr>
          <w:ilvl w:val="0"/>
          <w:numId w:val="25"/>
        </w:numPr>
        <w:spacing w:after="240"/>
      </w:pPr>
      <w:r>
        <w:t xml:space="preserve">One </w:t>
      </w:r>
      <w:r w:rsidR="00A82F7C">
        <w:t xml:space="preserve">study </w:t>
      </w:r>
      <w:r>
        <w:t>reported statistically significantly improved overall survival in patients with prostate cancer treated with 3D-CRT compared with IMRT.</w:t>
      </w:r>
    </w:p>
    <w:p w:rsidR="00CA258D" w:rsidRPr="00362A1B" w:rsidRDefault="00CA258D" w:rsidP="00CA258D">
      <w:pPr>
        <w:spacing w:after="240"/>
        <w:rPr>
          <w:u w:val="single"/>
        </w:rPr>
      </w:pPr>
      <w:r w:rsidRPr="00362A1B">
        <w:rPr>
          <w:u w:val="single"/>
        </w:rPr>
        <w:t>Quality of life</w:t>
      </w:r>
    </w:p>
    <w:p w:rsidR="00CA258D" w:rsidRDefault="00CA258D" w:rsidP="00CA258D">
      <w:pPr>
        <w:spacing w:after="240"/>
      </w:pPr>
      <w:r>
        <w:t xml:space="preserve">Quality of life </w:t>
      </w:r>
      <w:r w:rsidR="00CE0E94">
        <w:t>(</w:t>
      </w:r>
      <w:proofErr w:type="spellStart"/>
      <w:r w:rsidR="00CE0E94">
        <w:t>QoL</w:t>
      </w:r>
      <w:proofErr w:type="spellEnd"/>
      <w:r w:rsidR="00CE0E94">
        <w:t xml:space="preserve">) </w:t>
      </w:r>
      <w:r>
        <w:t>assessments were reported in head &amp; neck (nine studies) and prostate cancer (four studies).</w:t>
      </w:r>
    </w:p>
    <w:p w:rsidR="00CA258D" w:rsidRDefault="00CA258D" w:rsidP="00CA258D">
      <w:pPr>
        <w:spacing w:after="240"/>
      </w:pPr>
      <w:r>
        <w:lastRenderedPageBreak/>
        <w:t xml:space="preserve">In the head &amp; neck </w:t>
      </w:r>
      <w:r w:rsidR="00CE0E94">
        <w:t xml:space="preserve">cancer </w:t>
      </w:r>
      <w:r>
        <w:t xml:space="preserve">studies, </w:t>
      </w:r>
      <w:r w:rsidR="00CE0E94">
        <w:t xml:space="preserve">seven </w:t>
      </w:r>
      <w:r>
        <w:t>studies reported statistically significant differences between the treatment groups</w:t>
      </w:r>
      <w:r w:rsidR="00CE0E94">
        <w:t xml:space="preserve"> (although that the impact of IMRT was small on all </w:t>
      </w:r>
      <w:proofErr w:type="spellStart"/>
      <w:r w:rsidR="00CE0E94">
        <w:t>QoL</w:t>
      </w:r>
      <w:proofErr w:type="spellEnd"/>
      <w:r w:rsidR="00CE0E94">
        <w:t xml:space="preserve"> scales in one study)</w:t>
      </w:r>
      <w:r>
        <w:t xml:space="preserve">, </w:t>
      </w:r>
      <w:r w:rsidR="00CE0E94">
        <w:t>and</w:t>
      </w:r>
      <w:r>
        <w:t xml:space="preserve"> two studies </w:t>
      </w:r>
      <w:r w:rsidR="00CE0E94">
        <w:t xml:space="preserve">observed </w:t>
      </w:r>
      <w:r>
        <w:t xml:space="preserve">no </w:t>
      </w:r>
      <w:r w:rsidR="00CE0E94">
        <w:t xml:space="preserve">significant </w:t>
      </w:r>
      <w:r>
        <w:t>differences.</w:t>
      </w:r>
    </w:p>
    <w:p w:rsidR="00C167CA" w:rsidRPr="000E4BD7" w:rsidRDefault="00CA258D" w:rsidP="00C067A2">
      <w:pPr>
        <w:spacing w:after="240"/>
      </w:pPr>
      <w:r>
        <w:t xml:space="preserve">In the prostate studies, no </w:t>
      </w:r>
      <w:r w:rsidR="00CE0E94">
        <w:t xml:space="preserve">significant </w:t>
      </w:r>
      <w:r>
        <w:t xml:space="preserve">differences in </w:t>
      </w:r>
      <w:proofErr w:type="spellStart"/>
      <w:r w:rsidR="00CE0E94">
        <w:t>QoL</w:t>
      </w:r>
      <w:proofErr w:type="spellEnd"/>
      <w:r>
        <w:t xml:space="preserve"> measures were</w:t>
      </w:r>
      <w:r w:rsidR="000E4BD7">
        <w:t xml:space="preserve"> observed in any of the studies.</w:t>
      </w:r>
    </w:p>
    <w:p w:rsidR="00BC1364" w:rsidRDefault="00BC1364" w:rsidP="007B32D1">
      <w:pPr>
        <w:pStyle w:val="Heading1"/>
        <w:numPr>
          <w:ilvl w:val="0"/>
          <w:numId w:val="23"/>
        </w:numPr>
        <w:ind w:hanging="720"/>
      </w:pPr>
      <w:r w:rsidRPr="008D5885">
        <w:t>Economic evaluation</w:t>
      </w:r>
    </w:p>
    <w:p w:rsidR="00BC1364" w:rsidRDefault="00BC1364" w:rsidP="00DD2858">
      <w:pPr>
        <w:rPr>
          <w:b/>
          <w:szCs w:val="24"/>
        </w:rPr>
      </w:pPr>
    </w:p>
    <w:p w:rsidR="00CA258D" w:rsidRDefault="00CA258D" w:rsidP="00CA258D">
      <w:r w:rsidRPr="000A7BE3">
        <w:t>The application sought a</w:t>
      </w:r>
      <w:r>
        <w:t>n</w:t>
      </w:r>
      <w:r w:rsidRPr="000A7BE3">
        <w:t xml:space="preserve"> MBS fee based on costing information contained in the ANROTAT study.</w:t>
      </w:r>
    </w:p>
    <w:p w:rsidR="00CA258D" w:rsidRDefault="00CA258D" w:rsidP="00CA258D"/>
    <w:p w:rsidR="00CA258D" w:rsidRDefault="00CA258D" w:rsidP="00CA258D">
      <w:r>
        <w:t>The assessment report provide</w:t>
      </w:r>
      <w:r w:rsidR="00C067A2">
        <w:t>d</w:t>
      </w:r>
      <w:r>
        <w:t xml:space="preserve"> a cost-minimisation analysis</w:t>
      </w:r>
      <w:r w:rsidR="003B1C8F">
        <w:t>.  This was appropriate given the lack of evidence supporting superior</w:t>
      </w:r>
      <w:r>
        <w:t xml:space="preserve"> safety and effectiveness </w:t>
      </w:r>
      <w:r w:rsidR="003B1C8F">
        <w:t xml:space="preserve">outcomes for </w:t>
      </w:r>
      <w:r>
        <w:t xml:space="preserve">IMRT. </w:t>
      </w:r>
    </w:p>
    <w:p w:rsidR="00CA258D" w:rsidRDefault="00CA258D" w:rsidP="00CA258D"/>
    <w:p w:rsidR="00CA258D" w:rsidRDefault="00CA258D" w:rsidP="00CA258D">
      <w:r>
        <w:t xml:space="preserve">Costs were based on estimates from the ANROTAT study for the treatment of prostate, anal and nasopharyngeal cancer ($2,216, $3,111 and $3,197).  The assessment report </w:t>
      </w:r>
      <w:r w:rsidR="003B1C8F">
        <w:t xml:space="preserve">found </w:t>
      </w:r>
      <w:r>
        <w:t>that, depending on assumption</w:t>
      </w:r>
      <w:r w:rsidR="00C067A2">
        <w:t>s, the cost of delivering IMRT wa</w:t>
      </w:r>
      <w:r>
        <w:t xml:space="preserve">s likely significantly lower than the items which would be claimed currently. </w:t>
      </w:r>
    </w:p>
    <w:p w:rsidR="00CA258D" w:rsidRDefault="00CA258D" w:rsidP="00CA258D"/>
    <w:p w:rsidR="00CA258D" w:rsidRDefault="00110AB8" w:rsidP="00CA258D">
      <w:r>
        <w:t>However, t</w:t>
      </w:r>
      <w:r w:rsidR="00CA258D">
        <w:t xml:space="preserve">he applicant advised that the cost associated with delivery of IMRT </w:t>
      </w:r>
      <w:r w:rsidR="003B1C8F">
        <w:t xml:space="preserve">would be </w:t>
      </w:r>
      <w:r w:rsidR="00CA258D">
        <w:t xml:space="preserve">greater than that estimated in ANROTAT, because of greater planning and capital costs. </w:t>
      </w:r>
      <w:proofErr w:type="spellStart"/>
      <w:r w:rsidR="00CA258D">
        <w:t>GenesisCare</w:t>
      </w:r>
      <w:proofErr w:type="spellEnd"/>
      <w:r w:rsidR="00CA258D">
        <w:t xml:space="preserve"> </w:t>
      </w:r>
      <w:r w:rsidR="00E14A30">
        <w:t>(the large</w:t>
      </w:r>
      <w:r w:rsidR="00197EE2">
        <w:t>s</w:t>
      </w:r>
      <w:r w:rsidR="00E14A30">
        <w:t xml:space="preserve">t private-sector provider of radiation therapy services in Australia) </w:t>
      </w:r>
      <w:r w:rsidR="00CA258D">
        <w:t xml:space="preserve">subsequently provided estimates of the </w:t>
      </w:r>
      <w:r w:rsidR="00CA258D" w:rsidRPr="00197EE2">
        <w:rPr>
          <w:i/>
        </w:rPr>
        <w:t>incremental</w:t>
      </w:r>
      <w:r w:rsidR="00CA258D" w:rsidRPr="007E1831">
        <w:t xml:space="preserve"> cost</w:t>
      </w:r>
      <w:r w:rsidR="00CA258D">
        <w:t xml:space="preserve"> of delivering IMRT for small and high volume disease compared with 3D</w:t>
      </w:r>
      <w:r w:rsidR="00CA258D">
        <w:noBreakHyphen/>
        <w:t xml:space="preserve">CRT. In the table below, the assessment group used these figures to derive </w:t>
      </w:r>
      <w:r w:rsidR="00CA258D" w:rsidRPr="00197EE2">
        <w:rPr>
          <w:i/>
        </w:rPr>
        <w:t>total</w:t>
      </w:r>
      <w:r w:rsidR="00CA258D" w:rsidRPr="007E1831">
        <w:t xml:space="preserve"> costs</w:t>
      </w:r>
      <w:r w:rsidR="00CA258D">
        <w:t xml:space="preserve"> for delivering </w:t>
      </w:r>
      <w:r w:rsidR="00E14A30">
        <w:t xml:space="preserve">IMRT compared to </w:t>
      </w:r>
      <w:r w:rsidR="00CA258D">
        <w:t>3D</w:t>
      </w:r>
      <w:r w:rsidR="00CA258D">
        <w:noBreakHyphen/>
        <w:t xml:space="preserve">CRT. However, it should be noted that the Department is yet to fully verify </w:t>
      </w:r>
      <w:r w:rsidR="00E14A30">
        <w:t xml:space="preserve">the </w:t>
      </w:r>
      <w:r w:rsidR="00CA258D">
        <w:t>cost impacts of IMRT (compared to 3D-CRT).</w:t>
      </w:r>
      <w:r w:rsidR="00CA258D">
        <w:br/>
      </w:r>
    </w:p>
    <w:p w:rsidR="00197EE2" w:rsidRDefault="00197EE2">
      <w:pPr>
        <w:rPr>
          <w:rFonts w:ascii="Arial Narrow" w:hAnsi="Arial Narrow" w:cs="Arial"/>
          <w:b/>
          <w:sz w:val="18"/>
          <w:szCs w:val="18"/>
        </w:rPr>
      </w:pPr>
      <w:r>
        <w:rPr>
          <w:rFonts w:ascii="Arial Narrow" w:hAnsi="Arial Narrow" w:cs="Arial"/>
          <w:b/>
          <w:sz w:val="18"/>
          <w:szCs w:val="18"/>
        </w:rPr>
        <w:br w:type="page"/>
      </w:r>
    </w:p>
    <w:p w:rsidR="00CA258D" w:rsidRPr="00626821" w:rsidRDefault="00CA258D" w:rsidP="00CA258D">
      <w:pPr>
        <w:rPr>
          <w:rFonts w:ascii="Arial Narrow" w:hAnsi="Arial Narrow" w:cs="Arial"/>
          <w:b/>
          <w:sz w:val="18"/>
          <w:szCs w:val="18"/>
        </w:rPr>
      </w:pPr>
      <w:r>
        <w:rPr>
          <w:rFonts w:ascii="Arial Narrow" w:hAnsi="Arial Narrow" w:cs="Arial"/>
          <w:b/>
          <w:sz w:val="18"/>
          <w:szCs w:val="18"/>
        </w:rPr>
        <w:lastRenderedPageBreak/>
        <w:t>Table 5</w:t>
      </w:r>
      <w:r>
        <w:rPr>
          <w:rFonts w:ascii="Arial Narrow" w:hAnsi="Arial Narrow" w:cs="Arial"/>
          <w:b/>
          <w:sz w:val="18"/>
          <w:szCs w:val="18"/>
        </w:rPr>
        <w:tab/>
      </w:r>
      <w:r w:rsidRPr="00626821">
        <w:rPr>
          <w:rFonts w:ascii="Arial Narrow" w:hAnsi="Arial Narrow" w:cs="Arial"/>
          <w:b/>
          <w:sz w:val="18"/>
          <w:szCs w:val="18"/>
        </w:rPr>
        <w:t>Total costs associated with delivering 3D-CRT and IMRT for small and high volume disease based on the data provided by Genesis</w:t>
      </w:r>
      <w:r>
        <w:rPr>
          <w:rFonts w:ascii="Arial Narrow" w:hAnsi="Arial Narrow" w:cs="Arial"/>
          <w:b/>
          <w:sz w:val="18"/>
          <w:szCs w:val="18"/>
        </w:rPr>
        <w:t xml:space="preserve"> </w:t>
      </w:r>
      <w:r w:rsidRPr="00626821">
        <w:rPr>
          <w:rFonts w:ascii="Arial Narrow" w:hAnsi="Arial Narrow" w:cs="Arial"/>
          <w:b/>
          <w:sz w:val="18"/>
          <w:szCs w:val="18"/>
        </w:rPr>
        <w:t>Care</w:t>
      </w:r>
    </w:p>
    <w:tbl>
      <w:tblPr>
        <w:tblStyle w:val="TableGrid"/>
        <w:tblW w:w="0" w:type="auto"/>
        <w:tblCellMar>
          <w:left w:w="28" w:type="dxa"/>
          <w:right w:w="28" w:type="dxa"/>
        </w:tblCellMar>
        <w:tblLook w:val="04A0" w:firstRow="1" w:lastRow="0" w:firstColumn="1" w:lastColumn="0" w:noHBand="0" w:noVBand="1"/>
        <w:tblCaption w:val="Total costs associated with delievering 3D-CRT and IMRT for small and high volume disease based on the data provided by Genesis Care"/>
      </w:tblPr>
      <w:tblGrid>
        <w:gridCol w:w="1714"/>
        <w:gridCol w:w="1228"/>
        <w:gridCol w:w="1228"/>
        <w:gridCol w:w="1228"/>
        <w:gridCol w:w="1228"/>
        <w:gridCol w:w="1228"/>
        <w:gridCol w:w="1228"/>
      </w:tblGrid>
      <w:tr w:rsidR="002528DE" w:rsidRPr="00014148" w:rsidTr="00BF57B6">
        <w:trPr>
          <w:trHeight w:val="292"/>
          <w:tblHeader/>
        </w:trPr>
        <w:tc>
          <w:tcPr>
            <w:tcW w:w="0" w:type="auto"/>
            <w:tcBorders>
              <w:bottom w:val="nil"/>
            </w:tcBorders>
          </w:tcPr>
          <w:p w:rsidR="002528DE" w:rsidRPr="00A010ED" w:rsidRDefault="002528DE" w:rsidP="00AE2C28">
            <w:pPr>
              <w:ind w:left="142"/>
              <w:rPr>
                <w:rFonts w:ascii="Arial Narrow" w:hAnsi="Arial Narrow"/>
                <w:b/>
                <w:sz w:val="18"/>
                <w:szCs w:val="18"/>
              </w:rPr>
            </w:pPr>
            <w:r>
              <w:rPr>
                <w:rFonts w:ascii="Arial Narrow" w:hAnsi="Arial Narrow"/>
                <w:b/>
                <w:sz w:val="18"/>
                <w:szCs w:val="18"/>
              </w:rPr>
              <w:t xml:space="preserve">Component </w:t>
            </w:r>
          </w:p>
        </w:tc>
        <w:tc>
          <w:tcPr>
            <w:tcW w:w="0" w:type="auto"/>
            <w:tcBorders>
              <w:right w:val="nil"/>
            </w:tcBorders>
            <w:vAlign w:val="center"/>
          </w:tcPr>
          <w:p w:rsidR="002528DE" w:rsidRPr="00014148" w:rsidRDefault="002528DE" w:rsidP="00BF57B6">
            <w:pPr>
              <w:jc w:val="right"/>
              <w:rPr>
                <w:rFonts w:ascii="Arial Narrow" w:hAnsi="Arial Narrow"/>
                <w:b/>
                <w:sz w:val="18"/>
                <w:szCs w:val="18"/>
              </w:rPr>
            </w:pPr>
            <w:r w:rsidRPr="00014148">
              <w:rPr>
                <w:rFonts w:ascii="Arial Narrow" w:hAnsi="Arial Narrow"/>
                <w:b/>
                <w:sz w:val="18"/>
                <w:szCs w:val="18"/>
              </w:rPr>
              <w:t xml:space="preserve">Small </w:t>
            </w:r>
          </w:p>
        </w:tc>
        <w:tc>
          <w:tcPr>
            <w:tcW w:w="0" w:type="auto"/>
            <w:tcBorders>
              <w:left w:val="nil"/>
              <w:right w:val="nil"/>
            </w:tcBorders>
            <w:vAlign w:val="center"/>
          </w:tcPr>
          <w:p w:rsidR="002528DE" w:rsidRPr="00014148" w:rsidRDefault="002528DE" w:rsidP="00BF57B6">
            <w:pPr>
              <w:ind w:left="0"/>
              <w:jc w:val="center"/>
              <w:rPr>
                <w:rFonts w:ascii="Arial Narrow" w:hAnsi="Arial Narrow"/>
                <w:b/>
                <w:sz w:val="18"/>
                <w:szCs w:val="18"/>
              </w:rPr>
            </w:pPr>
            <w:r w:rsidRPr="00014148">
              <w:rPr>
                <w:rFonts w:ascii="Arial Narrow" w:hAnsi="Arial Narrow"/>
                <w:b/>
                <w:sz w:val="18"/>
                <w:szCs w:val="18"/>
              </w:rPr>
              <w:t>volume</w:t>
            </w:r>
          </w:p>
        </w:tc>
        <w:tc>
          <w:tcPr>
            <w:tcW w:w="0" w:type="auto"/>
            <w:tcBorders>
              <w:left w:val="nil"/>
              <w:right w:val="nil"/>
            </w:tcBorders>
            <w:vAlign w:val="center"/>
          </w:tcPr>
          <w:p w:rsidR="002528DE" w:rsidRPr="00014148" w:rsidRDefault="002528DE" w:rsidP="00BF57B6">
            <w:pPr>
              <w:ind w:left="0"/>
              <w:rPr>
                <w:rFonts w:ascii="Arial Narrow" w:hAnsi="Arial Narrow"/>
                <w:b/>
                <w:sz w:val="18"/>
                <w:szCs w:val="18"/>
              </w:rPr>
            </w:pPr>
            <w:r w:rsidRPr="00014148">
              <w:rPr>
                <w:rFonts w:ascii="Arial Narrow" w:hAnsi="Arial Narrow"/>
                <w:b/>
                <w:sz w:val="18"/>
                <w:szCs w:val="18"/>
              </w:rPr>
              <w:t>disease</w:t>
            </w:r>
          </w:p>
        </w:tc>
        <w:tc>
          <w:tcPr>
            <w:tcW w:w="0" w:type="auto"/>
            <w:tcBorders>
              <w:left w:val="nil"/>
              <w:right w:val="nil"/>
            </w:tcBorders>
            <w:vAlign w:val="center"/>
          </w:tcPr>
          <w:p w:rsidR="002528DE" w:rsidRPr="00014148" w:rsidRDefault="002528DE" w:rsidP="002528DE">
            <w:pPr>
              <w:jc w:val="right"/>
              <w:rPr>
                <w:rFonts w:ascii="Arial Narrow" w:hAnsi="Arial Narrow"/>
                <w:b/>
                <w:sz w:val="18"/>
                <w:szCs w:val="18"/>
              </w:rPr>
            </w:pPr>
            <w:r w:rsidRPr="00014148">
              <w:rPr>
                <w:rFonts w:ascii="Arial Narrow" w:hAnsi="Arial Narrow"/>
                <w:b/>
                <w:sz w:val="18"/>
                <w:szCs w:val="18"/>
              </w:rPr>
              <w:t>High</w:t>
            </w:r>
          </w:p>
        </w:tc>
        <w:tc>
          <w:tcPr>
            <w:tcW w:w="0" w:type="auto"/>
            <w:tcBorders>
              <w:left w:val="nil"/>
              <w:right w:val="nil"/>
            </w:tcBorders>
            <w:vAlign w:val="center"/>
          </w:tcPr>
          <w:p w:rsidR="002528DE" w:rsidRPr="00014148" w:rsidRDefault="002528DE" w:rsidP="002528DE">
            <w:pPr>
              <w:ind w:left="0"/>
              <w:jc w:val="center"/>
              <w:rPr>
                <w:rFonts w:ascii="Arial Narrow" w:hAnsi="Arial Narrow"/>
                <w:b/>
                <w:sz w:val="18"/>
                <w:szCs w:val="18"/>
              </w:rPr>
            </w:pPr>
            <w:r w:rsidRPr="00014148">
              <w:rPr>
                <w:rFonts w:ascii="Arial Narrow" w:hAnsi="Arial Narrow"/>
                <w:b/>
                <w:sz w:val="18"/>
                <w:szCs w:val="18"/>
              </w:rPr>
              <w:t>volume</w:t>
            </w:r>
          </w:p>
        </w:tc>
        <w:tc>
          <w:tcPr>
            <w:tcW w:w="0" w:type="auto"/>
            <w:tcBorders>
              <w:left w:val="nil"/>
            </w:tcBorders>
            <w:vAlign w:val="center"/>
          </w:tcPr>
          <w:p w:rsidR="002528DE" w:rsidRPr="00014148" w:rsidRDefault="002528DE" w:rsidP="002528DE">
            <w:pPr>
              <w:ind w:left="0"/>
              <w:rPr>
                <w:rFonts w:ascii="Arial Narrow" w:hAnsi="Arial Narrow"/>
                <w:b/>
                <w:sz w:val="18"/>
                <w:szCs w:val="18"/>
              </w:rPr>
            </w:pPr>
            <w:r w:rsidRPr="00014148">
              <w:rPr>
                <w:rFonts w:ascii="Arial Narrow" w:hAnsi="Arial Narrow"/>
                <w:b/>
                <w:sz w:val="18"/>
                <w:szCs w:val="18"/>
              </w:rPr>
              <w:t>disease</w:t>
            </w:r>
          </w:p>
        </w:tc>
      </w:tr>
      <w:tr w:rsidR="002528DE" w:rsidRPr="00014148" w:rsidTr="00BF57B6">
        <w:trPr>
          <w:trHeight w:val="384"/>
          <w:tblHeader/>
        </w:trPr>
        <w:tc>
          <w:tcPr>
            <w:tcW w:w="0" w:type="auto"/>
            <w:tcBorders>
              <w:top w:val="nil"/>
              <w:bottom w:val="single" w:sz="4" w:space="0" w:color="auto"/>
            </w:tcBorders>
          </w:tcPr>
          <w:p w:rsidR="002528DE" w:rsidRPr="00014148" w:rsidRDefault="002528DE" w:rsidP="00CA258D">
            <w:pPr>
              <w:rPr>
                <w:rFonts w:ascii="Arial Narrow" w:hAnsi="Arial Narrow"/>
                <w:sz w:val="18"/>
                <w:szCs w:val="18"/>
              </w:rPr>
            </w:pPr>
          </w:p>
        </w:tc>
        <w:tc>
          <w:tcPr>
            <w:tcW w:w="0" w:type="auto"/>
            <w:tcBorders>
              <w:bottom w:val="single" w:sz="4" w:space="0" w:color="auto"/>
            </w:tcBorders>
          </w:tcPr>
          <w:p w:rsidR="002528DE" w:rsidRPr="00014148" w:rsidRDefault="002528DE" w:rsidP="00AE2C28">
            <w:pPr>
              <w:ind w:left="60"/>
              <w:jc w:val="center"/>
              <w:rPr>
                <w:rFonts w:ascii="Arial Narrow" w:hAnsi="Arial Narrow"/>
                <w:b/>
                <w:sz w:val="18"/>
                <w:szCs w:val="18"/>
              </w:rPr>
            </w:pPr>
            <w:r w:rsidRPr="00014148">
              <w:rPr>
                <w:rFonts w:ascii="Arial Narrow" w:hAnsi="Arial Narrow"/>
                <w:b/>
                <w:sz w:val="18"/>
                <w:szCs w:val="18"/>
              </w:rPr>
              <w:t>3D-CRT</w:t>
            </w:r>
          </w:p>
        </w:tc>
        <w:tc>
          <w:tcPr>
            <w:tcW w:w="0" w:type="auto"/>
            <w:tcBorders>
              <w:bottom w:val="single" w:sz="4" w:space="0" w:color="auto"/>
            </w:tcBorders>
          </w:tcPr>
          <w:p w:rsidR="002528DE" w:rsidRPr="00014148" w:rsidRDefault="002528DE" w:rsidP="00AE2C28">
            <w:pPr>
              <w:ind w:left="0"/>
              <w:jc w:val="center"/>
              <w:rPr>
                <w:rFonts w:ascii="Arial Narrow" w:hAnsi="Arial Narrow"/>
                <w:b/>
                <w:sz w:val="18"/>
                <w:szCs w:val="18"/>
              </w:rPr>
            </w:pPr>
            <w:r w:rsidRPr="00014148">
              <w:rPr>
                <w:rFonts w:ascii="Arial Narrow" w:hAnsi="Arial Narrow"/>
                <w:b/>
                <w:sz w:val="18"/>
                <w:szCs w:val="18"/>
              </w:rPr>
              <w:t>IMRT</w:t>
            </w:r>
          </w:p>
        </w:tc>
        <w:tc>
          <w:tcPr>
            <w:tcW w:w="0" w:type="auto"/>
            <w:tcBorders>
              <w:bottom w:val="single" w:sz="4" w:space="0" w:color="auto"/>
            </w:tcBorders>
          </w:tcPr>
          <w:p w:rsidR="002528DE" w:rsidRPr="00014148" w:rsidRDefault="002528DE" w:rsidP="00AE2C28">
            <w:pPr>
              <w:ind w:left="155"/>
              <w:jc w:val="center"/>
              <w:rPr>
                <w:rFonts w:ascii="Arial Narrow" w:hAnsi="Arial Narrow"/>
                <w:b/>
                <w:sz w:val="18"/>
                <w:szCs w:val="18"/>
              </w:rPr>
            </w:pPr>
            <w:r w:rsidRPr="00014148">
              <w:rPr>
                <w:rFonts w:ascii="Arial Narrow" w:hAnsi="Arial Narrow"/>
                <w:b/>
                <w:sz w:val="18"/>
                <w:szCs w:val="18"/>
              </w:rPr>
              <w:t xml:space="preserve">Increment </w:t>
            </w:r>
          </w:p>
        </w:tc>
        <w:tc>
          <w:tcPr>
            <w:tcW w:w="0" w:type="auto"/>
            <w:tcBorders>
              <w:bottom w:val="single" w:sz="4" w:space="0" w:color="auto"/>
            </w:tcBorders>
          </w:tcPr>
          <w:p w:rsidR="002528DE" w:rsidRPr="00014148" w:rsidRDefault="002528DE" w:rsidP="00AE2C28">
            <w:pPr>
              <w:ind w:left="61"/>
              <w:jc w:val="center"/>
              <w:rPr>
                <w:rFonts w:ascii="Arial Narrow" w:hAnsi="Arial Narrow"/>
                <w:b/>
                <w:sz w:val="18"/>
                <w:szCs w:val="18"/>
              </w:rPr>
            </w:pPr>
            <w:r w:rsidRPr="00014148">
              <w:rPr>
                <w:rFonts w:ascii="Arial Narrow" w:hAnsi="Arial Narrow"/>
                <w:b/>
                <w:sz w:val="18"/>
                <w:szCs w:val="18"/>
              </w:rPr>
              <w:t>3D-CRT</w:t>
            </w:r>
          </w:p>
        </w:tc>
        <w:tc>
          <w:tcPr>
            <w:tcW w:w="0" w:type="auto"/>
            <w:tcBorders>
              <w:bottom w:val="single" w:sz="4" w:space="0" w:color="auto"/>
            </w:tcBorders>
          </w:tcPr>
          <w:p w:rsidR="002528DE" w:rsidRPr="00014148" w:rsidRDefault="002528DE" w:rsidP="00AE2C28">
            <w:pPr>
              <w:ind w:left="109"/>
              <w:jc w:val="center"/>
              <w:rPr>
                <w:rFonts w:ascii="Arial Narrow" w:hAnsi="Arial Narrow"/>
                <w:b/>
                <w:sz w:val="18"/>
                <w:szCs w:val="18"/>
              </w:rPr>
            </w:pPr>
            <w:r w:rsidRPr="00014148">
              <w:rPr>
                <w:rFonts w:ascii="Arial Narrow" w:hAnsi="Arial Narrow"/>
                <w:b/>
                <w:sz w:val="18"/>
                <w:szCs w:val="18"/>
              </w:rPr>
              <w:t>IMRT</w:t>
            </w:r>
          </w:p>
        </w:tc>
        <w:tc>
          <w:tcPr>
            <w:tcW w:w="0" w:type="auto"/>
            <w:tcBorders>
              <w:bottom w:val="single" w:sz="4" w:space="0" w:color="auto"/>
            </w:tcBorders>
          </w:tcPr>
          <w:p w:rsidR="002528DE" w:rsidRPr="00014148" w:rsidRDefault="002528DE" w:rsidP="00AE2C28">
            <w:pPr>
              <w:ind w:left="15"/>
              <w:jc w:val="center"/>
              <w:rPr>
                <w:rFonts w:ascii="Arial Narrow" w:hAnsi="Arial Narrow"/>
                <w:b/>
                <w:sz w:val="18"/>
                <w:szCs w:val="18"/>
              </w:rPr>
            </w:pPr>
            <w:r w:rsidRPr="00014148">
              <w:rPr>
                <w:rFonts w:ascii="Arial Narrow" w:hAnsi="Arial Narrow"/>
                <w:b/>
                <w:sz w:val="18"/>
                <w:szCs w:val="18"/>
              </w:rPr>
              <w:t xml:space="preserve">Increment </w:t>
            </w:r>
          </w:p>
        </w:tc>
      </w:tr>
      <w:tr w:rsidR="00BF57B6" w:rsidRPr="00014148" w:rsidTr="00BF57B6">
        <w:tc>
          <w:tcPr>
            <w:tcW w:w="0" w:type="auto"/>
            <w:tcBorders>
              <w:right w:val="nil"/>
            </w:tcBorders>
          </w:tcPr>
          <w:p w:rsidR="00BF57B6" w:rsidRPr="00B7085F" w:rsidRDefault="00BF57B6" w:rsidP="00AE2C28">
            <w:pPr>
              <w:ind w:left="142"/>
              <w:rPr>
                <w:rFonts w:ascii="Arial Narrow" w:hAnsi="Arial Narrow"/>
                <w:b/>
                <w:sz w:val="18"/>
                <w:szCs w:val="18"/>
              </w:rPr>
            </w:pPr>
            <w:r>
              <w:rPr>
                <w:rFonts w:ascii="Arial Narrow" w:hAnsi="Arial Narrow"/>
                <w:b/>
                <w:sz w:val="18"/>
                <w:szCs w:val="18"/>
              </w:rPr>
              <w:t>Delivery costs</w:t>
            </w:r>
          </w:p>
        </w:tc>
        <w:tc>
          <w:tcPr>
            <w:tcW w:w="0" w:type="auto"/>
            <w:tcBorders>
              <w:left w:val="nil"/>
              <w:right w:val="nil"/>
            </w:tcBorders>
          </w:tcPr>
          <w:p w:rsidR="00BF57B6" w:rsidRPr="00B7085F" w:rsidRDefault="00BF57B6" w:rsidP="00AE2C28">
            <w:pPr>
              <w:ind w:left="142"/>
              <w:rPr>
                <w:rFonts w:ascii="Arial Narrow" w:hAnsi="Arial Narrow"/>
                <w:b/>
                <w:sz w:val="18"/>
                <w:szCs w:val="18"/>
              </w:rPr>
            </w:pPr>
          </w:p>
        </w:tc>
        <w:tc>
          <w:tcPr>
            <w:tcW w:w="0" w:type="auto"/>
            <w:tcBorders>
              <w:left w:val="nil"/>
              <w:right w:val="nil"/>
            </w:tcBorders>
          </w:tcPr>
          <w:p w:rsidR="00BF57B6" w:rsidRPr="00B7085F" w:rsidRDefault="00BF57B6" w:rsidP="00AE2C28">
            <w:pPr>
              <w:ind w:left="142"/>
              <w:rPr>
                <w:rFonts w:ascii="Arial Narrow" w:hAnsi="Arial Narrow"/>
                <w:b/>
                <w:sz w:val="18"/>
                <w:szCs w:val="18"/>
              </w:rPr>
            </w:pPr>
          </w:p>
        </w:tc>
        <w:tc>
          <w:tcPr>
            <w:tcW w:w="0" w:type="auto"/>
            <w:tcBorders>
              <w:left w:val="nil"/>
              <w:right w:val="nil"/>
            </w:tcBorders>
          </w:tcPr>
          <w:p w:rsidR="00BF57B6" w:rsidRPr="00B7085F" w:rsidRDefault="00BF57B6" w:rsidP="00AE2C28">
            <w:pPr>
              <w:ind w:left="142"/>
              <w:rPr>
                <w:rFonts w:ascii="Arial Narrow" w:hAnsi="Arial Narrow"/>
                <w:b/>
                <w:sz w:val="18"/>
                <w:szCs w:val="18"/>
              </w:rPr>
            </w:pPr>
          </w:p>
        </w:tc>
        <w:tc>
          <w:tcPr>
            <w:tcW w:w="0" w:type="auto"/>
            <w:tcBorders>
              <w:left w:val="nil"/>
              <w:right w:val="nil"/>
            </w:tcBorders>
          </w:tcPr>
          <w:p w:rsidR="00BF57B6" w:rsidRPr="00B7085F" w:rsidRDefault="00BF57B6" w:rsidP="00AE2C28">
            <w:pPr>
              <w:ind w:left="142"/>
              <w:rPr>
                <w:rFonts w:ascii="Arial Narrow" w:hAnsi="Arial Narrow"/>
                <w:b/>
                <w:sz w:val="18"/>
                <w:szCs w:val="18"/>
              </w:rPr>
            </w:pPr>
          </w:p>
        </w:tc>
        <w:tc>
          <w:tcPr>
            <w:tcW w:w="0" w:type="auto"/>
            <w:tcBorders>
              <w:left w:val="nil"/>
              <w:right w:val="nil"/>
            </w:tcBorders>
          </w:tcPr>
          <w:p w:rsidR="00BF57B6" w:rsidRPr="00B7085F" w:rsidRDefault="00BF57B6" w:rsidP="00AE2C28">
            <w:pPr>
              <w:ind w:left="142"/>
              <w:rPr>
                <w:rFonts w:ascii="Arial Narrow" w:hAnsi="Arial Narrow"/>
                <w:b/>
                <w:sz w:val="18"/>
                <w:szCs w:val="18"/>
              </w:rPr>
            </w:pPr>
          </w:p>
        </w:tc>
        <w:tc>
          <w:tcPr>
            <w:tcW w:w="0" w:type="auto"/>
            <w:tcBorders>
              <w:left w:val="nil"/>
            </w:tcBorders>
          </w:tcPr>
          <w:p w:rsidR="00BF57B6" w:rsidRPr="00B7085F" w:rsidRDefault="00BF57B6" w:rsidP="00AE2C28">
            <w:pPr>
              <w:ind w:left="142"/>
              <w:rPr>
                <w:rFonts w:ascii="Arial Narrow" w:hAnsi="Arial Narrow"/>
                <w:b/>
                <w:sz w:val="18"/>
                <w:szCs w:val="18"/>
              </w:rPr>
            </w:pPr>
          </w:p>
        </w:tc>
      </w:tr>
      <w:tr w:rsidR="00CA258D" w:rsidRPr="00014148" w:rsidTr="00197EE2">
        <w:tc>
          <w:tcPr>
            <w:tcW w:w="0" w:type="auto"/>
          </w:tcPr>
          <w:p w:rsidR="00CA258D" w:rsidRPr="00014148" w:rsidRDefault="00CA258D" w:rsidP="00AE2C28">
            <w:pPr>
              <w:ind w:left="142"/>
              <w:rPr>
                <w:rFonts w:ascii="Arial Narrow" w:hAnsi="Arial Narrow"/>
                <w:sz w:val="18"/>
                <w:szCs w:val="18"/>
              </w:rPr>
            </w:pPr>
            <w:r>
              <w:rPr>
                <w:rFonts w:ascii="Arial Narrow" w:hAnsi="Arial Narrow"/>
                <w:sz w:val="18"/>
                <w:szCs w:val="18"/>
              </w:rPr>
              <w:t>Doctor time</w:t>
            </w:r>
          </w:p>
        </w:tc>
        <w:tc>
          <w:tcPr>
            <w:tcW w:w="0" w:type="auto"/>
          </w:tcPr>
          <w:p w:rsidR="00CA258D" w:rsidRPr="00014148" w:rsidRDefault="00CA258D" w:rsidP="00CA258D">
            <w:pPr>
              <w:jc w:val="center"/>
              <w:rPr>
                <w:rFonts w:ascii="Arial Narrow" w:hAnsi="Arial Narrow"/>
                <w:i/>
                <w:sz w:val="18"/>
                <w:szCs w:val="18"/>
              </w:rPr>
            </w:pPr>
            <w:r w:rsidRPr="00014148">
              <w:rPr>
                <w:rFonts w:ascii="Arial Narrow" w:hAnsi="Arial Narrow"/>
                <w:i/>
                <w:sz w:val="18"/>
                <w:szCs w:val="18"/>
              </w:rPr>
              <w:t>$573</w:t>
            </w:r>
          </w:p>
        </w:tc>
        <w:tc>
          <w:tcPr>
            <w:tcW w:w="0" w:type="auto"/>
          </w:tcPr>
          <w:p w:rsidR="00CA258D" w:rsidRPr="00014148" w:rsidRDefault="00CA258D" w:rsidP="00CA258D">
            <w:pPr>
              <w:jc w:val="center"/>
              <w:rPr>
                <w:rFonts w:ascii="Arial Narrow" w:hAnsi="Arial Narrow"/>
                <w:i/>
                <w:sz w:val="18"/>
                <w:szCs w:val="18"/>
              </w:rPr>
            </w:pPr>
            <w:r w:rsidRPr="00014148">
              <w:rPr>
                <w:rFonts w:ascii="Arial Narrow" w:hAnsi="Arial Narrow"/>
                <w:i/>
                <w:sz w:val="18"/>
                <w:szCs w:val="18"/>
              </w:rPr>
              <w:t>$701</w:t>
            </w:r>
          </w:p>
        </w:tc>
        <w:tc>
          <w:tcPr>
            <w:tcW w:w="0" w:type="auto"/>
          </w:tcPr>
          <w:p w:rsidR="00CA258D" w:rsidRPr="00014148" w:rsidRDefault="00CA258D" w:rsidP="00CA258D">
            <w:pPr>
              <w:jc w:val="center"/>
              <w:rPr>
                <w:rFonts w:ascii="Arial Narrow" w:hAnsi="Arial Narrow"/>
                <w:sz w:val="18"/>
                <w:szCs w:val="18"/>
              </w:rPr>
            </w:pPr>
            <w:r w:rsidRPr="00014148">
              <w:rPr>
                <w:rFonts w:ascii="Arial Narrow" w:hAnsi="Arial Narrow"/>
                <w:sz w:val="18"/>
                <w:szCs w:val="18"/>
              </w:rPr>
              <w:t>$127</w:t>
            </w:r>
          </w:p>
        </w:tc>
        <w:tc>
          <w:tcPr>
            <w:tcW w:w="0" w:type="auto"/>
          </w:tcPr>
          <w:p w:rsidR="00CA258D" w:rsidRPr="00014148" w:rsidRDefault="00CA258D" w:rsidP="00CA258D">
            <w:pPr>
              <w:jc w:val="center"/>
              <w:rPr>
                <w:rFonts w:ascii="Arial Narrow" w:hAnsi="Arial Narrow"/>
                <w:i/>
                <w:sz w:val="18"/>
                <w:szCs w:val="18"/>
              </w:rPr>
            </w:pPr>
            <w:r w:rsidRPr="00014148">
              <w:rPr>
                <w:rFonts w:ascii="Arial Narrow" w:hAnsi="Arial Narrow"/>
                <w:i/>
                <w:sz w:val="18"/>
                <w:szCs w:val="18"/>
              </w:rPr>
              <w:t>$892</w:t>
            </w:r>
          </w:p>
        </w:tc>
        <w:tc>
          <w:tcPr>
            <w:tcW w:w="0" w:type="auto"/>
          </w:tcPr>
          <w:p w:rsidR="00CA258D" w:rsidRPr="00014148" w:rsidRDefault="00CA258D" w:rsidP="00CA258D">
            <w:pPr>
              <w:jc w:val="center"/>
              <w:rPr>
                <w:rFonts w:ascii="Arial Narrow" w:hAnsi="Arial Narrow"/>
                <w:i/>
                <w:sz w:val="18"/>
                <w:szCs w:val="18"/>
              </w:rPr>
            </w:pPr>
            <w:r w:rsidRPr="00014148">
              <w:rPr>
                <w:rFonts w:ascii="Arial Narrow" w:hAnsi="Arial Narrow"/>
                <w:i/>
                <w:sz w:val="18"/>
                <w:szCs w:val="18"/>
              </w:rPr>
              <w:t>$637</w:t>
            </w:r>
          </w:p>
        </w:tc>
        <w:tc>
          <w:tcPr>
            <w:tcW w:w="0" w:type="auto"/>
          </w:tcPr>
          <w:p w:rsidR="00CA258D" w:rsidRPr="00014148" w:rsidRDefault="00CA258D" w:rsidP="00CA258D">
            <w:pPr>
              <w:jc w:val="center"/>
              <w:rPr>
                <w:rFonts w:ascii="Arial Narrow" w:hAnsi="Arial Narrow"/>
                <w:sz w:val="18"/>
                <w:szCs w:val="18"/>
              </w:rPr>
            </w:pPr>
            <w:r w:rsidRPr="00014148">
              <w:rPr>
                <w:rFonts w:ascii="Arial Narrow" w:hAnsi="Arial Narrow"/>
                <w:sz w:val="18"/>
                <w:szCs w:val="18"/>
              </w:rPr>
              <w:t>$255</w:t>
            </w:r>
          </w:p>
        </w:tc>
      </w:tr>
      <w:tr w:rsidR="00CA258D" w:rsidRPr="00014148" w:rsidTr="00197EE2">
        <w:tc>
          <w:tcPr>
            <w:tcW w:w="0" w:type="auto"/>
          </w:tcPr>
          <w:p w:rsidR="00CA258D" w:rsidRPr="00014148" w:rsidRDefault="00CA258D" w:rsidP="00AE2C28">
            <w:pPr>
              <w:ind w:left="142"/>
              <w:rPr>
                <w:rFonts w:ascii="Arial Narrow" w:hAnsi="Arial Narrow"/>
                <w:sz w:val="18"/>
                <w:szCs w:val="18"/>
              </w:rPr>
            </w:pPr>
            <w:r>
              <w:rPr>
                <w:rFonts w:ascii="Arial Narrow" w:hAnsi="Arial Narrow"/>
                <w:sz w:val="18"/>
                <w:szCs w:val="18"/>
              </w:rPr>
              <w:t>RT time</w:t>
            </w:r>
          </w:p>
        </w:tc>
        <w:tc>
          <w:tcPr>
            <w:tcW w:w="0" w:type="auto"/>
          </w:tcPr>
          <w:p w:rsidR="00CA258D" w:rsidRPr="00014148" w:rsidRDefault="00CA258D" w:rsidP="00CA258D">
            <w:pPr>
              <w:jc w:val="center"/>
              <w:rPr>
                <w:rFonts w:ascii="Arial Narrow" w:hAnsi="Arial Narrow"/>
                <w:i/>
                <w:sz w:val="18"/>
                <w:szCs w:val="18"/>
              </w:rPr>
            </w:pPr>
            <w:r w:rsidRPr="00014148">
              <w:rPr>
                <w:rFonts w:ascii="Arial Narrow" w:hAnsi="Arial Narrow"/>
                <w:i/>
                <w:sz w:val="18"/>
                <w:szCs w:val="18"/>
              </w:rPr>
              <w:t>$1,389</w:t>
            </w:r>
          </w:p>
        </w:tc>
        <w:tc>
          <w:tcPr>
            <w:tcW w:w="0" w:type="auto"/>
          </w:tcPr>
          <w:p w:rsidR="00CA258D" w:rsidRPr="00014148" w:rsidRDefault="00CA258D" w:rsidP="00CA258D">
            <w:pPr>
              <w:jc w:val="center"/>
              <w:rPr>
                <w:rFonts w:ascii="Arial Narrow" w:hAnsi="Arial Narrow"/>
                <w:i/>
                <w:sz w:val="18"/>
                <w:szCs w:val="18"/>
              </w:rPr>
            </w:pPr>
            <w:r w:rsidRPr="00014148">
              <w:rPr>
                <w:rFonts w:ascii="Arial Narrow" w:hAnsi="Arial Narrow"/>
                <w:i/>
                <w:sz w:val="18"/>
                <w:szCs w:val="18"/>
              </w:rPr>
              <w:t>$1,941</w:t>
            </w:r>
          </w:p>
        </w:tc>
        <w:tc>
          <w:tcPr>
            <w:tcW w:w="0" w:type="auto"/>
          </w:tcPr>
          <w:p w:rsidR="00CA258D" w:rsidRPr="00014148" w:rsidRDefault="00CA258D" w:rsidP="00CA258D">
            <w:pPr>
              <w:jc w:val="center"/>
              <w:rPr>
                <w:rFonts w:ascii="Arial Narrow" w:hAnsi="Arial Narrow"/>
                <w:sz w:val="18"/>
                <w:szCs w:val="18"/>
              </w:rPr>
            </w:pPr>
            <w:r w:rsidRPr="00014148">
              <w:rPr>
                <w:rFonts w:ascii="Arial Narrow" w:hAnsi="Arial Narrow"/>
                <w:sz w:val="18"/>
                <w:szCs w:val="18"/>
              </w:rPr>
              <w:t>$551</w:t>
            </w:r>
          </w:p>
        </w:tc>
        <w:tc>
          <w:tcPr>
            <w:tcW w:w="0" w:type="auto"/>
          </w:tcPr>
          <w:p w:rsidR="00CA258D" w:rsidRPr="00014148" w:rsidRDefault="00CA258D" w:rsidP="00CA258D">
            <w:pPr>
              <w:jc w:val="center"/>
              <w:rPr>
                <w:rFonts w:ascii="Arial Narrow" w:hAnsi="Arial Narrow"/>
                <w:i/>
                <w:sz w:val="18"/>
                <w:szCs w:val="18"/>
              </w:rPr>
            </w:pPr>
            <w:r w:rsidRPr="00014148">
              <w:rPr>
                <w:rFonts w:ascii="Arial Narrow" w:hAnsi="Arial Narrow"/>
                <w:i/>
                <w:sz w:val="18"/>
                <w:szCs w:val="18"/>
              </w:rPr>
              <w:t>$1,759</w:t>
            </w:r>
          </w:p>
        </w:tc>
        <w:tc>
          <w:tcPr>
            <w:tcW w:w="0" w:type="auto"/>
          </w:tcPr>
          <w:p w:rsidR="00CA258D" w:rsidRPr="00014148" w:rsidRDefault="00CA258D" w:rsidP="00CA258D">
            <w:pPr>
              <w:jc w:val="center"/>
              <w:rPr>
                <w:rFonts w:ascii="Arial Narrow" w:hAnsi="Arial Narrow"/>
                <w:i/>
                <w:sz w:val="18"/>
                <w:szCs w:val="18"/>
              </w:rPr>
            </w:pPr>
            <w:r w:rsidRPr="00014148">
              <w:rPr>
                <w:rFonts w:ascii="Arial Narrow" w:hAnsi="Arial Narrow"/>
                <w:i/>
                <w:sz w:val="18"/>
                <w:szCs w:val="18"/>
              </w:rPr>
              <w:t>$2,603</w:t>
            </w:r>
          </w:p>
        </w:tc>
        <w:tc>
          <w:tcPr>
            <w:tcW w:w="0" w:type="auto"/>
          </w:tcPr>
          <w:p w:rsidR="00CA258D" w:rsidRPr="00014148" w:rsidRDefault="00CA258D" w:rsidP="00CA258D">
            <w:pPr>
              <w:jc w:val="center"/>
              <w:rPr>
                <w:rFonts w:ascii="Arial Narrow" w:hAnsi="Arial Narrow"/>
                <w:sz w:val="18"/>
                <w:szCs w:val="18"/>
              </w:rPr>
            </w:pPr>
            <w:r w:rsidRPr="00014148">
              <w:rPr>
                <w:rFonts w:ascii="Arial Narrow" w:hAnsi="Arial Narrow"/>
                <w:sz w:val="18"/>
                <w:szCs w:val="18"/>
              </w:rPr>
              <w:t>$845</w:t>
            </w:r>
          </w:p>
        </w:tc>
      </w:tr>
      <w:tr w:rsidR="00CA258D" w:rsidRPr="00014148" w:rsidTr="00197EE2">
        <w:tc>
          <w:tcPr>
            <w:tcW w:w="0" w:type="auto"/>
          </w:tcPr>
          <w:p w:rsidR="00CA258D" w:rsidRPr="00014148" w:rsidRDefault="00CA258D" w:rsidP="00AE2C28">
            <w:pPr>
              <w:ind w:left="142"/>
              <w:rPr>
                <w:rFonts w:ascii="Arial Narrow" w:hAnsi="Arial Narrow"/>
                <w:sz w:val="18"/>
                <w:szCs w:val="18"/>
              </w:rPr>
            </w:pPr>
            <w:r>
              <w:rPr>
                <w:rFonts w:ascii="Arial Narrow" w:hAnsi="Arial Narrow"/>
                <w:sz w:val="18"/>
                <w:szCs w:val="18"/>
              </w:rPr>
              <w:t>Physics time</w:t>
            </w:r>
          </w:p>
        </w:tc>
        <w:tc>
          <w:tcPr>
            <w:tcW w:w="0" w:type="auto"/>
          </w:tcPr>
          <w:p w:rsidR="00CA258D" w:rsidRPr="00014148" w:rsidRDefault="00CA258D" w:rsidP="00CA258D">
            <w:pPr>
              <w:jc w:val="center"/>
              <w:rPr>
                <w:rFonts w:ascii="Arial Narrow" w:hAnsi="Arial Narrow"/>
                <w:i/>
                <w:sz w:val="18"/>
                <w:szCs w:val="18"/>
              </w:rPr>
            </w:pPr>
            <w:r w:rsidRPr="00014148">
              <w:rPr>
                <w:rFonts w:ascii="Arial Narrow" w:hAnsi="Arial Narrow"/>
                <w:i/>
                <w:sz w:val="18"/>
                <w:szCs w:val="18"/>
              </w:rPr>
              <w:t>$15</w:t>
            </w:r>
          </w:p>
        </w:tc>
        <w:tc>
          <w:tcPr>
            <w:tcW w:w="0" w:type="auto"/>
          </w:tcPr>
          <w:p w:rsidR="00CA258D" w:rsidRPr="00014148" w:rsidRDefault="00CA258D" w:rsidP="00CA258D">
            <w:pPr>
              <w:jc w:val="center"/>
              <w:rPr>
                <w:rFonts w:ascii="Arial Narrow" w:hAnsi="Arial Narrow"/>
                <w:i/>
                <w:sz w:val="18"/>
                <w:szCs w:val="18"/>
              </w:rPr>
            </w:pPr>
            <w:r w:rsidRPr="00014148">
              <w:rPr>
                <w:rFonts w:ascii="Arial Narrow" w:hAnsi="Arial Narrow"/>
                <w:i/>
                <w:sz w:val="18"/>
                <w:szCs w:val="18"/>
              </w:rPr>
              <w:t>$91</w:t>
            </w:r>
          </w:p>
        </w:tc>
        <w:tc>
          <w:tcPr>
            <w:tcW w:w="0" w:type="auto"/>
          </w:tcPr>
          <w:p w:rsidR="00CA258D" w:rsidRPr="00014148" w:rsidRDefault="00CA258D" w:rsidP="00CA258D">
            <w:pPr>
              <w:jc w:val="center"/>
              <w:rPr>
                <w:rFonts w:ascii="Arial Narrow" w:hAnsi="Arial Narrow"/>
                <w:sz w:val="18"/>
                <w:szCs w:val="18"/>
              </w:rPr>
            </w:pPr>
            <w:r w:rsidRPr="00014148">
              <w:rPr>
                <w:rFonts w:ascii="Arial Narrow" w:hAnsi="Arial Narrow"/>
                <w:sz w:val="18"/>
                <w:szCs w:val="18"/>
              </w:rPr>
              <w:t>$76</w:t>
            </w:r>
          </w:p>
        </w:tc>
        <w:tc>
          <w:tcPr>
            <w:tcW w:w="0" w:type="auto"/>
          </w:tcPr>
          <w:p w:rsidR="00CA258D" w:rsidRPr="00014148" w:rsidRDefault="00CA258D" w:rsidP="00CA258D">
            <w:pPr>
              <w:jc w:val="center"/>
              <w:rPr>
                <w:rFonts w:ascii="Arial Narrow" w:hAnsi="Arial Narrow"/>
                <w:i/>
                <w:sz w:val="18"/>
                <w:szCs w:val="18"/>
              </w:rPr>
            </w:pPr>
            <w:r w:rsidRPr="00014148">
              <w:rPr>
                <w:rFonts w:ascii="Arial Narrow" w:hAnsi="Arial Narrow"/>
                <w:i/>
                <w:sz w:val="18"/>
                <w:szCs w:val="18"/>
              </w:rPr>
              <w:t>$15</w:t>
            </w:r>
          </w:p>
        </w:tc>
        <w:tc>
          <w:tcPr>
            <w:tcW w:w="0" w:type="auto"/>
          </w:tcPr>
          <w:p w:rsidR="00CA258D" w:rsidRPr="00014148" w:rsidRDefault="00CA258D" w:rsidP="00CA258D">
            <w:pPr>
              <w:jc w:val="center"/>
              <w:rPr>
                <w:rFonts w:ascii="Arial Narrow" w:hAnsi="Arial Narrow"/>
                <w:i/>
                <w:sz w:val="18"/>
                <w:szCs w:val="18"/>
              </w:rPr>
            </w:pPr>
            <w:r w:rsidRPr="00014148">
              <w:rPr>
                <w:rFonts w:ascii="Arial Narrow" w:hAnsi="Arial Narrow"/>
                <w:i/>
                <w:sz w:val="18"/>
                <w:szCs w:val="18"/>
              </w:rPr>
              <w:t>$91</w:t>
            </w:r>
          </w:p>
        </w:tc>
        <w:tc>
          <w:tcPr>
            <w:tcW w:w="0" w:type="auto"/>
          </w:tcPr>
          <w:p w:rsidR="00CA258D" w:rsidRPr="00014148" w:rsidRDefault="00CA258D" w:rsidP="00CA258D">
            <w:pPr>
              <w:jc w:val="center"/>
              <w:rPr>
                <w:rFonts w:ascii="Arial Narrow" w:hAnsi="Arial Narrow"/>
                <w:sz w:val="18"/>
                <w:szCs w:val="18"/>
              </w:rPr>
            </w:pPr>
            <w:r w:rsidRPr="00014148">
              <w:rPr>
                <w:rFonts w:ascii="Arial Narrow" w:hAnsi="Arial Narrow"/>
                <w:sz w:val="18"/>
                <w:szCs w:val="18"/>
              </w:rPr>
              <w:t>$76</w:t>
            </w:r>
          </w:p>
        </w:tc>
      </w:tr>
      <w:tr w:rsidR="00CA258D" w:rsidRPr="00014148" w:rsidTr="00BF57B6">
        <w:trPr>
          <w:trHeight w:val="373"/>
        </w:trPr>
        <w:tc>
          <w:tcPr>
            <w:tcW w:w="0" w:type="auto"/>
            <w:tcBorders>
              <w:bottom w:val="single" w:sz="4" w:space="0" w:color="auto"/>
            </w:tcBorders>
            <w:shd w:val="clear" w:color="auto" w:fill="BFBFBF" w:themeFill="background1" w:themeFillShade="BF"/>
          </w:tcPr>
          <w:p w:rsidR="00CA258D" w:rsidRPr="00014148" w:rsidRDefault="00CA258D" w:rsidP="00AE2C28">
            <w:pPr>
              <w:ind w:left="142"/>
              <w:rPr>
                <w:rFonts w:ascii="Arial Narrow" w:hAnsi="Arial Narrow"/>
                <w:b/>
                <w:sz w:val="18"/>
                <w:szCs w:val="18"/>
              </w:rPr>
            </w:pPr>
            <w:r>
              <w:rPr>
                <w:rFonts w:ascii="Arial Narrow" w:hAnsi="Arial Narrow"/>
                <w:b/>
                <w:sz w:val="18"/>
                <w:szCs w:val="18"/>
              </w:rPr>
              <w:t>Total per course (delivery)</w:t>
            </w:r>
          </w:p>
        </w:tc>
        <w:tc>
          <w:tcPr>
            <w:tcW w:w="0" w:type="auto"/>
            <w:tcBorders>
              <w:bottom w:val="single" w:sz="4" w:space="0" w:color="auto"/>
            </w:tcBorders>
            <w:shd w:val="clear" w:color="auto" w:fill="BFBFBF" w:themeFill="background1" w:themeFillShade="BF"/>
          </w:tcPr>
          <w:p w:rsidR="00CA258D" w:rsidRPr="00014148" w:rsidRDefault="00CA258D" w:rsidP="00CA258D">
            <w:pPr>
              <w:jc w:val="center"/>
              <w:rPr>
                <w:rFonts w:ascii="Arial Narrow" w:hAnsi="Arial Narrow"/>
                <w:b/>
                <w:i/>
                <w:sz w:val="18"/>
                <w:szCs w:val="18"/>
              </w:rPr>
            </w:pPr>
            <w:r w:rsidRPr="00014148">
              <w:rPr>
                <w:rFonts w:ascii="Arial Narrow" w:hAnsi="Arial Narrow"/>
                <w:b/>
                <w:i/>
                <w:sz w:val="18"/>
                <w:szCs w:val="18"/>
              </w:rPr>
              <w:t>$1,978</w:t>
            </w:r>
          </w:p>
        </w:tc>
        <w:tc>
          <w:tcPr>
            <w:tcW w:w="0" w:type="auto"/>
            <w:tcBorders>
              <w:bottom w:val="single" w:sz="4" w:space="0" w:color="auto"/>
            </w:tcBorders>
            <w:shd w:val="clear" w:color="auto" w:fill="BFBFBF" w:themeFill="background1" w:themeFillShade="BF"/>
          </w:tcPr>
          <w:p w:rsidR="00CA258D" w:rsidRPr="00014148" w:rsidRDefault="00CA258D" w:rsidP="00CA258D">
            <w:pPr>
              <w:jc w:val="center"/>
              <w:rPr>
                <w:rFonts w:ascii="Arial Narrow" w:hAnsi="Arial Narrow"/>
                <w:b/>
                <w:i/>
                <w:sz w:val="18"/>
                <w:szCs w:val="18"/>
              </w:rPr>
            </w:pPr>
            <w:r w:rsidRPr="00014148">
              <w:rPr>
                <w:rFonts w:ascii="Arial Narrow" w:hAnsi="Arial Narrow"/>
                <w:b/>
                <w:i/>
                <w:sz w:val="18"/>
                <w:szCs w:val="18"/>
              </w:rPr>
              <w:t>$2,733</w:t>
            </w:r>
          </w:p>
        </w:tc>
        <w:tc>
          <w:tcPr>
            <w:tcW w:w="0" w:type="auto"/>
            <w:tcBorders>
              <w:bottom w:val="single" w:sz="4" w:space="0" w:color="auto"/>
            </w:tcBorders>
            <w:shd w:val="clear" w:color="auto" w:fill="BFBFBF" w:themeFill="background1" w:themeFillShade="BF"/>
          </w:tcPr>
          <w:p w:rsidR="00CA258D" w:rsidRPr="00014148" w:rsidRDefault="00CA258D" w:rsidP="00CA258D">
            <w:pPr>
              <w:jc w:val="center"/>
              <w:rPr>
                <w:rFonts w:ascii="Arial Narrow" w:hAnsi="Arial Narrow"/>
                <w:b/>
                <w:sz w:val="18"/>
                <w:szCs w:val="18"/>
              </w:rPr>
            </w:pPr>
            <w:r w:rsidRPr="00014148">
              <w:rPr>
                <w:rFonts w:ascii="Arial Narrow" w:hAnsi="Arial Narrow"/>
                <w:b/>
                <w:sz w:val="18"/>
                <w:szCs w:val="18"/>
              </w:rPr>
              <w:t>$755</w:t>
            </w:r>
          </w:p>
        </w:tc>
        <w:tc>
          <w:tcPr>
            <w:tcW w:w="0" w:type="auto"/>
            <w:tcBorders>
              <w:bottom w:val="single" w:sz="4" w:space="0" w:color="auto"/>
            </w:tcBorders>
            <w:shd w:val="clear" w:color="auto" w:fill="BFBFBF" w:themeFill="background1" w:themeFillShade="BF"/>
          </w:tcPr>
          <w:p w:rsidR="00CA258D" w:rsidRPr="00014148" w:rsidRDefault="00CA258D" w:rsidP="00CA258D">
            <w:pPr>
              <w:jc w:val="center"/>
              <w:rPr>
                <w:rFonts w:ascii="Arial Narrow" w:hAnsi="Arial Narrow"/>
                <w:b/>
                <w:i/>
                <w:sz w:val="18"/>
                <w:szCs w:val="18"/>
              </w:rPr>
            </w:pPr>
            <w:r w:rsidRPr="00014148">
              <w:rPr>
                <w:rFonts w:ascii="Arial Narrow" w:hAnsi="Arial Narrow"/>
                <w:b/>
                <w:i/>
                <w:sz w:val="18"/>
                <w:szCs w:val="18"/>
              </w:rPr>
              <w:t>$2,411</w:t>
            </w:r>
          </w:p>
        </w:tc>
        <w:tc>
          <w:tcPr>
            <w:tcW w:w="0" w:type="auto"/>
            <w:tcBorders>
              <w:bottom w:val="single" w:sz="4" w:space="0" w:color="auto"/>
            </w:tcBorders>
            <w:shd w:val="clear" w:color="auto" w:fill="BFBFBF" w:themeFill="background1" w:themeFillShade="BF"/>
          </w:tcPr>
          <w:p w:rsidR="00CA258D" w:rsidRPr="00014148" w:rsidRDefault="00CA258D" w:rsidP="00CA258D">
            <w:pPr>
              <w:jc w:val="center"/>
              <w:rPr>
                <w:rFonts w:ascii="Arial Narrow" w:hAnsi="Arial Narrow"/>
                <w:b/>
                <w:i/>
                <w:sz w:val="18"/>
                <w:szCs w:val="18"/>
              </w:rPr>
            </w:pPr>
            <w:r w:rsidRPr="00014148">
              <w:rPr>
                <w:rFonts w:ascii="Arial Narrow" w:hAnsi="Arial Narrow"/>
                <w:b/>
                <w:i/>
                <w:sz w:val="18"/>
                <w:szCs w:val="18"/>
              </w:rPr>
              <w:t>$3,586</w:t>
            </w:r>
          </w:p>
        </w:tc>
        <w:tc>
          <w:tcPr>
            <w:tcW w:w="0" w:type="auto"/>
            <w:tcBorders>
              <w:bottom w:val="single" w:sz="4" w:space="0" w:color="auto"/>
            </w:tcBorders>
            <w:shd w:val="clear" w:color="auto" w:fill="BFBFBF" w:themeFill="background1" w:themeFillShade="BF"/>
          </w:tcPr>
          <w:p w:rsidR="00CA258D" w:rsidRPr="00014148" w:rsidRDefault="00CA258D" w:rsidP="00CA258D">
            <w:pPr>
              <w:jc w:val="center"/>
              <w:rPr>
                <w:rFonts w:ascii="Arial Narrow" w:hAnsi="Arial Narrow"/>
                <w:b/>
                <w:sz w:val="18"/>
                <w:szCs w:val="18"/>
              </w:rPr>
            </w:pPr>
            <w:r w:rsidRPr="00014148">
              <w:rPr>
                <w:rFonts w:ascii="Arial Narrow" w:hAnsi="Arial Narrow"/>
                <w:b/>
                <w:sz w:val="18"/>
                <w:szCs w:val="18"/>
              </w:rPr>
              <w:t>$1,176</w:t>
            </w:r>
          </w:p>
        </w:tc>
      </w:tr>
      <w:tr w:rsidR="00BF57B6" w:rsidRPr="00014148" w:rsidTr="00BF57B6">
        <w:tc>
          <w:tcPr>
            <w:tcW w:w="0" w:type="auto"/>
            <w:tcBorders>
              <w:right w:val="nil"/>
            </w:tcBorders>
            <w:shd w:val="clear" w:color="auto" w:fill="auto"/>
          </w:tcPr>
          <w:p w:rsidR="00BF57B6" w:rsidRPr="00B7085F" w:rsidRDefault="00BF57B6" w:rsidP="005F54C4">
            <w:pPr>
              <w:ind w:left="142"/>
              <w:rPr>
                <w:rFonts w:ascii="Arial Narrow" w:hAnsi="Arial Narrow"/>
                <w:b/>
                <w:sz w:val="18"/>
                <w:szCs w:val="18"/>
              </w:rPr>
            </w:pPr>
            <w:r>
              <w:rPr>
                <w:rFonts w:ascii="Arial Narrow" w:hAnsi="Arial Narrow"/>
                <w:b/>
                <w:sz w:val="18"/>
                <w:szCs w:val="18"/>
              </w:rPr>
              <w:t>Associated costs</w:t>
            </w:r>
          </w:p>
        </w:tc>
        <w:tc>
          <w:tcPr>
            <w:tcW w:w="0" w:type="auto"/>
            <w:tcBorders>
              <w:left w:val="nil"/>
              <w:right w:val="nil"/>
            </w:tcBorders>
            <w:shd w:val="clear" w:color="auto" w:fill="auto"/>
          </w:tcPr>
          <w:p w:rsidR="00BF57B6" w:rsidRPr="00B7085F" w:rsidRDefault="00BF57B6" w:rsidP="005F54C4">
            <w:pPr>
              <w:ind w:left="142"/>
              <w:rPr>
                <w:rFonts w:ascii="Arial Narrow" w:hAnsi="Arial Narrow"/>
                <w:b/>
                <w:sz w:val="18"/>
                <w:szCs w:val="18"/>
              </w:rPr>
            </w:pPr>
          </w:p>
        </w:tc>
        <w:tc>
          <w:tcPr>
            <w:tcW w:w="0" w:type="auto"/>
            <w:tcBorders>
              <w:left w:val="nil"/>
              <w:right w:val="nil"/>
            </w:tcBorders>
            <w:shd w:val="clear" w:color="auto" w:fill="auto"/>
          </w:tcPr>
          <w:p w:rsidR="00BF57B6" w:rsidRPr="00B7085F" w:rsidRDefault="00BF57B6" w:rsidP="005F54C4">
            <w:pPr>
              <w:ind w:left="142"/>
              <w:rPr>
                <w:rFonts w:ascii="Arial Narrow" w:hAnsi="Arial Narrow"/>
                <w:b/>
                <w:sz w:val="18"/>
                <w:szCs w:val="18"/>
              </w:rPr>
            </w:pPr>
          </w:p>
        </w:tc>
        <w:tc>
          <w:tcPr>
            <w:tcW w:w="0" w:type="auto"/>
            <w:tcBorders>
              <w:left w:val="nil"/>
              <w:right w:val="nil"/>
            </w:tcBorders>
            <w:shd w:val="clear" w:color="auto" w:fill="auto"/>
          </w:tcPr>
          <w:p w:rsidR="00BF57B6" w:rsidRPr="00B7085F" w:rsidRDefault="00BF57B6" w:rsidP="005F54C4">
            <w:pPr>
              <w:ind w:left="142"/>
              <w:rPr>
                <w:rFonts w:ascii="Arial Narrow" w:hAnsi="Arial Narrow"/>
                <w:b/>
                <w:sz w:val="18"/>
                <w:szCs w:val="18"/>
              </w:rPr>
            </w:pPr>
          </w:p>
        </w:tc>
        <w:tc>
          <w:tcPr>
            <w:tcW w:w="0" w:type="auto"/>
            <w:tcBorders>
              <w:left w:val="nil"/>
              <w:right w:val="nil"/>
            </w:tcBorders>
            <w:shd w:val="clear" w:color="auto" w:fill="auto"/>
          </w:tcPr>
          <w:p w:rsidR="00BF57B6" w:rsidRPr="00B7085F" w:rsidRDefault="00BF57B6" w:rsidP="005F54C4">
            <w:pPr>
              <w:ind w:left="142"/>
              <w:rPr>
                <w:rFonts w:ascii="Arial Narrow" w:hAnsi="Arial Narrow"/>
                <w:b/>
                <w:sz w:val="18"/>
                <w:szCs w:val="18"/>
              </w:rPr>
            </w:pPr>
          </w:p>
        </w:tc>
        <w:tc>
          <w:tcPr>
            <w:tcW w:w="0" w:type="auto"/>
            <w:tcBorders>
              <w:left w:val="nil"/>
              <w:right w:val="nil"/>
            </w:tcBorders>
            <w:shd w:val="clear" w:color="auto" w:fill="auto"/>
          </w:tcPr>
          <w:p w:rsidR="00BF57B6" w:rsidRPr="00B7085F" w:rsidRDefault="00BF57B6" w:rsidP="005F54C4">
            <w:pPr>
              <w:ind w:left="142"/>
              <w:rPr>
                <w:rFonts w:ascii="Arial Narrow" w:hAnsi="Arial Narrow"/>
                <w:b/>
                <w:sz w:val="18"/>
                <w:szCs w:val="18"/>
              </w:rPr>
            </w:pPr>
          </w:p>
        </w:tc>
        <w:tc>
          <w:tcPr>
            <w:tcW w:w="0" w:type="auto"/>
            <w:tcBorders>
              <w:left w:val="nil"/>
            </w:tcBorders>
            <w:shd w:val="clear" w:color="auto" w:fill="auto"/>
          </w:tcPr>
          <w:p w:rsidR="00BF57B6" w:rsidRPr="00B7085F" w:rsidRDefault="00BF57B6" w:rsidP="005F54C4">
            <w:pPr>
              <w:ind w:left="142"/>
              <w:rPr>
                <w:rFonts w:ascii="Arial Narrow" w:hAnsi="Arial Narrow"/>
                <w:b/>
                <w:sz w:val="18"/>
                <w:szCs w:val="18"/>
              </w:rPr>
            </w:pPr>
          </w:p>
        </w:tc>
      </w:tr>
      <w:tr w:rsidR="00CA258D" w:rsidRPr="00014148" w:rsidTr="00197EE2">
        <w:tc>
          <w:tcPr>
            <w:tcW w:w="0" w:type="auto"/>
            <w:shd w:val="clear" w:color="auto" w:fill="auto"/>
          </w:tcPr>
          <w:p w:rsidR="00CA258D" w:rsidRPr="00014148" w:rsidRDefault="00CA258D" w:rsidP="005F54C4">
            <w:pPr>
              <w:ind w:left="142"/>
              <w:rPr>
                <w:rFonts w:ascii="Arial Narrow" w:hAnsi="Arial Narrow"/>
                <w:sz w:val="18"/>
                <w:szCs w:val="18"/>
              </w:rPr>
            </w:pPr>
            <w:r>
              <w:rPr>
                <w:rFonts w:ascii="Arial Narrow" w:hAnsi="Arial Narrow"/>
                <w:sz w:val="18"/>
                <w:szCs w:val="18"/>
              </w:rPr>
              <w:t>Payroll tax</w:t>
            </w:r>
          </w:p>
        </w:tc>
        <w:tc>
          <w:tcPr>
            <w:tcW w:w="0" w:type="auto"/>
            <w:shd w:val="clear" w:color="auto" w:fill="auto"/>
          </w:tcPr>
          <w:p w:rsidR="00CA258D" w:rsidRPr="000B0E56" w:rsidRDefault="00CA258D" w:rsidP="00CA258D">
            <w:pPr>
              <w:jc w:val="center"/>
              <w:rPr>
                <w:rFonts w:ascii="Arial Narrow" w:hAnsi="Arial Narrow"/>
                <w:i/>
                <w:sz w:val="18"/>
                <w:szCs w:val="18"/>
              </w:rPr>
            </w:pPr>
            <w:r w:rsidRPr="000B0E56">
              <w:rPr>
                <w:rFonts w:ascii="Arial Narrow" w:hAnsi="Arial Narrow"/>
                <w:i/>
                <w:sz w:val="18"/>
                <w:szCs w:val="18"/>
              </w:rPr>
              <w:t>$99</w:t>
            </w:r>
          </w:p>
        </w:tc>
        <w:tc>
          <w:tcPr>
            <w:tcW w:w="0" w:type="auto"/>
            <w:shd w:val="clear" w:color="auto" w:fill="auto"/>
          </w:tcPr>
          <w:p w:rsidR="00CA258D" w:rsidRPr="000B0E56" w:rsidRDefault="00CA258D" w:rsidP="00CA258D">
            <w:pPr>
              <w:jc w:val="center"/>
              <w:rPr>
                <w:rFonts w:ascii="Arial Narrow" w:hAnsi="Arial Narrow"/>
                <w:i/>
                <w:sz w:val="18"/>
                <w:szCs w:val="18"/>
              </w:rPr>
            </w:pPr>
            <w:r w:rsidRPr="000B0E56">
              <w:rPr>
                <w:rFonts w:ascii="Arial Narrow" w:hAnsi="Arial Narrow"/>
                <w:i/>
                <w:sz w:val="18"/>
                <w:szCs w:val="18"/>
              </w:rPr>
              <w:t>$137</w:t>
            </w:r>
          </w:p>
        </w:tc>
        <w:tc>
          <w:tcPr>
            <w:tcW w:w="0" w:type="auto"/>
            <w:shd w:val="clear" w:color="auto" w:fill="auto"/>
          </w:tcPr>
          <w:p w:rsidR="00CA258D" w:rsidRPr="00014148" w:rsidRDefault="00CA258D" w:rsidP="00CA258D">
            <w:pPr>
              <w:jc w:val="center"/>
              <w:rPr>
                <w:rFonts w:ascii="Arial Narrow" w:hAnsi="Arial Narrow"/>
                <w:sz w:val="18"/>
                <w:szCs w:val="18"/>
              </w:rPr>
            </w:pPr>
            <w:r>
              <w:rPr>
                <w:rFonts w:ascii="Arial Narrow" w:hAnsi="Arial Narrow"/>
                <w:sz w:val="18"/>
                <w:szCs w:val="18"/>
              </w:rPr>
              <w:t>$38</w:t>
            </w:r>
          </w:p>
        </w:tc>
        <w:tc>
          <w:tcPr>
            <w:tcW w:w="0" w:type="auto"/>
            <w:shd w:val="clear" w:color="auto" w:fill="auto"/>
          </w:tcPr>
          <w:p w:rsidR="00CA258D" w:rsidRPr="000B0E56" w:rsidRDefault="00CA258D" w:rsidP="00CA258D">
            <w:pPr>
              <w:jc w:val="center"/>
              <w:rPr>
                <w:rFonts w:ascii="Arial Narrow" w:hAnsi="Arial Narrow"/>
                <w:i/>
                <w:sz w:val="18"/>
                <w:szCs w:val="18"/>
              </w:rPr>
            </w:pPr>
            <w:r w:rsidRPr="000B0E56">
              <w:rPr>
                <w:rFonts w:ascii="Arial Narrow" w:hAnsi="Arial Narrow"/>
                <w:i/>
                <w:sz w:val="18"/>
                <w:szCs w:val="18"/>
              </w:rPr>
              <w:t>$121</w:t>
            </w:r>
          </w:p>
        </w:tc>
        <w:tc>
          <w:tcPr>
            <w:tcW w:w="0" w:type="auto"/>
            <w:shd w:val="clear" w:color="auto" w:fill="auto"/>
          </w:tcPr>
          <w:p w:rsidR="00CA258D" w:rsidRPr="000B0E56" w:rsidRDefault="00CA258D" w:rsidP="00CA258D">
            <w:pPr>
              <w:jc w:val="center"/>
              <w:rPr>
                <w:rFonts w:ascii="Arial Narrow" w:hAnsi="Arial Narrow"/>
                <w:i/>
                <w:sz w:val="18"/>
                <w:szCs w:val="18"/>
              </w:rPr>
            </w:pPr>
            <w:r w:rsidRPr="000B0E56">
              <w:rPr>
                <w:rFonts w:ascii="Arial Narrow" w:hAnsi="Arial Narrow"/>
                <w:i/>
                <w:sz w:val="18"/>
                <w:szCs w:val="18"/>
              </w:rPr>
              <w:t>$179</w:t>
            </w:r>
          </w:p>
        </w:tc>
        <w:tc>
          <w:tcPr>
            <w:tcW w:w="0" w:type="auto"/>
            <w:shd w:val="clear" w:color="auto" w:fill="auto"/>
          </w:tcPr>
          <w:p w:rsidR="00CA258D" w:rsidRPr="00014148" w:rsidRDefault="00CA258D" w:rsidP="00CA258D">
            <w:pPr>
              <w:jc w:val="center"/>
              <w:rPr>
                <w:rFonts w:ascii="Arial Narrow" w:hAnsi="Arial Narrow"/>
                <w:sz w:val="18"/>
                <w:szCs w:val="18"/>
              </w:rPr>
            </w:pPr>
            <w:r>
              <w:rPr>
                <w:rFonts w:ascii="Arial Narrow" w:hAnsi="Arial Narrow"/>
                <w:sz w:val="18"/>
                <w:szCs w:val="18"/>
              </w:rPr>
              <w:t>$59</w:t>
            </w:r>
          </w:p>
        </w:tc>
      </w:tr>
      <w:tr w:rsidR="00CA258D" w:rsidRPr="00014148" w:rsidTr="00197EE2">
        <w:tc>
          <w:tcPr>
            <w:tcW w:w="0" w:type="auto"/>
            <w:shd w:val="clear" w:color="auto" w:fill="auto"/>
          </w:tcPr>
          <w:p w:rsidR="00CA258D" w:rsidRPr="00AC16F0" w:rsidRDefault="00CA258D" w:rsidP="005F54C4">
            <w:pPr>
              <w:ind w:left="142"/>
              <w:rPr>
                <w:rFonts w:ascii="Arial Narrow" w:hAnsi="Arial Narrow"/>
                <w:sz w:val="18"/>
                <w:szCs w:val="18"/>
                <w:vertAlign w:val="superscript"/>
              </w:rPr>
            </w:pPr>
            <w:r>
              <w:rPr>
                <w:rFonts w:ascii="Arial Narrow" w:hAnsi="Arial Narrow"/>
                <w:sz w:val="18"/>
                <w:szCs w:val="18"/>
              </w:rPr>
              <w:t xml:space="preserve">Equip &amp; </w:t>
            </w:r>
            <w:proofErr w:type="spellStart"/>
            <w:r>
              <w:rPr>
                <w:rFonts w:ascii="Arial Narrow" w:hAnsi="Arial Narrow"/>
                <w:sz w:val="18"/>
                <w:szCs w:val="18"/>
              </w:rPr>
              <w:t>maintenance</w:t>
            </w:r>
            <w:r>
              <w:rPr>
                <w:rFonts w:ascii="Arial Narrow" w:hAnsi="Arial Narrow"/>
                <w:sz w:val="18"/>
                <w:szCs w:val="18"/>
                <w:vertAlign w:val="superscript"/>
              </w:rPr>
              <w:t>a</w:t>
            </w:r>
            <w:proofErr w:type="spellEnd"/>
          </w:p>
        </w:tc>
        <w:tc>
          <w:tcPr>
            <w:tcW w:w="0" w:type="auto"/>
            <w:shd w:val="clear" w:color="auto" w:fill="auto"/>
          </w:tcPr>
          <w:p w:rsidR="00CA258D" w:rsidRPr="00366898" w:rsidRDefault="00CA258D" w:rsidP="00CA258D">
            <w:pPr>
              <w:jc w:val="center"/>
              <w:rPr>
                <w:rFonts w:ascii="Arial Narrow" w:hAnsi="Arial Narrow"/>
                <w:i/>
                <w:sz w:val="18"/>
                <w:szCs w:val="18"/>
              </w:rPr>
            </w:pPr>
            <w:r>
              <w:rPr>
                <w:rFonts w:ascii="Arial Narrow" w:hAnsi="Arial Narrow"/>
                <w:i/>
                <w:sz w:val="18"/>
                <w:szCs w:val="18"/>
              </w:rPr>
              <w:t>$906</w:t>
            </w:r>
          </w:p>
        </w:tc>
        <w:tc>
          <w:tcPr>
            <w:tcW w:w="0" w:type="auto"/>
            <w:shd w:val="clear" w:color="auto" w:fill="auto"/>
          </w:tcPr>
          <w:p w:rsidR="00CA258D" w:rsidRPr="00366898" w:rsidRDefault="00CA258D" w:rsidP="00CA258D">
            <w:pPr>
              <w:jc w:val="center"/>
              <w:rPr>
                <w:rFonts w:ascii="Arial Narrow" w:hAnsi="Arial Narrow"/>
                <w:i/>
                <w:sz w:val="18"/>
                <w:szCs w:val="18"/>
              </w:rPr>
            </w:pPr>
            <w:r>
              <w:rPr>
                <w:rFonts w:ascii="Arial Narrow" w:hAnsi="Arial Narrow"/>
                <w:i/>
                <w:sz w:val="18"/>
                <w:szCs w:val="18"/>
              </w:rPr>
              <w:t>$1,449</w:t>
            </w:r>
          </w:p>
        </w:tc>
        <w:tc>
          <w:tcPr>
            <w:tcW w:w="0" w:type="auto"/>
            <w:shd w:val="clear" w:color="auto" w:fill="auto"/>
          </w:tcPr>
          <w:p w:rsidR="00CA258D" w:rsidRPr="00014148" w:rsidRDefault="00CA258D" w:rsidP="00CA258D">
            <w:pPr>
              <w:jc w:val="center"/>
              <w:rPr>
                <w:rFonts w:ascii="Arial Narrow" w:hAnsi="Arial Narrow"/>
                <w:sz w:val="18"/>
                <w:szCs w:val="18"/>
              </w:rPr>
            </w:pPr>
            <w:r>
              <w:rPr>
                <w:rFonts w:ascii="Arial Narrow" w:hAnsi="Arial Narrow"/>
                <w:sz w:val="18"/>
                <w:szCs w:val="18"/>
              </w:rPr>
              <w:t>$543</w:t>
            </w:r>
          </w:p>
        </w:tc>
        <w:tc>
          <w:tcPr>
            <w:tcW w:w="0" w:type="auto"/>
            <w:shd w:val="clear" w:color="auto" w:fill="auto"/>
          </w:tcPr>
          <w:p w:rsidR="00CA258D" w:rsidRPr="00366898" w:rsidRDefault="00CA258D" w:rsidP="00CA258D">
            <w:pPr>
              <w:jc w:val="center"/>
              <w:rPr>
                <w:rFonts w:ascii="Arial Narrow" w:hAnsi="Arial Narrow"/>
                <w:i/>
                <w:sz w:val="18"/>
                <w:szCs w:val="18"/>
              </w:rPr>
            </w:pPr>
            <w:r>
              <w:rPr>
                <w:rFonts w:ascii="Arial Narrow" w:hAnsi="Arial Narrow"/>
                <w:i/>
                <w:sz w:val="18"/>
                <w:szCs w:val="18"/>
              </w:rPr>
              <w:t>$906</w:t>
            </w:r>
          </w:p>
        </w:tc>
        <w:tc>
          <w:tcPr>
            <w:tcW w:w="0" w:type="auto"/>
            <w:shd w:val="clear" w:color="auto" w:fill="auto"/>
          </w:tcPr>
          <w:p w:rsidR="00CA258D" w:rsidRPr="00366898" w:rsidRDefault="00CA258D" w:rsidP="00CA258D">
            <w:pPr>
              <w:jc w:val="center"/>
              <w:rPr>
                <w:rFonts w:ascii="Arial Narrow" w:hAnsi="Arial Narrow"/>
                <w:i/>
                <w:sz w:val="18"/>
                <w:szCs w:val="18"/>
              </w:rPr>
            </w:pPr>
            <w:r>
              <w:rPr>
                <w:rFonts w:ascii="Arial Narrow" w:hAnsi="Arial Narrow"/>
                <w:i/>
                <w:sz w:val="18"/>
                <w:szCs w:val="18"/>
              </w:rPr>
              <w:t>$1,449</w:t>
            </w:r>
          </w:p>
        </w:tc>
        <w:tc>
          <w:tcPr>
            <w:tcW w:w="0" w:type="auto"/>
            <w:shd w:val="clear" w:color="auto" w:fill="auto"/>
          </w:tcPr>
          <w:p w:rsidR="00CA258D" w:rsidRPr="00014148" w:rsidRDefault="00CA258D" w:rsidP="00CA258D">
            <w:pPr>
              <w:jc w:val="center"/>
              <w:rPr>
                <w:rFonts w:ascii="Arial Narrow" w:hAnsi="Arial Narrow"/>
                <w:sz w:val="18"/>
                <w:szCs w:val="18"/>
              </w:rPr>
            </w:pPr>
            <w:r>
              <w:rPr>
                <w:rFonts w:ascii="Arial Narrow" w:hAnsi="Arial Narrow"/>
                <w:sz w:val="18"/>
                <w:szCs w:val="18"/>
              </w:rPr>
              <w:t>$543</w:t>
            </w:r>
          </w:p>
        </w:tc>
      </w:tr>
      <w:tr w:rsidR="00CA258D" w:rsidRPr="00014148" w:rsidTr="00197EE2">
        <w:tc>
          <w:tcPr>
            <w:tcW w:w="0" w:type="auto"/>
          </w:tcPr>
          <w:p w:rsidR="00CA258D" w:rsidRDefault="00CA258D" w:rsidP="005F54C4">
            <w:pPr>
              <w:ind w:left="142"/>
              <w:rPr>
                <w:rFonts w:ascii="Arial Narrow" w:hAnsi="Arial Narrow"/>
                <w:sz w:val="18"/>
                <w:szCs w:val="18"/>
              </w:rPr>
            </w:pPr>
            <w:r>
              <w:rPr>
                <w:rFonts w:ascii="Arial Narrow" w:hAnsi="Arial Narrow"/>
                <w:sz w:val="18"/>
                <w:szCs w:val="18"/>
              </w:rPr>
              <w:t>Medial and Associated</w:t>
            </w:r>
          </w:p>
        </w:tc>
        <w:tc>
          <w:tcPr>
            <w:tcW w:w="0" w:type="auto"/>
          </w:tcPr>
          <w:p w:rsidR="00CA258D" w:rsidRPr="00366898" w:rsidRDefault="00CA258D" w:rsidP="00CA258D">
            <w:pPr>
              <w:jc w:val="center"/>
              <w:rPr>
                <w:rFonts w:ascii="Arial Narrow" w:hAnsi="Arial Narrow"/>
                <w:i/>
                <w:sz w:val="18"/>
                <w:szCs w:val="18"/>
              </w:rPr>
            </w:pPr>
            <w:r w:rsidRPr="00366898">
              <w:rPr>
                <w:rFonts w:ascii="Arial Narrow" w:hAnsi="Arial Narrow"/>
                <w:i/>
                <w:sz w:val="18"/>
                <w:szCs w:val="18"/>
              </w:rPr>
              <w:t>-</w:t>
            </w:r>
          </w:p>
        </w:tc>
        <w:tc>
          <w:tcPr>
            <w:tcW w:w="0" w:type="auto"/>
          </w:tcPr>
          <w:p w:rsidR="00CA258D" w:rsidRPr="00366898" w:rsidRDefault="00CA258D" w:rsidP="00CA258D">
            <w:pPr>
              <w:jc w:val="center"/>
              <w:rPr>
                <w:rFonts w:ascii="Arial Narrow" w:hAnsi="Arial Narrow"/>
                <w:i/>
                <w:sz w:val="18"/>
                <w:szCs w:val="18"/>
              </w:rPr>
            </w:pPr>
            <w:r w:rsidRPr="00366898">
              <w:rPr>
                <w:rFonts w:ascii="Arial Narrow" w:hAnsi="Arial Narrow"/>
                <w:i/>
                <w:sz w:val="18"/>
                <w:szCs w:val="18"/>
              </w:rPr>
              <w:t>-</w:t>
            </w:r>
          </w:p>
        </w:tc>
        <w:tc>
          <w:tcPr>
            <w:tcW w:w="0" w:type="auto"/>
          </w:tcPr>
          <w:p w:rsidR="00CA258D" w:rsidRPr="00014148" w:rsidRDefault="00CA258D" w:rsidP="00CA258D">
            <w:pPr>
              <w:jc w:val="center"/>
              <w:rPr>
                <w:rFonts w:ascii="Arial Narrow" w:hAnsi="Arial Narrow"/>
                <w:sz w:val="18"/>
                <w:szCs w:val="18"/>
              </w:rPr>
            </w:pPr>
            <w:r>
              <w:rPr>
                <w:rFonts w:ascii="Arial Narrow" w:hAnsi="Arial Narrow"/>
                <w:sz w:val="18"/>
                <w:szCs w:val="18"/>
              </w:rPr>
              <w:t>$0</w:t>
            </w:r>
          </w:p>
        </w:tc>
        <w:tc>
          <w:tcPr>
            <w:tcW w:w="0" w:type="auto"/>
          </w:tcPr>
          <w:p w:rsidR="00CA258D" w:rsidRPr="00366898" w:rsidRDefault="00CA258D" w:rsidP="00CA258D">
            <w:pPr>
              <w:jc w:val="center"/>
              <w:rPr>
                <w:rFonts w:ascii="Arial Narrow" w:hAnsi="Arial Narrow"/>
                <w:i/>
                <w:sz w:val="18"/>
                <w:szCs w:val="18"/>
              </w:rPr>
            </w:pPr>
            <w:r w:rsidRPr="00366898">
              <w:rPr>
                <w:rFonts w:ascii="Arial Narrow" w:hAnsi="Arial Narrow"/>
                <w:i/>
                <w:sz w:val="18"/>
                <w:szCs w:val="18"/>
              </w:rPr>
              <w:t>-</w:t>
            </w:r>
          </w:p>
        </w:tc>
        <w:tc>
          <w:tcPr>
            <w:tcW w:w="0" w:type="auto"/>
          </w:tcPr>
          <w:p w:rsidR="00CA258D" w:rsidRPr="00366898" w:rsidRDefault="00CA258D" w:rsidP="00CA258D">
            <w:pPr>
              <w:jc w:val="center"/>
              <w:rPr>
                <w:rFonts w:ascii="Arial Narrow" w:hAnsi="Arial Narrow"/>
                <w:i/>
                <w:sz w:val="18"/>
                <w:szCs w:val="18"/>
              </w:rPr>
            </w:pPr>
            <w:r w:rsidRPr="00366898">
              <w:rPr>
                <w:rFonts w:ascii="Arial Narrow" w:hAnsi="Arial Narrow"/>
                <w:i/>
                <w:sz w:val="18"/>
                <w:szCs w:val="18"/>
              </w:rPr>
              <w:t>-</w:t>
            </w:r>
          </w:p>
        </w:tc>
        <w:tc>
          <w:tcPr>
            <w:tcW w:w="0" w:type="auto"/>
          </w:tcPr>
          <w:p w:rsidR="00CA258D" w:rsidRPr="00014148" w:rsidRDefault="00CA258D" w:rsidP="00CA258D">
            <w:pPr>
              <w:jc w:val="center"/>
              <w:rPr>
                <w:rFonts w:ascii="Arial Narrow" w:hAnsi="Arial Narrow"/>
                <w:sz w:val="18"/>
                <w:szCs w:val="18"/>
              </w:rPr>
            </w:pPr>
            <w:r>
              <w:rPr>
                <w:rFonts w:ascii="Arial Narrow" w:hAnsi="Arial Narrow"/>
                <w:sz w:val="18"/>
                <w:szCs w:val="18"/>
              </w:rPr>
              <w:t>$0</w:t>
            </w:r>
          </w:p>
        </w:tc>
      </w:tr>
      <w:tr w:rsidR="00CA258D" w:rsidRPr="00014148" w:rsidTr="00197EE2">
        <w:tc>
          <w:tcPr>
            <w:tcW w:w="0" w:type="auto"/>
          </w:tcPr>
          <w:p w:rsidR="00CA258D" w:rsidRDefault="00CA258D" w:rsidP="005F54C4">
            <w:pPr>
              <w:ind w:left="142"/>
              <w:rPr>
                <w:rFonts w:ascii="Arial Narrow" w:hAnsi="Arial Narrow"/>
                <w:sz w:val="18"/>
                <w:szCs w:val="18"/>
              </w:rPr>
            </w:pPr>
            <w:r>
              <w:rPr>
                <w:rFonts w:ascii="Arial Narrow" w:hAnsi="Arial Narrow"/>
                <w:sz w:val="18"/>
                <w:szCs w:val="18"/>
              </w:rPr>
              <w:t>Floor space/bunker</w:t>
            </w:r>
          </w:p>
        </w:tc>
        <w:tc>
          <w:tcPr>
            <w:tcW w:w="0" w:type="auto"/>
          </w:tcPr>
          <w:p w:rsidR="00CA258D" w:rsidRPr="00366898" w:rsidRDefault="00CA258D" w:rsidP="00CA258D">
            <w:pPr>
              <w:jc w:val="center"/>
              <w:rPr>
                <w:rFonts w:ascii="Arial Narrow" w:hAnsi="Arial Narrow"/>
                <w:i/>
                <w:sz w:val="18"/>
                <w:szCs w:val="18"/>
              </w:rPr>
            </w:pPr>
            <w:r w:rsidRPr="00366898">
              <w:rPr>
                <w:rFonts w:ascii="Arial Narrow" w:hAnsi="Arial Narrow"/>
                <w:i/>
                <w:sz w:val="18"/>
                <w:szCs w:val="18"/>
              </w:rPr>
              <w:t>-</w:t>
            </w:r>
          </w:p>
        </w:tc>
        <w:tc>
          <w:tcPr>
            <w:tcW w:w="0" w:type="auto"/>
          </w:tcPr>
          <w:p w:rsidR="00CA258D" w:rsidRPr="00366898" w:rsidRDefault="00CA258D" w:rsidP="00CA258D">
            <w:pPr>
              <w:jc w:val="center"/>
              <w:rPr>
                <w:rFonts w:ascii="Arial Narrow" w:hAnsi="Arial Narrow"/>
                <w:i/>
                <w:sz w:val="18"/>
                <w:szCs w:val="18"/>
              </w:rPr>
            </w:pPr>
            <w:r w:rsidRPr="00366898">
              <w:rPr>
                <w:rFonts w:ascii="Arial Narrow" w:hAnsi="Arial Narrow"/>
                <w:i/>
                <w:sz w:val="18"/>
                <w:szCs w:val="18"/>
              </w:rPr>
              <w:t>-</w:t>
            </w:r>
          </w:p>
        </w:tc>
        <w:tc>
          <w:tcPr>
            <w:tcW w:w="0" w:type="auto"/>
          </w:tcPr>
          <w:p w:rsidR="00CA258D" w:rsidRPr="00014148" w:rsidRDefault="00CA258D" w:rsidP="00CA258D">
            <w:pPr>
              <w:jc w:val="center"/>
              <w:rPr>
                <w:rFonts w:ascii="Arial Narrow" w:hAnsi="Arial Narrow"/>
                <w:sz w:val="18"/>
                <w:szCs w:val="18"/>
              </w:rPr>
            </w:pPr>
            <w:r>
              <w:rPr>
                <w:rFonts w:ascii="Arial Narrow" w:hAnsi="Arial Narrow"/>
                <w:sz w:val="18"/>
                <w:szCs w:val="18"/>
              </w:rPr>
              <w:t>$0</w:t>
            </w:r>
          </w:p>
        </w:tc>
        <w:tc>
          <w:tcPr>
            <w:tcW w:w="0" w:type="auto"/>
          </w:tcPr>
          <w:p w:rsidR="00CA258D" w:rsidRPr="00366898" w:rsidRDefault="00CA258D" w:rsidP="00CA258D">
            <w:pPr>
              <w:jc w:val="center"/>
              <w:rPr>
                <w:rFonts w:ascii="Arial Narrow" w:hAnsi="Arial Narrow"/>
                <w:i/>
                <w:sz w:val="18"/>
                <w:szCs w:val="18"/>
              </w:rPr>
            </w:pPr>
            <w:r w:rsidRPr="00366898">
              <w:rPr>
                <w:rFonts w:ascii="Arial Narrow" w:hAnsi="Arial Narrow"/>
                <w:i/>
                <w:sz w:val="18"/>
                <w:szCs w:val="18"/>
              </w:rPr>
              <w:t>-</w:t>
            </w:r>
          </w:p>
        </w:tc>
        <w:tc>
          <w:tcPr>
            <w:tcW w:w="0" w:type="auto"/>
          </w:tcPr>
          <w:p w:rsidR="00CA258D" w:rsidRPr="00366898" w:rsidRDefault="00CA258D" w:rsidP="00CA258D">
            <w:pPr>
              <w:jc w:val="center"/>
              <w:rPr>
                <w:rFonts w:ascii="Arial Narrow" w:hAnsi="Arial Narrow"/>
                <w:i/>
                <w:sz w:val="18"/>
                <w:szCs w:val="18"/>
              </w:rPr>
            </w:pPr>
            <w:r w:rsidRPr="00366898">
              <w:rPr>
                <w:rFonts w:ascii="Arial Narrow" w:hAnsi="Arial Narrow"/>
                <w:i/>
                <w:sz w:val="18"/>
                <w:szCs w:val="18"/>
              </w:rPr>
              <w:t>-</w:t>
            </w:r>
          </w:p>
        </w:tc>
        <w:tc>
          <w:tcPr>
            <w:tcW w:w="0" w:type="auto"/>
          </w:tcPr>
          <w:p w:rsidR="00CA258D" w:rsidRPr="00014148" w:rsidRDefault="00CA258D" w:rsidP="00CA258D">
            <w:pPr>
              <w:jc w:val="center"/>
              <w:rPr>
                <w:rFonts w:ascii="Arial Narrow" w:hAnsi="Arial Narrow"/>
                <w:sz w:val="18"/>
                <w:szCs w:val="18"/>
              </w:rPr>
            </w:pPr>
            <w:r>
              <w:rPr>
                <w:rFonts w:ascii="Arial Narrow" w:hAnsi="Arial Narrow"/>
                <w:sz w:val="18"/>
                <w:szCs w:val="18"/>
              </w:rPr>
              <w:t>$0</w:t>
            </w:r>
          </w:p>
        </w:tc>
      </w:tr>
      <w:tr w:rsidR="00CA258D" w:rsidRPr="00014148" w:rsidTr="00197EE2">
        <w:tc>
          <w:tcPr>
            <w:tcW w:w="0" w:type="auto"/>
          </w:tcPr>
          <w:p w:rsidR="00CA258D" w:rsidRDefault="00CA258D" w:rsidP="005F54C4">
            <w:pPr>
              <w:ind w:left="142"/>
              <w:rPr>
                <w:rFonts w:ascii="Arial Narrow" w:hAnsi="Arial Narrow"/>
                <w:sz w:val="18"/>
                <w:szCs w:val="18"/>
              </w:rPr>
            </w:pPr>
            <w:r>
              <w:rPr>
                <w:rFonts w:ascii="Arial Narrow" w:hAnsi="Arial Narrow"/>
                <w:sz w:val="18"/>
                <w:szCs w:val="18"/>
              </w:rPr>
              <w:t xml:space="preserve">Rent </w:t>
            </w:r>
          </w:p>
        </w:tc>
        <w:tc>
          <w:tcPr>
            <w:tcW w:w="0" w:type="auto"/>
          </w:tcPr>
          <w:p w:rsidR="00CA258D" w:rsidRPr="00366898" w:rsidRDefault="00CA258D" w:rsidP="00CA258D">
            <w:pPr>
              <w:jc w:val="center"/>
              <w:rPr>
                <w:rFonts w:ascii="Arial Narrow" w:hAnsi="Arial Narrow"/>
                <w:i/>
                <w:sz w:val="18"/>
                <w:szCs w:val="18"/>
              </w:rPr>
            </w:pPr>
            <w:r w:rsidRPr="00366898">
              <w:rPr>
                <w:rFonts w:ascii="Arial Narrow" w:hAnsi="Arial Narrow"/>
                <w:i/>
                <w:sz w:val="18"/>
                <w:szCs w:val="18"/>
              </w:rPr>
              <w:t>-</w:t>
            </w:r>
          </w:p>
        </w:tc>
        <w:tc>
          <w:tcPr>
            <w:tcW w:w="0" w:type="auto"/>
          </w:tcPr>
          <w:p w:rsidR="00CA258D" w:rsidRPr="00366898" w:rsidRDefault="00CA258D" w:rsidP="00CA258D">
            <w:pPr>
              <w:jc w:val="center"/>
              <w:rPr>
                <w:rFonts w:ascii="Arial Narrow" w:hAnsi="Arial Narrow"/>
                <w:i/>
                <w:sz w:val="18"/>
                <w:szCs w:val="18"/>
              </w:rPr>
            </w:pPr>
            <w:r w:rsidRPr="00366898">
              <w:rPr>
                <w:rFonts w:ascii="Arial Narrow" w:hAnsi="Arial Narrow"/>
                <w:i/>
                <w:sz w:val="18"/>
                <w:szCs w:val="18"/>
              </w:rPr>
              <w:t>-</w:t>
            </w:r>
          </w:p>
        </w:tc>
        <w:tc>
          <w:tcPr>
            <w:tcW w:w="0" w:type="auto"/>
          </w:tcPr>
          <w:p w:rsidR="00CA258D" w:rsidRPr="00014148" w:rsidRDefault="00CA258D" w:rsidP="00CA258D">
            <w:pPr>
              <w:jc w:val="center"/>
              <w:rPr>
                <w:rFonts w:ascii="Arial Narrow" w:hAnsi="Arial Narrow"/>
                <w:sz w:val="18"/>
                <w:szCs w:val="18"/>
              </w:rPr>
            </w:pPr>
            <w:r>
              <w:rPr>
                <w:rFonts w:ascii="Arial Narrow" w:hAnsi="Arial Narrow"/>
                <w:sz w:val="18"/>
                <w:szCs w:val="18"/>
              </w:rPr>
              <w:t>$0</w:t>
            </w:r>
          </w:p>
        </w:tc>
        <w:tc>
          <w:tcPr>
            <w:tcW w:w="0" w:type="auto"/>
          </w:tcPr>
          <w:p w:rsidR="00CA258D" w:rsidRPr="00366898" w:rsidRDefault="00CA258D" w:rsidP="00CA258D">
            <w:pPr>
              <w:jc w:val="center"/>
              <w:rPr>
                <w:rFonts w:ascii="Arial Narrow" w:hAnsi="Arial Narrow"/>
                <w:i/>
                <w:sz w:val="18"/>
                <w:szCs w:val="18"/>
              </w:rPr>
            </w:pPr>
            <w:r w:rsidRPr="00366898">
              <w:rPr>
                <w:rFonts w:ascii="Arial Narrow" w:hAnsi="Arial Narrow"/>
                <w:i/>
                <w:sz w:val="18"/>
                <w:szCs w:val="18"/>
              </w:rPr>
              <w:t>-</w:t>
            </w:r>
          </w:p>
        </w:tc>
        <w:tc>
          <w:tcPr>
            <w:tcW w:w="0" w:type="auto"/>
          </w:tcPr>
          <w:p w:rsidR="00CA258D" w:rsidRPr="00366898" w:rsidRDefault="00CA258D" w:rsidP="00CA258D">
            <w:pPr>
              <w:jc w:val="center"/>
              <w:rPr>
                <w:rFonts w:ascii="Arial Narrow" w:hAnsi="Arial Narrow"/>
                <w:i/>
                <w:sz w:val="18"/>
                <w:szCs w:val="18"/>
              </w:rPr>
            </w:pPr>
            <w:r w:rsidRPr="00366898">
              <w:rPr>
                <w:rFonts w:ascii="Arial Narrow" w:hAnsi="Arial Narrow"/>
                <w:i/>
                <w:sz w:val="18"/>
                <w:szCs w:val="18"/>
              </w:rPr>
              <w:t>-</w:t>
            </w:r>
          </w:p>
        </w:tc>
        <w:tc>
          <w:tcPr>
            <w:tcW w:w="0" w:type="auto"/>
          </w:tcPr>
          <w:p w:rsidR="00CA258D" w:rsidRPr="00014148" w:rsidRDefault="00CA258D" w:rsidP="00CA258D">
            <w:pPr>
              <w:jc w:val="center"/>
              <w:rPr>
                <w:rFonts w:ascii="Arial Narrow" w:hAnsi="Arial Narrow"/>
                <w:sz w:val="18"/>
                <w:szCs w:val="18"/>
              </w:rPr>
            </w:pPr>
            <w:r>
              <w:rPr>
                <w:rFonts w:ascii="Arial Narrow" w:hAnsi="Arial Narrow"/>
                <w:sz w:val="18"/>
                <w:szCs w:val="18"/>
              </w:rPr>
              <w:t>$0</w:t>
            </w:r>
          </w:p>
        </w:tc>
      </w:tr>
      <w:tr w:rsidR="00CA258D" w:rsidRPr="00014148" w:rsidTr="00197EE2">
        <w:tc>
          <w:tcPr>
            <w:tcW w:w="0" w:type="auto"/>
          </w:tcPr>
          <w:p w:rsidR="00CA258D" w:rsidRDefault="00CA258D" w:rsidP="005F54C4">
            <w:pPr>
              <w:ind w:left="142"/>
              <w:rPr>
                <w:rFonts w:ascii="Arial Narrow" w:hAnsi="Arial Narrow"/>
                <w:sz w:val="18"/>
                <w:szCs w:val="18"/>
              </w:rPr>
            </w:pPr>
            <w:r>
              <w:rPr>
                <w:rFonts w:ascii="Arial Narrow" w:hAnsi="Arial Narrow"/>
                <w:sz w:val="18"/>
                <w:szCs w:val="18"/>
              </w:rPr>
              <w:t>Outgoings</w:t>
            </w:r>
          </w:p>
        </w:tc>
        <w:tc>
          <w:tcPr>
            <w:tcW w:w="0" w:type="auto"/>
          </w:tcPr>
          <w:p w:rsidR="00CA258D" w:rsidRPr="00366898" w:rsidRDefault="00CA258D" w:rsidP="00CA258D">
            <w:pPr>
              <w:jc w:val="center"/>
              <w:rPr>
                <w:rFonts w:ascii="Arial Narrow" w:hAnsi="Arial Narrow"/>
                <w:i/>
                <w:sz w:val="18"/>
                <w:szCs w:val="18"/>
              </w:rPr>
            </w:pPr>
            <w:r w:rsidRPr="00366898">
              <w:rPr>
                <w:rFonts w:ascii="Arial Narrow" w:hAnsi="Arial Narrow"/>
                <w:i/>
                <w:sz w:val="18"/>
                <w:szCs w:val="18"/>
              </w:rPr>
              <w:t>-</w:t>
            </w:r>
          </w:p>
        </w:tc>
        <w:tc>
          <w:tcPr>
            <w:tcW w:w="0" w:type="auto"/>
          </w:tcPr>
          <w:p w:rsidR="00CA258D" w:rsidRPr="00366898" w:rsidRDefault="00CA258D" w:rsidP="00CA258D">
            <w:pPr>
              <w:jc w:val="center"/>
              <w:rPr>
                <w:rFonts w:ascii="Arial Narrow" w:hAnsi="Arial Narrow"/>
                <w:i/>
                <w:sz w:val="18"/>
                <w:szCs w:val="18"/>
              </w:rPr>
            </w:pPr>
            <w:r w:rsidRPr="00366898">
              <w:rPr>
                <w:rFonts w:ascii="Arial Narrow" w:hAnsi="Arial Narrow"/>
                <w:i/>
                <w:sz w:val="18"/>
                <w:szCs w:val="18"/>
              </w:rPr>
              <w:t>-</w:t>
            </w:r>
          </w:p>
        </w:tc>
        <w:tc>
          <w:tcPr>
            <w:tcW w:w="0" w:type="auto"/>
          </w:tcPr>
          <w:p w:rsidR="00CA258D" w:rsidRPr="00014148" w:rsidRDefault="00CA258D" w:rsidP="00CA258D">
            <w:pPr>
              <w:jc w:val="center"/>
              <w:rPr>
                <w:rFonts w:ascii="Arial Narrow" w:hAnsi="Arial Narrow"/>
                <w:sz w:val="18"/>
                <w:szCs w:val="18"/>
              </w:rPr>
            </w:pPr>
            <w:r>
              <w:rPr>
                <w:rFonts w:ascii="Arial Narrow" w:hAnsi="Arial Narrow"/>
                <w:sz w:val="18"/>
                <w:szCs w:val="18"/>
              </w:rPr>
              <w:t>$0</w:t>
            </w:r>
          </w:p>
        </w:tc>
        <w:tc>
          <w:tcPr>
            <w:tcW w:w="0" w:type="auto"/>
          </w:tcPr>
          <w:p w:rsidR="00CA258D" w:rsidRPr="00366898" w:rsidRDefault="00CA258D" w:rsidP="00CA258D">
            <w:pPr>
              <w:jc w:val="center"/>
              <w:rPr>
                <w:rFonts w:ascii="Arial Narrow" w:hAnsi="Arial Narrow"/>
                <w:i/>
                <w:sz w:val="18"/>
                <w:szCs w:val="18"/>
              </w:rPr>
            </w:pPr>
            <w:r w:rsidRPr="00366898">
              <w:rPr>
                <w:rFonts w:ascii="Arial Narrow" w:hAnsi="Arial Narrow"/>
                <w:i/>
                <w:sz w:val="18"/>
                <w:szCs w:val="18"/>
              </w:rPr>
              <w:t>-</w:t>
            </w:r>
          </w:p>
        </w:tc>
        <w:tc>
          <w:tcPr>
            <w:tcW w:w="0" w:type="auto"/>
          </w:tcPr>
          <w:p w:rsidR="00CA258D" w:rsidRPr="00366898" w:rsidRDefault="00CA258D" w:rsidP="00CA258D">
            <w:pPr>
              <w:jc w:val="center"/>
              <w:rPr>
                <w:rFonts w:ascii="Arial Narrow" w:hAnsi="Arial Narrow"/>
                <w:i/>
                <w:sz w:val="18"/>
                <w:szCs w:val="18"/>
              </w:rPr>
            </w:pPr>
            <w:r w:rsidRPr="00366898">
              <w:rPr>
                <w:rFonts w:ascii="Arial Narrow" w:hAnsi="Arial Narrow"/>
                <w:i/>
                <w:sz w:val="18"/>
                <w:szCs w:val="18"/>
              </w:rPr>
              <w:t>-</w:t>
            </w:r>
          </w:p>
        </w:tc>
        <w:tc>
          <w:tcPr>
            <w:tcW w:w="0" w:type="auto"/>
          </w:tcPr>
          <w:p w:rsidR="00CA258D" w:rsidRPr="00014148" w:rsidRDefault="00CA258D" w:rsidP="00CA258D">
            <w:pPr>
              <w:jc w:val="center"/>
              <w:rPr>
                <w:rFonts w:ascii="Arial Narrow" w:hAnsi="Arial Narrow"/>
                <w:sz w:val="18"/>
                <w:szCs w:val="18"/>
              </w:rPr>
            </w:pPr>
            <w:r>
              <w:rPr>
                <w:rFonts w:ascii="Arial Narrow" w:hAnsi="Arial Narrow"/>
                <w:sz w:val="18"/>
                <w:szCs w:val="18"/>
              </w:rPr>
              <w:t>$0</w:t>
            </w:r>
          </w:p>
        </w:tc>
      </w:tr>
      <w:tr w:rsidR="00CA258D" w:rsidRPr="00014148" w:rsidTr="00197EE2">
        <w:tc>
          <w:tcPr>
            <w:tcW w:w="0" w:type="auto"/>
          </w:tcPr>
          <w:p w:rsidR="00CA258D" w:rsidRPr="00C05660" w:rsidRDefault="00CA258D" w:rsidP="005F54C4">
            <w:pPr>
              <w:ind w:left="142"/>
              <w:rPr>
                <w:rFonts w:ascii="Arial Narrow" w:hAnsi="Arial Narrow"/>
                <w:sz w:val="18"/>
                <w:szCs w:val="18"/>
                <w:vertAlign w:val="superscript"/>
              </w:rPr>
            </w:pPr>
            <w:proofErr w:type="spellStart"/>
            <w:r>
              <w:rPr>
                <w:rFonts w:ascii="Arial Narrow" w:hAnsi="Arial Narrow"/>
                <w:sz w:val="18"/>
                <w:szCs w:val="18"/>
              </w:rPr>
              <w:t>Utilities</w:t>
            </w:r>
            <w:r>
              <w:rPr>
                <w:rFonts w:ascii="Arial Narrow" w:hAnsi="Arial Narrow"/>
                <w:sz w:val="18"/>
                <w:szCs w:val="18"/>
                <w:vertAlign w:val="superscript"/>
              </w:rPr>
              <w:t>b</w:t>
            </w:r>
            <w:proofErr w:type="spellEnd"/>
          </w:p>
        </w:tc>
        <w:tc>
          <w:tcPr>
            <w:tcW w:w="0" w:type="auto"/>
          </w:tcPr>
          <w:p w:rsidR="00CA258D" w:rsidRPr="00366898" w:rsidRDefault="00CA258D" w:rsidP="00CA258D">
            <w:pPr>
              <w:jc w:val="center"/>
              <w:rPr>
                <w:rFonts w:ascii="Arial Narrow" w:hAnsi="Arial Narrow"/>
                <w:i/>
                <w:sz w:val="18"/>
                <w:szCs w:val="18"/>
              </w:rPr>
            </w:pPr>
            <w:r>
              <w:rPr>
                <w:rFonts w:ascii="Arial Narrow" w:hAnsi="Arial Narrow"/>
                <w:i/>
                <w:sz w:val="18"/>
                <w:szCs w:val="18"/>
              </w:rPr>
              <w:t>NR</w:t>
            </w:r>
          </w:p>
        </w:tc>
        <w:tc>
          <w:tcPr>
            <w:tcW w:w="0" w:type="auto"/>
          </w:tcPr>
          <w:p w:rsidR="00CA258D" w:rsidRPr="00366898" w:rsidRDefault="00CA258D" w:rsidP="00CA258D">
            <w:pPr>
              <w:jc w:val="center"/>
              <w:rPr>
                <w:rFonts w:ascii="Arial Narrow" w:hAnsi="Arial Narrow"/>
                <w:i/>
                <w:sz w:val="18"/>
                <w:szCs w:val="18"/>
              </w:rPr>
            </w:pPr>
            <w:r>
              <w:rPr>
                <w:rFonts w:ascii="Arial Narrow" w:hAnsi="Arial Narrow"/>
                <w:i/>
                <w:sz w:val="18"/>
                <w:szCs w:val="18"/>
              </w:rPr>
              <w:t>NR</w:t>
            </w:r>
          </w:p>
        </w:tc>
        <w:tc>
          <w:tcPr>
            <w:tcW w:w="0" w:type="auto"/>
          </w:tcPr>
          <w:p w:rsidR="00CA258D" w:rsidRPr="00014148" w:rsidRDefault="00CA258D" w:rsidP="00CA258D">
            <w:pPr>
              <w:jc w:val="center"/>
              <w:rPr>
                <w:rFonts w:ascii="Arial Narrow" w:hAnsi="Arial Narrow"/>
                <w:sz w:val="18"/>
                <w:szCs w:val="18"/>
              </w:rPr>
            </w:pPr>
            <w:r>
              <w:rPr>
                <w:rFonts w:ascii="Arial Narrow" w:hAnsi="Arial Narrow"/>
                <w:sz w:val="18"/>
                <w:szCs w:val="18"/>
              </w:rPr>
              <w:t>$28</w:t>
            </w:r>
          </w:p>
        </w:tc>
        <w:tc>
          <w:tcPr>
            <w:tcW w:w="0" w:type="auto"/>
          </w:tcPr>
          <w:p w:rsidR="00CA258D" w:rsidRPr="00366898" w:rsidRDefault="00CA258D" w:rsidP="00CA258D">
            <w:pPr>
              <w:jc w:val="center"/>
              <w:rPr>
                <w:rFonts w:ascii="Arial Narrow" w:hAnsi="Arial Narrow"/>
                <w:i/>
                <w:sz w:val="18"/>
                <w:szCs w:val="18"/>
              </w:rPr>
            </w:pPr>
            <w:r>
              <w:rPr>
                <w:rFonts w:ascii="Arial Narrow" w:hAnsi="Arial Narrow"/>
                <w:i/>
                <w:sz w:val="18"/>
                <w:szCs w:val="18"/>
              </w:rPr>
              <w:t>NR</w:t>
            </w:r>
          </w:p>
        </w:tc>
        <w:tc>
          <w:tcPr>
            <w:tcW w:w="0" w:type="auto"/>
          </w:tcPr>
          <w:p w:rsidR="00CA258D" w:rsidRPr="00366898" w:rsidRDefault="00CA258D" w:rsidP="00CA258D">
            <w:pPr>
              <w:jc w:val="center"/>
              <w:rPr>
                <w:rFonts w:ascii="Arial Narrow" w:hAnsi="Arial Narrow"/>
                <w:i/>
                <w:sz w:val="18"/>
                <w:szCs w:val="18"/>
              </w:rPr>
            </w:pPr>
            <w:r>
              <w:rPr>
                <w:rFonts w:ascii="Arial Narrow" w:hAnsi="Arial Narrow"/>
                <w:i/>
                <w:sz w:val="18"/>
                <w:szCs w:val="18"/>
              </w:rPr>
              <w:t>NR</w:t>
            </w:r>
          </w:p>
        </w:tc>
        <w:tc>
          <w:tcPr>
            <w:tcW w:w="0" w:type="auto"/>
          </w:tcPr>
          <w:p w:rsidR="00CA258D" w:rsidRPr="00014148" w:rsidRDefault="00CA258D" w:rsidP="00CA258D">
            <w:pPr>
              <w:jc w:val="center"/>
              <w:rPr>
                <w:rFonts w:ascii="Arial Narrow" w:hAnsi="Arial Narrow"/>
                <w:sz w:val="18"/>
                <w:szCs w:val="18"/>
              </w:rPr>
            </w:pPr>
            <w:r>
              <w:rPr>
                <w:rFonts w:ascii="Arial Narrow" w:hAnsi="Arial Narrow"/>
                <w:sz w:val="18"/>
                <w:szCs w:val="18"/>
              </w:rPr>
              <w:t>$36</w:t>
            </w:r>
          </w:p>
        </w:tc>
      </w:tr>
      <w:tr w:rsidR="00CA258D" w:rsidRPr="00014148" w:rsidTr="00197EE2">
        <w:tc>
          <w:tcPr>
            <w:tcW w:w="0" w:type="auto"/>
          </w:tcPr>
          <w:p w:rsidR="00CA258D" w:rsidRPr="00C05660" w:rsidRDefault="00CA258D" w:rsidP="005F54C4">
            <w:pPr>
              <w:ind w:left="142"/>
              <w:rPr>
                <w:rFonts w:ascii="Arial Narrow" w:hAnsi="Arial Narrow"/>
                <w:sz w:val="18"/>
                <w:szCs w:val="18"/>
                <w:vertAlign w:val="superscript"/>
              </w:rPr>
            </w:pPr>
            <w:proofErr w:type="spellStart"/>
            <w:r>
              <w:rPr>
                <w:rFonts w:ascii="Arial Narrow" w:hAnsi="Arial Narrow"/>
                <w:sz w:val="18"/>
                <w:szCs w:val="18"/>
              </w:rPr>
              <w:t>Communications</w:t>
            </w:r>
            <w:r>
              <w:rPr>
                <w:rFonts w:ascii="Arial Narrow" w:hAnsi="Arial Narrow"/>
                <w:sz w:val="18"/>
                <w:szCs w:val="18"/>
                <w:vertAlign w:val="superscript"/>
              </w:rPr>
              <w:t>c</w:t>
            </w:r>
            <w:proofErr w:type="spellEnd"/>
          </w:p>
        </w:tc>
        <w:tc>
          <w:tcPr>
            <w:tcW w:w="0" w:type="auto"/>
          </w:tcPr>
          <w:p w:rsidR="00CA258D" w:rsidRPr="00366898" w:rsidRDefault="00CA258D" w:rsidP="00CA258D">
            <w:pPr>
              <w:jc w:val="center"/>
              <w:rPr>
                <w:rFonts w:ascii="Arial Narrow" w:hAnsi="Arial Narrow"/>
                <w:i/>
                <w:sz w:val="18"/>
                <w:szCs w:val="18"/>
              </w:rPr>
            </w:pPr>
            <w:r>
              <w:rPr>
                <w:rFonts w:ascii="Arial Narrow" w:hAnsi="Arial Narrow"/>
                <w:i/>
                <w:sz w:val="18"/>
                <w:szCs w:val="18"/>
              </w:rPr>
              <w:t>NR</w:t>
            </w:r>
          </w:p>
        </w:tc>
        <w:tc>
          <w:tcPr>
            <w:tcW w:w="0" w:type="auto"/>
          </w:tcPr>
          <w:p w:rsidR="00CA258D" w:rsidRPr="00366898" w:rsidRDefault="00CA258D" w:rsidP="00CA258D">
            <w:pPr>
              <w:jc w:val="center"/>
              <w:rPr>
                <w:rFonts w:ascii="Arial Narrow" w:hAnsi="Arial Narrow"/>
                <w:i/>
                <w:sz w:val="18"/>
                <w:szCs w:val="18"/>
              </w:rPr>
            </w:pPr>
            <w:r>
              <w:rPr>
                <w:rFonts w:ascii="Arial Narrow" w:hAnsi="Arial Narrow"/>
                <w:i/>
                <w:sz w:val="18"/>
                <w:szCs w:val="18"/>
              </w:rPr>
              <w:t>NR</w:t>
            </w:r>
          </w:p>
        </w:tc>
        <w:tc>
          <w:tcPr>
            <w:tcW w:w="0" w:type="auto"/>
          </w:tcPr>
          <w:p w:rsidR="00CA258D" w:rsidRPr="00014148" w:rsidRDefault="00CA258D" w:rsidP="00CA258D">
            <w:pPr>
              <w:jc w:val="center"/>
              <w:rPr>
                <w:rFonts w:ascii="Arial Narrow" w:hAnsi="Arial Narrow"/>
                <w:sz w:val="18"/>
                <w:szCs w:val="18"/>
              </w:rPr>
            </w:pPr>
            <w:r>
              <w:rPr>
                <w:rFonts w:ascii="Arial Narrow" w:hAnsi="Arial Narrow"/>
                <w:sz w:val="18"/>
                <w:szCs w:val="18"/>
              </w:rPr>
              <w:t>$28</w:t>
            </w:r>
          </w:p>
        </w:tc>
        <w:tc>
          <w:tcPr>
            <w:tcW w:w="0" w:type="auto"/>
          </w:tcPr>
          <w:p w:rsidR="00CA258D" w:rsidRPr="00366898" w:rsidRDefault="00CA258D" w:rsidP="00CA258D">
            <w:pPr>
              <w:jc w:val="center"/>
              <w:rPr>
                <w:rFonts w:ascii="Arial Narrow" w:hAnsi="Arial Narrow"/>
                <w:i/>
                <w:sz w:val="18"/>
                <w:szCs w:val="18"/>
              </w:rPr>
            </w:pPr>
            <w:r>
              <w:rPr>
                <w:rFonts w:ascii="Arial Narrow" w:hAnsi="Arial Narrow"/>
                <w:i/>
                <w:sz w:val="18"/>
                <w:szCs w:val="18"/>
              </w:rPr>
              <w:t>NR</w:t>
            </w:r>
          </w:p>
        </w:tc>
        <w:tc>
          <w:tcPr>
            <w:tcW w:w="0" w:type="auto"/>
          </w:tcPr>
          <w:p w:rsidR="00CA258D" w:rsidRPr="00366898" w:rsidRDefault="00CA258D" w:rsidP="00CA258D">
            <w:pPr>
              <w:jc w:val="center"/>
              <w:rPr>
                <w:rFonts w:ascii="Arial Narrow" w:hAnsi="Arial Narrow"/>
                <w:i/>
                <w:sz w:val="18"/>
                <w:szCs w:val="18"/>
              </w:rPr>
            </w:pPr>
            <w:r>
              <w:rPr>
                <w:rFonts w:ascii="Arial Narrow" w:hAnsi="Arial Narrow"/>
                <w:i/>
                <w:sz w:val="18"/>
                <w:szCs w:val="18"/>
              </w:rPr>
              <w:t>NR</w:t>
            </w:r>
          </w:p>
        </w:tc>
        <w:tc>
          <w:tcPr>
            <w:tcW w:w="0" w:type="auto"/>
          </w:tcPr>
          <w:p w:rsidR="00CA258D" w:rsidRPr="00014148" w:rsidRDefault="00CA258D" w:rsidP="00CA258D">
            <w:pPr>
              <w:jc w:val="center"/>
              <w:rPr>
                <w:rFonts w:ascii="Arial Narrow" w:hAnsi="Arial Narrow"/>
                <w:sz w:val="18"/>
                <w:szCs w:val="18"/>
              </w:rPr>
            </w:pPr>
            <w:r>
              <w:rPr>
                <w:rFonts w:ascii="Arial Narrow" w:hAnsi="Arial Narrow"/>
                <w:sz w:val="18"/>
                <w:szCs w:val="18"/>
              </w:rPr>
              <w:t>$36</w:t>
            </w:r>
          </w:p>
        </w:tc>
      </w:tr>
      <w:tr w:rsidR="00CA258D" w:rsidRPr="00014148" w:rsidTr="00197EE2">
        <w:tc>
          <w:tcPr>
            <w:tcW w:w="0" w:type="auto"/>
          </w:tcPr>
          <w:p w:rsidR="00CA258D" w:rsidRPr="00C05660" w:rsidRDefault="00CA258D" w:rsidP="005F54C4">
            <w:pPr>
              <w:ind w:left="142"/>
              <w:rPr>
                <w:rFonts w:ascii="Arial Narrow" w:hAnsi="Arial Narrow"/>
                <w:sz w:val="18"/>
                <w:szCs w:val="18"/>
                <w:vertAlign w:val="superscript"/>
              </w:rPr>
            </w:pPr>
            <w:r>
              <w:rPr>
                <w:rFonts w:ascii="Arial Narrow" w:hAnsi="Arial Narrow"/>
                <w:sz w:val="18"/>
                <w:szCs w:val="18"/>
              </w:rPr>
              <w:t xml:space="preserve">Staff </w:t>
            </w:r>
            <w:proofErr w:type="spellStart"/>
            <w:r>
              <w:rPr>
                <w:rFonts w:ascii="Arial Narrow" w:hAnsi="Arial Narrow"/>
                <w:sz w:val="18"/>
                <w:szCs w:val="18"/>
              </w:rPr>
              <w:t>related</w:t>
            </w:r>
            <w:r>
              <w:rPr>
                <w:rFonts w:ascii="Arial Narrow" w:hAnsi="Arial Narrow"/>
                <w:sz w:val="18"/>
                <w:szCs w:val="18"/>
                <w:vertAlign w:val="superscript"/>
              </w:rPr>
              <w:t>d</w:t>
            </w:r>
            <w:proofErr w:type="spellEnd"/>
          </w:p>
        </w:tc>
        <w:tc>
          <w:tcPr>
            <w:tcW w:w="0" w:type="auto"/>
          </w:tcPr>
          <w:p w:rsidR="00CA258D" w:rsidRPr="00366898" w:rsidRDefault="00CA258D" w:rsidP="00CA258D">
            <w:pPr>
              <w:jc w:val="center"/>
              <w:rPr>
                <w:rFonts w:ascii="Arial Narrow" w:hAnsi="Arial Narrow"/>
                <w:i/>
                <w:sz w:val="18"/>
                <w:szCs w:val="18"/>
              </w:rPr>
            </w:pPr>
            <w:r w:rsidRPr="00366898">
              <w:rPr>
                <w:rFonts w:ascii="Arial Narrow" w:hAnsi="Arial Narrow"/>
                <w:i/>
                <w:sz w:val="18"/>
                <w:szCs w:val="18"/>
              </w:rPr>
              <w:t>$59</w:t>
            </w:r>
          </w:p>
        </w:tc>
        <w:tc>
          <w:tcPr>
            <w:tcW w:w="0" w:type="auto"/>
          </w:tcPr>
          <w:p w:rsidR="00CA258D" w:rsidRPr="00366898" w:rsidRDefault="00CA258D" w:rsidP="00CA258D">
            <w:pPr>
              <w:jc w:val="center"/>
              <w:rPr>
                <w:rFonts w:ascii="Arial Narrow" w:hAnsi="Arial Narrow"/>
                <w:i/>
                <w:sz w:val="18"/>
                <w:szCs w:val="18"/>
              </w:rPr>
            </w:pPr>
            <w:r w:rsidRPr="00366898">
              <w:rPr>
                <w:rFonts w:ascii="Arial Narrow" w:hAnsi="Arial Narrow"/>
                <w:i/>
                <w:sz w:val="18"/>
                <w:szCs w:val="18"/>
              </w:rPr>
              <w:t>$82</w:t>
            </w:r>
          </w:p>
        </w:tc>
        <w:tc>
          <w:tcPr>
            <w:tcW w:w="0" w:type="auto"/>
          </w:tcPr>
          <w:p w:rsidR="00CA258D" w:rsidRPr="00014148" w:rsidRDefault="00CA258D" w:rsidP="00CA258D">
            <w:pPr>
              <w:jc w:val="center"/>
              <w:rPr>
                <w:rFonts w:ascii="Arial Narrow" w:hAnsi="Arial Narrow"/>
                <w:sz w:val="18"/>
                <w:szCs w:val="18"/>
              </w:rPr>
            </w:pPr>
            <w:r>
              <w:rPr>
                <w:rFonts w:ascii="Arial Narrow" w:hAnsi="Arial Narrow"/>
                <w:sz w:val="18"/>
                <w:szCs w:val="18"/>
              </w:rPr>
              <w:t>$23</w:t>
            </w:r>
          </w:p>
        </w:tc>
        <w:tc>
          <w:tcPr>
            <w:tcW w:w="0" w:type="auto"/>
          </w:tcPr>
          <w:p w:rsidR="00CA258D" w:rsidRPr="00366898" w:rsidRDefault="00CA258D" w:rsidP="00CA258D">
            <w:pPr>
              <w:jc w:val="center"/>
              <w:rPr>
                <w:rFonts w:ascii="Arial Narrow" w:hAnsi="Arial Narrow"/>
                <w:i/>
                <w:sz w:val="18"/>
                <w:szCs w:val="18"/>
              </w:rPr>
            </w:pPr>
            <w:r w:rsidRPr="00366898">
              <w:rPr>
                <w:rFonts w:ascii="Arial Narrow" w:hAnsi="Arial Narrow"/>
                <w:i/>
                <w:sz w:val="18"/>
                <w:szCs w:val="18"/>
              </w:rPr>
              <w:t>$73</w:t>
            </w:r>
          </w:p>
        </w:tc>
        <w:tc>
          <w:tcPr>
            <w:tcW w:w="0" w:type="auto"/>
          </w:tcPr>
          <w:p w:rsidR="00CA258D" w:rsidRPr="00366898" w:rsidRDefault="00CA258D" w:rsidP="00CA258D">
            <w:pPr>
              <w:jc w:val="center"/>
              <w:rPr>
                <w:rFonts w:ascii="Arial Narrow" w:hAnsi="Arial Narrow"/>
                <w:i/>
                <w:sz w:val="18"/>
                <w:szCs w:val="18"/>
              </w:rPr>
            </w:pPr>
            <w:r w:rsidRPr="00366898">
              <w:rPr>
                <w:rFonts w:ascii="Arial Narrow" w:hAnsi="Arial Narrow"/>
                <w:i/>
                <w:sz w:val="18"/>
                <w:szCs w:val="18"/>
              </w:rPr>
              <w:t>$108</w:t>
            </w:r>
          </w:p>
        </w:tc>
        <w:tc>
          <w:tcPr>
            <w:tcW w:w="0" w:type="auto"/>
          </w:tcPr>
          <w:p w:rsidR="00CA258D" w:rsidRPr="00014148" w:rsidRDefault="00CA258D" w:rsidP="00CA258D">
            <w:pPr>
              <w:jc w:val="center"/>
              <w:rPr>
                <w:rFonts w:ascii="Arial Narrow" w:hAnsi="Arial Narrow"/>
                <w:sz w:val="18"/>
                <w:szCs w:val="18"/>
              </w:rPr>
            </w:pPr>
            <w:r>
              <w:rPr>
                <w:rFonts w:ascii="Arial Narrow" w:hAnsi="Arial Narrow"/>
                <w:sz w:val="18"/>
                <w:szCs w:val="18"/>
              </w:rPr>
              <w:t>$35</w:t>
            </w:r>
          </w:p>
        </w:tc>
      </w:tr>
      <w:tr w:rsidR="00CA258D" w:rsidRPr="00014148" w:rsidTr="00197EE2">
        <w:trPr>
          <w:trHeight w:val="290"/>
        </w:trPr>
        <w:tc>
          <w:tcPr>
            <w:tcW w:w="0" w:type="auto"/>
          </w:tcPr>
          <w:p w:rsidR="00CA258D" w:rsidRPr="00C05660" w:rsidRDefault="00CA258D" w:rsidP="005F54C4">
            <w:pPr>
              <w:ind w:left="142"/>
              <w:rPr>
                <w:rFonts w:ascii="Arial Narrow" w:hAnsi="Arial Narrow"/>
                <w:sz w:val="18"/>
                <w:szCs w:val="18"/>
                <w:vertAlign w:val="superscript"/>
              </w:rPr>
            </w:pPr>
            <w:proofErr w:type="spellStart"/>
            <w:r>
              <w:rPr>
                <w:rFonts w:ascii="Arial Narrow" w:hAnsi="Arial Narrow"/>
                <w:sz w:val="18"/>
                <w:szCs w:val="18"/>
              </w:rPr>
              <w:t>Overheads</w:t>
            </w:r>
            <w:r>
              <w:rPr>
                <w:rFonts w:ascii="Arial Narrow" w:hAnsi="Arial Narrow"/>
                <w:sz w:val="18"/>
                <w:szCs w:val="18"/>
                <w:vertAlign w:val="superscript"/>
              </w:rPr>
              <w:t>e</w:t>
            </w:r>
            <w:proofErr w:type="spellEnd"/>
          </w:p>
        </w:tc>
        <w:tc>
          <w:tcPr>
            <w:tcW w:w="0" w:type="auto"/>
          </w:tcPr>
          <w:p w:rsidR="00CA258D" w:rsidRPr="00366898" w:rsidRDefault="00CA258D" w:rsidP="00CA258D">
            <w:pPr>
              <w:jc w:val="center"/>
              <w:rPr>
                <w:rFonts w:ascii="Arial Narrow" w:hAnsi="Arial Narrow"/>
                <w:i/>
                <w:sz w:val="18"/>
                <w:szCs w:val="18"/>
              </w:rPr>
            </w:pPr>
            <w:r w:rsidRPr="00366898">
              <w:rPr>
                <w:rFonts w:ascii="Arial Narrow" w:hAnsi="Arial Narrow"/>
                <w:i/>
                <w:sz w:val="18"/>
                <w:szCs w:val="18"/>
              </w:rPr>
              <w:t>$99</w:t>
            </w:r>
          </w:p>
        </w:tc>
        <w:tc>
          <w:tcPr>
            <w:tcW w:w="0" w:type="auto"/>
          </w:tcPr>
          <w:p w:rsidR="00CA258D" w:rsidRPr="00366898" w:rsidRDefault="00CA258D" w:rsidP="00CA258D">
            <w:pPr>
              <w:jc w:val="center"/>
              <w:rPr>
                <w:rFonts w:ascii="Arial Narrow" w:hAnsi="Arial Narrow"/>
                <w:i/>
                <w:sz w:val="18"/>
                <w:szCs w:val="18"/>
              </w:rPr>
            </w:pPr>
            <w:r w:rsidRPr="00366898">
              <w:rPr>
                <w:rFonts w:ascii="Arial Narrow" w:hAnsi="Arial Narrow"/>
                <w:i/>
                <w:sz w:val="18"/>
                <w:szCs w:val="18"/>
              </w:rPr>
              <w:t>$137</w:t>
            </w:r>
          </w:p>
        </w:tc>
        <w:tc>
          <w:tcPr>
            <w:tcW w:w="0" w:type="auto"/>
          </w:tcPr>
          <w:p w:rsidR="00CA258D" w:rsidRPr="00014148" w:rsidRDefault="00CA258D" w:rsidP="00CA258D">
            <w:pPr>
              <w:jc w:val="center"/>
              <w:rPr>
                <w:rFonts w:ascii="Arial Narrow" w:hAnsi="Arial Narrow"/>
                <w:sz w:val="18"/>
                <w:szCs w:val="18"/>
              </w:rPr>
            </w:pPr>
            <w:r>
              <w:rPr>
                <w:rFonts w:ascii="Arial Narrow" w:hAnsi="Arial Narrow"/>
                <w:sz w:val="18"/>
                <w:szCs w:val="18"/>
              </w:rPr>
              <w:t>$38</w:t>
            </w:r>
          </w:p>
        </w:tc>
        <w:tc>
          <w:tcPr>
            <w:tcW w:w="0" w:type="auto"/>
          </w:tcPr>
          <w:p w:rsidR="00CA258D" w:rsidRPr="00366898" w:rsidRDefault="00CA258D" w:rsidP="00CA258D">
            <w:pPr>
              <w:jc w:val="center"/>
              <w:rPr>
                <w:rFonts w:ascii="Arial Narrow" w:hAnsi="Arial Narrow"/>
                <w:i/>
                <w:sz w:val="18"/>
                <w:szCs w:val="18"/>
              </w:rPr>
            </w:pPr>
            <w:r w:rsidRPr="00366898">
              <w:rPr>
                <w:rFonts w:ascii="Arial Narrow" w:hAnsi="Arial Narrow"/>
                <w:i/>
                <w:sz w:val="18"/>
                <w:szCs w:val="18"/>
              </w:rPr>
              <w:t>$121</w:t>
            </w:r>
          </w:p>
        </w:tc>
        <w:tc>
          <w:tcPr>
            <w:tcW w:w="0" w:type="auto"/>
          </w:tcPr>
          <w:p w:rsidR="00CA258D" w:rsidRPr="00366898" w:rsidRDefault="00CA258D" w:rsidP="00CA258D">
            <w:pPr>
              <w:jc w:val="center"/>
              <w:rPr>
                <w:rFonts w:ascii="Arial Narrow" w:hAnsi="Arial Narrow"/>
                <w:i/>
                <w:sz w:val="18"/>
                <w:szCs w:val="18"/>
              </w:rPr>
            </w:pPr>
            <w:r w:rsidRPr="00366898">
              <w:rPr>
                <w:rFonts w:ascii="Arial Narrow" w:hAnsi="Arial Narrow"/>
                <w:i/>
                <w:sz w:val="18"/>
                <w:szCs w:val="18"/>
              </w:rPr>
              <w:t>$179</w:t>
            </w:r>
          </w:p>
        </w:tc>
        <w:tc>
          <w:tcPr>
            <w:tcW w:w="0" w:type="auto"/>
          </w:tcPr>
          <w:p w:rsidR="00CA258D" w:rsidRPr="00014148" w:rsidRDefault="00CA258D" w:rsidP="00CA258D">
            <w:pPr>
              <w:jc w:val="center"/>
              <w:rPr>
                <w:rFonts w:ascii="Arial Narrow" w:hAnsi="Arial Narrow"/>
                <w:sz w:val="18"/>
                <w:szCs w:val="18"/>
              </w:rPr>
            </w:pPr>
            <w:r>
              <w:rPr>
                <w:rFonts w:ascii="Arial Narrow" w:hAnsi="Arial Narrow"/>
                <w:sz w:val="18"/>
                <w:szCs w:val="18"/>
              </w:rPr>
              <w:t>$59</w:t>
            </w:r>
          </w:p>
        </w:tc>
      </w:tr>
      <w:tr w:rsidR="00CA258D" w:rsidRPr="00014148" w:rsidTr="00BF57B6">
        <w:trPr>
          <w:trHeight w:val="511"/>
        </w:trPr>
        <w:tc>
          <w:tcPr>
            <w:tcW w:w="0" w:type="auto"/>
            <w:tcBorders>
              <w:bottom w:val="single" w:sz="4" w:space="0" w:color="auto"/>
            </w:tcBorders>
            <w:shd w:val="clear" w:color="auto" w:fill="BFBFBF" w:themeFill="background1" w:themeFillShade="BF"/>
          </w:tcPr>
          <w:p w:rsidR="00CA258D" w:rsidRPr="00B7085F" w:rsidRDefault="00CA258D" w:rsidP="005F54C4">
            <w:pPr>
              <w:ind w:left="142"/>
              <w:rPr>
                <w:rFonts w:ascii="Arial Narrow" w:hAnsi="Arial Narrow"/>
                <w:b/>
                <w:sz w:val="18"/>
                <w:szCs w:val="18"/>
              </w:rPr>
            </w:pPr>
            <w:r>
              <w:rPr>
                <w:rFonts w:ascii="Arial Narrow" w:hAnsi="Arial Narrow"/>
                <w:b/>
                <w:sz w:val="18"/>
                <w:szCs w:val="18"/>
              </w:rPr>
              <w:t xml:space="preserve">Total per </w:t>
            </w:r>
            <w:proofErr w:type="spellStart"/>
            <w:r>
              <w:rPr>
                <w:rFonts w:ascii="Arial Narrow" w:hAnsi="Arial Narrow"/>
                <w:b/>
                <w:sz w:val="18"/>
                <w:szCs w:val="18"/>
              </w:rPr>
              <w:t>course</w:t>
            </w:r>
            <w:r>
              <w:rPr>
                <w:rFonts w:ascii="Arial Narrow" w:hAnsi="Arial Narrow"/>
                <w:b/>
                <w:sz w:val="18"/>
                <w:szCs w:val="18"/>
                <w:vertAlign w:val="superscript"/>
              </w:rPr>
              <w:t>f</w:t>
            </w:r>
            <w:proofErr w:type="spellEnd"/>
            <w:r>
              <w:rPr>
                <w:rFonts w:ascii="Arial Narrow" w:hAnsi="Arial Narrow"/>
                <w:b/>
                <w:sz w:val="18"/>
                <w:szCs w:val="18"/>
                <w:vertAlign w:val="superscript"/>
              </w:rPr>
              <w:t xml:space="preserve"> </w:t>
            </w:r>
            <w:r>
              <w:rPr>
                <w:rFonts w:ascii="Arial Narrow" w:hAnsi="Arial Narrow"/>
                <w:b/>
                <w:sz w:val="18"/>
                <w:szCs w:val="18"/>
              </w:rPr>
              <w:t xml:space="preserve">(delivery + associated) </w:t>
            </w:r>
          </w:p>
        </w:tc>
        <w:tc>
          <w:tcPr>
            <w:tcW w:w="0" w:type="auto"/>
            <w:tcBorders>
              <w:bottom w:val="single" w:sz="4" w:space="0" w:color="auto"/>
            </w:tcBorders>
            <w:shd w:val="clear" w:color="auto" w:fill="BFBFBF" w:themeFill="background1" w:themeFillShade="BF"/>
          </w:tcPr>
          <w:p w:rsidR="00CA258D" w:rsidRPr="003127D7" w:rsidRDefault="00CA258D" w:rsidP="00CA258D">
            <w:pPr>
              <w:jc w:val="center"/>
              <w:rPr>
                <w:rFonts w:ascii="Arial Narrow" w:hAnsi="Arial Narrow"/>
                <w:b/>
                <w:i/>
                <w:sz w:val="18"/>
                <w:szCs w:val="18"/>
              </w:rPr>
            </w:pPr>
            <w:r>
              <w:rPr>
                <w:rFonts w:ascii="Arial Narrow" w:hAnsi="Arial Narrow"/>
                <w:b/>
                <w:i/>
                <w:sz w:val="18"/>
                <w:szCs w:val="18"/>
              </w:rPr>
              <w:t>$3,141</w:t>
            </w:r>
          </w:p>
        </w:tc>
        <w:tc>
          <w:tcPr>
            <w:tcW w:w="0" w:type="auto"/>
            <w:tcBorders>
              <w:bottom w:val="single" w:sz="4" w:space="0" w:color="auto"/>
            </w:tcBorders>
            <w:shd w:val="clear" w:color="auto" w:fill="BFBFBF" w:themeFill="background1" w:themeFillShade="BF"/>
          </w:tcPr>
          <w:p w:rsidR="00CA258D" w:rsidRPr="003127D7" w:rsidRDefault="00CA258D" w:rsidP="00CA258D">
            <w:pPr>
              <w:jc w:val="center"/>
              <w:rPr>
                <w:rFonts w:ascii="Arial Narrow" w:hAnsi="Arial Narrow"/>
                <w:b/>
                <w:i/>
                <w:sz w:val="18"/>
                <w:szCs w:val="18"/>
              </w:rPr>
            </w:pPr>
            <w:r>
              <w:rPr>
                <w:rFonts w:ascii="Arial Narrow" w:hAnsi="Arial Narrow"/>
                <w:b/>
                <w:i/>
                <w:sz w:val="18"/>
                <w:szCs w:val="18"/>
              </w:rPr>
              <w:t>$4,538</w:t>
            </w:r>
          </w:p>
        </w:tc>
        <w:tc>
          <w:tcPr>
            <w:tcW w:w="0" w:type="auto"/>
            <w:tcBorders>
              <w:bottom w:val="single" w:sz="4" w:space="0" w:color="auto"/>
            </w:tcBorders>
            <w:shd w:val="clear" w:color="auto" w:fill="BFBFBF" w:themeFill="background1" w:themeFillShade="BF"/>
          </w:tcPr>
          <w:p w:rsidR="00CA258D" w:rsidRPr="00C05660" w:rsidRDefault="00CA258D" w:rsidP="00CA258D">
            <w:pPr>
              <w:jc w:val="center"/>
              <w:rPr>
                <w:rFonts w:ascii="Arial Narrow" w:hAnsi="Arial Narrow"/>
                <w:b/>
                <w:sz w:val="18"/>
                <w:szCs w:val="18"/>
              </w:rPr>
            </w:pPr>
            <w:r>
              <w:rPr>
                <w:rFonts w:ascii="Arial Narrow" w:hAnsi="Arial Narrow"/>
                <w:b/>
                <w:sz w:val="18"/>
                <w:szCs w:val="18"/>
              </w:rPr>
              <w:t>$1,452</w:t>
            </w:r>
          </w:p>
        </w:tc>
        <w:tc>
          <w:tcPr>
            <w:tcW w:w="0" w:type="auto"/>
            <w:tcBorders>
              <w:bottom w:val="single" w:sz="4" w:space="0" w:color="auto"/>
            </w:tcBorders>
            <w:shd w:val="clear" w:color="auto" w:fill="BFBFBF" w:themeFill="background1" w:themeFillShade="BF"/>
          </w:tcPr>
          <w:p w:rsidR="00CA258D" w:rsidRPr="003127D7" w:rsidRDefault="00CA258D" w:rsidP="00CA258D">
            <w:pPr>
              <w:jc w:val="center"/>
              <w:rPr>
                <w:rFonts w:ascii="Arial Narrow" w:hAnsi="Arial Narrow"/>
                <w:b/>
                <w:i/>
                <w:sz w:val="18"/>
                <w:szCs w:val="18"/>
              </w:rPr>
            </w:pPr>
            <w:r>
              <w:rPr>
                <w:rFonts w:ascii="Arial Narrow" w:hAnsi="Arial Narrow"/>
                <w:b/>
                <w:i/>
                <w:sz w:val="18"/>
                <w:szCs w:val="18"/>
              </w:rPr>
              <w:t>$3,632</w:t>
            </w:r>
          </w:p>
        </w:tc>
        <w:tc>
          <w:tcPr>
            <w:tcW w:w="0" w:type="auto"/>
            <w:tcBorders>
              <w:bottom w:val="single" w:sz="4" w:space="0" w:color="auto"/>
            </w:tcBorders>
            <w:shd w:val="clear" w:color="auto" w:fill="BFBFBF" w:themeFill="background1" w:themeFillShade="BF"/>
          </w:tcPr>
          <w:p w:rsidR="00CA258D" w:rsidRPr="003127D7" w:rsidRDefault="00CA258D" w:rsidP="00CA258D">
            <w:pPr>
              <w:jc w:val="center"/>
              <w:rPr>
                <w:rFonts w:ascii="Arial Narrow" w:hAnsi="Arial Narrow"/>
                <w:b/>
                <w:i/>
                <w:sz w:val="18"/>
                <w:szCs w:val="18"/>
              </w:rPr>
            </w:pPr>
            <w:r w:rsidRPr="003127D7">
              <w:rPr>
                <w:rFonts w:ascii="Arial Narrow" w:hAnsi="Arial Narrow"/>
                <w:b/>
                <w:i/>
                <w:sz w:val="18"/>
                <w:szCs w:val="18"/>
              </w:rPr>
              <w:t>$5,501</w:t>
            </w:r>
          </w:p>
        </w:tc>
        <w:tc>
          <w:tcPr>
            <w:tcW w:w="0" w:type="auto"/>
            <w:tcBorders>
              <w:bottom w:val="single" w:sz="4" w:space="0" w:color="auto"/>
            </w:tcBorders>
            <w:shd w:val="clear" w:color="auto" w:fill="BFBFBF" w:themeFill="background1" w:themeFillShade="BF"/>
          </w:tcPr>
          <w:p w:rsidR="00CA258D" w:rsidRPr="00C05660" w:rsidRDefault="00CA258D" w:rsidP="00CA258D">
            <w:pPr>
              <w:jc w:val="center"/>
              <w:rPr>
                <w:rFonts w:ascii="Arial Narrow" w:hAnsi="Arial Narrow"/>
                <w:b/>
                <w:sz w:val="18"/>
                <w:szCs w:val="18"/>
              </w:rPr>
            </w:pPr>
            <w:r>
              <w:rPr>
                <w:rFonts w:ascii="Arial Narrow" w:hAnsi="Arial Narrow"/>
                <w:b/>
                <w:sz w:val="18"/>
                <w:szCs w:val="18"/>
              </w:rPr>
              <w:t>$1,944</w:t>
            </w:r>
          </w:p>
        </w:tc>
      </w:tr>
      <w:tr w:rsidR="00BF57B6" w:rsidRPr="00014148" w:rsidTr="00BA51C8">
        <w:tc>
          <w:tcPr>
            <w:tcW w:w="0" w:type="auto"/>
            <w:tcBorders>
              <w:right w:val="nil"/>
            </w:tcBorders>
          </w:tcPr>
          <w:p w:rsidR="00BF57B6" w:rsidRPr="00B7085F" w:rsidRDefault="00BF57B6" w:rsidP="005F54C4">
            <w:pPr>
              <w:ind w:left="142"/>
              <w:rPr>
                <w:rFonts w:ascii="Arial Narrow" w:hAnsi="Arial Narrow"/>
                <w:b/>
                <w:sz w:val="18"/>
                <w:szCs w:val="18"/>
              </w:rPr>
            </w:pPr>
            <w:r>
              <w:rPr>
                <w:rFonts w:ascii="Arial Narrow" w:hAnsi="Arial Narrow"/>
                <w:b/>
                <w:sz w:val="18"/>
                <w:szCs w:val="18"/>
              </w:rPr>
              <w:t>Depreciation &amp; interest costs</w:t>
            </w:r>
          </w:p>
        </w:tc>
        <w:tc>
          <w:tcPr>
            <w:tcW w:w="0" w:type="auto"/>
            <w:tcBorders>
              <w:left w:val="nil"/>
              <w:right w:val="nil"/>
            </w:tcBorders>
          </w:tcPr>
          <w:p w:rsidR="00BF57B6" w:rsidRPr="00B7085F" w:rsidRDefault="00BF57B6" w:rsidP="005F54C4">
            <w:pPr>
              <w:ind w:left="142"/>
              <w:rPr>
                <w:rFonts w:ascii="Arial Narrow" w:hAnsi="Arial Narrow"/>
                <w:b/>
                <w:sz w:val="18"/>
                <w:szCs w:val="18"/>
              </w:rPr>
            </w:pPr>
          </w:p>
        </w:tc>
        <w:tc>
          <w:tcPr>
            <w:tcW w:w="0" w:type="auto"/>
            <w:tcBorders>
              <w:left w:val="nil"/>
              <w:right w:val="nil"/>
            </w:tcBorders>
          </w:tcPr>
          <w:p w:rsidR="00BF57B6" w:rsidRPr="00B7085F" w:rsidRDefault="00BF57B6" w:rsidP="005F54C4">
            <w:pPr>
              <w:ind w:left="142"/>
              <w:rPr>
                <w:rFonts w:ascii="Arial Narrow" w:hAnsi="Arial Narrow"/>
                <w:b/>
                <w:sz w:val="18"/>
                <w:szCs w:val="18"/>
              </w:rPr>
            </w:pPr>
          </w:p>
        </w:tc>
        <w:tc>
          <w:tcPr>
            <w:tcW w:w="0" w:type="auto"/>
            <w:tcBorders>
              <w:left w:val="nil"/>
              <w:right w:val="nil"/>
            </w:tcBorders>
          </w:tcPr>
          <w:p w:rsidR="00BF57B6" w:rsidRPr="00B7085F" w:rsidRDefault="00BF57B6" w:rsidP="005F54C4">
            <w:pPr>
              <w:ind w:left="142"/>
              <w:rPr>
                <w:rFonts w:ascii="Arial Narrow" w:hAnsi="Arial Narrow"/>
                <w:b/>
                <w:sz w:val="18"/>
                <w:szCs w:val="18"/>
              </w:rPr>
            </w:pPr>
          </w:p>
        </w:tc>
        <w:tc>
          <w:tcPr>
            <w:tcW w:w="0" w:type="auto"/>
            <w:tcBorders>
              <w:left w:val="nil"/>
              <w:right w:val="nil"/>
            </w:tcBorders>
          </w:tcPr>
          <w:p w:rsidR="00BF57B6" w:rsidRPr="00B7085F" w:rsidRDefault="00BF57B6" w:rsidP="005F54C4">
            <w:pPr>
              <w:ind w:left="142"/>
              <w:rPr>
                <w:rFonts w:ascii="Arial Narrow" w:hAnsi="Arial Narrow"/>
                <w:b/>
                <w:sz w:val="18"/>
                <w:szCs w:val="18"/>
              </w:rPr>
            </w:pPr>
          </w:p>
        </w:tc>
        <w:tc>
          <w:tcPr>
            <w:tcW w:w="0" w:type="auto"/>
            <w:tcBorders>
              <w:left w:val="nil"/>
              <w:right w:val="nil"/>
            </w:tcBorders>
          </w:tcPr>
          <w:p w:rsidR="00BF57B6" w:rsidRPr="00B7085F" w:rsidRDefault="00BF57B6" w:rsidP="005F54C4">
            <w:pPr>
              <w:ind w:left="142"/>
              <w:rPr>
                <w:rFonts w:ascii="Arial Narrow" w:hAnsi="Arial Narrow"/>
                <w:b/>
                <w:sz w:val="18"/>
                <w:szCs w:val="18"/>
              </w:rPr>
            </w:pPr>
          </w:p>
        </w:tc>
        <w:tc>
          <w:tcPr>
            <w:tcW w:w="0" w:type="auto"/>
            <w:tcBorders>
              <w:left w:val="nil"/>
            </w:tcBorders>
          </w:tcPr>
          <w:p w:rsidR="00BF57B6" w:rsidRPr="00B7085F" w:rsidRDefault="00BF57B6" w:rsidP="005F54C4">
            <w:pPr>
              <w:ind w:left="142"/>
              <w:rPr>
                <w:rFonts w:ascii="Arial Narrow" w:hAnsi="Arial Narrow"/>
                <w:b/>
                <w:sz w:val="18"/>
                <w:szCs w:val="18"/>
              </w:rPr>
            </w:pPr>
          </w:p>
        </w:tc>
      </w:tr>
      <w:tr w:rsidR="00CA258D" w:rsidRPr="00014148" w:rsidTr="00197EE2">
        <w:tc>
          <w:tcPr>
            <w:tcW w:w="0" w:type="auto"/>
          </w:tcPr>
          <w:p w:rsidR="00CA258D" w:rsidRDefault="00CA258D" w:rsidP="005F54C4">
            <w:pPr>
              <w:ind w:left="142"/>
              <w:rPr>
                <w:rFonts w:ascii="Arial Narrow" w:hAnsi="Arial Narrow"/>
                <w:sz w:val="18"/>
                <w:szCs w:val="18"/>
              </w:rPr>
            </w:pPr>
            <w:proofErr w:type="spellStart"/>
            <w:r>
              <w:rPr>
                <w:rFonts w:ascii="Arial Narrow" w:hAnsi="Arial Narrow"/>
                <w:sz w:val="18"/>
                <w:szCs w:val="18"/>
              </w:rPr>
              <w:t>Depreciation</w:t>
            </w:r>
            <w:r>
              <w:rPr>
                <w:rFonts w:ascii="Arial Narrow" w:hAnsi="Arial Narrow"/>
                <w:sz w:val="18"/>
                <w:szCs w:val="18"/>
                <w:vertAlign w:val="superscript"/>
              </w:rPr>
              <w:t>g</w:t>
            </w:r>
            <w:proofErr w:type="spellEnd"/>
            <w:r>
              <w:rPr>
                <w:rFonts w:ascii="Arial Narrow" w:hAnsi="Arial Narrow"/>
                <w:sz w:val="18"/>
                <w:szCs w:val="18"/>
              </w:rPr>
              <w:t xml:space="preserve"> </w:t>
            </w:r>
          </w:p>
        </w:tc>
        <w:tc>
          <w:tcPr>
            <w:tcW w:w="0" w:type="auto"/>
          </w:tcPr>
          <w:p w:rsidR="00CA258D" w:rsidRPr="007657D0" w:rsidRDefault="00CA258D" w:rsidP="00CA258D">
            <w:pPr>
              <w:jc w:val="center"/>
              <w:rPr>
                <w:rFonts w:ascii="Arial Narrow" w:hAnsi="Arial Narrow"/>
                <w:i/>
                <w:sz w:val="18"/>
                <w:szCs w:val="18"/>
              </w:rPr>
            </w:pPr>
            <w:r w:rsidRPr="007657D0">
              <w:rPr>
                <w:rFonts w:ascii="Arial Narrow" w:hAnsi="Arial Narrow"/>
                <w:i/>
                <w:sz w:val="18"/>
                <w:szCs w:val="18"/>
              </w:rPr>
              <w:t>$1,468</w:t>
            </w:r>
          </w:p>
        </w:tc>
        <w:tc>
          <w:tcPr>
            <w:tcW w:w="0" w:type="auto"/>
          </w:tcPr>
          <w:p w:rsidR="00CA258D" w:rsidRPr="007657D0" w:rsidRDefault="00CA258D" w:rsidP="00CA258D">
            <w:pPr>
              <w:jc w:val="center"/>
              <w:rPr>
                <w:rFonts w:ascii="Arial Narrow" w:hAnsi="Arial Narrow"/>
                <w:i/>
                <w:sz w:val="18"/>
                <w:szCs w:val="18"/>
              </w:rPr>
            </w:pPr>
            <w:r>
              <w:rPr>
                <w:rFonts w:ascii="Arial Narrow" w:hAnsi="Arial Narrow"/>
                <w:i/>
                <w:sz w:val="18"/>
                <w:szCs w:val="18"/>
              </w:rPr>
              <w:t>$2,797</w:t>
            </w:r>
          </w:p>
        </w:tc>
        <w:tc>
          <w:tcPr>
            <w:tcW w:w="0" w:type="auto"/>
          </w:tcPr>
          <w:p w:rsidR="00CA258D" w:rsidRPr="00014148" w:rsidRDefault="00CA258D" w:rsidP="00CA258D">
            <w:pPr>
              <w:jc w:val="center"/>
              <w:rPr>
                <w:rFonts w:ascii="Arial Narrow" w:hAnsi="Arial Narrow"/>
                <w:sz w:val="18"/>
                <w:szCs w:val="18"/>
              </w:rPr>
            </w:pPr>
            <w:r>
              <w:rPr>
                <w:rFonts w:ascii="Arial Narrow" w:hAnsi="Arial Narrow"/>
                <w:sz w:val="18"/>
                <w:szCs w:val="18"/>
              </w:rPr>
              <w:t>$1,329</w:t>
            </w:r>
          </w:p>
        </w:tc>
        <w:tc>
          <w:tcPr>
            <w:tcW w:w="0" w:type="auto"/>
          </w:tcPr>
          <w:p w:rsidR="00CA258D" w:rsidRPr="007657D0" w:rsidRDefault="00CA258D" w:rsidP="00CA258D">
            <w:pPr>
              <w:jc w:val="center"/>
              <w:rPr>
                <w:rFonts w:ascii="Arial Narrow" w:hAnsi="Arial Narrow"/>
                <w:i/>
                <w:sz w:val="18"/>
                <w:szCs w:val="18"/>
              </w:rPr>
            </w:pPr>
            <w:r>
              <w:rPr>
                <w:rFonts w:ascii="Arial Narrow" w:hAnsi="Arial Narrow"/>
                <w:i/>
                <w:sz w:val="18"/>
                <w:szCs w:val="18"/>
              </w:rPr>
              <w:t>$1,468</w:t>
            </w:r>
          </w:p>
        </w:tc>
        <w:tc>
          <w:tcPr>
            <w:tcW w:w="0" w:type="auto"/>
          </w:tcPr>
          <w:p w:rsidR="00CA258D" w:rsidRPr="00014148" w:rsidRDefault="00CA258D" w:rsidP="00CA258D">
            <w:pPr>
              <w:jc w:val="center"/>
              <w:rPr>
                <w:rFonts w:ascii="Arial Narrow" w:hAnsi="Arial Narrow"/>
                <w:sz w:val="18"/>
                <w:szCs w:val="18"/>
              </w:rPr>
            </w:pPr>
            <w:r>
              <w:rPr>
                <w:rFonts w:ascii="Arial Narrow" w:hAnsi="Arial Narrow"/>
                <w:i/>
                <w:sz w:val="18"/>
                <w:szCs w:val="18"/>
              </w:rPr>
              <w:t>$2,797</w:t>
            </w:r>
          </w:p>
        </w:tc>
        <w:tc>
          <w:tcPr>
            <w:tcW w:w="0" w:type="auto"/>
          </w:tcPr>
          <w:p w:rsidR="00CA258D" w:rsidRPr="00014148" w:rsidRDefault="00CA258D" w:rsidP="00CA258D">
            <w:pPr>
              <w:jc w:val="center"/>
              <w:rPr>
                <w:rFonts w:ascii="Arial Narrow" w:hAnsi="Arial Narrow"/>
                <w:sz w:val="18"/>
                <w:szCs w:val="18"/>
              </w:rPr>
            </w:pPr>
            <w:r>
              <w:rPr>
                <w:rFonts w:ascii="Arial Narrow" w:hAnsi="Arial Narrow"/>
                <w:sz w:val="18"/>
                <w:szCs w:val="18"/>
              </w:rPr>
              <w:t>$1,329</w:t>
            </w:r>
          </w:p>
        </w:tc>
      </w:tr>
      <w:tr w:rsidR="00CA258D" w:rsidRPr="00014148" w:rsidTr="00197EE2">
        <w:trPr>
          <w:trHeight w:val="139"/>
        </w:trPr>
        <w:tc>
          <w:tcPr>
            <w:tcW w:w="0" w:type="auto"/>
          </w:tcPr>
          <w:p w:rsidR="00CA258D" w:rsidRPr="00E53D2C" w:rsidRDefault="00CA258D" w:rsidP="005F54C4">
            <w:pPr>
              <w:ind w:left="142"/>
              <w:rPr>
                <w:rFonts w:ascii="Arial Narrow" w:hAnsi="Arial Narrow"/>
                <w:sz w:val="18"/>
                <w:szCs w:val="18"/>
                <w:vertAlign w:val="superscript"/>
              </w:rPr>
            </w:pPr>
            <w:proofErr w:type="spellStart"/>
            <w:r>
              <w:rPr>
                <w:rFonts w:ascii="Arial Narrow" w:hAnsi="Arial Narrow"/>
                <w:sz w:val="18"/>
                <w:szCs w:val="18"/>
              </w:rPr>
              <w:t>Interest</w:t>
            </w:r>
            <w:r>
              <w:rPr>
                <w:rFonts w:ascii="Arial Narrow" w:hAnsi="Arial Narrow"/>
                <w:sz w:val="18"/>
                <w:szCs w:val="18"/>
                <w:vertAlign w:val="superscript"/>
              </w:rPr>
              <w:t>h</w:t>
            </w:r>
            <w:proofErr w:type="spellEnd"/>
          </w:p>
        </w:tc>
        <w:tc>
          <w:tcPr>
            <w:tcW w:w="0" w:type="auto"/>
          </w:tcPr>
          <w:p w:rsidR="00CA258D" w:rsidRPr="00E53D2C" w:rsidRDefault="00CA258D" w:rsidP="00CA258D">
            <w:pPr>
              <w:jc w:val="center"/>
              <w:rPr>
                <w:rFonts w:ascii="Arial Narrow" w:hAnsi="Arial Narrow"/>
                <w:i/>
                <w:sz w:val="18"/>
                <w:szCs w:val="18"/>
              </w:rPr>
            </w:pPr>
            <w:r>
              <w:rPr>
                <w:rFonts w:ascii="Arial Narrow" w:hAnsi="Arial Narrow"/>
                <w:i/>
                <w:sz w:val="18"/>
                <w:szCs w:val="18"/>
              </w:rPr>
              <w:t>$354</w:t>
            </w:r>
          </w:p>
        </w:tc>
        <w:tc>
          <w:tcPr>
            <w:tcW w:w="0" w:type="auto"/>
          </w:tcPr>
          <w:p w:rsidR="00CA258D" w:rsidRPr="00E53D2C" w:rsidRDefault="00CA258D" w:rsidP="00CA258D">
            <w:pPr>
              <w:jc w:val="center"/>
              <w:rPr>
                <w:rFonts w:ascii="Arial Narrow" w:hAnsi="Arial Narrow"/>
                <w:i/>
                <w:sz w:val="18"/>
                <w:szCs w:val="18"/>
              </w:rPr>
            </w:pPr>
            <w:r w:rsidRPr="00E53D2C">
              <w:rPr>
                <w:rFonts w:ascii="Arial Narrow" w:hAnsi="Arial Narrow"/>
                <w:i/>
                <w:sz w:val="18"/>
                <w:szCs w:val="18"/>
              </w:rPr>
              <w:t>$720</w:t>
            </w:r>
          </w:p>
        </w:tc>
        <w:tc>
          <w:tcPr>
            <w:tcW w:w="0" w:type="auto"/>
          </w:tcPr>
          <w:p w:rsidR="00CA258D" w:rsidRPr="00014148" w:rsidRDefault="00CA258D" w:rsidP="00CA258D">
            <w:pPr>
              <w:jc w:val="center"/>
              <w:rPr>
                <w:rFonts w:ascii="Arial Narrow" w:hAnsi="Arial Narrow"/>
                <w:sz w:val="18"/>
                <w:szCs w:val="18"/>
              </w:rPr>
            </w:pPr>
            <w:r>
              <w:rPr>
                <w:rFonts w:ascii="Arial Narrow" w:hAnsi="Arial Narrow"/>
                <w:sz w:val="18"/>
                <w:szCs w:val="18"/>
              </w:rPr>
              <w:t>$366</w:t>
            </w:r>
          </w:p>
        </w:tc>
        <w:tc>
          <w:tcPr>
            <w:tcW w:w="0" w:type="auto"/>
          </w:tcPr>
          <w:p w:rsidR="00CA258D" w:rsidRPr="00E53D2C" w:rsidRDefault="00CA258D" w:rsidP="00CA258D">
            <w:pPr>
              <w:jc w:val="center"/>
              <w:rPr>
                <w:rFonts w:ascii="Arial Narrow" w:hAnsi="Arial Narrow"/>
                <w:i/>
                <w:sz w:val="18"/>
                <w:szCs w:val="18"/>
              </w:rPr>
            </w:pPr>
            <w:r>
              <w:rPr>
                <w:rFonts w:ascii="Arial Narrow" w:hAnsi="Arial Narrow"/>
                <w:i/>
                <w:sz w:val="18"/>
                <w:szCs w:val="18"/>
              </w:rPr>
              <w:t>$354</w:t>
            </w:r>
          </w:p>
        </w:tc>
        <w:tc>
          <w:tcPr>
            <w:tcW w:w="0" w:type="auto"/>
          </w:tcPr>
          <w:p w:rsidR="00CA258D" w:rsidRPr="00E53D2C" w:rsidRDefault="00CA258D" w:rsidP="00CA258D">
            <w:pPr>
              <w:jc w:val="center"/>
              <w:rPr>
                <w:rFonts w:ascii="Arial Narrow" w:hAnsi="Arial Narrow"/>
                <w:i/>
                <w:sz w:val="18"/>
                <w:szCs w:val="18"/>
              </w:rPr>
            </w:pPr>
            <w:r w:rsidRPr="00E53D2C">
              <w:rPr>
                <w:rFonts w:ascii="Arial Narrow" w:hAnsi="Arial Narrow"/>
                <w:i/>
                <w:sz w:val="18"/>
                <w:szCs w:val="18"/>
              </w:rPr>
              <w:t>$720</w:t>
            </w:r>
          </w:p>
        </w:tc>
        <w:tc>
          <w:tcPr>
            <w:tcW w:w="0" w:type="auto"/>
          </w:tcPr>
          <w:p w:rsidR="00CA258D" w:rsidRPr="00014148" w:rsidRDefault="00CA258D" w:rsidP="00CA258D">
            <w:pPr>
              <w:jc w:val="center"/>
              <w:rPr>
                <w:rFonts w:ascii="Arial Narrow" w:hAnsi="Arial Narrow"/>
                <w:sz w:val="18"/>
                <w:szCs w:val="18"/>
              </w:rPr>
            </w:pPr>
            <w:r>
              <w:rPr>
                <w:rFonts w:ascii="Arial Narrow" w:hAnsi="Arial Narrow"/>
                <w:sz w:val="18"/>
                <w:szCs w:val="18"/>
              </w:rPr>
              <w:t>$366</w:t>
            </w:r>
          </w:p>
        </w:tc>
      </w:tr>
      <w:tr w:rsidR="00CA258D" w:rsidRPr="00014148" w:rsidTr="00197EE2">
        <w:trPr>
          <w:trHeight w:val="968"/>
        </w:trPr>
        <w:tc>
          <w:tcPr>
            <w:tcW w:w="0" w:type="auto"/>
            <w:shd w:val="clear" w:color="auto" w:fill="BFBFBF" w:themeFill="background1" w:themeFillShade="BF"/>
          </w:tcPr>
          <w:p w:rsidR="00CA258D" w:rsidRPr="00B7085F" w:rsidRDefault="00CA258D" w:rsidP="005F54C4">
            <w:pPr>
              <w:ind w:left="142"/>
              <w:rPr>
                <w:rFonts w:ascii="Arial Narrow" w:hAnsi="Arial Narrow"/>
                <w:b/>
                <w:sz w:val="18"/>
                <w:szCs w:val="18"/>
              </w:rPr>
            </w:pPr>
            <w:r w:rsidRPr="00C05660">
              <w:rPr>
                <w:rFonts w:ascii="Arial Narrow" w:hAnsi="Arial Narrow"/>
                <w:b/>
                <w:sz w:val="18"/>
                <w:szCs w:val="18"/>
              </w:rPr>
              <w:t xml:space="preserve">Total per </w:t>
            </w:r>
            <w:proofErr w:type="spellStart"/>
            <w:r w:rsidRPr="00C05660">
              <w:rPr>
                <w:rFonts w:ascii="Arial Narrow" w:hAnsi="Arial Narrow"/>
                <w:b/>
                <w:sz w:val="18"/>
                <w:szCs w:val="18"/>
              </w:rPr>
              <w:t>course</w:t>
            </w:r>
            <w:r>
              <w:rPr>
                <w:rFonts w:ascii="Arial Narrow" w:hAnsi="Arial Narrow"/>
                <w:b/>
                <w:sz w:val="18"/>
                <w:szCs w:val="18"/>
                <w:vertAlign w:val="superscript"/>
              </w:rPr>
              <w:t>f</w:t>
            </w:r>
            <w:proofErr w:type="spellEnd"/>
            <w:r>
              <w:rPr>
                <w:rFonts w:ascii="Arial Narrow" w:hAnsi="Arial Narrow"/>
                <w:b/>
                <w:sz w:val="18"/>
                <w:szCs w:val="18"/>
                <w:vertAlign w:val="superscript"/>
              </w:rPr>
              <w:t xml:space="preserve"> </w:t>
            </w:r>
            <w:r>
              <w:rPr>
                <w:rFonts w:ascii="Arial Narrow" w:hAnsi="Arial Narrow"/>
                <w:b/>
                <w:sz w:val="18"/>
                <w:szCs w:val="18"/>
                <w:vertAlign w:val="superscript"/>
              </w:rPr>
              <w:br/>
            </w:r>
            <w:r>
              <w:rPr>
                <w:rFonts w:ascii="Arial Narrow" w:hAnsi="Arial Narrow"/>
                <w:b/>
                <w:sz w:val="18"/>
                <w:szCs w:val="18"/>
              </w:rPr>
              <w:t>(delivery + associated + depreciation &amp; interest)</w:t>
            </w:r>
          </w:p>
        </w:tc>
        <w:tc>
          <w:tcPr>
            <w:tcW w:w="0" w:type="auto"/>
            <w:shd w:val="clear" w:color="auto" w:fill="BFBFBF" w:themeFill="background1" w:themeFillShade="BF"/>
          </w:tcPr>
          <w:p w:rsidR="00CA258D" w:rsidRPr="00E53D2C" w:rsidRDefault="00CA258D" w:rsidP="00CA258D">
            <w:pPr>
              <w:jc w:val="center"/>
              <w:rPr>
                <w:rFonts w:ascii="Arial Narrow" w:hAnsi="Arial Narrow"/>
                <w:b/>
                <w:i/>
                <w:sz w:val="18"/>
                <w:szCs w:val="18"/>
              </w:rPr>
            </w:pPr>
            <w:r>
              <w:rPr>
                <w:rFonts w:ascii="Arial Narrow" w:hAnsi="Arial Narrow"/>
                <w:b/>
                <w:i/>
                <w:sz w:val="18"/>
                <w:szCs w:val="18"/>
              </w:rPr>
              <w:t>$4,963</w:t>
            </w:r>
          </w:p>
        </w:tc>
        <w:tc>
          <w:tcPr>
            <w:tcW w:w="0" w:type="auto"/>
            <w:shd w:val="clear" w:color="auto" w:fill="BFBFBF" w:themeFill="background1" w:themeFillShade="BF"/>
          </w:tcPr>
          <w:p w:rsidR="00CA258D" w:rsidRPr="00E53D2C" w:rsidRDefault="00CA258D" w:rsidP="00CA258D">
            <w:pPr>
              <w:jc w:val="center"/>
              <w:rPr>
                <w:rFonts w:ascii="Arial Narrow" w:hAnsi="Arial Narrow"/>
                <w:b/>
                <w:i/>
                <w:sz w:val="18"/>
                <w:szCs w:val="18"/>
              </w:rPr>
            </w:pPr>
            <w:r w:rsidRPr="00E53D2C">
              <w:rPr>
                <w:rFonts w:ascii="Arial Narrow" w:hAnsi="Arial Narrow"/>
                <w:b/>
                <w:i/>
                <w:sz w:val="18"/>
                <w:szCs w:val="18"/>
              </w:rPr>
              <w:t>$8,055</w:t>
            </w:r>
          </w:p>
        </w:tc>
        <w:tc>
          <w:tcPr>
            <w:tcW w:w="0" w:type="auto"/>
            <w:shd w:val="clear" w:color="auto" w:fill="BFBFBF" w:themeFill="background1" w:themeFillShade="BF"/>
          </w:tcPr>
          <w:p w:rsidR="00CA258D" w:rsidRPr="00C05660" w:rsidRDefault="00CA258D" w:rsidP="00CA258D">
            <w:pPr>
              <w:jc w:val="center"/>
              <w:rPr>
                <w:rFonts w:ascii="Arial Narrow" w:hAnsi="Arial Narrow"/>
                <w:b/>
                <w:sz w:val="18"/>
                <w:szCs w:val="18"/>
              </w:rPr>
            </w:pPr>
            <w:r>
              <w:rPr>
                <w:rFonts w:ascii="Arial Narrow" w:hAnsi="Arial Narrow"/>
                <w:b/>
                <w:sz w:val="18"/>
                <w:szCs w:val="18"/>
              </w:rPr>
              <w:t>$3,147</w:t>
            </w:r>
          </w:p>
        </w:tc>
        <w:tc>
          <w:tcPr>
            <w:tcW w:w="0" w:type="auto"/>
            <w:shd w:val="clear" w:color="auto" w:fill="BFBFBF" w:themeFill="background1" w:themeFillShade="BF"/>
          </w:tcPr>
          <w:p w:rsidR="00CA258D" w:rsidRPr="00E53D2C" w:rsidRDefault="00CA258D" w:rsidP="00CA258D">
            <w:pPr>
              <w:jc w:val="center"/>
              <w:rPr>
                <w:rFonts w:ascii="Arial Narrow" w:hAnsi="Arial Narrow"/>
                <w:b/>
                <w:i/>
                <w:sz w:val="18"/>
                <w:szCs w:val="18"/>
              </w:rPr>
            </w:pPr>
            <w:r>
              <w:rPr>
                <w:rFonts w:ascii="Arial Narrow" w:hAnsi="Arial Narrow"/>
                <w:b/>
                <w:i/>
                <w:sz w:val="18"/>
                <w:szCs w:val="18"/>
              </w:rPr>
              <w:t>$5,454</w:t>
            </w:r>
          </w:p>
        </w:tc>
        <w:tc>
          <w:tcPr>
            <w:tcW w:w="0" w:type="auto"/>
            <w:shd w:val="clear" w:color="auto" w:fill="BFBFBF" w:themeFill="background1" w:themeFillShade="BF"/>
          </w:tcPr>
          <w:p w:rsidR="00CA258D" w:rsidRPr="00E53D2C" w:rsidRDefault="00CA258D" w:rsidP="00CA258D">
            <w:pPr>
              <w:jc w:val="center"/>
              <w:rPr>
                <w:rFonts w:ascii="Arial Narrow" w:hAnsi="Arial Narrow"/>
                <w:b/>
                <w:i/>
                <w:sz w:val="18"/>
                <w:szCs w:val="18"/>
              </w:rPr>
            </w:pPr>
            <w:r>
              <w:rPr>
                <w:rFonts w:ascii="Arial Narrow" w:hAnsi="Arial Narrow"/>
                <w:b/>
                <w:i/>
                <w:sz w:val="18"/>
                <w:szCs w:val="18"/>
              </w:rPr>
              <w:t>$9,018</w:t>
            </w:r>
          </w:p>
        </w:tc>
        <w:tc>
          <w:tcPr>
            <w:tcW w:w="0" w:type="auto"/>
            <w:shd w:val="clear" w:color="auto" w:fill="BFBFBF" w:themeFill="background1" w:themeFillShade="BF"/>
          </w:tcPr>
          <w:p w:rsidR="00CA258D" w:rsidRPr="00C05660" w:rsidRDefault="00CA258D" w:rsidP="00CA258D">
            <w:pPr>
              <w:jc w:val="center"/>
              <w:rPr>
                <w:rFonts w:ascii="Arial Narrow" w:hAnsi="Arial Narrow"/>
                <w:b/>
                <w:sz w:val="18"/>
                <w:szCs w:val="18"/>
              </w:rPr>
            </w:pPr>
            <w:r>
              <w:rPr>
                <w:rFonts w:ascii="Arial Narrow" w:hAnsi="Arial Narrow"/>
                <w:b/>
                <w:sz w:val="18"/>
                <w:szCs w:val="18"/>
              </w:rPr>
              <w:t>$3,638</w:t>
            </w:r>
          </w:p>
        </w:tc>
      </w:tr>
    </w:tbl>
    <w:p w:rsidR="00CA258D" w:rsidRPr="00197EE2" w:rsidRDefault="00CA258D" w:rsidP="00CA258D">
      <w:pPr>
        <w:tabs>
          <w:tab w:val="left" w:pos="284"/>
        </w:tabs>
        <w:ind w:left="284" w:hanging="284"/>
        <w:jc w:val="both"/>
        <w:rPr>
          <w:rFonts w:ascii="Arial Narrow" w:hAnsi="Arial Narrow"/>
          <w:sz w:val="18"/>
          <w:szCs w:val="18"/>
        </w:rPr>
      </w:pPr>
      <w:proofErr w:type="gramStart"/>
      <w:r w:rsidRPr="00197EE2">
        <w:rPr>
          <w:rFonts w:ascii="Arial Narrow" w:hAnsi="Arial Narrow"/>
          <w:sz w:val="16"/>
          <w:szCs w:val="16"/>
          <w:vertAlign w:val="superscript"/>
        </w:rPr>
        <w:t>a</w:t>
      </w:r>
      <w:proofErr w:type="gramEnd"/>
      <w:r w:rsidRPr="00197EE2">
        <w:rPr>
          <w:rFonts w:ascii="Arial Narrow" w:hAnsi="Arial Narrow"/>
          <w:sz w:val="16"/>
          <w:szCs w:val="16"/>
          <w:vertAlign w:val="superscript"/>
        </w:rPr>
        <w:tab/>
      </w:r>
      <w:r w:rsidRPr="00197EE2">
        <w:rPr>
          <w:rFonts w:ascii="Arial Narrow" w:hAnsi="Arial Narrow"/>
          <w:sz w:val="18"/>
          <w:szCs w:val="18"/>
        </w:rPr>
        <w:t xml:space="preserve">3D-CRT </w:t>
      </w:r>
      <w:proofErr w:type="spellStart"/>
      <w:r w:rsidRPr="00197EE2">
        <w:rPr>
          <w:rFonts w:ascii="Arial Narrow" w:hAnsi="Arial Narrow"/>
          <w:sz w:val="18"/>
          <w:szCs w:val="18"/>
        </w:rPr>
        <w:t>linac</w:t>
      </w:r>
      <w:proofErr w:type="spellEnd"/>
      <w:r w:rsidRPr="00197EE2">
        <w:rPr>
          <w:rFonts w:ascii="Arial Narrow" w:hAnsi="Arial Narrow"/>
          <w:sz w:val="18"/>
          <w:szCs w:val="18"/>
        </w:rPr>
        <w:t xml:space="preserve">=$375,000/414 courses ($906); IMRT </w:t>
      </w:r>
      <w:proofErr w:type="spellStart"/>
      <w:r w:rsidRPr="00197EE2">
        <w:rPr>
          <w:rFonts w:ascii="Arial Narrow" w:hAnsi="Arial Narrow"/>
          <w:sz w:val="18"/>
          <w:szCs w:val="18"/>
        </w:rPr>
        <w:t>linac</w:t>
      </w:r>
      <w:proofErr w:type="spellEnd"/>
      <w:r w:rsidRPr="00197EE2">
        <w:rPr>
          <w:rFonts w:ascii="Arial Narrow" w:hAnsi="Arial Narrow"/>
          <w:sz w:val="18"/>
          <w:szCs w:val="18"/>
        </w:rPr>
        <w:t>=$442,500/414 courses ($1,068) = difference of $163. Paid for the capability to conduct IMRT, but only applied in 30% of cases, thus increment is $163/30% = $543. Total cost for IMRT = $906+$543 = $1,449</w:t>
      </w:r>
    </w:p>
    <w:p w:rsidR="00CA258D" w:rsidRPr="00197EE2" w:rsidRDefault="00CA258D" w:rsidP="00CA258D">
      <w:pPr>
        <w:tabs>
          <w:tab w:val="left" w:pos="284"/>
        </w:tabs>
        <w:rPr>
          <w:rFonts w:ascii="Arial Narrow" w:hAnsi="Arial Narrow"/>
          <w:sz w:val="18"/>
          <w:szCs w:val="18"/>
        </w:rPr>
      </w:pPr>
      <w:proofErr w:type="gramStart"/>
      <w:r w:rsidRPr="00197EE2">
        <w:rPr>
          <w:rFonts w:ascii="Arial Narrow" w:hAnsi="Arial Narrow"/>
          <w:sz w:val="18"/>
          <w:szCs w:val="18"/>
          <w:vertAlign w:val="superscript"/>
        </w:rPr>
        <w:t>b</w:t>
      </w:r>
      <w:proofErr w:type="gramEnd"/>
      <w:r w:rsidRPr="00197EE2">
        <w:rPr>
          <w:rFonts w:ascii="Arial Narrow" w:hAnsi="Arial Narrow"/>
          <w:sz w:val="18"/>
          <w:szCs w:val="18"/>
        </w:rPr>
        <w:tab/>
        <w:t xml:space="preserve">additional $1.00/attendance for additional power </w:t>
      </w:r>
    </w:p>
    <w:p w:rsidR="00CA258D" w:rsidRPr="00197EE2" w:rsidRDefault="00CA258D" w:rsidP="00CA258D">
      <w:pPr>
        <w:tabs>
          <w:tab w:val="left" w:pos="284"/>
        </w:tabs>
        <w:rPr>
          <w:rFonts w:ascii="Arial Narrow" w:hAnsi="Arial Narrow"/>
          <w:sz w:val="18"/>
          <w:szCs w:val="18"/>
        </w:rPr>
      </w:pPr>
      <w:proofErr w:type="gramStart"/>
      <w:r w:rsidRPr="00197EE2">
        <w:rPr>
          <w:rFonts w:ascii="Arial Narrow" w:hAnsi="Arial Narrow"/>
          <w:sz w:val="18"/>
          <w:szCs w:val="18"/>
          <w:vertAlign w:val="superscript"/>
        </w:rPr>
        <w:t>c</w:t>
      </w:r>
      <w:proofErr w:type="gramEnd"/>
      <w:r w:rsidRPr="00197EE2">
        <w:rPr>
          <w:rFonts w:ascii="Arial Narrow" w:hAnsi="Arial Narrow"/>
          <w:sz w:val="18"/>
          <w:szCs w:val="18"/>
        </w:rPr>
        <w:tab/>
        <w:t xml:space="preserve">additional $1.00/attendance for additional data </w:t>
      </w:r>
    </w:p>
    <w:p w:rsidR="00CA258D" w:rsidRPr="00197EE2" w:rsidRDefault="00CA258D" w:rsidP="00CA258D">
      <w:pPr>
        <w:tabs>
          <w:tab w:val="left" w:pos="284"/>
        </w:tabs>
        <w:rPr>
          <w:rFonts w:ascii="Arial Narrow" w:hAnsi="Arial Narrow"/>
          <w:sz w:val="18"/>
          <w:szCs w:val="18"/>
        </w:rPr>
      </w:pPr>
      <w:proofErr w:type="gramStart"/>
      <w:r w:rsidRPr="00197EE2">
        <w:rPr>
          <w:rFonts w:ascii="Arial Narrow" w:hAnsi="Arial Narrow"/>
          <w:sz w:val="18"/>
          <w:szCs w:val="18"/>
          <w:vertAlign w:val="superscript"/>
        </w:rPr>
        <w:t>d</w:t>
      </w:r>
      <w:proofErr w:type="gramEnd"/>
      <w:r w:rsidRPr="00197EE2">
        <w:rPr>
          <w:rFonts w:ascii="Arial Narrow" w:hAnsi="Arial Narrow"/>
          <w:sz w:val="18"/>
          <w:szCs w:val="18"/>
        </w:rPr>
        <w:tab/>
        <w:t>3.0% for staffing costs</w:t>
      </w:r>
    </w:p>
    <w:p w:rsidR="00CA258D" w:rsidRPr="00197EE2" w:rsidRDefault="00CA258D" w:rsidP="00CA258D">
      <w:pPr>
        <w:tabs>
          <w:tab w:val="left" w:pos="284"/>
        </w:tabs>
        <w:rPr>
          <w:rFonts w:ascii="Arial Narrow" w:hAnsi="Arial Narrow"/>
          <w:sz w:val="18"/>
          <w:szCs w:val="18"/>
        </w:rPr>
      </w:pPr>
      <w:proofErr w:type="gramStart"/>
      <w:r w:rsidRPr="00197EE2">
        <w:rPr>
          <w:rFonts w:ascii="Arial Narrow" w:hAnsi="Arial Narrow"/>
          <w:sz w:val="18"/>
          <w:szCs w:val="18"/>
          <w:vertAlign w:val="superscript"/>
        </w:rPr>
        <w:t>e</w:t>
      </w:r>
      <w:proofErr w:type="gramEnd"/>
      <w:r w:rsidRPr="00197EE2">
        <w:rPr>
          <w:rFonts w:ascii="Arial Narrow" w:hAnsi="Arial Narrow"/>
          <w:sz w:val="18"/>
          <w:szCs w:val="18"/>
        </w:rPr>
        <w:tab/>
        <w:t>5.0% for staffing costs</w:t>
      </w:r>
    </w:p>
    <w:p w:rsidR="00CA258D" w:rsidRPr="00197EE2" w:rsidRDefault="00CA258D" w:rsidP="00CA258D">
      <w:pPr>
        <w:tabs>
          <w:tab w:val="left" w:pos="284"/>
        </w:tabs>
        <w:ind w:left="284" w:hanging="284"/>
        <w:jc w:val="both"/>
        <w:rPr>
          <w:rFonts w:ascii="Arial Narrow" w:hAnsi="Arial Narrow"/>
          <w:sz w:val="18"/>
          <w:szCs w:val="18"/>
        </w:rPr>
      </w:pPr>
      <w:proofErr w:type="gramStart"/>
      <w:r w:rsidRPr="00197EE2">
        <w:rPr>
          <w:rFonts w:ascii="Arial Narrow" w:hAnsi="Arial Narrow"/>
          <w:sz w:val="18"/>
          <w:szCs w:val="18"/>
          <w:vertAlign w:val="superscript"/>
        </w:rPr>
        <w:t>f</w:t>
      </w:r>
      <w:proofErr w:type="gramEnd"/>
      <w:r w:rsidRPr="00197EE2">
        <w:rPr>
          <w:rFonts w:ascii="Arial Narrow" w:hAnsi="Arial Narrow"/>
          <w:sz w:val="18"/>
          <w:szCs w:val="18"/>
        </w:rPr>
        <w:tab/>
        <w:t xml:space="preserve">total costs calculated for 3D-CRT and IMRT excluding utility and communications costs as these could not be elucidated from the available data. </w:t>
      </w:r>
      <w:r w:rsidRPr="00197EE2">
        <w:rPr>
          <w:rFonts w:ascii="Arial Narrow" w:hAnsi="Arial Narrow"/>
          <w:sz w:val="18"/>
          <w:szCs w:val="18"/>
          <w:u w:val="single"/>
        </w:rPr>
        <w:t>Incremental costs include these variables.</w:t>
      </w:r>
    </w:p>
    <w:p w:rsidR="00CA258D" w:rsidRPr="00197EE2" w:rsidRDefault="00CA258D" w:rsidP="00CA258D">
      <w:pPr>
        <w:tabs>
          <w:tab w:val="left" w:pos="284"/>
        </w:tabs>
        <w:ind w:left="284" w:hanging="284"/>
        <w:jc w:val="both"/>
        <w:rPr>
          <w:rFonts w:ascii="Arial Narrow" w:hAnsi="Arial Narrow"/>
          <w:sz w:val="18"/>
          <w:szCs w:val="18"/>
        </w:rPr>
      </w:pPr>
      <w:proofErr w:type="gramStart"/>
      <w:r w:rsidRPr="00197EE2">
        <w:rPr>
          <w:rFonts w:ascii="Arial Narrow" w:hAnsi="Arial Narrow"/>
          <w:sz w:val="18"/>
          <w:szCs w:val="18"/>
          <w:vertAlign w:val="superscript"/>
        </w:rPr>
        <w:lastRenderedPageBreak/>
        <w:t>g</w:t>
      </w:r>
      <w:proofErr w:type="gramEnd"/>
      <w:r w:rsidRPr="00197EE2">
        <w:rPr>
          <w:rFonts w:ascii="Arial Narrow" w:hAnsi="Arial Narrow"/>
          <w:sz w:val="18"/>
          <w:szCs w:val="18"/>
        </w:rPr>
        <w:tab/>
        <w:t xml:space="preserve">3D-CRT </w:t>
      </w:r>
      <w:proofErr w:type="spellStart"/>
      <w:r w:rsidRPr="00197EE2">
        <w:rPr>
          <w:rFonts w:ascii="Arial Narrow" w:hAnsi="Arial Narrow"/>
          <w:sz w:val="18"/>
          <w:szCs w:val="18"/>
        </w:rPr>
        <w:t>linac</w:t>
      </w:r>
      <w:proofErr w:type="spellEnd"/>
      <w:r w:rsidRPr="00197EE2">
        <w:rPr>
          <w:rFonts w:ascii="Arial Narrow" w:hAnsi="Arial Narrow"/>
          <w:sz w:val="18"/>
          <w:szCs w:val="18"/>
        </w:rPr>
        <w:t xml:space="preserve">=$607,798/414 courses ($1,468); IMRT </w:t>
      </w:r>
      <w:proofErr w:type="spellStart"/>
      <w:r w:rsidRPr="00197EE2">
        <w:rPr>
          <w:rFonts w:ascii="Arial Narrow" w:hAnsi="Arial Narrow"/>
          <w:sz w:val="18"/>
          <w:szCs w:val="18"/>
        </w:rPr>
        <w:t>linac</w:t>
      </w:r>
      <w:proofErr w:type="spellEnd"/>
      <w:r w:rsidRPr="00197EE2">
        <w:rPr>
          <w:rFonts w:ascii="Arial Narrow" w:hAnsi="Arial Narrow"/>
          <w:sz w:val="18"/>
          <w:szCs w:val="18"/>
        </w:rPr>
        <w:t>=$772,798/414 courses ($1,867) = difference of $399. Paid for the capability to conduct IMRT, but only applied in 30% of cases, thus increment is $399/30% = $1,329. Total depreciation for IMRT = $1,468+$1,329 = $2,797</w:t>
      </w:r>
    </w:p>
    <w:p w:rsidR="00CA258D" w:rsidRPr="00197EE2" w:rsidRDefault="00CA258D" w:rsidP="00CA258D">
      <w:pPr>
        <w:tabs>
          <w:tab w:val="left" w:pos="284"/>
        </w:tabs>
        <w:ind w:left="284" w:hanging="284"/>
        <w:jc w:val="both"/>
        <w:rPr>
          <w:rFonts w:ascii="Arial Narrow" w:hAnsi="Arial Narrow"/>
          <w:sz w:val="18"/>
          <w:szCs w:val="18"/>
        </w:rPr>
      </w:pPr>
      <w:proofErr w:type="gramStart"/>
      <w:r w:rsidRPr="00197EE2">
        <w:rPr>
          <w:rFonts w:ascii="Arial Narrow" w:hAnsi="Arial Narrow"/>
          <w:sz w:val="18"/>
          <w:szCs w:val="18"/>
          <w:vertAlign w:val="superscript"/>
        </w:rPr>
        <w:t>h</w:t>
      </w:r>
      <w:proofErr w:type="gramEnd"/>
      <w:r w:rsidRPr="00197EE2">
        <w:rPr>
          <w:rFonts w:ascii="Arial Narrow" w:hAnsi="Arial Narrow"/>
          <w:sz w:val="18"/>
          <w:szCs w:val="18"/>
        </w:rPr>
        <w:tab/>
        <w:t xml:space="preserve">3D-CRT </w:t>
      </w:r>
      <w:proofErr w:type="spellStart"/>
      <w:r w:rsidRPr="00197EE2">
        <w:rPr>
          <w:rFonts w:ascii="Arial Narrow" w:hAnsi="Arial Narrow"/>
          <w:sz w:val="18"/>
          <w:szCs w:val="18"/>
        </w:rPr>
        <w:t>linac</w:t>
      </w:r>
      <w:proofErr w:type="spellEnd"/>
      <w:r w:rsidRPr="00197EE2">
        <w:rPr>
          <w:rFonts w:ascii="Arial Narrow" w:hAnsi="Arial Narrow"/>
          <w:sz w:val="18"/>
          <w:szCs w:val="18"/>
        </w:rPr>
        <w:t xml:space="preserve">=$3,857,500/414 courses *3.8% ($354); IMRT </w:t>
      </w:r>
      <w:proofErr w:type="spellStart"/>
      <w:r w:rsidRPr="00197EE2">
        <w:rPr>
          <w:rFonts w:ascii="Arial Narrow" w:hAnsi="Arial Narrow"/>
          <w:sz w:val="18"/>
          <w:szCs w:val="18"/>
        </w:rPr>
        <w:t>linac</w:t>
      </w:r>
      <w:proofErr w:type="spellEnd"/>
      <w:r w:rsidRPr="00197EE2">
        <w:rPr>
          <w:rFonts w:ascii="Arial Narrow" w:hAnsi="Arial Narrow"/>
          <w:sz w:val="18"/>
          <w:szCs w:val="18"/>
        </w:rPr>
        <w:t>=$5,057,500/414 courses * 3.8% ($464) = difference of $110. Paid for the capability to conduct IMRT, but only applied in 30% of cases, thus increment is $110/30% = $366. Total interest for IMRT = $354+$366 = $720</w:t>
      </w:r>
    </w:p>
    <w:p w:rsidR="00BC1364" w:rsidRPr="0075468E" w:rsidRDefault="00BC1364" w:rsidP="00DD2858">
      <w:pPr>
        <w:rPr>
          <w:szCs w:val="24"/>
        </w:rPr>
      </w:pPr>
    </w:p>
    <w:p w:rsidR="00BC1364" w:rsidRDefault="00BC1364" w:rsidP="007B32D1">
      <w:pPr>
        <w:pStyle w:val="Heading1"/>
        <w:numPr>
          <w:ilvl w:val="0"/>
          <w:numId w:val="23"/>
        </w:numPr>
        <w:ind w:hanging="720"/>
      </w:pPr>
      <w:r w:rsidRPr="008D5885">
        <w:t>Financial/budgetary impacts</w:t>
      </w:r>
    </w:p>
    <w:p w:rsidR="00BC1364" w:rsidRDefault="00BC1364" w:rsidP="00D340DE">
      <w:pPr>
        <w:pStyle w:val="Default"/>
      </w:pPr>
    </w:p>
    <w:p w:rsidR="00CA258D" w:rsidRDefault="00AD39A6" w:rsidP="00CA258D">
      <w:r>
        <w:t>MSAC agreed that b</w:t>
      </w:r>
      <w:r w:rsidR="001951D9">
        <w:t xml:space="preserve">ased on a cost minimisation approach, </w:t>
      </w:r>
      <w:r w:rsidR="00CA258D">
        <w:t>the cost of a course of IMRT sho</w:t>
      </w:r>
      <w:r w:rsidR="00E2182B">
        <w:t xml:space="preserve">uld not exceed that of 3D-CRT. </w:t>
      </w:r>
      <w:r w:rsidR="00CA258D">
        <w:t xml:space="preserve">This </w:t>
      </w:r>
      <w:r>
        <w:t>sh</w:t>
      </w:r>
      <w:r w:rsidR="00CA258D">
        <w:t xml:space="preserve">ould not result in any incremental cost to the MBS. </w:t>
      </w:r>
    </w:p>
    <w:p w:rsidR="00E2182B" w:rsidRDefault="00E2182B" w:rsidP="00E2182B">
      <w:pPr>
        <w:pStyle w:val="Default"/>
        <w:rPr>
          <w:rFonts w:eastAsia="Times New Roman"/>
          <w:color w:val="auto"/>
          <w:szCs w:val="20"/>
          <w:lang w:eastAsia="en-AU"/>
        </w:rPr>
      </w:pPr>
    </w:p>
    <w:p w:rsidR="006A0D97" w:rsidRDefault="006A0D97" w:rsidP="006A0D97">
      <w:pPr>
        <w:pStyle w:val="Heading1"/>
        <w:numPr>
          <w:ilvl w:val="0"/>
          <w:numId w:val="23"/>
        </w:numPr>
        <w:ind w:hanging="720"/>
      </w:pPr>
      <w:r w:rsidRPr="006A0D97">
        <w:t>Key issues from ESC for MSAC</w:t>
      </w:r>
    </w:p>
    <w:p w:rsidR="00F50BF3" w:rsidRDefault="00F50BF3" w:rsidP="00CA258D">
      <w:pPr>
        <w:tabs>
          <w:tab w:val="left" w:pos="720"/>
          <w:tab w:val="left" w:pos="1140"/>
        </w:tabs>
        <w:rPr>
          <w:szCs w:val="24"/>
        </w:rPr>
      </w:pPr>
    </w:p>
    <w:p w:rsidR="00D801A6" w:rsidRDefault="00CA258D" w:rsidP="00D801A6">
      <w:pPr>
        <w:tabs>
          <w:tab w:val="left" w:pos="720"/>
          <w:tab w:val="left" w:pos="1140"/>
        </w:tabs>
        <w:rPr>
          <w:color w:val="000000"/>
          <w:szCs w:val="24"/>
        </w:rPr>
      </w:pPr>
      <w:r w:rsidRPr="006D22A9">
        <w:rPr>
          <w:szCs w:val="24"/>
        </w:rPr>
        <w:t xml:space="preserve">ESC noted that the applicant was of the opinion that the report continued to demonstrate a poor understanding of radiation therapy, the application, and the data. </w:t>
      </w:r>
      <w:r>
        <w:rPr>
          <w:color w:val="000000"/>
          <w:szCs w:val="24"/>
        </w:rPr>
        <w:t>While taking into account the applicant’s concerns, ESC considered that the assessment generally represented a good analysis of a poor dataset.</w:t>
      </w:r>
    </w:p>
    <w:p w:rsidR="00CA258D" w:rsidRDefault="00D801A6" w:rsidP="00D801A6">
      <w:pPr>
        <w:tabs>
          <w:tab w:val="left" w:pos="720"/>
          <w:tab w:val="left" w:pos="1140"/>
        </w:tabs>
        <w:rPr>
          <w:color w:val="000000"/>
          <w:szCs w:val="24"/>
        </w:rPr>
      </w:pPr>
      <w:r>
        <w:rPr>
          <w:color w:val="000000"/>
          <w:szCs w:val="24"/>
        </w:rPr>
        <w:t xml:space="preserve"> </w:t>
      </w:r>
    </w:p>
    <w:p w:rsidR="00CA258D" w:rsidRPr="007C49C0" w:rsidRDefault="00CA258D" w:rsidP="00CA258D">
      <w:pPr>
        <w:autoSpaceDE w:val="0"/>
        <w:autoSpaceDN w:val="0"/>
        <w:adjustRightInd w:val="0"/>
        <w:rPr>
          <w:color w:val="FF0000"/>
          <w:szCs w:val="24"/>
        </w:rPr>
      </w:pPr>
      <w:r>
        <w:rPr>
          <w:color w:val="000000"/>
          <w:szCs w:val="24"/>
        </w:rPr>
        <w:t xml:space="preserve">In considering the ANROTAT study, ESC noted that </w:t>
      </w:r>
      <w:r w:rsidRPr="00AC7DA6">
        <w:rPr>
          <w:color w:val="000000"/>
          <w:szCs w:val="24"/>
        </w:rPr>
        <w:t xml:space="preserve">the conclusions from the study </w:t>
      </w:r>
      <w:r>
        <w:rPr>
          <w:color w:val="000000"/>
          <w:szCs w:val="24"/>
        </w:rPr>
        <w:t>were</w:t>
      </w:r>
      <w:r w:rsidRPr="00AC7DA6">
        <w:rPr>
          <w:color w:val="000000"/>
          <w:szCs w:val="24"/>
        </w:rPr>
        <w:t xml:space="preserve"> heavily reliant on expert opinion from TROG (such as in the determination of transition probabilities and quality of life of various health states</w:t>
      </w:r>
      <w:r w:rsidR="00C9589F">
        <w:rPr>
          <w:color w:val="000000"/>
          <w:szCs w:val="24"/>
        </w:rPr>
        <w:t>)</w:t>
      </w:r>
      <w:r w:rsidR="00F50BF3">
        <w:rPr>
          <w:color w:val="000000"/>
          <w:szCs w:val="24"/>
        </w:rPr>
        <w:t xml:space="preserve">. </w:t>
      </w:r>
      <w:r>
        <w:rPr>
          <w:color w:val="000000"/>
          <w:szCs w:val="24"/>
        </w:rPr>
        <w:t>ESC supported the exclusion of the ANROTAT study from the evidence section of the assessment report, but considered its outcomes in reaching the views.</w:t>
      </w:r>
    </w:p>
    <w:p w:rsidR="00CA258D" w:rsidRDefault="00CA258D" w:rsidP="00CA258D">
      <w:pPr>
        <w:autoSpaceDE w:val="0"/>
        <w:autoSpaceDN w:val="0"/>
        <w:adjustRightInd w:val="0"/>
        <w:rPr>
          <w:color w:val="000000"/>
          <w:szCs w:val="24"/>
        </w:rPr>
      </w:pPr>
    </w:p>
    <w:p w:rsidR="00CA258D" w:rsidRDefault="00CA258D" w:rsidP="00CA258D">
      <w:pPr>
        <w:autoSpaceDE w:val="0"/>
        <w:autoSpaceDN w:val="0"/>
        <w:adjustRightInd w:val="0"/>
        <w:rPr>
          <w:color w:val="000000"/>
          <w:szCs w:val="24"/>
        </w:rPr>
      </w:pPr>
      <w:r w:rsidRPr="006D22A9">
        <w:rPr>
          <w:szCs w:val="24"/>
        </w:rPr>
        <w:t>ESC noted the recent publication in peer-reviewed literature of the Beadle et al (2014) paper</w:t>
      </w:r>
      <w:r w:rsidR="00F50BF3">
        <w:rPr>
          <w:szCs w:val="24"/>
        </w:rPr>
        <w:t xml:space="preserve">. </w:t>
      </w:r>
      <w:r w:rsidRPr="006D22A9">
        <w:rPr>
          <w:szCs w:val="24"/>
        </w:rPr>
        <w:t xml:space="preserve">ESC considered </w:t>
      </w:r>
      <w:r>
        <w:rPr>
          <w:szCs w:val="24"/>
        </w:rPr>
        <w:t xml:space="preserve">that </w:t>
      </w:r>
      <w:r w:rsidRPr="006D22A9">
        <w:rPr>
          <w:szCs w:val="24"/>
        </w:rPr>
        <w:t xml:space="preserve">the </w:t>
      </w:r>
      <w:r>
        <w:rPr>
          <w:szCs w:val="24"/>
        </w:rPr>
        <w:t xml:space="preserve">quality of the </w:t>
      </w:r>
      <w:r w:rsidRPr="006D22A9">
        <w:rPr>
          <w:szCs w:val="24"/>
        </w:rPr>
        <w:t xml:space="preserve">study </w:t>
      </w:r>
      <w:r>
        <w:rPr>
          <w:szCs w:val="24"/>
        </w:rPr>
        <w:t xml:space="preserve">was not low and </w:t>
      </w:r>
      <w:r w:rsidRPr="006D22A9">
        <w:rPr>
          <w:szCs w:val="24"/>
        </w:rPr>
        <w:t>represented a good use of observational data, noting that the authors tried to account for selection bias by using propensity score matching and an Instrum</w:t>
      </w:r>
      <w:r w:rsidR="00F50BF3">
        <w:rPr>
          <w:szCs w:val="24"/>
        </w:rPr>
        <w:t xml:space="preserve">ental Variables (IV) approach. </w:t>
      </w:r>
      <w:r w:rsidRPr="006D22A9">
        <w:rPr>
          <w:szCs w:val="24"/>
        </w:rPr>
        <w:t>ESC noted that</w:t>
      </w:r>
      <w:r>
        <w:rPr>
          <w:szCs w:val="24"/>
        </w:rPr>
        <w:t>, to be a valid instrument,</w:t>
      </w:r>
      <w:r w:rsidRPr="006D22A9">
        <w:rPr>
          <w:szCs w:val="24"/>
        </w:rPr>
        <w:t xml:space="preserve"> clinician experience </w:t>
      </w:r>
      <w:r>
        <w:rPr>
          <w:szCs w:val="24"/>
        </w:rPr>
        <w:t>must</w:t>
      </w:r>
      <w:r w:rsidRPr="006D22A9">
        <w:rPr>
          <w:szCs w:val="24"/>
        </w:rPr>
        <w:t xml:space="preserve"> affect patient outcome via </w:t>
      </w:r>
      <w:r>
        <w:rPr>
          <w:szCs w:val="24"/>
        </w:rPr>
        <w:t xml:space="preserve">the provision of </w:t>
      </w:r>
      <w:r w:rsidRPr="006D22A9">
        <w:rPr>
          <w:szCs w:val="24"/>
        </w:rPr>
        <w:t>IMRT, and not directly</w:t>
      </w:r>
      <w:r>
        <w:rPr>
          <w:szCs w:val="24"/>
        </w:rPr>
        <w:t xml:space="preserve"> (i.e. not independently of the provision of IMRT)</w:t>
      </w:r>
      <w:r w:rsidRPr="006D22A9">
        <w:rPr>
          <w:szCs w:val="24"/>
        </w:rPr>
        <w:t>. That is, to affect patient outcomes, clinician experience must be correlated with the decision by the clinician to offer IMRT as a treatment option</w:t>
      </w:r>
      <w:r>
        <w:rPr>
          <w:szCs w:val="24"/>
        </w:rPr>
        <w:t xml:space="preserve"> and not directly correlated with patient outcomes</w:t>
      </w:r>
      <w:r w:rsidRPr="006D22A9">
        <w:rPr>
          <w:szCs w:val="24"/>
        </w:rPr>
        <w:t xml:space="preserve">. Based on this, ESC considered the chosen IV in Beadle et al </w:t>
      </w:r>
      <w:r w:rsidR="004A4236">
        <w:rPr>
          <w:szCs w:val="24"/>
        </w:rPr>
        <w:t xml:space="preserve">(2014) </w:t>
      </w:r>
      <w:r w:rsidRPr="006D22A9">
        <w:rPr>
          <w:szCs w:val="24"/>
        </w:rPr>
        <w:t xml:space="preserve">to be </w:t>
      </w:r>
      <w:r>
        <w:rPr>
          <w:szCs w:val="24"/>
        </w:rPr>
        <w:t xml:space="preserve">a </w:t>
      </w:r>
      <w:r w:rsidRPr="006D22A9">
        <w:rPr>
          <w:szCs w:val="24"/>
        </w:rPr>
        <w:t xml:space="preserve">weak </w:t>
      </w:r>
      <w:r>
        <w:rPr>
          <w:szCs w:val="24"/>
        </w:rPr>
        <w:t xml:space="preserve">instrument because of </w:t>
      </w:r>
      <w:r w:rsidRPr="006D22A9">
        <w:rPr>
          <w:szCs w:val="24"/>
        </w:rPr>
        <w:t xml:space="preserve">the argument that </w:t>
      </w:r>
      <w:r>
        <w:rPr>
          <w:szCs w:val="24"/>
        </w:rPr>
        <w:t xml:space="preserve">it is plausible that </w:t>
      </w:r>
      <w:r w:rsidRPr="006D22A9">
        <w:rPr>
          <w:szCs w:val="24"/>
        </w:rPr>
        <w:t>a clinician’s experience could affect patient outcomes independently of the choice of IMRT or 3D-CRT</w:t>
      </w:r>
      <w:r>
        <w:rPr>
          <w:color w:val="FF0000"/>
          <w:szCs w:val="24"/>
        </w:rPr>
        <w:t>.</w:t>
      </w:r>
    </w:p>
    <w:p w:rsidR="00CA258D" w:rsidRDefault="00CA258D" w:rsidP="00CA258D">
      <w:pPr>
        <w:autoSpaceDE w:val="0"/>
        <w:autoSpaceDN w:val="0"/>
        <w:adjustRightInd w:val="0"/>
        <w:rPr>
          <w:color w:val="000000"/>
          <w:szCs w:val="24"/>
        </w:rPr>
      </w:pPr>
    </w:p>
    <w:p w:rsidR="00CA258D" w:rsidRDefault="00CA258D" w:rsidP="00CA258D">
      <w:pPr>
        <w:autoSpaceDE w:val="0"/>
        <w:autoSpaceDN w:val="0"/>
        <w:adjustRightInd w:val="0"/>
        <w:rPr>
          <w:color w:val="000000"/>
          <w:szCs w:val="24"/>
        </w:rPr>
      </w:pPr>
      <w:r>
        <w:rPr>
          <w:color w:val="000000"/>
          <w:szCs w:val="24"/>
        </w:rPr>
        <w:t xml:space="preserve">ESC also considered that the </w:t>
      </w:r>
      <w:r w:rsidRPr="00395D53">
        <w:rPr>
          <w:color w:val="000000"/>
          <w:szCs w:val="24"/>
        </w:rPr>
        <w:t>study d</w:t>
      </w:r>
      <w:r>
        <w:rPr>
          <w:color w:val="000000"/>
          <w:szCs w:val="24"/>
        </w:rPr>
        <w:t>id</w:t>
      </w:r>
      <w:r w:rsidRPr="00395D53">
        <w:rPr>
          <w:color w:val="000000"/>
          <w:szCs w:val="24"/>
        </w:rPr>
        <w:t xml:space="preserve"> not inform a comparison of IMRT against the </w:t>
      </w:r>
      <w:r>
        <w:rPr>
          <w:color w:val="000000"/>
          <w:szCs w:val="24"/>
        </w:rPr>
        <w:t xml:space="preserve">comparator that PASC </w:t>
      </w:r>
      <w:r w:rsidRPr="00395D53">
        <w:rPr>
          <w:color w:val="000000"/>
          <w:szCs w:val="24"/>
        </w:rPr>
        <w:t>recommended</w:t>
      </w:r>
      <w:r>
        <w:rPr>
          <w:color w:val="000000"/>
          <w:szCs w:val="24"/>
        </w:rPr>
        <w:t xml:space="preserve"> (and the applicant accepted) </w:t>
      </w:r>
      <w:r w:rsidR="00E14A30">
        <w:rPr>
          <w:color w:val="000000"/>
          <w:szCs w:val="24"/>
        </w:rPr>
        <w:t xml:space="preserve">– 3D-CRT – </w:t>
      </w:r>
      <w:r>
        <w:rPr>
          <w:color w:val="000000"/>
          <w:szCs w:val="24"/>
        </w:rPr>
        <w:t xml:space="preserve">as the study assumed </w:t>
      </w:r>
      <w:r w:rsidRPr="00395D53">
        <w:rPr>
          <w:color w:val="000000"/>
          <w:szCs w:val="24"/>
        </w:rPr>
        <w:t xml:space="preserve">individuals who did not have an IMRT planning code were treated with </w:t>
      </w:r>
      <w:r w:rsidR="00E14A30">
        <w:rPr>
          <w:color w:val="000000"/>
          <w:szCs w:val="24"/>
        </w:rPr>
        <w:t xml:space="preserve">either </w:t>
      </w:r>
      <w:r w:rsidRPr="00395D53">
        <w:rPr>
          <w:color w:val="000000"/>
          <w:szCs w:val="24"/>
        </w:rPr>
        <w:t>2D</w:t>
      </w:r>
      <w:r w:rsidR="00E14A30">
        <w:rPr>
          <w:color w:val="000000"/>
          <w:szCs w:val="24"/>
        </w:rPr>
        <w:t>-</w:t>
      </w:r>
      <w:r w:rsidRPr="00395D53">
        <w:rPr>
          <w:color w:val="000000"/>
          <w:szCs w:val="24"/>
        </w:rPr>
        <w:t>CRT or 3D</w:t>
      </w:r>
      <w:r w:rsidR="00E14A30">
        <w:rPr>
          <w:color w:val="000000"/>
          <w:szCs w:val="24"/>
        </w:rPr>
        <w:t>-</w:t>
      </w:r>
      <w:r w:rsidRPr="00395D53">
        <w:rPr>
          <w:color w:val="000000"/>
          <w:szCs w:val="24"/>
        </w:rPr>
        <w:t>CRT</w:t>
      </w:r>
      <w:r>
        <w:rPr>
          <w:color w:val="000000"/>
          <w:szCs w:val="24"/>
        </w:rPr>
        <w:t xml:space="preserve">. </w:t>
      </w:r>
    </w:p>
    <w:p w:rsidR="00CA258D" w:rsidRDefault="00CA258D" w:rsidP="00CA258D">
      <w:pPr>
        <w:autoSpaceDE w:val="0"/>
        <w:autoSpaceDN w:val="0"/>
        <w:adjustRightInd w:val="0"/>
        <w:rPr>
          <w:color w:val="000000"/>
          <w:szCs w:val="24"/>
        </w:rPr>
      </w:pPr>
    </w:p>
    <w:p w:rsidR="00CA258D" w:rsidRPr="006D22A9" w:rsidRDefault="00CA258D" w:rsidP="00CA258D">
      <w:pPr>
        <w:autoSpaceDE w:val="0"/>
        <w:autoSpaceDN w:val="0"/>
        <w:adjustRightInd w:val="0"/>
        <w:rPr>
          <w:szCs w:val="24"/>
        </w:rPr>
      </w:pPr>
      <w:r>
        <w:rPr>
          <w:color w:val="000000"/>
          <w:szCs w:val="24"/>
        </w:rPr>
        <w:t>ESC noted that IGRT (i</w:t>
      </w:r>
      <w:r w:rsidRPr="00C15ECA">
        <w:rPr>
          <w:color w:val="000000"/>
          <w:szCs w:val="24"/>
        </w:rPr>
        <w:t>mage-guided radiation therapy</w:t>
      </w:r>
      <w:r>
        <w:rPr>
          <w:color w:val="000000"/>
          <w:szCs w:val="24"/>
        </w:rPr>
        <w:t>)</w:t>
      </w:r>
      <w:r w:rsidRPr="00C15ECA">
        <w:rPr>
          <w:color w:val="000000"/>
          <w:szCs w:val="24"/>
        </w:rPr>
        <w:t xml:space="preserve"> is likely to be used every time a patient is treated with IMRT</w:t>
      </w:r>
      <w:r>
        <w:rPr>
          <w:color w:val="000000"/>
          <w:szCs w:val="24"/>
        </w:rPr>
        <w:t xml:space="preserve"> and that </w:t>
      </w:r>
      <w:r w:rsidR="00E14A30">
        <w:rPr>
          <w:color w:val="000000"/>
          <w:szCs w:val="24"/>
        </w:rPr>
        <w:t xml:space="preserve">the </w:t>
      </w:r>
      <w:r w:rsidRPr="00C15ECA">
        <w:rPr>
          <w:color w:val="000000"/>
          <w:szCs w:val="24"/>
        </w:rPr>
        <w:t xml:space="preserve">imaging </w:t>
      </w:r>
      <w:r w:rsidR="00E14A30">
        <w:rPr>
          <w:color w:val="000000"/>
          <w:szCs w:val="24"/>
        </w:rPr>
        <w:t>requirements</w:t>
      </w:r>
      <w:r w:rsidR="00E14A30" w:rsidRPr="00C15ECA">
        <w:rPr>
          <w:color w:val="000000"/>
          <w:szCs w:val="24"/>
        </w:rPr>
        <w:t xml:space="preserve"> </w:t>
      </w:r>
      <w:r w:rsidRPr="00C15ECA">
        <w:rPr>
          <w:color w:val="000000"/>
          <w:szCs w:val="24"/>
        </w:rPr>
        <w:t>f</w:t>
      </w:r>
      <w:r>
        <w:rPr>
          <w:color w:val="000000"/>
          <w:szCs w:val="24"/>
        </w:rPr>
        <w:t xml:space="preserve">or IMRT </w:t>
      </w:r>
      <w:r w:rsidR="00E14A30">
        <w:rPr>
          <w:color w:val="000000"/>
          <w:szCs w:val="24"/>
        </w:rPr>
        <w:t xml:space="preserve">are </w:t>
      </w:r>
      <w:r>
        <w:rPr>
          <w:color w:val="000000"/>
          <w:szCs w:val="24"/>
        </w:rPr>
        <w:t>considerably greater than for 3DCRT.</w:t>
      </w:r>
      <w:r w:rsidRPr="00080FF4">
        <w:t xml:space="preserve"> </w:t>
      </w:r>
    </w:p>
    <w:p w:rsidR="00CA258D" w:rsidRDefault="00CA258D" w:rsidP="00CA258D"/>
    <w:p w:rsidR="00CA258D" w:rsidRPr="004F12ED" w:rsidRDefault="00CA258D" w:rsidP="002559E3">
      <w:pPr>
        <w:rPr>
          <w:color w:val="000000"/>
          <w:szCs w:val="24"/>
        </w:rPr>
      </w:pPr>
      <w:r>
        <w:rPr>
          <w:color w:val="000000"/>
          <w:szCs w:val="24"/>
        </w:rPr>
        <w:t xml:space="preserve">ESC noted </w:t>
      </w:r>
      <w:r w:rsidR="00E14A30">
        <w:rPr>
          <w:color w:val="000000"/>
          <w:szCs w:val="24"/>
        </w:rPr>
        <w:t xml:space="preserve">ARPANSA </w:t>
      </w:r>
      <w:r>
        <w:rPr>
          <w:color w:val="000000"/>
          <w:szCs w:val="24"/>
        </w:rPr>
        <w:t>advice that they have not assessed the radiation s</w:t>
      </w:r>
      <w:r w:rsidR="00E613E3">
        <w:rPr>
          <w:color w:val="000000"/>
          <w:szCs w:val="24"/>
        </w:rPr>
        <w:t>afety of IMRT.</w:t>
      </w:r>
      <w:r>
        <w:rPr>
          <w:color w:val="000000"/>
          <w:szCs w:val="24"/>
        </w:rPr>
        <w:t xml:space="preserve"> However, </w:t>
      </w:r>
      <w:r>
        <w:t xml:space="preserve">ESC also noted advice from the Faculty of Radiation Oncology that TROG has performed three </w:t>
      </w:r>
      <w:proofErr w:type="spellStart"/>
      <w:r>
        <w:t>dosimetric</w:t>
      </w:r>
      <w:proofErr w:type="spellEnd"/>
      <w:r>
        <w:t xml:space="preserve"> studies and that 34 site visits have been performed in 25 radiation therapy centres in Australia and New Zealand. ESC considered that further data from these site visits would be useful.</w:t>
      </w:r>
    </w:p>
    <w:p w:rsidR="00CA258D" w:rsidRDefault="00CA258D" w:rsidP="00CA258D"/>
    <w:p w:rsidR="00CA258D" w:rsidRDefault="00CA258D" w:rsidP="00CA258D">
      <w:r>
        <w:lastRenderedPageBreak/>
        <w:t xml:space="preserve">ESC noted the </w:t>
      </w:r>
      <w:r w:rsidRPr="00676AA0">
        <w:t xml:space="preserve">cost minimisation approach </w:t>
      </w:r>
      <w:r w:rsidR="00617B5A">
        <w:t>against</w:t>
      </w:r>
      <w:r w:rsidR="00617B5A" w:rsidRPr="00676AA0">
        <w:t xml:space="preserve"> </w:t>
      </w:r>
      <w:r w:rsidRPr="00676AA0">
        <w:t>3D</w:t>
      </w:r>
      <w:r w:rsidR="00617B5A">
        <w:t>-</w:t>
      </w:r>
      <w:r w:rsidRPr="00676AA0">
        <w:t>CRT was adopted</w:t>
      </w:r>
      <w:r>
        <w:t xml:space="preserve"> due to </w:t>
      </w:r>
      <w:r w:rsidR="00617B5A">
        <w:t xml:space="preserve">inconsistent evidence </w:t>
      </w:r>
      <w:r w:rsidRPr="00676AA0">
        <w:t xml:space="preserve">of improved safety and clinical </w:t>
      </w:r>
      <w:r w:rsidR="00617B5A">
        <w:t>benefit of IMRT</w:t>
      </w:r>
      <w:r w:rsidRPr="00676AA0">
        <w:t>.</w:t>
      </w:r>
      <w:r w:rsidRPr="0018185C">
        <w:t xml:space="preserve"> </w:t>
      </w:r>
      <w:r>
        <w:t>ESC considered this was appropriate and noted</w:t>
      </w:r>
      <w:r w:rsidRPr="0018185C">
        <w:t xml:space="preserve"> that Australian cost data were used </w:t>
      </w:r>
      <w:r>
        <w:t>by</w:t>
      </w:r>
      <w:r w:rsidRPr="0018185C">
        <w:t xml:space="preserve"> the </w:t>
      </w:r>
      <w:r>
        <w:t>a</w:t>
      </w:r>
      <w:r w:rsidRPr="0018185C">
        <w:t xml:space="preserve">ssessment </w:t>
      </w:r>
      <w:r>
        <w:t xml:space="preserve">group </w:t>
      </w:r>
      <w:r w:rsidR="00617B5A">
        <w:t xml:space="preserve">by </w:t>
      </w:r>
      <w:r>
        <w:t>applying</w:t>
      </w:r>
      <w:r w:rsidRPr="0018185C">
        <w:t xml:space="preserve"> a </w:t>
      </w:r>
      <w:r w:rsidR="00617B5A">
        <w:t>“</w:t>
      </w:r>
      <w:r w:rsidRPr="0018185C">
        <w:t>bottom-u</w:t>
      </w:r>
      <w:r>
        <w:t>p</w:t>
      </w:r>
      <w:r w:rsidR="00617B5A">
        <w:t>”</w:t>
      </w:r>
      <w:r>
        <w:t xml:space="preserve"> costing approach (using </w:t>
      </w:r>
      <w:r w:rsidRPr="0018185C">
        <w:t xml:space="preserve">Genesis Care </w:t>
      </w:r>
      <w:r w:rsidR="00617B5A">
        <w:t>incremental cost estimates</w:t>
      </w:r>
      <w:r w:rsidRPr="0018185C">
        <w:t xml:space="preserve">) and a </w:t>
      </w:r>
      <w:r w:rsidR="00617B5A">
        <w:t>“</w:t>
      </w:r>
      <w:r w:rsidRPr="0018185C">
        <w:t>top-down</w:t>
      </w:r>
      <w:r w:rsidR="00617B5A">
        <w:t>”</w:t>
      </w:r>
      <w:r w:rsidRPr="0018185C">
        <w:t xml:space="preserve"> costing approach (using MBS fees).</w:t>
      </w:r>
      <w:r>
        <w:t xml:space="preserve"> </w:t>
      </w:r>
      <w:r w:rsidR="002559E3">
        <w:t xml:space="preserve">ESC noted the applicant disagreed with the cost-minimisation analysis and its conclusions, and also noted the applicant’s view that the costs proposed in the ANROTAT study were not indicative of the full cost, </w:t>
      </w:r>
      <w:proofErr w:type="gramStart"/>
      <w:r w:rsidR="002559E3">
        <w:t>nor</w:t>
      </w:r>
      <w:proofErr w:type="gramEnd"/>
      <w:r w:rsidR="002559E3">
        <w:t xml:space="preserve"> of costings available from Genesis Care. </w:t>
      </w:r>
    </w:p>
    <w:p w:rsidR="00CA258D" w:rsidRDefault="00CA258D" w:rsidP="00CA258D">
      <w:pPr>
        <w:autoSpaceDE w:val="0"/>
        <w:autoSpaceDN w:val="0"/>
        <w:adjustRightInd w:val="0"/>
      </w:pPr>
    </w:p>
    <w:p w:rsidR="00CA258D" w:rsidRDefault="00CA258D" w:rsidP="00CA258D">
      <w:pPr>
        <w:autoSpaceDE w:val="0"/>
        <w:autoSpaceDN w:val="0"/>
        <w:adjustRightInd w:val="0"/>
      </w:pPr>
      <w:r w:rsidRPr="0018185C">
        <w:t>ESC noted the detailed discussion of the utilities used in the ANROTAT study. While data enabling the computation of QALYs were collected from patients undergoing IMRT and 3D</w:t>
      </w:r>
      <w:r w:rsidR="00617B5A">
        <w:t>-</w:t>
      </w:r>
      <w:r w:rsidRPr="0018185C">
        <w:t>CRT in the ANROTAT study</w:t>
      </w:r>
      <w:r>
        <w:t>,</w:t>
      </w:r>
      <w:r w:rsidRPr="0018185C">
        <w:t xml:space="preserve"> these were not reported. Rather the reported utilities were derived from a standard gamble exercise with eight radiation therapy professionals. ESC noted that some o</w:t>
      </w:r>
      <w:r>
        <w:t>f the resulting utilities (e.g.</w:t>
      </w:r>
      <w:r w:rsidRPr="0018185C">
        <w:t xml:space="preserve"> a value of unity—indicating perfect health—for </w:t>
      </w:r>
      <w:r w:rsidR="00617B5A" w:rsidRPr="004D0C07">
        <w:rPr>
          <w:szCs w:val="24"/>
        </w:rPr>
        <w:t>time without symptom</w:t>
      </w:r>
      <w:r w:rsidR="00617B5A">
        <w:rPr>
          <w:szCs w:val="24"/>
        </w:rPr>
        <w:t>s or toxicity [</w:t>
      </w:r>
      <w:proofErr w:type="spellStart"/>
      <w:r w:rsidR="00617B5A" w:rsidRPr="004D0C07">
        <w:rPr>
          <w:szCs w:val="24"/>
        </w:rPr>
        <w:t>TWiST</w:t>
      </w:r>
      <w:proofErr w:type="spellEnd"/>
      <w:r w:rsidR="00617B5A">
        <w:rPr>
          <w:szCs w:val="24"/>
        </w:rPr>
        <w:t>]</w:t>
      </w:r>
      <w:r w:rsidR="00617B5A">
        <w:t xml:space="preserve"> among cancer survivors</w:t>
      </w:r>
      <w:r w:rsidRPr="0018185C">
        <w:t xml:space="preserve">) </w:t>
      </w:r>
      <w:r w:rsidR="00617B5A">
        <w:t>were</w:t>
      </w:r>
      <w:r>
        <w:t xml:space="preserve"> implausible. ESC noted </w:t>
      </w:r>
      <w:r w:rsidRPr="0018185C">
        <w:t>additional uncertainties outlined in the Asse</w:t>
      </w:r>
      <w:r w:rsidR="00872751">
        <w:t>ssment Report</w:t>
      </w:r>
      <w:r w:rsidRPr="0018185C">
        <w:t xml:space="preserve"> in respect of the utilities used in the ANROTAT modelling for various grades of acute and late toxicity.</w:t>
      </w:r>
    </w:p>
    <w:p w:rsidR="00CA258D" w:rsidRPr="00DC1DF5" w:rsidRDefault="00CA258D" w:rsidP="00CA258D">
      <w:pPr>
        <w:tabs>
          <w:tab w:val="left" w:pos="4001"/>
        </w:tabs>
      </w:pPr>
    </w:p>
    <w:p w:rsidR="00CA258D" w:rsidRDefault="00CA258D" w:rsidP="00CA258D">
      <w:pPr>
        <w:autoSpaceDE w:val="0"/>
        <w:autoSpaceDN w:val="0"/>
        <w:adjustRightInd w:val="0"/>
        <w:rPr>
          <w:color w:val="000000"/>
          <w:szCs w:val="24"/>
        </w:rPr>
      </w:pPr>
      <w:r>
        <w:rPr>
          <w:color w:val="000000"/>
          <w:szCs w:val="24"/>
        </w:rPr>
        <w:t xml:space="preserve">ESC noted that IGRT necessary for IMRT involves a much higher workload for medical physicists; and that there is an international shortage of medical physicists.  This may have an impact on patient access if IMRT and IGRT are listed on the MBS. </w:t>
      </w:r>
    </w:p>
    <w:p w:rsidR="006A0D97" w:rsidRPr="002559E3" w:rsidRDefault="00CA258D" w:rsidP="002559E3">
      <w:pPr>
        <w:tabs>
          <w:tab w:val="left" w:pos="720"/>
          <w:tab w:val="left" w:pos="1140"/>
        </w:tabs>
        <w:spacing w:before="240"/>
        <w:rPr>
          <w:szCs w:val="24"/>
        </w:rPr>
      </w:pPr>
      <w:r w:rsidRPr="00DC1DF5">
        <w:rPr>
          <w:szCs w:val="24"/>
        </w:rPr>
        <w:t xml:space="preserve">ESC noted that, should MSAC agree that the evidence does not support higher MBS reimbursement, there appears to be no reason to create </w:t>
      </w:r>
      <w:r w:rsidR="00617B5A">
        <w:rPr>
          <w:szCs w:val="24"/>
        </w:rPr>
        <w:t>separate</w:t>
      </w:r>
      <w:r w:rsidR="00617B5A" w:rsidRPr="00DC1DF5">
        <w:rPr>
          <w:szCs w:val="24"/>
        </w:rPr>
        <w:t xml:space="preserve"> </w:t>
      </w:r>
      <w:r w:rsidRPr="00DC1DF5">
        <w:rPr>
          <w:szCs w:val="24"/>
        </w:rPr>
        <w:t xml:space="preserve">MBS items for IMRT (separate to 3D-CRT), </w:t>
      </w:r>
      <w:r w:rsidRPr="00DC1DF5">
        <w:rPr>
          <w:szCs w:val="24"/>
          <w:u w:val="single"/>
        </w:rPr>
        <w:t>unless</w:t>
      </w:r>
      <w:r w:rsidRPr="00DC1DF5">
        <w:rPr>
          <w:szCs w:val="24"/>
        </w:rPr>
        <w:t xml:space="preserve"> it was thought to be useful to do</w:t>
      </w:r>
      <w:r w:rsidR="002559E3">
        <w:rPr>
          <w:szCs w:val="24"/>
        </w:rPr>
        <w:t>cument future IMRT utilisation.</w:t>
      </w:r>
      <w:r w:rsidR="00617B5A">
        <w:rPr>
          <w:szCs w:val="24"/>
        </w:rPr>
        <w:t xml:space="preserve">  However, should the same item numbers be used for IMRT as for 3D-CRT, the item descriptors would need to be </w:t>
      </w:r>
      <w:proofErr w:type="gramStart"/>
      <w:r w:rsidR="00617B5A">
        <w:rPr>
          <w:szCs w:val="24"/>
        </w:rPr>
        <w:t>revised.</w:t>
      </w:r>
      <w:proofErr w:type="gramEnd"/>
    </w:p>
    <w:p w:rsidR="006A0D97" w:rsidRPr="006A0D97" w:rsidRDefault="006A0D97" w:rsidP="006A0D97"/>
    <w:p w:rsidR="00BC1364" w:rsidRDefault="00BC1364" w:rsidP="007B32D1">
      <w:pPr>
        <w:pStyle w:val="Heading1"/>
        <w:numPr>
          <w:ilvl w:val="0"/>
          <w:numId w:val="23"/>
        </w:numPr>
        <w:ind w:hanging="720"/>
      </w:pPr>
      <w:r w:rsidRPr="008D5885">
        <w:t>Other significant factors</w:t>
      </w:r>
    </w:p>
    <w:p w:rsidR="00D90A38" w:rsidRDefault="00D90A38" w:rsidP="00DD2858">
      <w:pPr>
        <w:rPr>
          <w:szCs w:val="24"/>
        </w:rPr>
      </w:pPr>
    </w:p>
    <w:p w:rsidR="00BC1364" w:rsidRPr="002559E3" w:rsidRDefault="002559E3" w:rsidP="00DD2858">
      <w:pPr>
        <w:rPr>
          <w:szCs w:val="24"/>
        </w:rPr>
      </w:pPr>
      <w:r w:rsidRPr="002559E3">
        <w:rPr>
          <w:szCs w:val="24"/>
        </w:rPr>
        <w:t>Nil</w:t>
      </w:r>
    </w:p>
    <w:p w:rsidR="00BC1364" w:rsidRPr="00707064" w:rsidRDefault="00BC1364" w:rsidP="00DD2858">
      <w:pPr>
        <w:tabs>
          <w:tab w:val="left" w:pos="720"/>
        </w:tabs>
        <w:ind w:left="709" w:hanging="709"/>
        <w:rPr>
          <w:szCs w:val="24"/>
        </w:rPr>
      </w:pPr>
    </w:p>
    <w:p w:rsidR="00BC1364" w:rsidRDefault="00BC1364" w:rsidP="007B32D1">
      <w:pPr>
        <w:pStyle w:val="Heading1"/>
        <w:numPr>
          <w:ilvl w:val="0"/>
          <w:numId w:val="23"/>
        </w:numPr>
        <w:ind w:hanging="720"/>
      </w:pPr>
      <w:r w:rsidRPr="008D5885">
        <w:t xml:space="preserve">Applicant’s comments on MSAC’s </w:t>
      </w:r>
      <w:r w:rsidR="00DA56AA">
        <w:t>Public Summary Document</w:t>
      </w:r>
    </w:p>
    <w:p w:rsidR="00BC1364" w:rsidRDefault="00BC1364" w:rsidP="00230D6B">
      <w:pPr>
        <w:tabs>
          <w:tab w:val="left" w:pos="720"/>
        </w:tabs>
        <w:ind w:left="709" w:hanging="709"/>
        <w:rPr>
          <w:b/>
          <w:szCs w:val="24"/>
        </w:rPr>
      </w:pPr>
    </w:p>
    <w:p w:rsidR="001A4864" w:rsidRDefault="001A4864" w:rsidP="001A4864">
      <w:pPr>
        <w:rPr>
          <w:szCs w:val="24"/>
        </w:rPr>
      </w:pPr>
      <w:r w:rsidRPr="001A4864">
        <w:rPr>
          <w:szCs w:val="24"/>
        </w:rPr>
        <w:t>The Faculty of Radiation Oncology (FRO) commends the MSAC for the development of an MBS item number for IMRT, which will enable the collection of good quality data on its utilisation. However, we still contend there is ample evidence for the efficacy and safety of IMRT – which is already the global standard of care for many cancer patients, such as those with head and neck, genitourinary and anal cancers. In fact, when assessing cases for the Australian government’s Medical Treatment Overseas Program (MTOP), it has long been accepted by the Department of Health (</w:t>
      </w:r>
      <w:proofErr w:type="spellStart"/>
      <w:r w:rsidRPr="001A4864">
        <w:rPr>
          <w:szCs w:val="24"/>
        </w:rPr>
        <w:t>DoH</w:t>
      </w:r>
      <w:proofErr w:type="spellEnd"/>
      <w:r w:rsidRPr="001A4864">
        <w:rPr>
          <w:szCs w:val="24"/>
        </w:rPr>
        <w:t xml:space="preserve">) that IMRT is the appropriate comparator to use in these complex cases, rather than 3DCRT. We also wish to reiterate our disappointment in the way Assessment of New Radiation Oncology Technology and Treatments (ANROTAT) data and framework have been dealt with/interpreted, given the significant investment, guidance and oversight received from the </w:t>
      </w:r>
      <w:proofErr w:type="spellStart"/>
      <w:r w:rsidRPr="001A4864">
        <w:rPr>
          <w:szCs w:val="24"/>
        </w:rPr>
        <w:t>DoH</w:t>
      </w:r>
      <w:proofErr w:type="spellEnd"/>
      <w:r w:rsidRPr="001A4864">
        <w:rPr>
          <w:szCs w:val="24"/>
        </w:rPr>
        <w:t xml:space="preserve"> in its development, as well as the fact that peer reviewed publications from ANROTAT are now appearing. In fact, the ANROTAT Markov model in assessing cost-benefit is gaining acceptance in the academic literature as a sound and reliable assessment model.</w:t>
      </w:r>
    </w:p>
    <w:p w:rsidR="001A4864" w:rsidRPr="001A4864" w:rsidRDefault="001A4864" w:rsidP="001A4864">
      <w:pPr>
        <w:rPr>
          <w:szCs w:val="24"/>
        </w:rPr>
      </w:pPr>
    </w:p>
    <w:p w:rsidR="001A4864" w:rsidRDefault="001A4864" w:rsidP="001A4864">
      <w:pPr>
        <w:rPr>
          <w:szCs w:val="24"/>
        </w:rPr>
      </w:pPr>
      <w:r w:rsidRPr="001A4864">
        <w:rPr>
          <w:szCs w:val="24"/>
        </w:rPr>
        <w:t xml:space="preserve">(See http://jop.ascopubs.org/content/8/3S/e31s.full and </w:t>
      </w:r>
      <w:hyperlink r:id="rId11" w:tooltip="Weblink to PubMED publication A decision model to estimate the cost-effectiveness of intensity modulated radiation therapy (IMRT) compared to three dimensional conformal radiation therapy (3DCRT) in patients receiving radiotherapy to the prostate bed." w:history="1">
        <w:r w:rsidRPr="00F57A96">
          <w:rPr>
            <w:rStyle w:val="Hyperlink"/>
            <w:szCs w:val="24"/>
          </w:rPr>
          <w:t>http://www.ncbi.nlm.nih.gov/pubmed/24929702</w:t>
        </w:r>
      </w:hyperlink>
      <w:r w:rsidRPr="001A4864">
        <w:rPr>
          <w:szCs w:val="24"/>
        </w:rPr>
        <w:t>).</w:t>
      </w:r>
    </w:p>
    <w:p w:rsidR="001A4864" w:rsidRDefault="001A4864" w:rsidP="001A4864">
      <w:pPr>
        <w:rPr>
          <w:szCs w:val="24"/>
        </w:rPr>
      </w:pPr>
    </w:p>
    <w:p w:rsidR="00BC1364" w:rsidRDefault="001A4864" w:rsidP="001A4864">
      <w:pPr>
        <w:rPr>
          <w:szCs w:val="24"/>
        </w:rPr>
      </w:pPr>
      <w:r w:rsidRPr="001A4864">
        <w:rPr>
          <w:szCs w:val="24"/>
        </w:rPr>
        <w:lastRenderedPageBreak/>
        <w:t xml:space="preserve">The focus on randomised controlled trials (RCTs) to gain evidence regarding new or evolving technologies and techniques in radiation therapy has to change, because the developments in technology and techniques are incremental. Also, subjecting cancer patients to RCTs in this setting to gain evidence (including cost-benefit and cost utility) is difficult and presents ethical challenges. Radiation therapy uses similar principles across the board – delivering radiation to the cancer while minimising radiation to the surrounding healthy tissue. An RCT that would randomise some patients into an arm where they get less radiation to the cancer and/or more </w:t>
      </w:r>
      <w:proofErr w:type="gramStart"/>
      <w:r w:rsidRPr="001A4864">
        <w:rPr>
          <w:szCs w:val="24"/>
        </w:rPr>
        <w:t>to</w:t>
      </w:r>
      <w:proofErr w:type="gramEnd"/>
      <w:r w:rsidRPr="001A4864">
        <w:rPr>
          <w:szCs w:val="24"/>
        </w:rPr>
        <w:t xml:space="preserve"> normal organs cannot be ethically supported.</w:t>
      </w:r>
    </w:p>
    <w:p w:rsidR="001A4864" w:rsidRPr="001A4864" w:rsidRDefault="001A4864" w:rsidP="001A4864">
      <w:pPr>
        <w:rPr>
          <w:b/>
          <w:szCs w:val="24"/>
        </w:rPr>
      </w:pPr>
    </w:p>
    <w:p w:rsidR="00BC1364" w:rsidRDefault="00271F18" w:rsidP="007B32D1">
      <w:pPr>
        <w:pStyle w:val="Heading1"/>
        <w:numPr>
          <w:ilvl w:val="0"/>
          <w:numId w:val="23"/>
        </w:numPr>
        <w:ind w:hanging="720"/>
      </w:pPr>
      <w:r>
        <w:t>Further information on MSAC</w:t>
      </w:r>
    </w:p>
    <w:p w:rsidR="00BC1364" w:rsidRDefault="00BC1364" w:rsidP="00DD2858">
      <w:pPr>
        <w:tabs>
          <w:tab w:val="left" w:pos="720"/>
        </w:tabs>
        <w:ind w:left="709" w:hanging="709"/>
        <w:rPr>
          <w:b/>
          <w:szCs w:val="24"/>
        </w:rPr>
      </w:pPr>
    </w:p>
    <w:p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2" w:tooltip="This is a link to the MSAC website" w:history="1">
        <w:r w:rsidR="00BC1364" w:rsidRPr="00DD2858">
          <w:rPr>
            <w:rStyle w:val="Hyperlink"/>
            <w:color w:val="auto"/>
            <w:szCs w:val="24"/>
          </w:rPr>
          <w:t>www.msac.gov.au</w:t>
        </w:r>
      </w:hyperlink>
      <w:r w:rsidR="00BC1364" w:rsidRPr="00DD2858">
        <w:rPr>
          <w:szCs w:val="24"/>
        </w:rPr>
        <w:t xml:space="preserve">.  </w:t>
      </w:r>
    </w:p>
    <w:sectPr w:rsidR="00BC1364" w:rsidRPr="00DD2858" w:rsidSect="00271F18">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C82" w:rsidRDefault="00C02C82" w:rsidP="00065623">
      <w:r>
        <w:separator/>
      </w:r>
    </w:p>
  </w:endnote>
  <w:endnote w:type="continuationSeparator" w:id="0">
    <w:p w:rsidR="00C02C82" w:rsidRDefault="00C02C82"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1C8" w:rsidRDefault="00BA51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BA51C8" w:rsidRDefault="00BA51C8">
        <w:pPr>
          <w:pStyle w:val="Footer"/>
          <w:jc w:val="right"/>
        </w:pPr>
        <w:r>
          <w:fldChar w:fldCharType="begin"/>
        </w:r>
        <w:r>
          <w:instrText xml:space="preserve"> PAGE   \* MERGEFORMAT </w:instrText>
        </w:r>
        <w:r>
          <w:fldChar w:fldCharType="separate"/>
        </w:r>
        <w:r w:rsidR="00B119BE">
          <w:rPr>
            <w:noProof/>
          </w:rPr>
          <w:t>1</w:t>
        </w:r>
        <w:r>
          <w:rPr>
            <w:noProof/>
          </w:rPr>
          <w:fldChar w:fldCharType="end"/>
        </w:r>
      </w:p>
    </w:sdtContent>
  </w:sdt>
  <w:p w:rsidR="00BA51C8" w:rsidRDefault="00BA51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1C8" w:rsidRDefault="00BA5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C82" w:rsidRDefault="00C02C82" w:rsidP="00065623">
      <w:r>
        <w:separator/>
      </w:r>
    </w:p>
  </w:footnote>
  <w:footnote w:type="continuationSeparator" w:id="0">
    <w:p w:rsidR="00C02C82" w:rsidRDefault="00C02C82" w:rsidP="00065623">
      <w:r>
        <w:continuationSeparator/>
      </w:r>
    </w:p>
  </w:footnote>
  <w:footnote w:id="1">
    <w:p w:rsidR="00BA51C8" w:rsidRPr="00AE6D55" w:rsidRDefault="00BA51C8" w:rsidP="00602DE3">
      <w:pPr>
        <w:pStyle w:val="FootnoteText"/>
      </w:pPr>
      <w:r>
        <w:rPr>
          <w:rStyle w:val="FootnoteReference"/>
        </w:rPr>
        <w:footnoteRef/>
      </w:r>
      <w:r>
        <w:t xml:space="preserve"> </w:t>
      </w:r>
      <w:r w:rsidRPr="00AE6D55">
        <w:t>IMRT is an umbrella term for techniques used to deliver radiation therapy where the beam intensity can be modulated such as</w:t>
      </w:r>
      <w:r>
        <w:t xml:space="preserve">:  </w:t>
      </w:r>
      <w:proofErr w:type="spellStart"/>
      <w:r w:rsidRPr="00AE6D55">
        <w:t>Linac</w:t>
      </w:r>
      <w:proofErr w:type="spellEnd"/>
      <w:r w:rsidRPr="00AE6D55">
        <w:t xml:space="preserve"> based fixed beam IMRT</w:t>
      </w:r>
      <w:r>
        <w:t xml:space="preserve"> such as step and shoot; </w:t>
      </w:r>
      <w:proofErr w:type="spellStart"/>
      <w:r>
        <w:t>L</w:t>
      </w:r>
      <w:r w:rsidRPr="00AE6D55">
        <w:t>inac</w:t>
      </w:r>
      <w:proofErr w:type="spellEnd"/>
      <w:r w:rsidRPr="00AE6D55">
        <w:t xml:space="preserve"> based rotational IMRT</w:t>
      </w:r>
      <w:r>
        <w:t xml:space="preserve"> such as volumetric modulated arc therapy and helical </w:t>
      </w:r>
      <w:proofErr w:type="spellStart"/>
      <w:r>
        <w:t>tomotherapy</w:t>
      </w:r>
      <w:proofErr w:type="spellEnd"/>
      <w:r>
        <w:t xml:space="preserve">; </w:t>
      </w:r>
      <w:proofErr w:type="gramStart"/>
      <w:r>
        <w:t>H</w:t>
      </w:r>
      <w:r w:rsidRPr="00F540C4">
        <w:t>elical</w:t>
      </w:r>
      <w:proofErr w:type="gramEnd"/>
      <w:r w:rsidRPr="00F540C4">
        <w:t xml:space="preserve"> non C-arm based IMRT</w:t>
      </w:r>
      <w:r>
        <w:t>.</w:t>
      </w:r>
    </w:p>
    <w:p w:rsidR="00BA51C8" w:rsidRDefault="00BA51C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1C8" w:rsidRDefault="00BA51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1C8" w:rsidRDefault="00BA51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1C8" w:rsidRDefault="00BA51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7558F"/>
    <w:multiLevelType w:val="hybridMultilevel"/>
    <w:tmpl w:val="50C88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9C3B93"/>
    <w:multiLevelType w:val="hybridMultilevel"/>
    <w:tmpl w:val="E9FE4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FC65D09"/>
    <w:multiLevelType w:val="hybridMultilevel"/>
    <w:tmpl w:val="3B743604"/>
    <w:lvl w:ilvl="0" w:tplc="7696D1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109E215E"/>
    <w:multiLevelType w:val="hybridMultilevel"/>
    <w:tmpl w:val="90F0E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B46869"/>
    <w:multiLevelType w:val="hybridMultilevel"/>
    <w:tmpl w:val="AB92ADE4"/>
    <w:lvl w:ilvl="0" w:tplc="404AB7F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FD07CF"/>
    <w:multiLevelType w:val="hybridMultilevel"/>
    <w:tmpl w:val="5DDEA8EC"/>
    <w:lvl w:ilvl="0" w:tplc="0C09000F">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1AE4B99"/>
    <w:multiLevelType w:val="hybridMultilevel"/>
    <w:tmpl w:val="DD1863FA"/>
    <w:lvl w:ilvl="0" w:tplc="E4E496B4">
      <w:start w:val="1"/>
      <w:numFmt w:val="bullet"/>
      <w:lvlText w:val=""/>
      <w:lvlJc w:val="left"/>
      <w:pPr>
        <w:tabs>
          <w:tab w:val="num" w:pos="360"/>
        </w:tabs>
        <w:ind w:left="360" w:hanging="360"/>
      </w:pPr>
      <w:rPr>
        <w:rFonts w:ascii="Wingdings" w:hAnsi="Wingdings" w:hint="default"/>
      </w:rPr>
    </w:lvl>
    <w:lvl w:ilvl="1" w:tplc="FCFC01D6">
      <w:start w:val="1"/>
      <w:numFmt w:val="bullet"/>
      <w:lvlText w:val=""/>
      <w:lvlJc w:val="left"/>
      <w:pPr>
        <w:tabs>
          <w:tab w:val="num" w:pos="1080"/>
        </w:tabs>
        <w:ind w:left="1080" w:hanging="360"/>
      </w:pPr>
      <w:rPr>
        <w:rFonts w:ascii="Wingdings" w:hAnsi="Wingdings" w:hint="default"/>
      </w:rPr>
    </w:lvl>
    <w:lvl w:ilvl="2" w:tplc="BD26CBFA" w:tentative="1">
      <w:start w:val="1"/>
      <w:numFmt w:val="bullet"/>
      <w:lvlText w:val=""/>
      <w:lvlJc w:val="left"/>
      <w:pPr>
        <w:tabs>
          <w:tab w:val="num" w:pos="1800"/>
        </w:tabs>
        <w:ind w:left="1800" w:hanging="360"/>
      </w:pPr>
      <w:rPr>
        <w:rFonts w:ascii="Wingdings" w:hAnsi="Wingdings" w:hint="default"/>
      </w:rPr>
    </w:lvl>
    <w:lvl w:ilvl="3" w:tplc="EF4CBF4E" w:tentative="1">
      <w:start w:val="1"/>
      <w:numFmt w:val="bullet"/>
      <w:lvlText w:val=""/>
      <w:lvlJc w:val="left"/>
      <w:pPr>
        <w:tabs>
          <w:tab w:val="num" w:pos="2520"/>
        </w:tabs>
        <w:ind w:left="2520" w:hanging="360"/>
      </w:pPr>
      <w:rPr>
        <w:rFonts w:ascii="Wingdings" w:hAnsi="Wingdings" w:hint="default"/>
      </w:rPr>
    </w:lvl>
    <w:lvl w:ilvl="4" w:tplc="996A1486" w:tentative="1">
      <w:start w:val="1"/>
      <w:numFmt w:val="bullet"/>
      <w:lvlText w:val=""/>
      <w:lvlJc w:val="left"/>
      <w:pPr>
        <w:tabs>
          <w:tab w:val="num" w:pos="3240"/>
        </w:tabs>
        <w:ind w:left="3240" w:hanging="360"/>
      </w:pPr>
      <w:rPr>
        <w:rFonts w:ascii="Wingdings" w:hAnsi="Wingdings" w:hint="default"/>
      </w:rPr>
    </w:lvl>
    <w:lvl w:ilvl="5" w:tplc="B7B89302" w:tentative="1">
      <w:start w:val="1"/>
      <w:numFmt w:val="bullet"/>
      <w:lvlText w:val=""/>
      <w:lvlJc w:val="left"/>
      <w:pPr>
        <w:tabs>
          <w:tab w:val="num" w:pos="3960"/>
        </w:tabs>
        <w:ind w:left="3960" w:hanging="360"/>
      </w:pPr>
      <w:rPr>
        <w:rFonts w:ascii="Wingdings" w:hAnsi="Wingdings" w:hint="default"/>
      </w:rPr>
    </w:lvl>
    <w:lvl w:ilvl="6" w:tplc="194C02E6" w:tentative="1">
      <w:start w:val="1"/>
      <w:numFmt w:val="bullet"/>
      <w:lvlText w:val=""/>
      <w:lvlJc w:val="left"/>
      <w:pPr>
        <w:tabs>
          <w:tab w:val="num" w:pos="4680"/>
        </w:tabs>
        <w:ind w:left="4680" w:hanging="360"/>
      </w:pPr>
      <w:rPr>
        <w:rFonts w:ascii="Wingdings" w:hAnsi="Wingdings" w:hint="default"/>
      </w:rPr>
    </w:lvl>
    <w:lvl w:ilvl="7" w:tplc="80500822" w:tentative="1">
      <w:start w:val="1"/>
      <w:numFmt w:val="bullet"/>
      <w:lvlText w:val=""/>
      <w:lvlJc w:val="left"/>
      <w:pPr>
        <w:tabs>
          <w:tab w:val="num" w:pos="5400"/>
        </w:tabs>
        <w:ind w:left="5400" w:hanging="360"/>
      </w:pPr>
      <w:rPr>
        <w:rFonts w:ascii="Wingdings" w:hAnsi="Wingdings" w:hint="default"/>
      </w:rPr>
    </w:lvl>
    <w:lvl w:ilvl="8" w:tplc="801C4460" w:tentative="1">
      <w:start w:val="1"/>
      <w:numFmt w:val="bullet"/>
      <w:lvlText w:val=""/>
      <w:lvlJc w:val="left"/>
      <w:pPr>
        <w:tabs>
          <w:tab w:val="num" w:pos="6120"/>
        </w:tabs>
        <w:ind w:left="6120" w:hanging="360"/>
      </w:pPr>
      <w:rPr>
        <w:rFonts w:ascii="Wingdings" w:hAnsi="Wingdings" w:hint="default"/>
      </w:rPr>
    </w:lvl>
  </w:abstractNum>
  <w:abstractNum w:abstractNumId="11">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270773"/>
    <w:multiLevelType w:val="hybridMultilevel"/>
    <w:tmpl w:val="E982A3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E3558B2"/>
    <w:multiLevelType w:val="hybridMultilevel"/>
    <w:tmpl w:val="EC52C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E5071F4"/>
    <w:multiLevelType w:val="hybridMultilevel"/>
    <w:tmpl w:val="EFD205AE"/>
    <w:lvl w:ilvl="0" w:tplc="404AB7F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32632FFC"/>
    <w:multiLevelType w:val="hybridMultilevel"/>
    <w:tmpl w:val="498CF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463B09"/>
    <w:multiLevelType w:val="hybridMultilevel"/>
    <w:tmpl w:val="11E284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5942389"/>
    <w:multiLevelType w:val="hybridMultilevel"/>
    <w:tmpl w:val="F692F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8D7608D"/>
    <w:multiLevelType w:val="hybridMultilevel"/>
    <w:tmpl w:val="AEE05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DB4DC2"/>
    <w:multiLevelType w:val="hybridMultilevel"/>
    <w:tmpl w:val="C5F6F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27667D8"/>
    <w:multiLevelType w:val="hybridMultilevel"/>
    <w:tmpl w:val="5080AB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847827"/>
    <w:multiLevelType w:val="hybridMultilevel"/>
    <w:tmpl w:val="A4E8F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E277ED7"/>
    <w:multiLevelType w:val="hybridMultilevel"/>
    <w:tmpl w:val="9BCAF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F8F78CE"/>
    <w:multiLevelType w:val="hybridMultilevel"/>
    <w:tmpl w:val="B2DAE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310528D"/>
    <w:multiLevelType w:val="hybridMultilevel"/>
    <w:tmpl w:val="60425E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9">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2">
    <w:nsid w:val="74F36C3C"/>
    <w:multiLevelType w:val="hybridMultilevel"/>
    <w:tmpl w:val="277AB72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6FF6F7B"/>
    <w:multiLevelType w:val="hybridMultilevel"/>
    <w:tmpl w:val="36D4C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1"/>
  </w:num>
  <w:num w:numId="3">
    <w:abstractNumId w:val="3"/>
  </w:num>
  <w:num w:numId="4">
    <w:abstractNumId w:val="33"/>
  </w:num>
  <w:num w:numId="5">
    <w:abstractNumId w:val="21"/>
  </w:num>
  <w:num w:numId="6">
    <w:abstractNumId w:val="32"/>
  </w:num>
  <w:num w:numId="7">
    <w:abstractNumId w:val="36"/>
  </w:num>
  <w:num w:numId="8">
    <w:abstractNumId w:val="24"/>
  </w:num>
  <w:num w:numId="9">
    <w:abstractNumId w:val="44"/>
  </w:num>
  <w:num w:numId="10">
    <w:abstractNumId w:val="2"/>
  </w:num>
  <w:num w:numId="11">
    <w:abstractNumId w:val="35"/>
  </w:num>
  <w:num w:numId="12">
    <w:abstractNumId w:val="37"/>
  </w:num>
  <w:num w:numId="13">
    <w:abstractNumId w:val="9"/>
  </w:num>
  <w:num w:numId="14">
    <w:abstractNumId w:val="41"/>
  </w:num>
  <w:num w:numId="15">
    <w:abstractNumId w:val="34"/>
  </w:num>
  <w:num w:numId="16">
    <w:abstractNumId w:val="38"/>
  </w:num>
  <w:num w:numId="17">
    <w:abstractNumId w:val="25"/>
  </w:num>
  <w:num w:numId="18">
    <w:abstractNumId w:val="29"/>
  </w:num>
  <w:num w:numId="19">
    <w:abstractNumId w:val="40"/>
  </w:num>
  <w:num w:numId="20">
    <w:abstractNumId w:val="39"/>
  </w:num>
  <w:num w:numId="21">
    <w:abstractNumId w:val="5"/>
  </w:num>
  <w:num w:numId="22">
    <w:abstractNumId w:val="19"/>
  </w:num>
  <w:num w:numId="23">
    <w:abstractNumId w:val="4"/>
  </w:num>
  <w:num w:numId="24">
    <w:abstractNumId w:val="15"/>
  </w:num>
  <w:num w:numId="25">
    <w:abstractNumId w:val="28"/>
  </w:num>
  <w:num w:numId="26">
    <w:abstractNumId w:val="7"/>
  </w:num>
  <w:num w:numId="27">
    <w:abstractNumId w:val="14"/>
  </w:num>
  <w:num w:numId="28">
    <w:abstractNumId w:val="10"/>
  </w:num>
  <w:num w:numId="29">
    <w:abstractNumId w:val="20"/>
  </w:num>
  <w:num w:numId="30">
    <w:abstractNumId w:val="16"/>
  </w:num>
  <w:num w:numId="31">
    <w:abstractNumId w:val="0"/>
  </w:num>
  <w:num w:numId="32">
    <w:abstractNumId w:val="12"/>
  </w:num>
  <w:num w:numId="33">
    <w:abstractNumId w:val="13"/>
  </w:num>
  <w:num w:numId="34">
    <w:abstractNumId w:val="30"/>
  </w:num>
  <w:num w:numId="35">
    <w:abstractNumId w:val="27"/>
  </w:num>
  <w:num w:numId="36">
    <w:abstractNumId w:val="22"/>
  </w:num>
  <w:num w:numId="37">
    <w:abstractNumId w:val="17"/>
  </w:num>
  <w:num w:numId="38">
    <w:abstractNumId w:val="23"/>
  </w:num>
  <w:num w:numId="39">
    <w:abstractNumId w:val="43"/>
  </w:num>
  <w:num w:numId="40">
    <w:abstractNumId w:val="6"/>
  </w:num>
  <w:num w:numId="41">
    <w:abstractNumId w:val="18"/>
  </w:num>
  <w:num w:numId="42">
    <w:abstractNumId w:val="26"/>
  </w:num>
  <w:num w:numId="43">
    <w:abstractNumId w:val="42"/>
  </w:num>
  <w:num w:numId="44">
    <w:abstractNumId w:val="8"/>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544"/>
    <w:rsid w:val="00011A36"/>
    <w:rsid w:val="00024300"/>
    <w:rsid w:val="0004020B"/>
    <w:rsid w:val="00047606"/>
    <w:rsid w:val="00065623"/>
    <w:rsid w:val="00074C9F"/>
    <w:rsid w:val="000756B9"/>
    <w:rsid w:val="00095336"/>
    <w:rsid w:val="00096B67"/>
    <w:rsid w:val="00096DAF"/>
    <w:rsid w:val="000B0A4B"/>
    <w:rsid w:val="000C01DC"/>
    <w:rsid w:val="000C2F47"/>
    <w:rsid w:val="000D56A8"/>
    <w:rsid w:val="000D6C00"/>
    <w:rsid w:val="000E41F7"/>
    <w:rsid w:val="000E4BD7"/>
    <w:rsid w:val="000E4E04"/>
    <w:rsid w:val="000E61FB"/>
    <w:rsid w:val="000F14B4"/>
    <w:rsid w:val="000F4FFA"/>
    <w:rsid w:val="000F75DF"/>
    <w:rsid w:val="00110AB8"/>
    <w:rsid w:val="001328FA"/>
    <w:rsid w:val="0013780F"/>
    <w:rsid w:val="00147AAF"/>
    <w:rsid w:val="001552C0"/>
    <w:rsid w:val="001640B1"/>
    <w:rsid w:val="0018435E"/>
    <w:rsid w:val="001951D9"/>
    <w:rsid w:val="00197EE2"/>
    <w:rsid w:val="001A4864"/>
    <w:rsid w:val="0020238F"/>
    <w:rsid w:val="002041A1"/>
    <w:rsid w:val="002054F0"/>
    <w:rsid w:val="00230D6B"/>
    <w:rsid w:val="00232068"/>
    <w:rsid w:val="002330F2"/>
    <w:rsid w:val="00243D9E"/>
    <w:rsid w:val="002528DE"/>
    <w:rsid w:val="00253B66"/>
    <w:rsid w:val="002559E3"/>
    <w:rsid w:val="00261DF1"/>
    <w:rsid w:val="00270794"/>
    <w:rsid w:val="00271F18"/>
    <w:rsid w:val="00282779"/>
    <w:rsid w:val="0028334D"/>
    <w:rsid w:val="00297C15"/>
    <w:rsid w:val="002A3600"/>
    <w:rsid w:val="002B7FFA"/>
    <w:rsid w:val="002C11DF"/>
    <w:rsid w:val="002C2BCF"/>
    <w:rsid w:val="002C6714"/>
    <w:rsid w:val="002D5E3F"/>
    <w:rsid w:val="002E2B89"/>
    <w:rsid w:val="002F279D"/>
    <w:rsid w:val="002F43B8"/>
    <w:rsid w:val="003248D6"/>
    <w:rsid w:val="00333445"/>
    <w:rsid w:val="0034554D"/>
    <w:rsid w:val="0035006B"/>
    <w:rsid w:val="00352224"/>
    <w:rsid w:val="00366920"/>
    <w:rsid w:val="003671E6"/>
    <w:rsid w:val="00372CA3"/>
    <w:rsid w:val="00384272"/>
    <w:rsid w:val="00386D67"/>
    <w:rsid w:val="00391AFA"/>
    <w:rsid w:val="003945B8"/>
    <w:rsid w:val="003973E3"/>
    <w:rsid w:val="003A2641"/>
    <w:rsid w:val="003B1C8F"/>
    <w:rsid w:val="003B44C0"/>
    <w:rsid w:val="003D1764"/>
    <w:rsid w:val="003D7F29"/>
    <w:rsid w:val="003F6D48"/>
    <w:rsid w:val="00405A6B"/>
    <w:rsid w:val="00407B1F"/>
    <w:rsid w:val="00414C57"/>
    <w:rsid w:val="0041758C"/>
    <w:rsid w:val="00441814"/>
    <w:rsid w:val="004539DE"/>
    <w:rsid w:val="0045784A"/>
    <w:rsid w:val="00464037"/>
    <w:rsid w:val="004A08DE"/>
    <w:rsid w:val="004A2CF1"/>
    <w:rsid w:val="004A4236"/>
    <w:rsid w:val="004C3035"/>
    <w:rsid w:val="004C307F"/>
    <w:rsid w:val="004D00EB"/>
    <w:rsid w:val="004E4BA8"/>
    <w:rsid w:val="004F1E21"/>
    <w:rsid w:val="004F30FC"/>
    <w:rsid w:val="004F7B7C"/>
    <w:rsid w:val="00500152"/>
    <w:rsid w:val="0052243D"/>
    <w:rsid w:val="00532435"/>
    <w:rsid w:val="00534555"/>
    <w:rsid w:val="00550354"/>
    <w:rsid w:val="00571236"/>
    <w:rsid w:val="005953A1"/>
    <w:rsid w:val="005C2229"/>
    <w:rsid w:val="005D0332"/>
    <w:rsid w:val="005D0D8C"/>
    <w:rsid w:val="005D3250"/>
    <w:rsid w:val="005D70F3"/>
    <w:rsid w:val="005F0D79"/>
    <w:rsid w:val="005F54C4"/>
    <w:rsid w:val="00602DE3"/>
    <w:rsid w:val="00617B5A"/>
    <w:rsid w:val="0065062C"/>
    <w:rsid w:val="006722CF"/>
    <w:rsid w:val="006A0D97"/>
    <w:rsid w:val="006B1C79"/>
    <w:rsid w:val="006C0A91"/>
    <w:rsid w:val="006D2FFA"/>
    <w:rsid w:val="006E4DC9"/>
    <w:rsid w:val="006F01AD"/>
    <w:rsid w:val="007054BB"/>
    <w:rsid w:val="00707064"/>
    <w:rsid w:val="007260B7"/>
    <w:rsid w:val="00730683"/>
    <w:rsid w:val="0075261F"/>
    <w:rsid w:val="0075468E"/>
    <w:rsid w:val="007665D8"/>
    <w:rsid w:val="00766E36"/>
    <w:rsid w:val="007765F4"/>
    <w:rsid w:val="00776633"/>
    <w:rsid w:val="00784D53"/>
    <w:rsid w:val="00793138"/>
    <w:rsid w:val="00797797"/>
    <w:rsid w:val="007A63C9"/>
    <w:rsid w:val="007B32D1"/>
    <w:rsid w:val="007B7095"/>
    <w:rsid w:val="007D24E1"/>
    <w:rsid w:val="007F1960"/>
    <w:rsid w:val="007F41F5"/>
    <w:rsid w:val="007F43E0"/>
    <w:rsid w:val="007F4CE9"/>
    <w:rsid w:val="007F4E20"/>
    <w:rsid w:val="00811EF2"/>
    <w:rsid w:val="008129FD"/>
    <w:rsid w:val="00822C7E"/>
    <w:rsid w:val="008259B2"/>
    <w:rsid w:val="00847060"/>
    <w:rsid w:val="00850258"/>
    <w:rsid w:val="00850E78"/>
    <w:rsid w:val="00856A33"/>
    <w:rsid w:val="00872751"/>
    <w:rsid w:val="00892620"/>
    <w:rsid w:val="008C7D37"/>
    <w:rsid w:val="008D5885"/>
    <w:rsid w:val="008F075E"/>
    <w:rsid w:val="00923FA2"/>
    <w:rsid w:val="00925B35"/>
    <w:rsid w:val="00927922"/>
    <w:rsid w:val="0094144D"/>
    <w:rsid w:val="009533A3"/>
    <w:rsid w:val="00956255"/>
    <w:rsid w:val="0096060D"/>
    <w:rsid w:val="00973DA1"/>
    <w:rsid w:val="00974A50"/>
    <w:rsid w:val="0097585A"/>
    <w:rsid w:val="009924B0"/>
    <w:rsid w:val="009942C9"/>
    <w:rsid w:val="009B125B"/>
    <w:rsid w:val="009B35C4"/>
    <w:rsid w:val="009C630A"/>
    <w:rsid w:val="009E0D98"/>
    <w:rsid w:val="009F3355"/>
    <w:rsid w:val="00A068A1"/>
    <w:rsid w:val="00A1207D"/>
    <w:rsid w:val="00A12EDF"/>
    <w:rsid w:val="00A12FD8"/>
    <w:rsid w:val="00A15151"/>
    <w:rsid w:val="00A16C3B"/>
    <w:rsid w:val="00A27FDB"/>
    <w:rsid w:val="00A346FC"/>
    <w:rsid w:val="00A355CF"/>
    <w:rsid w:val="00A45863"/>
    <w:rsid w:val="00A51CD6"/>
    <w:rsid w:val="00A57980"/>
    <w:rsid w:val="00A82F7C"/>
    <w:rsid w:val="00A84F93"/>
    <w:rsid w:val="00A92249"/>
    <w:rsid w:val="00A94F1E"/>
    <w:rsid w:val="00AA4076"/>
    <w:rsid w:val="00AB1AC5"/>
    <w:rsid w:val="00AB1B3A"/>
    <w:rsid w:val="00AB3BFC"/>
    <w:rsid w:val="00AC4F2E"/>
    <w:rsid w:val="00AD0C37"/>
    <w:rsid w:val="00AD12D6"/>
    <w:rsid w:val="00AD385F"/>
    <w:rsid w:val="00AD39A6"/>
    <w:rsid w:val="00AE2C28"/>
    <w:rsid w:val="00AE6E2A"/>
    <w:rsid w:val="00B04EF5"/>
    <w:rsid w:val="00B119BE"/>
    <w:rsid w:val="00B2338B"/>
    <w:rsid w:val="00B31E9C"/>
    <w:rsid w:val="00B43BC1"/>
    <w:rsid w:val="00B50C43"/>
    <w:rsid w:val="00B51C6D"/>
    <w:rsid w:val="00B84BE4"/>
    <w:rsid w:val="00B86D64"/>
    <w:rsid w:val="00B96D81"/>
    <w:rsid w:val="00BA4AC5"/>
    <w:rsid w:val="00BA51C8"/>
    <w:rsid w:val="00BC1364"/>
    <w:rsid w:val="00BC7DE9"/>
    <w:rsid w:val="00BD6770"/>
    <w:rsid w:val="00BE00A4"/>
    <w:rsid w:val="00BF479B"/>
    <w:rsid w:val="00BF57B6"/>
    <w:rsid w:val="00C02577"/>
    <w:rsid w:val="00C02C82"/>
    <w:rsid w:val="00C067A2"/>
    <w:rsid w:val="00C07302"/>
    <w:rsid w:val="00C167CA"/>
    <w:rsid w:val="00C20BEE"/>
    <w:rsid w:val="00C27796"/>
    <w:rsid w:val="00C3314C"/>
    <w:rsid w:val="00C51149"/>
    <w:rsid w:val="00C64543"/>
    <w:rsid w:val="00C67DD2"/>
    <w:rsid w:val="00C76F5C"/>
    <w:rsid w:val="00C9589F"/>
    <w:rsid w:val="00C96BAD"/>
    <w:rsid w:val="00CA187D"/>
    <w:rsid w:val="00CA258D"/>
    <w:rsid w:val="00CA6944"/>
    <w:rsid w:val="00CB0F8E"/>
    <w:rsid w:val="00CB7E7D"/>
    <w:rsid w:val="00CC2911"/>
    <w:rsid w:val="00CE0E94"/>
    <w:rsid w:val="00CF0C6D"/>
    <w:rsid w:val="00CF7307"/>
    <w:rsid w:val="00CF7C68"/>
    <w:rsid w:val="00D01862"/>
    <w:rsid w:val="00D124FA"/>
    <w:rsid w:val="00D340DE"/>
    <w:rsid w:val="00D433C3"/>
    <w:rsid w:val="00D55723"/>
    <w:rsid w:val="00D62FAD"/>
    <w:rsid w:val="00D70450"/>
    <w:rsid w:val="00D77380"/>
    <w:rsid w:val="00D801A6"/>
    <w:rsid w:val="00D83BFD"/>
    <w:rsid w:val="00D84971"/>
    <w:rsid w:val="00D90A38"/>
    <w:rsid w:val="00DA0515"/>
    <w:rsid w:val="00DA171E"/>
    <w:rsid w:val="00DA56AA"/>
    <w:rsid w:val="00DB5833"/>
    <w:rsid w:val="00DC137B"/>
    <w:rsid w:val="00DC2168"/>
    <w:rsid w:val="00DD2858"/>
    <w:rsid w:val="00DD4004"/>
    <w:rsid w:val="00DF6BCE"/>
    <w:rsid w:val="00DF711E"/>
    <w:rsid w:val="00E03E33"/>
    <w:rsid w:val="00E14A30"/>
    <w:rsid w:val="00E2182B"/>
    <w:rsid w:val="00E3642A"/>
    <w:rsid w:val="00E415C4"/>
    <w:rsid w:val="00E44400"/>
    <w:rsid w:val="00E50016"/>
    <w:rsid w:val="00E50EAA"/>
    <w:rsid w:val="00E613E3"/>
    <w:rsid w:val="00E656D6"/>
    <w:rsid w:val="00E75823"/>
    <w:rsid w:val="00E915FE"/>
    <w:rsid w:val="00E977EE"/>
    <w:rsid w:val="00EA67A2"/>
    <w:rsid w:val="00EB66CC"/>
    <w:rsid w:val="00EC4F98"/>
    <w:rsid w:val="00EC567F"/>
    <w:rsid w:val="00EE56F5"/>
    <w:rsid w:val="00F06D13"/>
    <w:rsid w:val="00F12F02"/>
    <w:rsid w:val="00F26128"/>
    <w:rsid w:val="00F35134"/>
    <w:rsid w:val="00F41423"/>
    <w:rsid w:val="00F41812"/>
    <w:rsid w:val="00F450DC"/>
    <w:rsid w:val="00F50BF3"/>
    <w:rsid w:val="00F65096"/>
    <w:rsid w:val="00F73333"/>
    <w:rsid w:val="00F81C83"/>
    <w:rsid w:val="00F95D8F"/>
    <w:rsid w:val="00FB350A"/>
    <w:rsid w:val="00FD7DA3"/>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TableText">
    <w:name w:val="TableText"/>
    <w:basedOn w:val="Normal"/>
    <w:link w:val="TableTextChar"/>
    <w:qFormat/>
    <w:rsid w:val="00927922"/>
    <w:pPr>
      <w:keepNext/>
      <w:spacing w:before="40" w:after="40"/>
    </w:pPr>
    <w:rPr>
      <w:rFonts w:ascii="Arial Narrow" w:hAnsi="Arial Narrow"/>
      <w:sz w:val="18"/>
    </w:rPr>
  </w:style>
  <w:style w:type="character" w:customStyle="1" w:styleId="TableTextChar">
    <w:name w:val="TableText Char"/>
    <w:link w:val="TableText"/>
    <w:rsid w:val="00927922"/>
    <w:rPr>
      <w:rFonts w:ascii="Arial Narrow" w:eastAsia="Times New Roman" w:hAnsi="Arial Narrow"/>
      <w:sz w:val="18"/>
      <w:szCs w:val="20"/>
    </w:rPr>
  </w:style>
  <w:style w:type="paragraph" w:customStyle="1" w:styleId="TableName">
    <w:name w:val="TableName"/>
    <w:basedOn w:val="TableText"/>
    <w:link w:val="TableNameChar"/>
    <w:rsid w:val="00927922"/>
    <w:pPr>
      <w:tabs>
        <w:tab w:val="left" w:pos="1560"/>
      </w:tabs>
      <w:ind w:left="1440" w:hanging="731"/>
    </w:pPr>
    <w:rPr>
      <w:b/>
      <w:sz w:val="20"/>
    </w:rPr>
  </w:style>
  <w:style w:type="character" w:customStyle="1" w:styleId="TableNameChar">
    <w:name w:val="TableName Char"/>
    <w:link w:val="TableName"/>
    <w:rsid w:val="00927922"/>
    <w:rPr>
      <w:rFonts w:ascii="Arial Narrow" w:eastAsia="Times New Roman" w:hAnsi="Arial Narrow"/>
      <w:b/>
      <w:sz w:val="20"/>
      <w:szCs w:val="20"/>
    </w:rPr>
  </w:style>
  <w:style w:type="paragraph" w:customStyle="1" w:styleId="TableHeading">
    <w:name w:val="TableHeading"/>
    <w:basedOn w:val="TableText"/>
    <w:link w:val="TableHeadingChar"/>
    <w:rsid w:val="00CA258D"/>
    <w:rPr>
      <w:b/>
    </w:rPr>
  </w:style>
  <w:style w:type="character" w:customStyle="1" w:styleId="TableHeadingChar">
    <w:name w:val="TableHeading Char"/>
    <w:link w:val="TableHeading"/>
    <w:rsid w:val="00CA258D"/>
    <w:rPr>
      <w:rFonts w:ascii="Arial Narrow" w:eastAsia="Times New Roman" w:hAnsi="Arial Narrow"/>
      <w:b/>
      <w:sz w:val="18"/>
      <w:szCs w:val="20"/>
    </w:rPr>
  </w:style>
  <w:style w:type="paragraph" w:customStyle="1" w:styleId="TableNotes">
    <w:name w:val="TableNotes"/>
    <w:basedOn w:val="TableText"/>
    <w:link w:val="TableNotesChar"/>
    <w:rsid w:val="00CA258D"/>
    <w:pPr>
      <w:keepNext w:val="0"/>
      <w:keepLines/>
      <w:spacing w:before="0" w:after="360"/>
      <w:ind w:left="720"/>
      <w:contextualSpacing/>
    </w:pPr>
    <w:rPr>
      <w:sz w:val="16"/>
    </w:rPr>
  </w:style>
  <w:style w:type="character" w:customStyle="1" w:styleId="TableNotesChar">
    <w:name w:val="TableNotes Char"/>
    <w:link w:val="TableNotes"/>
    <w:rsid w:val="00CA258D"/>
    <w:rPr>
      <w:rFonts w:ascii="Arial Narrow" w:eastAsia="Times New Roman" w:hAnsi="Arial Narrow"/>
      <w:sz w:val="16"/>
      <w:szCs w:val="20"/>
    </w:rPr>
  </w:style>
  <w:style w:type="table" w:styleId="TableGrid">
    <w:name w:val="Table Grid"/>
    <w:basedOn w:val="TableNormal"/>
    <w:uiPriority w:val="59"/>
    <w:locked/>
    <w:rsid w:val="00CA258D"/>
    <w:pPr>
      <w:spacing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CA258D"/>
    <w:pPr>
      <w:tabs>
        <w:tab w:val="num" w:pos="360"/>
        <w:tab w:val="left" w:pos="720"/>
        <w:tab w:val="left" w:pos="1140"/>
      </w:tabs>
      <w:spacing w:before="120"/>
      <w:ind w:left="360" w:hanging="360"/>
    </w:pPr>
    <w:rPr>
      <w:rFonts w:ascii="Arial" w:hAnsi="Arial" w:cs="Arial"/>
      <w:color w:val="3366FF"/>
      <w:szCs w:val="24"/>
    </w:rPr>
  </w:style>
  <w:style w:type="character" w:customStyle="1" w:styleId="Style1Char">
    <w:name w:val="Style1 Char"/>
    <w:basedOn w:val="DefaultParagraphFont"/>
    <w:link w:val="Style1"/>
    <w:rsid w:val="00CA258D"/>
    <w:rPr>
      <w:rFonts w:ascii="Arial" w:eastAsia="Times New Roman" w:hAnsi="Arial" w:cs="Arial"/>
      <w:color w:val="3366FF"/>
      <w:sz w:val="24"/>
      <w:szCs w:val="24"/>
    </w:rPr>
  </w:style>
  <w:style w:type="paragraph" w:styleId="Revision">
    <w:name w:val="Revision"/>
    <w:hidden/>
    <w:uiPriority w:val="99"/>
    <w:semiHidden/>
    <w:rsid w:val="003A2641"/>
    <w:rPr>
      <w:rFonts w:eastAsia="Times New Roman"/>
      <w:sz w:val="24"/>
      <w:szCs w:val="20"/>
    </w:rPr>
  </w:style>
  <w:style w:type="character" w:customStyle="1" w:styleId="highlight1">
    <w:name w:val="highlight1"/>
    <w:basedOn w:val="DefaultParagraphFont"/>
    <w:rsid w:val="00074C9F"/>
    <w:rPr>
      <w:color w:val="000000"/>
      <w:shd w:val="clear" w:color="auto" w:fill="FF6600"/>
    </w:rPr>
  </w:style>
  <w:style w:type="table" w:styleId="LightList">
    <w:name w:val="Light List"/>
    <w:basedOn w:val="TableNormal"/>
    <w:uiPriority w:val="61"/>
    <w:rsid w:val="00A355C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BD67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TableText">
    <w:name w:val="TableText"/>
    <w:basedOn w:val="Normal"/>
    <w:link w:val="TableTextChar"/>
    <w:qFormat/>
    <w:rsid w:val="00927922"/>
    <w:pPr>
      <w:keepNext/>
      <w:spacing w:before="40" w:after="40"/>
    </w:pPr>
    <w:rPr>
      <w:rFonts w:ascii="Arial Narrow" w:hAnsi="Arial Narrow"/>
      <w:sz w:val="18"/>
    </w:rPr>
  </w:style>
  <w:style w:type="character" w:customStyle="1" w:styleId="TableTextChar">
    <w:name w:val="TableText Char"/>
    <w:link w:val="TableText"/>
    <w:rsid w:val="00927922"/>
    <w:rPr>
      <w:rFonts w:ascii="Arial Narrow" w:eastAsia="Times New Roman" w:hAnsi="Arial Narrow"/>
      <w:sz w:val="18"/>
      <w:szCs w:val="20"/>
    </w:rPr>
  </w:style>
  <w:style w:type="paragraph" w:customStyle="1" w:styleId="TableName">
    <w:name w:val="TableName"/>
    <w:basedOn w:val="TableText"/>
    <w:link w:val="TableNameChar"/>
    <w:rsid w:val="00927922"/>
    <w:pPr>
      <w:tabs>
        <w:tab w:val="left" w:pos="1560"/>
      </w:tabs>
      <w:ind w:left="1440" w:hanging="731"/>
    </w:pPr>
    <w:rPr>
      <w:b/>
      <w:sz w:val="20"/>
    </w:rPr>
  </w:style>
  <w:style w:type="character" w:customStyle="1" w:styleId="TableNameChar">
    <w:name w:val="TableName Char"/>
    <w:link w:val="TableName"/>
    <w:rsid w:val="00927922"/>
    <w:rPr>
      <w:rFonts w:ascii="Arial Narrow" w:eastAsia="Times New Roman" w:hAnsi="Arial Narrow"/>
      <w:b/>
      <w:sz w:val="20"/>
      <w:szCs w:val="20"/>
    </w:rPr>
  </w:style>
  <w:style w:type="paragraph" w:customStyle="1" w:styleId="TableHeading">
    <w:name w:val="TableHeading"/>
    <w:basedOn w:val="TableText"/>
    <w:link w:val="TableHeadingChar"/>
    <w:rsid w:val="00CA258D"/>
    <w:rPr>
      <w:b/>
    </w:rPr>
  </w:style>
  <w:style w:type="character" w:customStyle="1" w:styleId="TableHeadingChar">
    <w:name w:val="TableHeading Char"/>
    <w:link w:val="TableHeading"/>
    <w:rsid w:val="00CA258D"/>
    <w:rPr>
      <w:rFonts w:ascii="Arial Narrow" w:eastAsia="Times New Roman" w:hAnsi="Arial Narrow"/>
      <w:b/>
      <w:sz w:val="18"/>
      <w:szCs w:val="20"/>
    </w:rPr>
  </w:style>
  <w:style w:type="paragraph" w:customStyle="1" w:styleId="TableNotes">
    <w:name w:val="TableNotes"/>
    <w:basedOn w:val="TableText"/>
    <w:link w:val="TableNotesChar"/>
    <w:rsid w:val="00CA258D"/>
    <w:pPr>
      <w:keepNext w:val="0"/>
      <w:keepLines/>
      <w:spacing w:before="0" w:after="360"/>
      <w:ind w:left="720"/>
      <w:contextualSpacing/>
    </w:pPr>
    <w:rPr>
      <w:sz w:val="16"/>
    </w:rPr>
  </w:style>
  <w:style w:type="character" w:customStyle="1" w:styleId="TableNotesChar">
    <w:name w:val="TableNotes Char"/>
    <w:link w:val="TableNotes"/>
    <w:rsid w:val="00CA258D"/>
    <w:rPr>
      <w:rFonts w:ascii="Arial Narrow" w:eastAsia="Times New Roman" w:hAnsi="Arial Narrow"/>
      <w:sz w:val="16"/>
      <w:szCs w:val="20"/>
    </w:rPr>
  </w:style>
  <w:style w:type="table" w:styleId="TableGrid">
    <w:name w:val="Table Grid"/>
    <w:basedOn w:val="TableNormal"/>
    <w:uiPriority w:val="59"/>
    <w:locked/>
    <w:rsid w:val="00CA258D"/>
    <w:pPr>
      <w:spacing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CA258D"/>
    <w:pPr>
      <w:tabs>
        <w:tab w:val="num" w:pos="360"/>
        <w:tab w:val="left" w:pos="720"/>
        <w:tab w:val="left" w:pos="1140"/>
      </w:tabs>
      <w:spacing w:before="120"/>
      <w:ind w:left="360" w:hanging="360"/>
    </w:pPr>
    <w:rPr>
      <w:rFonts w:ascii="Arial" w:hAnsi="Arial" w:cs="Arial"/>
      <w:color w:val="3366FF"/>
      <w:szCs w:val="24"/>
    </w:rPr>
  </w:style>
  <w:style w:type="character" w:customStyle="1" w:styleId="Style1Char">
    <w:name w:val="Style1 Char"/>
    <w:basedOn w:val="DefaultParagraphFont"/>
    <w:link w:val="Style1"/>
    <w:rsid w:val="00CA258D"/>
    <w:rPr>
      <w:rFonts w:ascii="Arial" w:eastAsia="Times New Roman" w:hAnsi="Arial" w:cs="Arial"/>
      <w:color w:val="3366FF"/>
      <w:sz w:val="24"/>
      <w:szCs w:val="24"/>
    </w:rPr>
  </w:style>
  <w:style w:type="paragraph" w:styleId="Revision">
    <w:name w:val="Revision"/>
    <w:hidden/>
    <w:uiPriority w:val="99"/>
    <w:semiHidden/>
    <w:rsid w:val="003A2641"/>
    <w:rPr>
      <w:rFonts w:eastAsia="Times New Roman"/>
      <w:sz w:val="24"/>
      <w:szCs w:val="20"/>
    </w:rPr>
  </w:style>
  <w:style w:type="character" w:customStyle="1" w:styleId="highlight1">
    <w:name w:val="highlight1"/>
    <w:basedOn w:val="DefaultParagraphFont"/>
    <w:rsid w:val="00074C9F"/>
    <w:rPr>
      <w:color w:val="000000"/>
      <w:shd w:val="clear" w:color="auto" w:fill="FF6600"/>
    </w:rPr>
  </w:style>
  <w:style w:type="table" w:styleId="LightList">
    <w:name w:val="Light List"/>
    <w:basedOn w:val="TableNormal"/>
    <w:uiPriority w:val="61"/>
    <w:rsid w:val="00A355C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BD67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368601">
      <w:bodyDiv w:val="1"/>
      <w:marLeft w:val="0"/>
      <w:marRight w:val="0"/>
      <w:marTop w:val="0"/>
      <w:marBottom w:val="0"/>
      <w:divBdr>
        <w:top w:val="none" w:sz="0" w:space="0" w:color="auto"/>
        <w:left w:val="none" w:sz="0" w:space="0" w:color="auto"/>
        <w:bottom w:val="none" w:sz="0" w:space="0" w:color="auto"/>
        <w:right w:val="none" w:sz="0" w:space="0" w:color="auto"/>
      </w:divBdr>
      <w:divsChild>
        <w:div w:id="1151367881">
          <w:marLeft w:val="1051"/>
          <w:marRight w:val="0"/>
          <w:marTop w:val="115"/>
          <w:marBottom w:val="0"/>
          <w:divBdr>
            <w:top w:val="none" w:sz="0" w:space="0" w:color="auto"/>
            <w:left w:val="none" w:sz="0" w:space="0" w:color="auto"/>
            <w:bottom w:val="none" w:sz="0" w:space="0" w:color="auto"/>
            <w:right w:val="none" w:sz="0" w:space="0" w:color="auto"/>
          </w:divBdr>
        </w:div>
        <w:div w:id="1786578647">
          <w:marLeft w:val="1051"/>
          <w:marRight w:val="0"/>
          <w:marTop w:val="115"/>
          <w:marBottom w:val="0"/>
          <w:divBdr>
            <w:top w:val="none" w:sz="0" w:space="0" w:color="auto"/>
            <w:left w:val="none" w:sz="0" w:space="0" w:color="auto"/>
            <w:bottom w:val="none" w:sz="0" w:space="0" w:color="auto"/>
            <w:right w:val="none" w:sz="0" w:space="0" w:color="auto"/>
          </w:divBdr>
        </w:div>
        <w:div w:id="1217470257">
          <w:marLeft w:val="1051"/>
          <w:marRight w:val="0"/>
          <w:marTop w:val="115"/>
          <w:marBottom w:val="0"/>
          <w:divBdr>
            <w:top w:val="none" w:sz="0" w:space="0" w:color="auto"/>
            <w:left w:val="none" w:sz="0" w:space="0" w:color="auto"/>
            <w:bottom w:val="none" w:sz="0" w:space="0" w:color="auto"/>
            <w:right w:val="none" w:sz="0" w:space="0" w:color="auto"/>
          </w:divBdr>
        </w:div>
        <w:div w:id="1860314559">
          <w:marLeft w:val="1051"/>
          <w:marRight w:val="0"/>
          <w:marTop w:val="115"/>
          <w:marBottom w:val="0"/>
          <w:divBdr>
            <w:top w:val="none" w:sz="0" w:space="0" w:color="auto"/>
            <w:left w:val="none" w:sz="0" w:space="0" w:color="auto"/>
            <w:bottom w:val="none" w:sz="0" w:space="0" w:color="auto"/>
            <w:right w:val="none" w:sz="0" w:space="0" w:color="auto"/>
          </w:divBdr>
        </w:div>
      </w:divsChild>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sa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pubmed/2492970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sac.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70694-794B-4797-8393-55771F6F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5559</Words>
  <Characters>31164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McCandless Sean</cp:lastModifiedBy>
  <cp:revision>2</cp:revision>
  <cp:lastPrinted>2014-01-23T05:11:00Z</cp:lastPrinted>
  <dcterms:created xsi:type="dcterms:W3CDTF">2015-07-28T22:34:00Z</dcterms:created>
  <dcterms:modified xsi:type="dcterms:W3CDTF">2015-07-28T22:34:00Z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