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059F9" w14:textId="2633B0A5" w:rsidR="00C67DD2" w:rsidRPr="00B454F2" w:rsidRDefault="00C67DD2" w:rsidP="00B454F2">
      <w:pPr>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1D7D18A4" wp14:editId="632712FC">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64EB575C" w14:textId="41690BDB" w:rsidR="00BC1364" w:rsidRPr="00B454F2" w:rsidRDefault="00BF479B" w:rsidP="00B454F2">
      <w:pPr>
        <w:spacing w:before="480" w:after="360"/>
        <w:jc w:val="center"/>
        <w:rPr>
          <w:rFonts w:ascii="Arial" w:hAnsi="Arial" w:cs="Arial"/>
          <w:b/>
          <w:bCs/>
          <w:color w:val="000080"/>
          <w:sz w:val="36"/>
          <w:szCs w:val="36"/>
        </w:rPr>
      </w:pPr>
      <w:r>
        <w:rPr>
          <w:rFonts w:ascii="Arial" w:hAnsi="Arial" w:cs="Arial"/>
          <w:b/>
          <w:bCs/>
          <w:color w:val="000080"/>
          <w:sz w:val="36"/>
          <w:szCs w:val="36"/>
        </w:rPr>
        <w:t>Public Summary Document</w:t>
      </w:r>
    </w:p>
    <w:p w14:paraId="5A46B2EB" w14:textId="4AEBED47" w:rsidR="005B6A25" w:rsidRPr="00B454F2" w:rsidRDefault="00D61AF0" w:rsidP="00B454F2">
      <w:pPr>
        <w:tabs>
          <w:tab w:val="left" w:pos="3600"/>
        </w:tabs>
        <w:spacing w:after="240"/>
        <w:rPr>
          <w:rFonts w:ascii="Arial" w:hAnsi="Arial"/>
          <w:b/>
          <w:bCs/>
          <w:szCs w:val="28"/>
        </w:rPr>
      </w:pPr>
      <w:r w:rsidRPr="00D61AF0">
        <w:rPr>
          <w:rFonts w:ascii="Arial" w:hAnsi="Arial"/>
          <w:b/>
          <w:bCs/>
          <w:szCs w:val="28"/>
        </w:rPr>
        <w:t>Report to the Medical Services Advisory Committee</w:t>
      </w:r>
      <w:r w:rsidR="00FD188B">
        <w:rPr>
          <w:rFonts w:ascii="Arial" w:hAnsi="Arial"/>
          <w:b/>
          <w:bCs/>
          <w:szCs w:val="28"/>
        </w:rPr>
        <w:t xml:space="preserve"> </w:t>
      </w:r>
      <w:r w:rsidR="00056DBD">
        <w:rPr>
          <w:rFonts w:ascii="Arial" w:hAnsi="Arial"/>
          <w:b/>
          <w:bCs/>
          <w:szCs w:val="28"/>
        </w:rPr>
        <w:t>Executive</w:t>
      </w:r>
      <w:r w:rsidRPr="00D61AF0">
        <w:rPr>
          <w:rFonts w:ascii="Arial" w:hAnsi="Arial"/>
          <w:b/>
          <w:bCs/>
          <w:szCs w:val="28"/>
        </w:rPr>
        <w:t xml:space="preserve"> on utilisation of </w:t>
      </w:r>
      <w:r w:rsidR="00786F8C">
        <w:rPr>
          <w:rFonts w:ascii="Arial" w:hAnsi="Arial"/>
          <w:b/>
          <w:bCs/>
          <w:szCs w:val="28"/>
        </w:rPr>
        <w:t xml:space="preserve">new </w:t>
      </w:r>
      <w:r w:rsidRPr="00D61AF0">
        <w:rPr>
          <w:rFonts w:ascii="Arial" w:hAnsi="Arial"/>
          <w:b/>
          <w:bCs/>
          <w:szCs w:val="28"/>
        </w:rPr>
        <w:t>MBS item</w:t>
      </w:r>
      <w:r w:rsidR="004939A8">
        <w:rPr>
          <w:rFonts w:ascii="Arial" w:hAnsi="Arial"/>
          <w:b/>
          <w:bCs/>
          <w:szCs w:val="28"/>
        </w:rPr>
        <w:t>s for remote monitoring for patients with implanted cardiac devices.</w:t>
      </w:r>
    </w:p>
    <w:p w14:paraId="02820435" w14:textId="38E1ED9E" w:rsidR="00F9695B" w:rsidRPr="00B454F2" w:rsidRDefault="00D61AF0" w:rsidP="00B454F2">
      <w:pPr>
        <w:tabs>
          <w:tab w:val="left" w:pos="3600"/>
        </w:tabs>
        <w:spacing w:after="240"/>
        <w:rPr>
          <w:rFonts w:ascii="Arial" w:hAnsi="Arial"/>
          <w:b/>
          <w:bCs/>
          <w:szCs w:val="28"/>
        </w:rPr>
      </w:pPr>
      <w:r w:rsidRPr="00152288">
        <w:rPr>
          <w:rFonts w:ascii="Arial" w:hAnsi="Arial"/>
          <w:b/>
          <w:bCs/>
          <w:szCs w:val="28"/>
        </w:rPr>
        <w:t>Medicare Benefits Schedu</w:t>
      </w:r>
      <w:r w:rsidR="004939A8">
        <w:rPr>
          <w:rFonts w:ascii="Arial" w:hAnsi="Arial"/>
          <w:b/>
          <w:bCs/>
          <w:szCs w:val="28"/>
        </w:rPr>
        <w:t>le (MBS) items considered: 11719, 11720, 11725 and 11726.</w:t>
      </w:r>
    </w:p>
    <w:p w14:paraId="50E82A0A" w14:textId="6C1711FE" w:rsidR="00BC1364" w:rsidRPr="00D90A38" w:rsidRDefault="00BC1364" w:rsidP="00B454F2">
      <w:pPr>
        <w:spacing w:after="240"/>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C67DD2" w:rsidRPr="00D90A38">
        <w:rPr>
          <w:rFonts w:ascii="Arial" w:hAnsi="Arial" w:cs="Arial"/>
          <w:b/>
          <w:szCs w:val="24"/>
        </w:rPr>
        <w:t xml:space="preserve">MSAC </w:t>
      </w:r>
      <w:r w:rsidR="004939A8">
        <w:rPr>
          <w:rFonts w:ascii="Arial" w:hAnsi="Arial" w:cs="Arial"/>
          <w:b/>
          <w:szCs w:val="24"/>
        </w:rPr>
        <w:t>62</w:t>
      </w:r>
      <w:r w:rsidR="004939A8">
        <w:rPr>
          <w:rFonts w:ascii="Arial" w:hAnsi="Arial" w:cs="Arial"/>
          <w:b/>
          <w:szCs w:val="24"/>
          <w:vertAlign w:val="superscript"/>
        </w:rPr>
        <w:t>nd</w:t>
      </w:r>
      <w:r w:rsidR="00F9695B">
        <w:rPr>
          <w:rFonts w:ascii="Arial" w:hAnsi="Arial" w:cs="Arial"/>
          <w:b/>
          <w:szCs w:val="24"/>
        </w:rPr>
        <w:t xml:space="preserve"> </w:t>
      </w:r>
      <w:r w:rsidRPr="00D90A38">
        <w:rPr>
          <w:rFonts w:ascii="Arial" w:hAnsi="Arial" w:cs="Arial"/>
          <w:b/>
          <w:szCs w:val="24"/>
        </w:rPr>
        <w:t xml:space="preserve">Meeting, </w:t>
      </w:r>
      <w:r w:rsidR="004939A8">
        <w:rPr>
          <w:rFonts w:ascii="Arial" w:hAnsi="Arial" w:cs="Arial"/>
          <w:b/>
          <w:szCs w:val="24"/>
        </w:rPr>
        <w:t>26-28 November</w:t>
      </w:r>
      <w:r w:rsidR="00D61AF0">
        <w:rPr>
          <w:rFonts w:ascii="Arial" w:hAnsi="Arial" w:cs="Arial"/>
          <w:b/>
          <w:szCs w:val="24"/>
        </w:rPr>
        <w:t xml:space="preserve"> 2014</w:t>
      </w:r>
    </w:p>
    <w:p w14:paraId="4639EEE8" w14:textId="726096B9" w:rsidR="00F41812" w:rsidRPr="00B454F2" w:rsidRDefault="00056DBD" w:rsidP="00B454F2">
      <w:pPr>
        <w:spacing w:after="360"/>
        <w:rPr>
          <w:rFonts w:ascii="Arial" w:hAnsi="Arial" w:cs="Arial"/>
          <w:b/>
          <w:szCs w:val="24"/>
        </w:rPr>
      </w:pPr>
      <w:r>
        <w:rPr>
          <w:rFonts w:ascii="Arial" w:hAnsi="Arial" w:cs="Arial"/>
          <w:b/>
          <w:szCs w:val="24"/>
        </w:rPr>
        <w:t>Date of u</w:t>
      </w:r>
      <w:r w:rsidRPr="00056DBD">
        <w:rPr>
          <w:rFonts w:ascii="Arial" w:hAnsi="Arial" w:cs="Arial"/>
          <w:b/>
          <w:szCs w:val="24"/>
        </w:rPr>
        <w:t>tilisation review:</w:t>
      </w:r>
      <w:r w:rsidR="00B93B67">
        <w:rPr>
          <w:rFonts w:ascii="Arial" w:hAnsi="Arial" w:cs="Arial"/>
          <w:b/>
          <w:szCs w:val="24"/>
        </w:rPr>
        <w:tab/>
      </w:r>
      <w:r>
        <w:rPr>
          <w:rFonts w:ascii="Arial" w:hAnsi="Arial" w:cs="Arial"/>
          <w:b/>
          <w:szCs w:val="24"/>
        </w:rPr>
        <w:t>MSAC Executive Meeting, 18 October 2019</w:t>
      </w:r>
    </w:p>
    <w:p w14:paraId="49B7398E" w14:textId="7EABD8C9" w:rsidR="00D61AF0" w:rsidRPr="00D61AF0" w:rsidRDefault="003D7F29" w:rsidP="00D61AF0">
      <w:pPr>
        <w:pStyle w:val="Heading1"/>
        <w:numPr>
          <w:ilvl w:val="0"/>
          <w:numId w:val="23"/>
        </w:numPr>
        <w:tabs>
          <w:tab w:val="left" w:pos="720"/>
          <w:tab w:val="left" w:pos="1140"/>
        </w:tabs>
        <w:ind w:hanging="720"/>
      </w:pPr>
      <w:r w:rsidRPr="00D90A38">
        <w:t xml:space="preserve">Purpose </w:t>
      </w:r>
    </w:p>
    <w:p w14:paraId="2EA18C32" w14:textId="7A00BE45" w:rsidR="00D61AF0" w:rsidRPr="008B63C2" w:rsidRDefault="00D61AF0" w:rsidP="00B454F2">
      <w:pPr>
        <w:spacing w:before="240" w:after="240"/>
      </w:pPr>
      <w:r>
        <w:t>The purpose of the report</w:t>
      </w:r>
      <w:r w:rsidR="00287EF7">
        <w:t xml:space="preserve"> of October 2019</w:t>
      </w:r>
      <w:r>
        <w:t xml:space="preserve"> presented to the Medical Services Advisory Committee (MSAC) was to inform MSAC of the real world impacts on </w:t>
      </w:r>
      <w:r w:rsidR="004939A8">
        <w:t xml:space="preserve">the outcomes of </w:t>
      </w:r>
      <w:r w:rsidR="00287EF7">
        <w:t xml:space="preserve">MSAC </w:t>
      </w:r>
      <w:r w:rsidR="004939A8">
        <w:t>Application 1197.1</w:t>
      </w:r>
      <w:r>
        <w:t>. The MSAC uses this informat</w:t>
      </w:r>
      <w:r w:rsidR="000D63AD">
        <w:t>ion to ensure that the new item</w:t>
      </w:r>
      <w:r>
        <w:t>s resulting from this appli</w:t>
      </w:r>
      <w:r w:rsidR="000D63AD">
        <w:t xml:space="preserve">cation are </w:t>
      </w:r>
      <w:r>
        <w:t>being u</w:t>
      </w:r>
      <w:r w:rsidR="00903C2A">
        <w:t>tilised</w:t>
      </w:r>
      <w:r>
        <w:t xml:space="preserve"> as intended. The report </w:t>
      </w:r>
      <w:r w:rsidR="00287EF7">
        <w:t xml:space="preserve">focused on the utilisation of the new items since implementation and </w:t>
      </w:r>
      <w:r>
        <w:t>is not intended to be a review of the clinical information covere</w:t>
      </w:r>
      <w:r w:rsidR="00287EF7">
        <w:t>d during the application process</w:t>
      </w:r>
      <w:r>
        <w:t>.</w:t>
      </w:r>
    </w:p>
    <w:p w14:paraId="03EF9FA2" w14:textId="5EE3A3B8" w:rsidR="008C4EFA" w:rsidRDefault="00D61AF0" w:rsidP="008C4EFA">
      <w:pPr>
        <w:pStyle w:val="Heading1"/>
        <w:numPr>
          <w:ilvl w:val="0"/>
          <w:numId w:val="23"/>
        </w:numPr>
        <w:ind w:hanging="720"/>
      </w:pPr>
      <w:r>
        <w:t>MSAC</w:t>
      </w:r>
      <w:r w:rsidR="00152288">
        <w:t xml:space="preserve"> Executive’s</w:t>
      </w:r>
      <w:r>
        <w:t xml:space="preserve"> advice</w:t>
      </w:r>
    </w:p>
    <w:p w14:paraId="07CBEB82" w14:textId="5DA879F7" w:rsidR="00B454F2" w:rsidRDefault="00287EF7" w:rsidP="00B454F2">
      <w:pPr>
        <w:spacing w:before="240" w:after="240"/>
      </w:pPr>
      <w:r>
        <w:t xml:space="preserve">MSAC executive considered utilisation data from 1 July 2015 until 30 June 2019. </w:t>
      </w:r>
      <w:r w:rsidR="00903C2A">
        <w:t xml:space="preserve">After consideration of utilisation </w:t>
      </w:r>
      <w:r w:rsidR="00D61AF0">
        <w:t xml:space="preserve">data for </w:t>
      </w:r>
      <w:r w:rsidR="003524AC">
        <w:t xml:space="preserve">new MBS items for </w:t>
      </w:r>
      <w:r w:rsidR="004939A8">
        <w:t>remote monitoring for patients with implanted cardiac devices</w:t>
      </w:r>
      <w:r w:rsidR="00FD188B">
        <w:t xml:space="preserve"> (pacemakers and defibrillators) the</w:t>
      </w:r>
      <w:r w:rsidR="00152288">
        <w:t xml:space="preserve"> MSAC Executive </w:t>
      </w:r>
      <w:r w:rsidR="00786F8C">
        <w:t>recommended no further action.</w:t>
      </w:r>
      <w:r w:rsidR="00FD188B">
        <w:t xml:space="preserve"> </w:t>
      </w:r>
      <w:r w:rsidR="003524AC">
        <w:t xml:space="preserve">The remote monitoring MBS items </w:t>
      </w:r>
      <w:r w:rsidR="006E55E4">
        <w:t>include</w:t>
      </w:r>
      <w:r w:rsidR="00675319">
        <w:t>d</w:t>
      </w:r>
      <w:r w:rsidR="006E55E4">
        <w:t xml:space="preserve"> two new items for implanted pacemakers (MBS items 11719 and 11720) and two new items for implanted defibrillators (MBS items 11725 and 11726). </w:t>
      </w:r>
      <w:r w:rsidR="00743A2C">
        <w:t xml:space="preserve">Items </w:t>
      </w:r>
      <w:r w:rsidR="006E55E4">
        <w:t>11719 and 11725 involve the remote monitoring review of data</w:t>
      </w:r>
      <w:r w:rsidR="00675319">
        <w:t xml:space="preserve"> collected</w:t>
      </w:r>
      <w:r w:rsidR="006E55E4">
        <w:t xml:space="preserve"> </w:t>
      </w:r>
      <w:r w:rsidR="00743A2C">
        <w:t>from either a pacemaker (item 11719) or a defibrillator (item 11725)</w:t>
      </w:r>
      <w:r w:rsidR="00675319">
        <w:t xml:space="preserve"> by </w:t>
      </w:r>
      <w:r w:rsidR="00743A2C">
        <w:t>a cardiologist</w:t>
      </w:r>
      <w:r w:rsidR="00675319">
        <w:t xml:space="preserve"> without the patient in attendance and is claimable only once per yea</w:t>
      </w:r>
      <w:r w:rsidR="00743A2C">
        <w:t xml:space="preserve">r.  Items </w:t>
      </w:r>
      <w:r w:rsidR="00675319">
        <w:t xml:space="preserve">11720 </w:t>
      </w:r>
      <w:r w:rsidR="00743A2C">
        <w:t xml:space="preserve">(pacemaker) </w:t>
      </w:r>
      <w:r w:rsidR="00675319">
        <w:t xml:space="preserve">and 11726 </w:t>
      </w:r>
      <w:r w:rsidR="00743A2C">
        <w:t xml:space="preserve">(defibrillator) </w:t>
      </w:r>
      <w:r w:rsidR="00EE1987">
        <w:t xml:space="preserve">involve </w:t>
      </w:r>
      <w:r w:rsidR="00675319">
        <w:t xml:space="preserve">patient attendance </w:t>
      </w:r>
      <w:r w:rsidR="00743A2C">
        <w:t>with the cardiologist</w:t>
      </w:r>
      <w:r w:rsidR="00675319">
        <w:t xml:space="preserve"> </w:t>
      </w:r>
      <w:r w:rsidR="00C53A6B">
        <w:t xml:space="preserve">in-office </w:t>
      </w:r>
      <w:r w:rsidR="00675319">
        <w:t xml:space="preserve">for testing </w:t>
      </w:r>
      <w:r w:rsidR="00C4555E">
        <w:t>and review of the device</w:t>
      </w:r>
      <w:r w:rsidR="00B454F2">
        <w:t>.</w:t>
      </w:r>
      <w:r w:rsidR="00B454F2">
        <w:br w:type="page"/>
      </w:r>
    </w:p>
    <w:p w14:paraId="295D11B4" w14:textId="7F3492A5" w:rsidR="00C4555E" w:rsidRPr="00B454F2" w:rsidRDefault="00152288" w:rsidP="00C4555E">
      <w:pPr>
        <w:pStyle w:val="Heading1"/>
        <w:numPr>
          <w:ilvl w:val="0"/>
          <w:numId w:val="23"/>
        </w:numPr>
        <w:spacing w:after="240"/>
        <w:ind w:hanging="720"/>
      </w:pPr>
      <w:r>
        <w:lastRenderedPageBreak/>
        <w:t xml:space="preserve">Predicted vs Actual </w:t>
      </w:r>
      <w:r w:rsidR="00056DBD">
        <w:t>Utilisation</w:t>
      </w:r>
    </w:p>
    <w:tbl>
      <w:tblPr>
        <w:tblStyle w:val="TableGrid12"/>
        <w:tblW w:w="4575" w:type="pct"/>
        <w:tblInd w:w="108" w:type="dxa"/>
        <w:tblLook w:val="04A0" w:firstRow="1" w:lastRow="0" w:firstColumn="1" w:lastColumn="0" w:noHBand="0" w:noVBand="1"/>
        <w:tblDescription w:val="Actual utilisation for MBS item 11719"/>
      </w:tblPr>
      <w:tblGrid>
        <w:gridCol w:w="3451"/>
        <w:gridCol w:w="1199"/>
        <w:gridCol w:w="1200"/>
        <w:gridCol w:w="1200"/>
        <w:gridCol w:w="1200"/>
      </w:tblGrid>
      <w:tr w:rsidR="00C4555E" w:rsidRPr="00B05ABB" w14:paraId="6C8061F6" w14:textId="77777777" w:rsidTr="008A27D8">
        <w:trPr>
          <w:cnfStyle w:val="100000000000" w:firstRow="1" w:lastRow="0" w:firstColumn="0" w:lastColumn="0" w:oddVBand="0" w:evenVBand="0" w:oddHBand="0" w:evenHBand="0" w:firstRowFirstColumn="0" w:firstRowLastColumn="0" w:lastRowFirstColumn="0" w:lastRowLastColumn="0"/>
          <w:trHeight w:val="414"/>
          <w:tblHeader/>
        </w:trPr>
        <w:tc>
          <w:tcPr>
            <w:tcW w:w="2092" w:type="pct"/>
            <w:shd w:val="clear" w:color="auto" w:fill="548DD4" w:themeFill="text2" w:themeFillTint="99"/>
          </w:tcPr>
          <w:p w14:paraId="727CE301" w14:textId="006DA5CD" w:rsidR="00C4555E" w:rsidRPr="00B05ABB" w:rsidRDefault="00C4555E" w:rsidP="001C6233">
            <w:pPr>
              <w:keepNext/>
              <w:widowControl/>
              <w:tabs>
                <w:tab w:val="left" w:pos="1575"/>
              </w:tabs>
              <w:jc w:val="left"/>
              <w:rPr>
                <w:rFonts w:asciiTheme="minorHAnsi" w:hAnsiTheme="minorHAnsi" w:cstheme="minorHAnsi"/>
                <w:b w:val="0"/>
                <w:sz w:val="18"/>
                <w:szCs w:val="18"/>
                <w:lang w:val="en-US" w:eastAsia="zh-CN"/>
              </w:rPr>
            </w:pPr>
            <w:r w:rsidRPr="00B05ABB">
              <w:rPr>
                <w:rFonts w:asciiTheme="minorHAnsi" w:hAnsiTheme="minorHAnsi" w:cstheme="minorHAnsi"/>
                <w:b w:val="0"/>
                <w:color w:val="FFFFFF" w:themeColor="background1"/>
                <w:sz w:val="18"/>
                <w:szCs w:val="18"/>
                <w:lang w:val="en-US" w:eastAsia="zh-CN"/>
              </w:rPr>
              <w:t xml:space="preserve">ACTUAL: </w:t>
            </w:r>
            <w:r w:rsidRPr="00C4555E">
              <w:rPr>
                <w:rFonts w:asciiTheme="minorHAnsi" w:hAnsiTheme="minorHAnsi" w:cstheme="minorHAnsi"/>
                <w:color w:val="FFFFFF" w:themeColor="background1"/>
                <w:sz w:val="18"/>
                <w:szCs w:val="18"/>
                <w:lang w:val="en-US" w:eastAsia="zh-CN"/>
              </w:rPr>
              <w:t>11719</w:t>
            </w:r>
            <w:r w:rsidRPr="00B05ABB">
              <w:rPr>
                <w:rFonts w:asciiTheme="minorHAnsi" w:hAnsiTheme="minorHAnsi" w:cstheme="minorHAnsi"/>
                <w:b w:val="0"/>
                <w:color w:val="FFFFFF" w:themeColor="background1"/>
                <w:sz w:val="18"/>
                <w:szCs w:val="18"/>
                <w:lang w:val="en-US" w:eastAsia="zh-CN"/>
              </w:rPr>
              <w:tab/>
            </w:r>
          </w:p>
        </w:tc>
        <w:tc>
          <w:tcPr>
            <w:tcW w:w="727" w:type="pct"/>
            <w:shd w:val="clear" w:color="auto" w:fill="548DD4" w:themeFill="text2" w:themeFillTint="99"/>
            <w:vAlign w:val="center"/>
          </w:tcPr>
          <w:p w14:paraId="3C1D9B8B" w14:textId="77777777" w:rsidR="00C4555E" w:rsidRPr="00B05ABB" w:rsidRDefault="00C4555E" w:rsidP="001C6233">
            <w:pPr>
              <w:keepNext/>
              <w:widowControl/>
              <w:jc w:val="left"/>
              <w:rPr>
                <w:rFonts w:asciiTheme="minorHAnsi" w:hAnsiTheme="minorHAnsi" w:cstheme="minorHAnsi"/>
                <w:color w:val="FFFFFF" w:themeColor="background1"/>
                <w:sz w:val="18"/>
                <w:szCs w:val="18"/>
                <w:lang w:val="en-US" w:eastAsia="zh-CN"/>
              </w:rPr>
            </w:pPr>
            <w:r w:rsidRPr="00B05ABB">
              <w:rPr>
                <w:rFonts w:asciiTheme="minorHAnsi" w:hAnsiTheme="minorHAnsi" w:cstheme="minorHAnsi"/>
                <w:color w:val="FFFFFF" w:themeColor="background1"/>
                <w:sz w:val="18"/>
                <w:szCs w:val="18"/>
                <w:lang w:val="en-US" w:eastAsia="zh-CN"/>
              </w:rPr>
              <w:t>Year 1</w:t>
            </w:r>
          </w:p>
          <w:p w14:paraId="56E4F8D7" w14:textId="77777777" w:rsidR="00C4555E" w:rsidRPr="00B05ABB" w:rsidRDefault="00C4555E" w:rsidP="001C6233">
            <w:pPr>
              <w:keepNext/>
              <w:rPr>
                <w:rFonts w:asciiTheme="minorHAnsi" w:hAnsiTheme="minorHAnsi" w:cstheme="minorHAnsi"/>
                <w:b w:val="0"/>
                <w:color w:val="FFFFFF" w:themeColor="background1"/>
                <w:sz w:val="18"/>
                <w:szCs w:val="18"/>
                <w:lang w:val="en-US" w:eastAsia="zh-CN"/>
              </w:rPr>
            </w:pPr>
            <w:r w:rsidRPr="00B05ABB">
              <w:rPr>
                <w:rFonts w:asciiTheme="minorHAnsi" w:hAnsiTheme="minorHAnsi" w:cstheme="minorHAnsi"/>
                <w:color w:val="FFFFFF" w:themeColor="background1"/>
                <w:sz w:val="18"/>
                <w:szCs w:val="18"/>
                <w:lang w:val="en-US" w:eastAsia="zh-CN"/>
              </w:rPr>
              <w:t>2015-16</w:t>
            </w:r>
          </w:p>
        </w:tc>
        <w:tc>
          <w:tcPr>
            <w:tcW w:w="727" w:type="pct"/>
            <w:shd w:val="clear" w:color="auto" w:fill="548DD4" w:themeFill="text2" w:themeFillTint="99"/>
            <w:vAlign w:val="center"/>
          </w:tcPr>
          <w:p w14:paraId="292B25AD" w14:textId="77777777" w:rsidR="00C4555E" w:rsidRPr="00B05ABB" w:rsidRDefault="00C4555E" w:rsidP="001C6233">
            <w:pPr>
              <w:keepNext/>
              <w:widowControl/>
              <w:jc w:val="left"/>
              <w:rPr>
                <w:rFonts w:asciiTheme="minorHAnsi" w:hAnsiTheme="minorHAnsi" w:cstheme="minorHAnsi"/>
                <w:color w:val="FFFFFF" w:themeColor="background1"/>
                <w:sz w:val="18"/>
                <w:szCs w:val="18"/>
                <w:lang w:val="en-US" w:eastAsia="zh-CN"/>
              </w:rPr>
            </w:pPr>
            <w:r w:rsidRPr="00B05ABB">
              <w:rPr>
                <w:rFonts w:asciiTheme="minorHAnsi" w:hAnsiTheme="minorHAnsi" w:cstheme="minorHAnsi"/>
                <w:color w:val="FFFFFF" w:themeColor="background1"/>
                <w:sz w:val="18"/>
                <w:szCs w:val="18"/>
                <w:lang w:val="en-US" w:eastAsia="zh-CN"/>
              </w:rPr>
              <w:t>Year 2</w:t>
            </w:r>
          </w:p>
          <w:p w14:paraId="775121F4" w14:textId="77777777" w:rsidR="00C4555E" w:rsidRPr="00B05ABB" w:rsidRDefault="00C4555E" w:rsidP="001C6233">
            <w:pPr>
              <w:keepNext/>
              <w:rPr>
                <w:rFonts w:asciiTheme="minorHAnsi" w:hAnsiTheme="minorHAnsi" w:cstheme="minorHAnsi"/>
                <w:b w:val="0"/>
                <w:color w:val="FFFFFF" w:themeColor="background1"/>
                <w:sz w:val="18"/>
                <w:szCs w:val="18"/>
                <w:lang w:val="en-US" w:eastAsia="zh-CN"/>
              </w:rPr>
            </w:pPr>
            <w:r w:rsidRPr="00B05ABB">
              <w:rPr>
                <w:rFonts w:asciiTheme="minorHAnsi" w:hAnsiTheme="minorHAnsi" w:cstheme="minorHAnsi"/>
                <w:color w:val="FFFFFF" w:themeColor="background1"/>
                <w:sz w:val="18"/>
                <w:szCs w:val="18"/>
                <w:lang w:val="en-US" w:eastAsia="zh-CN"/>
              </w:rPr>
              <w:t>2016-17</w:t>
            </w:r>
          </w:p>
        </w:tc>
        <w:tc>
          <w:tcPr>
            <w:tcW w:w="727" w:type="pct"/>
            <w:shd w:val="clear" w:color="auto" w:fill="548DD4" w:themeFill="text2" w:themeFillTint="99"/>
            <w:vAlign w:val="center"/>
          </w:tcPr>
          <w:p w14:paraId="7E90921C" w14:textId="77777777" w:rsidR="00C4555E" w:rsidRPr="00B05ABB" w:rsidRDefault="00C4555E" w:rsidP="001C6233">
            <w:pPr>
              <w:keepNext/>
              <w:widowControl/>
              <w:jc w:val="left"/>
              <w:rPr>
                <w:rFonts w:asciiTheme="minorHAnsi" w:hAnsiTheme="minorHAnsi" w:cstheme="minorHAnsi"/>
                <w:color w:val="FFFFFF" w:themeColor="background1"/>
                <w:sz w:val="18"/>
                <w:szCs w:val="18"/>
                <w:lang w:val="en-US" w:eastAsia="zh-CN"/>
              </w:rPr>
            </w:pPr>
            <w:r w:rsidRPr="00B05ABB">
              <w:rPr>
                <w:rFonts w:asciiTheme="minorHAnsi" w:hAnsiTheme="minorHAnsi" w:cstheme="minorHAnsi"/>
                <w:color w:val="FFFFFF" w:themeColor="background1"/>
                <w:sz w:val="18"/>
                <w:szCs w:val="18"/>
                <w:lang w:val="en-US" w:eastAsia="zh-CN"/>
              </w:rPr>
              <w:t>Year 3</w:t>
            </w:r>
          </w:p>
          <w:p w14:paraId="0B4241C6" w14:textId="77777777" w:rsidR="00C4555E" w:rsidRPr="00B05ABB" w:rsidRDefault="00C4555E" w:rsidP="001C6233">
            <w:pPr>
              <w:keepNext/>
              <w:rPr>
                <w:rFonts w:asciiTheme="minorHAnsi" w:hAnsiTheme="minorHAnsi" w:cstheme="minorHAnsi"/>
                <w:b w:val="0"/>
                <w:color w:val="FFFFFF" w:themeColor="background1"/>
                <w:sz w:val="18"/>
                <w:szCs w:val="18"/>
                <w:lang w:val="en-US" w:eastAsia="zh-CN"/>
              </w:rPr>
            </w:pPr>
            <w:r w:rsidRPr="00B05ABB">
              <w:rPr>
                <w:rFonts w:asciiTheme="minorHAnsi" w:hAnsiTheme="minorHAnsi" w:cstheme="minorHAnsi"/>
                <w:color w:val="FFFFFF" w:themeColor="background1"/>
                <w:sz w:val="18"/>
                <w:szCs w:val="18"/>
                <w:lang w:val="en-US" w:eastAsia="zh-CN"/>
              </w:rPr>
              <w:t>2017-18</w:t>
            </w:r>
          </w:p>
        </w:tc>
        <w:tc>
          <w:tcPr>
            <w:tcW w:w="727" w:type="pct"/>
            <w:shd w:val="clear" w:color="auto" w:fill="548DD4" w:themeFill="text2" w:themeFillTint="99"/>
            <w:vAlign w:val="center"/>
          </w:tcPr>
          <w:p w14:paraId="07E1F750" w14:textId="77777777" w:rsidR="00C4555E" w:rsidRPr="00B05ABB" w:rsidRDefault="00C4555E" w:rsidP="001C6233">
            <w:pPr>
              <w:keepNext/>
              <w:widowControl/>
              <w:jc w:val="left"/>
              <w:rPr>
                <w:rFonts w:asciiTheme="minorHAnsi" w:hAnsiTheme="minorHAnsi" w:cstheme="minorHAnsi"/>
                <w:color w:val="FFFFFF" w:themeColor="background1"/>
                <w:sz w:val="18"/>
                <w:szCs w:val="18"/>
                <w:lang w:val="en-US" w:eastAsia="zh-CN"/>
              </w:rPr>
            </w:pPr>
            <w:r w:rsidRPr="00B05ABB">
              <w:rPr>
                <w:rFonts w:asciiTheme="minorHAnsi" w:hAnsiTheme="minorHAnsi" w:cstheme="minorHAnsi"/>
                <w:color w:val="FFFFFF" w:themeColor="background1"/>
                <w:sz w:val="18"/>
                <w:szCs w:val="18"/>
                <w:lang w:val="en-US" w:eastAsia="zh-CN"/>
              </w:rPr>
              <w:t>Year 4</w:t>
            </w:r>
          </w:p>
          <w:p w14:paraId="02D97C40" w14:textId="77777777" w:rsidR="00C4555E" w:rsidRPr="00B05ABB" w:rsidRDefault="00C4555E" w:rsidP="001C6233">
            <w:pPr>
              <w:keepNext/>
              <w:widowControl/>
              <w:jc w:val="left"/>
              <w:rPr>
                <w:rFonts w:asciiTheme="minorHAnsi" w:hAnsiTheme="minorHAnsi" w:cstheme="minorHAnsi"/>
                <w:b w:val="0"/>
                <w:color w:val="FFFFFF" w:themeColor="background1"/>
                <w:sz w:val="18"/>
                <w:szCs w:val="18"/>
                <w:lang w:val="en-US" w:eastAsia="zh-CN"/>
              </w:rPr>
            </w:pPr>
            <w:r w:rsidRPr="00B05ABB">
              <w:rPr>
                <w:rFonts w:asciiTheme="minorHAnsi" w:hAnsiTheme="minorHAnsi" w:cstheme="minorHAnsi"/>
                <w:color w:val="FFFFFF" w:themeColor="background1"/>
                <w:sz w:val="18"/>
                <w:szCs w:val="18"/>
                <w:lang w:val="en-US" w:eastAsia="zh-CN"/>
              </w:rPr>
              <w:t>2018-19</w:t>
            </w:r>
          </w:p>
        </w:tc>
      </w:tr>
      <w:tr w:rsidR="00C4555E" w:rsidRPr="00B05ABB" w14:paraId="6920553A" w14:textId="77777777" w:rsidTr="001C6233">
        <w:trPr>
          <w:trHeight w:val="414"/>
        </w:trPr>
        <w:tc>
          <w:tcPr>
            <w:tcW w:w="2092" w:type="pct"/>
            <w:shd w:val="clear" w:color="auto" w:fill="FFFFFF" w:themeFill="background1"/>
            <w:vAlign w:val="center"/>
          </w:tcPr>
          <w:p w14:paraId="143B1BD9" w14:textId="77777777" w:rsidR="00C4555E" w:rsidRPr="00B05ABB" w:rsidRDefault="00C4555E" w:rsidP="001C6233">
            <w:pPr>
              <w:keepNext/>
              <w:jc w:val="left"/>
              <w:rPr>
                <w:rFonts w:asciiTheme="minorHAnsi" w:hAnsiTheme="minorHAnsi" w:cstheme="minorHAnsi"/>
                <w:sz w:val="18"/>
                <w:szCs w:val="18"/>
                <w:lang w:val="en-US" w:eastAsia="zh-CN"/>
              </w:rPr>
            </w:pPr>
            <w:r w:rsidRPr="00333CCA">
              <w:rPr>
                <w:rFonts w:asciiTheme="minorHAnsi" w:hAnsiTheme="minorHAnsi" w:cstheme="minorHAnsi"/>
                <w:sz w:val="20"/>
                <w:szCs w:val="18"/>
                <w:lang w:val="en-US" w:eastAsia="zh-CN"/>
              </w:rPr>
              <w:t>Total number of services per year</w:t>
            </w:r>
          </w:p>
        </w:tc>
        <w:tc>
          <w:tcPr>
            <w:tcW w:w="727" w:type="pct"/>
            <w:vAlign w:val="center"/>
          </w:tcPr>
          <w:p w14:paraId="3AA81997" w14:textId="77777777" w:rsidR="00C4555E" w:rsidRPr="00333CCA" w:rsidRDefault="00C4555E" w:rsidP="001C6233">
            <w:pPr>
              <w:keepNext/>
              <w:jc w:val="center"/>
              <w:rPr>
                <w:rFonts w:asciiTheme="minorHAnsi" w:hAnsiTheme="minorHAnsi" w:cstheme="minorHAnsi"/>
                <w:b/>
                <w:sz w:val="20"/>
                <w:szCs w:val="18"/>
                <w:lang w:val="en-US" w:eastAsia="zh-CN"/>
              </w:rPr>
            </w:pPr>
            <w:r w:rsidRPr="00333CCA">
              <w:rPr>
                <w:rFonts w:asciiTheme="minorHAnsi" w:hAnsiTheme="minorHAnsi" w:cstheme="minorHAnsi"/>
                <w:b/>
                <w:sz w:val="20"/>
                <w:szCs w:val="18"/>
                <w:lang w:val="en-US" w:eastAsia="zh-CN"/>
              </w:rPr>
              <w:t>3939</w:t>
            </w:r>
          </w:p>
        </w:tc>
        <w:tc>
          <w:tcPr>
            <w:tcW w:w="727" w:type="pct"/>
            <w:vAlign w:val="center"/>
          </w:tcPr>
          <w:p w14:paraId="5DEA93D0" w14:textId="77777777" w:rsidR="00C4555E" w:rsidRPr="00333CCA" w:rsidRDefault="00C4555E" w:rsidP="001C6233">
            <w:pPr>
              <w:keepNext/>
              <w:jc w:val="center"/>
              <w:rPr>
                <w:rFonts w:asciiTheme="minorHAnsi" w:hAnsiTheme="minorHAnsi" w:cstheme="minorHAnsi"/>
                <w:b/>
                <w:sz w:val="20"/>
                <w:szCs w:val="18"/>
                <w:lang w:val="en-US" w:eastAsia="zh-CN"/>
              </w:rPr>
            </w:pPr>
            <w:r w:rsidRPr="00333CCA">
              <w:rPr>
                <w:rFonts w:asciiTheme="minorHAnsi" w:hAnsiTheme="minorHAnsi" w:cstheme="minorHAnsi"/>
                <w:b/>
                <w:sz w:val="20"/>
                <w:szCs w:val="18"/>
                <w:lang w:val="en-US" w:eastAsia="zh-CN"/>
              </w:rPr>
              <w:t>7987</w:t>
            </w:r>
          </w:p>
        </w:tc>
        <w:tc>
          <w:tcPr>
            <w:tcW w:w="727" w:type="pct"/>
            <w:vAlign w:val="center"/>
          </w:tcPr>
          <w:p w14:paraId="0B358A3A" w14:textId="77777777" w:rsidR="00C4555E" w:rsidRPr="00333CCA" w:rsidRDefault="00C4555E" w:rsidP="001C6233">
            <w:pPr>
              <w:keepNext/>
              <w:jc w:val="center"/>
              <w:rPr>
                <w:rFonts w:asciiTheme="minorHAnsi" w:hAnsiTheme="minorHAnsi" w:cstheme="minorHAnsi"/>
                <w:b/>
                <w:sz w:val="20"/>
                <w:szCs w:val="18"/>
                <w:lang w:val="en-US" w:eastAsia="zh-CN"/>
              </w:rPr>
            </w:pPr>
            <w:r w:rsidRPr="00333CCA">
              <w:rPr>
                <w:rFonts w:asciiTheme="minorHAnsi" w:hAnsiTheme="minorHAnsi" w:cstheme="minorHAnsi"/>
                <w:b/>
                <w:sz w:val="20"/>
                <w:szCs w:val="18"/>
                <w:lang w:val="en-US" w:eastAsia="zh-CN"/>
              </w:rPr>
              <w:t>11,178</w:t>
            </w:r>
          </w:p>
        </w:tc>
        <w:tc>
          <w:tcPr>
            <w:tcW w:w="727" w:type="pct"/>
            <w:vAlign w:val="center"/>
          </w:tcPr>
          <w:p w14:paraId="2004899F" w14:textId="77777777" w:rsidR="00C4555E" w:rsidRPr="00333CCA" w:rsidRDefault="00C4555E" w:rsidP="001C6233">
            <w:pPr>
              <w:keepNext/>
              <w:jc w:val="center"/>
              <w:rPr>
                <w:rFonts w:asciiTheme="minorHAnsi" w:hAnsiTheme="minorHAnsi" w:cstheme="minorHAnsi"/>
                <w:b/>
                <w:sz w:val="20"/>
                <w:szCs w:val="18"/>
                <w:lang w:val="en-US" w:eastAsia="zh-CN"/>
              </w:rPr>
            </w:pPr>
            <w:r w:rsidRPr="00333CCA">
              <w:rPr>
                <w:rFonts w:asciiTheme="minorHAnsi" w:hAnsiTheme="minorHAnsi" w:cstheme="minorHAnsi"/>
                <w:b/>
                <w:sz w:val="20"/>
                <w:szCs w:val="18"/>
                <w:lang w:val="en-US" w:eastAsia="zh-CN"/>
              </w:rPr>
              <w:t>15,972</w:t>
            </w:r>
          </w:p>
        </w:tc>
      </w:tr>
    </w:tbl>
    <w:p w14:paraId="7BFE14A5" w14:textId="439DDE39" w:rsidR="00C4555E" w:rsidRPr="00C4555E" w:rsidRDefault="00C4555E" w:rsidP="00C4555E">
      <w:pPr>
        <w:rPr>
          <w:rFonts w:cstheme="minorHAnsi"/>
        </w:rPr>
      </w:pPr>
    </w:p>
    <w:tbl>
      <w:tblPr>
        <w:tblStyle w:val="TableGrid12"/>
        <w:tblW w:w="4575" w:type="pct"/>
        <w:tblInd w:w="108" w:type="dxa"/>
        <w:tblLook w:val="04A0" w:firstRow="1" w:lastRow="0" w:firstColumn="1" w:lastColumn="0" w:noHBand="0" w:noVBand="1"/>
        <w:tblDescription w:val="Actual utilisation for MBS item 11720"/>
      </w:tblPr>
      <w:tblGrid>
        <w:gridCol w:w="3451"/>
        <w:gridCol w:w="1199"/>
        <w:gridCol w:w="1200"/>
        <w:gridCol w:w="1200"/>
        <w:gridCol w:w="1200"/>
      </w:tblGrid>
      <w:tr w:rsidR="00C4555E" w:rsidRPr="00B05ABB" w14:paraId="2A3C615A" w14:textId="77777777" w:rsidTr="008A27D8">
        <w:trPr>
          <w:cnfStyle w:val="100000000000" w:firstRow="1" w:lastRow="0" w:firstColumn="0" w:lastColumn="0" w:oddVBand="0" w:evenVBand="0" w:oddHBand="0" w:evenHBand="0" w:firstRowFirstColumn="0" w:firstRowLastColumn="0" w:lastRowFirstColumn="0" w:lastRowLastColumn="0"/>
          <w:trHeight w:val="414"/>
          <w:tblHeader/>
        </w:trPr>
        <w:tc>
          <w:tcPr>
            <w:tcW w:w="2092" w:type="pct"/>
            <w:shd w:val="clear" w:color="auto" w:fill="548DD4" w:themeFill="text2" w:themeFillTint="99"/>
          </w:tcPr>
          <w:p w14:paraId="5D6AF91F" w14:textId="7423D6AC" w:rsidR="00C4555E" w:rsidRPr="00B05ABB" w:rsidRDefault="00C4555E" w:rsidP="001C6233">
            <w:pPr>
              <w:keepNext/>
              <w:widowControl/>
              <w:tabs>
                <w:tab w:val="left" w:pos="1575"/>
              </w:tabs>
              <w:jc w:val="left"/>
              <w:rPr>
                <w:rFonts w:asciiTheme="minorHAnsi" w:hAnsiTheme="minorHAnsi" w:cstheme="minorHAnsi"/>
                <w:b w:val="0"/>
                <w:sz w:val="18"/>
                <w:szCs w:val="18"/>
                <w:lang w:val="en-US" w:eastAsia="zh-CN"/>
              </w:rPr>
            </w:pPr>
            <w:r w:rsidRPr="00B05ABB">
              <w:rPr>
                <w:rFonts w:asciiTheme="minorHAnsi" w:hAnsiTheme="minorHAnsi" w:cstheme="minorHAnsi"/>
                <w:b w:val="0"/>
                <w:color w:val="FFFFFF" w:themeColor="background1"/>
                <w:sz w:val="18"/>
                <w:szCs w:val="18"/>
                <w:lang w:val="en-US" w:eastAsia="zh-CN"/>
              </w:rPr>
              <w:t>ACTUAL</w:t>
            </w:r>
            <w:r w:rsidRPr="00C4555E">
              <w:rPr>
                <w:rFonts w:asciiTheme="minorHAnsi" w:hAnsiTheme="minorHAnsi" w:cstheme="minorHAnsi"/>
                <w:color w:val="FFFFFF" w:themeColor="background1"/>
                <w:sz w:val="18"/>
                <w:szCs w:val="18"/>
                <w:lang w:val="en-US" w:eastAsia="zh-CN"/>
              </w:rPr>
              <w:t>: 11720</w:t>
            </w:r>
            <w:r w:rsidRPr="00C4555E">
              <w:rPr>
                <w:rFonts w:asciiTheme="minorHAnsi" w:hAnsiTheme="minorHAnsi" w:cstheme="minorHAnsi"/>
                <w:color w:val="FFFFFF" w:themeColor="background1"/>
                <w:sz w:val="18"/>
                <w:szCs w:val="18"/>
                <w:lang w:val="en-US" w:eastAsia="zh-CN"/>
              </w:rPr>
              <w:tab/>
            </w:r>
          </w:p>
        </w:tc>
        <w:tc>
          <w:tcPr>
            <w:tcW w:w="727" w:type="pct"/>
            <w:shd w:val="clear" w:color="auto" w:fill="548DD4" w:themeFill="text2" w:themeFillTint="99"/>
            <w:vAlign w:val="center"/>
          </w:tcPr>
          <w:p w14:paraId="6BE40BC7" w14:textId="77777777" w:rsidR="00C4555E" w:rsidRPr="00B05ABB" w:rsidRDefault="00C4555E" w:rsidP="001C6233">
            <w:pPr>
              <w:keepNext/>
              <w:widowControl/>
              <w:jc w:val="left"/>
              <w:rPr>
                <w:rFonts w:asciiTheme="minorHAnsi" w:hAnsiTheme="minorHAnsi" w:cstheme="minorHAnsi"/>
                <w:color w:val="FFFFFF" w:themeColor="background1"/>
                <w:sz w:val="18"/>
                <w:szCs w:val="18"/>
                <w:lang w:val="en-US" w:eastAsia="zh-CN"/>
              </w:rPr>
            </w:pPr>
            <w:r w:rsidRPr="00B05ABB">
              <w:rPr>
                <w:rFonts w:asciiTheme="minorHAnsi" w:hAnsiTheme="minorHAnsi" w:cstheme="minorHAnsi"/>
                <w:color w:val="FFFFFF" w:themeColor="background1"/>
                <w:sz w:val="18"/>
                <w:szCs w:val="18"/>
                <w:lang w:val="en-US" w:eastAsia="zh-CN"/>
              </w:rPr>
              <w:t>Year 1</w:t>
            </w:r>
          </w:p>
          <w:p w14:paraId="26A4B241" w14:textId="77777777" w:rsidR="00C4555E" w:rsidRPr="00B05ABB" w:rsidRDefault="00C4555E" w:rsidP="001C6233">
            <w:pPr>
              <w:keepNext/>
              <w:rPr>
                <w:rFonts w:asciiTheme="minorHAnsi" w:hAnsiTheme="minorHAnsi" w:cstheme="minorHAnsi"/>
                <w:b w:val="0"/>
                <w:color w:val="FFFFFF" w:themeColor="background1"/>
                <w:sz w:val="18"/>
                <w:szCs w:val="18"/>
                <w:lang w:val="en-US" w:eastAsia="zh-CN"/>
              </w:rPr>
            </w:pPr>
            <w:r w:rsidRPr="00B05ABB">
              <w:rPr>
                <w:rFonts w:asciiTheme="minorHAnsi" w:hAnsiTheme="minorHAnsi" w:cstheme="minorHAnsi"/>
                <w:color w:val="FFFFFF" w:themeColor="background1"/>
                <w:sz w:val="18"/>
                <w:szCs w:val="18"/>
                <w:lang w:val="en-US" w:eastAsia="zh-CN"/>
              </w:rPr>
              <w:t>2015-16</w:t>
            </w:r>
          </w:p>
        </w:tc>
        <w:tc>
          <w:tcPr>
            <w:tcW w:w="727" w:type="pct"/>
            <w:shd w:val="clear" w:color="auto" w:fill="548DD4" w:themeFill="text2" w:themeFillTint="99"/>
            <w:vAlign w:val="center"/>
          </w:tcPr>
          <w:p w14:paraId="17571CE4" w14:textId="77777777" w:rsidR="00C4555E" w:rsidRPr="00B05ABB" w:rsidRDefault="00C4555E" w:rsidP="001C6233">
            <w:pPr>
              <w:keepNext/>
              <w:widowControl/>
              <w:jc w:val="left"/>
              <w:rPr>
                <w:rFonts w:asciiTheme="minorHAnsi" w:hAnsiTheme="minorHAnsi" w:cstheme="minorHAnsi"/>
                <w:color w:val="FFFFFF" w:themeColor="background1"/>
                <w:sz w:val="18"/>
                <w:szCs w:val="18"/>
                <w:lang w:val="en-US" w:eastAsia="zh-CN"/>
              </w:rPr>
            </w:pPr>
            <w:r w:rsidRPr="00B05ABB">
              <w:rPr>
                <w:rFonts w:asciiTheme="minorHAnsi" w:hAnsiTheme="minorHAnsi" w:cstheme="minorHAnsi"/>
                <w:color w:val="FFFFFF" w:themeColor="background1"/>
                <w:sz w:val="18"/>
                <w:szCs w:val="18"/>
                <w:lang w:val="en-US" w:eastAsia="zh-CN"/>
              </w:rPr>
              <w:t>Year 2</w:t>
            </w:r>
          </w:p>
          <w:p w14:paraId="03FC0FED" w14:textId="77777777" w:rsidR="00C4555E" w:rsidRPr="00B05ABB" w:rsidRDefault="00C4555E" w:rsidP="001C6233">
            <w:pPr>
              <w:keepNext/>
              <w:rPr>
                <w:rFonts w:asciiTheme="minorHAnsi" w:hAnsiTheme="minorHAnsi" w:cstheme="minorHAnsi"/>
                <w:b w:val="0"/>
                <w:color w:val="FFFFFF" w:themeColor="background1"/>
                <w:sz w:val="18"/>
                <w:szCs w:val="18"/>
                <w:lang w:val="en-US" w:eastAsia="zh-CN"/>
              </w:rPr>
            </w:pPr>
            <w:r w:rsidRPr="00B05ABB">
              <w:rPr>
                <w:rFonts w:asciiTheme="minorHAnsi" w:hAnsiTheme="minorHAnsi" w:cstheme="minorHAnsi"/>
                <w:color w:val="FFFFFF" w:themeColor="background1"/>
                <w:sz w:val="18"/>
                <w:szCs w:val="18"/>
                <w:lang w:val="en-US" w:eastAsia="zh-CN"/>
              </w:rPr>
              <w:t>2016-17</w:t>
            </w:r>
          </w:p>
        </w:tc>
        <w:tc>
          <w:tcPr>
            <w:tcW w:w="727" w:type="pct"/>
            <w:shd w:val="clear" w:color="auto" w:fill="548DD4" w:themeFill="text2" w:themeFillTint="99"/>
            <w:vAlign w:val="center"/>
          </w:tcPr>
          <w:p w14:paraId="77FBBA4E" w14:textId="77777777" w:rsidR="00C4555E" w:rsidRPr="00B05ABB" w:rsidRDefault="00C4555E" w:rsidP="001C6233">
            <w:pPr>
              <w:keepNext/>
              <w:widowControl/>
              <w:jc w:val="left"/>
              <w:rPr>
                <w:rFonts w:asciiTheme="minorHAnsi" w:hAnsiTheme="minorHAnsi" w:cstheme="minorHAnsi"/>
                <w:color w:val="FFFFFF" w:themeColor="background1"/>
                <w:sz w:val="18"/>
                <w:szCs w:val="18"/>
                <w:lang w:val="en-US" w:eastAsia="zh-CN"/>
              </w:rPr>
            </w:pPr>
            <w:r w:rsidRPr="00B05ABB">
              <w:rPr>
                <w:rFonts w:asciiTheme="minorHAnsi" w:hAnsiTheme="minorHAnsi" w:cstheme="minorHAnsi"/>
                <w:color w:val="FFFFFF" w:themeColor="background1"/>
                <w:sz w:val="18"/>
                <w:szCs w:val="18"/>
                <w:lang w:val="en-US" w:eastAsia="zh-CN"/>
              </w:rPr>
              <w:t>Year 3</w:t>
            </w:r>
          </w:p>
          <w:p w14:paraId="0F273FEB" w14:textId="77777777" w:rsidR="00C4555E" w:rsidRPr="00B05ABB" w:rsidRDefault="00C4555E" w:rsidP="001C6233">
            <w:pPr>
              <w:keepNext/>
              <w:rPr>
                <w:rFonts w:asciiTheme="minorHAnsi" w:hAnsiTheme="minorHAnsi" w:cstheme="minorHAnsi"/>
                <w:b w:val="0"/>
                <w:color w:val="FFFFFF" w:themeColor="background1"/>
                <w:sz w:val="18"/>
                <w:szCs w:val="18"/>
                <w:lang w:val="en-US" w:eastAsia="zh-CN"/>
              </w:rPr>
            </w:pPr>
            <w:r w:rsidRPr="00B05ABB">
              <w:rPr>
                <w:rFonts w:asciiTheme="minorHAnsi" w:hAnsiTheme="minorHAnsi" w:cstheme="minorHAnsi"/>
                <w:color w:val="FFFFFF" w:themeColor="background1"/>
                <w:sz w:val="18"/>
                <w:szCs w:val="18"/>
                <w:lang w:val="en-US" w:eastAsia="zh-CN"/>
              </w:rPr>
              <w:t>2017-18</w:t>
            </w:r>
          </w:p>
        </w:tc>
        <w:tc>
          <w:tcPr>
            <w:tcW w:w="727" w:type="pct"/>
            <w:shd w:val="clear" w:color="auto" w:fill="548DD4" w:themeFill="text2" w:themeFillTint="99"/>
            <w:vAlign w:val="center"/>
          </w:tcPr>
          <w:p w14:paraId="6FCBDE54" w14:textId="77777777" w:rsidR="00C4555E" w:rsidRPr="00B05ABB" w:rsidRDefault="00C4555E" w:rsidP="001C6233">
            <w:pPr>
              <w:keepNext/>
              <w:widowControl/>
              <w:jc w:val="left"/>
              <w:rPr>
                <w:rFonts w:asciiTheme="minorHAnsi" w:hAnsiTheme="minorHAnsi" w:cstheme="minorHAnsi"/>
                <w:color w:val="FFFFFF" w:themeColor="background1"/>
                <w:sz w:val="18"/>
                <w:szCs w:val="18"/>
                <w:lang w:val="en-US" w:eastAsia="zh-CN"/>
              </w:rPr>
            </w:pPr>
            <w:r w:rsidRPr="00B05ABB">
              <w:rPr>
                <w:rFonts w:asciiTheme="minorHAnsi" w:hAnsiTheme="minorHAnsi" w:cstheme="minorHAnsi"/>
                <w:color w:val="FFFFFF" w:themeColor="background1"/>
                <w:sz w:val="18"/>
                <w:szCs w:val="18"/>
                <w:lang w:val="en-US" w:eastAsia="zh-CN"/>
              </w:rPr>
              <w:t>Year 4</w:t>
            </w:r>
          </w:p>
          <w:p w14:paraId="7B1D330D" w14:textId="77777777" w:rsidR="00C4555E" w:rsidRPr="00B05ABB" w:rsidRDefault="00C4555E" w:rsidP="001C6233">
            <w:pPr>
              <w:keepNext/>
              <w:rPr>
                <w:rFonts w:asciiTheme="minorHAnsi" w:hAnsiTheme="minorHAnsi" w:cstheme="minorHAnsi"/>
                <w:b w:val="0"/>
                <w:color w:val="FFFFFF" w:themeColor="background1"/>
                <w:sz w:val="18"/>
                <w:szCs w:val="18"/>
                <w:lang w:val="en-US" w:eastAsia="zh-CN"/>
              </w:rPr>
            </w:pPr>
            <w:r w:rsidRPr="00B05ABB">
              <w:rPr>
                <w:rFonts w:asciiTheme="minorHAnsi" w:hAnsiTheme="minorHAnsi" w:cstheme="minorHAnsi"/>
                <w:color w:val="FFFFFF" w:themeColor="background1"/>
                <w:sz w:val="18"/>
                <w:szCs w:val="18"/>
                <w:lang w:val="en-US" w:eastAsia="zh-CN"/>
              </w:rPr>
              <w:t>2018-19</w:t>
            </w:r>
          </w:p>
        </w:tc>
      </w:tr>
      <w:tr w:rsidR="00C4555E" w:rsidRPr="00B05ABB" w14:paraId="2702FA87" w14:textId="77777777" w:rsidTr="001C6233">
        <w:trPr>
          <w:trHeight w:val="414"/>
        </w:trPr>
        <w:tc>
          <w:tcPr>
            <w:tcW w:w="2092" w:type="pct"/>
            <w:shd w:val="clear" w:color="auto" w:fill="FFFFFF" w:themeFill="background1"/>
            <w:vAlign w:val="center"/>
          </w:tcPr>
          <w:p w14:paraId="696F7543" w14:textId="77777777" w:rsidR="00C4555E" w:rsidRPr="00333CCA" w:rsidRDefault="00C4555E" w:rsidP="001C6233">
            <w:pPr>
              <w:keepNext/>
              <w:jc w:val="left"/>
              <w:rPr>
                <w:rFonts w:asciiTheme="minorHAnsi" w:hAnsiTheme="minorHAnsi" w:cstheme="minorHAnsi"/>
                <w:sz w:val="20"/>
                <w:szCs w:val="18"/>
                <w:lang w:val="en-US" w:eastAsia="zh-CN"/>
              </w:rPr>
            </w:pPr>
            <w:r w:rsidRPr="00333CCA">
              <w:rPr>
                <w:rFonts w:asciiTheme="minorHAnsi" w:hAnsiTheme="minorHAnsi" w:cstheme="minorHAnsi"/>
                <w:sz w:val="20"/>
                <w:szCs w:val="18"/>
                <w:lang w:val="en-US" w:eastAsia="zh-CN"/>
              </w:rPr>
              <w:t>Total number of services per year</w:t>
            </w:r>
          </w:p>
        </w:tc>
        <w:tc>
          <w:tcPr>
            <w:tcW w:w="727" w:type="pct"/>
            <w:vAlign w:val="center"/>
          </w:tcPr>
          <w:p w14:paraId="73F274B0" w14:textId="77777777" w:rsidR="00C4555E" w:rsidRPr="00333CCA" w:rsidRDefault="00C4555E" w:rsidP="001C6233">
            <w:pPr>
              <w:keepNext/>
              <w:jc w:val="center"/>
              <w:rPr>
                <w:rFonts w:asciiTheme="minorHAnsi" w:hAnsiTheme="minorHAnsi" w:cstheme="minorHAnsi"/>
                <w:b/>
                <w:sz w:val="20"/>
                <w:szCs w:val="18"/>
                <w:lang w:val="en-US" w:eastAsia="zh-CN"/>
              </w:rPr>
            </w:pPr>
            <w:r w:rsidRPr="00333CCA">
              <w:rPr>
                <w:rFonts w:asciiTheme="minorHAnsi" w:hAnsiTheme="minorHAnsi" w:cstheme="minorHAnsi"/>
                <w:b/>
                <w:sz w:val="20"/>
                <w:szCs w:val="18"/>
                <w:lang w:val="en-US" w:eastAsia="zh-CN"/>
              </w:rPr>
              <w:t>252</w:t>
            </w:r>
          </w:p>
        </w:tc>
        <w:tc>
          <w:tcPr>
            <w:tcW w:w="727" w:type="pct"/>
            <w:vAlign w:val="center"/>
          </w:tcPr>
          <w:p w14:paraId="37736C9D" w14:textId="77777777" w:rsidR="00C4555E" w:rsidRPr="00333CCA" w:rsidRDefault="00C4555E" w:rsidP="001C6233">
            <w:pPr>
              <w:keepNext/>
              <w:jc w:val="center"/>
              <w:rPr>
                <w:rFonts w:asciiTheme="minorHAnsi" w:hAnsiTheme="minorHAnsi" w:cstheme="minorHAnsi"/>
                <w:b/>
                <w:sz w:val="20"/>
                <w:szCs w:val="18"/>
                <w:lang w:val="en-US" w:eastAsia="zh-CN"/>
              </w:rPr>
            </w:pPr>
            <w:r w:rsidRPr="00333CCA">
              <w:rPr>
                <w:rFonts w:asciiTheme="minorHAnsi" w:hAnsiTheme="minorHAnsi" w:cstheme="minorHAnsi"/>
                <w:b/>
                <w:sz w:val="20"/>
                <w:szCs w:val="18"/>
                <w:lang w:val="en-US" w:eastAsia="zh-CN"/>
              </w:rPr>
              <w:t>717</w:t>
            </w:r>
          </w:p>
        </w:tc>
        <w:tc>
          <w:tcPr>
            <w:tcW w:w="727" w:type="pct"/>
            <w:vAlign w:val="center"/>
          </w:tcPr>
          <w:p w14:paraId="621A936E" w14:textId="77777777" w:rsidR="00C4555E" w:rsidRPr="00333CCA" w:rsidRDefault="00C4555E" w:rsidP="001C6233">
            <w:pPr>
              <w:keepNext/>
              <w:jc w:val="center"/>
              <w:rPr>
                <w:rFonts w:asciiTheme="minorHAnsi" w:hAnsiTheme="minorHAnsi" w:cstheme="minorHAnsi"/>
                <w:b/>
                <w:sz w:val="20"/>
                <w:szCs w:val="18"/>
                <w:lang w:val="en-US" w:eastAsia="zh-CN"/>
              </w:rPr>
            </w:pPr>
            <w:r w:rsidRPr="00333CCA">
              <w:rPr>
                <w:rFonts w:asciiTheme="minorHAnsi" w:hAnsiTheme="minorHAnsi" w:cstheme="minorHAnsi"/>
                <w:b/>
                <w:sz w:val="20"/>
                <w:szCs w:val="18"/>
                <w:lang w:val="en-US" w:eastAsia="zh-CN"/>
              </w:rPr>
              <w:t>868</w:t>
            </w:r>
          </w:p>
        </w:tc>
        <w:tc>
          <w:tcPr>
            <w:tcW w:w="727" w:type="pct"/>
            <w:vAlign w:val="center"/>
          </w:tcPr>
          <w:p w14:paraId="3096DF58" w14:textId="77777777" w:rsidR="00C4555E" w:rsidRPr="00333CCA" w:rsidRDefault="00C4555E" w:rsidP="001C6233">
            <w:pPr>
              <w:keepNext/>
              <w:jc w:val="center"/>
              <w:rPr>
                <w:rFonts w:asciiTheme="minorHAnsi" w:hAnsiTheme="minorHAnsi" w:cstheme="minorHAnsi"/>
                <w:b/>
                <w:sz w:val="20"/>
                <w:szCs w:val="18"/>
                <w:lang w:val="en-US" w:eastAsia="zh-CN"/>
              </w:rPr>
            </w:pPr>
            <w:r w:rsidRPr="00333CCA">
              <w:rPr>
                <w:rFonts w:asciiTheme="minorHAnsi" w:hAnsiTheme="minorHAnsi" w:cstheme="minorHAnsi"/>
                <w:b/>
                <w:sz w:val="20"/>
                <w:szCs w:val="18"/>
                <w:lang w:val="en-US" w:eastAsia="zh-CN"/>
              </w:rPr>
              <w:t>675</w:t>
            </w:r>
          </w:p>
        </w:tc>
      </w:tr>
    </w:tbl>
    <w:p w14:paraId="36028115" w14:textId="6C9BE00E" w:rsidR="00C4555E" w:rsidRPr="00B454F2" w:rsidRDefault="00C4555E" w:rsidP="00B454F2">
      <w:pPr>
        <w:rPr>
          <w:rFonts w:cstheme="minorHAnsi"/>
        </w:rPr>
      </w:pPr>
    </w:p>
    <w:tbl>
      <w:tblPr>
        <w:tblStyle w:val="TableGrid12"/>
        <w:tblW w:w="4575" w:type="pct"/>
        <w:tblInd w:w="108" w:type="dxa"/>
        <w:tblLook w:val="04A0" w:firstRow="1" w:lastRow="0" w:firstColumn="1" w:lastColumn="0" w:noHBand="0" w:noVBand="1"/>
        <w:tblDescription w:val="Actual utilisation for MBS item 11725"/>
      </w:tblPr>
      <w:tblGrid>
        <w:gridCol w:w="3451"/>
        <w:gridCol w:w="1199"/>
        <w:gridCol w:w="1200"/>
        <w:gridCol w:w="1200"/>
        <w:gridCol w:w="1200"/>
      </w:tblGrid>
      <w:tr w:rsidR="00C4555E" w:rsidRPr="00B05ABB" w14:paraId="2CB91FBE" w14:textId="77777777" w:rsidTr="008A27D8">
        <w:trPr>
          <w:cnfStyle w:val="100000000000" w:firstRow="1" w:lastRow="0" w:firstColumn="0" w:lastColumn="0" w:oddVBand="0" w:evenVBand="0" w:oddHBand="0" w:evenHBand="0" w:firstRowFirstColumn="0" w:firstRowLastColumn="0" w:lastRowFirstColumn="0" w:lastRowLastColumn="0"/>
          <w:trHeight w:val="414"/>
          <w:tblHeader/>
        </w:trPr>
        <w:tc>
          <w:tcPr>
            <w:tcW w:w="2092" w:type="pct"/>
            <w:shd w:val="clear" w:color="auto" w:fill="548DD4" w:themeFill="text2" w:themeFillTint="99"/>
          </w:tcPr>
          <w:p w14:paraId="191EC22C" w14:textId="3E3A4BBA" w:rsidR="00C4555E" w:rsidRPr="00B05ABB" w:rsidRDefault="00C4555E" w:rsidP="001C6233">
            <w:pPr>
              <w:keepNext/>
              <w:widowControl/>
              <w:tabs>
                <w:tab w:val="left" w:pos="1575"/>
              </w:tabs>
              <w:jc w:val="left"/>
              <w:rPr>
                <w:rFonts w:asciiTheme="minorHAnsi" w:hAnsiTheme="minorHAnsi" w:cstheme="minorHAnsi"/>
                <w:b w:val="0"/>
                <w:sz w:val="18"/>
                <w:szCs w:val="18"/>
                <w:lang w:val="en-US" w:eastAsia="zh-CN"/>
              </w:rPr>
            </w:pPr>
            <w:r w:rsidRPr="00B05ABB">
              <w:rPr>
                <w:rFonts w:asciiTheme="minorHAnsi" w:hAnsiTheme="minorHAnsi" w:cstheme="minorHAnsi"/>
                <w:b w:val="0"/>
                <w:color w:val="FFFFFF" w:themeColor="background1"/>
                <w:sz w:val="18"/>
                <w:szCs w:val="18"/>
                <w:lang w:val="en-US" w:eastAsia="zh-CN"/>
              </w:rPr>
              <w:t>A</w:t>
            </w:r>
            <w:r>
              <w:rPr>
                <w:rFonts w:asciiTheme="minorHAnsi" w:hAnsiTheme="minorHAnsi" w:cstheme="minorHAnsi"/>
                <w:b w:val="0"/>
                <w:color w:val="FFFFFF" w:themeColor="background1"/>
                <w:sz w:val="18"/>
                <w:szCs w:val="18"/>
                <w:lang w:val="en-US" w:eastAsia="zh-CN"/>
              </w:rPr>
              <w:t>CTUAL</w:t>
            </w:r>
            <w:r w:rsidRPr="00C4555E">
              <w:rPr>
                <w:rFonts w:asciiTheme="minorHAnsi" w:hAnsiTheme="minorHAnsi" w:cstheme="minorHAnsi"/>
                <w:color w:val="FFFFFF" w:themeColor="background1"/>
                <w:sz w:val="18"/>
                <w:szCs w:val="18"/>
                <w:lang w:val="en-US" w:eastAsia="zh-CN"/>
              </w:rPr>
              <w:t>: 11725</w:t>
            </w:r>
          </w:p>
        </w:tc>
        <w:tc>
          <w:tcPr>
            <w:tcW w:w="727" w:type="pct"/>
            <w:shd w:val="clear" w:color="auto" w:fill="548DD4" w:themeFill="text2" w:themeFillTint="99"/>
            <w:vAlign w:val="center"/>
          </w:tcPr>
          <w:p w14:paraId="4C0BC6A9" w14:textId="77777777" w:rsidR="00C4555E" w:rsidRPr="00B05ABB" w:rsidRDefault="00C4555E" w:rsidP="001C6233">
            <w:pPr>
              <w:keepNext/>
              <w:widowControl/>
              <w:jc w:val="left"/>
              <w:rPr>
                <w:rFonts w:asciiTheme="minorHAnsi" w:hAnsiTheme="minorHAnsi" w:cstheme="minorHAnsi"/>
                <w:color w:val="FFFFFF" w:themeColor="background1"/>
                <w:sz w:val="18"/>
                <w:szCs w:val="18"/>
                <w:lang w:val="en-US" w:eastAsia="zh-CN"/>
              </w:rPr>
            </w:pPr>
            <w:r w:rsidRPr="00B05ABB">
              <w:rPr>
                <w:rFonts w:asciiTheme="minorHAnsi" w:hAnsiTheme="minorHAnsi" w:cstheme="minorHAnsi"/>
                <w:color w:val="FFFFFF" w:themeColor="background1"/>
                <w:sz w:val="18"/>
                <w:szCs w:val="18"/>
                <w:lang w:val="en-US" w:eastAsia="zh-CN"/>
              </w:rPr>
              <w:t>Year 1</w:t>
            </w:r>
          </w:p>
          <w:p w14:paraId="7AD10F77" w14:textId="77777777" w:rsidR="00C4555E" w:rsidRPr="00B05ABB" w:rsidRDefault="00C4555E" w:rsidP="001C6233">
            <w:pPr>
              <w:keepNext/>
              <w:rPr>
                <w:rFonts w:asciiTheme="minorHAnsi" w:hAnsiTheme="minorHAnsi" w:cstheme="minorHAnsi"/>
                <w:b w:val="0"/>
                <w:color w:val="FFFFFF" w:themeColor="background1"/>
                <w:sz w:val="18"/>
                <w:szCs w:val="18"/>
                <w:lang w:val="en-US" w:eastAsia="zh-CN"/>
              </w:rPr>
            </w:pPr>
            <w:r w:rsidRPr="00B05ABB">
              <w:rPr>
                <w:rFonts w:asciiTheme="minorHAnsi" w:hAnsiTheme="minorHAnsi" w:cstheme="minorHAnsi"/>
                <w:color w:val="FFFFFF" w:themeColor="background1"/>
                <w:sz w:val="18"/>
                <w:szCs w:val="18"/>
                <w:lang w:val="en-US" w:eastAsia="zh-CN"/>
              </w:rPr>
              <w:t>2015-16</w:t>
            </w:r>
          </w:p>
        </w:tc>
        <w:tc>
          <w:tcPr>
            <w:tcW w:w="727" w:type="pct"/>
            <w:shd w:val="clear" w:color="auto" w:fill="548DD4" w:themeFill="text2" w:themeFillTint="99"/>
            <w:vAlign w:val="center"/>
          </w:tcPr>
          <w:p w14:paraId="414B52C6" w14:textId="77777777" w:rsidR="00C4555E" w:rsidRPr="00B05ABB" w:rsidRDefault="00C4555E" w:rsidP="001C6233">
            <w:pPr>
              <w:keepNext/>
              <w:widowControl/>
              <w:jc w:val="left"/>
              <w:rPr>
                <w:rFonts w:asciiTheme="minorHAnsi" w:hAnsiTheme="minorHAnsi" w:cstheme="minorHAnsi"/>
                <w:color w:val="FFFFFF" w:themeColor="background1"/>
                <w:sz w:val="18"/>
                <w:szCs w:val="18"/>
                <w:lang w:val="en-US" w:eastAsia="zh-CN"/>
              </w:rPr>
            </w:pPr>
            <w:r w:rsidRPr="00B05ABB">
              <w:rPr>
                <w:rFonts w:asciiTheme="minorHAnsi" w:hAnsiTheme="minorHAnsi" w:cstheme="minorHAnsi"/>
                <w:color w:val="FFFFFF" w:themeColor="background1"/>
                <w:sz w:val="18"/>
                <w:szCs w:val="18"/>
                <w:lang w:val="en-US" w:eastAsia="zh-CN"/>
              </w:rPr>
              <w:t>Year 2</w:t>
            </w:r>
          </w:p>
          <w:p w14:paraId="01B34A3A" w14:textId="77777777" w:rsidR="00C4555E" w:rsidRPr="00B05ABB" w:rsidRDefault="00C4555E" w:rsidP="001C6233">
            <w:pPr>
              <w:keepNext/>
              <w:rPr>
                <w:rFonts w:asciiTheme="minorHAnsi" w:hAnsiTheme="minorHAnsi" w:cstheme="minorHAnsi"/>
                <w:b w:val="0"/>
                <w:color w:val="FFFFFF" w:themeColor="background1"/>
                <w:sz w:val="18"/>
                <w:szCs w:val="18"/>
                <w:lang w:val="en-US" w:eastAsia="zh-CN"/>
              </w:rPr>
            </w:pPr>
            <w:r w:rsidRPr="00B05ABB">
              <w:rPr>
                <w:rFonts w:asciiTheme="minorHAnsi" w:hAnsiTheme="minorHAnsi" w:cstheme="minorHAnsi"/>
                <w:color w:val="FFFFFF" w:themeColor="background1"/>
                <w:sz w:val="18"/>
                <w:szCs w:val="18"/>
                <w:lang w:val="en-US" w:eastAsia="zh-CN"/>
              </w:rPr>
              <w:t>2016-17</w:t>
            </w:r>
          </w:p>
        </w:tc>
        <w:tc>
          <w:tcPr>
            <w:tcW w:w="727" w:type="pct"/>
            <w:shd w:val="clear" w:color="auto" w:fill="548DD4" w:themeFill="text2" w:themeFillTint="99"/>
            <w:vAlign w:val="center"/>
          </w:tcPr>
          <w:p w14:paraId="563353CF" w14:textId="77777777" w:rsidR="00C4555E" w:rsidRPr="00B05ABB" w:rsidRDefault="00C4555E" w:rsidP="001C6233">
            <w:pPr>
              <w:keepNext/>
              <w:widowControl/>
              <w:jc w:val="left"/>
              <w:rPr>
                <w:rFonts w:asciiTheme="minorHAnsi" w:hAnsiTheme="minorHAnsi" w:cstheme="minorHAnsi"/>
                <w:color w:val="FFFFFF" w:themeColor="background1"/>
                <w:sz w:val="18"/>
                <w:szCs w:val="18"/>
                <w:lang w:val="en-US" w:eastAsia="zh-CN"/>
              </w:rPr>
            </w:pPr>
            <w:r w:rsidRPr="00B05ABB">
              <w:rPr>
                <w:rFonts w:asciiTheme="minorHAnsi" w:hAnsiTheme="minorHAnsi" w:cstheme="minorHAnsi"/>
                <w:color w:val="FFFFFF" w:themeColor="background1"/>
                <w:sz w:val="18"/>
                <w:szCs w:val="18"/>
                <w:lang w:val="en-US" w:eastAsia="zh-CN"/>
              </w:rPr>
              <w:t>Year 3</w:t>
            </w:r>
          </w:p>
          <w:p w14:paraId="0A2303A6" w14:textId="77777777" w:rsidR="00C4555E" w:rsidRPr="00B05ABB" w:rsidRDefault="00C4555E" w:rsidP="001C6233">
            <w:pPr>
              <w:keepNext/>
              <w:rPr>
                <w:rFonts w:asciiTheme="minorHAnsi" w:hAnsiTheme="minorHAnsi" w:cstheme="minorHAnsi"/>
                <w:b w:val="0"/>
                <w:color w:val="FFFFFF" w:themeColor="background1"/>
                <w:sz w:val="18"/>
                <w:szCs w:val="18"/>
                <w:lang w:val="en-US" w:eastAsia="zh-CN"/>
              </w:rPr>
            </w:pPr>
            <w:r w:rsidRPr="00B05ABB">
              <w:rPr>
                <w:rFonts w:asciiTheme="minorHAnsi" w:hAnsiTheme="minorHAnsi" w:cstheme="minorHAnsi"/>
                <w:color w:val="FFFFFF" w:themeColor="background1"/>
                <w:sz w:val="18"/>
                <w:szCs w:val="18"/>
                <w:lang w:val="en-US" w:eastAsia="zh-CN"/>
              </w:rPr>
              <w:t>2017-18</w:t>
            </w:r>
          </w:p>
        </w:tc>
        <w:tc>
          <w:tcPr>
            <w:tcW w:w="727" w:type="pct"/>
            <w:shd w:val="clear" w:color="auto" w:fill="548DD4" w:themeFill="text2" w:themeFillTint="99"/>
            <w:vAlign w:val="center"/>
          </w:tcPr>
          <w:p w14:paraId="7C4F9A71" w14:textId="77777777" w:rsidR="00C4555E" w:rsidRPr="00B05ABB" w:rsidRDefault="00C4555E" w:rsidP="001C6233">
            <w:pPr>
              <w:keepNext/>
              <w:widowControl/>
              <w:jc w:val="left"/>
              <w:rPr>
                <w:rFonts w:asciiTheme="minorHAnsi" w:hAnsiTheme="minorHAnsi" w:cstheme="minorHAnsi"/>
                <w:color w:val="FFFFFF" w:themeColor="background1"/>
                <w:sz w:val="18"/>
                <w:szCs w:val="18"/>
                <w:lang w:val="en-US" w:eastAsia="zh-CN"/>
              </w:rPr>
            </w:pPr>
            <w:r w:rsidRPr="00B05ABB">
              <w:rPr>
                <w:rFonts w:asciiTheme="minorHAnsi" w:hAnsiTheme="minorHAnsi" w:cstheme="minorHAnsi"/>
                <w:color w:val="FFFFFF" w:themeColor="background1"/>
                <w:sz w:val="18"/>
                <w:szCs w:val="18"/>
                <w:lang w:val="en-US" w:eastAsia="zh-CN"/>
              </w:rPr>
              <w:t>Year 4</w:t>
            </w:r>
          </w:p>
          <w:p w14:paraId="14E4E886" w14:textId="77777777" w:rsidR="00C4555E" w:rsidRPr="00B05ABB" w:rsidRDefault="00C4555E" w:rsidP="001C6233">
            <w:pPr>
              <w:keepNext/>
              <w:rPr>
                <w:rFonts w:asciiTheme="minorHAnsi" w:hAnsiTheme="minorHAnsi" w:cstheme="minorHAnsi"/>
                <w:b w:val="0"/>
                <w:color w:val="FFFFFF" w:themeColor="background1"/>
                <w:sz w:val="18"/>
                <w:szCs w:val="18"/>
                <w:lang w:val="en-US" w:eastAsia="zh-CN"/>
              </w:rPr>
            </w:pPr>
            <w:r w:rsidRPr="00B05ABB">
              <w:rPr>
                <w:rFonts w:asciiTheme="minorHAnsi" w:hAnsiTheme="minorHAnsi" w:cstheme="minorHAnsi"/>
                <w:color w:val="FFFFFF" w:themeColor="background1"/>
                <w:sz w:val="18"/>
                <w:szCs w:val="18"/>
                <w:lang w:val="en-US" w:eastAsia="zh-CN"/>
              </w:rPr>
              <w:t>2018-19</w:t>
            </w:r>
          </w:p>
        </w:tc>
      </w:tr>
      <w:tr w:rsidR="00C4555E" w:rsidRPr="00B05ABB" w14:paraId="301CB494" w14:textId="77777777" w:rsidTr="001C6233">
        <w:trPr>
          <w:trHeight w:val="414"/>
        </w:trPr>
        <w:tc>
          <w:tcPr>
            <w:tcW w:w="2092" w:type="pct"/>
            <w:shd w:val="clear" w:color="auto" w:fill="FFFFFF" w:themeFill="background1"/>
            <w:vAlign w:val="center"/>
          </w:tcPr>
          <w:p w14:paraId="5503854D" w14:textId="0228E6B6" w:rsidR="00C4555E" w:rsidRPr="00B05ABB" w:rsidRDefault="00C4555E" w:rsidP="001742AB">
            <w:pPr>
              <w:keepNext/>
              <w:jc w:val="left"/>
              <w:rPr>
                <w:rFonts w:asciiTheme="minorHAnsi" w:hAnsiTheme="minorHAnsi" w:cstheme="minorHAnsi"/>
                <w:sz w:val="18"/>
                <w:szCs w:val="18"/>
                <w:lang w:val="en-US" w:eastAsia="zh-CN"/>
              </w:rPr>
            </w:pPr>
            <w:r w:rsidRPr="00333CCA">
              <w:rPr>
                <w:rFonts w:asciiTheme="minorHAnsi" w:hAnsiTheme="minorHAnsi" w:cstheme="minorHAnsi"/>
                <w:sz w:val="20"/>
                <w:szCs w:val="18"/>
                <w:lang w:val="en-US" w:eastAsia="zh-CN"/>
              </w:rPr>
              <w:t>Tot</w:t>
            </w:r>
            <w:r w:rsidR="001742AB">
              <w:rPr>
                <w:rFonts w:asciiTheme="minorHAnsi" w:hAnsiTheme="minorHAnsi" w:cstheme="minorHAnsi"/>
                <w:sz w:val="20"/>
                <w:szCs w:val="18"/>
                <w:lang w:val="en-US" w:eastAsia="zh-CN"/>
              </w:rPr>
              <w:t>al number of services per year</w:t>
            </w:r>
            <w:r w:rsidRPr="00333CCA">
              <w:rPr>
                <w:rFonts w:asciiTheme="minorHAnsi" w:hAnsiTheme="minorHAnsi" w:cstheme="minorHAnsi"/>
                <w:sz w:val="20"/>
                <w:szCs w:val="18"/>
                <w:lang w:val="en-US" w:eastAsia="zh-CN"/>
              </w:rPr>
              <w:t xml:space="preserve"> </w:t>
            </w:r>
          </w:p>
        </w:tc>
        <w:tc>
          <w:tcPr>
            <w:tcW w:w="727" w:type="pct"/>
            <w:vAlign w:val="center"/>
          </w:tcPr>
          <w:p w14:paraId="031DCD8B" w14:textId="77777777" w:rsidR="00C4555E" w:rsidRPr="00333CCA" w:rsidRDefault="00C4555E" w:rsidP="001C6233">
            <w:pPr>
              <w:keepNext/>
              <w:jc w:val="center"/>
              <w:rPr>
                <w:rFonts w:asciiTheme="minorHAnsi" w:hAnsiTheme="minorHAnsi" w:cstheme="minorHAnsi"/>
                <w:b/>
                <w:sz w:val="20"/>
                <w:szCs w:val="18"/>
                <w:lang w:val="en-US" w:eastAsia="zh-CN"/>
              </w:rPr>
            </w:pPr>
            <w:r w:rsidRPr="00333CCA">
              <w:rPr>
                <w:rFonts w:asciiTheme="minorHAnsi" w:hAnsiTheme="minorHAnsi" w:cstheme="minorHAnsi"/>
                <w:b/>
                <w:sz w:val="20"/>
                <w:szCs w:val="18"/>
                <w:lang w:val="en-US" w:eastAsia="zh-CN"/>
              </w:rPr>
              <w:t>2,844</w:t>
            </w:r>
          </w:p>
        </w:tc>
        <w:tc>
          <w:tcPr>
            <w:tcW w:w="727" w:type="pct"/>
            <w:vAlign w:val="center"/>
          </w:tcPr>
          <w:p w14:paraId="2962F68F" w14:textId="77777777" w:rsidR="00C4555E" w:rsidRPr="00333CCA" w:rsidRDefault="00C4555E" w:rsidP="001C6233">
            <w:pPr>
              <w:keepNext/>
              <w:jc w:val="center"/>
              <w:rPr>
                <w:rFonts w:asciiTheme="minorHAnsi" w:hAnsiTheme="minorHAnsi" w:cstheme="minorHAnsi"/>
                <w:b/>
                <w:sz w:val="20"/>
                <w:szCs w:val="18"/>
                <w:lang w:val="en-US" w:eastAsia="zh-CN"/>
              </w:rPr>
            </w:pPr>
            <w:r w:rsidRPr="00333CCA">
              <w:rPr>
                <w:rFonts w:asciiTheme="minorHAnsi" w:hAnsiTheme="minorHAnsi" w:cstheme="minorHAnsi"/>
                <w:b/>
                <w:sz w:val="20"/>
                <w:szCs w:val="18"/>
                <w:lang w:val="en-US" w:eastAsia="zh-CN"/>
              </w:rPr>
              <w:t>5,647</w:t>
            </w:r>
          </w:p>
        </w:tc>
        <w:tc>
          <w:tcPr>
            <w:tcW w:w="727" w:type="pct"/>
            <w:vAlign w:val="center"/>
          </w:tcPr>
          <w:p w14:paraId="5499941B" w14:textId="77777777" w:rsidR="00C4555E" w:rsidRPr="00333CCA" w:rsidRDefault="00C4555E" w:rsidP="001C6233">
            <w:pPr>
              <w:keepNext/>
              <w:jc w:val="center"/>
              <w:rPr>
                <w:rFonts w:asciiTheme="minorHAnsi" w:hAnsiTheme="minorHAnsi" w:cstheme="minorHAnsi"/>
                <w:b/>
                <w:sz w:val="20"/>
                <w:szCs w:val="18"/>
                <w:lang w:val="en-US" w:eastAsia="zh-CN"/>
              </w:rPr>
            </w:pPr>
            <w:r w:rsidRPr="00333CCA">
              <w:rPr>
                <w:rFonts w:asciiTheme="minorHAnsi" w:hAnsiTheme="minorHAnsi" w:cstheme="minorHAnsi"/>
                <w:b/>
                <w:sz w:val="20"/>
                <w:szCs w:val="18"/>
                <w:lang w:val="en-US" w:eastAsia="zh-CN"/>
              </w:rPr>
              <w:t>6,939</w:t>
            </w:r>
          </w:p>
        </w:tc>
        <w:tc>
          <w:tcPr>
            <w:tcW w:w="727" w:type="pct"/>
            <w:vAlign w:val="center"/>
          </w:tcPr>
          <w:p w14:paraId="22D3BD95" w14:textId="77777777" w:rsidR="00C4555E" w:rsidRPr="00333CCA" w:rsidRDefault="00C4555E" w:rsidP="001C6233">
            <w:pPr>
              <w:keepNext/>
              <w:jc w:val="center"/>
              <w:rPr>
                <w:rFonts w:asciiTheme="minorHAnsi" w:hAnsiTheme="minorHAnsi" w:cstheme="minorHAnsi"/>
                <w:b/>
                <w:sz w:val="20"/>
                <w:szCs w:val="18"/>
                <w:lang w:val="en-US" w:eastAsia="zh-CN"/>
              </w:rPr>
            </w:pPr>
            <w:r w:rsidRPr="00333CCA">
              <w:rPr>
                <w:rFonts w:asciiTheme="minorHAnsi" w:hAnsiTheme="minorHAnsi" w:cstheme="minorHAnsi"/>
                <w:b/>
                <w:sz w:val="20"/>
                <w:szCs w:val="18"/>
                <w:lang w:val="en-US" w:eastAsia="zh-CN"/>
              </w:rPr>
              <w:t>8,767</w:t>
            </w:r>
          </w:p>
        </w:tc>
      </w:tr>
    </w:tbl>
    <w:p w14:paraId="33436160" w14:textId="5B5D8622" w:rsidR="00C4555E" w:rsidRPr="00C4555E" w:rsidRDefault="00C4555E" w:rsidP="00C4555E">
      <w:pPr>
        <w:spacing w:line="276" w:lineRule="auto"/>
        <w:rPr>
          <w:rFonts w:cstheme="minorHAnsi"/>
        </w:rPr>
      </w:pPr>
    </w:p>
    <w:tbl>
      <w:tblPr>
        <w:tblStyle w:val="TableGrid12"/>
        <w:tblW w:w="4575" w:type="pct"/>
        <w:tblInd w:w="108" w:type="dxa"/>
        <w:tblLook w:val="04A0" w:firstRow="1" w:lastRow="0" w:firstColumn="1" w:lastColumn="0" w:noHBand="0" w:noVBand="1"/>
        <w:tblDescription w:val="Actual utilisation of MBS item 11726"/>
      </w:tblPr>
      <w:tblGrid>
        <w:gridCol w:w="3451"/>
        <w:gridCol w:w="1199"/>
        <w:gridCol w:w="1200"/>
        <w:gridCol w:w="1200"/>
        <w:gridCol w:w="1200"/>
      </w:tblGrid>
      <w:tr w:rsidR="00C4555E" w:rsidRPr="00B05ABB" w14:paraId="2B84A15E" w14:textId="77777777" w:rsidTr="008A27D8">
        <w:trPr>
          <w:cnfStyle w:val="100000000000" w:firstRow="1" w:lastRow="0" w:firstColumn="0" w:lastColumn="0" w:oddVBand="0" w:evenVBand="0" w:oddHBand="0" w:evenHBand="0" w:firstRowFirstColumn="0" w:firstRowLastColumn="0" w:lastRowFirstColumn="0" w:lastRowLastColumn="0"/>
          <w:trHeight w:val="414"/>
          <w:tblHeader/>
        </w:trPr>
        <w:tc>
          <w:tcPr>
            <w:tcW w:w="2092" w:type="pct"/>
            <w:shd w:val="clear" w:color="auto" w:fill="548DD4" w:themeFill="text2" w:themeFillTint="99"/>
          </w:tcPr>
          <w:p w14:paraId="3AFB70CC" w14:textId="0BBC5549" w:rsidR="00C4555E" w:rsidRPr="00B05ABB" w:rsidRDefault="00C4555E" w:rsidP="001C6233">
            <w:pPr>
              <w:keepNext/>
              <w:widowControl/>
              <w:tabs>
                <w:tab w:val="left" w:pos="1575"/>
              </w:tabs>
              <w:jc w:val="left"/>
              <w:rPr>
                <w:rFonts w:asciiTheme="minorHAnsi" w:hAnsiTheme="minorHAnsi" w:cstheme="minorHAnsi"/>
                <w:b w:val="0"/>
                <w:sz w:val="18"/>
                <w:szCs w:val="18"/>
                <w:lang w:val="en-US" w:eastAsia="zh-CN"/>
              </w:rPr>
            </w:pPr>
            <w:r w:rsidRPr="00B05ABB">
              <w:rPr>
                <w:rFonts w:asciiTheme="minorHAnsi" w:hAnsiTheme="minorHAnsi" w:cstheme="minorHAnsi"/>
                <w:b w:val="0"/>
                <w:color w:val="FFFFFF" w:themeColor="background1"/>
                <w:sz w:val="18"/>
                <w:szCs w:val="18"/>
                <w:lang w:val="en-US" w:eastAsia="zh-CN"/>
              </w:rPr>
              <w:t>A</w:t>
            </w:r>
            <w:r>
              <w:rPr>
                <w:rFonts w:asciiTheme="minorHAnsi" w:hAnsiTheme="minorHAnsi" w:cstheme="minorHAnsi"/>
                <w:b w:val="0"/>
                <w:color w:val="FFFFFF" w:themeColor="background1"/>
                <w:sz w:val="18"/>
                <w:szCs w:val="18"/>
                <w:lang w:val="en-US" w:eastAsia="zh-CN"/>
              </w:rPr>
              <w:t>CTUAL</w:t>
            </w:r>
            <w:r w:rsidRPr="00C4555E">
              <w:rPr>
                <w:rFonts w:asciiTheme="minorHAnsi" w:hAnsiTheme="minorHAnsi" w:cstheme="minorHAnsi"/>
                <w:color w:val="FFFFFF" w:themeColor="background1"/>
                <w:sz w:val="18"/>
                <w:szCs w:val="18"/>
                <w:lang w:val="en-US" w:eastAsia="zh-CN"/>
              </w:rPr>
              <w:t>:  11726</w:t>
            </w:r>
          </w:p>
        </w:tc>
        <w:tc>
          <w:tcPr>
            <w:tcW w:w="727" w:type="pct"/>
            <w:shd w:val="clear" w:color="auto" w:fill="548DD4" w:themeFill="text2" w:themeFillTint="99"/>
            <w:vAlign w:val="center"/>
          </w:tcPr>
          <w:p w14:paraId="5B23228A" w14:textId="77777777" w:rsidR="00C4555E" w:rsidRPr="00B05ABB" w:rsidRDefault="00C4555E" w:rsidP="001C6233">
            <w:pPr>
              <w:keepNext/>
              <w:widowControl/>
              <w:jc w:val="left"/>
              <w:rPr>
                <w:rFonts w:asciiTheme="minorHAnsi" w:hAnsiTheme="minorHAnsi" w:cstheme="minorHAnsi"/>
                <w:color w:val="FFFFFF" w:themeColor="background1"/>
                <w:sz w:val="18"/>
                <w:szCs w:val="18"/>
                <w:lang w:val="en-US" w:eastAsia="zh-CN"/>
              </w:rPr>
            </w:pPr>
            <w:r w:rsidRPr="00B05ABB">
              <w:rPr>
                <w:rFonts w:asciiTheme="minorHAnsi" w:hAnsiTheme="minorHAnsi" w:cstheme="minorHAnsi"/>
                <w:color w:val="FFFFFF" w:themeColor="background1"/>
                <w:sz w:val="18"/>
                <w:szCs w:val="18"/>
                <w:lang w:val="en-US" w:eastAsia="zh-CN"/>
              </w:rPr>
              <w:t>Year 1</w:t>
            </w:r>
          </w:p>
          <w:p w14:paraId="6DF0FF91" w14:textId="77777777" w:rsidR="00C4555E" w:rsidRPr="00B05ABB" w:rsidRDefault="00C4555E" w:rsidP="001C6233">
            <w:pPr>
              <w:keepNext/>
              <w:rPr>
                <w:rFonts w:asciiTheme="minorHAnsi" w:hAnsiTheme="minorHAnsi" w:cstheme="minorHAnsi"/>
                <w:b w:val="0"/>
                <w:color w:val="FFFFFF" w:themeColor="background1"/>
                <w:sz w:val="18"/>
                <w:szCs w:val="18"/>
                <w:lang w:val="en-US" w:eastAsia="zh-CN"/>
              </w:rPr>
            </w:pPr>
            <w:r w:rsidRPr="00B05ABB">
              <w:rPr>
                <w:rFonts w:asciiTheme="minorHAnsi" w:hAnsiTheme="minorHAnsi" w:cstheme="minorHAnsi"/>
                <w:color w:val="FFFFFF" w:themeColor="background1"/>
                <w:sz w:val="18"/>
                <w:szCs w:val="18"/>
                <w:lang w:val="en-US" w:eastAsia="zh-CN"/>
              </w:rPr>
              <w:t>2015-16</w:t>
            </w:r>
          </w:p>
        </w:tc>
        <w:tc>
          <w:tcPr>
            <w:tcW w:w="727" w:type="pct"/>
            <w:shd w:val="clear" w:color="auto" w:fill="548DD4" w:themeFill="text2" w:themeFillTint="99"/>
            <w:vAlign w:val="center"/>
          </w:tcPr>
          <w:p w14:paraId="51894C0B" w14:textId="77777777" w:rsidR="00C4555E" w:rsidRPr="00B05ABB" w:rsidRDefault="00C4555E" w:rsidP="001C6233">
            <w:pPr>
              <w:keepNext/>
              <w:widowControl/>
              <w:jc w:val="left"/>
              <w:rPr>
                <w:rFonts w:asciiTheme="minorHAnsi" w:hAnsiTheme="minorHAnsi" w:cstheme="minorHAnsi"/>
                <w:color w:val="FFFFFF" w:themeColor="background1"/>
                <w:sz w:val="18"/>
                <w:szCs w:val="18"/>
                <w:lang w:val="en-US" w:eastAsia="zh-CN"/>
              </w:rPr>
            </w:pPr>
            <w:r w:rsidRPr="00B05ABB">
              <w:rPr>
                <w:rFonts w:asciiTheme="minorHAnsi" w:hAnsiTheme="minorHAnsi" w:cstheme="minorHAnsi"/>
                <w:color w:val="FFFFFF" w:themeColor="background1"/>
                <w:sz w:val="18"/>
                <w:szCs w:val="18"/>
                <w:lang w:val="en-US" w:eastAsia="zh-CN"/>
              </w:rPr>
              <w:t>Year 2</w:t>
            </w:r>
          </w:p>
          <w:p w14:paraId="1B373144" w14:textId="77777777" w:rsidR="00C4555E" w:rsidRPr="00B05ABB" w:rsidRDefault="00C4555E" w:rsidP="001C6233">
            <w:pPr>
              <w:keepNext/>
              <w:rPr>
                <w:rFonts w:asciiTheme="minorHAnsi" w:hAnsiTheme="minorHAnsi" w:cstheme="minorHAnsi"/>
                <w:b w:val="0"/>
                <w:color w:val="FFFFFF" w:themeColor="background1"/>
                <w:sz w:val="18"/>
                <w:szCs w:val="18"/>
                <w:lang w:val="en-US" w:eastAsia="zh-CN"/>
              </w:rPr>
            </w:pPr>
            <w:r w:rsidRPr="00B05ABB">
              <w:rPr>
                <w:rFonts w:asciiTheme="minorHAnsi" w:hAnsiTheme="minorHAnsi" w:cstheme="minorHAnsi"/>
                <w:color w:val="FFFFFF" w:themeColor="background1"/>
                <w:sz w:val="18"/>
                <w:szCs w:val="18"/>
                <w:lang w:val="en-US" w:eastAsia="zh-CN"/>
              </w:rPr>
              <w:t>2016-17</w:t>
            </w:r>
          </w:p>
        </w:tc>
        <w:tc>
          <w:tcPr>
            <w:tcW w:w="727" w:type="pct"/>
            <w:shd w:val="clear" w:color="auto" w:fill="548DD4" w:themeFill="text2" w:themeFillTint="99"/>
            <w:vAlign w:val="center"/>
          </w:tcPr>
          <w:p w14:paraId="2F69CD6E" w14:textId="77777777" w:rsidR="00C4555E" w:rsidRPr="00B05ABB" w:rsidRDefault="00C4555E" w:rsidP="001C6233">
            <w:pPr>
              <w:keepNext/>
              <w:widowControl/>
              <w:jc w:val="left"/>
              <w:rPr>
                <w:rFonts w:asciiTheme="minorHAnsi" w:hAnsiTheme="minorHAnsi" w:cstheme="minorHAnsi"/>
                <w:color w:val="FFFFFF" w:themeColor="background1"/>
                <w:sz w:val="18"/>
                <w:szCs w:val="18"/>
                <w:lang w:val="en-US" w:eastAsia="zh-CN"/>
              </w:rPr>
            </w:pPr>
            <w:r w:rsidRPr="00B05ABB">
              <w:rPr>
                <w:rFonts w:asciiTheme="minorHAnsi" w:hAnsiTheme="minorHAnsi" w:cstheme="minorHAnsi"/>
                <w:color w:val="FFFFFF" w:themeColor="background1"/>
                <w:sz w:val="18"/>
                <w:szCs w:val="18"/>
                <w:lang w:val="en-US" w:eastAsia="zh-CN"/>
              </w:rPr>
              <w:t>Year 3</w:t>
            </w:r>
          </w:p>
          <w:p w14:paraId="08FAB2A1" w14:textId="77777777" w:rsidR="00C4555E" w:rsidRPr="00B05ABB" w:rsidRDefault="00C4555E" w:rsidP="001C6233">
            <w:pPr>
              <w:keepNext/>
              <w:rPr>
                <w:rFonts w:asciiTheme="minorHAnsi" w:hAnsiTheme="minorHAnsi" w:cstheme="minorHAnsi"/>
                <w:b w:val="0"/>
                <w:color w:val="FFFFFF" w:themeColor="background1"/>
                <w:sz w:val="18"/>
                <w:szCs w:val="18"/>
                <w:lang w:val="en-US" w:eastAsia="zh-CN"/>
              </w:rPr>
            </w:pPr>
            <w:r w:rsidRPr="00B05ABB">
              <w:rPr>
                <w:rFonts w:asciiTheme="minorHAnsi" w:hAnsiTheme="minorHAnsi" w:cstheme="minorHAnsi"/>
                <w:color w:val="FFFFFF" w:themeColor="background1"/>
                <w:sz w:val="18"/>
                <w:szCs w:val="18"/>
                <w:lang w:val="en-US" w:eastAsia="zh-CN"/>
              </w:rPr>
              <w:t>2017-18</w:t>
            </w:r>
          </w:p>
        </w:tc>
        <w:tc>
          <w:tcPr>
            <w:tcW w:w="727" w:type="pct"/>
            <w:shd w:val="clear" w:color="auto" w:fill="548DD4" w:themeFill="text2" w:themeFillTint="99"/>
            <w:vAlign w:val="center"/>
          </w:tcPr>
          <w:p w14:paraId="14A390C6" w14:textId="77777777" w:rsidR="00C4555E" w:rsidRPr="00B05ABB" w:rsidRDefault="00C4555E" w:rsidP="001C6233">
            <w:pPr>
              <w:keepNext/>
              <w:widowControl/>
              <w:jc w:val="left"/>
              <w:rPr>
                <w:rFonts w:asciiTheme="minorHAnsi" w:hAnsiTheme="minorHAnsi" w:cstheme="minorHAnsi"/>
                <w:color w:val="FFFFFF" w:themeColor="background1"/>
                <w:sz w:val="18"/>
                <w:szCs w:val="18"/>
                <w:lang w:val="en-US" w:eastAsia="zh-CN"/>
              </w:rPr>
            </w:pPr>
            <w:r w:rsidRPr="00B05ABB">
              <w:rPr>
                <w:rFonts w:asciiTheme="minorHAnsi" w:hAnsiTheme="minorHAnsi" w:cstheme="minorHAnsi"/>
                <w:color w:val="FFFFFF" w:themeColor="background1"/>
                <w:sz w:val="18"/>
                <w:szCs w:val="18"/>
                <w:lang w:val="en-US" w:eastAsia="zh-CN"/>
              </w:rPr>
              <w:t>Year 4</w:t>
            </w:r>
          </w:p>
          <w:p w14:paraId="61F5BDF1" w14:textId="77777777" w:rsidR="00C4555E" w:rsidRPr="00B05ABB" w:rsidRDefault="00C4555E" w:rsidP="001C6233">
            <w:pPr>
              <w:keepNext/>
              <w:rPr>
                <w:rFonts w:asciiTheme="minorHAnsi" w:hAnsiTheme="minorHAnsi" w:cstheme="minorHAnsi"/>
                <w:b w:val="0"/>
                <w:color w:val="FFFFFF" w:themeColor="background1"/>
                <w:sz w:val="18"/>
                <w:szCs w:val="18"/>
                <w:lang w:val="en-US" w:eastAsia="zh-CN"/>
              </w:rPr>
            </w:pPr>
            <w:r w:rsidRPr="00B05ABB">
              <w:rPr>
                <w:rFonts w:asciiTheme="minorHAnsi" w:hAnsiTheme="minorHAnsi" w:cstheme="minorHAnsi"/>
                <w:color w:val="FFFFFF" w:themeColor="background1"/>
                <w:sz w:val="18"/>
                <w:szCs w:val="18"/>
                <w:lang w:val="en-US" w:eastAsia="zh-CN"/>
              </w:rPr>
              <w:t>2018-19</w:t>
            </w:r>
          </w:p>
        </w:tc>
      </w:tr>
      <w:tr w:rsidR="00C4555E" w:rsidRPr="00333CCA" w14:paraId="7219B417" w14:textId="77777777" w:rsidTr="001C6233">
        <w:trPr>
          <w:trHeight w:val="414"/>
        </w:trPr>
        <w:tc>
          <w:tcPr>
            <w:tcW w:w="2092" w:type="pct"/>
            <w:shd w:val="clear" w:color="auto" w:fill="FFFFFF" w:themeFill="background1"/>
            <w:vAlign w:val="center"/>
          </w:tcPr>
          <w:p w14:paraId="1A2F4C52" w14:textId="6601479A" w:rsidR="00C4555E" w:rsidRPr="00333CCA" w:rsidRDefault="00C4555E" w:rsidP="001C6233">
            <w:pPr>
              <w:keepNext/>
              <w:jc w:val="left"/>
              <w:rPr>
                <w:rFonts w:asciiTheme="minorHAnsi" w:hAnsiTheme="minorHAnsi" w:cstheme="minorHAnsi"/>
                <w:sz w:val="20"/>
                <w:szCs w:val="18"/>
                <w:lang w:val="en-US" w:eastAsia="zh-CN"/>
              </w:rPr>
            </w:pPr>
            <w:r w:rsidRPr="00333CCA">
              <w:rPr>
                <w:rFonts w:asciiTheme="minorHAnsi" w:hAnsiTheme="minorHAnsi" w:cstheme="minorHAnsi"/>
                <w:sz w:val="20"/>
                <w:szCs w:val="18"/>
                <w:lang w:val="en-US" w:eastAsia="zh-CN"/>
              </w:rPr>
              <w:t>Tota</w:t>
            </w:r>
            <w:r w:rsidR="001742AB">
              <w:rPr>
                <w:rFonts w:asciiTheme="minorHAnsi" w:hAnsiTheme="minorHAnsi" w:cstheme="minorHAnsi"/>
                <w:sz w:val="20"/>
                <w:szCs w:val="18"/>
                <w:lang w:val="en-US" w:eastAsia="zh-CN"/>
              </w:rPr>
              <w:t>l number of services per year</w:t>
            </w:r>
            <w:r w:rsidRPr="00333CCA">
              <w:rPr>
                <w:rFonts w:asciiTheme="minorHAnsi" w:hAnsiTheme="minorHAnsi" w:cstheme="minorHAnsi"/>
                <w:sz w:val="20"/>
                <w:szCs w:val="18"/>
                <w:lang w:val="en-US" w:eastAsia="zh-CN"/>
              </w:rPr>
              <w:t xml:space="preserve"> </w:t>
            </w:r>
          </w:p>
        </w:tc>
        <w:tc>
          <w:tcPr>
            <w:tcW w:w="727" w:type="pct"/>
            <w:vAlign w:val="center"/>
          </w:tcPr>
          <w:p w14:paraId="238FAFF8" w14:textId="77777777" w:rsidR="00C4555E" w:rsidRPr="00333CCA" w:rsidRDefault="00C4555E" w:rsidP="001C6233">
            <w:pPr>
              <w:keepNext/>
              <w:jc w:val="center"/>
              <w:rPr>
                <w:rFonts w:asciiTheme="minorHAnsi" w:hAnsiTheme="minorHAnsi" w:cstheme="minorHAnsi"/>
                <w:b/>
                <w:sz w:val="20"/>
                <w:szCs w:val="18"/>
                <w:lang w:val="en-US" w:eastAsia="zh-CN"/>
              </w:rPr>
            </w:pPr>
            <w:r w:rsidRPr="00333CCA">
              <w:rPr>
                <w:rFonts w:asciiTheme="minorHAnsi" w:hAnsiTheme="minorHAnsi" w:cstheme="minorHAnsi"/>
                <w:b/>
                <w:sz w:val="20"/>
                <w:szCs w:val="18"/>
                <w:lang w:val="en-US" w:eastAsia="zh-CN"/>
              </w:rPr>
              <w:t>242</w:t>
            </w:r>
          </w:p>
        </w:tc>
        <w:tc>
          <w:tcPr>
            <w:tcW w:w="727" w:type="pct"/>
            <w:vAlign w:val="center"/>
          </w:tcPr>
          <w:p w14:paraId="5A5E9030" w14:textId="77777777" w:rsidR="00C4555E" w:rsidRPr="00333CCA" w:rsidRDefault="00C4555E" w:rsidP="001C6233">
            <w:pPr>
              <w:keepNext/>
              <w:jc w:val="center"/>
              <w:rPr>
                <w:rFonts w:asciiTheme="minorHAnsi" w:hAnsiTheme="minorHAnsi" w:cstheme="minorHAnsi"/>
                <w:b/>
                <w:sz w:val="20"/>
                <w:szCs w:val="18"/>
                <w:lang w:val="en-US" w:eastAsia="zh-CN"/>
              </w:rPr>
            </w:pPr>
            <w:r w:rsidRPr="00333CCA">
              <w:rPr>
                <w:rFonts w:asciiTheme="minorHAnsi" w:hAnsiTheme="minorHAnsi" w:cstheme="minorHAnsi"/>
                <w:b/>
                <w:sz w:val="20"/>
                <w:szCs w:val="18"/>
                <w:lang w:val="en-US" w:eastAsia="zh-CN"/>
              </w:rPr>
              <w:t>575</w:t>
            </w:r>
          </w:p>
        </w:tc>
        <w:tc>
          <w:tcPr>
            <w:tcW w:w="727" w:type="pct"/>
            <w:vAlign w:val="center"/>
          </w:tcPr>
          <w:p w14:paraId="78CE6C22" w14:textId="77777777" w:rsidR="00C4555E" w:rsidRPr="00333CCA" w:rsidRDefault="00C4555E" w:rsidP="001C6233">
            <w:pPr>
              <w:keepNext/>
              <w:jc w:val="center"/>
              <w:rPr>
                <w:rFonts w:asciiTheme="minorHAnsi" w:hAnsiTheme="minorHAnsi" w:cstheme="minorHAnsi"/>
                <w:b/>
                <w:sz w:val="20"/>
                <w:szCs w:val="18"/>
                <w:lang w:val="en-US" w:eastAsia="zh-CN"/>
              </w:rPr>
            </w:pPr>
            <w:r w:rsidRPr="00333CCA">
              <w:rPr>
                <w:rFonts w:asciiTheme="minorHAnsi" w:hAnsiTheme="minorHAnsi" w:cstheme="minorHAnsi"/>
                <w:b/>
                <w:sz w:val="20"/>
                <w:szCs w:val="18"/>
                <w:lang w:val="en-US" w:eastAsia="zh-CN"/>
              </w:rPr>
              <w:t>582</w:t>
            </w:r>
          </w:p>
        </w:tc>
        <w:tc>
          <w:tcPr>
            <w:tcW w:w="727" w:type="pct"/>
            <w:vAlign w:val="center"/>
          </w:tcPr>
          <w:p w14:paraId="2217475E" w14:textId="77777777" w:rsidR="00C4555E" w:rsidRPr="00333CCA" w:rsidRDefault="00C4555E" w:rsidP="001C6233">
            <w:pPr>
              <w:keepNext/>
              <w:jc w:val="center"/>
              <w:rPr>
                <w:rFonts w:asciiTheme="minorHAnsi" w:hAnsiTheme="minorHAnsi" w:cstheme="minorHAnsi"/>
                <w:b/>
                <w:sz w:val="20"/>
                <w:szCs w:val="18"/>
                <w:lang w:val="en-US" w:eastAsia="zh-CN"/>
              </w:rPr>
            </w:pPr>
            <w:r w:rsidRPr="00333CCA">
              <w:rPr>
                <w:rFonts w:asciiTheme="minorHAnsi" w:hAnsiTheme="minorHAnsi" w:cstheme="minorHAnsi"/>
                <w:b/>
                <w:sz w:val="20"/>
                <w:szCs w:val="18"/>
                <w:lang w:val="en-US" w:eastAsia="zh-CN"/>
              </w:rPr>
              <w:t>461</w:t>
            </w:r>
          </w:p>
        </w:tc>
      </w:tr>
    </w:tbl>
    <w:p w14:paraId="69F57BB9" w14:textId="2C12FE74" w:rsidR="004F7011" w:rsidRDefault="00411635" w:rsidP="001742AB">
      <w:pPr>
        <w:spacing w:before="240"/>
      </w:pPr>
      <w:r>
        <w:t>The uptake of</w:t>
      </w:r>
      <w:r w:rsidR="00675319">
        <w:t xml:space="preserve"> new remote monitoring MBS items </w:t>
      </w:r>
      <w:r w:rsidR="00C53A6B">
        <w:t xml:space="preserve">was expected to be high. </w:t>
      </w:r>
      <w:r w:rsidR="00670E4B">
        <w:t xml:space="preserve">The predicted utilisation </w:t>
      </w:r>
      <w:r w:rsidR="004A1094">
        <w:t xml:space="preserve">of the new items </w:t>
      </w:r>
      <w:r w:rsidR="00670E4B">
        <w:t xml:space="preserve">was </w:t>
      </w:r>
      <w:r w:rsidR="00EA14AE">
        <w:t>expected to lead to a</w:t>
      </w:r>
      <w:r w:rsidR="00670E4B">
        <w:t xml:space="preserve"> </w:t>
      </w:r>
      <w:r w:rsidR="000D63AD">
        <w:t xml:space="preserve">decrease in the </w:t>
      </w:r>
      <w:r w:rsidR="00C53A6B">
        <w:t>use of</w:t>
      </w:r>
      <w:r w:rsidR="000D63AD">
        <w:t xml:space="preserve"> existing </w:t>
      </w:r>
      <w:r w:rsidR="004A1094">
        <w:t>MBS item 11727</w:t>
      </w:r>
      <w:r w:rsidR="008C5723">
        <w:t>,</w:t>
      </w:r>
      <w:r w:rsidR="008C5723" w:rsidRPr="008C5723">
        <w:t xml:space="preserve"> </w:t>
      </w:r>
      <w:r w:rsidR="00C53A6B">
        <w:t>for</w:t>
      </w:r>
      <w:r w:rsidR="008C5723">
        <w:t xml:space="preserve"> implanted defibrillator testing</w:t>
      </w:r>
      <w:r w:rsidR="004A1094">
        <w:t xml:space="preserve"> without remote monitoring</w:t>
      </w:r>
      <w:r w:rsidR="000D63AD">
        <w:t xml:space="preserve">. Following the introduction of </w:t>
      </w:r>
      <w:r w:rsidR="00110352">
        <w:t>the new remote monitoring</w:t>
      </w:r>
      <w:r w:rsidR="00C53A6B">
        <w:t xml:space="preserve"> MBS items,</w:t>
      </w:r>
      <w:r w:rsidR="000D63AD">
        <w:t xml:space="preserve"> the utilisation of item 11727 decreased as the uptake of remote monitoring increased.</w:t>
      </w:r>
      <w:r w:rsidR="004A1094">
        <w:t xml:space="preserve"> </w:t>
      </w:r>
      <w:r w:rsidR="004F7011">
        <w:t>In the first year following the introduction of remote monitoring there was an 8</w:t>
      </w:r>
      <w:r w:rsidR="00EA14AE">
        <w:t>% decrease in use of item 11727. This decrease continued and</w:t>
      </w:r>
      <w:r w:rsidR="004F7011">
        <w:t xml:space="preserve"> </w:t>
      </w:r>
      <w:r w:rsidR="00EE1987">
        <w:t xml:space="preserve">by the fourth </w:t>
      </w:r>
      <w:r w:rsidR="00EA14AE">
        <w:t>year use had reduced by</w:t>
      </w:r>
      <w:r w:rsidR="004F7011">
        <w:t xml:space="preserve"> </w:t>
      </w:r>
      <w:r w:rsidR="00EE1987">
        <w:t>24%</w:t>
      </w:r>
      <w:r w:rsidR="004F7011">
        <w:t>. The number of providers utilising these new items doubled fr</w:t>
      </w:r>
      <w:r>
        <w:t>om the first year</w:t>
      </w:r>
      <w:r w:rsidR="00EA14AE">
        <w:t>, 133</w:t>
      </w:r>
      <w:r>
        <w:t xml:space="preserve"> to </w:t>
      </w:r>
      <w:r w:rsidR="00EA14AE">
        <w:t xml:space="preserve">258 providers in </w:t>
      </w:r>
      <w:r>
        <w:t>the fourth</w:t>
      </w:r>
      <w:r w:rsidR="00EA14AE">
        <w:t xml:space="preserve"> year.</w:t>
      </w:r>
    </w:p>
    <w:p w14:paraId="4730F6E0" w14:textId="186B4D30" w:rsidR="008C5723" w:rsidRDefault="008C5723" w:rsidP="00152288">
      <w:pPr>
        <w:spacing w:before="240"/>
      </w:pPr>
      <w:r>
        <w:t xml:space="preserve">It was noted that there was little to no uptake of </w:t>
      </w:r>
      <w:r w:rsidR="00411635">
        <w:t xml:space="preserve">the </w:t>
      </w:r>
      <w:r>
        <w:t xml:space="preserve">remote monitoring </w:t>
      </w:r>
      <w:r w:rsidR="00411635">
        <w:t xml:space="preserve">items </w:t>
      </w:r>
      <w:r>
        <w:t xml:space="preserve">in the Northern Territory </w:t>
      </w:r>
      <w:r w:rsidR="00B63F65">
        <w:t xml:space="preserve">(NT) </w:t>
      </w:r>
      <w:r>
        <w:t>and Australian Capital Territory</w:t>
      </w:r>
      <w:r w:rsidR="00411635">
        <w:t xml:space="preserve"> (ACT),</w:t>
      </w:r>
      <w:r w:rsidR="00B63F65">
        <w:t xml:space="preserve"> </w:t>
      </w:r>
      <w:r w:rsidR="00EA14AE">
        <w:t xml:space="preserve">however </w:t>
      </w:r>
      <w:r w:rsidR="00B63F65">
        <w:t>it is possible that the NT data was captured within</w:t>
      </w:r>
      <w:r w:rsidR="00411635">
        <w:t xml:space="preserve"> South Australia and the ACT data within New South Wales</w:t>
      </w:r>
      <w:r w:rsidR="00287EF7">
        <w:t>, because of the location of the specialists</w:t>
      </w:r>
      <w:r w:rsidR="00411635">
        <w:t xml:space="preserve">. </w:t>
      </w:r>
    </w:p>
    <w:p w14:paraId="7BC45C13" w14:textId="79007817" w:rsidR="00152288" w:rsidRDefault="00743A2C" w:rsidP="001742AB">
      <w:pPr>
        <w:spacing w:before="240"/>
      </w:pPr>
      <w:r>
        <w:t>C</w:t>
      </w:r>
      <w:r w:rsidR="00B63F65">
        <w:t xml:space="preserve">o-claiming of the new items with a consultation performed by a </w:t>
      </w:r>
      <w:r>
        <w:t>cardiologist</w:t>
      </w:r>
      <w:r w:rsidR="00B63F65">
        <w:t xml:space="preserve"> </w:t>
      </w:r>
      <w:r w:rsidR="00EA14AE">
        <w:t xml:space="preserve">(MBS item 116) </w:t>
      </w:r>
      <w:r w:rsidR="00B63F65">
        <w:t>was the most common co-claim</w:t>
      </w:r>
      <w:r w:rsidR="00411635">
        <w:t>ed item, which i</w:t>
      </w:r>
      <w:r w:rsidR="001742AB">
        <w:t>s as expected.</w:t>
      </w:r>
    </w:p>
    <w:p w14:paraId="4EC146E1" w14:textId="6E84293E" w:rsidR="00EE1987" w:rsidRPr="001742AB" w:rsidRDefault="00DC0B38" w:rsidP="001742AB">
      <w:pPr>
        <w:spacing w:before="240" w:after="240"/>
      </w:pPr>
      <w:r>
        <w:t xml:space="preserve">Since implementation of the remote monitoring items </w:t>
      </w:r>
      <w:r w:rsidR="00B63F65">
        <w:t xml:space="preserve">a decrease in the </w:t>
      </w:r>
      <w:r w:rsidR="005A212A">
        <w:t>average fees charged</w:t>
      </w:r>
      <w:r w:rsidR="00EA14AE">
        <w:t xml:space="preserve"> </w:t>
      </w:r>
      <w:r w:rsidR="00894655">
        <w:t xml:space="preserve">to the patient </w:t>
      </w:r>
      <w:r w:rsidR="00EA14AE">
        <w:t>was seen across three</w:t>
      </w:r>
      <w:r>
        <w:t xml:space="preserve"> of the items (items 11719, 11720 and 11726). The reduction was greatest for the pacema</w:t>
      </w:r>
      <w:r w:rsidR="00EA14AE">
        <w:t>ker testing</w:t>
      </w:r>
      <w:r>
        <w:t xml:space="preserve"> item 11720</w:t>
      </w:r>
      <w:r w:rsidR="00EA14AE">
        <w:t>,</w:t>
      </w:r>
      <w:r>
        <w:t xml:space="preserve"> which saw a 30% reduction in average fee</w:t>
      </w:r>
      <w:r w:rsidR="00287EF7">
        <w:t>s</w:t>
      </w:r>
      <w:r>
        <w:t xml:space="preserve"> charged</w:t>
      </w:r>
      <w:r w:rsidR="00DD3EB9">
        <w:t xml:space="preserve"> over the four year period</w:t>
      </w:r>
      <w:r w:rsidR="00EE1987">
        <w:t>.</w:t>
      </w:r>
    </w:p>
    <w:p w14:paraId="6875536F" w14:textId="63934A1D" w:rsidR="00C4555E" w:rsidRPr="00C4555E" w:rsidRDefault="00C4555E" w:rsidP="00C4555E">
      <w:pPr>
        <w:pStyle w:val="Heading1"/>
        <w:numPr>
          <w:ilvl w:val="0"/>
          <w:numId w:val="23"/>
        </w:numPr>
        <w:ind w:hanging="720"/>
      </w:pPr>
      <w:r w:rsidRPr="00C4555E">
        <w:t>Fees charged</w:t>
      </w:r>
      <w:r>
        <w:t>:</w:t>
      </w:r>
    </w:p>
    <w:p w14:paraId="4DBDDDEE" w14:textId="2C693559" w:rsidR="00C4555E" w:rsidRDefault="00C4555E" w:rsidP="001742AB">
      <w:pPr>
        <w:spacing w:before="240"/>
        <w:rPr>
          <w:rFonts w:cstheme="minorHAnsi"/>
        </w:rPr>
      </w:pPr>
      <w:r w:rsidRPr="00C4555E">
        <w:rPr>
          <w:rFonts w:cstheme="minorHAnsi"/>
        </w:rPr>
        <w:t xml:space="preserve">The new remote monitoring items fees show consistency across states and as the uptake and number of services increase the fees show a decrease in the average amount charged. </w:t>
      </w:r>
    </w:p>
    <w:p w14:paraId="6ED877B4" w14:textId="18BC55C5" w:rsidR="001742AB" w:rsidRDefault="00C4555E" w:rsidP="001742AB">
      <w:pPr>
        <w:spacing w:before="240"/>
        <w:rPr>
          <w:rFonts w:cstheme="minorHAnsi"/>
        </w:rPr>
      </w:pPr>
      <w:r w:rsidRPr="00C4555E">
        <w:rPr>
          <w:rFonts w:cstheme="minorHAnsi"/>
        </w:rPr>
        <w:t>Bulk billing rates are greater than 90% for remote monitoring in NSW and Tasmania but remain considerably lower in SA, WA and Queens</w:t>
      </w:r>
      <w:r w:rsidR="001742AB">
        <w:rPr>
          <w:rFonts w:cstheme="minorHAnsi"/>
        </w:rPr>
        <w:t xml:space="preserve">land. </w:t>
      </w:r>
      <w:r w:rsidRPr="00C4555E">
        <w:rPr>
          <w:rFonts w:cstheme="minorHAnsi"/>
        </w:rPr>
        <w:t xml:space="preserve">Bulk billing rates are more consistent across the testing with patient attendance items (11720 and 11726) with most states achieving above 60% except the ACT. </w:t>
      </w:r>
      <w:r w:rsidR="001742AB">
        <w:rPr>
          <w:rFonts w:cstheme="minorHAnsi"/>
        </w:rPr>
        <w:br w:type="page"/>
      </w:r>
    </w:p>
    <w:p w14:paraId="46800CB0" w14:textId="3D84D04F" w:rsidR="00C4555E" w:rsidRPr="00C4555E" w:rsidRDefault="001742AB" w:rsidP="00C4555E">
      <w:pPr>
        <w:spacing w:before="240"/>
        <w:rPr>
          <w:rFonts w:eastAsiaTheme="majorEastAsia" w:cstheme="minorHAnsi"/>
          <w:b/>
          <w:spacing w:val="5"/>
          <w:kern w:val="28"/>
          <w:szCs w:val="28"/>
        </w:rPr>
      </w:pPr>
      <w:r>
        <w:rPr>
          <w:rFonts w:eastAsiaTheme="majorEastAsia" w:cstheme="minorHAnsi"/>
          <w:b/>
          <w:spacing w:val="5"/>
          <w:kern w:val="28"/>
          <w:szCs w:val="28"/>
        </w:rPr>
        <w:t>Item 11719</w:t>
      </w:r>
    </w:p>
    <w:tbl>
      <w:tblPr>
        <w:tblStyle w:val="TableGrid"/>
        <w:tblW w:w="0" w:type="auto"/>
        <w:tblLayout w:type="fixed"/>
        <w:tblLook w:val="04A0" w:firstRow="1" w:lastRow="0" w:firstColumn="1" w:lastColumn="0" w:noHBand="0" w:noVBand="1"/>
        <w:tblDescription w:val="Summary of yearly fees charged for MBS item 11719"/>
      </w:tblPr>
      <w:tblGrid>
        <w:gridCol w:w="1503"/>
        <w:gridCol w:w="1503"/>
        <w:gridCol w:w="1502"/>
        <w:gridCol w:w="1502"/>
        <w:gridCol w:w="1502"/>
        <w:gridCol w:w="1504"/>
      </w:tblGrid>
      <w:tr w:rsidR="00C4555E" w:rsidRPr="00C4555E" w14:paraId="4A7B8BB6" w14:textId="77777777" w:rsidTr="008A27D8">
        <w:trPr>
          <w:trHeight w:val="384"/>
          <w:tblHeader/>
        </w:trPr>
        <w:tc>
          <w:tcPr>
            <w:tcW w:w="1503" w:type="dxa"/>
            <w:vAlign w:val="center"/>
          </w:tcPr>
          <w:p w14:paraId="39739A33" w14:textId="77777777" w:rsidR="00C4555E" w:rsidRPr="00C4555E" w:rsidRDefault="00C4555E" w:rsidP="00C4555E">
            <w:pPr>
              <w:jc w:val="center"/>
              <w:rPr>
                <w:rFonts w:eastAsiaTheme="majorEastAsia" w:cstheme="minorHAnsi"/>
                <w:b/>
                <w:spacing w:val="5"/>
                <w:kern w:val="28"/>
                <w:sz w:val="16"/>
                <w:szCs w:val="18"/>
              </w:rPr>
            </w:pPr>
            <w:r w:rsidRPr="00C4555E">
              <w:rPr>
                <w:rFonts w:eastAsiaTheme="majorEastAsia" w:cstheme="minorHAnsi"/>
                <w:b/>
                <w:spacing w:val="5"/>
                <w:kern w:val="28"/>
                <w:sz w:val="16"/>
                <w:szCs w:val="18"/>
              </w:rPr>
              <w:t>Item 11719</w:t>
            </w:r>
          </w:p>
        </w:tc>
        <w:tc>
          <w:tcPr>
            <w:tcW w:w="1503" w:type="dxa"/>
            <w:shd w:val="clear" w:color="auto" w:fill="548DD4" w:themeFill="text2" w:themeFillTint="99"/>
            <w:vAlign w:val="center"/>
          </w:tcPr>
          <w:p w14:paraId="22EF5D56" w14:textId="77777777" w:rsidR="00C4555E" w:rsidRPr="00C4555E" w:rsidRDefault="00C4555E" w:rsidP="00C4555E">
            <w:pPr>
              <w:keepNext/>
              <w:jc w:val="center"/>
              <w:rPr>
                <w:rFonts w:cstheme="minorHAnsi"/>
                <w:b/>
                <w:color w:val="FFFFFF" w:themeColor="background1"/>
                <w:sz w:val="16"/>
                <w:szCs w:val="18"/>
                <w:lang w:val="en-US" w:eastAsia="zh-CN"/>
              </w:rPr>
            </w:pPr>
            <w:r w:rsidRPr="00C4555E">
              <w:rPr>
                <w:rFonts w:cstheme="minorHAnsi"/>
                <w:b/>
                <w:color w:val="FFFFFF" w:themeColor="background1"/>
                <w:sz w:val="16"/>
                <w:szCs w:val="18"/>
                <w:lang w:val="en-US" w:eastAsia="zh-CN"/>
              </w:rPr>
              <w:t>Year 1</w:t>
            </w:r>
          </w:p>
          <w:p w14:paraId="53DC78AB" w14:textId="77777777" w:rsidR="00C4555E" w:rsidRPr="00C4555E" w:rsidRDefault="00C4555E" w:rsidP="00C4555E">
            <w:pPr>
              <w:jc w:val="center"/>
              <w:rPr>
                <w:rFonts w:eastAsiaTheme="majorEastAsia" w:cstheme="minorHAnsi"/>
                <w:b/>
                <w:spacing w:val="5"/>
                <w:kern w:val="28"/>
                <w:sz w:val="16"/>
                <w:szCs w:val="18"/>
              </w:rPr>
            </w:pPr>
            <w:r w:rsidRPr="00C4555E">
              <w:rPr>
                <w:rFonts w:cstheme="minorHAnsi"/>
                <w:b/>
                <w:color w:val="FFFFFF" w:themeColor="background1"/>
                <w:sz w:val="16"/>
                <w:szCs w:val="18"/>
                <w:lang w:val="en-US" w:eastAsia="zh-CN"/>
              </w:rPr>
              <w:t>2015-16</w:t>
            </w:r>
          </w:p>
        </w:tc>
        <w:tc>
          <w:tcPr>
            <w:tcW w:w="1502" w:type="dxa"/>
            <w:shd w:val="clear" w:color="auto" w:fill="548DD4" w:themeFill="text2" w:themeFillTint="99"/>
            <w:vAlign w:val="center"/>
          </w:tcPr>
          <w:p w14:paraId="4C0E1C73" w14:textId="77777777" w:rsidR="00C4555E" w:rsidRPr="00C4555E" w:rsidRDefault="00C4555E" w:rsidP="00C4555E">
            <w:pPr>
              <w:keepNext/>
              <w:jc w:val="center"/>
              <w:rPr>
                <w:rFonts w:cstheme="minorHAnsi"/>
                <w:b/>
                <w:color w:val="FFFFFF" w:themeColor="background1"/>
                <w:sz w:val="16"/>
                <w:szCs w:val="18"/>
                <w:lang w:val="en-US" w:eastAsia="zh-CN"/>
              </w:rPr>
            </w:pPr>
            <w:r w:rsidRPr="00C4555E">
              <w:rPr>
                <w:rFonts w:cstheme="minorHAnsi"/>
                <w:b/>
                <w:color w:val="FFFFFF" w:themeColor="background1"/>
                <w:sz w:val="16"/>
                <w:szCs w:val="18"/>
                <w:lang w:val="en-US" w:eastAsia="zh-CN"/>
              </w:rPr>
              <w:t>Year 2</w:t>
            </w:r>
          </w:p>
          <w:p w14:paraId="546649EF" w14:textId="77777777" w:rsidR="00C4555E" w:rsidRPr="00C4555E" w:rsidRDefault="00C4555E" w:rsidP="00C4555E">
            <w:pPr>
              <w:jc w:val="center"/>
              <w:rPr>
                <w:rFonts w:eastAsiaTheme="majorEastAsia" w:cstheme="minorHAnsi"/>
                <w:b/>
                <w:spacing w:val="5"/>
                <w:kern w:val="28"/>
                <w:sz w:val="16"/>
                <w:szCs w:val="18"/>
              </w:rPr>
            </w:pPr>
            <w:r w:rsidRPr="00C4555E">
              <w:rPr>
                <w:rFonts w:cstheme="minorHAnsi"/>
                <w:b/>
                <w:color w:val="FFFFFF" w:themeColor="background1"/>
                <w:sz w:val="16"/>
                <w:szCs w:val="18"/>
                <w:lang w:val="en-US" w:eastAsia="zh-CN"/>
              </w:rPr>
              <w:t>2016-17</w:t>
            </w:r>
          </w:p>
        </w:tc>
        <w:tc>
          <w:tcPr>
            <w:tcW w:w="1502" w:type="dxa"/>
            <w:shd w:val="clear" w:color="auto" w:fill="548DD4" w:themeFill="text2" w:themeFillTint="99"/>
            <w:vAlign w:val="center"/>
          </w:tcPr>
          <w:p w14:paraId="732F2DB6" w14:textId="77777777" w:rsidR="00C4555E" w:rsidRPr="00C4555E" w:rsidRDefault="00C4555E" w:rsidP="00C4555E">
            <w:pPr>
              <w:keepNext/>
              <w:jc w:val="center"/>
              <w:rPr>
                <w:rFonts w:cstheme="minorHAnsi"/>
                <w:b/>
                <w:color w:val="FFFFFF" w:themeColor="background1"/>
                <w:sz w:val="16"/>
                <w:szCs w:val="18"/>
                <w:lang w:val="en-US" w:eastAsia="zh-CN"/>
              </w:rPr>
            </w:pPr>
            <w:r w:rsidRPr="00C4555E">
              <w:rPr>
                <w:rFonts w:cstheme="minorHAnsi"/>
                <w:b/>
                <w:color w:val="FFFFFF" w:themeColor="background1"/>
                <w:sz w:val="16"/>
                <w:szCs w:val="18"/>
                <w:lang w:val="en-US" w:eastAsia="zh-CN"/>
              </w:rPr>
              <w:t>Year 3</w:t>
            </w:r>
          </w:p>
          <w:p w14:paraId="73F9A1CA" w14:textId="77777777" w:rsidR="00C4555E" w:rsidRPr="00C4555E" w:rsidRDefault="00C4555E" w:rsidP="00C4555E">
            <w:pPr>
              <w:jc w:val="center"/>
              <w:rPr>
                <w:rFonts w:eastAsiaTheme="majorEastAsia" w:cstheme="minorHAnsi"/>
                <w:b/>
                <w:spacing w:val="5"/>
                <w:kern w:val="28"/>
                <w:sz w:val="16"/>
                <w:szCs w:val="18"/>
              </w:rPr>
            </w:pPr>
            <w:r w:rsidRPr="00C4555E">
              <w:rPr>
                <w:rFonts w:cstheme="minorHAnsi"/>
                <w:b/>
                <w:color w:val="FFFFFF" w:themeColor="background1"/>
                <w:sz w:val="16"/>
                <w:szCs w:val="18"/>
                <w:lang w:val="en-US" w:eastAsia="zh-CN"/>
              </w:rPr>
              <w:t>2017-18</w:t>
            </w:r>
          </w:p>
        </w:tc>
        <w:tc>
          <w:tcPr>
            <w:tcW w:w="1502" w:type="dxa"/>
            <w:shd w:val="clear" w:color="auto" w:fill="548DD4" w:themeFill="text2" w:themeFillTint="99"/>
            <w:vAlign w:val="center"/>
          </w:tcPr>
          <w:p w14:paraId="4AC0BA31" w14:textId="77777777" w:rsidR="00C4555E" w:rsidRPr="00C4555E" w:rsidRDefault="00C4555E" w:rsidP="00C4555E">
            <w:pPr>
              <w:keepNext/>
              <w:jc w:val="center"/>
              <w:rPr>
                <w:rFonts w:cstheme="minorHAnsi"/>
                <w:b/>
                <w:color w:val="FFFFFF" w:themeColor="background1"/>
                <w:sz w:val="16"/>
                <w:szCs w:val="18"/>
                <w:lang w:val="en-US" w:eastAsia="zh-CN"/>
              </w:rPr>
            </w:pPr>
            <w:r w:rsidRPr="00C4555E">
              <w:rPr>
                <w:rFonts w:cstheme="minorHAnsi"/>
                <w:b/>
                <w:color w:val="FFFFFF" w:themeColor="background1"/>
                <w:sz w:val="16"/>
                <w:szCs w:val="18"/>
                <w:lang w:val="en-US" w:eastAsia="zh-CN"/>
              </w:rPr>
              <w:t>Year 4</w:t>
            </w:r>
          </w:p>
          <w:p w14:paraId="5EB3D4B9" w14:textId="77777777" w:rsidR="00C4555E" w:rsidRPr="00C4555E" w:rsidRDefault="00C4555E" w:rsidP="00C4555E">
            <w:pPr>
              <w:jc w:val="center"/>
              <w:rPr>
                <w:rFonts w:eastAsiaTheme="majorEastAsia" w:cstheme="minorHAnsi"/>
                <w:b/>
                <w:spacing w:val="5"/>
                <w:kern w:val="28"/>
                <w:sz w:val="16"/>
                <w:szCs w:val="18"/>
              </w:rPr>
            </w:pPr>
            <w:r w:rsidRPr="00C4555E">
              <w:rPr>
                <w:rFonts w:cstheme="minorHAnsi"/>
                <w:b/>
                <w:color w:val="FFFFFF" w:themeColor="background1"/>
                <w:sz w:val="16"/>
                <w:szCs w:val="18"/>
                <w:lang w:val="en-US" w:eastAsia="zh-CN"/>
              </w:rPr>
              <w:t>2018-19</w:t>
            </w:r>
          </w:p>
        </w:tc>
        <w:tc>
          <w:tcPr>
            <w:tcW w:w="1504" w:type="dxa"/>
            <w:vAlign w:val="center"/>
          </w:tcPr>
          <w:p w14:paraId="33F49EC4" w14:textId="77777777" w:rsidR="00C4555E" w:rsidRPr="00C4555E" w:rsidRDefault="00C4555E" w:rsidP="00C4555E">
            <w:pPr>
              <w:jc w:val="center"/>
              <w:rPr>
                <w:rFonts w:eastAsiaTheme="majorEastAsia" w:cstheme="minorHAnsi"/>
                <w:b/>
                <w:spacing w:val="5"/>
                <w:kern w:val="28"/>
                <w:sz w:val="16"/>
                <w:szCs w:val="18"/>
              </w:rPr>
            </w:pPr>
            <w:r w:rsidRPr="00C4555E">
              <w:rPr>
                <w:rFonts w:eastAsiaTheme="majorEastAsia" w:cstheme="minorHAnsi"/>
                <w:b/>
                <w:spacing w:val="5"/>
                <w:kern w:val="28"/>
                <w:sz w:val="16"/>
                <w:szCs w:val="18"/>
              </w:rPr>
              <w:t>Average Total</w:t>
            </w:r>
          </w:p>
        </w:tc>
      </w:tr>
      <w:tr w:rsidR="00C4555E" w:rsidRPr="00C4555E" w14:paraId="377B270B" w14:textId="77777777" w:rsidTr="00C4555E">
        <w:trPr>
          <w:trHeight w:val="924"/>
        </w:trPr>
        <w:tc>
          <w:tcPr>
            <w:tcW w:w="1503" w:type="dxa"/>
            <w:vAlign w:val="center"/>
          </w:tcPr>
          <w:p w14:paraId="00AB9C0A" w14:textId="77777777" w:rsidR="00C4555E" w:rsidRPr="00C4555E" w:rsidRDefault="00C4555E" w:rsidP="00C4555E">
            <w:pPr>
              <w:jc w:val="center"/>
              <w:rPr>
                <w:rFonts w:eastAsiaTheme="majorEastAsia" w:cstheme="minorHAnsi"/>
                <w:b/>
                <w:spacing w:val="5"/>
                <w:kern w:val="28"/>
                <w:sz w:val="18"/>
                <w:szCs w:val="28"/>
              </w:rPr>
            </w:pPr>
            <w:r w:rsidRPr="00C4555E">
              <w:rPr>
                <w:rFonts w:eastAsiaTheme="majorEastAsia" w:cstheme="minorHAnsi"/>
                <w:b/>
                <w:spacing w:val="5"/>
                <w:kern w:val="28"/>
                <w:sz w:val="18"/>
                <w:szCs w:val="28"/>
              </w:rPr>
              <w:t>Average fee charged per service</w:t>
            </w:r>
          </w:p>
        </w:tc>
        <w:tc>
          <w:tcPr>
            <w:tcW w:w="1503" w:type="dxa"/>
            <w:vAlign w:val="center"/>
          </w:tcPr>
          <w:p w14:paraId="528DD3B8" w14:textId="77777777" w:rsidR="00C4555E" w:rsidRPr="00C4555E" w:rsidRDefault="00C4555E" w:rsidP="00C4555E">
            <w:pPr>
              <w:jc w:val="center"/>
              <w:rPr>
                <w:rFonts w:eastAsiaTheme="majorEastAsia" w:cstheme="minorHAnsi"/>
                <w:b/>
                <w:spacing w:val="5"/>
                <w:kern w:val="28"/>
                <w:sz w:val="18"/>
                <w:szCs w:val="18"/>
              </w:rPr>
            </w:pPr>
            <w:r w:rsidRPr="00C4555E">
              <w:rPr>
                <w:rFonts w:eastAsiaTheme="majorEastAsia" w:cstheme="minorHAnsi"/>
                <w:b/>
                <w:spacing w:val="5"/>
                <w:kern w:val="28"/>
                <w:sz w:val="18"/>
                <w:szCs w:val="18"/>
              </w:rPr>
              <w:t>$230.97</w:t>
            </w:r>
          </w:p>
        </w:tc>
        <w:tc>
          <w:tcPr>
            <w:tcW w:w="1502" w:type="dxa"/>
            <w:vAlign w:val="center"/>
          </w:tcPr>
          <w:p w14:paraId="26001A81" w14:textId="77777777" w:rsidR="00C4555E" w:rsidRPr="00C4555E" w:rsidRDefault="00C4555E" w:rsidP="00C4555E">
            <w:pPr>
              <w:jc w:val="center"/>
              <w:rPr>
                <w:rFonts w:eastAsiaTheme="majorEastAsia" w:cstheme="minorHAnsi"/>
                <w:b/>
                <w:spacing w:val="5"/>
                <w:kern w:val="28"/>
                <w:sz w:val="18"/>
                <w:szCs w:val="18"/>
              </w:rPr>
            </w:pPr>
            <w:r w:rsidRPr="00C4555E">
              <w:rPr>
                <w:rFonts w:eastAsiaTheme="majorEastAsia" w:cstheme="minorHAnsi"/>
                <w:b/>
                <w:spacing w:val="5"/>
                <w:kern w:val="28"/>
                <w:sz w:val="18"/>
                <w:szCs w:val="18"/>
              </w:rPr>
              <w:t>$214.40</w:t>
            </w:r>
          </w:p>
        </w:tc>
        <w:tc>
          <w:tcPr>
            <w:tcW w:w="1502" w:type="dxa"/>
            <w:vAlign w:val="center"/>
          </w:tcPr>
          <w:p w14:paraId="6D0591F0" w14:textId="77777777" w:rsidR="00C4555E" w:rsidRPr="00C4555E" w:rsidRDefault="00C4555E" w:rsidP="00C4555E">
            <w:pPr>
              <w:jc w:val="center"/>
              <w:rPr>
                <w:rFonts w:eastAsiaTheme="majorEastAsia" w:cstheme="minorHAnsi"/>
                <w:b/>
                <w:spacing w:val="5"/>
                <w:kern w:val="28"/>
                <w:sz w:val="18"/>
                <w:szCs w:val="18"/>
              </w:rPr>
            </w:pPr>
            <w:r w:rsidRPr="00C4555E">
              <w:rPr>
                <w:rFonts w:eastAsiaTheme="majorEastAsia" w:cstheme="minorHAnsi"/>
                <w:b/>
                <w:spacing w:val="5"/>
                <w:kern w:val="28"/>
                <w:sz w:val="18"/>
                <w:szCs w:val="18"/>
              </w:rPr>
              <w:t>$210.15</w:t>
            </w:r>
          </w:p>
        </w:tc>
        <w:tc>
          <w:tcPr>
            <w:tcW w:w="1502" w:type="dxa"/>
            <w:vAlign w:val="center"/>
          </w:tcPr>
          <w:p w14:paraId="09BCA48B" w14:textId="77777777" w:rsidR="00C4555E" w:rsidRPr="00C4555E" w:rsidRDefault="00C4555E" w:rsidP="00C4555E">
            <w:pPr>
              <w:jc w:val="center"/>
              <w:rPr>
                <w:rFonts w:eastAsiaTheme="majorEastAsia" w:cstheme="minorHAnsi"/>
                <w:b/>
                <w:spacing w:val="5"/>
                <w:kern w:val="28"/>
                <w:sz w:val="18"/>
                <w:szCs w:val="18"/>
              </w:rPr>
            </w:pPr>
            <w:r w:rsidRPr="00C4555E">
              <w:rPr>
                <w:rFonts w:eastAsiaTheme="majorEastAsia" w:cstheme="minorHAnsi"/>
                <w:b/>
                <w:spacing w:val="5"/>
                <w:kern w:val="28"/>
                <w:sz w:val="18"/>
                <w:szCs w:val="18"/>
              </w:rPr>
              <w:t>$211.75</w:t>
            </w:r>
          </w:p>
        </w:tc>
        <w:tc>
          <w:tcPr>
            <w:tcW w:w="1504" w:type="dxa"/>
            <w:vAlign w:val="center"/>
          </w:tcPr>
          <w:p w14:paraId="250121D1" w14:textId="77777777" w:rsidR="00C4555E" w:rsidRPr="00C4555E" w:rsidRDefault="00C4555E" w:rsidP="00C4555E">
            <w:pPr>
              <w:jc w:val="center"/>
              <w:rPr>
                <w:rFonts w:eastAsiaTheme="majorEastAsia" w:cstheme="minorHAnsi"/>
                <w:b/>
                <w:spacing w:val="5"/>
                <w:kern w:val="28"/>
                <w:sz w:val="18"/>
                <w:szCs w:val="18"/>
              </w:rPr>
            </w:pPr>
            <w:r w:rsidRPr="00C4555E">
              <w:rPr>
                <w:rFonts w:eastAsiaTheme="majorEastAsia" w:cstheme="minorHAnsi"/>
                <w:b/>
                <w:spacing w:val="5"/>
                <w:kern w:val="28"/>
                <w:sz w:val="18"/>
                <w:szCs w:val="18"/>
              </w:rPr>
              <w:t>$213.98</w:t>
            </w:r>
          </w:p>
        </w:tc>
      </w:tr>
      <w:tr w:rsidR="00C4555E" w:rsidRPr="00C4555E" w14:paraId="70367840" w14:textId="77777777" w:rsidTr="00C4555E">
        <w:trPr>
          <w:trHeight w:val="1051"/>
        </w:trPr>
        <w:tc>
          <w:tcPr>
            <w:tcW w:w="1503" w:type="dxa"/>
            <w:vAlign w:val="center"/>
          </w:tcPr>
          <w:p w14:paraId="0A959BDA" w14:textId="77777777" w:rsidR="00C4555E" w:rsidRPr="00C4555E" w:rsidRDefault="00C4555E" w:rsidP="00C4555E">
            <w:pPr>
              <w:jc w:val="center"/>
              <w:rPr>
                <w:rFonts w:eastAsiaTheme="majorEastAsia" w:cstheme="minorHAnsi"/>
                <w:b/>
                <w:spacing w:val="5"/>
                <w:kern w:val="28"/>
                <w:sz w:val="18"/>
                <w:szCs w:val="28"/>
              </w:rPr>
            </w:pPr>
            <w:r w:rsidRPr="00C4555E">
              <w:rPr>
                <w:rFonts w:eastAsiaTheme="majorEastAsia" w:cstheme="minorHAnsi"/>
                <w:b/>
                <w:spacing w:val="5"/>
                <w:kern w:val="28"/>
                <w:sz w:val="18"/>
                <w:szCs w:val="28"/>
              </w:rPr>
              <w:t>MBS Benefit (Paid at 85%)</w:t>
            </w:r>
          </w:p>
        </w:tc>
        <w:tc>
          <w:tcPr>
            <w:tcW w:w="1503" w:type="dxa"/>
            <w:vAlign w:val="center"/>
          </w:tcPr>
          <w:p w14:paraId="2888BF48" w14:textId="77777777" w:rsidR="00C4555E" w:rsidRPr="00C4555E" w:rsidRDefault="00C4555E" w:rsidP="00C4555E">
            <w:pPr>
              <w:jc w:val="center"/>
              <w:rPr>
                <w:rFonts w:eastAsiaTheme="majorEastAsia" w:cstheme="minorHAnsi"/>
                <w:b/>
                <w:spacing w:val="5"/>
                <w:kern w:val="28"/>
                <w:sz w:val="18"/>
                <w:szCs w:val="28"/>
              </w:rPr>
            </w:pPr>
            <w:r w:rsidRPr="00C4555E">
              <w:rPr>
                <w:rFonts w:eastAsiaTheme="majorEastAsia" w:cstheme="minorHAnsi"/>
                <w:b/>
                <w:spacing w:val="5"/>
                <w:kern w:val="28"/>
                <w:sz w:val="18"/>
                <w:szCs w:val="28"/>
              </w:rPr>
              <w:t>$56.85</w:t>
            </w:r>
          </w:p>
        </w:tc>
        <w:tc>
          <w:tcPr>
            <w:tcW w:w="1502" w:type="dxa"/>
            <w:vAlign w:val="center"/>
          </w:tcPr>
          <w:p w14:paraId="211EF2C4" w14:textId="77777777" w:rsidR="00C4555E" w:rsidRPr="00C4555E" w:rsidRDefault="00C4555E" w:rsidP="00C4555E">
            <w:pPr>
              <w:jc w:val="center"/>
              <w:rPr>
                <w:rFonts w:eastAsiaTheme="majorEastAsia" w:cstheme="minorHAnsi"/>
                <w:b/>
                <w:spacing w:val="5"/>
                <w:kern w:val="28"/>
                <w:sz w:val="18"/>
                <w:szCs w:val="28"/>
              </w:rPr>
            </w:pPr>
            <w:r w:rsidRPr="00C4555E">
              <w:rPr>
                <w:rFonts w:eastAsiaTheme="majorEastAsia" w:cstheme="minorHAnsi"/>
                <w:b/>
                <w:spacing w:val="5"/>
                <w:kern w:val="28"/>
                <w:sz w:val="18"/>
                <w:szCs w:val="28"/>
              </w:rPr>
              <w:t>$56.85</w:t>
            </w:r>
          </w:p>
        </w:tc>
        <w:tc>
          <w:tcPr>
            <w:tcW w:w="1502" w:type="dxa"/>
            <w:vAlign w:val="center"/>
          </w:tcPr>
          <w:p w14:paraId="3B54193A" w14:textId="77777777" w:rsidR="00C4555E" w:rsidRPr="00C4555E" w:rsidRDefault="00C4555E" w:rsidP="00C4555E">
            <w:pPr>
              <w:jc w:val="center"/>
              <w:rPr>
                <w:rFonts w:eastAsiaTheme="majorEastAsia" w:cstheme="minorHAnsi"/>
                <w:b/>
                <w:spacing w:val="5"/>
                <w:kern w:val="28"/>
                <w:sz w:val="18"/>
                <w:szCs w:val="28"/>
              </w:rPr>
            </w:pPr>
            <w:r w:rsidRPr="00C4555E">
              <w:rPr>
                <w:rFonts w:eastAsiaTheme="majorEastAsia" w:cstheme="minorHAnsi"/>
                <w:b/>
                <w:spacing w:val="5"/>
                <w:kern w:val="28"/>
                <w:sz w:val="18"/>
                <w:szCs w:val="28"/>
              </w:rPr>
              <w:t>$56.85</w:t>
            </w:r>
          </w:p>
        </w:tc>
        <w:tc>
          <w:tcPr>
            <w:tcW w:w="1502" w:type="dxa"/>
            <w:vAlign w:val="center"/>
          </w:tcPr>
          <w:p w14:paraId="24589F9D" w14:textId="77777777" w:rsidR="00C4555E" w:rsidRPr="00C4555E" w:rsidRDefault="00C4555E" w:rsidP="00C4555E">
            <w:pPr>
              <w:jc w:val="center"/>
              <w:rPr>
                <w:rFonts w:eastAsiaTheme="majorEastAsia" w:cstheme="minorHAnsi"/>
                <w:b/>
                <w:spacing w:val="5"/>
                <w:kern w:val="28"/>
                <w:sz w:val="18"/>
                <w:szCs w:val="28"/>
              </w:rPr>
            </w:pPr>
            <w:r w:rsidRPr="00C4555E">
              <w:rPr>
                <w:rFonts w:eastAsiaTheme="majorEastAsia" w:cstheme="minorHAnsi"/>
                <w:b/>
                <w:spacing w:val="5"/>
                <w:kern w:val="28"/>
                <w:sz w:val="18"/>
                <w:szCs w:val="28"/>
              </w:rPr>
              <w:t>$56.85</w:t>
            </w:r>
          </w:p>
        </w:tc>
        <w:tc>
          <w:tcPr>
            <w:tcW w:w="1504" w:type="dxa"/>
            <w:vAlign w:val="center"/>
          </w:tcPr>
          <w:p w14:paraId="76EFFFD5" w14:textId="77777777" w:rsidR="00C4555E" w:rsidRPr="00C4555E" w:rsidRDefault="00C4555E" w:rsidP="00C4555E">
            <w:pPr>
              <w:jc w:val="center"/>
              <w:rPr>
                <w:rFonts w:eastAsiaTheme="majorEastAsia" w:cstheme="minorHAnsi"/>
                <w:b/>
                <w:spacing w:val="5"/>
                <w:kern w:val="28"/>
                <w:sz w:val="18"/>
                <w:szCs w:val="28"/>
              </w:rPr>
            </w:pPr>
          </w:p>
        </w:tc>
      </w:tr>
    </w:tbl>
    <w:p w14:paraId="7908BB03" w14:textId="6ACEA467" w:rsidR="00C4555E" w:rsidRPr="00C4555E" w:rsidRDefault="001742AB" w:rsidP="00C4555E">
      <w:pPr>
        <w:spacing w:before="240"/>
        <w:rPr>
          <w:rFonts w:eastAsiaTheme="majorEastAsia" w:cstheme="minorHAnsi"/>
          <w:b/>
          <w:spacing w:val="5"/>
          <w:kern w:val="28"/>
          <w:szCs w:val="28"/>
        </w:rPr>
      </w:pPr>
      <w:r>
        <w:rPr>
          <w:rFonts w:eastAsiaTheme="majorEastAsia" w:cstheme="minorHAnsi"/>
          <w:b/>
          <w:spacing w:val="5"/>
          <w:kern w:val="28"/>
          <w:szCs w:val="28"/>
        </w:rPr>
        <w:t>Item 11720</w:t>
      </w:r>
    </w:p>
    <w:tbl>
      <w:tblPr>
        <w:tblStyle w:val="TableGrid"/>
        <w:tblW w:w="9253" w:type="dxa"/>
        <w:tblLook w:val="04A0" w:firstRow="1" w:lastRow="0" w:firstColumn="1" w:lastColumn="0" w:noHBand="0" w:noVBand="1"/>
        <w:tblDescription w:val="Summary of yearly fees charged for MBS item 11720"/>
      </w:tblPr>
      <w:tblGrid>
        <w:gridCol w:w="1542"/>
        <w:gridCol w:w="1542"/>
        <w:gridCol w:w="1542"/>
        <w:gridCol w:w="1542"/>
        <w:gridCol w:w="1542"/>
        <w:gridCol w:w="1543"/>
      </w:tblGrid>
      <w:tr w:rsidR="00C4555E" w:rsidRPr="00C4555E" w14:paraId="1ED67628" w14:textId="77777777" w:rsidTr="008A27D8">
        <w:trPr>
          <w:trHeight w:val="384"/>
          <w:tblHeader/>
        </w:trPr>
        <w:tc>
          <w:tcPr>
            <w:tcW w:w="1542" w:type="dxa"/>
            <w:vAlign w:val="center"/>
          </w:tcPr>
          <w:p w14:paraId="5EFB6A75" w14:textId="77777777" w:rsidR="00C4555E" w:rsidRPr="00C4555E" w:rsidRDefault="00C4555E" w:rsidP="001C6233">
            <w:pPr>
              <w:jc w:val="center"/>
              <w:rPr>
                <w:rFonts w:eastAsiaTheme="majorEastAsia" w:cstheme="minorHAnsi"/>
                <w:b/>
                <w:spacing w:val="5"/>
                <w:kern w:val="28"/>
                <w:sz w:val="16"/>
                <w:szCs w:val="18"/>
              </w:rPr>
            </w:pPr>
            <w:r w:rsidRPr="00C4555E">
              <w:rPr>
                <w:rFonts w:eastAsiaTheme="majorEastAsia" w:cstheme="minorHAnsi"/>
                <w:b/>
                <w:spacing w:val="5"/>
                <w:kern w:val="28"/>
                <w:sz w:val="16"/>
                <w:szCs w:val="18"/>
              </w:rPr>
              <w:t>Item 11720</w:t>
            </w:r>
          </w:p>
        </w:tc>
        <w:tc>
          <w:tcPr>
            <w:tcW w:w="1542" w:type="dxa"/>
            <w:shd w:val="clear" w:color="auto" w:fill="548DD4" w:themeFill="text2" w:themeFillTint="99"/>
            <w:vAlign w:val="center"/>
          </w:tcPr>
          <w:p w14:paraId="6E2FFAD2" w14:textId="77777777" w:rsidR="00C4555E" w:rsidRPr="00C4555E" w:rsidRDefault="00C4555E" w:rsidP="001C6233">
            <w:pPr>
              <w:keepNext/>
              <w:jc w:val="center"/>
              <w:rPr>
                <w:rFonts w:cstheme="minorHAnsi"/>
                <w:b/>
                <w:color w:val="FFFFFF" w:themeColor="background1"/>
                <w:sz w:val="16"/>
                <w:szCs w:val="18"/>
                <w:lang w:val="en-US" w:eastAsia="zh-CN"/>
              </w:rPr>
            </w:pPr>
            <w:r w:rsidRPr="00C4555E">
              <w:rPr>
                <w:rFonts w:cstheme="minorHAnsi"/>
                <w:b/>
                <w:color w:val="FFFFFF" w:themeColor="background1"/>
                <w:sz w:val="16"/>
                <w:szCs w:val="18"/>
                <w:lang w:val="en-US" w:eastAsia="zh-CN"/>
              </w:rPr>
              <w:t>Year 1</w:t>
            </w:r>
          </w:p>
          <w:p w14:paraId="41B62ED8" w14:textId="77777777" w:rsidR="00C4555E" w:rsidRPr="00C4555E" w:rsidRDefault="00C4555E" w:rsidP="001C6233">
            <w:pPr>
              <w:jc w:val="center"/>
              <w:rPr>
                <w:rFonts w:eastAsiaTheme="majorEastAsia" w:cstheme="minorHAnsi"/>
                <w:b/>
                <w:spacing w:val="5"/>
                <w:kern w:val="28"/>
                <w:sz w:val="16"/>
                <w:szCs w:val="18"/>
              </w:rPr>
            </w:pPr>
            <w:r w:rsidRPr="00C4555E">
              <w:rPr>
                <w:rFonts w:cstheme="minorHAnsi"/>
                <w:b/>
                <w:color w:val="FFFFFF" w:themeColor="background1"/>
                <w:sz w:val="16"/>
                <w:szCs w:val="18"/>
                <w:lang w:val="en-US" w:eastAsia="zh-CN"/>
              </w:rPr>
              <w:t>2015-16</w:t>
            </w:r>
          </w:p>
        </w:tc>
        <w:tc>
          <w:tcPr>
            <w:tcW w:w="1542" w:type="dxa"/>
            <w:shd w:val="clear" w:color="auto" w:fill="548DD4" w:themeFill="text2" w:themeFillTint="99"/>
            <w:vAlign w:val="center"/>
          </w:tcPr>
          <w:p w14:paraId="052FE552" w14:textId="77777777" w:rsidR="00C4555E" w:rsidRPr="00C4555E" w:rsidRDefault="00C4555E" w:rsidP="001C6233">
            <w:pPr>
              <w:keepNext/>
              <w:jc w:val="center"/>
              <w:rPr>
                <w:rFonts w:cstheme="minorHAnsi"/>
                <w:b/>
                <w:color w:val="FFFFFF" w:themeColor="background1"/>
                <w:sz w:val="16"/>
                <w:szCs w:val="18"/>
                <w:lang w:val="en-US" w:eastAsia="zh-CN"/>
              </w:rPr>
            </w:pPr>
            <w:r w:rsidRPr="00C4555E">
              <w:rPr>
                <w:rFonts w:cstheme="minorHAnsi"/>
                <w:b/>
                <w:color w:val="FFFFFF" w:themeColor="background1"/>
                <w:sz w:val="16"/>
                <w:szCs w:val="18"/>
                <w:lang w:val="en-US" w:eastAsia="zh-CN"/>
              </w:rPr>
              <w:t>Year 2</w:t>
            </w:r>
          </w:p>
          <w:p w14:paraId="197D2DE5" w14:textId="77777777" w:rsidR="00C4555E" w:rsidRPr="00C4555E" w:rsidRDefault="00C4555E" w:rsidP="001C6233">
            <w:pPr>
              <w:jc w:val="center"/>
              <w:rPr>
                <w:rFonts w:eastAsiaTheme="majorEastAsia" w:cstheme="minorHAnsi"/>
                <w:b/>
                <w:spacing w:val="5"/>
                <w:kern w:val="28"/>
                <w:sz w:val="16"/>
                <w:szCs w:val="18"/>
              </w:rPr>
            </w:pPr>
            <w:r w:rsidRPr="00C4555E">
              <w:rPr>
                <w:rFonts w:cstheme="minorHAnsi"/>
                <w:b/>
                <w:color w:val="FFFFFF" w:themeColor="background1"/>
                <w:sz w:val="16"/>
                <w:szCs w:val="18"/>
                <w:lang w:val="en-US" w:eastAsia="zh-CN"/>
              </w:rPr>
              <w:t>2016-17</w:t>
            </w:r>
          </w:p>
        </w:tc>
        <w:tc>
          <w:tcPr>
            <w:tcW w:w="1542" w:type="dxa"/>
            <w:shd w:val="clear" w:color="auto" w:fill="548DD4" w:themeFill="text2" w:themeFillTint="99"/>
            <w:vAlign w:val="center"/>
          </w:tcPr>
          <w:p w14:paraId="72565905" w14:textId="77777777" w:rsidR="00C4555E" w:rsidRPr="00C4555E" w:rsidRDefault="00C4555E" w:rsidP="001C6233">
            <w:pPr>
              <w:keepNext/>
              <w:jc w:val="center"/>
              <w:rPr>
                <w:rFonts w:cstheme="minorHAnsi"/>
                <w:b/>
                <w:color w:val="FFFFFF" w:themeColor="background1"/>
                <w:sz w:val="16"/>
                <w:szCs w:val="18"/>
                <w:lang w:val="en-US" w:eastAsia="zh-CN"/>
              </w:rPr>
            </w:pPr>
            <w:r w:rsidRPr="00C4555E">
              <w:rPr>
                <w:rFonts w:cstheme="minorHAnsi"/>
                <w:b/>
                <w:color w:val="FFFFFF" w:themeColor="background1"/>
                <w:sz w:val="16"/>
                <w:szCs w:val="18"/>
                <w:lang w:val="en-US" w:eastAsia="zh-CN"/>
              </w:rPr>
              <w:t>Year 3</w:t>
            </w:r>
          </w:p>
          <w:p w14:paraId="75A202CF" w14:textId="77777777" w:rsidR="00C4555E" w:rsidRPr="00C4555E" w:rsidRDefault="00C4555E" w:rsidP="001C6233">
            <w:pPr>
              <w:jc w:val="center"/>
              <w:rPr>
                <w:rFonts w:eastAsiaTheme="majorEastAsia" w:cstheme="minorHAnsi"/>
                <w:b/>
                <w:spacing w:val="5"/>
                <w:kern w:val="28"/>
                <w:sz w:val="16"/>
                <w:szCs w:val="18"/>
              </w:rPr>
            </w:pPr>
            <w:r w:rsidRPr="00C4555E">
              <w:rPr>
                <w:rFonts w:cstheme="minorHAnsi"/>
                <w:b/>
                <w:color w:val="FFFFFF" w:themeColor="background1"/>
                <w:sz w:val="16"/>
                <w:szCs w:val="18"/>
                <w:lang w:val="en-US" w:eastAsia="zh-CN"/>
              </w:rPr>
              <w:t>2017-18</w:t>
            </w:r>
          </w:p>
        </w:tc>
        <w:tc>
          <w:tcPr>
            <w:tcW w:w="1542" w:type="dxa"/>
            <w:shd w:val="clear" w:color="auto" w:fill="548DD4" w:themeFill="text2" w:themeFillTint="99"/>
            <w:vAlign w:val="center"/>
          </w:tcPr>
          <w:p w14:paraId="6352B1EA" w14:textId="77777777" w:rsidR="00C4555E" w:rsidRPr="00C4555E" w:rsidRDefault="00C4555E" w:rsidP="001C6233">
            <w:pPr>
              <w:keepNext/>
              <w:jc w:val="center"/>
              <w:rPr>
                <w:rFonts w:cstheme="minorHAnsi"/>
                <w:b/>
                <w:color w:val="FFFFFF" w:themeColor="background1"/>
                <w:sz w:val="16"/>
                <w:szCs w:val="18"/>
                <w:lang w:val="en-US" w:eastAsia="zh-CN"/>
              </w:rPr>
            </w:pPr>
            <w:r w:rsidRPr="00C4555E">
              <w:rPr>
                <w:rFonts w:cstheme="minorHAnsi"/>
                <w:b/>
                <w:color w:val="FFFFFF" w:themeColor="background1"/>
                <w:sz w:val="16"/>
                <w:szCs w:val="18"/>
                <w:lang w:val="en-US" w:eastAsia="zh-CN"/>
              </w:rPr>
              <w:t>Year 4</w:t>
            </w:r>
          </w:p>
          <w:p w14:paraId="76803B71" w14:textId="77777777" w:rsidR="00C4555E" w:rsidRPr="00C4555E" w:rsidRDefault="00C4555E" w:rsidP="001C6233">
            <w:pPr>
              <w:jc w:val="center"/>
              <w:rPr>
                <w:rFonts w:eastAsiaTheme="majorEastAsia" w:cstheme="minorHAnsi"/>
                <w:b/>
                <w:spacing w:val="5"/>
                <w:kern w:val="28"/>
                <w:sz w:val="16"/>
                <w:szCs w:val="18"/>
              </w:rPr>
            </w:pPr>
            <w:r w:rsidRPr="00C4555E">
              <w:rPr>
                <w:rFonts w:cstheme="minorHAnsi"/>
                <w:b/>
                <w:color w:val="FFFFFF" w:themeColor="background1"/>
                <w:sz w:val="16"/>
                <w:szCs w:val="18"/>
                <w:lang w:val="en-US" w:eastAsia="zh-CN"/>
              </w:rPr>
              <w:t>2018-19</w:t>
            </w:r>
          </w:p>
        </w:tc>
        <w:tc>
          <w:tcPr>
            <w:tcW w:w="1543" w:type="dxa"/>
            <w:vAlign w:val="center"/>
          </w:tcPr>
          <w:p w14:paraId="30754B4C" w14:textId="77777777" w:rsidR="00C4555E" w:rsidRPr="00C4555E" w:rsidRDefault="00C4555E" w:rsidP="001C6233">
            <w:pPr>
              <w:jc w:val="center"/>
              <w:rPr>
                <w:rFonts w:eastAsiaTheme="majorEastAsia" w:cstheme="minorHAnsi"/>
                <w:b/>
                <w:spacing w:val="5"/>
                <w:kern w:val="28"/>
                <w:sz w:val="16"/>
                <w:szCs w:val="18"/>
              </w:rPr>
            </w:pPr>
            <w:r w:rsidRPr="00C4555E">
              <w:rPr>
                <w:rFonts w:eastAsiaTheme="majorEastAsia" w:cstheme="minorHAnsi"/>
                <w:b/>
                <w:spacing w:val="5"/>
                <w:kern w:val="28"/>
                <w:sz w:val="16"/>
                <w:szCs w:val="18"/>
              </w:rPr>
              <w:t>Average Total</w:t>
            </w:r>
          </w:p>
        </w:tc>
      </w:tr>
      <w:tr w:rsidR="00C4555E" w:rsidRPr="00C4555E" w14:paraId="1550E21E" w14:textId="77777777" w:rsidTr="001C6233">
        <w:trPr>
          <w:trHeight w:val="944"/>
        </w:trPr>
        <w:tc>
          <w:tcPr>
            <w:tcW w:w="1542" w:type="dxa"/>
            <w:vAlign w:val="center"/>
          </w:tcPr>
          <w:p w14:paraId="247FA451" w14:textId="77777777" w:rsidR="00C4555E" w:rsidRPr="00C4555E" w:rsidRDefault="00C4555E" w:rsidP="001C6233">
            <w:pPr>
              <w:jc w:val="center"/>
              <w:rPr>
                <w:rFonts w:eastAsiaTheme="majorEastAsia" w:cstheme="minorHAnsi"/>
                <w:b/>
                <w:spacing w:val="5"/>
                <w:kern w:val="28"/>
                <w:sz w:val="18"/>
                <w:szCs w:val="28"/>
              </w:rPr>
            </w:pPr>
            <w:r w:rsidRPr="00C4555E">
              <w:rPr>
                <w:rFonts w:eastAsiaTheme="majorEastAsia" w:cstheme="minorHAnsi"/>
                <w:b/>
                <w:spacing w:val="5"/>
                <w:kern w:val="28"/>
                <w:sz w:val="18"/>
                <w:szCs w:val="28"/>
              </w:rPr>
              <w:t>Average fee charged per service</w:t>
            </w:r>
          </w:p>
        </w:tc>
        <w:tc>
          <w:tcPr>
            <w:tcW w:w="1542" w:type="dxa"/>
            <w:vAlign w:val="center"/>
          </w:tcPr>
          <w:p w14:paraId="4FCF6B5A" w14:textId="77777777" w:rsidR="00C4555E" w:rsidRPr="00C4555E" w:rsidRDefault="00C4555E" w:rsidP="001C6233">
            <w:pPr>
              <w:jc w:val="center"/>
              <w:rPr>
                <w:rFonts w:eastAsiaTheme="majorEastAsia" w:cstheme="minorHAnsi"/>
                <w:b/>
                <w:spacing w:val="5"/>
                <w:kern w:val="28"/>
                <w:sz w:val="18"/>
                <w:szCs w:val="18"/>
              </w:rPr>
            </w:pPr>
            <w:r w:rsidRPr="00C4555E">
              <w:rPr>
                <w:rFonts w:eastAsiaTheme="majorEastAsia" w:cstheme="minorHAnsi"/>
                <w:b/>
                <w:spacing w:val="5"/>
                <w:kern w:val="28"/>
                <w:sz w:val="18"/>
                <w:szCs w:val="18"/>
              </w:rPr>
              <w:t>$110.47</w:t>
            </w:r>
          </w:p>
        </w:tc>
        <w:tc>
          <w:tcPr>
            <w:tcW w:w="1542" w:type="dxa"/>
            <w:vAlign w:val="center"/>
          </w:tcPr>
          <w:p w14:paraId="635630D0" w14:textId="77777777" w:rsidR="00C4555E" w:rsidRPr="00C4555E" w:rsidRDefault="00C4555E" w:rsidP="001C6233">
            <w:pPr>
              <w:jc w:val="center"/>
              <w:rPr>
                <w:rFonts w:eastAsiaTheme="majorEastAsia" w:cstheme="minorHAnsi"/>
                <w:b/>
                <w:spacing w:val="5"/>
                <w:kern w:val="28"/>
                <w:sz w:val="18"/>
                <w:szCs w:val="18"/>
              </w:rPr>
            </w:pPr>
            <w:r w:rsidRPr="00C4555E">
              <w:rPr>
                <w:rFonts w:eastAsiaTheme="majorEastAsia" w:cstheme="minorHAnsi"/>
                <w:b/>
                <w:spacing w:val="5"/>
                <w:kern w:val="28"/>
                <w:sz w:val="18"/>
                <w:szCs w:val="18"/>
              </w:rPr>
              <w:t>$93.80</w:t>
            </w:r>
          </w:p>
        </w:tc>
        <w:tc>
          <w:tcPr>
            <w:tcW w:w="1542" w:type="dxa"/>
            <w:vAlign w:val="center"/>
          </w:tcPr>
          <w:p w14:paraId="7C9B8296" w14:textId="77777777" w:rsidR="00C4555E" w:rsidRPr="00C4555E" w:rsidRDefault="00C4555E" w:rsidP="001C6233">
            <w:pPr>
              <w:jc w:val="center"/>
              <w:rPr>
                <w:rFonts w:eastAsiaTheme="majorEastAsia" w:cstheme="minorHAnsi"/>
                <w:b/>
                <w:spacing w:val="5"/>
                <w:kern w:val="28"/>
                <w:sz w:val="18"/>
                <w:szCs w:val="18"/>
              </w:rPr>
            </w:pPr>
            <w:r w:rsidRPr="00C4555E">
              <w:rPr>
                <w:rFonts w:eastAsiaTheme="majorEastAsia" w:cstheme="minorHAnsi"/>
                <w:b/>
                <w:spacing w:val="5"/>
                <w:kern w:val="28"/>
                <w:sz w:val="18"/>
                <w:szCs w:val="18"/>
              </w:rPr>
              <w:t>$81.04</w:t>
            </w:r>
          </w:p>
        </w:tc>
        <w:tc>
          <w:tcPr>
            <w:tcW w:w="1542" w:type="dxa"/>
            <w:vAlign w:val="center"/>
          </w:tcPr>
          <w:p w14:paraId="74EDAB53" w14:textId="77777777" w:rsidR="00C4555E" w:rsidRPr="00C4555E" w:rsidRDefault="00C4555E" w:rsidP="001C6233">
            <w:pPr>
              <w:jc w:val="center"/>
              <w:rPr>
                <w:rFonts w:eastAsiaTheme="majorEastAsia" w:cstheme="minorHAnsi"/>
                <w:b/>
                <w:spacing w:val="5"/>
                <w:kern w:val="28"/>
                <w:sz w:val="18"/>
                <w:szCs w:val="18"/>
              </w:rPr>
            </w:pPr>
            <w:r w:rsidRPr="00C4555E">
              <w:rPr>
                <w:rFonts w:eastAsiaTheme="majorEastAsia" w:cstheme="minorHAnsi"/>
                <w:b/>
                <w:spacing w:val="5"/>
                <w:kern w:val="28"/>
                <w:sz w:val="18"/>
                <w:szCs w:val="18"/>
              </w:rPr>
              <w:t>$78.38</w:t>
            </w:r>
          </w:p>
        </w:tc>
        <w:tc>
          <w:tcPr>
            <w:tcW w:w="1543" w:type="dxa"/>
            <w:vAlign w:val="center"/>
          </w:tcPr>
          <w:p w14:paraId="5CD292A6" w14:textId="77777777" w:rsidR="00C4555E" w:rsidRPr="00C4555E" w:rsidRDefault="00C4555E" w:rsidP="001C6233">
            <w:pPr>
              <w:jc w:val="center"/>
              <w:rPr>
                <w:rFonts w:eastAsiaTheme="majorEastAsia" w:cstheme="minorHAnsi"/>
                <w:b/>
                <w:spacing w:val="5"/>
                <w:kern w:val="28"/>
                <w:sz w:val="18"/>
                <w:szCs w:val="18"/>
              </w:rPr>
            </w:pPr>
            <w:r w:rsidRPr="00C4555E">
              <w:rPr>
                <w:rFonts w:eastAsiaTheme="majorEastAsia" w:cstheme="minorHAnsi"/>
                <w:b/>
                <w:spacing w:val="5"/>
                <w:kern w:val="28"/>
                <w:sz w:val="18"/>
                <w:szCs w:val="18"/>
              </w:rPr>
              <w:t>$87.09</w:t>
            </w:r>
          </w:p>
        </w:tc>
      </w:tr>
      <w:tr w:rsidR="00C4555E" w:rsidRPr="00C4555E" w14:paraId="4E1BA06C" w14:textId="77777777" w:rsidTr="001C6233">
        <w:trPr>
          <w:trHeight w:val="1051"/>
        </w:trPr>
        <w:tc>
          <w:tcPr>
            <w:tcW w:w="1542" w:type="dxa"/>
            <w:vAlign w:val="center"/>
          </w:tcPr>
          <w:p w14:paraId="5AFF5D62" w14:textId="77777777" w:rsidR="00C4555E" w:rsidRPr="00C4555E" w:rsidRDefault="00C4555E" w:rsidP="001C6233">
            <w:pPr>
              <w:spacing w:line="276" w:lineRule="auto"/>
              <w:jc w:val="center"/>
              <w:rPr>
                <w:rFonts w:eastAsiaTheme="majorEastAsia" w:cstheme="minorHAnsi"/>
                <w:b/>
                <w:spacing w:val="5"/>
                <w:kern w:val="28"/>
                <w:sz w:val="18"/>
                <w:szCs w:val="28"/>
              </w:rPr>
            </w:pPr>
            <w:r w:rsidRPr="00C4555E">
              <w:rPr>
                <w:rFonts w:eastAsiaTheme="majorEastAsia" w:cstheme="minorHAnsi"/>
                <w:b/>
                <w:spacing w:val="5"/>
                <w:kern w:val="28"/>
                <w:sz w:val="18"/>
                <w:szCs w:val="28"/>
              </w:rPr>
              <w:t>MBS Benefit (Paid at 85%)</w:t>
            </w:r>
          </w:p>
        </w:tc>
        <w:tc>
          <w:tcPr>
            <w:tcW w:w="1542" w:type="dxa"/>
            <w:vAlign w:val="center"/>
          </w:tcPr>
          <w:p w14:paraId="11AE5331" w14:textId="77777777" w:rsidR="00C4555E" w:rsidRPr="00C4555E" w:rsidRDefault="00C4555E" w:rsidP="001C6233">
            <w:pPr>
              <w:jc w:val="center"/>
              <w:rPr>
                <w:rFonts w:eastAsiaTheme="majorEastAsia" w:cstheme="minorHAnsi"/>
                <w:b/>
                <w:spacing w:val="5"/>
                <w:kern w:val="28"/>
                <w:sz w:val="18"/>
                <w:szCs w:val="28"/>
              </w:rPr>
            </w:pPr>
            <w:r w:rsidRPr="00C4555E">
              <w:rPr>
                <w:rFonts w:eastAsiaTheme="majorEastAsia" w:cstheme="minorHAnsi"/>
                <w:b/>
                <w:spacing w:val="5"/>
                <w:kern w:val="28"/>
                <w:sz w:val="18"/>
                <w:szCs w:val="28"/>
              </w:rPr>
              <w:t>$56.85</w:t>
            </w:r>
          </w:p>
        </w:tc>
        <w:tc>
          <w:tcPr>
            <w:tcW w:w="1542" w:type="dxa"/>
            <w:vAlign w:val="center"/>
          </w:tcPr>
          <w:p w14:paraId="67BA496D" w14:textId="77777777" w:rsidR="00C4555E" w:rsidRPr="00C4555E" w:rsidRDefault="00C4555E" w:rsidP="001C6233">
            <w:pPr>
              <w:jc w:val="center"/>
              <w:rPr>
                <w:rFonts w:eastAsiaTheme="majorEastAsia" w:cstheme="minorHAnsi"/>
                <w:b/>
                <w:spacing w:val="5"/>
                <w:kern w:val="28"/>
                <w:sz w:val="18"/>
                <w:szCs w:val="28"/>
              </w:rPr>
            </w:pPr>
            <w:r w:rsidRPr="00C4555E">
              <w:rPr>
                <w:rFonts w:eastAsiaTheme="majorEastAsia" w:cstheme="minorHAnsi"/>
                <w:b/>
                <w:spacing w:val="5"/>
                <w:kern w:val="28"/>
                <w:sz w:val="18"/>
                <w:szCs w:val="28"/>
              </w:rPr>
              <w:t>$56.85</w:t>
            </w:r>
          </w:p>
        </w:tc>
        <w:tc>
          <w:tcPr>
            <w:tcW w:w="1542" w:type="dxa"/>
            <w:vAlign w:val="center"/>
          </w:tcPr>
          <w:p w14:paraId="709FD780" w14:textId="77777777" w:rsidR="00C4555E" w:rsidRPr="00C4555E" w:rsidRDefault="00C4555E" w:rsidP="001C6233">
            <w:pPr>
              <w:jc w:val="center"/>
              <w:rPr>
                <w:rFonts w:eastAsiaTheme="majorEastAsia" w:cstheme="minorHAnsi"/>
                <w:b/>
                <w:spacing w:val="5"/>
                <w:kern w:val="28"/>
                <w:sz w:val="18"/>
                <w:szCs w:val="28"/>
              </w:rPr>
            </w:pPr>
            <w:r w:rsidRPr="00C4555E">
              <w:rPr>
                <w:rFonts w:eastAsiaTheme="majorEastAsia" w:cstheme="minorHAnsi"/>
                <w:b/>
                <w:spacing w:val="5"/>
                <w:kern w:val="28"/>
                <w:sz w:val="18"/>
                <w:szCs w:val="28"/>
              </w:rPr>
              <w:t>$56.85</w:t>
            </w:r>
          </w:p>
        </w:tc>
        <w:tc>
          <w:tcPr>
            <w:tcW w:w="1542" w:type="dxa"/>
            <w:vAlign w:val="center"/>
          </w:tcPr>
          <w:p w14:paraId="3F1B41D6" w14:textId="77777777" w:rsidR="00C4555E" w:rsidRPr="00C4555E" w:rsidRDefault="00C4555E" w:rsidP="001C6233">
            <w:pPr>
              <w:jc w:val="center"/>
              <w:rPr>
                <w:rFonts w:eastAsiaTheme="majorEastAsia" w:cstheme="minorHAnsi"/>
                <w:b/>
                <w:spacing w:val="5"/>
                <w:kern w:val="28"/>
                <w:sz w:val="18"/>
                <w:szCs w:val="28"/>
              </w:rPr>
            </w:pPr>
            <w:r w:rsidRPr="00C4555E">
              <w:rPr>
                <w:rFonts w:eastAsiaTheme="majorEastAsia" w:cstheme="minorHAnsi"/>
                <w:b/>
                <w:spacing w:val="5"/>
                <w:kern w:val="28"/>
                <w:sz w:val="18"/>
                <w:szCs w:val="28"/>
              </w:rPr>
              <w:t>$56.85</w:t>
            </w:r>
          </w:p>
        </w:tc>
        <w:tc>
          <w:tcPr>
            <w:tcW w:w="1543" w:type="dxa"/>
            <w:vAlign w:val="center"/>
          </w:tcPr>
          <w:p w14:paraId="13B97DCB" w14:textId="77777777" w:rsidR="00C4555E" w:rsidRPr="00C4555E" w:rsidRDefault="00C4555E" w:rsidP="001C6233">
            <w:pPr>
              <w:jc w:val="center"/>
              <w:rPr>
                <w:rFonts w:eastAsiaTheme="majorEastAsia" w:cstheme="minorHAnsi"/>
                <w:b/>
                <w:spacing w:val="5"/>
                <w:kern w:val="28"/>
                <w:sz w:val="18"/>
                <w:szCs w:val="28"/>
              </w:rPr>
            </w:pPr>
          </w:p>
        </w:tc>
      </w:tr>
    </w:tbl>
    <w:p w14:paraId="0DB86FDF" w14:textId="77777777" w:rsidR="00C4555E" w:rsidRPr="00C4555E" w:rsidRDefault="00C4555E" w:rsidP="00C4555E">
      <w:pPr>
        <w:spacing w:before="240"/>
        <w:rPr>
          <w:rFonts w:eastAsiaTheme="majorEastAsia" w:cstheme="minorHAnsi"/>
          <w:b/>
          <w:spacing w:val="5"/>
          <w:kern w:val="28"/>
          <w:szCs w:val="28"/>
        </w:rPr>
      </w:pPr>
      <w:r w:rsidRPr="00C4555E">
        <w:rPr>
          <w:rFonts w:eastAsiaTheme="majorEastAsia" w:cstheme="minorHAnsi"/>
          <w:b/>
          <w:spacing w:val="5"/>
          <w:kern w:val="28"/>
          <w:szCs w:val="28"/>
        </w:rPr>
        <w:t>Item 11725</w:t>
      </w:r>
    </w:p>
    <w:tbl>
      <w:tblPr>
        <w:tblStyle w:val="TableGrid"/>
        <w:tblW w:w="9181" w:type="dxa"/>
        <w:tblLook w:val="04A0" w:firstRow="1" w:lastRow="0" w:firstColumn="1" w:lastColumn="0" w:noHBand="0" w:noVBand="1"/>
        <w:tblDescription w:val="Summary of yearly fees charged for MBS item 11725"/>
      </w:tblPr>
      <w:tblGrid>
        <w:gridCol w:w="1530"/>
        <w:gridCol w:w="1530"/>
        <w:gridCol w:w="1530"/>
        <w:gridCol w:w="1530"/>
        <w:gridCol w:w="1530"/>
        <w:gridCol w:w="1531"/>
      </w:tblGrid>
      <w:tr w:rsidR="00C4555E" w:rsidRPr="00C4555E" w14:paraId="62E6C3A2" w14:textId="77777777" w:rsidTr="008A27D8">
        <w:trPr>
          <w:trHeight w:val="384"/>
          <w:tblHeader/>
        </w:trPr>
        <w:tc>
          <w:tcPr>
            <w:tcW w:w="1530" w:type="dxa"/>
            <w:vAlign w:val="center"/>
          </w:tcPr>
          <w:p w14:paraId="77A87A67" w14:textId="77777777" w:rsidR="00C4555E" w:rsidRPr="00C4555E" w:rsidRDefault="00C4555E" w:rsidP="001C6233">
            <w:pPr>
              <w:jc w:val="center"/>
              <w:rPr>
                <w:rFonts w:eastAsiaTheme="majorEastAsia" w:cstheme="minorHAnsi"/>
                <w:b/>
                <w:spacing w:val="5"/>
                <w:kern w:val="28"/>
                <w:sz w:val="16"/>
                <w:szCs w:val="18"/>
              </w:rPr>
            </w:pPr>
            <w:r w:rsidRPr="00C4555E">
              <w:rPr>
                <w:rFonts w:eastAsiaTheme="majorEastAsia" w:cstheme="minorHAnsi"/>
                <w:b/>
                <w:spacing w:val="5"/>
                <w:kern w:val="28"/>
                <w:sz w:val="16"/>
                <w:szCs w:val="18"/>
              </w:rPr>
              <w:t>Item 11725</w:t>
            </w:r>
          </w:p>
        </w:tc>
        <w:tc>
          <w:tcPr>
            <w:tcW w:w="1530" w:type="dxa"/>
            <w:shd w:val="clear" w:color="auto" w:fill="548DD4" w:themeFill="text2" w:themeFillTint="99"/>
            <w:vAlign w:val="center"/>
          </w:tcPr>
          <w:p w14:paraId="156CAAB2" w14:textId="77777777" w:rsidR="00C4555E" w:rsidRPr="00C4555E" w:rsidRDefault="00C4555E" w:rsidP="001C6233">
            <w:pPr>
              <w:keepNext/>
              <w:jc w:val="center"/>
              <w:rPr>
                <w:rFonts w:cstheme="minorHAnsi"/>
                <w:b/>
                <w:color w:val="FFFFFF" w:themeColor="background1"/>
                <w:sz w:val="16"/>
                <w:szCs w:val="18"/>
                <w:lang w:val="en-US" w:eastAsia="zh-CN"/>
              </w:rPr>
            </w:pPr>
            <w:r w:rsidRPr="00C4555E">
              <w:rPr>
                <w:rFonts w:cstheme="minorHAnsi"/>
                <w:b/>
                <w:color w:val="FFFFFF" w:themeColor="background1"/>
                <w:sz w:val="16"/>
                <w:szCs w:val="18"/>
                <w:lang w:val="en-US" w:eastAsia="zh-CN"/>
              </w:rPr>
              <w:t>Year 1</w:t>
            </w:r>
          </w:p>
          <w:p w14:paraId="04DD2A16" w14:textId="77777777" w:rsidR="00C4555E" w:rsidRPr="00C4555E" w:rsidRDefault="00C4555E" w:rsidP="001C6233">
            <w:pPr>
              <w:jc w:val="center"/>
              <w:rPr>
                <w:rFonts w:eastAsiaTheme="majorEastAsia" w:cstheme="minorHAnsi"/>
                <w:b/>
                <w:spacing w:val="5"/>
                <w:kern w:val="28"/>
                <w:sz w:val="16"/>
                <w:szCs w:val="18"/>
              </w:rPr>
            </w:pPr>
            <w:r w:rsidRPr="00C4555E">
              <w:rPr>
                <w:rFonts w:cstheme="minorHAnsi"/>
                <w:b/>
                <w:color w:val="FFFFFF" w:themeColor="background1"/>
                <w:sz w:val="16"/>
                <w:szCs w:val="18"/>
                <w:lang w:val="en-US" w:eastAsia="zh-CN"/>
              </w:rPr>
              <w:t>2015-16</w:t>
            </w:r>
          </w:p>
        </w:tc>
        <w:tc>
          <w:tcPr>
            <w:tcW w:w="1530" w:type="dxa"/>
            <w:shd w:val="clear" w:color="auto" w:fill="548DD4" w:themeFill="text2" w:themeFillTint="99"/>
            <w:vAlign w:val="center"/>
          </w:tcPr>
          <w:p w14:paraId="33A4430B" w14:textId="77777777" w:rsidR="00C4555E" w:rsidRPr="00C4555E" w:rsidRDefault="00C4555E" w:rsidP="001C6233">
            <w:pPr>
              <w:keepNext/>
              <w:jc w:val="center"/>
              <w:rPr>
                <w:rFonts w:cstheme="minorHAnsi"/>
                <w:b/>
                <w:color w:val="FFFFFF" w:themeColor="background1"/>
                <w:sz w:val="16"/>
                <w:szCs w:val="18"/>
                <w:lang w:val="en-US" w:eastAsia="zh-CN"/>
              </w:rPr>
            </w:pPr>
            <w:r w:rsidRPr="00C4555E">
              <w:rPr>
                <w:rFonts w:cstheme="minorHAnsi"/>
                <w:b/>
                <w:color w:val="FFFFFF" w:themeColor="background1"/>
                <w:sz w:val="16"/>
                <w:szCs w:val="18"/>
                <w:lang w:val="en-US" w:eastAsia="zh-CN"/>
              </w:rPr>
              <w:t>Year 2</w:t>
            </w:r>
          </w:p>
          <w:p w14:paraId="3FACC78D" w14:textId="77777777" w:rsidR="00C4555E" w:rsidRPr="00C4555E" w:rsidRDefault="00C4555E" w:rsidP="001C6233">
            <w:pPr>
              <w:jc w:val="center"/>
              <w:rPr>
                <w:rFonts w:eastAsiaTheme="majorEastAsia" w:cstheme="minorHAnsi"/>
                <w:b/>
                <w:spacing w:val="5"/>
                <w:kern w:val="28"/>
                <w:sz w:val="16"/>
                <w:szCs w:val="18"/>
              </w:rPr>
            </w:pPr>
            <w:r w:rsidRPr="00C4555E">
              <w:rPr>
                <w:rFonts w:cstheme="minorHAnsi"/>
                <w:b/>
                <w:color w:val="FFFFFF" w:themeColor="background1"/>
                <w:sz w:val="16"/>
                <w:szCs w:val="18"/>
                <w:lang w:val="en-US" w:eastAsia="zh-CN"/>
              </w:rPr>
              <w:t>2016-17</w:t>
            </w:r>
          </w:p>
        </w:tc>
        <w:tc>
          <w:tcPr>
            <w:tcW w:w="1530" w:type="dxa"/>
            <w:shd w:val="clear" w:color="auto" w:fill="548DD4" w:themeFill="text2" w:themeFillTint="99"/>
            <w:vAlign w:val="center"/>
          </w:tcPr>
          <w:p w14:paraId="62703BCB" w14:textId="77777777" w:rsidR="00C4555E" w:rsidRPr="00C4555E" w:rsidRDefault="00C4555E" w:rsidP="001C6233">
            <w:pPr>
              <w:keepNext/>
              <w:jc w:val="center"/>
              <w:rPr>
                <w:rFonts w:cstheme="minorHAnsi"/>
                <w:b/>
                <w:color w:val="FFFFFF" w:themeColor="background1"/>
                <w:sz w:val="16"/>
                <w:szCs w:val="18"/>
                <w:lang w:val="en-US" w:eastAsia="zh-CN"/>
              </w:rPr>
            </w:pPr>
            <w:r w:rsidRPr="00C4555E">
              <w:rPr>
                <w:rFonts w:cstheme="minorHAnsi"/>
                <w:b/>
                <w:color w:val="FFFFFF" w:themeColor="background1"/>
                <w:sz w:val="16"/>
                <w:szCs w:val="18"/>
                <w:lang w:val="en-US" w:eastAsia="zh-CN"/>
              </w:rPr>
              <w:t>Year 3</w:t>
            </w:r>
          </w:p>
          <w:p w14:paraId="06B2D735" w14:textId="77777777" w:rsidR="00C4555E" w:rsidRPr="00C4555E" w:rsidRDefault="00C4555E" w:rsidP="001C6233">
            <w:pPr>
              <w:jc w:val="center"/>
              <w:rPr>
                <w:rFonts w:eastAsiaTheme="majorEastAsia" w:cstheme="minorHAnsi"/>
                <w:b/>
                <w:spacing w:val="5"/>
                <w:kern w:val="28"/>
                <w:sz w:val="16"/>
                <w:szCs w:val="18"/>
              </w:rPr>
            </w:pPr>
            <w:r w:rsidRPr="00C4555E">
              <w:rPr>
                <w:rFonts w:cstheme="minorHAnsi"/>
                <w:b/>
                <w:color w:val="FFFFFF" w:themeColor="background1"/>
                <w:sz w:val="16"/>
                <w:szCs w:val="18"/>
                <w:lang w:val="en-US" w:eastAsia="zh-CN"/>
              </w:rPr>
              <w:t>2017-18</w:t>
            </w:r>
          </w:p>
        </w:tc>
        <w:tc>
          <w:tcPr>
            <w:tcW w:w="1530" w:type="dxa"/>
            <w:shd w:val="clear" w:color="auto" w:fill="548DD4" w:themeFill="text2" w:themeFillTint="99"/>
            <w:vAlign w:val="center"/>
          </w:tcPr>
          <w:p w14:paraId="15F6B46B" w14:textId="77777777" w:rsidR="00C4555E" w:rsidRPr="00C4555E" w:rsidRDefault="00C4555E" w:rsidP="001C6233">
            <w:pPr>
              <w:keepNext/>
              <w:jc w:val="center"/>
              <w:rPr>
                <w:rFonts w:cstheme="minorHAnsi"/>
                <w:b/>
                <w:color w:val="FFFFFF" w:themeColor="background1"/>
                <w:sz w:val="16"/>
                <w:szCs w:val="18"/>
                <w:lang w:val="en-US" w:eastAsia="zh-CN"/>
              </w:rPr>
            </w:pPr>
            <w:r w:rsidRPr="00C4555E">
              <w:rPr>
                <w:rFonts w:cstheme="minorHAnsi"/>
                <w:b/>
                <w:color w:val="FFFFFF" w:themeColor="background1"/>
                <w:sz w:val="16"/>
                <w:szCs w:val="18"/>
                <w:lang w:val="en-US" w:eastAsia="zh-CN"/>
              </w:rPr>
              <w:t>Year 4</w:t>
            </w:r>
          </w:p>
          <w:p w14:paraId="34742E22" w14:textId="77777777" w:rsidR="00C4555E" w:rsidRPr="00C4555E" w:rsidRDefault="00C4555E" w:rsidP="001C6233">
            <w:pPr>
              <w:jc w:val="center"/>
              <w:rPr>
                <w:rFonts w:eastAsiaTheme="majorEastAsia" w:cstheme="minorHAnsi"/>
                <w:b/>
                <w:spacing w:val="5"/>
                <w:kern w:val="28"/>
                <w:sz w:val="16"/>
                <w:szCs w:val="18"/>
              </w:rPr>
            </w:pPr>
            <w:r w:rsidRPr="00C4555E">
              <w:rPr>
                <w:rFonts w:cstheme="minorHAnsi"/>
                <w:b/>
                <w:color w:val="FFFFFF" w:themeColor="background1"/>
                <w:sz w:val="16"/>
                <w:szCs w:val="18"/>
                <w:lang w:val="en-US" w:eastAsia="zh-CN"/>
              </w:rPr>
              <w:t>2018-19</w:t>
            </w:r>
          </w:p>
        </w:tc>
        <w:tc>
          <w:tcPr>
            <w:tcW w:w="1531" w:type="dxa"/>
            <w:vAlign w:val="center"/>
          </w:tcPr>
          <w:p w14:paraId="681AB035" w14:textId="77777777" w:rsidR="00C4555E" w:rsidRPr="00C4555E" w:rsidRDefault="00C4555E" w:rsidP="001C6233">
            <w:pPr>
              <w:jc w:val="center"/>
              <w:rPr>
                <w:rFonts w:eastAsiaTheme="majorEastAsia" w:cstheme="minorHAnsi"/>
                <w:b/>
                <w:spacing w:val="5"/>
                <w:kern w:val="28"/>
                <w:sz w:val="16"/>
                <w:szCs w:val="18"/>
              </w:rPr>
            </w:pPr>
            <w:r w:rsidRPr="00C4555E">
              <w:rPr>
                <w:rFonts w:eastAsiaTheme="majorEastAsia" w:cstheme="minorHAnsi"/>
                <w:b/>
                <w:spacing w:val="5"/>
                <w:kern w:val="28"/>
                <w:sz w:val="16"/>
                <w:szCs w:val="18"/>
              </w:rPr>
              <w:t>Average Total</w:t>
            </w:r>
          </w:p>
        </w:tc>
      </w:tr>
      <w:tr w:rsidR="00C4555E" w:rsidRPr="00C4555E" w14:paraId="022D9005" w14:textId="77777777" w:rsidTr="001C6233">
        <w:trPr>
          <w:trHeight w:val="944"/>
        </w:trPr>
        <w:tc>
          <w:tcPr>
            <w:tcW w:w="1530" w:type="dxa"/>
            <w:vAlign w:val="center"/>
          </w:tcPr>
          <w:p w14:paraId="49EC0AA6" w14:textId="77777777" w:rsidR="00C4555E" w:rsidRPr="00C4555E" w:rsidRDefault="00C4555E" w:rsidP="001C6233">
            <w:pPr>
              <w:jc w:val="center"/>
              <w:rPr>
                <w:rFonts w:eastAsiaTheme="majorEastAsia" w:cstheme="minorHAnsi"/>
                <w:b/>
                <w:spacing w:val="5"/>
                <w:kern w:val="28"/>
                <w:szCs w:val="28"/>
              </w:rPr>
            </w:pPr>
            <w:r w:rsidRPr="00C4555E">
              <w:rPr>
                <w:rFonts w:eastAsiaTheme="majorEastAsia" w:cstheme="minorHAnsi"/>
                <w:b/>
                <w:spacing w:val="5"/>
                <w:kern w:val="28"/>
                <w:sz w:val="16"/>
                <w:szCs w:val="28"/>
              </w:rPr>
              <w:t>Average fee charged per service</w:t>
            </w:r>
          </w:p>
        </w:tc>
        <w:tc>
          <w:tcPr>
            <w:tcW w:w="1530" w:type="dxa"/>
            <w:vAlign w:val="center"/>
          </w:tcPr>
          <w:p w14:paraId="7F615240" w14:textId="77777777" w:rsidR="00C4555E" w:rsidRPr="00C4555E" w:rsidRDefault="00C4555E" w:rsidP="001C6233">
            <w:pPr>
              <w:jc w:val="center"/>
              <w:rPr>
                <w:rFonts w:eastAsiaTheme="majorEastAsia" w:cstheme="minorHAnsi"/>
                <w:b/>
                <w:spacing w:val="5"/>
                <w:kern w:val="28"/>
                <w:sz w:val="16"/>
                <w:szCs w:val="18"/>
              </w:rPr>
            </w:pPr>
            <w:r w:rsidRPr="00C4555E">
              <w:rPr>
                <w:rFonts w:eastAsiaTheme="majorEastAsia" w:cstheme="minorHAnsi"/>
                <w:b/>
                <w:spacing w:val="5"/>
                <w:kern w:val="28"/>
                <w:sz w:val="16"/>
                <w:szCs w:val="18"/>
              </w:rPr>
              <w:t>$309.30</w:t>
            </w:r>
          </w:p>
        </w:tc>
        <w:tc>
          <w:tcPr>
            <w:tcW w:w="1530" w:type="dxa"/>
            <w:vAlign w:val="center"/>
          </w:tcPr>
          <w:p w14:paraId="539D5A2F" w14:textId="77777777" w:rsidR="00C4555E" w:rsidRPr="00C4555E" w:rsidRDefault="00C4555E" w:rsidP="001C6233">
            <w:pPr>
              <w:jc w:val="center"/>
              <w:rPr>
                <w:rFonts w:eastAsiaTheme="majorEastAsia" w:cstheme="minorHAnsi"/>
                <w:b/>
                <w:spacing w:val="5"/>
                <w:kern w:val="28"/>
                <w:sz w:val="16"/>
                <w:szCs w:val="18"/>
              </w:rPr>
            </w:pPr>
            <w:r w:rsidRPr="00C4555E">
              <w:rPr>
                <w:rFonts w:eastAsiaTheme="majorEastAsia" w:cstheme="minorHAnsi"/>
                <w:b/>
                <w:spacing w:val="5"/>
                <w:kern w:val="28"/>
                <w:sz w:val="16"/>
                <w:szCs w:val="18"/>
              </w:rPr>
              <w:t>$295.37</w:t>
            </w:r>
          </w:p>
        </w:tc>
        <w:tc>
          <w:tcPr>
            <w:tcW w:w="1530" w:type="dxa"/>
            <w:vAlign w:val="center"/>
          </w:tcPr>
          <w:p w14:paraId="56999D82" w14:textId="77777777" w:rsidR="00C4555E" w:rsidRPr="00C4555E" w:rsidRDefault="00C4555E" w:rsidP="001C6233">
            <w:pPr>
              <w:jc w:val="center"/>
              <w:rPr>
                <w:rFonts w:eastAsiaTheme="majorEastAsia" w:cstheme="minorHAnsi"/>
                <w:b/>
                <w:spacing w:val="5"/>
                <w:kern w:val="28"/>
                <w:sz w:val="16"/>
                <w:szCs w:val="18"/>
              </w:rPr>
            </w:pPr>
            <w:r w:rsidRPr="00C4555E">
              <w:rPr>
                <w:rFonts w:eastAsiaTheme="majorEastAsia" w:cstheme="minorHAnsi"/>
                <w:b/>
                <w:spacing w:val="5"/>
                <w:kern w:val="28"/>
                <w:sz w:val="16"/>
                <w:szCs w:val="18"/>
              </w:rPr>
              <w:t>$281.58</w:t>
            </w:r>
          </w:p>
        </w:tc>
        <w:tc>
          <w:tcPr>
            <w:tcW w:w="1530" w:type="dxa"/>
            <w:vAlign w:val="center"/>
          </w:tcPr>
          <w:p w14:paraId="5E3C554C" w14:textId="77777777" w:rsidR="00C4555E" w:rsidRPr="00C4555E" w:rsidRDefault="00C4555E" w:rsidP="001C6233">
            <w:pPr>
              <w:jc w:val="center"/>
              <w:rPr>
                <w:rFonts w:eastAsiaTheme="majorEastAsia" w:cstheme="minorHAnsi"/>
                <w:b/>
                <w:spacing w:val="5"/>
                <w:kern w:val="28"/>
                <w:sz w:val="16"/>
                <w:szCs w:val="18"/>
              </w:rPr>
            </w:pPr>
            <w:r w:rsidRPr="00C4555E">
              <w:rPr>
                <w:rFonts w:eastAsiaTheme="majorEastAsia" w:cstheme="minorHAnsi"/>
                <w:b/>
                <w:spacing w:val="5"/>
                <w:kern w:val="28"/>
                <w:sz w:val="16"/>
                <w:szCs w:val="18"/>
              </w:rPr>
              <w:t>$291.50</w:t>
            </w:r>
          </w:p>
        </w:tc>
        <w:tc>
          <w:tcPr>
            <w:tcW w:w="1531" w:type="dxa"/>
            <w:vAlign w:val="center"/>
          </w:tcPr>
          <w:p w14:paraId="4BA132FA" w14:textId="77777777" w:rsidR="00C4555E" w:rsidRPr="00C4555E" w:rsidRDefault="00C4555E" w:rsidP="001C6233">
            <w:pPr>
              <w:jc w:val="center"/>
              <w:rPr>
                <w:rFonts w:eastAsiaTheme="majorEastAsia" w:cstheme="minorHAnsi"/>
                <w:b/>
                <w:spacing w:val="5"/>
                <w:kern w:val="28"/>
                <w:sz w:val="16"/>
                <w:szCs w:val="18"/>
              </w:rPr>
            </w:pPr>
            <w:r w:rsidRPr="00C4555E">
              <w:rPr>
                <w:rFonts w:eastAsiaTheme="majorEastAsia" w:cstheme="minorHAnsi"/>
                <w:b/>
                <w:spacing w:val="5"/>
                <w:kern w:val="28"/>
                <w:sz w:val="16"/>
                <w:szCs w:val="18"/>
              </w:rPr>
              <w:t>$292.29</w:t>
            </w:r>
          </w:p>
        </w:tc>
      </w:tr>
      <w:tr w:rsidR="00C4555E" w:rsidRPr="00C4555E" w14:paraId="795B2DA2" w14:textId="77777777" w:rsidTr="001C6233">
        <w:trPr>
          <w:trHeight w:val="1051"/>
        </w:trPr>
        <w:tc>
          <w:tcPr>
            <w:tcW w:w="1530" w:type="dxa"/>
            <w:vAlign w:val="center"/>
          </w:tcPr>
          <w:p w14:paraId="28FAB236" w14:textId="77777777" w:rsidR="00C4555E" w:rsidRPr="00C4555E" w:rsidRDefault="00C4555E" w:rsidP="001C6233">
            <w:pPr>
              <w:spacing w:line="276" w:lineRule="auto"/>
              <w:jc w:val="center"/>
              <w:rPr>
                <w:rFonts w:eastAsiaTheme="majorEastAsia" w:cstheme="minorHAnsi"/>
                <w:b/>
                <w:spacing w:val="5"/>
                <w:kern w:val="28"/>
                <w:szCs w:val="28"/>
              </w:rPr>
            </w:pPr>
            <w:r w:rsidRPr="00C4555E">
              <w:rPr>
                <w:rFonts w:eastAsiaTheme="majorEastAsia" w:cstheme="minorHAnsi"/>
                <w:b/>
                <w:spacing w:val="5"/>
                <w:kern w:val="28"/>
                <w:sz w:val="16"/>
                <w:szCs w:val="28"/>
              </w:rPr>
              <w:t>MBS Benefit (Paid at 85%)</w:t>
            </w:r>
          </w:p>
        </w:tc>
        <w:tc>
          <w:tcPr>
            <w:tcW w:w="1530" w:type="dxa"/>
            <w:vAlign w:val="center"/>
          </w:tcPr>
          <w:p w14:paraId="34938368" w14:textId="77777777" w:rsidR="00C4555E" w:rsidRPr="00C4555E" w:rsidRDefault="00C4555E" w:rsidP="001C6233">
            <w:pPr>
              <w:jc w:val="center"/>
              <w:rPr>
                <w:rFonts w:eastAsiaTheme="majorEastAsia" w:cstheme="minorHAnsi"/>
                <w:b/>
                <w:spacing w:val="5"/>
                <w:kern w:val="28"/>
                <w:sz w:val="16"/>
                <w:szCs w:val="28"/>
              </w:rPr>
            </w:pPr>
            <w:r w:rsidRPr="00C4555E">
              <w:rPr>
                <w:rFonts w:eastAsiaTheme="majorEastAsia" w:cstheme="minorHAnsi"/>
                <w:b/>
                <w:spacing w:val="5"/>
                <w:kern w:val="28"/>
                <w:sz w:val="16"/>
                <w:szCs w:val="28"/>
              </w:rPr>
              <w:t>$161.10</w:t>
            </w:r>
          </w:p>
        </w:tc>
        <w:tc>
          <w:tcPr>
            <w:tcW w:w="1530" w:type="dxa"/>
            <w:vAlign w:val="center"/>
          </w:tcPr>
          <w:p w14:paraId="1A2509B2" w14:textId="77777777" w:rsidR="00C4555E" w:rsidRPr="00C4555E" w:rsidRDefault="00C4555E" w:rsidP="001C6233">
            <w:pPr>
              <w:jc w:val="center"/>
              <w:rPr>
                <w:rFonts w:eastAsiaTheme="majorEastAsia" w:cstheme="minorHAnsi"/>
                <w:b/>
                <w:spacing w:val="5"/>
                <w:kern w:val="28"/>
                <w:sz w:val="16"/>
                <w:szCs w:val="28"/>
              </w:rPr>
            </w:pPr>
            <w:r w:rsidRPr="00C4555E">
              <w:rPr>
                <w:rFonts w:eastAsiaTheme="majorEastAsia" w:cstheme="minorHAnsi"/>
                <w:b/>
                <w:spacing w:val="5"/>
                <w:kern w:val="28"/>
                <w:sz w:val="16"/>
                <w:szCs w:val="28"/>
              </w:rPr>
              <w:t>$161.10</w:t>
            </w:r>
          </w:p>
        </w:tc>
        <w:tc>
          <w:tcPr>
            <w:tcW w:w="1530" w:type="dxa"/>
            <w:vAlign w:val="center"/>
          </w:tcPr>
          <w:p w14:paraId="19F1AE22" w14:textId="77777777" w:rsidR="00C4555E" w:rsidRPr="00C4555E" w:rsidRDefault="00C4555E" w:rsidP="001C6233">
            <w:pPr>
              <w:jc w:val="center"/>
              <w:rPr>
                <w:rFonts w:eastAsiaTheme="majorEastAsia" w:cstheme="minorHAnsi"/>
                <w:b/>
                <w:spacing w:val="5"/>
                <w:kern w:val="28"/>
                <w:sz w:val="16"/>
                <w:szCs w:val="28"/>
              </w:rPr>
            </w:pPr>
            <w:r w:rsidRPr="00C4555E">
              <w:rPr>
                <w:rFonts w:eastAsiaTheme="majorEastAsia" w:cstheme="minorHAnsi"/>
                <w:b/>
                <w:spacing w:val="5"/>
                <w:kern w:val="28"/>
                <w:sz w:val="16"/>
                <w:szCs w:val="28"/>
              </w:rPr>
              <w:t>$161.10</w:t>
            </w:r>
          </w:p>
        </w:tc>
        <w:tc>
          <w:tcPr>
            <w:tcW w:w="1530" w:type="dxa"/>
            <w:vAlign w:val="center"/>
          </w:tcPr>
          <w:p w14:paraId="67B2183B" w14:textId="77777777" w:rsidR="00C4555E" w:rsidRPr="00C4555E" w:rsidRDefault="00C4555E" w:rsidP="001C6233">
            <w:pPr>
              <w:jc w:val="center"/>
              <w:rPr>
                <w:rFonts w:eastAsiaTheme="majorEastAsia" w:cstheme="minorHAnsi"/>
                <w:b/>
                <w:spacing w:val="5"/>
                <w:kern w:val="28"/>
                <w:sz w:val="16"/>
                <w:szCs w:val="28"/>
              </w:rPr>
            </w:pPr>
            <w:r w:rsidRPr="00C4555E">
              <w:rPr>
                <w:rFonts w:eastAsiaTheme="majorEastAsia" w:cstheme="minorHAnsi"/>
                <w:b/>
                <w:spacing w:val="5"/>
                <w:kern w:val="28"/>
                <w:sz w:val="16"/>
                <w:szCs w:val="28"/>
              </w:rPr>
              <w:t>$161.10</w:t>
            </w:r>
          </w:p>
        </w:tc>
        <w:tc>
          <w:tcPr>
            <w:tcW w:w="1531" w:type="dxa"/>
            <w:vAlign w:val="center"/>
          </w:tcPr>
          <w:p w14:paraId="36586D05" w14:textId="77777777" w:rsidR="00C4555E" w:rsidRPr="00C4555E" w:rsidRDefault="00C4555E" w:rsidP="001C6233">
            <w:pPr>
              <w:jc w:val="center"/>
              <w:rPr>
                <w:rFonts w:eastAsiaTheme="majorEastAsia" w:cstheme="minorHAnsi"/>
                <w:b/>
                <w:spacing w:val="5"/>
                <w:kern w:val="28"/>
                <w:szCs w:val="28"/>
              </w:rPr>
            </w:pPr>
          </w:p>
        </w:tc>
      </w:tr>
    </w:tbl>
    <w:p w14:paraId="59A4C3FE" w14:textId="77777777" w:rsidR="00C4555E" w:rsidRPr="00C4555E" w:rsidRDefault="00C4555E" w:rsidP="00C4555E">
      <w:pPr>
        <w:spacing w:before="240"/>
        <w:rPr>
          <w:rFonts w:eastAsiaTheme="majorEastAsia" w:cstheme="minorHAnsi"/>
          <w:b/>
          <w:spacing w:val="5"/>
          <w:kern w:val="28"/>
          <w:szCs w:val="28"/>
        </w:rPr>
      </w:pPr>
      <w:r w:rsidRPr="00C4555E">
        <w:rPr>
          <w:rFonts w:eastAsiaTheme="majorEastAsia" w:cstheme="minorHAnsi"/>
          <w:b/>
          <w:spacing w:val="5"/>
          <w:kern w:val="28"/>
          <w:szCs w:val="28"/>
        </w:rPr>
        <w:t>Item 11726</w:t>
      </w:r>
    </w:p>
    <w:tbl>
      <w:tblPr>
        <w:tblStyle w:val="TableGrid"/>
        <w:tblW w:w="9181" w:type="dxa"/>
        <w:tblLook w:val="04A0" w:firstRow="1" w:lastRow="0" w:firstColumn="1" w:lastColumn="0" w:noHBand="0" w:noVBand="1"/>
        <w:tblDescription w:val="Summary of yearly fees charged for MBS item 11726"/>
      </w:tblPr>
      <w:tblGrid>
        <w:gridCol w:w="1530"/>
        <w:gridCol w:w="1530"/>
        <w:gridCol w:w="1530"/>
        <w:gridCol w:w="1530"/>
        <w:gridCol w:w="1530"/>
        <w:gridCol w:w="1531"/>
      </w:tblGrid>
      <w:tr w:rsidR="00C4555E" w:rsidRPr="00C4555E" w14:paraId="57C563E2" w14:textId="77777777" w:rsidTr="008A27D8">
        <w:trPr>
          <w:trHeight w:val="384"/>
          <w:tblHeader/>
        </w:trPr>
        <w:tc>
          <w:tcPr>
            <w:tcW w:w="1530" w:type="dxa"/>
            <w:vAlign w:val="center"/>
          </w:tcPr>
          <w:p w14:paraId="20FFCF34" w14:textId="77777777" w:rsidR="00C4555E" w:rsidRPr="00C4555E" w:rsidRDefault="00C4555E" w:rsidP="001C6233">
            <w:pPr>
              <w:jc w:val="center"/>
              <w:rPr>
                <w:rFonts w:eastAsiaTheme="majorEastAsia" w:cstheme="minorHAnsi"/>
                <w:b/>
                <w:spacing w:val="5"/>
                <w:kern w:val="28"/>
                <w:sz w:val="16"/>
                <w:szCs w:val="18"/>
              </w:rPr>
            </w:pPr>
            <w:r w:rsidRPr="00C4555E">
              <w:rPr>
                <w:rFonts w:eastAsiaTheme="majorEastAsia" w:cstheme="minorHAnsi"/>
                <w:b/>
                <w:spacing w:val="5"/>
                <w:kern w:val="28"/>
                <w:sz w:val="16"/>
                <w:szCs w:val="18"/>
              </w:rPr>
              <w:t>Item 11726</w:t>
            </w:r>
          </w:p>
        </w:tc>
        <w:tc>
          <w:tcPr>
            <w:tcW w:w="1530" w:type="dxa"/>
            <w:shd w:val="clear" w:color="auto" w:fill="548DD4" w:themeFill="text2" w:themeFillTint="99"/>
            <w:vAlign w:val="center"/>
          </w:tcPr>
          <w:p w14:paraId="10BCAEE6" w14:textId="77777777" w:rsidR="00C4555E" w:rsidRPr="00C4555E" w:rsidRDefault="00C4555E" w:rsidP="001C6233">
            <w:pPr>
              <w:keepNext/>
              <w:jc w:val="center"/>
              <w:rPr>
                <w:rFonts w:cstheme="minorHAnsi"/>
                <w:b/>
                <w:color w:val="FFFFFF" w:themeColor="background1"/>
                <w:sz w:val="16"/>
                <w:szCs w:val="18"/>
                <w:lang w:val="en-US" w:eastAsia="zh-CN"/>
              </w:rPr>
            </w:pPr>
            <w:r w:rsidRPr="00C4555E">
              <w:rPr>
                <w:rFonts w:cstheme="minorHAnsi"/>
                <w:b/>
                <w:color w:val="FFFFFF" w:themeColor="background1"/>
                <w:sz w:val="16"/>
                <w:szCs w:val="18"/>
                <w:lang w:val="en-US" w:eastAsia="zh-CN"/>
              </w:rPr>
              <w:t>Year 1</w:t>
            </w:r>
          </w:p>
          <w:p w14:paraId="318E5917" w14:textId="77777777" w:rsidR="00C4555E" w:rsidRPr="00C4555E" w:rsidRDefault="00C4555E" w:rsidP="001C6233">
            <w:pPr>
              <w:jc w:val="center"/>
              <w:rPr>
                <w:rFonts w:eastAsiaTheme="majorEastAsia" w:cstheme="minorHAnsi"/>
                <w:b/>
                <w:spacing w:val="5"/>
                <w:kern w:val="28"/>
                <w:sz w:val="16"/>
                <w:szCs w:val="18"/>
              </w:rPr>
            </w:pPr>
            <w:r w:rsidRPr="00C4555E">
              <w:rPr>
                <w:rFonts w:cstheme="minorHAnsi"/>
                <w:b/>
                <w:color w:val="FFFFFF" w:themeColor="background1"/>
                <w:sz w:val="16"/>
                <w:szCs w:val="18"/>
                <w:lang w:val="en-US" w:eastAsia="zh-CN"/>
              </w:rPr>
              <w:t>2015-16</w:t>
            </w:r>
          </w:p>
        </w:tc>
        <w:tc>
          <w:tcPr>
            <w:tcW w:w="1530" w:type="dxa"/>
            <w:shd w:val="clear" w:color="auto" w:fill="548DD4" w:themeFill="text2" w:themeFillTint="99"/>
            <w:vAlign w:val="center"/>
          </w:tcPr>
          <w:p w14:paraId="3CFC8F4A" w14:textId="77777777" w:rsidR="00C4555E" w:rsidRPr="00C4555E" w:rsidRDefault="00C4555E" w:rsidP="001C6233">
            <w:pPr>
              <w:keepNext/>
              <w:jc w:val="center"/>
              <w:rPr>
                <w:rFonts w:cstheme="minorHAnsi"/>
                <w:b/>
                <w:color w:val="FFFFFF" w:themeColor="background1"/>
                <w:sz w:val="16"/>
                <w:szCs w:val="18"/>
                <w:lang w:val="en-US" w:eastAsia="zh-CN"/>
              </w:rPr>
            </w:pPr>
            <w:r w:rsidRPr="00C4555E">
              <w:rPr>
                <w:rFonts w:cstheme="minorHAnsi"/>
                <w:b/>
                <w:color w:val="FFFFFF" w:themeColor="background1"/>
                <w:sz w:val="16"/>
                <w:szCs w:val="18"/>
                <w:lang w:val="en-US" w:eastAsia="zh-CN"/>
              </w:rPr>
              <w:t>Year 2</w:t>
            </w:r>
          </w:p>
          <w:p w14:paraId="4011CBBF" w14:textId="77777777" w:rsidR="00C4555E" w:rsidRPr="00C4555E" w:rsidRDefault="00C4555E" w:rsidP="001C6233">
            <w:pPr>
              <w:jc w:val="center"/>
              <w:rPr>
                <w:rFonts w:eastAsiaTheme="majorEastAsia" w:cstheme="minorHAnsi"/>
                <w:b/>
                <w:spacing w:val="5"/>
                <w:kern w:val="28"/>
                <w:sz w:val="16"/>
                <w:szCs w:val="18"/>
              </w:rPr>
            </w:pPr>
            <w:r w:rsidRPr="00C4555E">
              <w:rPr>
                <w:rFonts w:cstheme="minorHAnsi"/>
                <w:b/>
                <w:color w:val="FFFFFF" w:themeColor="background1"/>
                <w:sz w:val="16"/>
                <w:szCs w:val="18"/>
                <w:lang w:val="en-US" w:eastAsia="zh-CN"/>
              </w:rPr>
              <w:t>2016-17</w:t>
            </w:r>
          </w:p>
        </w:tc>
        <w:tc>
          <w:tcPr>
            <w:tcW w:w="1530" w:type="dxa"/>
            <w:shd w:val="clear" w:color="auto" w:fill="548DD4" w:themeFill="text2" w:themeFillTint="99"/>
            <w:vAlign w:val="center"/>
          </w:tcPr>
          <w:p w14:paraId="05C22B44" w14:textId="77777777" w:rsidR="00C4555E" w:rsidRPr="00C4555E" w:rsidRDefault="00C4555E" w:rsidP="001C6233">
            <w:pPr>
              <w:keepNext/>
              <w:jc w:val="center"/>
              <w:rPr>
                <w:rFonts w:cstheme="minorHAnsi"/>
                <w:b/>
                <w:color w:val="FFFFFF" w:themeColor="background1"/>
                <w:sz w:val="16"/>
                <w:szCs w:val="18"/>
                <w:lang w:val="en-US" w:eastAsia="zh-CN"/>
              </w:rPr>
            </w:pPr>
            <w:r w:rsidRPr="00C4555E">
              <w:rPr>
                <w:rFonts w:cstheme="minorHAnsi"/>
                <w:b/>
                <w:color w:val="FFFFFF" w:themeColor="background1"/>
                <w:sz w:val="16"/>
                <w:szCs w:val="18"/>
                <w:lang w:val="en-US" w:eastAsia="zh-CN"/>
              </w:rPr>
              <w:t>Year 3</w:t>
            </w:r>
          </w:p>
          <w:p w14:paraId="0502911F" w14:textId="77777777" w:rsidR="00C4555E" w:rsidRPr="00C4555E" w:rsidRDefault="00C4555E" w:rsidP="001C6233">
            <w:pPr>
              <w:jc w:val="center"/>
              <w:rPr>
                <w:rFonts w:eastAsiaTheme="majorEastAsia" w:cstheme="minorHAnsi"/>
                <w:b/>
                <w:spacing w:val="5"/>
                <w:kern w:val="28"/>
                <w:sz w:val="16"/>
                <w:szCs w:val="18"/>
              </w:rPr>
            </w:pPr>
            <w:r w:rsidRPr="00C4555E">
              <w:rPr>
                <w:rFonts w:cstheme="minorHAnsi"/>
                <w:b/>
                <w:color w:val="FFFFFF" w:themeColor="background1"/>
                <w:sz w:val="16"/>
                <w:szCs w:val="18"/>
                <w:lang w:val="en-US" w:eastAsia="zh-CN"/>
              </w:rPr>
              <w:t>2017-18</w:t>
            </w:r>
          </w:p>
        </w:tc>
        <w:tc>
          <w:tcPr>
            <w:tcW w:w="1530" w:type="dxa"/>
            <w:shd w:val="clear" w:color="auto" w:fill="548DD4" w:themeFill="text2" w:themeFillTint="99"/>
            <w:vAlign w:val="center"/>
          </w:tcPr>
          <w:p w14:paraId="4E85F554" w14:textId="77777777" w:rsidR="00C4555E" w:rsidRPr="00C4555E" w:rsidRDefault="00C4555E" w:rsidP="001C6233">
            <w:pPr>
              <w:keepNext/>
              <w:jc w:val="center"/>
              <w:rPr>
                <w:rFonts w:cstheme="minorHAnsi"/>
                <w:b/>
                <w:color w:val="FFFFFF" w:themeColor="background1"/>
                <w:sz w:val="16"/>
                <w:szCs w:val="18"/>
                <w:lang w:val="en-US" w:eastAsia="zh-CN"/>
              </w:rPr>
            </w:pPr>
            <w:r w:rsidRPr="00C4555E">
              <w:rPr>
                <w:rFonts w:cstheme="minorHAnsi"/>
                <w:b/>
                <w:color w:val="FFFFFF" w:themeColor="background1"/>
                <w:sz w:val="16"/>
                <w:szCs w:val="18"/>
                <w:lang w:val="en-US" w:eastAsia="zh-CN"/>
              </w:rPr>
              <w:t>Year 4</w:t>
            </w:r>
          </w:p>
          <w:p w14:paraId="042171A9" w14:textId="77777777" w:rsidR="00C4555E" w:rsidRPr="00C4555E" w:rsidRDefault="00C4555E" w:rsidP="001C6233">
            <w:pPr>
              <w:jc w:val="center"/>
              <w:rPr>
                <w:rFonts w:eastAsiaTheme="majorEastAsia" w:cstheme="minorHAnsi"/>
                <w:b/>
                <w:spacing w:val="5"/>
                <w:kern w:val="28"/>
                <w:sz w:val="16"/>
                <w:szCs w:val="18"/>
              </w:rPr>
            </w:pPr>
            <w:r w:rsidRPr="00C4555E">
              <w:rPr>
                <w:rFonts w:cstheme="minorHAnsi"/>
                <w:b/>
                <w:color w:val="FFFFFF" w:themeColor="background1"/>
                <w:sz w:val="16"/>
                <w:szCs w:val="18"/>
                <w:lang w:val="en-US" w:eastAsia="zh-CN"/>
              </w:rPr>
              <w:t>2018-19</w:t>
            </w:r>
          </w:p>
        </w:tc>
        <w:tc>
          <w:tcPr>
            <w:tcW w:w="1531" w:type="dxa"/>
            <w:vAlign w:val="center"/>
          </w:tcPr>
          <w:p w14:paraId="12120137" w14:textId="77777777" w:rsidR="00C4555E" w:rsidRPr="00C4555E" w:rsidRDefault="00C4555E" w:rsidP="001C6233">
            <w:pPr>
              <w:jc w:val="center"/>
              <w:rPr>
                <w:rFonts w:eastAsiaTheme="majorEastAsia" w:cstheme="minorHAnsi"/>
                <w:b/>
                <w:spacing w:val="5"/>
                <w:kern w:val="28"/>
                <w:sz w:val="16"/>
                <w:szCs w:val="18"/>
              </w:rPr>
            </w:pPr>
            <w:r w:rsidRPr="00C4555E">
              <w:rPr>
                <w:rFonts w:eastAsiaTheme="majorEastAsia" w:cstheme="minorHAnsi"/>
                <w:b/>
                <w:spacing w:val="5"/>
                <w:kern w:val="28"/>
                <w:sz w:val="16"/>
                <w:szCs w:val="18"/>
              </w:rPr>
              <w:t>Average Total</w:t>
            </w:r>
          </w:p>
        </w:tc>
      </w:tr>
      <w:tr w:rsidR="00C4555E" w:rsidRPr="00C4555E" w14:paraId="49F1887E" w14:textId="77777777" w:rsidTr="001C6233">
        <w:trPr>
          <w:trHeight w:val="944"/>
        </w:trPr>
        <w:tc>
          <w:tcPr>
            <w:tcW w:w="1530" w:type="dxa"/>
          </w:tcPr>
          <w:p w14:paraId="4A95CB30" w14:textId="77777777" w:rsidR="00C4555E" w:rsidRPr="00C4555E" w:rsidRDefault="00C4555E" w:rsidP="001C6233">
            <w:pPr>
              <w:jc w:val="center"/>
              <w:rPr>
                <w:rFonts w:eastAsiaTheme="majorEastAsia" w:cstheme="minorHAnsi"/>
                <w:b/>
                <w:spacing w:val="5"/>
                <w:kern w:val="28"/>
                <w:szCs w:val="28"/>
              </w:rPr>
            </w:pPr>
            <w:r w:rsidRPr="00C4555E">
              <w:rPr>
                <w:rFonts w:eastAsiaTheme="majorEastAsia" w:cstheme="minorHAnsi"/>
                <w:b/>
                <w:spacing w:val="5"/>
                <w:kern w:val="28"/>
                <w:sz w:val="16"/>
                <w:szCs w:val="28"/>
              </w:rPr>
              <w:t>Average fee charged per service</w:t>
            </w:r>
          </w:p>
        </w:tc>
        <w:tc>
          <w:tcPr>
            <w:tcW w:w="1530" w:type="dxa"/>
          </w:tcPr>
          <w:p w14:paraId="6FA0D477" w14:textId="77777777" w:rsidR="00C4555E" w:rsidRPr="00C4555E" w:rsidRDefault="00C4555E" w:rsidP="001C6233">
            <w:pPr>
              <w:jc w:val="center"/>
              <w:rPr>
                <w:rFonts w:eastAsiaTheme="majorEastAsia" w:cstheme="minorHAnsi"/>
                <w:b/>
                <w:spacing w:val="5"/>
                <w:kern w:val="28"/>
                <w:sz w:val="16"/>
                <w:szCs w:val="18"/>
              </w:rPr>
            </w:pPr>
            <w:r w:rsidRPr="00C4555E">
              <w:rPr>
                <w:rFonts w:eastAsiaTheme="majorEastAsia" w:cstheme="minorHAnsi"/>
                <w:b/>
                <w:spacing w:val="5"/>
                <w:kern w:val="28"/>
                <w:sz w:val="16"/>
                <w:szCs w:val="18"/>
              </w:rPr>
              <w:t>$100.44</w:t>
            </w:r>
          </w:p>
        </w:tc>
        <w:tc>
          <w:tcPr>
            <w:tcW w:w="1530" w:type="dxa"/>
          </w:tcPr>
          <w:p w14:paraId="0803C5E1" w14:textId="77777777" w:rsidR="00C4555E" w:rsidRPr="00C4555E" w:rsidRDefault="00C4555E" w:rsidP="001C6233">
            <w:pPr>
              <w:jc w:val="center"/>
              <w:rPr>
                <w:rFonts w:eastAsiaTheme="majorEastAsia" w:cstheme="minorHAnsi"/>
                <w:b/>
                <w:spacing w:val="5"/>
                <w:kern w:val="28"/>
                <w:sz w:val="16"/>
                <w:szCs w:val="18"/>
              </w:rPr>
            </w:pPr>
            <w:r w:rsidRPr="00C4555E">
              <w:rPr>
                <w:rFonts w:eastAsiaTheme="majorEastAsia" w:cstheme="minorHAnsi"/>
                <w:b/>
                <w:spacing w:val="5"/>
                <w:kern w:val="28"/>
                <w:sz w:val="16"/>
                <w:szCs w:val="18"/>
              </w:rPr>
              <w:t>$106.84</w:t>
            </w:r>
          </w:p>
        </w:tc>
        <w:tc>
          <w:tcPr>
            <w:tcW w:w="1530" w:type="dxa"/>
          </w:tcPr>
          <w:p w14:paraId="13CB0AE7" w14:textId="77777777" w:rsidR="00C4555E" w:rsidRPr="00C4555E" w:rsidRDefault="00C4555E" w:rsidP="001C6233">
            <w:pPr>
              <w:jc w:val="center"/>
              <w:rPr>
                <w:rFonts w:eastAsiaTheme="majorEastAsia" w:cstheme="minorHAnsi"/>
                <w:b/>
                <w:spacing w:val="5"/>
                <w:kern w:val="28"/>
                <w:sz w:val="16"/>
                <w:szCs w:val="18"/>
              </w:rPr>
            </w:pPr>
            <w:r w:rsidRPr="00C4555E">
              <w:rPr>
                <w:rFonts w:eastAsiaTheme="majorEastAsia" w:cstheme="minorHAnsi"/>
                <w:b/>
                <w:spacing w:val="5"/>
                <w:kern w:val="28"/>
                <w:sz w:val="16"/>
                <w:szCs w:val="18"/>
              </w:rPr>
              <w:t>$105.84</w:t>
            </w:r>
          </w:p>
        </w:tc>
        <w:tc>
          <w:tcPr>
            <w:tcW w:w="1530" w:type="dxa"/>
          </w:tcPr>
          <w:p w14:paraId="6F6E024D" w14:textId="77777777" w:rsidR="00C4555E" w:rsidRPr="00C4555E" w:rsidRDefault="00C4555E" w:rsidP="001C6233">
            <w:pPr>
              <w:jc w:val="center"/>
              <w:rPr>
                <w:rFonts w:eastAsiaTheme="majorEastAsia" w:cstheme="minorHAnsi"/>
                <w:b/>
                <w:spacing w:val="5"/>
                <w:kern w:val="28"/>
                <w:sz w:val="16"/>
                <w:szCs w:val="18"/>
              </w:rPr>
            </w:pPr>
            <w:r w:rsidRPr="00C4555E">
              <w:rPr>
                <w:rFonts w:eastAsiaTheme="majorEastAsia" w:cstheme="minorHAnsi"/>
                <w:b/>
                <w:spacing w:val="5"/>
                <w:kern w:val="28"/>
                <w:sz w:val="16"/>
                <w:szCs w:val="18"/>
              </w:rPr>
              <w:t>$101.07</w:t>
            </w:r>
          </w:p>
        </w:tc>
        <w:tc>
          <w:tcPr>
            <w:tcW w:w="1531" w:type="dxa"/>
          </w:tcPr>
          <w:p w14:paraId="6A5B41A0" w14:textId="77777777" w:rsidR="00C4555E" w:rsidRPr="00C4555E" w:rsidRDefault="00C4555E" w:rsidP="001C6233">
            <w:pPr>
              <w:jc w:val="center"/>
              <w:rPr>
                <w:rFonts w:eastAsiaTheme="majorEastAsia" w:cstheme="minorHAnsi"/>
                <w:b/>
                <w:spacing w:val="5"/>
                <w:kern w:val="28"/>
                <w:sz w:val="16"/>
                <w:szCs w:val="18"/>
              </w:rPr>
            </w:pPr>
            <w:r w:rsidRPr="00C4555E">
              <w:rPr>
                <w:rFonts w:eastAsiaTheme="majorEastAsia" w:cstheme="minorHAnsi"/>
                <w:b/>
                <w:spacing w:val="5"/>
                <w:kern w:val="28"/>
                <w:sz w:val="16"/>
                <w:szCs w:val="18"/>
              </w:rPr>
              <w:t>$103.70</w:t>
            </w:r>
          </w:p>
        </w:tc>
      </w:tr>
      <w:tr w:rsidR="00C4555E" w:rsidRPr="00C4555E" w14:paraId="46C5C11B" w14:textId="77777777" w:rsidTr="001C6233">
        <w:trPr>
          <w:trHeight w:val="1051"/>
        </w:trPr>
        <w:tc>
          <w:tcPr>
            <w:tcW w:w="1530" w:type="dxa"/>
          </w:tcPr>
          <w:p w14:paraId="520E1CCB" w14:textId="77777777" w:rsidR="00C4555E" w:rsidRPr="00C4555E" w:rsidRDefault="00C4555E" w:rsidP="001C6233">
            <w:pPr>
              <w:spacing w:line="276" w:lineRule="auto"/>
              <w:jc w:val="center"/>
              <w:rPr>
                <w:rFonts w:eastAsiaTheme="majorEastAsia" w:cstheme="minorHAnsi"/>
                <w:b/>
                <w:spacing w:val="5"/>
                <w:kern w:val="28"/>
                <w:szCs w:val="28"/>
              </w:rPr>
            </w:pPr>
            <w:r w:rsidRPr="00C4555E">
              <w:rPr>
                <w:rFonts w:eastAsiaTheme="majorEastAsia" w:cstheme="minorHAnsi"/>
                <w:b/>
                <w:spacing w:val="5"/>
                <w:kern w:val="28"/>
                <w:sz w:val="16"/>
                <w:szCs w:val="28"/>
              </w:rPr>
              <w:t>MBS Benefit (Paid at 85%)</w:t>
            </w:r>
          </w:p>
        </w:tc>
        <w:tc>
          <w:tcPr>
            <w:tcW w:w="1530" w:type="dxa"/>
          </w:tcPr>
          <w:p w14:paraId="02737B7B" w14:textId="77777777" w:rsidR="00C4555E" w:rsidRPr="00C4555E" w:rsidRDefault="00C4555E" w:rsidP="001C6233">
            <w:pPr>
              <w:jc w:val="center"/>
              <w:rPr>
                <w:rFonts w:eastAsiaTheme="majorEastAsia" w:cstheme="minorHAnsi"/>
                <w:b/>
                <w:spacing w:val="5"/>
                <w:kern w:val="28"/>
                <w:sz w:val="16"/>
                <w:szCs w:val="28"/>
              </w:rPr>
            </w:pPr>
            <w:r w:rsidRPr="00C4555E">
              <w:rPr>
                <w:rFonts w:eastAsiaTheme="majorEastAsia" w:cstheme="minorHAnsi"/>
                <w:b/>
                <w:spacing w:val="5"/>
                <w:kern w:val="28"/>
                <w:sz w:val="16"/>
                <w:szCs w:val="28"/>
              </w:rPr>
              <w:t>$80.55</w:t>
            </w:r>
          </w:p>
        </w:tc>
        <w:tc>
          <w:tcPr>
            <w:tcW w:w="1530" w:type="dxa"/>
          </w:tcPr>
          <w:p w14:paraId="2354C818" w14:textId="77777777" w:rsidR="00C4555E" w:rsidRPr="00C4555E" w:rsidRDefault="00C4555E" w:rsidP="001C6233">
            <w:pPr>
              <w:jc w:val="center"/>
              <w:rPr>
                <w:rFonts w:eastAsiaTheme="majorEastAsia" w:cstheme="minorHAnsi"/>
                <w:b/>
                <w:spacing w:val="5"/>
                <w:kern w:val="28"/>
                <w:sz w:val="16"/>
                <w:szCs w:val="28"/>
              </w:rPr>
            </w:pPr>
            <w:r w:rsidRPr="00C4555E">
              <w:rPr>
                <w:rFonts w:eastAsiaTheme="majorEastAsia" w:cstheme="minorHAnsi"/>
                <w:b/>
                <w:spacing w:val="5"/>
                <w:kern w:val="28"/>
                <w:sz w:val="16"/>
                <w:szCs w:val="28"/>
              </w:rPr>
              <w:t>$80.55</w:t>
            </w:r>
          </w:p>
        </w:tc>
        <w:tc>
          <w:tcPr>
            <w:tcW w:w="1530" w:type="dxa"/>
          </w:tcPr>
          <w:p w14:paraId="068D1339" w14:textId="77777777" w:rsidR="00C4555E" w:rsidRPr="00C4555E" w:rsidRDefault="00C4555E" w:rsidP="001C6233">
            <w:pPr>
              <w:jc w:val="center"/>
              <w:rPr>
                <w:rFonts w:eastAsiaTheme="majorEastAsia" w:cstheme="minorHAnsi"/>
                <w:b/>
                <w:spacing w:val="5"/>
                <w:kern w:val="28"/>
                <w:sz w:val="16"/>
                <w:szCs w:val="28"/>
              </w:rPr>
            </w:pPr>
            <w:r w:rsidRPr="00C4555E">
              <w:rPr>
                <w:rFonts w:eastAsiaTheme="majorEastAsia" w:cstheme="minorHAnsi"/>
                <w:b/>
                <w:spacing w:val="5"/>
                <w:kern w:val="28"/>
                <w:sz w:val="16"/>
                <w:szCs w:val="28"/>
              </w:rPr>
              <w:t>$80.55</w:t>
            </w:r>
          </w:p>
        </w:tc>
        <w:tc>
          <w:tcPr>
            <w:tcW w:w="1530" w:type="dxa"/>
          </w:tcPr>
          <w:p w14:paraId="6D27154C" w14:textId="77777777" w:rsidR="00C4555E" w:rsidRPr="00C4555E" w:rsidRDefault="00C4555E" w:rsidP="001C6233">
            <w:pPr>
              <w:jc w:val="center"/>
              <w:rPr>
                <w:rFonts w:eastAsiaTheme="majorEastAsia" w:cstheme="minorHAnsi"/>
                <w:b/>
                <w:spacing w:val="5"/>
                <w:kern w:val="28"/>
                <w:sz w:val="16"/>
                <w:szCs w:val="28"/>
              </w:rPr>
            </w:pPr>
            <w:r w:rsidRPr="00C4555E">
              <w:rPr>
                <w:rFonts w:eastAsiaTheme="majorEastAsia" w:cstheme="minorHAnsi"/>
                <w:b/>
                <w:spacing w:val="5"/>
                <w:kern w:val="28"/>
                <w:sz w:val="16"/>
                <w:szCs w:val="28"/>
              </w:rPr>
              <w:t>$80.55</w:t>
            </w:r>
          </w:p>
        </w:tc>
        <w:tc>
          <w:tcPr>
            <w:tcW w:w="1531" w:type="dxa"/>
          </w:tcPr>
          <w:p w14:paraId="0F68E92B" w14:textId="77777777" w:rsidR="00C4555E" w:rsidRPr="00C4555E" w:rsidRDefault="00C4555E" w:rsidP="001C6233">
            <w:pPr>
              <w:rPr>
                <w:rFonts w:eastAsiaTheme="majorEastAsia" w:cstheme="minorHAnsi"/>
                <w:b/>
                <w:spacing w:val="5"/>
                <w:kern w:val="28"/>
                <w:szCs w:val="28"/>
              </w:rPr>
            </w:pPr>
          </w:p>
        </w:tc>
      </w:tr>
    </w:tbl>
    <w:p w14:paraId="18C25C56" w14:textId="35FE4618" w:rsidR="001742AB" w:rsidRDefault="001742AB">
      <w:pPr>
        <w:rPr>
          <w:szCs w:val="24"/>
        </w:rPr>
      </w:pPr>
      <w:r>
        <w:rPr>
          <w:szCs w:val="24"/>
        </w:rPr>
        <w:lastRenderedPageBreak/>
        <w:br w:type="page"/>
      </w:r>
    </w:p>
    <w:p w14:paraId="0CFDEA0B" w14:textId="6EA4AAEF" w:rsidR="003524AC" w:rsidRPr="003524AC" w:rsidRDefault="00BC1364" w:rsidP="003524AC">
      <w:pPr>
        <w:pStyle w:val="Heading1"/>
        <w:numPr>
          <w:ilvl w:val="0"/>
          <w:numId w:val="23"/>
        </w:numPr>
        <w:ind w:hanging="720"/>
      </w:pPr>
      <w:r w:rsidRPr="00D90A38">
        <w:t>Background</w:t>
      </w:r>
      <w:r w:rsidR="00152288">
        <w:t>:</w:t>
      </w:r>
    </w:p>
    <w:p w14:paraId="7A571313" w14:textId="1A0DA8C1" w:rsidR="005B4F4A" w:rsidRDefault="005B4F4A" w:rsidP="001742AB">
      <w:pPr>
        <w:tabs>
          <w:tab w:val="left" w:pos="567"/>
        </w:tabs>
        <w:spacing w:before="240"/>
      </w:pPr>
      <w:r>
        <w:t>Monitoring of patients with implanted card</w:t>
      </w:r>
      <w:r w:rsidR="00C53A6B">
        <w:t>iac devices (such as pacemakers and</w:t>
      </w:r>
      <w:r>
        <w:t xml:space="preserve"> de</w:t>
      </w:r>
      <w:r w:rsidR="003524AC">
        <w:t>fibrillators) was conducted via</w:t>
      </w:r>
      <w:r>
        <w:t xml:space="preserve"> attendances with cardiologists. Objectives of these attendances included optimising </w:t>
      </w:r>
      <w:r w:rsidR="00743A2C">
        <w:t>the d</w:t>
      </w:r>
      <w:r>
        <w:t>evice function</w:t>
      </w:r>
      <w:r w:rsidR="000D63AD">
        <w:t xml:space="preserve"> and troubleshooting of patient</w:t>
      </w:r>
      <w:r w:rsidR="00B93B67">
        <w:t xml:space="preserve"> or device </w:t>
      </w:r>
      <w:r w:rsidR="00743A2C">
        <w:t xml:space="preserve">related problems. This </w:t>
      </w:r>
      <w:r>
        <w:t xml:space="preserve">monitoring of patients was funded by the MBS under MBS items 11718, 11721 and 11727, in addition to the MBS item relating to </w:t>
      </w:r>
      <w:r w:rsidR="00743A2C">
        <w:t>a cardiologist</w:t>
      </w:r>
      <w:r>
        <w:t xml:space="preserve"> </w:t>
      </w:r>
      <w:r w:rsidR="001742AB">
        <w:t>consultation, eg. MBS item 116.</w:t>
      </w:r>
    </w:p>
    <w:p w14:paraId="50E802F4" w14:textId="14C8328E" w:rsidR="006A7F8A" w:rsidRPr="006A7F8A" w:rsidRDefault="005B4F4A" w:rsidP="001742AB">
      <w:pPr>
        <w:tabs>
          <w:tab w:val="left" w:pos="567"/>
        </w:tabs>
        <w:spacing w:before="240" w:after="240"/>
        <w:rPr>
          <w:szCs w:val="24"/>
        </w:rPr>
      </w:pPr>
      <w:r>
        <w:t>The new items (11719, 11720, 11725 and 11726) introduced the remote monitoring of patients with implanted cardiac devices involving the routine transmission of data by a transmitter (kept by a patient) from the patient’s cardiac implantable electronic device (CIED) to a database at a service centre operated by the manuf</w:t>
      </w:r>
      <w:r w:rsidR="00B66F8B">
        <w:t>acturer of the CIE</w:t>
      </w:r>
      <w:r w:rsidR="005604B4">
        <w:t xml:space="preserve">D. </w:t>
      </w:r>
      <w:r w:rsidR="00B66F8B">
        <w:t>It should be noted that a</w:t>
      </w:r>
      <w:r w:rsidR="005604B4">
        <w:t>lthough some remote monitoring systems can send alerts to the medical specialists when the patient is experiencing life-threatening cardiac events, it was not proposed that the system be intended to detect such emergencies. It was anti</w:t>
      </w:r>
      <w:r w:rsidR="00743A2C">
        <w:t>cipated that cardiologists</w:t>
      </w:r>
      <w:r w:rsidR="005604B4">
        <w:t xml:space="preserve"> would routinely download a pat</w:t>
      </w:r>
      <w:r w:rsidR="00B93B67">
        <w:t>ient’s data from the database (</w:t>
      </w:r>
      <w:r w:rsidR="005604B4">
        <w:t>available through a protected websit</w:t>
      </w:r>
      <w:r w:rsidR="00C53A6B">
        <w:t>e) held at the service centre and patients would att</w:t>
      </w:r>
      <w:r w:rsidR="001742AB">
        <w:t>end an annual in-office check.</w:t>
      </w:r>
    </w:p>
    <w:p w14:paraId="6FC635B6" w14:textId="77777777" w:rsidR="00BC1364" w:rsidRDefault="00271F18" w:rsidP="007B32D1">
      <w:pPr>
        <w:pStyle w:val="Heading1"/>
        <w:numPr>
          <w:ilvl w:val="0"/>
          <w:numId w:val="23"/>
        </w:numPr>
        <w:ind w:hanging="720"/>
      </w:pPr>
      <w:r>
        <w:t>Further information on MSAC</w:t>
      </w:r>
    </w:p>
    <w:p w14:paraId="135E234E" w14:textId="7420B69B" w:rsidR="00BC1364" w:rsidRPr="001742AB" w:rsidRDefault="00056DBD" w:rsidP="001742AB">
      <w:pPr>
        <w:spacing w:before="240"/>
      </w:pPr>
      <w:r>
        <w:t xml:space="preserve">Further information is available on the MSAC Website at: </w:t>
      </w:r>
      <w:r w:rsidRPr="00056DBD">
        <w:rPr>
          <w:u w:val="single"/>
        </w:rPr>
        <w:t>www.msac.gov.au</w:t>
      </w:r>
    </w:p>
    <w:sectPr w:rsidR="00BC1364" w:rsidRPr="001742AB" w:rsidSect="00271F18">
      <w:headerReference w:type="even" r:id="rId9"/>
      <w:headerReference w:type="default" r:id="rId10"/>
      <w:footerReference w:type="even" r:id="rId11"/>
      <w:footerReference w:type="default" r:id="rId12"/>
      <w:headerReference w:type="first" r:id="rId13"/>
      <w:footerReference w:type="first" r:id="rId14"/>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A8E81" w14:textId="77777777" w:rsidR="004C0C70" w:rsidRDefault="004C0C70" w:rsidP="00065623">
      <w:r>
        <w:separator/>
      </w:r>
    </w:p>
  </w:endnote>
  <w:endnote w:type="continuationSeparator" w:id="0">
    <w:p w14:paraId="42BC1BEB" w14:textId="77777777" w:rsidR="004C0C70" w:rsidRDefault="004C0C70"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B2463" w14:textId="77777777" w:rsidR="00D95949" w:rsidRDefault="00D959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60358A90" w14:textId="6964F4A6" w:rsidR="003F32B7" w:rsidRDefault="003F32B7">
        <w:pPr>
          <w:pStyle w:val="Footer"/>
          <w:jc w:val="right"/>
        </w:pPr>
        <w:r>
          <w:fldChar w:fldCharType="begin"/>
        </w:r>
        <w:r>
          <w:instrText xml:space="preserve"> PAGE   \* MERGEFORMAT </w:instrText>
        </w:r>
        <w:r>
          <w:fldChar w:fldCharType="separate"/>
        </w:r>
        <w:r w:rsidR="00D95949">
          <w:rPr>
            <w:noProof/>
          </w:rPr>
          <w:t>1</w:t>
        </w:r>
        <w:r>
          <w:rPr>
            <w:noProof/>
          </w:rPr>
          <w:fldChar w:fldCharType="end"/>
        </w:r>
      </w:p>
    </w:sdtContent>
  </w:sdt>
  <w:p w14:paraId="0111A523" w14:textId="77777777" w:rsidR="003F32B7" w:rsidRDefault="003F32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3BF54" w14:textId="77777777" w:rsidR="00D95949" w:rsidRDefault="00D95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E7068" w14:textId="77777777" w:rsidR="004C0C70" w:rsidRDefault="004C0C70" w:rsidP="00065623">
      <w:r>
        <w:separator/>
      </w:r>
    </w:p>
  </w:footnote>
  <w:footnote w:type="continuationSeparator" w:id="0">
    <w:p w14:paraId="64711611" w14:textId="77777777" w:rsidR="004C0C70" w:rsidRDefault="004C0C70" w:rsidP="00065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C9B73" w14:textId="77777777" w:rsidR="00D95949" w:rsidRDefault="00D959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BD208" w14:textId="77777777" w:rsidR="00D95949" w:rsidRDefault="00D959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0844B" w14:textId="77777777" w:rsidR="00D95949" w:rsidRDefault="00D959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6585B37"/>
    <w:multiLevelType w:val="hybridMultilevel"/>
    <w:tmpl w:val="1CB6C472"/>
    <w:lvl w:ilvl="0" w:tplc="13783C4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2C7478"/>
    <w:multiLevelType w:val="hybridMultilevel"/>
    <w:tmpl w:val="E10C230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9" w15:restartNumberingAfterBreak="0">
    <w:nsid w:val="2B650263"/>
    <w:multiLevelType w:val="hybridMultilevel"/>
    <w:tmpl w:val="14520ED4"/>
    <w:lvl w:ilvl="0" w:tplc="C638E278">
      <w:numFmt w:val="bullet"/>
      <w:pStyle w:val="Guidelines"/>
      <w:lvlText w:val="-"/>
      <w:lvlJc w:val="left"/>
      <w:pPr>
        <w:tabs>
          <w:tab w:val="num" w:pos="720"/>
        </w:tabs>
        <w:ind w:left="720" w:hanging="360"/>
      </w:pPr>
      <w:rPr>
        <w:rFonts w:ascii="Times New Roman" w:eastAsia="Times New Roman" w:hAnsi="Times New Roman" w:cs="Times New Roman" w:hint="default"/>
      </w:rPr>
    </w:lvl>
    <w:lvl w:ilvl="1" w:tplc="0B005D56">
      <w:start w:val="1"/>
      <w:numFmt w:val="bullet"/>
      <w:lvlText w:val="o"/>
      <w:lvlJc w:val="left"/>
      <w:pPr>
        <w:tabs>
          <w:tab w:val="num" w:pos="1440"/>
        </w:tabs>
        <w:ind w:left="1440" w:hanging="360"/>
      </w:pPr>
      <w:rPr>
        <w:rFonts w:ascii="Courier New" w:hAnsi="Courier New" w:cs="Courier New" w:hint="default"/>
        <w:color w:val="auto"/>
      </w:rPr>
    </w:lvl>
    <w:lvl w:ilvl="2" w:tplc="A50895EA">
      <w:numFmt w:val="bullet"/>
      <w:lvlText w:val="•"/>
      <w:lvlJc w:val="left"/>
      <w:pPr>
        <w:ind w:left="2160" w:hanging="360"/>
      </w:pPr>
      <w:rPr>
        <w:rFonts w:ascii="Garamond" w:eastAsia="Times New Roman" w:hAnsi="Garamond" w:cs="Times New Roman" w:hint="default"/>
      </w:rPr>
    </w:lvl>
    <w:lvl w:ilvl="3" w:tplc="90BE3F90" w:tentative="1">
      <w:start w:val="1"/>
      <w:numFmt w:val="bullet"/>
      <w:lvlText w:val=""/>
      <w:lvlJc w:val="left"/>
      <w:pPr>
        <w:tabs>
          <w:tab w:val="num" w:pos="2880"/>
        </w:tabs>
        <w:ind w:left="2880" w:hanging="360"/>
      </w:pPr>
      <w:rPr>
        <w:rFonts w:ascii="Symbol" w:hAnsi="Symbol" w:hint="default"/>
      </w:rPr>
    </w:lvl>
    <w:lvl w:ilvl="4" w:tplc="CC8EDEF2" w:tentative="1">
      <w:start w:val="1"/>
      <w:numFmt w:val="bullet"/>
      <w:lvlText w:val="o"/>
      <w:lvlJc w:val="left"/>
      <w:pPr>
        <w:tabs>
          <w:tab w:val="num" w:pos="3600"/>
        </w:tabs>
        <w:ind w:left="3600" w:hanging="360"/>
      </w:pPr>
      <w:rPr>
        <w:rFonts w:ascii="Courier New" w:hAnsi="Courier New" w:cs="Courier New" w:hint="default"/>
      </w:rPr>
    </w:lvl>
    <w:lvl w:ilvl="5" w:tplc="AEE4F300" w:tentative="1">
      <w:start w:val="1"/>
      <w:numFmt w:val="bullet"/>
      <w:lvlText w:val=""/>
      <w:lvlJc w:val="left"/>
      <w:pPr>
        <w:tabs>
          <w:tab w:val="num" w:pos="4320"/>
        </w:tabs>
        <w:ind w:left="4320" w:hanging="360"/>
      </w:pPr>
      <w:rPr>
        <w:rFonts w:ascii="Wingdings" w:hAnsi="Wingdings" w:hint="default"/>
      </w:rPr>
    </w:lvl>
    <w:lvl w:ilvl="6" w:tplc="0FF482F8" w:tentative="1">
      <w:start w:val="1"/>
      <w:numFmt w:val="bullet"/>
      <w:lvlText w:val=""/>
      <w:lvlJc w:val="left"/>
      <w:pPr>
        <w:tabs>
          <w:tab w:val="num" w:pos="5040"/>
        </w:tabs>
        <w:ind w:left="5040" w:hanging="360"/>
      </w:pPr>
      <w:rPr>
        <w:rFonts w:ascii="Symbol" w:hAnsi="Symbol" w:hint="default"/>
      </w:rPr>
    </w:lvl>
    <w:lvl w:ilvl="7" w:tplc="C4F0A61E" w:tentative="1">
      <w:start w:val="1"/>
      <w:numFmt w:val="bullet"/>
      <w:lvlText w:val="o"/>
      <w:lvlJc w:val="left"/>
      <w:pPr>
        <w:tabs>
          <w:tab w:val="num" w:pos="5760"/>
        </w:tabs>
        <w:ind w:left="5760" w:hanging="360"/>
      </w:pPr>
      <w:rPr>
        <w:rFonts w:ascii="Courier New" w:hAnsi="Courier New" w:cs="Courier New" w:hint="default"/>
      </w:rPr>
    </w:lvl>
    <w:lvl w:ilvl="8" w:tplc="3E000A1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084099"/>
    <w:multiLevelType w:val="hybridMultilevel"/>
    <w:tmpl w:val="B964DE1C"/>
    <w:lvl w:ilvl="0" w:tplc="0C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B64422"/>
    <w:multiLevelType w:val="hybridMultilevel"/>
    <w:tmpl w:val="A5E0315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4F1FF4"/>
    <w:multiLevelType w:val="hybridMultilevel"/>
    <w:tmpl w:val="3CDC0E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7BF3610"/>
    <w:multiLevelType w:val="hybridMultilevel"/>
    <w:tmpl w:val="745EC9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58184A"/>
    <w:multiLevelType w:val="hybridMultilevel"/>
    <w:tmpl w:val="E6642A1C"/>
    <w:lvl w:ilvl="0" w:tplc="9ABCBCB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1B6BA7"/>
    <w:multiLevelType w:val="hybridMultilevel"/>
    <w:tmpl w:val="42844BDA"/>
    <w:lvl w:ilvl="0" w:tplc="9ABCBCB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EA360F"/>
    <w:multiLevelType w:val="hybridMultilevel"/>
    <w:tmpl w:val="40661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62B91A34"/>
    <w:multiLevelType w:val="hybridMultilevel"/>
    <w:tmpl w:val="D7486A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15:restartNumberingAfterBreak="0">
    <w:nsid w:val="68CF172C"/>
    <w:multiLevelType w:val="hybridMultilevel"/>
    <w:tmpl w:val="4E546B9C"/>
    <w:lvl w:ilvl="0" w:tplc="9ABCBCB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15:restartNumberingAfterBreak="0">
    <w:nsid w:val="7B4F5AE6"/>
    <w:multiLevelType w:val="hybridMultilevel"/>
    <w:tmpl w:val="F05CA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1"/>
  </w:num>
  <w:num w:numId="3">
    <w:abstractNumId w:val="1"/>
  </w:num>
  <w:num w:numId="4">
    <w:abstractNumId w:val="23"/>
  </w:num>
  <w:num w:numId="5">
    <w:abstractNumId w:val="14"/>
  </w:num>
  <w:num w:numId="6">
    <w:abstractNumId w:val="22"/>
  </w:num>
  <w:num w:numId="7">
    <w:abstractNumId w:val="29"/>
  </w:num>
  <w:num w:numId="8">
    <w:abstractNumId w:val="16"/>
  </w:num>
  <w:num w:numId="9">
    <w:abstractNumId w:val="37"/>
  </w:num>
  <w:num w:numId="10">
    <w:abstractNumId w:val="0"/>
  </w:num>
  <w:num w:numId="11">
    <w:abstractNumId w:val="27"/>
  </w:num>
  <w:num w:numId="12">
    <w:abstractNumId w:val="30"/>
  </w:num>
  <w:num w:numId="13">
    <w:abstractNumId w:val="5"/>
  </w:num>
  <w:num w:numId="14">
    <w:abstractNumId w:val="35"/>
  </w:num>
  <w:num w:numId="15">
    <w:abstractNumId w:val="26"/>
  </w:num>
  <w:num w:numId="16">
    <w:abstractNumId w:val="31"/>
  </w:num>
  <w:num w:numId="17">
    <w:abstractNumId w:val="18"/>
  </w:num>
  <w:num w:numId="18">
    <w:abstractNumId w:val="20"/>
  </w:num>
  <w:num w:numId="19">
    <w:abstractNumId w:val="34"/>
  </w:num>
  <w:num w:numId="20">
    <w:abstractNumId w:val="32"/>
  </w:num>
  <w:num w:numId="21">
    <w:abstractNumId w:val="3"/>
  </w:num>
  <w:num w:numId="22">
    <w:abstractNumId w:val="11"/>
  </w:num>
  <w:num w:numId="23">
    <w:abstractNumId w:val="2"/>
  </w:num>
  <w:num w:numId="24">
    <w:abstractNumId w:val="10"/>
  </w:num>
  <w:num w:numId="25">
    <w:abstractNumId w:val="6"/>
  </w:num>
  <w:num w:numId="26">
    <w:abstractNumId w:val="12"/>
  </w:num>
  <w:num w:numId="27">
    <w:abstractNumId w:val="8"/>
  </w:num>
  <w:num w:numId="28">
    <w:abstractNumId w:val="36"/>
  </w:num>
  <w:num w:numId="29">
    <w:abstractNumId w:val="13"/>
  </w:num>
  <w:num w:numId="30">
    <w:abstractNumId w:val="9"/>
  </w:num>
  <w:num w:numId="31">
    <w:abstractNumId w:val="25"/>
  </w:num>
  <w:num w:numId="32">
    <w:abstractNumId w:val="28"/>
  </w:num>
  <w:num w:numId="33">
    <w:abstractNumId w:val="33"/>
  </w:num>
  <w:num w:numId="34">
    <w:abstractNumId w:val="24"/>
  </w:num>
  <w:num w:numId="35">
    <w:abstractNumId w:val="19"/>
  </w:num>
  <w:num w:numId="36">
    <w:abstractNumId w:val="17"/>
  </w:num>
  <w:num w:numId="37">
    <w:abstractNumId w:val="15"/>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3020"/>
    <w:rsid w:val="000052B4"/>
    <w:rsid w:val="000061C4"/>
    <w:rsid w:val="00007FA6"/>
    <w:rsid w:val="00011A36"/>
    <w:rsid w:val="00013785"/>
    <w:rsid w:val="00016637"/>
    <w:rsid w:val="00017A85"/>
    <w:rsid w:val="0004553C"/>
    <w:rsid w:val="00047606"/>
    <w:rsid w:val="000555D4"/>
    <w:rsid w:val="00056DBD"/>
    <w:rsid w:val="00065623"/>
    <w:rsid w:val="00074132"/>
    <w:rsid w:val="00074392"/>
    <w:rsid w:val="000756B9"/>
    <w:rsid w:val="00096B67"/>
    <w:rsid w:val="00096DAF"/>
    <w:rsid w:val="000A1094"/>
    <w:rsid w:val="000B11FB"/>
    <w:rsid w:val="000C2F47"/>
    <w:rsid w:val="000C6BC3"/>
    <w:rsid w:val="000D26F1"/>
    <w:rsid w:val="000D63AD"/>
    <w:rsid w:val="000D6899"/>
    <w:rsid w:val="000D6C00"/>
    <w:rsid w:val="000E4E04"/>
    <w:rsid w:val="000E76C4"/>
    <w:rsid w:val="000F14B4"/>
    <w:rsid w:val="000F29B5"/>
    <w:rsid w:val="000F75DF"/>
    <w:rsid w:val="00107B69"/>
    <w:rsid w:val="00110352"/>
    <w:rsid w:val="00111F0B"/>
    <w:rsid w:val="001160A7"/>
    <w:rsid w:val="001328FA"/>
    <w:rsid w:val="0014195D"/>
    <w:rsid w:val="001472CD"/>
    <w:rsid w:val="00147AAF"/>
    <w:rsid w:val="001512DB"/>
    <w:rsid w:val="00152288"/>
    <w:rsid w:val="001523B6"/>
    <w:rsid w:val="001552C0"/>
    <w:rsid w:val="0015667E"/>
    <w:rsid w:val="0015704A"/>
    <w:rsid w:val="00157FBE"/>
    <w:rsid w:val="001640B1"/>
    <w:rsid w:val="00167F60"/>
    <w:rsid w:val="001742AB"/>
    <w:rsid w:val="0018435E"/>
    <w:rsid w:val="00193029"/>
    <w:rsid w:val="00195715"/>
    <w:rsid w:val="001B05DD"/>
    <w:rsid w:val="001C2419"/>
    <w:rsid w:val="001D1222"/>
    <w:rsid w:val="001E27AD"/>
    <w:rsid w:val="001E747A"/>
    <w:rsid w:val="001F10C3"/>
    <w:rsid w:val="001F14D9"/>
    <w:rsid w:val="001F516C"/>
    <w:rsid w:val="002041A1"/>
    <w:rsid w:val="002054F0"/>
    <w:rsid w:val="00230D6B"/>
    <w:rsid w:val="00232068"/>
    <w:rsid w:val="002330F2"/>
    <w:rsid w:val="002371F6"/>
    <w:rsid w:val="00243D9E"/>
    <w:rsid w:val="00244301"/>
    <w:rsid w:val="00247146"/>
    <w:rsid w:val="00250F63"/>
    <w:rsid w:val="00253B66"/>
    <w:rsid w:val="00261DF1"/>
    <w:rsid w:val="00264A15"/>
    <w:rsid w:val="00271F18"/>
    <w:rsid w:val="00274695"/>
    <w:rsid w:val="00282779"/>
    <w:rsid w:val="0028334D"/>
    <w:rsid w:val="00287EF7"/>
    <w:rsid w:val="002A445B"/>
    <w:rsid w:val="002B3546"/>
    <w:rsid w:val="002B7FFA"/>
    <w:rsid w:val="002C2BCF"/>
    <w:rsid w:val="002D28BC"/>
    <w:rsid w:val="002D7198"/>
    <w:rsid w:val="002D79C6"/>
    <w:rsid w:val="002E515A"/>
    <w:rsid w:val="002F279D"/>
    <w:rsid w:val="002F43B8"/>
    <w:rsid w:val="00343924"/>
    <w:rsid w:val="0034554D"/>
    <w:rsid w:val="00346E85"/>
    <w:rsid w:val="00352224"/>
    <w:rsid w:val="003524AC"/>
    <w:rsid w:val="003671E6"/>
    <w:rsid w:val="00380CFB"/>
    <w:rsid w:val="00384272"/>
    <w:rsid w:val="00386D67"/>
    <w:rsid w:val="0039005F"/>
    <w:rsid w:val="003945B8"/>
    <w:rsid w:val="00396A8E"/>
    <w:rsid w:val="003B337F"/>
    <w:rsid w:val="003B6C13"/>
    <w:rsid w:val="003D7F29"/>
    <w:rsid w:val="003E19F8"/>
    <w:rsid w:val="003F32B7"/>
    <w:rsid w:val="00405A6B"/>
    <w:rsid w:val="00407B1F"/>
    <w:rsid w:val="00411635"/>
    <w:rsid w:val="00414C57"/>
    <w:rsid w:val="00416E4B"/>
    <w:rsid w:val="0041758C"/>
    <w:rsid w:val="0042014B"/>
    <w:rsid w:val="00435F60"/>
    <w:rsid w:val="004539DE"/>
    <w:rsid w:val="00454656"/>
    <w:rsid w:val="00455C03"/>
    <w:rsid w:val="004746B0"/>
    <w:rsid w:val="004746F4"/>
    <w:rsid w:val="00476AE9"/>
    <w:rsid w:val="004822E7"/>
    <w:rsid w:val="004939A8"/>
    <w:rsid w:val="004A1094"/>
    <w:rsid w:val="004A2CF1"/>
    <w:rsid w:val="004B613E"/>
    <w:rsid w:val="004C0C70"/>
    <w:rsid w:val="004C3035"/>
    <w:rsid w:val="004C307F"/>
    <w:rsid w:val="004E1046"/>
    <w:rsid w:val="004E4BA8"/>
    <w:rsid w:val="004F340F"/>
    <w:rsid w:val="004F3790"/>
    <w:rsid w:val="004F7011"/>
    <w:rsid w:val="004F7B7C"/>
    <w:rsid w:val="0051452B"/>
    <w:rsid w:val="0052243D"/>
    <w:rsid w:val="00532435"/>
    <w:rsid w:val="00550354"/>
    <w:rsid w:val="005604B4"/>
    <w:rsid w:val="00562660"/>
    <w:rsid w:val="00571236"/>
    <w:rsid w:val="00585970"/>
    <w:rsid w:val="005953A1"/>
    <w:rsid w:val="005A212A"/>
    <w:rsid w:val="005B4F4A"/>
    <w:rsid w:val="005B6A25"/>
    <w:rsid w:val="005C6127"/>
    <w:rsid w:val="005C736D"/>
    <w:rsid w:val="005C7E42"/>
    <w:rsid w:val="005D0332"/>
    <w:rsid w:val="005D0D8C"/>
    <w:rsid w:val="005D5137"/>
    <w:rsid w:val="005F7855"/>
    <w:rsid w:val="00601D58"/>
    <w:rsid w:val="00614012"/>
    <w:rsid w:val="0065491D"/>
    <w:rsid w:val="00670E10"/>
    <w:rsid w:val="00670E4B"/>
    <w:rsid w:val="00675319"/>
    <w:rsid w:val="00677727"/>
    <w:rsid w:val="00686800"/>
    <w:rsid w:val="006956EC"/>
    <w:rsid w:val="006A0D97"/>
    <w:rsid w:val="006A7F8A"/>
    <w:rsid w:val="006B1F86"/>
    <w:rsid w:val="006B46BF"/>
    <w:rsid w:val="006C0A91"/>
    <w:rsid w:val="006E55E4"/>
    <w:rsid w:val="006E5C6B"/>
    <w:rsid w:val="007054BB"/>
    <w:rsid w:val="00705E67"/>
    <w:rsid w:val="00707064"/>
    <w:rsid w:val="00730683"/>
    <w:rsid w:val="00743A2C"/>
    <w:rsid w:val="00744117"/>
    <w:rsid w:val="00744308"/>
    <w:rsid w:val="0075261F"/>
    <w:rsid w:val="0075468E"/>
    <w:rsid w:val="007665D8"/>
    <w:rsid w:val="00766E36"/>
    <w:rsid w:val="00770121"/>
    <w:rsid w:val="007765F4"/>
    <w:rsid w:val="00776633"/>
    <w:rsid w:val="00784D53"/>
    <w:rsid w:val="00786F8C"/>
    <w:rsid w:val="00787199"/>
    <w:rsid w:val="00792D3F"/>
    <w:rsid w:val="00797797"/>
    <w:rsid w:val="007A3C2F"/>
    <w:rsid w:val="007A63C9"/>
    <w:rsid w:val="007B32D1"/>
    <w:rsid w:val="007B7095"/>
    <w:rsid w:val="007C32E5"/>
    <w:rsid w:val="007C376F"/>
    <w:rsid w:val="007C7026"/>
    <w:rsid w:val="007C7CE6"/>
    <w:rsid w:val="007D24E1"/>
    <w:rsid w:val="007E2B92"/>
    <w:rsid w:val="007F4CE9"/>
    <w:rsid w:val="007F4E20"/>
    <w:rsid w:val="00812065"/>
    <w:rsid w:val="00813800"/>
    <w:rsid w:val="00822C7E"/>
    <w:rsid w:val="0082448C"/>
    <w:rsid w:val="00847060"/>
    <w:rsid w:val="00855EAF"/>
    <w:rsid w:val="00856A33"/>
    <w:rsid w:val="008627BB"/>
    <w:rsid w:val="00863FE1"/>
    <w:rsid w:val="0088003B"/>
    <w:rsid w:val="00882BC7"/>
    <w:rsid w:val="00892620"/>
    <w:rsid w:val="00894307"/>
    <w:rsid w:val="00894655"/>
    <w:rsid w:val="008A12C8"/>
    <w:rsid w:val="008A27D8"/>
    <w:rsid w:val="008C3702"/>
    <w:rsid w:val="008C4EFA"/>
    <w:rsid w:val="008C5723"/>
    <w:rsid w:val="008C7D37"/>
    <w:rsid w:val="008D5885"/>
    <w:rsid w:val="00903186"/>
    <w:rsid w:val="00903C2A"/>
    <w:rsid w:val="00914FDD"/>
    <w:rsid w:val="00915AE4"/>
    <w:rsid w:val="00917EAD"/>
    <w:rsid w:val="00922B3F"/>
    <w:rsid w:val="00923FA2"/>
    <w:rsid w:val="00944D51"/>
    <w:rsid w:val="00954798"/>
    <w:rsid w:val="0096060D"/>
    <w:rsid w:val="009670FC"/>
    <w:rsid w:val="00974A50"/>
    <w:rsid w:val="0097585A"/>
    <w:rsid w:val="00981706"/>
    <w:rsid w:val="009924B0"/>
    <w:rsid w:val="009942C9"/>
    <w:rsid w:val="009B35C4"/>
    <w:rsid w:val="009C0886"/>
    <w:rsid w:val="009C19BF"/>
    <w:rsid w:val="009C630A"/>
    <w:rsid w:val="009D2BF0"/>
    <w:rsid w:val="009D6442"/>
    <w:rsid w:val="009E0D98"/>
    <w:rsid w:val="009E625C"/>
    <w:rsid w:val="009F08CB"/>
    <w:rsid w:val="00A068A1"/>
    <w:rsid w:val="00A1207D"/>
    <w:rsid w:val="00A12FD8"/>
    <w:rsid w:val="00A15DED"/>
    <w:rsid w:val="00A16AFE"/>
    <w:rsid w:val="00A21D9D"/>
    <w:rsid w:val="00A3079B"/>
    <w:rsid w:val="00A346FC"/>
    <w:rsid w:val="00A43007"/>
    <w:rsid w:val="00A46563"/>
    <w:rsid w:val="00A70129"/>
    <w:rsid w:val="00A84F93"/>
    <w:rsid w:val="00AB1AC5"/>
    <w:rsid w:val="00AB3BFC"/>
    <w:rsid w:val="00AC4F2E"/>
    <w:rsid w:val="00AD0C37"/>
    <w:rsid w:val="00AD385F"/>
    <w:rsid w:val="00AD7B17"/>
    <w:rsid w:val="00AE6E2A"/>
    <w:rsid w:val="00AF535C"/>
    <w:rsid w:val="00B271DD"/>
    <w:rsid w:val="00B31E9C"/>
    <w:rsid w:val="00B35595"/>
    <w:rsid w:val="00B43F62"/>
    <w:rsid w:val="00B454F2"/>
    <w:rsid w:val="00B51C6D"/>
    <w:rsid w:val="00B63F65"/>
    <w:rsid w:val="00B66F8B"/>
    <w:rsid w:val="00B803ED"/>
    <w:rsid w:val="00B86D64"/>
    <w:rsid w:val="00B93B67"/>
    <w:rsid w:val="00BA4AC5"/>
    <w:rsid w:val="00BB1C2E"/>
    <w:rsid w:val="00BC1364"/>
    <w:rsid w:val="00BC7DE9"/>
    <w:rsid w:val="00BE431B"/>
    <w:rsid w:val="00BF479B"/>
    <w:rsid w:val="00C02577"/>
    <w:rsid w:val="00C16314"/>
    <w:rsid w:val="00C204FB"/>
    <w:rsid w:val="00C20BEE"/>
    <w:rsid w:val="00C2158D"/>
    <w:rsid w:val="00C21A01"/>
    <w:rsid w:val="00C42B05"/>
    <w:rsid w:val="00C4555E"/>
    <w:rsid w:val="00C464F0"/>
    <w:rsid w:val="00C53A6B"/>
    <w:rsid w:val="00C67DD2"/>
    <w:rsid w:val="00C725CB"/>
    <w:rsid w:val="00C76F5C"/>
    <w:rsid w:val="00C83CBF"/>
    <w:rsid w:val="00C91897"/>
    <w:rsid w:val="00C96BAD"/>
    <w:rsid w:val="00CA1E55"/>
    <w:rsid w:val="00CA6944"/>
    <w:rsid w:val="00CB0F8E"/>
    <w:rsid w:val="00CB317C"/>
    <w:rsid w:val="00CB7E7D"/>
    <w:rsid w:val="00CC2911"/>
    <w:rsid w:val="00CC7372"/>
    <w:rsid w:val="00CC765B"/>
    <w:rsid w:val="00CD65CD"/>
    <w:rsid w:val="00CE2BC5"/>
    <w:rsid w:val="00CF0C6D"/>
    <w:rsid w:val="00CF7307"/>
    <w:rsid w:val="00CF7C68"/>
    <w:rsid w:val="00D1210E"/>
    <w:rsid w:val="00D124FA"/>
    <w:rsid w:val="00D24542"/>
    <w:rsid w:val="00D305C7"/>
    <w:rsid w:val="00D340DE"/>
    <w:rsid w:val="00D36F93"/>
    <w:rsid w:val="00D43CF7"/>
    <w:rsid w:val="00D55723"/>
    <w:rsid w:val="00D61AF0"/>
    <w:rsid w:val="00D62FAD"/>
    <w:rsid w:val="00D70450"/>
    <w:rsid w:val="00D71A8F"/>
    <w:rsid w:val="00D76790"/>
    <w:rsid w:val="00D83BFD"/>
    <w:rsid w:val="00D90A38"/>
    <w:rsid w:val="00D95949"/>
    <w:rsid w:val="00D977EC"/>
    <w:rsid w:val="00DA0515"/>
    <w:rsid w:val="00DA171E"/>
    <w:rsid w:val="00DA56AA"/>
    <w:rsid w:val="00DB146F"/>
    <w:rsid w:val="00DB5833"/>
    <w:rsid w:val="00DC0B38"/>
    <w:rsid w:val="00DD2858"/>
    <w:rsid w:val="00DD3EB9"/>
    <w:rsid w:val="00DE1CBB"/>
    <w:rsid w:val="00DE48A5"/>
    <w:rsid w:val="00DE4B0F"/>
    <w:rsid w:val="00DF3104"/>
    <w:rsid w:val="00E03E33"/>
    <w:rsid w:val="00E21B70"/>
    <w:rsid w:val="00E3642A"/>
    <w:rsid w:val="00E415C4"/>
    <w:rsid w:val="00E50016"/>
    <w:rsid w:val="00E50EAA"/>
    <w:rsid w:val="00E53514"/>
    <w:rsid w:val="00E57F38"/>
    <w:rsid w:val="00E656D6"/>
    <w:rsid w:val="00E80E7F"/>
    <w:rsid w:val="00E92F19"/>
    <w:rsid w:val="00E977EE"/>
    <w:rsid w:val="00EA077D"/>
    <w:rsid w:val="00EA103A"/>
    <w:rsid w:val="00EA14AE"/>
    <w:rsid w:val="00EA67A2"/>
    <w:rsid w:val="00EC0791"/>
    <w:rsid w:val="00EC4F98"/>
    <w:rsid w:val="00ED2032"/>
    <w:rsid w:val="00EE1987"/>
    <w:rsid w:val="00EE3BFE"/>
    <w:rsid w:val="00F04870"/>
    <w:rsid w:val="00F12F02"/>
    <w:rsid w:val="00F265CB"/>
    <w:rsid w:val="00F26C06"/>
    <w:rsid w:val="00F35134"/>
    <w:rsid w:val="00F41812"/>
    <w:rsid w:val="00F56F93"/>
    <w:rsid w:val="00F73333"/>
    <w:rsid w:val="00F740F5"/>
    <w:rsid w:val="00F95D8F"/>
    <w:rsid w:val="00F9695B"/>
    <w:rsid w:val="00FA7E22"/>
    <w:rsid w:val="00FB350A"/>
    <w:rsid w:val="00FD188B"/>
    <w:rsid w:val="00FE73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2AF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F9695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customStyle="1" w:styleId="Style1">
    <w:name w:val="Style1"/>
    <w:basedOn w:val="Normal"/>
    <w:link w:val="Style1Char"/>
    <w:qFormat/>
    <w:rsid w:val="00F9695B"/>
    <w:pPr>
      <w:tabs>
        <w:tab w:val="left" w:pos="4320"/>
      </w:tabs>
      <w:spacing w:before="120" w:after="240" w:line="360" w:lineRule="auto"/>
      <w:jc w:val="center"/>
    </w:pPr>
    <w:rPr>
      <w:rFonts w:ascii="Arial" w:hAnsi="Arial" w:cs="Arial"/>
      <w:b/>
      <w:i/>
      <w:color w:val="000080"/>
      <w:sz w:val="28"/>
      <w:szCs w:val="28"/>
    </w:rPr>
  </w:style>
  <w:style w:type="character" w:customStyle="1" w:styleId="Style1Char">
    <w:name w:val="Style1 Char"/>
    <w:basedOn w:val="DefaultParagraphFont"/>
    <w:link w:val="Style1"/>
    <w:rsid w:val="00F9695B"/>
    <w:rPr>
      <w:rFonts w:ascii="Arial" w:eastAsia="Times New Roman" w:hAnsi="Arial" w:cs="Arial"/>
      <w:b/>
      <w:i/>
      <w:color w:val="000080"/>
      <w:sz w:val="28"/>
      <w:szCs w:val="28"/>
    </w:rPr>
  </w:style>
  <w:style w:type="table" w:styleId="TableGrid">
    <w:name w:val="Table Grid"/>
    <w:aliases w:val="Summary box"/>
    <w:basedOn w:val="TableNormal"/>
    <w:uiPriority w:val="59"/>
    <w:locked/>
    <w:rsid w:val="00F9695B"/>
    <w:pPr>
      <w:spacing w:before="24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F9695B"/>
    <w:pPr>
      <w:spacing w:before="240" w:after="240"/>
    </w:pPr>
    <w:rPr>
      <w:rFonts w:ascii="Arial Narrow" w:hAnsi="Arial Narrow"/>
      <w:sz w:val="20"/>
      <w:szCs w:val="24"/>
      <w:lang w:eastAsia="en-US"/>
    </w:rPr>
  </w:style>
  <w:style w:type="character" w:customStyle="1" w:styleId="TabletextChar">
    <w:name w:val="Table text Char"/>
    <w:basedOn w:val="DefaultParagraphFont"/>
    <w:link w:val="Tabletext"/>
    <w:rsid w:val="00F9695B"/>
    <w:rPr>
      <w:rFonts w:ascii="Arial Narrow" w:eastAsia="Times New Roman" w:hAnsi="Arial Narrow"/>
      <w:sz w:val="20"/>
      <w:szCs w:val="24"/>
      <w:lang w:eastAsia="en-US"/>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locked/>
    <w:rsid w:val="00F9695B"/>
    <w:pPr>
      <w:keepNext/>
      <w:spacing w:before="240" w:after="240"/>
      <w:jc w:val="both"/>
      <w:outlineLvl w:val="4"/>
    </w:pPr>
    <w:rPr>
      <w:rFonts w:ascii="Arial Narrow" w:hAnsi="Arial Narrow" w:cs="Arial"/>
      <w:b/>
      <w:bCs/>
      <w:iCs/>
      <w:sz w:val="20"/>
      <w:lang w:eastAsia="en-US"/>
    </w:rPr>
  </w:style>
  <w:style w:type="character" w:customStyle="1" w:styleId="ListParagraphChar">
    <w:name w:val="List Paragraph Char"/>
    <w:basedOn w:val="DefaultParagraphFont"/>
    <w:link w:val="ListParagraph"/>
    <w:uiPriority w:val="34"/>
    <w:rsid w:val="00F9695B"/>
    <w:rPr>
      <w:rFonts w:eastAsia="Times New Roman"/>
      <w:sz w:val="24"/>
      <w:szCs w:val="20"/>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99"/>
    <w:rsid w:val="00F9695B"/>
    <w:rPr>
      <w:rFonts w:ascii="Arial Narrow" w:eastAsia="Times New Roman" w:hAnsi="Arial Narrow" w:cs="Arial"/>
      <w:b/>
      <w:bCs/>
      <w:iCs/>
      <w:sz w:val="20"/>
      <w:szCs w:val="20"/>
      <w:lang w:eastAsia="en-US"/>
    </w:rPr>
  </w:style>
  <w:style w:type="character" w:customStyle="1" w:styleId="Heading3Char">
    <w:name w:val="Heading 3 Char"/>
    <w:basedOn w:val="DefaultParagraphFont"/>
    <w:link w:val="Heading3"/>
    <w:semiHidden/>
    <w:rsid w:val="00F9695B"/>
    <w:rPr>
      <w:rFonts w:asciiTheme="majorHAnsi" w:eastAsiaTheme="majorEastAsia" w:hAnsiTheme="majorHAnsi" w:cstheme="majorBidi"/>
      <w:b/>
      <w:bCs/>
      <w:color w:val="4F81BD" w:themeColor="accent1"/>
      <w:sz w:val="24"/>
      <w:szCs w:val="20"/>
    </w:rPr>
  </w:style>
  <w:style w:type="table" w:customStyle="1" w:styleId="TableGrid3">
    <w:name w:val="Table Grid3"/>
    <w:basedOn w:val="TableNormal"/>
    <w:next w:val="TableGrid"/>
    <w:uiPriority w:val="59"/>
    <w:rsid w:val="00F9695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Normal"/>
    <w:link w:val="TablecaptionChar"/>
    <w:qFormat/>
    <w:rsid w:val="00F9695B"/>
    <w:pPr>
      <w:keepNext/>
      <w:keepLines/>
      <w:spacing w:before="240" w:after="240"/>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F9695B"/>
    <w:rPr>
      <w:rFonts w:ascii="Arial Narrow" w:eastAsia="Times New Roman" w:hAnsi="Arial Narrow" w:cs="Arial"/>
      <w:sz w:val="20"/>
      <w:szCs w:val="20"/>
      <w:lang w:eastAsia="en-US"/>
    </w:rPr>
  </w:style>
  <w:style w:type="paragraph" w:customStyle="1" w:styleId="Guidelines">
    <w:name w:val="Guidelines"/>
    <w:basedOn w:val="Normal"/>
    <w:link w:val="GuidelinesChar"/>
    <w:qFormat/>
    <w:rsid w:val="00F9695B"/>
    <w:pPr>
      <w:numPr>
        <w:numId w:val="30"/>
      </w:numPr>
      <w:jc w:val="both"/>
    </w:pPr>
    <w:rPr>
      <w:rFonts w:ascii="Garamond" w:hAnsi="Garamond"/>
      <w:color w:val="548DD4" w:themeColor="text2" w:themeTint="99"/>
      <w:szCs w:val="24"/>
      <w:lang w:eastAsia="en-US"/>
    </w:rPr>
  </w:style>
  <w:style w:type="character" w:customStyle="1" w:styleId="GuidelinesChar">
    <w:name w:val="Guidelines Char"/>
    <w:basedOn w:val="DefaultParagraphFont"/>
    <w:link w:val="Guidelines"/>
    <w:rsid w:val="00F9695B"/>
    <w:rPr>
      <w:rFonts w:ascii="Garamond" w:eastAsia="Times New Roman" w:hAnsi="Garamond"/>
      <w:color w:val="548DD4" w:themeColor="text2" w:themeTint="99"/>
      <w:sz w:val="24"/>
      <w:szCs w:val="24"/>
      <w:lang w:eastAsia="en-US"/>
    </w:rPr>
  </w:style>
  <w:style w:type="table" w:customStyle="1" w:styleId="Summarybox2">
    <w:name w:val="Summary box2"/>
    <w:basedOn w:val="TableNormal"/>
    <w:next w:val="TableGrid"/>
    <w:uiPriority w:val="59"/>
    <w:rsid w:val="00F9695B"/>
    <w:rPr>
      <w:rFonts w:ascii="Arial Narrow" w:eastAsia="Times New Roman" w:hAnsi="Arial Narrow" w:cs="Arial Narrow"/>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bold">
    <w:name w:val="Table text bold"/>
    <w:basedOn w:val="Normal"/>
    <w:link w:val="TabletextboldChar"/>
    <w:qFormat/>
    <w:rsid w:val="00F9695B"/>
    <w:pPr>
      <w:keepNext/>
      <w:spacing w:before="240" w:after="240"/>
      <w:jc w:val="center"/>
    </w:pPr>
    <w:rPr>
      <w:rFonts w:ascii="Arial Narrow" w:hAnsi="Arial Narrow" w:cs="Arial"/>
      <w:b/>
      <w:sz w:val="20"/>
      <w:lang w:eastAsia="en-US"/>
    </w:rPr>
  </w:style>
  <w:style w:type="character" w:customStyle="1" w:styleId="TabletextboldChar">
    <w:name w:val="Table text bold Char"/>
    <w:basedOn w:val="DefaultParagraphFont"/>
    <w:link w:val="Tabletextbold"/>
    <w:rsid w:val="00F9695B"/>
    <w:rPr>
      <w:rFonts w:ascii="Arial Narrow" w:eastAsia="Times New Roman" w:hAnsi="Arial Narrow" w:cs="Arial"/>
      <w:b/>
      <w:sz w:val="20"/>
      <w:szCs w:val="20"/>
      <w:lang w:eastAsia="en-US"/>
    </w:rPr>
  </w:style>
  <w:style w:type="paragraph" w:customStyle="1" w:styleId="Tabletextboldleft">
    <w:name w:val="Table text bold left"/>
    <w:basedOn w:val="Tabletextbold"/>
    <w:link w:val="TabletextboldleftChar"/>
    <w:qFormat/>
    <w:rsid w:val="00F9695B"/>
    <w:pPr>
      <w:jc w:val="left"/>
    </w:pPr>
  </w:style>
  <w:style w:type="character" w:customStyle="1" w:styleId="TabletextboldleftChar">
    <w:name w:val="Table text bold left Char"/>
    <w:basedOn w:val="TabletextboldChar"/>
    <w:link w:val="Tabletextboldleft"/>
    <w:rsid w:val="00F9695B"/>
    <w:rPr>
      <w:rFonts w:ascii="Arial Narrow" w:eastAsia="Times New Roman" w:hAnsi="Arial Narrow" w:cs="Arial"/>
      <w:b/>
      <w:sz w:val="20"/>
      <w:szCs w:val="20"/>
      <w:lang w:eastAsia="en-US"/>
    </w:rPr>
  </w:style>
  <w:style w:type="table" w:customStyle="1" w:styleId="TableGrid1">
    <w:name w:val="Table Grid1"/>
    <w:basedOn w:val="TableNormal"/>
    <w:next w:val="TableGrid"/>
    <w:uiPriority w:val="59"/>
    <w:rsid w:val="00F9695B"/>
    <w:rPr>
      <w:rFonts w:ascii="Calibri" w:eastAsiaTheme="minorHAnsi" w:hAnsi="Calibr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59"/>
    <w:rsid w:val="00F9695B"/>
    <w:rPr>
      <w:rFonts w:ascii="Arial Narrow" w:eastAsia="Times New Roman" w:hAnsi="Arial Narrow" w:cs="Arial Narrow"/>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locked/>
    <w:rsid w:val="00074132"/>
    <w:rPr>
      <w:rFonts w:ascii="Garamond" w:eastAsia="Times New Roman" w:hAnsi="Garamond" w:cs="Times New Roman"/>
      <w:i/>
      <w:sz w:val="24"/>
      <w:szCs w:val="24"/>
    </w:rPr>
  </w:style>
  <w:style w:type="character" w:styleId="FollowedHyperlink">
    <w:name w:val="FollowedHyperlink"/>
    <w:basedOn w:val="DefaultParagraphFont"/>
    <w:uiPriority w:val="99"/>
    <w:semiHidden/>
    <w:unhideWhenUsed/>
    <w:rsid w:val="00016637"/>
    <w:rPr>
      <w:color w:val="800080" w:themeColor="followedHyperlink"/>
      <w:u w:val="single"/>
    </w:rPr>
  </w:style>
  <w:style w:type="table" w:customStyle="1" w:styleId="TableGrid12">
    <w:name w:val="Table Grid12"/>
    <w:basedOn w:val="TableNormal"/>
    <w:next w:val="TableGrid"/>
    <w:rsid w:val="00C4555E"/>
    <w:pPr>
      <w:widowControl w:val="0"/>
      <w:jc w:val="both"/>
    </w:pPr>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6A9CD-34B4-494F-BD2F-70354826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1057</Words>
  <Characters>5540</Characters>
  <Application>Microsoft Office Word</Application>
  <DocSecurity>0</DocSecurity>
  <Lines>46</Lines>
  <Paragraphs>13</Paragraphs>
  <ScaleCrop>false</ScaleCrop>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2020-08-13T07:40:00Z</dcterms:created>
  <dcterms:modified xsi:type="dcterms:W3CDTF">2020-08-13T07:40:00Z</dcterms:modified>
</cp:coreProperties>
</file>