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3EF1B" w14:textId="77777777"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6350B7B0" wp14:editId="2AA3BE5E">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2298D8A5" w14:textId="77777777" w:rsidR="00303C94" w:rsidRPr="007919DA" w:rsidRDefault="00303C94" w:rsidP="00A601AC">
      <w:pPr>
        <w:pStyle w:val="Heading10"/>
        <w:jc w:val="center"/>
        <w:rPr>
          <w:sz w:val="44"/>
          <w:szCs w:val="48"/>
        </w:rPr>
      </w:pPr>
    </w:p>
    <w:p w14:paraId="5CBBF2C1" w14:textId="77777777" w:rsidR="0044715D" w:rsidRPr="007919DA" w:rsidRDefault="005F4D2F" w:rsidP="00A601AC">
      <w:pPr>
        <w:pStyle w:val="Heading10"/>
        <w:jc w:val="center"/>
        <w:rPr>
          <w:sz w:val="44"/>
          <w:szCs w:val="48"/>
        </w:rPr>
      </w:pPr>
      <w:r w:rsidRPr="007919DA">
        <w:rPr>
          <w:sz w:val="44"/>
          <w:szCs w:val="48"/>
        </w:rPr>
        <w:t xml:space="preserve">Application </w:t>
      </w:r>
      <w:r w:rsidR="00A64B73" w:rsidRPr="007919DA">
        <w:rPr>
          <w:sz w:val="44"/>
          <w:szCs w:val="48"/>
        </w:rPr>
        <w:t>1452</w:t>
      </w:r>
      <w:r w:rsidR="00303C94" w:rsidRPr="007919DA">
        <w:rPr>
          <w:sz w:val="44"/>
          <w:szCs w:val="48"/>
        </w:rPr>
        <w:t>:</w:t>
      </w:r>
    </w:p>
    <w:p w14:paraId="315CB486" w14:textId="662BB13E" w:rsidR="00303C94" w:rsidRPr="006E181A" w:rsidRDefault="00A64B73" w:rsidP="00A601AC">
      <w:pPr>
        <w:pStyle w:val="Heading10"/>
        <w:jc w:val="center"/>
        <w:rPr>
          <w:color w:val="1F497D" w:themeColor="text2"/>
          <w:sz w:val="44"/>
          <w:szCs w:val="48"/>
        </w:rPr>
      </w:pPr>
      <w:r w:rsidRPr="006E181A">
        <w:rPr>
          <w:color w:val="1F497D" w:themeColor="text2"/>
          <w:sz w:val="44"/>
          <w:szCs w:val="48"/>
        </w:rPr>
        <w:t>Pembrolizumab (MK-3475) in Mismatch Repair Deficient Stage IV Colorectal Carcinoma</w:t>
      </w:r>
    </w:p>
    <w:p w14:paraId="4C864D6C" w14:textId="77777777" w:rsidR="007919DA" w:rsidRPr="007919DA" w:rsidRDefault="007919DA" w:rsidP="00A601AC">
      <w:pPr>
        <w:pStyle w:val="Heading10"/>
        <w:jc w:val="center"/>
        <w:rPr>
          <w:sz w:val="44"/>
          <w:szCs w:val="48"/>
        </w:rPr>
      </w:pPr>
    </w:p>
    <w:p w14:paraId="575512C8" w14:textId="77777777" w:rsidR="00D46C89" w:rsidRDefault="00D46C89" w:rsidP="003D699E">
      <w:pPr>
        <w:pStyle w:val="Heading10"/>
        <w:jc w:val="center"/>
        <w:rPr>
          <w:sz w:val="72"/>
          <w:szCs w:val="72"/>
        </w:rPr>
      </w:pPr>
      <w:r>
        <w:rPr>
          <w:sz w:val="72"/>
          <w:szCs w:val="72"/>
        </w:rPr>
        <w:t>PICO Confirmation</w:t>
      </w:r>
    </w:p>
    <w:p w14:paraId="75BE67BB" w14:textId="77777777" w:rsidR="003D699E" w:rsidRDefault="003D699E" w:rsidP="00382875">
      <w:pPr>
        <w:spacing w:before="180"/>
        <w:jc w:val="center"/>
        <w:rPr>
          <w:rFonts w:ascii="Arial" w:hAnsi="Arial" w:cs="Arial"/>
          <w:b/>
          <w:sz w:val="32"/>
          <w:szCs w:val="32"/>
        </w:rPr>
      </w:pPr>
      <w:r w:rsidRPr="00606857">
        <w:rPr>
          <w:rFonts w:ascii="Arial" w:hAnsi="Arial" w:cs="Arial"/>
          <w:b/>
          <w:sz w:val="32"/>
          <w:szCs w:val="32"/>
        </w:rPr>
        <w:t>(</w:t>
      </w:r>
      <w:proofErr w:type="gramStart"/>
      <w:r w:rsidR="00A84A56">
        <w:rPr>
          <w:rFonts w:ascii="Arial" w:hAnsi="Arial" w:cs="Arial"/>
          <w:b/>
          <w:sz w:val="32"/>
          <w:szCs w:val="32"/>
        </w:rPr>
        <w:t>t</w:t>
      </w:r>
      <w:r w:rsidR="00382875">
        <w:rPr>
          <w:rFonts w:ascii="Arial" w:hAnsi="Arial" w:cs="Arial"/>
          <w:b/>
          <w:sz w:val="32"/>
          <w:szCs w:val="32"/>
        </w:rPr>
        <w:t>o</w:t>
      </w:r>
      <w:proofErr w:type="gramEnd"/>
      <w:r w:rsidR="00382875">
        <w:rPr>
          <w:rFonts w:ascii="Arial" w:hAnsi="Arial" w:cs="Arial"/>
          <w:b/>
          <w:sz w:val="32"/>
          <w:szCs w:val="32"/>
        </w:rPr>
        <w:t xml:space="preserve"> guide a new application to MSAC</w:t>
      </w:r>
      <w:r w:rsidRPr="00606857">
        <w:rPr>
          <w:rFonts w:ascii="Arial" w:hAnsi="Arial" w:cs="Arial"/>
          <w:b/>
          <w:sz w:val="32"/>
          <w:szCs w:val="32"/>
        </w:rPr>
        <w:t>)</w:t>
      </w:r>
    </w:p>
    <w:p w14:paraId="3CC312D8" w14:textId="77777777" w:rsidR="00AD2B95" w:rsidRDefault="00AD2B95" w:rsidP="00AD2B95">
      <w:pPr>
        <w:spacing w:before="180"/>
        <w:jc w:val="center"/>
        <w:rPr>
          <w:rFonts w:ascii="Arial" w:hAnsi="Arial" w:cs="Arial"/>
          <w:b/>
          <w:sz w:val="32"/>
          <w:szCs w:val="32"/>
        </w:rPr>
      </w:pPr>
    </w:p>
    <w:p w14:paraId="6CECD095" w14:textId="77777777" w:rsidR="00AD2B95" w:rsidRDefault="00AD2B95" w:rsidP="00AD2B95">
      <w:pPr>
        <w:spacing w:before="180"/>
        <w:jc w:val="center"/>
        <w:rPr>
          <w:rFonts w:ascii="Arial" w:hAnsi="Arial" w:cs="Arial"/>
          <w:b/>
          <w:sz w:val="32"/>
          <w:szCs w:val="32"/>
        </w:rPr>
      </w:pPr>
      <w:r w:rsidRPr="00EF6089">
        <w:rPr>
          <w:rFonts w:ascii="Arial" w:hAnsi="Arial" w:cs="Arial"/>
          <w:b/>
          <w:sz w:val="32"/>
          <w:szCs w:val="32"/>
        </w:rPr>
        <w:t>December 2016</w:t>
      </w:r>
    </w:p>
    <w:p w14:paraId="4CCC49B1" w14:textId="31D1F1D9" w:rsidR="00EC103D" w:rsidRPr="004A27EE" w:rsidRDefault="00EC103D" w:rsidP="004A27EE">
      <w:pPr>
        <w:spacing w:after="0"/>
        <w:jc w:val="both"/>
        <w:rPr>
          <w:sz w:val="20"/>
          <w:szCs w:val="20"/>
        </w:rPr>
      </w:pPr>
      <w:r w:rsidRPr="0073757B">
        <w:rPr>
          <w:vanish/>
          <w:color w:val="FF0000"/>
        </w:rPr>
        <w:br w:type="page"/>
      </w:r>
    </w:p>
    <w:p w14:paraId="19475E52" w14:textId="7AC3578D" w:rsidR="00F12E59" w:rsidRDefault="0044715D" w:rsidP="00EF09A5">
      <w:pPr>
        <w:pStyle w:val="Heading2"/>
        <w:ind w:left="426" w:hanging="426"/>
      </w:pPr>
      <w:r w:rsidRPr="00521C35">
        <w:lastRenderedPageBreak/>
        <w:t>Summary of PICO</w:t>
      </w:r>
      <w:r w:rsidR="00A84A56" w:rsidRPr="00521C35">
        <w:t>/PPICO</w:t>
      </w:r>
      <w:r w:rsidRPr="00521C35">
        <w:t xml:space="preserve"> criteria</w:t>
      </w:r>
      <w:bookmarkEnd w:id="0"/>
      <w:bookmarkEnd w:id="1"/>
      <w:r w:rsidR="00F12E59" w:rsidRPr="00521C35">
        <w:t xml:space="preserve"> to define the question(s) to be addressed in an Assessment Report to the Medical Services Advisory Committee (MSAC)</w:t>
      </w:r>
    </w:p>
    <w:p w14:paraId="03686847" w14:textId="3CF41403" w:rsidR="003E6BD0" w:rsidRPr="003E6BD0" w:rsidRDefault="003E6BD0" w:rsidP="003E6BD0">
      <w:r>
        <w:t>If direct evidence is available, direct effectiveness of the intervention can be determined using the following PICO criteria.</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Description w:val="Summary of PICO/PPICO criteria for direct evidence"/>
      </w:tblPr>
      <w:tblGrid>
        <w:gridCol w:w="1444"/>
        <w:gridCol w:w="7798"/>
      </w:tblGrid>
      <w:tr w:rsidR="0044715D" w:rsidRPr="00084393" w14:paraId="5DB391D4" w14:textId="77777777" w:rsidTr="00FD6BEC">
        <w:trPr>
          <w:tblHeader/>
        </w:trPr>
        <w:tc>
          <w:tcPr>
            <w:tcW w:w="781" w:type="pct"/>
            <w:tcBorders>
              <w:top w:val="single" w:sz="8" w:space="0" w:color="auto"/>
              <w:bottom w:val="single" w:sz="8" w:space="0" w:color="auto"/>
              <w:right w:val="single" w:sz="4" w:space="0" w:color="auto"/>
            </w:tcBorders>
            <w:shd w:val="clear" w:color="auto" w:fill="D9D9D9"/>
          </w:tcPr>
          <w:p w14:paraId="61FA285C" w14:textId="77777777" w:rsidR="0044715D" w:rsidRPr="00084393" w:rsidRDefault="00A84A56" w:rsidP="00FD6BEC">
            <w:pPr>
              <w:spacing w:before="40" w:after="40" w:line="240" w:lineRule="auto"/>
              <w:rPr>
                <w:b/>
              </w:rPr>
            </w:pPr>
            <w:r>
              <w:rPr>
                <w:b/>
              </w:rPr>
              <w:t>Component</w:t>
            </w:r>
          </w:p>
        </w:tc>
        <w:tc>
          <w:tcPr>
            <w:tcW w:w="4219" w:type="pct"/>
            <w:tcBorders>
              <w:top w:val="single" w:sz="4" w:space="0" w:color="auto"/>
              <w:left w:val="single" w:sz="4" w:space="0" w:color="auto"/>
              <w:bottom w:val="single" w:sz="4" w:space="0" w:color="auto"/>
              <w:right w:val="single" w:sz="4" w:space="0" w:color="auto"/>
            </w:tcBorders>
            <w:shd w:val="clear" w:color="auto" w:fill="D9D9D9"/>
          </w:tcPr>
          <w:p w14:paraId="54EB3094" w14:textId="77777777" w:rsidR="0044715D" w:rsidRPr="00084393" w:rsidRDefault="0044715D" w:rsidP="00FD6BEC">
            <w:pPr>
              <w:spacing w:before="40" w:after="40" w:line="240" w:lineRule="auto"/>
              <w:jc w:val="both"/>
              <w:rPr>
                <w:b/>
              </w:rPr>
            </w:pPr>
            <w:r>
              <w:rPr>
                <w:b/>
              </w:rPr>
              <w:t>Description</w:t>
            </w:r>
          </w:p>
        </w:tc>
      </w:tr>
      <w:tr w:rsidR="0044715D" w:rsidRPr="00084393" w14:paraId="3B365099" w14:textId="77777777" w:rsidTr="00FD6BEC">
        <w:tc>
          <w:tcPr>
            <w:tcW w:w="781" w:type="pct"/>
            <w:tcBorders>
              <w:top w:val="single" w:sz="8" w:space="0" w:color="auto"/>
              <w:right w:val="single" w:sz="4" w:space="0" w:color="auto"/>
            </w:tcBorders>
          </w:tcPr>
          <w:p w14:paraId="4CEE59B7" w14:textId="77777777" w:rsidR="0044715D" w:rsidRPr="00084393" w:rsidRDefault="0044715D" w:rsidP="00FD6BEC">
            <w:pPr>
              <w:spacing w:before="40" w:after="40" w:line="240" w:lineRule="auto"/>
              <w:rPr>
                <w:rFonts w:cs="Arial"/>
              </w:rPr>
            </w:pPr>
            <w:r w:rsidRPr="00084393">
              <w:rPr>
                <w:rFonts w:cs="Arial"/>
              </w:rPr>
              <w:t>Patients</w:t>
            </w:r>
          </w:p>
        </w:tc>
        <w:tc>
          <w:tcPr>
            <w:tcW w:w="4219" w:type="pct"/>
            <w:tcBorders>
              <w:top w:val="single" w:sz="4" w:space="0" w:color="auto"/>
              <w:left w:val="single" w:sz="4" w:space="0" w:color="auto"/>
              <w:bottom w:val="single" w:sz="4" w:space="0" w:color="auto"/>
              <w:right w:val="single" w:sz="4" w:space="0" w:color="auto"/>
            </w:tcBorders>
          </w:tcPr>
          <w:p w14:paraId="6EF4AA4D" w14:textId="0EDC9EFC" w:rsidR="0044715D" w:rsidRPr="00A64B73" w:rsidRDefault="00A64B73" w:rsidP="00FD6BEC">
            <w:pPr>
              <w:spacing w:before="40" w:after="40"/>
            </w:pPr>
            <w:r w:rsidRPr="00A64B73">
              <w:t>P</w:t>
            </w:r>
            <w:bookmarkStart w:id="2" w:name="_GoBack"/>
            <w:bookmarkEnd w:id="2"/>
            <w:r w:rsidRPr="00A64B73">
              <w:t>atients</w:t>
            </w:r>
            <w:r>
              <w:t xml:space="preserve"> </w:t>
            </w:r>
            <w:r w:rsidRPr="00A64B73">
              <w:t xml:space="preserve">diagnosed with </w:t>
            </w:r>
            <w:r w:rsidR="00102C05">
              <w:t>colorectal cancer</w:t>
            </w:r>
            <w:r w:rsidR="00FD6BEC">
              <w:t xml:space="preserve"> </w:t>
            </w:r>
            <w:r w:rsidR="00CB578F">
              <w:t>(</w:t>
            </w:r>
            <w:r w:rsidR="003F7944">
              <w:t xml:space="preserve">CRC; </w:t>
            </w:r>
            <w:r w:rsidR="00CB578F">
              <w:t xml:space="preserve">stage IV at time of </w:t>
            </w:r>
            <w:r w:rsidR="00FD6BEC">
              <w:t xml:space="preserve">treatment with </w:t>
            </w:r>
            <w:r w:rsidR="00CB578F">
              <w:t>pembrolizumab)</w:t>
            </w:r>
          </w:p>
        </w:tc>
      </w:tr>
      <w:tr w:rsidR="00407525" w:rsidRPr="00084393" w14:paraId="6281C0DB" w14:textId="77777777" w:rsidTr="00407525">
        <w:tc>
          <w:tcPr>
            <w:tcW w:w="781" w:type="pct"/>
            <w:tcBorders>
              <w:top w:val="single" w:sz="8" w:space="0" w:color="auto"/>
              <w:right w:val="single" w:sz="4" w:space="0" w:color="auto"/>
            </w:tcBorders>
          </w:tcPr>
          <w:p w14:paraId="27FF58B1" w14:textId="77777777" w:rsidR="00407525" w:rsidRPr="00084393" w:rsidRDefault="00407525" w:rsidP="00E3554D">
            <w:pPr>
              <w:spacing w:before="20" w:after="20" w:line="240" w:lineRule="auto"/>
              <w:rPr>
                <w:rFonts w:cs="Arial"/>
              </w:rPr>
            </w:pPr>
            <w:r>
              <w:rPr>
                <w:rFonts w:cs="Arial"/>
              </w:rPr>
              <w:t>Prior tests</w:t>
            </w:r>
          </w:p>
        </w:tc>
        <w:tc>
          <w:tcPr>
            <w:tcW w:w="4219" w:type="pct"/>
            <w:tcBorders>
              <w:top w:val="single" w:sz="4" w:space="0" w:color="auto"/>
              <w:left w:val="single" w:sz="4" w:space="0" w:color="auto"/>
              <w:bottom w:val="single" w:sz="4" w:space="0" w:color="auto"/>
              <w:right w:val="single" w:sz="4" w:space="0" w:color="auto"/>
            </w:tcBorders>
          </w:tcPr>
          <w:p w14:paraId="09FA4DA7" w14:textId="533C3BF6" w:rsidR="00407525" w:rsidRPr="00D26848" w:rsidRDefault="00407525" w:rsidP="003F7944">
            <w:pPr>
              <w:rPr>
                <w:rFonts w:cs="Arial"/>
              </w:rPr>
            </w:pPr>
            <w:r>
              <w:rPr>
                <w:rFonts w:cs="Arial"/>
              </w:rPr>
              <w:t xml:space="preserve">Routine histology, cytology and </w:t>
            </w:r>
            <w:proofErr w:type="spellStart"/>
            <w:r>
              <w:rPr>
                <w:rFonts w:cs="Arial"/>
              </w:rPr>
              <w:t>immunohistochemical</w:t>
            </w:r>
            <w:proofErr w:type="spellEnd"/>
            <w:r>
              <w:rPr>
                <w:rFonts w:cs="Arial"/>
              </w:rPr>
              <w:t xml:space="preserve"> </w:t>
            </w:r>
            <w:r w:rsidR="003F7944">
              <w:rPr>
                <w:rFonts w:cs="Arial"/>
              </w:rPr>
              <w:t xml:space="preserve">(IHC) </w:t>
            </w:r>
            <w:r>
              <w:rPr>
                <w:rFonts w:cs="Arial"/>
              </w:rPr>
              <w:t xml:space="preserve">tests to confirm diagnosis and stage of </w:t>
            </w:r>
            <w:r w:rsidR="003F7944">
              <w:rPr>
                <w:rFonts w:cs="Arial"/>
              </w:rPr>
              <w:t>CRC</w:t>
            </w:r>
          </w:p>
        </w:tc>
      </w:tr>
      <w:tr w:rsidR="00A84A56" w:rsidRPr="00084393" w14:paraId="6FFAD790" w14:textId="77777777" w:rsidTr="00FD6BEC">
        <w:tc>
          <w:tcPr>
            <w:tcW w:w="781" w:type="pct"/>
            <w:tcBorders>
              <w:right w:val="single" w:sz="4" w:space="0" w:color="auto"/>
            </w:tcBorders>
          </w:tcPr>
          <w:p w14:paraId="3218DD9D" w14:textId="77777777" w:rsidR="00A84A56" w:rsidRPr="00084393" w:rsidRDefault="00A84A56" w:rsidP="00FD6BEC">
            <w:pPr>
              <w:spacing w:before="40" w:after="40" w:line="240" w:lineRule="auto"/>
              <w:rPr>
                <w:rFonts w:cs="Arial"/>
              </w:rPr>
            </w:pPr>
            <w:r w:rsidRPr="00084393">
              <w:rPr>
                <w:rFonts w:cs="Arial"/>
              </w:rPr>
              <w:t>Intervention</w:t>
            </w:r>
          </w:p>
        </w:tc>
        <w:tc>
          <w:tcPr>
            <w:tcW w:w="4219" w:type="pct"/>
            <w:tcBorders>
              <w:top w:val="single" w:sz="4" w:space="0" w:color="auto"/>
              <w:left w:val="single" w:sz="4" w:space="0" w:color="auto"/>
              <w:bottom w:val="single" w:sz="4" w:space="0" w:color="auto"/>
              <w:right w:val="single" w:sz="4" w:space="0" w:color="auto"/>
            </w:tcBorders>
          </w:tcPr>
          <w:p w14:paraId="38F95D17" w14:textId="4C7F92B6" w:rsidR="001526E6" w:rsidRDefault="003F7944" w:rsidP="003F7944">
            <w:pPr>
              <w:pStyle w:val="ListParagraph"/>
              <w:numPr>
                <w:ilvl w:val="0"/>
                <w:numId w:val="16"/>
              </w:numPr>
              <w:spacing w:before="40" w:after="40"/>
              <w:ind w:left="317"/>
            </w:pPr>
            <w:r>
              <w:t>IHC</w:t>
            </w:r>
            <w:r w:rsidR="003A7A02">
              <w:t xml:space="preserve"> </w:t>
            </w:r>
            <w:r w:rsidR="001526E6" w:rsidRPr="001526E6">
              <w:t xml:space="preserve">mismatch repair </w:t>
            </w:r>
            <w:r>
              <w:t xml:space="preserve">(MMR) </w:t>
            </w:r>
            <w:r w:rsidR="001526E6" w:rsidRPr="001526E6">
              <w:t>deficiency</w:t>
            </w:r>
            <w:r w:rsidR="001526E6">
              <w:t xml:space="preserve"> testing using antibodies </w:t>
            </w:r>
            <w:r w:rsidR="001526E6" w:rsidRPr="001526E6">
              <w:t xml:space="preserve">directed against </w:t>
            </w:r>
            <w:r w:rsidR="003A7A02">
              <w:t xml:space="preserve">the four </w:t>
            </w:r>
            <w:r>
              <w:t>MMR</w:t>
            </w:r>
            <w:r w:rsidR="003A7A02" w:rsidRPr="003A7A02">
              <w:t xml:space="preserve"> </w:t>
            </w:r>
            <w:r w:rsidR="001526E6" w:rsidRPr="001526E6">
              <w:t>protein</w:t>
            </w:r>
            <w:r w:rsidR="00102C05">
              <w:t>s</w:t>
            </w:r>
            <w:r w:rsidR="001526E6" w:rsidRPr="001526E6">
              <w:t xml:space="preserve"> </w:t>
            </w:r>
            <w:r w:rsidR="001526E6">
              <w:t xml:space="preserve">to </w:t>
            </w:r>
            <w:r w:rsidR="003A7A02">
              <w:t>detect a deficiency for</w:t>
            </w:r>
            <w:r w:rsidR="001526E6">
              <w:t xml:space="preserve"> eligibility for treatment with pembrolizumab</w:t>
            </w:r>
            <w:r w:rsidR="00102C05">
              <w:t xml:space="preserve"> on progression to </w:t>
            </w:r>
            <w:r w:rsidR="00FD6BEC">
              <w:t>s</w:t>
            </w:r>
            <w:r w:rsidR="00102C05">
              <w:t>tage IV</w:t>
            </w:r>
            <w:r w:rsidR="00C025EA">
              <w:t xml:space="preserve"> </w:t>
            </w:r>
            <w:r>
              <w:t>CRC</w:t>
            </w:r>
            <w:r w:rsidR="00CB578F">
              <w:t xml:space="preserve">, and standard </w:t>
            </w:r>
            <w:r w:rsidR="00FD6BEC">
              <w:t xml:space="preserve">of </w:t>
            </w:r>
            <w:r w:rsidR="00CB578F">
              <w:t>care in those with proficient MMR</w:t>
            </w:r>
          </w:p>
          <w:p w14:paraId="7EFAA0E1" w14:textId="5D8B72E6" w:rsidR="009245FB" w:rsidRPr="001526E6" w:rsidRDefault="009245FB" w:rsidP="003F7944">
            <w:pPr>
              <w:pStyle w:val="ListParagraph"/>
              <w:numPr>
                <w:ilvl w:val="0"/>
                <w:numId w:val="16"/>
              </w:numPr>
              <w:spacing w:before="40" w:after="40"/>
              <w:ind w:left="317"/>
            </w:pPr>
            <w:r>
              <w:t>Current testing regimen</w:t>
            </w:r>
            <w:r w:rsidRPr="009245FB">
              <w:rPr>
                <w:rFonts w:asciiTheme="minorHAnsi" w:eastAsia="SimSun" w:hAnsiTheme="minorHAnsi"/>
                <w:szCs w:val="20"/>
                <w:vertAlign w:val="superscript"/>
                <w:lang w:val="en-GB"/>
              </w:rPr>
              <w:t>a</w:t>
            </w:r>
            <w:r>
              <w:t xml:space="preserve"> plus pembrolizumab</w:t>
            </w:r>
          </w:p>
        </w:tc>
      </w:tr>
      <w:tr w:rsidR="00A84A56" w:rsidRPr="00084393" w14:paraId="4AE8A5C6" w14:textId="77777777" w:rsidTr="00FD6BEC">
        <w:trPr>
          <w:trHeight w:val="466"/>
        </w:trPr>
        <w:tc>
          <w:tcPr>
            <w:tcW w:w="781" w:type="pct"/>
            <w:tcBorders>
              <w:right w:val="single" w:sz="4" w:space="0" w:color="auto"/>
            </w:tcBorders>
          </w:tcPr>
          <w:p w14:paraId="5B5B66E7" w14:textId="77777777" w:rsidR="00A84A56" w:rsidRPr="00084393" w:rsidRDefault="00A84A56" w:rsidP="00FD6BEC">
            <w:pPr>
              <w:spacing w:before="40" w:after="40" w:line="240" w:lineRule="auto"/>
              <w:rPr>
                <w:rFonts w:cs="Arial"/>
              </w:rPr>
            </w:pPr>
            <w:r w:rsidRPr="00084393">
              <w:rPr>
                <w:rFonts w:cs="Arial"/>
              </w:rPr>
              <w:t>Comparator</w:t>
            </w:r>
          </w:p>
        </w:tc>
        <w:tc>
          <w:tcPr>
            <w:tcW w:w="4219" w:type="pct"/>
            <w:tcBorders>
              <w:top w:val="single" w:sz="4" w:space="0" w:color="auto"/>
              <w:left w:val="single" w:sz="4" w:space="0" w:color="auto"/>
              <w:bottom w:val="single" w:sz="4" w:space="0" w:color="auto"/>
              <w:right w:val="single" w:sz="4" w:space="0" w:color="auto"/>
            </w:tcBorders>
          </w:tcPr>
          <w:p w14:paraId="57008B30" w14:textId="5E73533C" w:rsidR="001526E6" w:rsidRPr="001526E6" w:rsidRDefault="00A812C5" w:rsidP="00FD6BEC">
            <w:pPr>
              <w:spacing w:before="40" w:after="40"/>
            </w:pPr>
            <w:r>
              <w:t>Current testing regimen</w:t>
            </w:r>
            <w:r>
              <w:rPr>
                <w:rFonts w:asciiTheme="minorHAnsi" w:eastAsia="SimSun" w:hAnsiTheme="minorHAnsi"/>
                <w:szCs w:val="20"/>
                <w:vertAlign w:val="superscript"/>
                <w:lang w:val="en-GB"/>
              </w:rPr>
              <w:t>a</w:t>
            </w:r>
            <w:r>
              <w:t xml:space="preserve"> </w:t>
            </w:r>
            <w:r w:rsidR="001526E6">
              <w:t xml:space="preserve">plus standard </w:t>
            </w:r>
            <w:r w:rsidR="00FD6BEC">
              <w:t xml:space="preserve">of </w:t>
            </w:r>
            <w:r w:rsidR="001526E6">
              <w:t>care (chemotherapy</w:t>
            </w:r>
            <w:r w:rsidR="00EC4089">
              <w:t xml:space="preserve"> with a combination of two drugs)</w:t>
            </w:r>
          </w:p>
        </w:tc>
      </w:tr>
      <w:tr w:rsidR="00A84A56" w:rsidRPr="00084393" w14:paraId="12D92D4F" w14:textId="77777777" w:rsidTr="00FD6BEC">
        <w:tc>
          <w:tcPr>
            <w:tcW w:w="781" w:type="pct"/>
            <w:tcBorders>
              <w:right w:val="single" w:sz="4" w:space="0" w:color="auto"/>
            </w:tcBorders>
          </w:tcPr>
          <w:p w14:paraId="5A2C8800" w14:textId="77777777" w:rsidR="00A84A56" w:rsidRPr="00084393" w:rsidRDefault="00A84A56" w:rsidP="00FD6BEC">
            <w:pPr>
              <w:spacing w:before="40" w:after="40" w:line="240" w:lineRule="auto"/>
              <w:rPr>
                <w:rFonts w:cs="Arial"/>
              </w:rPr>
            </w:pPr>
            <w:r w:rsidRPr="00084393">
              <w:rPr>
                <w:rFonts w:cs="Arial"/>
              </w:rPr>
              <w:t>Outcomes</w:t>
            </w:r>
          </w:p>
        </w:tc>
        <w:tc>
          <w:tcPr>
            <w:tcW w:w="4219" w:type="pct"/>
            <w:tcBorders>
              <w:top w:val="single" w:sz="4" w:space="0" w:color="auto"/>
              <w:left w:val="single" w:sz="4" w:space="0" w:color="auto"/>
              <w:bottom w:val="single" w:sz="4" w:space="0" w:color="auto"/>
              <w:right w:val="single" w:sz="4" w:space="0" w:color="auto"/>
            </w:tcBorders>
          </w:tcPr>
          <w:p w14:paraId="60DACB82" w14:textId="17170966" w:rsidR="00D72055" w:rsidRDefault="002A0773" w:rsidP="00FD6BEC">
            <w:pPr>
              <w:keepNext/>
              <w:spacing w:before="40" w:after="40" w:line="240" w:lineRule="auto"/>
              <w:rPr>
                <w:rFonts w:asciiTheme="minorHAnsi" w:eastAsia="SimSun" w:hAnsiTheme="minorHAnsi"/>
                <w:b/>
                <w:szCs w:val="20"/>
                <w:lang w:val="en-GB"/>
              </w:rPr>
            </w:pPr>
            <w:r w:rsidRPr="00FD6BEC">
              <w:rPr>
                <w:rFonts w:asciiTheme="minorHAnsi" w:eastAsia="SimSun" w:hAnsiTheme="minorHAnsi" w:cs="Tahoma"/>
                <w:b/>
                <w:szCs w:val="20"/>
                <w:lang w:eastAsia="zh-CN"/>
              </w:rPr>
              <w:t>Safety</w:t>
            </w:r>
            <w:r w:rsidR="00554695" w:rsidRPr="00FD6BEC">
              <w:rPr>
                <w:rFonts w:asciiTheme="minorHAnsi" w:eastAsia="SimSun" w:hAnsiTheme="minorHAnsi" w:cs="Tahoma"/>
                <w:b/>
                <w:szCs w:val="20"/>
                <w:lang w:eastAsia="zh-CN"/>
              </w:rPr>
              <w:t xml:space="preserve"> : </w:t>
            </w:r>
            <w:r w:rsidRPr="002A0773">
              <w:rPr>
                <w:rFonts w:asciiTheme="minorHAnsi" w:eastAsia="SimSun" w:hAnsiTheme="minorHAnsi" w:cs="Tahoma"/>
                <w:szCs w:val="20"/>
                <w:lang w:eastAsia="zh-CN"/>
              </w:rPr>
              <w:t xml:space="preserve">harms from testing </w:t>
            </w:r>
            <w:r w:rsidR="00841CF5" w:rsidRPr="00841CF5">
              <w:rPr>
                <w:rFonts w:asciiTheme="minorHAnsi" w:eastAsia="SimSun" w:hAnsiTheme="minorHAnsi" w:cs="Tahoma"/>
                <w:szCs w:val="20"/>
                <w:lang w:eastAsia="zh-CN"/>
              </w:rPr>
              <w:t xml:space="preserve">(including rates of re-biopsy required for </w:t>
            </w:r>
            <w:r w:rsidR="008A3D0D" w:rsidRPr="00841CF5">
              <w:rPr>
                <w:rFonts w:asciiTheme="minorHAnsi" w:eastAsia="SimSun" w:hAnsiTheme="minorHAnsi" w:cs="Tahoma"/>
                <w:szCs w:val="20"/>
                <w:lang w:eastAsia="zh-CN"/>
              </w:rPr>
              <w:t>testing)</w:t>
            </w:r>
            <w:r w:rsidR="003E362F">
              <w:rPr>
                <w:rFonts w:asciiTheme="minorHAnsi" w:eastAsia="SimSun" w:hAnsiTheme="minorHAnsi" w:cs="Tahoma"/>
                <w:szCs w:val="20"/>
                <w:lang w:eastAsia="zh-CN"/>
              </w:rPr>
              <w:t xml:space="preserve">; </w:t>
            </w:r>
            <w:r w:rsidR="00385AE3" w:rsidRPr="00ED23F4">
              <w:rPr>
                <w:rFonts w:asciiTheme="minorHAnsi" w:eastAsia="SimSun" w:hAnsiTheme="minorHAnsi"/>
                <w:szCs w:val="20"/>
                <w:lang w:val="en-GB"/>
              </w:rPr>
              <w:t>treatment-associated adverse events and tolerability</w:t>
            </w:r>
            <w:r w:rsidR="00D72055" w:rsidRPr="002B74F4">
              <w:rPr>
                <w:rFonts w:asciiTheme="minorHAnsi" w:eastAsia="SimSun" w:hAnsiTheme="minorHAnsi"/>
                <w:b/>
                <w:szCs w:val="20"/>
                <w:lang w:val="en-GB"/>
              </w:rPr>
              <w:t xml:space="preserve"> </w:t>
            </w:r>
          </w:p>
          <w:p w14:paraId="1A0CBF55" w14:textId="69D03D08" w:rsidR="00D72055" w:rsidRPr="002A0773" w:rsidRDefault="00D72055" w:rsidP="00FD6BEC">
            <w:pPr>
              <w:keepNext/>
              <w:spacing w:before="40" w:after="40" w:line="240" w:lineRule="auto"/>
              <w:rPr>
                <w:rFonts w:asciiTheme="minorHAnsi" w:eastAsia="SimSun" w:hAnsiTheme="minorHAnsi" w:cs="Tahoma"/>
                <w:szCs w:val="20"/>
                <w:lang w:eastAsia="zh-CN"/>
              </w:rPr>
            </w:pPr>
            <w:r w:rsidRPr="002B74F4">
              <w:rPr>
                <w:rFonts w:asciiTheme="minorHAnsi" w:eastAsia="SimSun" w:hAnsiTheme="minorHAnsi"/>
                <w:b/>
                <w:szCs w:val="20"/>
                <w:lang w:val="en-GB"/>
              </w:rPr>
              <w:t>Effectiveness</w:t>
            </w:r>
            <w:r>
              <w:rPr>
                <w:rFonts w:asciiTheme="minorHAnsi" w:eastAsia="SimSun" w:hAnsiTheme="minorHAnsi"/>
                <w:b/>
                <w:szCs w:val="20"/>
                <w:lang w:val="en-GB"/>
              </w:rPr>
              <w:t>:</w:t>
            </w:r>
            <w:r w:rsidRPr="002B74F4">
              <w:rPr>
                <w:rFonts w:asciiTheme="minorHAnsi" w:eastAsia="SimSun" w:hAnsiTheme="minorHAnsi"/>
                <w:szCs w:val="20"/>
                <w:lang w:val="en-GB"/>
              </w:rPr>
              <w:t xml:space="preserve"> </w:t>
            </w:r>
            <w:r w:rsidRPr="00ED23F4">
              <w:rPr>
                <w:rFonts w:asciiTheme="minorHAnsi" w:eastAsia="SimSun" w:hAnsiTheme="minorHAnsi"/>
                <w:szCs w:val="20"/>
                <w:lang w:val="en-GB"/>
              </w:rPr>
              <w:t xml:space="preserve">Critical </w:t>
            </w:r>
            <w:proofErr w:type="spellStart"/>
            <w:r w:rsidRPr="00ED23F4">
              <w:rPr>
                <w:rFonts w:asciiTheme="minorHAnsi" w:eastAsia="SimSun" w:hAnsiTheme="minorHAnsi"/>
                <w:szCs w:val="20"/>
                <w:lang w:val="en-GB"/>
              </w:rPr>
              <w:t>outcomes</w:t>
            </w:r>
            <w:r w:rsidR="00A812C5">
              <w:rPr>
                <w:rFonts w:asciiTheme="minorHAnsi" w:eastAsia="SimSun" w:hAnsiTheme="minorHAnsi"/>
                <w:szCs w:val="20"/>
                <w:vertAlign w:val="superscript"/>
                <w:lang w:val="en-GB"/>
              </w:rPr>
              <w:t>b</w:t>
            </w:r>
            <w:proofErr w:type="spellEnd"/>
            <w:r w:rsidRPr="00ED23F4">
              <w:rPr>
                <w:rFonts w:asciiTheme="minorHAnsi" w:eastAsia="SimSun" w:hAnsiTheme="minorHAnsi"/>
                <w:szCs w:val="20"/>
                <w:lang w:val="en-GB"/>
              </w:rPr>
              <w:t>:</w:t>
            </w:r>
            <w:r w:rsidR="00CB578F">
              <w:rPr>
                <w:rFonts w:asciiTheme="minorHAnsi" w:eastAsia="SimSun" w:hAnsiTheme="minorHAnsi"/>
                <w:szCs w:val="20"/>
                <w:lang w:val="en-GB"/>
              </w:rPr>
              <w:t xml:space="preserve"> </w:t>
            </w:r>
            <w:r w:rsidRPr="00ED23F4">
              <w:rPr>
                <w:rFonts w:asciiTheme="minorHAnsi" w:eastAsia="SimSun" w:hAnsiTheme="minorHAnsi"/>
                <w:szCs w:val="20"/>
                <w:lang w:val="en-GB"/>
              </w:rPr>
              <w:t>Overall survival, progression-free survival, overall response rate</w:t>
            </w:r>
            <w:r>
              <w:rPr>
                <w:rFonts w:asciiTheme="minorHAnsi" w:eastAsia="SimSun" w:hAnsiTheme="minorHAnsi"/>
                <w:szCs w:val="20"/>
                <w:lang w:val="en-GB"/>
              </w:rPr>
              <w:t xml:space="preserve">; </w:t>
            </w:r>
            <w:r w:rsidRPr="00ED23F4">
              <w:rPr>
                <w:rFonts w:asciiTheme="minorHAnsi" w:eastAsia="SimSun" w:hAnsiTheme="minorHAnsi"/>
                <w:szCs w:val="20"/>
                <w:lang w:val="en-GB"/>
              </w:rPr>
              <w:t>Impor</w:t>
            </w:r>
            <w:r>
              <w:rPr>
                <w:rFonts w:asciiTheme="minorHAnsi" w:eastAsia="SimSun" w:hAnsiTheme="minorHAnsi"/>
                <w:szCs w:val="20"/>
                <w:lang w:val="en-GB"/>
              </w:rPr>
              <w:t xml:space="preserve">tant </w:t>
            </w:r>
            <w:proofErr w:type="spellStart"/>
            <w:r>
              <w:rPr>
                <w:rFonts w:asciiTheme="minorHAnsi" w:eastAsia="SimSun" w:hAnsiTheme="minorHAnsi"/>
                <w:szCs w:val="20"/>
                <w:lang w:val="en-GB"/>
              </w:rPr>
              <w:t>outcomes</w:t>
            </w:r>
            <w:r w:rsidR="00A812C5">
              <w:rPr>
                <w:rFonts w:asciiTheme="minorHAnsi" w:eastAsia="SimSun" w:hAnsiTheme="minorHAnsi"/>
                <w:szCs w:val="20"/>
                <w:vertAlign w:val="superscript"/>
                <w:lang w:val="en-GB"/>
              </w:rPr>
              <w:t>b</w:t>
            </w:r>
            <w:proofErr w:type="spellEnd"/>
            <w:r>
              <w:rPr>
                <w:rFonts w:asciiTheme="minorHAnsi" w:eastAsia="SimSun" w:hAnsiTheme="minorHAnsi"/>
                <w:szCs w:val="20"/>
                <w:lang w:val="en-GB"/>
              </w:rPr>
              <w:t>: Quality of life</w:t>
            </w:r>
          </w:p>
          <w:p w14:paraId="32737F04" w14:textId="379E67E9" w:rsidR="003E362F" w:rsidRPr="00FD6BEC" w:rsidRDefault="00D72055" w:rsidP="00FD6BEC">
            <w:pPr>
              <w:keepNext/>
              <w:spacing w:before="40" w:after="40" w:line="240" w:lineRule="auto"/>
              <w:rPr>
                <w:rFonts w:asciiTheme="minorHAnsi" w:eastAsia="SimSun" w:hAnsiTheme="minorHAnsi" w:cs="Tahoma"/>
                <w:szCs w:val="20"/>
                <w:lang w:eastAsia="zh-CN"/>
              </w:rPr>
            </w:pPr>
            <w:r w:rsidRPr="002B74F4">
              <w:rPr>
                <w:rFonts w:asciiTheme="minorHAnsi" w:eastAsia="SimSun" w:hAnsiTheme="minorHAnsi" w:cs="Tahoma"/>
                <w:b/>
                <w:szCs w:val="20"/>
                <w:lang w:eastAsia="zh-CN"/>
              </w:rPr>
              <w:t>Cost-effectiveness</w:t>
            </w:r>
            <w:r>
              <w:rPr>
                <w:rFonts w:asciiTheme="minorHAnsi" w:eastAsia="SimSun" w:hAnsiTheme="minorHAnsi" w:cs="Tahoma"/>
                <w:b/>
                <w:szCs w:val="20"/>
                <w:lang w:eastAsia="zh-CN"/>
              </w:rPr>
              <w:t xml:space="preserve">: </w:t>
            </w:r>
            <w:r w:rsidRPr="002A0773">
              <w:rPr>
                <w:rFonts w:asciiTheme="minorHAnsi" w:eastAsia="SimSun" w:hAnsiTheme="minorHAnsi" w:cs="Tahoma"/>
                <w:szCs w:val="20"/>
                <w:lang w:eastAsia="zh-CN"/>
              </w:rPr>
              <w:t>Cost, cost per life year gained, cost per quality adjusted life year or disability adjusted life year, incremental cost-effectiveness ratio, cost per case identified</w:t>
            </w:r>
          </w:p>
          <w:p w14:paraId="4E2C417D" w14:textId="77777777" w:rsidR="00A84A56" w:rsidRPr="001C418E" w:rsidRDefault="00A84A56" w:rsidP="00FD6BEC">
            <w:pPr>
              <w:keepNext/>
              <w:spacing w:before="40" w:after="40" w:line="240" w:lineRule="auto"/>
            </w:pPr>
            <w:r w:rsidRPr="00FD6BEC">
              <w:rPr>
                <w:rFonts w:asciiTheme="minorHAnsi" w:eastAsia="SimSun" w:hAnsiTheme="minorHAnsi" w:cs="Tahoma"/>
                <w:b/>
                <w:szCs w:val="20"/>
                <w:lang w:eastAsia="zh-CN"/>
              </w:rPr>
              <w:t xml:space="preserve">Total </w:t>
            </w:r>
            <w:r w:rsidR="00F12E59" w:rsidRPr="00FD6BEC">
              <w:rPr>
                <w:rFonts w:asciiTheme="minorHAnsi" w:eastAsia="SimSun" w:hAnsiTheme="minorHAnsi" w:cs="Tahoma"/>
                <w:b/>
                <w:szCs w:val="20"/>
                <w:lang w:eastAsia="zh-CN"/>
              </w:rPr>
              <w:t>Australian G</w:t>
            </w:r>
            <w:r w:rsidRPr="00FD6BEC">
              <w:rPr>
                <w:rFonts w:asciiTheme="minorHAnsi" w:eastAsia="SimSun" w:hAnsiTheme="minorHAnsi" w:cs="Tahoma"/>
                <w:b/>
                <w:szCs w:val="20"/>
                <w:lang w:eastAsia="zh-CN"/>
              </w:rPr>
              <w:t>overnment healthcare costs</w:t>
            </w:r>
          </w:p>
        </w:tc>
      </w:tr>
      <w:tr w:rsidR="00385AE3" w:rsidRPr="00084393" w14:paraId="0B26BCF6" w14:textId="77777777" w:rsidTr="00FD6BEC">
        <w:tc>
          <w:tcPr>
            <w:tcW w:w="781" w:type="pct"/>
            <w:tcBorders>
              <w:right w:val="single" w:sz="4" w:space="0" w:color="auto"/>
            </w:tcBorders>
          </w:tcPr>
          <w:p w14:paraId="7D3165CB" w14:textId="75518CC9" w:rsidR="00385AE3" w:rsidRPr="00FD6BEC" w:rsidRDefault="00911B47" w:rsidP="00FD6BEC">
            <w:pPr>
              <w:keepNext/>
              <w:spacing w:before="40" w:after="40" w:line="240" w:lineRule="auto"/>
              <w:rPr>
                <w:rFonts w:asciiTheme="minorHAnsi" w:eastAsia="SimSun" w:hAnsiTheme="minorHAnsi" w:cs="Tahoma"/>
                <w:szCs w:val="20"/>
                <w:lang w:eastAsia="zh-CN"/>
              </w:rPr>
            </w:pPr>
            <w:r>
              <w:rPr>
                <w:rFonts w:asciiTheme="minorHAnsi" w:eastAsia="SimSun" w:hAnsiTheme="minorHAnsi" w:cs="Tahoma"/>
                <w:szCs w:val="20"/>
                <w:lang w:eastAsia="zh-CN"/>
              </w:rPr>
              <w:t>Direct r</w:t>
            </w:r>
            <w:r w:rsidR="00385AE3" w:rsidRPr="00FD6BEC">
              <w:rPr>
                <w:rFonts w:asciiTheme="minorHAnsi" w:eastAsia="SimSun" w:hAnsiTheme="minorHAnsi" w:cs="Tahoma"/>
                <w:szCs w:val="20"/>
                <w:lang w:eastAsia="zh-CN"/>
              </w:rPr>
              <w:t>esearch question</w:t>
            </w:r>
          </w:p>
        </w:tc>
        <w:tc>
          <w:tcPr>
            <w:tcW w:w="4219" w:type="pct"/>
            <w:tcBorders>
              <w:top w:val="single" w:sz="4" w:space="0" w:color="auto"/>
              <w:left w:val="single" w:sz="4" w:space="0" w:color="auto"/>
              <w:bottom w:val="single" w:sz="4" w:space="0" w:color="auto"/>
              <w:right w:val="single" w:sz="4" w:space="0" w:color="auto"/>
            </w:tcBorders>
          </w:tcPr>
          <w:p w14:paraId="3E19D209" w14:textId="242DCEEE" w:rsidR="008268EF" w:rsidRDefault="00385AE3" w:rsidP="00FD6BEC">
            <w:pPr>
              <w:spacing w:before="40" w:after="40" w:line="240" w:lineRule="auto"/>
              <w:jc w:val="both"/>
              <w:rPr>
                <w:rFonts w:asciiTheme="minorHAnsi" w:eastAsia="SimSun" w:hAnsiTheme="minorHAnsi" w:cs="Tahoma"/>
                <w:szCs w:val="20"/>
                <w:lang w:eastAsia="zh-CN"/>
              </w:rPr>
            </w:pPr>
            <w:r w:rsidRPr="00FD6BEC">
              <w:rPr>
                <w:rFonts w:asciiTheme="minorHAnsi" w:eastAsia="SimSun" w:hAnsiTheme="minorHAnsi" w:cs="Tahoma"/>
                <w:szCs w:val="20"/>
                <w:lang w:eastAsia="zh-CN"/>
              </w:rPr>
              <w:t xml:space="preserve">What </w:t>
            </w:r>
            <w:proofErr w:type="gramStart"/>
            <w:r w:rsidRPr="00FD6BEC">
              <w:rPr>
                <w:rFonts w:asciiTheme="minorHAnsi" w:eastAsia="SimSun" w:hAnsiTheme="minorHAnsi" w:cs="Tahoma"/>
                <w:szCs w:val="20"/>
                <w:lang w:eastAsia="zh-CN"/>
              </w:rPr>
              <w:t>is</w:t>
            </w:r>
            <w:proofErr w:type="gramEnd"/>
            <w:r w:rsidRPr="00FD6BEC">
              <w:rPr>
                <w:rFonts w:asciiTheme="minorHAnsi" w:eastAsia="SimSun" w:hAnsiTheme="minorHAnsi" w:cs="Tahoma"/>
                <w:szCs w:val="20"/>
                <w:lang w:eastAsia="zh-CN"/>
              </w:rPr>
              <w:t xml:space="preserve"> the safety, effectiveness, and cost-effectiveness of IHC MMR deficiency testing for determining access to pembrolizumab in patients with stage IV </w:t>
            </w:r>
            <w:r w:rsidR="003F7944">
              <w:rPr>
                <w:rFonts w:asciiTheme="minorHAnsi" w:eastAsia="SimSun" w:hAnsiTheme="minorHAnsi" w:cs="Tahoma"/>
                <w:szCs w:val="20"/>
                <w:lang w:eastAsia="zh-CN"/>
              </w:rPr>
              <w:t>CRC</w:t>
            </w:r>
            <w:r w:rsidR="008268EF" w:rsidRPr="00FD6BEC">
              <w:rPr>
                <w:rFonts w:asciiTheme="minorHAnsi" w:eastAsia="SimSun" w:hAnsiTheme="minorHAnsi" w:cs="Tahoma"/>
                <w:szCs w:val="20"/>
                <w:lang w:eastAsia="zh-CN"/>
              </w:rPr>
              <w:t>, compared with no testing</w:t>
            </w:r>
            <w:r w:rsidR="00554695" w:rsidRPr="00FD6BEC">
              <w:rPr>
                <w:rFonts w:asciiTheme="minorHAnsi" w:eastAsia="SimSun" w:hAnsiTheme="minorHAnsi" w:cs="Tahoma"/>
                <w:szCs w:val="20"/>
                <w:lang w:eastAsia="zh-CN"/>
              </w:rPr>
              <w:t xml:space="preserve"> and standard </w:t>
            </w:r>
            <w:r w:rsidR="00EF09A5">
              <w:rPr>
                <w:rFonts w:asciiTheme="minorHAnsi" w:eastAsia="SimSun" w:hAnsiTheme="minorHAnsi" w:cs="Tahoma"/>
                <w:szCs w:val="20"/>
                <w:lang w:eastAsia="zh-CN"/>
              </w:rPr>
              <w:t xml:space="preserve">of </w:t>
            </w:r>
            <w:r w:rsidR="00554695" w:rsidRPr="00FD6BEC">
              <w:rPr>
                <w:rFonts w:asciiTheme="minorHAnsi" w:eastAsia="SimSun" w:hAnsiTheme="minorHAnsi" w:cs="Tahoma"/>
                <w:szCs w:val="20"/>
                <w:lang w:eastAsia="zh-CN"/>
              </w:rPr>
              <w:t>care chemotherapy</w:t>
            </w:r>
            <w:r w:rsidRPr="00FD6BEC">
              <w:rPr>
                <w:rFonts w:asciiTheme="minorHAnsi" w:eastAsia="SimSun" w:hAnsiTheme="minorHAnsi" w:cs="Tahoma"/>
                <w:szCs w:val="20"/>
                <w:lang w:eastAsia="zh-CN"/>
              </w:rPr>
              <w:t>?</w:t>
            </w:r>
          </w:p>
          <w:p w14:paraId="6B1B2351" w14:textId="1345F6E1" w:rsidR="009245FB" w:rsidRPr="00FD6BEC" w:rsidRDefault="009245FB" w:rsidP="00FD6BEC">
            <w:pPr>
              <w:spacing w:before="40" w:after="40" w:line="240" w:lineRule="auto"/>
              <w:jc w:val="both"/>
              <w:rPr>
                <w:rFonts w:asciiTheme="minorHAnsi" w:eastAsia="SimSun" w:hAnsiTheme="minorHAnsi" w:cs="Tahoma"/>
                <w:szCs w:val="20"/>
                <w:u w:val="single"/>
                <w:lang w:eastAsia="zh-CN"/>
              </w:rPr>
            </w:pPr>
            <w:r>
              <w:rPr>
                <w:rFonts w:asciiTheme="minorHAnsi" w:eastAsia="SimSun" w:hAnsiTheme="minorHAnsi" w:cs="Tahoma"/>
                <w:szCs w:val="20"/>
                <w:lang w:eastAsia="zh-CN"/>
              </w:rPr>
              <w:t xml:space="preserve">What </w:t>
            </w:r>
            <w:proofErr w:type="gramStart"/>
            <w:r>
              <w:rPr>
                <w:rFonts w:asciiTheme="minorHAnsi" w:eastAsia="SimSun" w:hAnsiTheme="minorHAnsi" w:cs="Tahoma"/>
                <w:szCs w:val="20"/>
                <w:lang w:eastAsia="zh-CN"/>
              </w:rPr>
              <w:t>is</w:t>
            </w:r>
            <w:proofErr w:type="gramEnd"/>
            <w:r>
              <w:rPr>
                <w:rFonts w:asciiTheme="minorHAnsi" w:eastAsia="SimSun" w:hAnsiTheme="minorHAnsi" w:cs="Tahoma"/>
                <w:szCs w:val="20"/>
                <w:lang w:eastAsia="zh-CN"/>
              </w:rPr>
              <w:t xml:space="preserve"> the safety, effectiveness, and cost-effectiveness of current testing regimen plus pembrolizumab, compared to the current testing regimen plus standard of care?</w:t>
            </w:r>
          </w:p>
        </w:tc>
      </w:tr>
    </w:tbl>
    <w:p w14:paraId="66D3E104" w14:textId="77777777" w:rsidR="009B2B4B" w:rsidRDefault="00554695" w:rsidP="009B2B4B">
      <w:pPr>
        <w:spacing w:before="120" w:after="0"/>
        <w:rPr>
          <w:rFonts w:eastAsia="MS Gothic"/>
          <w:bCs/>
          <w:color w:val="000000" w:themeColor="text1"/>
          <w:szCs w:val="26"/>
        </w:rPr>
      </w:pPr>
      <w:proofErr w:type="gramStart"/>
      <w:r w:rsidRPr="00FD6BEC">
        <w:rPr>
          <w:rFonts w:eastAsia="MS Gothic"/>
          <w:bCs/>
          <w:color w:val="000000" w:themeColor="text1"/>
          <w:szCs w:val="26"/>
          <w:vertAlign w:val="superscript"/>
        </w:rPr>
        <w:t>a</w:t>
      </w:r>
      <w:proofErr w:type="gramEnd"/>
      <w:r w:rsidR="00FD6BEC">
        <w:rPr>
          <w:rFonts w:eastAsia="MS Gothic"/>
          <w:bCs/>
          <w:color w:val="000000" w:themeColor="text1"/>
          <w:szCs w:val="26"/>
          <w:vertAlign w:val="superscript"/>
        </w:rPr>
        <w:t xml:space="preserve"> </w:t>
      </w:r>
      <w:r w:rsidR="00A812C5" w:rsidRPr="00FD6BEC">
        <w:rPr>
          <w:rFonts w:eastAsia="MS Gothic"/>
          <w:bCs/>
          <w:color w:val="000000" w:themeColor="text1"/>
          <w:szCs w:val="26"/>
        </w:rPr>
        <w:t>Current testing regimen</w:t>
      </w:r>
      <w:r w:rsidR="00A812C5">
        <w:rPr>
          <w:rFonts w:eastAsia="MS Gothic"/>
          <w:bCs/>
          <w:color w:val="000000" w:themeColor="text1"/>
          <w:szCs w:val="26"/>
        </w:rPr>
        <w:t xml:space="preserve"> may or may not include MMR testing for purposes other than determining eligibility for pembrolizumab</w:t>
      </w:r>
    </w:p>
    <w:p w14:paraId="613FD243" w14:textId="3A7C7D0B" w:rsidR="00CB578F" w:rsidRDefault="00A812C5" w:rsidP="009B2B4B">
      <w:pPr>
        <w:rPr>
          <w:rFonts w:asciiTheme="minorHAnsi" w:eastAsia="SimSun" w:hAnsiTheme="minorHAnsi"/>
          <w:szCs w:val="20"/>
          <w:lang w:val="en-GB"/>
        </w:rPr>
      </w:pPr>
      <w:proofErr w:type="gramStart"/>
      <w:r w:rsidRPr="00FD6BEC">
        <w:rPr>
          <w:rFonts w:eastAsia="MS Gothic"/>
          <w:bCs/>
          <w:color w:val="000000" w:themeColor="text1"/>
          <w:szCs w:val="26"/>
          <w:vertAlign w:val="superscript"/>
        </w:rPr>
        <w:t>b</w:t>
      </w:r>
      <w:r w:rsidR="00554695" w:rsidRPr="00FD6BEC">
        <w:rPr>
          <w:rFonts w:asciiTheme="minorHAnsi" w:eastAsia="SimSun" w:hAnsiTheme="minorHAnsi"/>
          <w:color w:val="000000" w:themeColor="text1"/>
          <w:szCs w:val="20"/>
          <w:lang w:val="en-GB"/>
        </w:rPr>
        <w:t>Outcomes</w:t>
      </w:r>
      <w:proofErr w:type="gramEnd"/>
      <w:r w:rsidR="00554695" w:rsidRPr="00FD6BEC">
        <w:rPr>
          <w:rFonts w:asciiTheme="minorHAnsi" w:eastAsia="SimSun" w:hAnsiTheme="minorHAnsi"/>
          <w:color w:val="000000" w:themeColor="text1"/>
          <w:szCs w:val="20"/>
          <w:lang w:val="en-GB"/>
        </w:rPr>
        <w:t xml:space="preserve"> </w:t>
      </w:r>
      <w:r w:rsidR="00554695" w:rsidRPr="00A24E52">
        <w:rPr>
          <w:rFonts w:asciiTheme="minorHAnsi" w:eastAsia="SimSun" w:hAnsiTheme="minorHAnsi"/>
          <w:szCs w:val="20"/>
          <w:lang w:val="en-GB"/>
        </w:rPr>
        <w:t xml:space="preserve">ranked as </w:t>
      </w:r>
      <w:r w:rsidR="00554695">
        <w:rPr>
          <w:rFonts w:asciiTheme="minorHAnsi" w:eastAsia="SimSun" w:hAnsiTheme="minorHAnsi"/>
          <w:szCs w:val="20"/>
          <w:lang w:val="en-GB"/>
        </w:rPr>
        <w:t>recommended by GRADE</w:t>
      </w:r>
    </w:p>
    <w:p w14:paraId="49D56139" w14:textId="19FF932A" w:rsidR="002F0982" w:rsidRDefault="002F0982">
      <w:pPr>
        <w:rPr>
          <w:rFonts w:asciiTheme="minorHAnsi" w:eastAsia="SimSun" w:hAnsiTheme="minorHAnsi"/>
          <w:szCs w:val="20"/>
          <w:lang w:val="en-GB"/>
        </w:rPr>
      </w:pPr>
      <w:r>
        <w:rPr>
          <w:rFonts w:asciiTheme="minorHAnsi" w:eastAsia="SimSun" w:hAnsiTheme="minorHAnsi"/>
          <w:szCs w:val="20"/>
          <w:lang w:val="en-GB"/>
        </w:rPr>
        <w:br w:type="page"/>
      </w:r>
    </w:p>
    <w:p w14:paraId="0C69D490" w14:textId="2BF02ADF" w:rsidR="00CB578F" w:rsidRDefault="00524910">
      <w:pPr>
        <w:rPr>
          <w:rFonts w:asciiTheme="minorHAnsi" w:eastAsia="SimSun" w:hAnsiTheme="minorHAnsi"/>
          <w:szCs w:val="20"/>
          <w:lang w:val="en-GB"/>
        </w:rPr>
      </w:pPr>
      <w:r>
        <w:rPr>
          <w:rFonts w:asciiTheme="minorHAnsi" w:eastAsia="SimSun" w:hAnsiTheme="minorHAnsi"/>
          <w:szCs w:val="20"/>
          <w:lang w:val="en-GB"/>
        </w:rPr>
        <w:lastRenderedPageBreak/>
        <w:t xml:space="preserve">If direct effectiveness of the intervention cannot be determined, a </w:t>
      </w:r>
      <w:r w:rsidR="00D20984">
        <w:rPr>
          <w:rFonts w:asciiTheme="minorHAnsi" w:eastAsia="SimSun" w:hAnsiTheme="minorHAnsi"/>
          <w:szCs w:val="20"/>
          <w:lang w:val="en-GB"/>
        </w:rPr>
        <w:t xml:space="preserve">linked approach may be used. A summary of the PICO criteria to address these are provided below. </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Description w:val="Summary of PICO/PPICO criteria for linked evidence"/>
      </w:tblPr>
      <w:tblGrid>
        <w:gridCol w:w="1444"/>
        <w:gridCol w:w="7798"/>
      </w:tblGrid>
      <w:tr w:rsidR="00CB578F" w:rsidRPr="00084393" w14:paraId="418A78A9" w14:textId="77777777" w:rsidTr="006407EB">
        <w:trPr>
          <w:tblHeader/>
        </w:trPr>
        <w:tc>
          <w:tcPr>
            <w:tcW w:w="781" w:type="pct"/>
            <w:tcBorders>
              <w:top w:val="single" w:sz="8" w:space="0" w:color="auto"/>
              <w:bottom w:val="single" w:sz="8" w:space="0" w:color="auto"/>
              <w:right w:val="single" w:sz="4" w:space="0" w:color="auto"/>
            </w:tcBorders>
            <w:shd w:val="clear" w:color="auto" w:fill="D9D9D9"/>
          </w:tcPr>
          <w:p w14:paraId="0344FFA4" w14:textId="77777777" w:rsidR="00CB578F" w:rsidRPr="00084393" w:rsidRDefault="00CB578F" w:rsidP="006407EB">
            <w:pPr>
              <w:spacing w:before="20" w:after="20" w:line="240" w:lineRule="auto"/>
              <w:rPr>
                <w:b/>
              </w:rPr>
            </w:pPr>
            <w:r>
              <w:rPr>
                <w:b/>
              </w:rPr>
              <w:t>Component</w:t>
            </w:r>
          </w:p>
        </w:tc>
        <w:tc>
          <w:tcPr>
            <w:tcW w:w="4219" w:type="pct"/>
            <w:tcBorders>
              <w:top w:val="single" w:sz="4" w:space="0" w:color="auto"/>
              <w:left w:val="single" w:sz="4" w:space="0" w:color="auto"/>
              <w:bottom w:val="single" w:sz="4" w:space="0" w:color="auto"/>
              <w:right w:val="single" w:sz="4" w:space="0" w:color="auto"/>
            </w:tcBorders>
            <w:shd w:val="clear" w:color="auto" w:fill="D9D9D9"/>
          </w:tcPr>
          <w:p w14:paraId="090FE32A" w14:textId="77777777" w:rsidR="00CB578F" w:rsidRPr="00084393" w:rsidRDefault="00CB578F" w:rsidP="006407EB">
            <w:pPr>
              <w:spacing w:before="20" w:after="20" w:line="240" w:lineRule="auto"/>
              <w:jc w:val="both"/>
              <w:rPr>
                <w:b/>
              </w:rPr>
            </w:pPr>
            <w:r>
              <w:rPr>
                <w:b/>
              </w:rPr>
              <w:t>Description</w:t>
            </w:r>
          </w:p>
        </w:tc>
      </w:tr>
      <w:tr w:rsidR="00CB578F" w:rsidRPr="00084393" w14:paraId="5517BB80" w14:textId="77777777" w:rsidTr="006407EB">
        <w:tc>
          <w:tcPr>
            <w:tcW w:w="781" w:type="pct"/>
            <w:tcBorders>
              <w:top w:val="single" w:sz="8" w:space="0" w:color="auto"/>
              <w:right w:val="single" w:sz="4" w:space="0" w:color="auto"/>
            </w:tcBorders>
          </w:tcPr>
          <w:p w14:paraId="7843B0EA" w14:textId="77777777" w:rsidR="00CB578F" w:rsidRPr="00084393" w:rsidRDefault="00CB578F" w:rsidP="006407EB">
            <w:pPr>
              <w:spacing w:before="20" w:after="20" w:line="240" w:lineRule="auto"/>
              <w:rPr>
                <w:rFonts w:cs="Arial"/>
              </w:rPr>
            </w:pPr>
            <w:r w:rsidRPr="00084393">
              <w:rPr>
                <w:rFonts w:cs="Arial"/>
              </w:rPr>
              <w:t>Patients</w:t>
            </w:r>
          </w:p>
        </w:tc>
        <w:tc>
          <w:tcPr>
            <w:tcW w:w="4219" w:type="pct"/>
            <w:tcBorders>
              <w:top w:val="single" w:sz="4" w:space="0" w:color="auto"/>
              <w:left w:val="single" w:sz="4" w:space="0" w:color="auto"/>
              <w:bottom w:val="single" w:sz="4" w:space="0" w:color="auto"/>
              <w:right w:val="single" w:sz="4" w:space="0" w:color="auto"/>
            </w:tcBorders>
          </w:tcPr>
          <w:p w14:paraId="57E70781" w14:textId="3EF91824" w:rsidR="00CB578F" w:rsidRPr="00A64B73" w:rsidRDefault="00CB578F" w:rsidP="006407EB">
            <w:pPr>
              <w:spacing w:after="40"/>
            </w:pPr>
            <w:r w:rsidRPr="00A64B73">
              <w:t>Patients</w:t>
            </w:r>
            <w:r>
              <w:t xml:space="preserve"> </w:t>
            </w:r>
            <w:r w:rsidRPr="00A64B73">
              <w:t xml:space="preserve">diagnosed with </w:t>
            </w:r>
            <w:r>
              <w:t>colorectal cancer</w:t>
            </w:r>
            <w:r w:rsidR="003F7944">
              <w:t xml:space="preserve"> (CRC)</w:t>
            </w:r>
          </w:p>
        </w:tc>
      </w:tr>
      <w:tr w:rsidR="00407525" w:rsidRPr="00084393" w14:paraId="091285D0" w14:textId="77777777" w:rsidTr="00E3554D">
        <w:tc>
          <w:tcPr>
            <w:tcW w:w="781" w:type="pct"/>
            <w:tcBorders>
              <w:top w:val="single" w:sz="8" w:space="0" w:color="auto"/>
              <w:right w:val="single" w:sz="4" w:space="0" w:color="auto"/>
            </w:tcBorders>
          </w:tcPr>
          <w:p w14:paraId="35B715A4" w14:textId="77777777" w:rsidR="00407525" w:rsidRPr="00084393" w:rsidRDefault="00407525" w:rsidP="00E3554D">
            <w:pPr>
              <w:spacing w:before="20" w:after="20" w:line="240" w:lineRule="auto"/>
              <w:rPr>
                <w:rFonts w:cs="Arial"/>
              </w:rPr>
            </w:pPr>
            <w:r>
              <w:rPr>
                <w:rFonts w:cs="Arial"/>
              </w:rPr>
              <w:t>Prior tests</w:t>
            </w:r>
          </w:p>
        </w:tc>
        <w:tc>
          <w:tcPr>
            <w:tcW w:w="4219" w:type="pct"/>
            <w:tcBorders>
              <w:top w:val="single" w:sz="4" w:space="0" w:color="auto"/>
              <w:left w:val="single" w:sz="4" w:space="0" w:color="auto"/>
              <w:bottom w:val="single" w:sz="4" w:space="0" w:color="auto"/>
              <w:right w:val="single" w:sz="4" w:space="0" w:color="auto"/>
            </w:tcBorders>
          </w:tcPr>
          <w:p w14:paraId="4BC614A3" w14:textId="42A6F7C6" w:rsidR="00407525" w:rsidRPr="00D26848" w:rsidRDefault="00407525" w:rsidP="003F7944">
            <w:pPr>
              <w:rPr>
                <w:rFonts w:cs="Arial"/>
              </w:rPr>
            </w:pPr>
            <w:r>
              <w:rPr>
                <w:rFonts w:cs="Arial"/>
              </w:rPr>
              <w:t xml:space="preserve">Routine histology, cytology and </w:t>
            </w:r>
            <w:proofErr w:type="spellStart"/>
            <w:r>
              <w:rPr>
                <w:rFonts w:cs="Arial"/>
              </w:rPr>
              <w:t>immunohistochemical</w:t>
            </w:r>
            <w:proofErr w:type="spellEnd"/>
            <w:r>
              <w:rPr>
                <w:rFonts w:cs="Arial"/>
              </w:rPr>
              <w:t xml:space="preserve"> </w:t>
            </w:r>
            <w:r w:rsidR="003F7944">
              <w:rPr>
                <w:rFonts w:cs="Arial"/>
              </w:rPr>
              <w:t xml:space="preserve">(IHC) </w:t>
            </w:r>
            <w:r>
              <w:rPr>
                <w:rFonts w:cs="Arial"/>
              </w:rPr>
              <w:t xml:space="preserve">tests to confirm diagnosis and stage of </w:t>
            </w:r>
            <w:r w:rsidR="003F7944">
              <w:rPr>
                <w:rFonts w:cs="Arial"/>
              </w:rPr>
              <w:t>CRC</w:t>
            </w:r>
          </w:p>
        </w:tc>
      </w:tr>
      <w:tr w:rsidR="00CB578F" w:rsidRPr="00084393" w14:paraId="367C6E88" w14:textId="77777777" w:rsidTr="006407EB">
        <w:tc>
          <w:tcPr>
            <w:tcW w:w="781" w:type="pct"/>
            <w:tcBorders>
              <w:right w:val="single" w:sz="4" w:space="0" w:color="auto"/>
            </w:tcBorders>
          </w:tcPr>
          <w:p w14:paraId="33FE8782" w14:textId="77777777" w:rsidR="00CB578F" w:rsidRPr="00084393" w:rsidRDefault="00CB578F" w:rsidP="006407EB">
            <w:pPr>
              <w:spacing w:before="20" w:after="20" w:line="240" w:lineRule="auto"/>
              <w:rPr>
                <w:rFonts w:cs="Arial"/>
              </w:rPr>
            </w:pPr>
            <w:r w:rsidRPr="00084393">
              <w:rPr>
                <w:rFonts w:cs="Arial"/>
              </w:rPr>
              <w:t>Intervention</w:t>
            </w:r>
          </w:p>
        </w:tc>
        <w:tc>
          <w:tcPr>
            <w:tcW w:w="4219" w:type="pct"/>
            <w:tcBorders>
              <w:top w:val="single" w:sz="4" w:space="0" w:color="auto"/>
              <w:left w:val="single" w:sz="4" w:space="0" w:color="auto"/>
              <w:bottom w:val="single" w:sz="4" w:space="0" w:color="auto"/>
              <w:right w:val="single" w:sz="4" w:space="0" w:color="auto"/>
            </w:tcBorders>
          </w:tcPr>
          <w:p w14:paraId="46A15666" w14:textId="05150A25" w:rsidR="009245FB" w:rsidRPr="009245FB" w:rsidRDefault="003F7944" w:rsidP="003F7944">
            <w:pPr>
              <w:spacing w:after="40"/>
            </w:pPr>
            <w:r>
              <w:t>IHC</w:t>
            </w:r>
            <w:r w:rsidR="00CB578F" w:rsidRPr="001526E6">
              <w:t xml:space="preserve"> mismatch repair </w:t>
            </w:r>
            <w:r>
              <w:t xml:space="preserve">(MMR) </w:t>
            </w:r>
            <w:r w:rsidR="00CB578F" w:rsidRPr="001526E6">
              <w:t>deficiency</w:t>
            </w:r>
            <w:r w:rsidR="00CB578F">
              <w:t xml:space="preserve"> testing using antibodies </w:t>
            </w:r>
            <w:r w:rsidR="00CB578F" w:rsidRPr="001526E6">
              <w:t xml:space="preserve">directed against </w:t>
            </w:r>
            <w:r w:rsidR="00CB578F">
              <w:t xml:space="preserve">the four </w:t>
            </w:r>
            <w:r>
              <w:t>MMR</w:t>
            </w:r>
            <w:r w:rsidR="00CB578F" w:rsidRPr="003A7A02">
              <w:t xml:space="preserve"> </w:t>
            </w:r>
            <w:r w:rsidR="00CB578F" w:rsidRPr="001526E6">
              <w:t>protein</w:t>
            </w:r>
            <w:r w:rsidR="00CB578F">
              <w:t>s</w:t>
            </w:r>
            <w:r w:rsidR="00CB578F" w:rsidRPr="001526E6">
              <w:t xml:space="preserve"> </w:t>
            </w:r>
            <w:r w:rsidR="00CB578F">
              <w:t xml:space="preserve">to detect a deficiency for eligibility for treatment with pembrolizumab on progression to Stage IV </w:t>
            </w:r>
            <w:r>
              <w:t>CRC</w:t>
            </w:r>
          </w:p>
        </w:tc>
      </w:tr>
      <w:tr w:rsidR="00CB578F" w:rsidRPr="00084393" w14:paraId="034E0CFB" w14:textId="77777777" w:rsidTr="006407EB">
        <w:tc>
          <w:tcPr>
            <w:tcW w:w="781" w:type="pct"/>
            <w:tcBorders>
              <w:right w:val="single" w:sz="4" w:space="0" w:color="auto"/>
            </w:tcBorders>
          </w:tcPr>
          <w:p w14:paraId="5EA92B53" w14:textId="77777777" w:rsidR="00CB578F" w:rsidRPr="006A057F" w:rsidRDefault="00CB578F" w:rsidP="006407EB">
            <w:pPr>
              <w:spacing w:before="20" w:after="20" w:line="240" w:lineRule="auto"/>
              <w:rPr>
                <w:rFonts w:cs="Arial"/>
              </w:rPr>
            </w:pPr>
            <w:r w:rsidRPr="006A057F">
              <w:rPr>
                <w:rFonts w:cs="Arial"/>
              </w:rPr>
              <w:t>Reference standard</w:t>
            </w:r>
          </w:p>
        </w:tc>
        <w:tc>
          <w:tcPr>
            <w:tcW w:w="4219" w:type="pct"/>
            <w:tcBorders>
              <w:top w:val="single" w:sz="4" w:space="0" w:color="auto"/>
              <w:left w:val="single" w:sz="4" w:space="0" w:color="auto"/>
              <w:bottom w:val="single" w:sz="4" w:space="0" w:color="auto"/>
              <w:right w:val="single" w:sz="4" w:space="0" w:color="auto"/>
            </w:tcBorders>
          </w:tcPr>
          <w:p w14:paraId="1AEFF9C7" w14:textId="44B11B3A" w:rsidR="00CB578F" w:rsidRPr="001526E6" w:rsidRDefault="003F7944" w:rsidP="003F7944">
            <w:r w:rsidRPr="003F7944">
              <w:t>Genomic</w:t>
            </w:r>
            <w:r>
              <w:t xml:space="preserve"> </w:t>
            </w:r>
            <w:r w:rsidRPr="003F7944">
              <w:t>sequencing of the four MMR genes</w:t>
            </w:r>
          </w:p>
        </w:tc>
      </w:tr>
      <w:tr w:rsidR="00CB578F" w:rsidRPr="00084393" w14:paraId="3422337E" w14:textId="77777777" w:rsidTr="006407EB">
        <w:tc>
          <w:tcPr>
            <w:tcW w:w="781" w:type="pct"/>
            <w:tcBorders>
              <w:right w:val="single" w:sz="4" w:space="0" w:color="auto"/>
            </w:tcBorders>
          </w:tcPr>
          <w:p w14:paraId="6454A9CF" w14:textId="77777777" w:rsidR="00CB578F" w:rsidRPr="00084393" w:rsidRDefault="00CB578F" w:rsidP="006407EB">
            <w:pPr>
              <w:spacing w:before="20" w:after="20" w:line="240" w:lineRule="auto"/>
              <w:rPr>
                <w:rFonts w:cs="Arial"/>
              </w:rPr>
            </w:pPr>
            <w:r w:rsidRPr="00084393">
              <w:rPr>
                <w:rFonts w:cs="Arial"/>
              </w:rPr>
              <w:t>Comparator</w:t>
            </w:r>
          </w:p>
        </w:tc>
        <w:tc>
          <w:tcPr>
            <w:tcW w:w="4219" w:type="pct"/>
            <w:tcBorders>
              <w:top w:val="single" w:sz="4" w:space="0" w:color="auto"/>
              <w:left w:val="single" w:sz="4" w:space="0" w:color="auto"/>
              <w:bottom w:val="single" w:sz="4" w:space="0" w:color="auto"/>
              <w:right w:val="single" w:sz="4" w:space="0" w:color="auto"/>
            </w:tcBorders>
          </w:tcPr>
          <w:p w14:paraId="1B76ED07" w14:textId="77777777" w:rsidR="009B2B4B" w:rsidRDefault="009B2B4B" w:rsidP="009B2B4B">
            <w:pPr>
              <w:spacing w:after="0"/>
            </w:pPr>
            <w:r w:rsidRPr="009B2B4B">
              <w:rPr>
                <w:b/>
              </w:rPr>
              <w:t>Diagnostic accuracy:</w:t>
            </w:r>
            <w:r>
              <w:t xml:space="preserve"> polymerase chain reaction</w:t>
            </w:r>
            <w:r w:rsidRPr="006A057F">
              <w:t xml:space="preserve">-based </w:t>
            </w:r>
            <w:r>
              <w:t>microsatellite instability</w:t>
            </w:r>
            <w:r w:rsidRPr="006A057F">
              <w:t xml:space="preserve"> testing</w:t>
            </w:r>
          </w:p>
          <w:p w14:paraId="606C41B9" w14:textId="5BF47DE5" w:rsidR="00CB578F" w:rsidRPr="001526E6" w:rsidRDefault="009B2B4B" w:rsidP="009B2B4B">
            <w:r w:rsidRPr="009B2B4B">
              <w:rPr>
                <w:b/>
              </w:rPr>
              <w:t>Therapeutic effectiveness:</w:t>
            </w:r>
            <w:r>
              <w:t xml:space="preserve"> c</w:t>
            </w:r>
            <w:r w:rsidR="00A812C5">
              <w:t>urrent testing regimen</w:t>
            </w:r>
            <w:r w:rsidR="00A812C5" w:rsidRPr="009245FB">
              <w:rPr>
                <w:rFonts w:asciiTheme="minorHAnsi" w:eastAsia="SimSun" w:hAnsiTheme="minorHAnsi"/>
                <w:szCs w:val="20"/>
                <w:vertAlign w:val="superscript"/>
                <w:lang w:val="en-GB"/>
              </w:rPr>
              <w:t>a</w:t>
            </w:r>
            <w:r w:rsidR="00CB578F">
              <w:t xml:space="preserve"> plus standard of care (chemotherapy w</w:t>
            </w:r>
            <w:r w:rsidR="009245FB">
              <w:t>ith a combination of two drugs)</w:t>
            </w:r>
          </w:p>
        </w:tc>
      </w:tr>
      <w:tr w:rsidR="00CB578F" w:rsidRPr="00084393" w14:paraId="5BEAB23E" w14:textId="77777777" w:rsidTr="006407EB">
        <w:tc>
          <w:tcPr>
            <w:tcW w:w="781" w:type="pct"/>
            <w:tcBorders>
              <w:right w:val="single" w:sz="4" w:space="0" w:color="auto"/>
            </w:tcBorders>
          </w:tcPr>
          <w:p w14:paraId="1F1E4816" w14:textId="77777777" w:rsidR="00CB578F" w:rsidRPr="00084393" w:rsidRDefault="00CB578F" w:rsidP="006407EB">
            <w:pPr>
              <w:spacing w:before="20" w:after="20" w:line="240" w:lineRule="auto"/>
              <w:rPr>
                <w:rFonts w:cs="Arial"/>
              </w:rPr>
            </w:pPr>
            <w:r w:rsidRPr="00084393">
              <w:rPr>
                <w:rFonts w:cs="Arial"/>
              </w:rPr>
              <w:t>Outcomes</w:t>
            </w:r>
          </w:p>
        </w:tc>
        <w:tc>
          <w:tcPr>
            <w:tcW w:w="4219" w:type="pct"/>
            <w:tcBorders>
              <w:top w:val="single" w:sz="4" w:space="0" w:color="auto"/>
              <w:left w:val="single" w:sz="4" w:space="0" w:color="auto"/>
              <w:bottom w:val="single" w:sz="4" w:space="0" w:color="auto"/>
              <w:right w:val="single" w:sz="4" w:space="0" w:color="auto"/>
            </w:tcBorders>
          </w:tcPr>
          <w:p w14:paraId="72D345CF" w14:textId="77777777" w:rsidR="00CB578F" w:rsidRPr="002A0773" w:rsidRDefault="00CB578F" w:rsidP="006407EB">
            <w:pPr>
              <w:keepNext/>
              <w:spacing w:before="40" w:after="0" w:line="240" w:lineRule="auto"/>
              <w:rPr>
                <w:rFonts w:asciiTheme="minorHAnsi" w:eastAsia="SimSun" w:hAnsiTheme="minorHAnsi"/>
                <w:szCs w:val="20"/>
                <w:lang w:val="en-GB"/>
              </w:rPr>
            </w:pPr>
            <w:r w:rsidRPr="002B74F4">
              <w:rPr>
                <w:rFonts w:asciiTheme="minorHAnsi" w:eastAsia="SimSun" w:hAnsiTheme="minorHAnsi"/>
                <w:b/>
                <w:szCs w:val="20"/>
                <w:lang w:val="en-GB"/>
              </w:rPr>
              <w:t xml:space="preserve">Diagnostic </w:t>
            </w:r>
            <w:r>
              <w:rPr>
                <w:rFonts w:asciiTheme="minorHAnsi" w:eastAsia="SimSun" w:hAnsiTheme="minorHAnsi"/>
                <w:b/>
                <w:szCs w:val="20"/>
                <w:lang w:val="en-GB"/>
              </w:rPr>
              <w:t>accuracy</w:t>
            </w:r>
            <w:r w:rsidRPr="002B74F4">
              <w:rPr>
                <w:rFonts w:asciiTheme="minorHAnsi" w:eastAsia="SimSun" w:hAnsiTheme="minorHAnsi"/>
                <w:b/>
                <w:szCs w:val="20"/>
                <w:lang w:val="en-GB"/>
              </w:rPr>
              <w:t xml:space="preserve">: </w:t>
            </w:r>
            <w:r w:rsidRPr="002A0773">
              <w:rPr>
                <w:rFonts w:asciiTheme="minorHAnsi" w:eastAsia="SimSun" w:hAnsiTheme="minorHAnsi"/>
                <w:szCs w:val="20"/>
                <w:lang w:val="en-GB"/>
              </w:rPr>
              <w:t>Sensitivity</w:t>
            </w:r>
            <w:r>
              <w:rPr>
                <w:rFonts w:asciiTheme="minorHAnsi" w:eastAsia="SimSun" w:hAnsiTheme="minorHAnsi"/>
                <w:szCs w:val="20"/>
                <w:lang w:val="en-GB"/>
              </w:rPr>
              <w:t>, s</w:t>
            </w:r>
            <w:r w:rsidRPr="002A0773">
              <w:rPr>
                <w:rFonts w:asciiTheme="minorHAnsi" w:eastAsia="SimSun" w:hAnsiTheme="minorHAnsi"/>
                <w:szCs w:val="20"/>
                <w:lang w:val="en-GB"/>
              </w:rPr>
              <w:t>pecificity</w:t>
            </w:r>
            <w:r>
              <w:rPr>
                <w:rFonts w:asciiTheme="minorHAnsi" w:eastAsia="SimSun" w:hAnsiTheme="minorHAnsi"/>
                <w:szCs w:val="20"/>
                <w:lang w:val="en-GB"/>
              </w:rPr>
              <w:t>, concordance, t</w:t>
            </w:r>
            <w:r w:rsidRPr="002A0773">
              <w:rPr>
                <w:rFonts w:asciiTheme="minorHAnsi" w:eastAsia="SimSun" w:hAnsiTheme="minorHAnsi"/>
                <w:szCs w:val="20"/>
                <w:lang w:val="en-GB"/>
              </w:rPr>
              <w:t>est-retest reliability</w:t>
            </w:r>
            <w:r>
              <w:rPr>
                <w:rFonts w:asciiTheme="minorHAnsi" w:eastAsia="SimSun" w:hAnsiTheme="minorHAnsi"/>
                <w:szCs w:val="20"/>
                <w:lang w:val="en-GB"/>
              </w:rPr>
              <w:t>, positive and negative likelihood ratios, p</w:t>
            </w:r>
            <w:r w:rsidRPr="002A0773">
              <w:rPr>
                <w:rFonts w:asciiTheme="minorHAnsi" w:eastAsia="SimSun" w:hAnsiTheme="minorHAnsi"/>
                <w:szCs w:val="20"/>
                <w:lang w:val="en-GB"/>
              </w:rPr>
              <w:t xml:space="preserve">ositive </w:t>
            </w:r>
            <w:r>
              <w:rPr>
                <w:rFonts w:asciiTheme="minorHAnsi" w:eastAsia="SimSun" w:hAnsiTheme="minorHAnsi"/>
                <w:szCs w:val="20"/>
                <w:lang w:val="en-GB"/>
              </w:rPr>
              <w:t>and n</w:t>
            </w:r>
            <w:r w:rsidRPr="002A0773">
              <w:rPr>
                <w:rFonts w:asciiTheme="minorHAnsi" w:eastAsia="SimSun" w:hAnsiTheme="minorHAnsi"/>
                <w:szCs w:val="20"/>
                <w:lang w:val="en-GB"/>
              </w:rPr>
              <w:t xml:space="preserve">egative </w:t>
            </w:r>
            <w:r>
              <w:rPr>
                <w:rFonts w:asciiTheme="minorHAnsi" w:eastAsia="SimSun" w:hAnsiTheme="minorHAnsi"/>
                <w:szCs w:val="20"/>
                <w:lang w:val="en-GB"/>
              </w:rPr>
              <w:t>p</w:t>
            </w:r>
            <w:r w:rsidRPr="002A0773">
              <w:rPr>
                <w:rFonts w:asciiTheme="minorHAnsi" w:eastAsia="SimSun" w:hAnsiTheme="minorHAnsi"/>
                <w:szCs w:val="20"/>
                <w:lang w:val="en-GB"/>
              </w:rPr>
              <w:t xml:space="preserve">redictive </w:t>
            </w:r>
            <w:r>
              <w:rPr>
                <w:rFonts w:asciiTheme="minorHAnsi" w:eastAsia="SimSun" w:hAnsiTheme="minorHAnsi"/>
                <w:szCs w:val="20"/>
                <w:lang w:val="en-GB"/>
              </w:rPr>
              <w:t>v</w:t>
            </w:r>
            <w:r w:rsidRPr="002A0773">
              <w:rPr>
                <w:rFonts w:asciiTheme="minorHAnsi" w:eastAsia="SimSun" w:hAnsiTheme="minorHAnsi"/>
                <w:szCs w:val="20"/>
                <w:lang w:val="en-GB"/>
              </w:rPr>
              <w:t>alue</w:t>
            </w:r>
            <w:r>
              <w:rPr>
                <w:rFonts w:asciiTheme="minorHAnsi" w:eastAsia="SimSun" w:hAnsiTheme="minorHAnsi"/>
                <w:szCs w:val="20"/>
                <w:lang w:val="en-GB"/>
              </w:rPr>
              <w:t>s.</w:t>
            </w:r>
          </w:p>
          <w:p w14:paraId="2E2A0086" w14:textId="77777777" w:rsidR="00CB578F" w:rsidRDefault="00CB578F" w:rsidP="006407EB">
            <w:pPr>
              <w:keepNext/>
              <w:spacing w:before="40" w:after="0" w:line="240" w:lineRule="auto"/>
              <w:rPr>
                <w:rFonts w:asciiTheme="minorHAnsi" w:eastAsia="SimSun" w:hAnsiTheme="minorHAnsi"/>
                <w:szCs w:val="20"/>
                <w:lang w:val="en-GB"/>
              </w:rPr>
            </w:pPr>
            <w:r w:rsidRPr="002B74F4">
              <w:rPr>
                <w:rFonts w:asciiTheme="minorHAnsi" w:eastAsia="SimSun" w:hAnsiTheme="minorHAnsi"/>
                <w:b/>
                <w:szCs w:val="20"/>
                <w:lang w:val="en-GB"/>
              </w:rPr>
              <w:t xml:space="preserve">Prognosis: </w:t>
            </w:r>
            <w:r>
              <w:rPr>
                <w:rFonts w:asciiTheme="minorHAnsi" w:eastAsia="SimSun" w:hAnsiTheme="minorHAnsi"/>
                <w:szCs w:val="20"/>
                <w:lang w:val="en-GB"/>
              </w:rPr>
              <w:t>prognostic effect of biomarker</w:t>
            </w:r>
          </w:p>
          <w:p w14:paraId="1C62E4EE" w14:textId="77777777" w:rsidR="00CB578F" w:rsidRPr="002A0773" w:rsidRDefault="00CB578F" w:rsidP="006407EB">
            <w:pPr>
              <w:keepNext/>
              <w:spacing w:before="40" w:after="0" w:line="240" w:lineRule="auto"/>
              <w:rPr>
                <w:rFonts w:asciiTheme="minorHAnsi" w:eastAsia="SimSun" w:hAnsiTheme="minorHAnsi"/>
                <w:szCs w:val="20"/>
                <w:lang w:val="en-GB"/>
              </w:rPr>
            </w:pPr>
            <w:r w:rsidRPr="002B74F4">
              <w:rPr>
                <w:rFonts w:asciiTheme="minorHAnsi" w:eastAsia="SimSun" w:hAnsiTheme="minorHAnsi"/>
                <w:b/>
                <w:szCs w:val="20"/>
                <w:lang w:val="en-GB"/>
              </w:rPr>
              <w:t>Change in management</w:t>
            </w:r>
            <w:r>
              <w:rPr>
                <w:rFonts w:asciiTheme="minorHAnsi" w:eastAsia="SimSun" w:hAnsiTheme="minorHAnsi"/>
                <w:b/>
                <w:szCs w:val="20"/>
                <w:lang w:val="en-GB"/>
              </w:rPr>
              <w:t xml:space="preserve">: </w:t>
            </w:r>
            <w:r w:rsidRPr="002A0773">
              <w:rPr>
                <w:rFonts w:asciiTheme="minorHAnsi" w:eastAsia="SimSun" w:hAnsiTheme="minorHAnsi"/>
                <w:szCs w:val="20"/>
                <w:lang w:val="en-GB"/>
              </w:rPr>
              <w:t xml:space="preserve">% change in management plan (e.g. changes in </w:t>
            </w:r>
            <w:r>
              <w:rPr>
                <w:rFonts w:asciiTheme="minorHAnsi" w:eastAsia="SimSun" w:hAnsiTheme="minorHAnsi"/>
                <w:szCs w:val="20"/>
                <w:lang w:val="en-GB"/>
              </w:rPr>
              <w:t>treatment)</w:t>
            </w:r>
          </w:p>
          <w:p w14:paraId="2860FFDB" w14:textId="0A0BB120" w:rsidR="00CB578F" w:rsidRDefault="00CB578F" w:rsidP="00FD6BEC">
            <w:pPr>
              <w:keepNext/>
              <w:spacing w:before="40" w:after="0" w:line="240" w:lineRule="auto"/>
              <w:rPr>
                <w:rFonts w:asciiTheme="minorHAnsi" w:eastAsia="SimSun" w:hAnsiTheme="minorHAnsi"/>
                <w:szCs w:val="20"/>
                <w:lang w:val="en-GB"/>
              </w:rPr>
            </w:pPr>
            <w:r w:rsidRPr="00FD6BEC">
              <w:rPr>
                <w:rFonts w:asciiTheme="minorHAnsi" w:eastAsia="SimSun" w:hAnsiTheme="minorHAnsi"/>
                <w:b/>
                <w:szCs w:val="20"/>
                <w:lang w:val="en-GB"/>
              </w:rPr>
              <w:t>Therapeutic effectiveness</w:t>
            </w:r>
            <w:r>
              <w:rPr>
                <w:rFonts w:asciiTheme="minorHAnsi" w:eastAsia="SimSun" w:hAnsiTheme="minorHAnsi"/>
                <w:szCs w:val="20"/>
                <w:lang w:val="en-GB"/>
              </w:rPr>
              <w:t xml:space="preserve">: </w:t>
            </w:r>
            <w:r w:rsidRPr="00ED23F4">
              <w:rPr>
                <w:rFonts w:asciiTheme="minorHAnsi" w:eastAsia="SimSun" w:hAnsiTheme="minorHAnsi"/>
                <w:szCs w:val="20"/>
                <w:lang w:val="en-GB"/>
              </w:rPr>
              <w:t xml:space="preserve">Critical </w:t>
            </w:r>
            <w:proofErr w:type="spellStart"/>
            <w:r w:rsidRPr="00ED23F4">
              <w:rPr>
                <w:rFonts w:asciiTheme="minorHAnsi" w:eastAsia="SimSun" w:hAnsiTheme="minorHAnsi"/>
                <w:szCs w:val="20"/>
                <w:lang w:val="en-GB"/>
              </w:rPr>
              <w:t>outcomes</w:t>
            </w:r>
            <w:r w:rsidR="00A812C5">
              <w:rPr>
                <w:rFonts w:asciiTheme="minorHAnsi" w:eastAsia="SimSun" w:hAnsiTheme="minorHAnsi"/>
                <w:szCs w:val="20"/>
                <w:vertAlign w:val="superscript"/>
                <w:lang w:val="en-GB"/>
              </w:rPr>
              <w:t>b</w:t>
            </w:r>
            <w:proofErr w:type="spellEnd"/>
            <w:r w:rsidRPr="00ED23F4">
              <w:rPr>
                <w:rFonts w:asciiTheme="minorHAnsi" w:eastAsia="SimSun" w:hAnsiTheme="minorHAnsi"/>
                <w:szCs w:val="20"/>
                <w:lang w:val="en-GB"/>
              </w:rPr>
              <w:t>:</w:t>
            </w:r>
            <w:r>
              <w:rPr>
                <w:rFonts w:asciiTheme="minorHAnsi" w:eastAsia="SimSun" w:hAnsiTheme="minorHAnsi"/>
                <w:szCs w:val="20"/>
                <w:lang w:val="en-GB"/>
              </w:rPr>
              <w:t xml:space="preserve"> </w:t>
            </w:r>
            <w:r w:rsidRPr="00ED23F4">
              <w:rPr>
                <w:rFonts w:asciiTheme="minorHAnsi" w:eastAsia="SimSun" w:hAnsiTheme="minorHAnsi"/>
                <w:szCs w:val="20"/>
                <w:lang w:val="en-GB"/>
              </w:rPr>
              <w:t>Overall survival, progression-free survival, overall response rate</w:t>
            </w:r>
            <w:r>
              <w:rPr>
                <w:rFonts w:asciiTheme="minorHAnsi" w:eastAsia="SimSun" w:hAnsiTheme="minorHAnsi"/>
                <w:szCs w:val="20"/>
                <w:lang w:val="en-GB"/>
              </w:rPr>
              <w:t xml:space="preserve">; </w:t>
            </w:r>
            <w:r w:rsidRPr="00ED23F4">
              <w:rPr>
                <w:rFonts w:asciiTheme="minorHAnsi" w:eastAsia="SimSun" w:hAnsiTheme="minorHAnsi"/>
                <w:szCs w:val="20"/>
                <w:lang w:val="en-GB"/>
              </w:rPr>
              <w:t>Impor</w:t>
            </w:r>
            <w:r>
              <w:rPr>
                <w:rFonts w:asciiTheme="minorHAnsi" w:eastAsia="SimSun" w:hAnsiTheme="minorHAnsi"/>
                <w:szCs w:val="20"/>
                <w:lang w:val="en-GB"/>
              </w:rPr>
              <w:t xml:space="preserve">tant </w:t>
            </w:r>
            <w:proofErr w:type="spellStart"/>
            <w:r>
              <w:rPr>
                <w:rFonts w:asciiTheme="minorHAnsi" w:eastAsia="SimSun" w:hAnsiTheme="minorHAnsi"/>
                <w:szCs w:val="20"/>
                <w:lang w:val="en-GB"/>
              </w:rPr>
              <w:t>outcomes</w:t>
            </w:r>
            <w:r w:rsidR="00A812C5">
              <w:rPr>
                <w:rFonts w:asciiTheme="minorHAnsi" w:eastAsia="SimSun" w:hAnsiTheme="minorHAnsi"/>
                <w:szCs w:val="20"/>
                <w:vertAlign w:val="superscript"/>
                <w:lang w:val="en-GB"/>
              </w:rPr>
              <w:t>b</w:t>
            </w:r>
            <w:proofErr w:type="spellEnd"/>
            <w:r>
              <w:rPr>
                <w:rFonts w:asciiTheme="minorHAnsi" w:eastAsia="SimSun" w:hAnsiTheme="minorHAnsi"/>
                <w:szCs w:val="20"/>
                <w:lang w:val="en-GB"/>
              </w:rPr>
              <w:t>: Quality of life</w:t>
            </w:r>
          </w:p>
          <w:p w14:paraId="14A0124C" w14:textId="32DBD239" w:rsidR="00524910" w:rsidRPr="00FD6BEC" w:rsidRDefault="00524910" w:rsidP="00FD6BEC">
            <w:pPr>
              <w:keepNext/>
              <w:spacing w:before="40" w:after="0" w:line="240" w:lineRule="auto"/>
              <w:rPr>
                <w:rFonts w:asciiTheme="minorHAnsi" w:eastAsia="SimSun" w:hAnsiTheme="minorHAnsi"/>
                <w:szCs w:val="20"/>
                <w:lang w:val="en-GB"/>
              </w:rPr>
            </w:pPr>
            <w:r w:rsidRPr="002B74F4">
              <w:rPr>
                <w:rFonts w:asciiTheme="minorHAnsi" w:eastAsia="SimSun" w:hAnsiTheme="minorHAnsi"/>
                <w:b/>
                <w:szCs w:val="20"/>
                <w:lang w:val="en-GB"/>
              </w:rPr>
              <w:t>Predictive validity</w:t>
            </w:r>
            <w:r>
              <w:rPr>
                <w:rFonts w:asciiTheme="minorHAnsi" w:eastAsia="SimSun" w:hAnsiTheme="minorHAnsi"/>
                <w:szCs w:val="20"/>
                <w:lang w:val="en-GB"/>
              </w:rPr>
              <w:t>: treatment effect modification</w:t>
            </w:r>
          </w:p>
        </w:tc>
      </w:tr>
      <w:tr w:rsidR="00CB578F" w:rsidRPr="00084393" w14:paraId="31DA9D6C" w14:textId="77777777" w:rsidTr="006407EB">
        <w:tc>
          <w:tcPr>
            <w:tcW w:w="781" w:type="pct"/>
            <w:tcBorders>
              <w:right w:val="single" w:sz="4" w:space="0" w:color="auto"/>
            </w:tcBorders>
          </w:tcPr>
          <w:p w14:paraId="3D52533C" w14:textId="77777777" w:rsidR="00CB578F" w:rsidRDefault="00CB578F" w:rsidP="006407EB">
            <w:pPr>
              <w:keepNext/>
              <w:spacing w:before="40" w:after="0" w:line="240" w:lineRule="auto"/>
              <w:rPr>
                <w:rFonts w:asciiTheme="minorHAnsi" w:eastAsia="SimSun" w:hAnsiTheme="minorHAnsi" w:cs="Tahoma"/>
                <w:szCs w:val="20"/>
                <w:lang w:eastAsia="zh-CN"/>
              </w:rPr>
            </w:pPr>
            <w:r>
              <w:rPr>
                <w:rFonts w:asciiTheme="minorHAnsi" w:eastAsia="SimSun" w:hAnsiTheme="minorHAnsi" w:cs="Tahoma"/>
                <w:szCs w:val="20"/>
                <w:lang w:eastAsia="zh-CN"/>
              </w:rPr>
              <w:t>Linked evidence research questions</w:t>
            </w:r>
          </w:p>
        </w:tc>
        <w:tc>
          <w:tcPr>
            <w:tcW w:w="4219" w:type="pct"/>
            <w:tcBorders>
              <w:top w:val="single" w:sz="4" w:space="0" w:color="auto"/>
              <w:left w:val="single" w:sz="4" w:space="0" w:color="auto"/>
              <w:bottom w:val="single" w:sz="4" w:space="0" w:color="auto"/>
              <w:right w:val="single" w:sz="4" w:space="0" w:color="auto"/>
            </w:tcBorders>
          </w:tcPr>
          <w:p w14:paraId="1A4FF7D2" w14:textId="75A06187" w:rsidR="00CB578F" w:rsidRPr="002B74F4" w:rsidRDefault="00CB578F" w:rsidP="006407EB">
            <w:pPr>
              <w:spacing w:before="40" w:after="0" w:line="240" w:lineRule="auto"/>
              <w:jc w:val="both"/>
              <w:rPr>
                <w:rFonts w:asciiTheme="minorHAnsi" w:eastAsia="SimSun" w:hAnsiTheme="minorHAnsi"/>
                <w:szCs w:val="20"/>
                <w:lang w:val="en-GB"/>
              </w:rPr>
            </w:pPr>
            <w:r w:rsidRPr="002B74F4">
              <w:rPr>
                <w:rFonts w:asciiTheme="minorHAnsi" w:eastAsia="SimSun" w:hAnsiTheme="minorHAnsi"/>
                <w:szCs w:val="20"/>
                <w:lang w:val="en-GB"/>
              </w:rPr>
              <w:t xml:space="preserve">What is the diagnostic accuracy of IHC MMR deficiency testing </w:t>
            </w:r>
            <w:r w:rsidR="00FD6BEC">
              <w:rPr>
                <w:rFonts w:asciiTheme="minorHAnsi" w:eastAsia="SimSun" w:hAnsiTheme="minorHAnsi"/>
                <w:szCs w:val="20"/>
                <w:lang w:val="en-GB"/>
              </w:rPr>
              <w:t xml:space="preserve">compared with the reference standard </w:t>
            </w:r>
            <w:r w:rsidRPr="002B74F4">
              <w:rPr>
                <w:rFonts w:asciiTheme="minorHAnsi" w:eastAsia="SimSun" w:hAnsiTheme="minorHAnsi"/>
                <w:szCs w:val="20"/>
                <w:lang w:val="en-GB"/>
              </w:rPr>
              <w:t>for determining access to pembrolizumab in patients with stage IV CRC?</w:t>
            </w:r>
          </w:p>
          <w:p w14:paraId="08E2F0A9" w14:textId="4FA96DF9" w:rsidR="00CB578F" w:rsidRPr="002B74F4" w:rsidRDefault="00CB578F" w:rsidP="006407EB">
            <w:pPr>
              <w:spacing w:before="40" w:after="0" w:line="240" w:lineRule="auto"/>
              <w:jc w:val="both"/>
              <w:rPr>
                <w:rFonts w:asciiTheme="minorHAnsi" w:eastAsia="SimSun" w:hAnsiTheme="minorHAnsi"/>
                <w:szCs w:val="20"/>
                <w:lang w:val="en-GB"/>
              </w:rPr>
            </w:pPr>
            <w:r w:rsidRPr="002B74F4">
              <w:rPr>
                <w:rFonts w:asciiTheme="minorHAnsi" w:eastAsia="SimSun" w:hAnsiTheme="minorHAnsi"/>
                <w:szCs w:val="20"/>
                <w:lang w:val="en-GB"/>
              </w:rPr>
              <w:t xml:space="preserve">Will the extra information generated as a result of IHC MMR deficiency testing be of additional prognostic value in patients </w:t>
            </w:r>
            <w:r w:rsidR="00FD6BEC">
              <w:rPr>
                <w:rFonts w:asciiTheme="minorHAnsi" w:eastAsia="SimSun" w:hAnsiTheme="minorHAnsi"/>
                <w:szCs w:val="20"/>
                <w:lang w:val="en-GB"/>
              </w:rPr>
              <w:t xml:space="preserve">with </w:t>
            </w:r>
            <w:r w:rsidR="009B2B4B">
              <w:rPr>
                <w:rFonts w:asciiTheme="minorHAnsi" w:eastAsia="SimSun" w:hAnsiTheme="minorHAnsi"/>
                <w:szCs w:val="20"/>
                <w:lang w:val="en-GB"/>
              </w:rPr>
              <w:t>CRC</w:t>
            </w:r>
            <w:r w:rsidRPr="002B74F4">
              <w:rPr>
                <w:rFonts w:asciiTheme="minorHAnsi" w:eastAsia="SimSun" w:hAnsiTheme="minorHAnsi"/>
                <w:szCs w:val="20"/>
                <w:lang w:val="en-GB"/>
              </w:rPr>
              <w:t>?</w:t>
            </w:r>
          </w:p>
          <w:p w14:paraId="05372DCF" w14:textId="77777777" w:rsidR="00CB578F" w:rsidRPr="002B74F4" w:rsidRDefault="00CB578F" w:rsidP="006407EB">
            <w:pPr>
              <w:spacing w:before="40" w:after="0" w:line="240" w:lineRule="auto"/>
              <w:jc w:val="both"/>
              <w:rPr>
                <w:rFonts w:asciiTheme="minorHAnsi" w:eastAsia="SimSun" w:hAnsiTheme="minorHAnsi"/>
                <w:szCs w:val="20"/>
                <w:lang w:val="en-GB"/>
              </w:rPr>
            </w:pPr>
            <w:r w:rsidRPr="002B74F4">
              <w:rPr>
                <w:rFonts w:asciiTheme="minorHAnsi" w:eastAsia="SimSun" w:hAnsiTheme="minorHAnsi"/>
                <w:szCs w:val="20"/>
                <w:lang w:val="en-GB"/>
              </w:rPr>
              <w:t>Is there a change in management in patients in whom an MMR deficiency is diagnosed?</w:t>
            </w:r>
          </w:p>
          <w:p w14:paraId="30E50A55" w14:textId="77777777" w:rsidR="00CB578F" w:rsidRDefault="00CB578F" w:rsidP="006407EB">
            <w:pPr>
              <w:spacing w:before="40" w:after="0" w:line="240" w:lineRule="auto"/>
              <w:jc w:val="both"/>
              <w:rPr>
                <w:rFonts w:asciiTheme="minorHAnsi" w:eastAsia="SimSun" w:hAnsiTheme="minorHAnsi"/>
                <w:szCs w:val="20"/>
                <w:lang w:val="en-GB"/>
              </w:rPr>
            </w:pPr>
            <w:r w:rsidRPr="002B74F4">
              <w:rPr>
                <w:rFonts w:asciiTheme="minorHAnsi" w:eastAsia="SimSun" w:hAnsiTheme="minorHAnsi"/>
                <w:szCs w:val="20"/>
                <w:lang w:val="en-GB"/>
              </w:rPr>
              <w:t>Does treatment with pembrolizumab lead to better health outcomes in patients with MMR deficient CRC compared with standard of care chemotherapy?</w:t>
            </w:r>
          </w:p>
          <w:p w14:paraId="5DCA3831" w14:textId="77777777" w:rsidR="00CB578F" w:rsidRPr="002B74F4" w:rsidRDefault="00CB578F" w:rsidP="006407EB">
            <w:pPr>
              <w:spacing w:before="40" w:after="0" w:line="240" w:lineRule="auto"/>
              <w:jc w:val="both"/>
              <w:rPr>
                <w:rFonts w:asciiTheme="minorHAnsi" w:eastAsia="SimSun" w:hAnsiTheme="minorHAnsi" w:cs="Tahoma"/>
                <w:szCs w:val="20"/>
                <w:lang w:eastAsia="zh-CN"/>
              </w:rPr>
            </w:pPr>
            <w:r>
              <w:rPr>
                <w:rFonts w:asciiTheme="minorHAnsi" w:eastAsia="SimSun" w:hAnsiTheme="minorHAnsi"/>
                <w:szCs w:val="20"/>
                <w:lang w:val="en-GB"/>
              </w:rPr>
              <w:t xml:space="preserve">Is MMR status a treatment effect modifier? </w:t>
            </w:r>
          </w:p>
        </w:tc>
      </w:tr>
    </w:tbl>
    <w:p w14:paraId="4DB2C619" w14:textId="77777777" w:rsidR="009B2B4B" w:rsidRDefault="00A812C5" w:rsidP="009B2B4B">
      <w:pPr>
        <w:spacing w:before="120" w:after="0"/>
        <w:rPr>
          <w:rFonts w:eastAsia="MS Gothic"/>
          <w:bCs/>
          <w:color w:val="000000" w:themeColor="text1"/>
          <w:szCs w:val="26"/>
        </w:rPr>
      </w:pPr>
      <w:proofErr w:type="spellStart"/>
      <w:proofErr w:type="gramStart"/>
      <w:r w:rsidRPr="00B32B3A">
        <w:rPr>
          <w:rFonts w:eastAsia="MS Gothic"/>
          <w:bCs/>
          <w:color w:val="000000" w:themeColor="text1"/>
          <w:szCs w:val="26"/>
          <w:vertAlign w:val="superscript"/>
        </w:rPr>
        <w:t>a</w:t>
      </w:r>
      <w:r w:rsidRPr="00B32B3A">
        <w:rPr>
          <w:rFonts w:eastAsia="MS Gothic"/>
          <w:bCs/>
          <w:color w:val="000000" w:themeColor="text1"/>
          <w:szCs w:val="26"/>
        </w:rPr>
        <w:t>Current</w:t>
      </w:r>
      <w:proofErr w:type="spellEnd"/>
      <w:proofErr w:type="gramEnd"/>
      <w:r w:rsidRPr="00B32B3A">
        <w:rPr>
          <w:rFonts w:eastAsia="MS Gothic"/>
          <w:bCs/>
          <w:color w:val="000000" w:themeColor="text1"/>
          <w:szCs w:val="26"/>
        </w:rPr>
        <w:t xml:space="preserve"> testing regimen</w:t>
      </w:r>
      <w:r>
        <w:rPr>
          <w:rFonts w:eastAsia="MS Gothic"/>
          <w:bCs/>
          <w:color w:val="000000" w:themeColor="text1"/>
          <w:szCs w:val="26"/>
        </w:rPr>
        <w:t xml:space="preserve"> may or may not include MMR testing for purposes other than determining eligibility for pembrolizumab</w:t>
      </w:r>
    </w:p>
    <w:p w14:paraId="1B51AAB1" w14:textId="1D336A57" w:rsidR="00A812C5" w:rsidRDefault="00A812C5" w:rsidP="009B2B4B">
      <w:pPr>
        <w:rPr>
          <w:rFonts w:asciiTheme="minorHAnsi" w:eastAsia="SimSun" w:hAnsiTheme="minorHAnsi"/>
          <w:szCs w:val="20"/>
          <w:lang w:val="en-GB"/>
        </w:rPr>
      </w:pPr>
      <w:r w:rsidRPr="00B32B3A">
        <w:rPr>
          <w:rFonts w:eastAsia="MS Gothic"/>
          <w:bCs/>
          <w:color w:val="000000" w:themeColor="text1"/>
          <w:szCs w:val="26"/>
          <w:vertAlign w:val="superscript"/>
        </w:rPr>
        <w:t xml:space="preserve">; </w:t>
      </w:r>
      <w:proofErr w:type="gramStart"/>
      <w:r w:rsidRPr="00B32B3A">
        <w:rPr>
          <w:rFonts w:eastAsia="MS Gothic"/>
          <w:bCs/>
          <w:color w:val="000000" w:themeColor="text1"/>
          <w:szCs w:val="26"/>
          <w:vertAlign w:val="superscript"/>
        </w:rPr>
        <w:t>b</w:t>
      </w:r>
      <w:r w:rsidRPr="00B32B3A">
        <w:rPr>
          <w:rFonts w:asciiTheme="minorHAnsi" w:eastAsia="SimSun" w:hAnsiTheme="minorHAnsi"/>
          <w:color w:val="000000" w:themeColor="text1"/>
          <w:szCs w:val="20"/>
          <w:lang w:val="en-GB"/>
        </w:rPr>
        <w:t>Outcomes</w:t>
      </w:r>
      <w:proofErr w:type="gramEnd"/>
      <w:r w:rsidRPr="00B32B3A">
        <w:rPr>
          <w:rFonts w:asciiTheme="minorHAnsi" w:eastAsia="SimSun" w:hAnsiTheme="minorHAnsi"/>
          <w:color w:val="000000" w:themeColor="text1"/>
          <w:szCs w:val="20"/>
          <w:lang w:val="en-GB"/>
        </w:rPr>
        <w:t xml:space="preserve"> </w:t>
      </w:r>
      <w:r w:rsidRPr="00A24E52">
        <w:rPr>
          <w:rFonts w:asciiTheme="minorHAnsi" w:eastAsia="SimSun" w:hAnsiTheme="minorHAnsi"/>
          <w:szCs w:val="20"/>
          <w:lang w:val="en-GB"/>
        </w:rPr>
        <w:t xml:space="preserve">ranked as </w:t>
      </w:r>
      <w:r>
        <w:rPr>
          <w:rFonts w:asciiTheme="minorHAnsi" w:eastAsia="SimSun" w:hAnsiTheme="minorHAnsi"/>
          <w:szCs w:val="20"/>
          <w:lang w:val="en-GB"/>
        </w:rPr>
        <w:t>recommended by GRADE</w:t>
      </w:r>
    </w:p>
    <w:p w14:paraId="0D788D0E" w14:textId="64C813B9" w:rsidR="003E6BD0" w:rsidRDefault="003E6BD0">
      <w:pPr>
        <w:rPr>
          <w:rFonts w:asciiTheme="minorHAnsi" w:eastAsia="SimSun" w:hAnsiTheme="minorHAnsi"/>
          <w:szCs w:val="20"/>
          <w:lang w:val="en-GB"/>
        </w:rPr>
      </w:pPr>
      <w:r>
        <w:rPr>
          <w:rFonts w:asciiTheme="minorHAnsi" w:eastAsia="SimSun" w:hAnsiTheme="minorHAnsi"/>
          <w:szCs w:val="20"/>
          <w:lang w:val="en-GB"/>
        </w:rPr>
        <w:br w:type="page"/>
      </w:r>
    </w:p>
    <w:p w14:paraId="0E793A82" w14:textId="24B25DF3" w:rsidR="007F4E20" w:rsidRPr="00521C35" w:rsidRDefault="00E364F7" w:rsidP="00EF09A5">
      <w:pPr>
        <w:pStyle w:val="Heading2"/>
        <w:numPr>
          <w:ilvl w:val="0"/>
          <w:numId w:val="14"/>
        </w:numPr>
        <w:ind w:left="426" w:hanging="426"/>
      </w:pPr>
      <w:r w:rsidRPr="00521C35">
        <w:lastRenderedPageBreak/>
        <w:t>PICO</w:t>
      </w:r>
      <w:r w:rsidR="00953ED7" w:rsidRPr="00521C35">
        <w:t xml:space="preserve"> </w:t>
      </w:r>
      <w:r w:rsidRPr="00521C35">
        <w:t>rationale</w:t>
      </w:r>
    </w:p>
    <w:p w14:paraId="5BC6462C" w14:textId="2371DFB5" w:rsidR="00896845" w:rsidRPr="00521C35" w:rsidRDefault="00AB1B12" w:rsidP="00303F73">
      <w:pPr>
        <w:pStyle w:val="Heading3"/>
      </w:pPr>
      <w:r>
        <w:t>2.1</w:t>
      </w:r>
      <w:r>
        <w:tab/>
      </w:r>
      <w:r w:rsidR="00896845" w:rsidRPr="00521C35">
        <w:t>Population</w:t>
      </w:r>
    </w:p>
    <w:p w14:paraId="607EE19F" w14:textId="4D9E7ED3" w:rsidR="00EC4089" w:rsidRDefault="00D02B69" w:rsidP="00102C05">
      <w:pPr>
        <w:jc w:val="both"/>
      </w:pPr>
      <w:r>
        <w:t>The proposed population are those p</w:t>
      </w:r>
      <w:r w:rsidR="003A7A02">
        <w:t xml:space="preserve">atients </w:t>
      </w:r>
      <w:r w:rsidR="00EC4089" w:rsidRPr="00A64B73">
        <w:t xml:space="preserve">diagnosed with </w:t>
      </w:r>
      <w:r w:rsidR="003A7A02">
        <w:t>colorectal cancer (</w:t>
      </w:r>
      <w:r w:rsidR="00EC4089" w:rsidRPr="00A64B73">
        <w:t>CRC</w:t>
      </w:r>
      <w:r w:rsidR="003A7A02">
        <w:t>)</w:t>
      </w:r>
      <w:r>
        <w:t>. Patients</w:t>
      </w:r>
      <w:r w:rsidR="00EC4089" w:rsidRPr="00A64B73">
        <w:t xml:space="preserve"> </w:t>
      </w:r>
      <w:r w:rsidR="003A7A02">
        <w:t xml:space="preserve">would receive </w:t>
      </w:r>
      <w:proofErr w:type="spellStart"/>
      <w:r w:rsidR="00102C05">
        <w:t>i</w:t>
      </w:r>
      <w:r w:rsidR="007C6C09">
        <w:t>mmunohistochemical</w:t>
      </w:r>
      <w:proofErr w:type="spellEnd"/>
      <w:r w:rsidR="00102C05" w:rsidRPr="00102C05">
        <w:t xml:space="preserve"> </w:t>
      </w:r>
      <w:r w:rsidR="00102C05">
        <w:t xml:space="preserve">(IHC) </w:t>
      </w:r>
      <w:r w:rsidR="00102C05" w:rsidRPr="00102C05">
        <w:t xml:space="preserve">DNA mismatch repair </w:t>
      </w:r>
      <w:r w:rsidR="00102C05">
        <w:t xml:space="preserve">(MMR) </w:t>
      </w:r>
      <w:r w:rsidR="00102C05" w:rsidRPr="00102C05">
        <w:t>deficiency testing using antibodies directed against the four mismatch repair protein</w:t>
      </w:r>
      <w:r w:rsidR="00102C05">
        <w:t>s</w:t>
      </w:r>
      <w:r w:rsidR="00102C05" w:rsidRPr="00102C05">
        <w:t xml:space="preserve"> to detect a deficiency for eligibility for treatment with pembrolizumab </w:t>
      </w:r>
      <w:r w:rsidR="00102C05">
        <w:t xml:space="preserve">on progression to </w:t>
      </w:r>
      <w:r w:rsidR="00102C05" w:rsidRPr="00A64B73">
        <w:t>Stage IV</w:t>
      </w:r>
      <w:r w:rsidR="00EF09A5">
        <w:t xml:space="preserve"> disease</w:t>
      </w:r>
      <w:r w:rsidR="00102C05" w:rsidRPr="00102C05">
        <w:t>.</w:t>
      </w:r>
    </w:p>
    <w:p w14:paraId="7EA27038" w14:textId="77777777" w:rsidR="00841CF5" w:rsidRDefault="00841CF5" w:rsidP="00102C05">
      <w:pPr>
        <w:jc w:val="both"/>
      </w:pPr>
      <w:r>
        <w:t>CRC can occur in any part of the large bowel (colon or rectum) and if untreated, can spread to the lymph nodes (glands) and eventually metastasize. Stage IV CRC is defined as cancer that has spread to distant organs or tissues.</w:t>
      </w:r>
      <w:r w:rsidR="005E70BB">
        <w:t xml:space="preserve"> </w:t>
      </w:r>
    </w:p>
    <w:p w14:paraId="38B7FDEB" w14:textId="65DD688E" w:rsidR="0078607B" w:rsidRDefault="003E02C4" w:rsidP="005E70BB">
      <w:pPr>
        <w:jc w:val="both"/>
      </w:pPr>
      <w:r w:rsidRPr="003E02C4">
        <w:t>In 2016, it is estimated that the age-standardised incidence rate will be 62 cases per 100,000 persons (74 for males and 51 for females)</w:t>
      </w:r>
      <w:r>
        <w:t xml:space="preserve"> and </w:t>
      </w:r>
      <w:r w:rsidR="0078607B">
        <w:t xml:space="preserve">CRC will </w:t>
      </w:r>
      <w:r w:rsidR="00C702C2">
        <w:t>be</w:t>
      </w:r>
      <w:r w:rsidR="0078607B">
        <w:t xml:space="preserve"> the </w:t>
      </w:r>
      <w:r w:rsidR="00D02B69">
        <w:t>secon</w:t>
      </w:r>
      <w:r w:rsidR="0078607B">
        <w:t xml:space="preserve">d most common cause of death from cancer in Australia </w:t>
      </w:r>
      <w:r>
        <w:t>with an</w:t>
      </w:r>
      <w:r w:rsidR="0078607B">
        <w:t xml:space="preserve"> estimated age-standardised mortality rate </w:t>
      </w:r>
      <w:r>
        <w:t>of</w:t>
      </w:r>
      <w:r w:rsidR="0078607B">
        <w:t xml:space="preserve"> 14 deaths per 100,000 persons (16 for males and 12 for females)</w:t>
      </w:r>
      <w:r w:rsidR="00C702C2" w:rsidRPr="00C702C2">
        <w:rPr>
          <w:rStyle w:val="FootnoteReference"/>
        </w:rPr>
        <w:t xml:space="preserve"> </w:t>
      </w:r>
      <w:r w:rsidR="00C702C2" w:rsidRPr="003E6BD0">
        <w:rPr>
          <w:rStyle w:val="FootnoteReference"/>
        </w:rPr>
        <w:footnoteReference w:id="1"/>
      </w:r>
      <w:r w:rsidR="0078607B">
        <w:t xml:space="preserve">. </w:t>
      </w:r>
      <w:r w:rsidR="00C702C2">
        <w:t>This translates into an</w:t>
      </w:r>
      <w:r w:rsidR="00C702C2" w:rsidRPr="003E6BD0">
        <w:t xml:space="preserve"> estimated 17,520 Australian cases of CRC</w:t>
      </w:r>
      <w:r w:rsidR="00C702C2">
        <w:t>,</w:t>
      </w:r>
      <w:r w:rsidR="00C702C2" w:rsidRPr="003E6BD0">
        <w:t xml:space="preserve"> 10% of </w:t>
      </w:r>
      <w:r w:rsidR="00C702C2">
        <w:t>wh</w:t>
      </w:r>
      <w:r w:rsidR="00855861">
        <w:t>om</w:t>
      </w:r>
      <w:r w:rsidR="00C702C2" w:rsidRPr="003E6BD0">
        <w:t xml:space="preserve"> will be diagnosed with stage IV disease</w:t>
      </w:r>
      <w:r w:rsidR="00C702C2">
        <w:t>, and a 1 in 52 (1 in 45 for males and 1 in 62 for females)</w:t>
      </w:r>
      <w:r w:rsidR="0078607B">
        <w:t xml:space="preserve"> </w:t>
      </w:r>
      <w:r w:rsidR="00C702C2">
        <w:t>chance</w:t>
      </w:r>
      <w:r w:rsidR="0078607B">
        <w:t xml:space="preserve"> of an individual dying from bowel cancer by their 85th birthday.</w:t>
      </w:r>
      <w:r w:rsidR="005E70BB" w:rsidRPr="005E70BB">
        <w:t xml:space="preserve"> </w:t>
      </w:r>
    </w:p>
    <w:p w14:paraId="0594F7AB" w14:textId="02B66D44" w:rsidR="006E5948" w:rsidRDefault="006E5948" w:rsidP="006E5948">
      <w:pPr>
        <w:jc w:val="both"/>
      </w:pPr>
      <w:r>
        <w:t>The MMR system is mainly composed of four proteins (MLH1, MSH2, MSH6 and PMS2) interacting together to recognize DNA mismatches that may occur during DNA replication</w:t>
      </w:r>
      <w:r w:rsidRPr="006E5948">
        <w:t xml:space="preserve"> </w:t>
      </w:r>
      <w:r>
        <w:t xml:space="preserve">and excising them </w:t>
      </w:r>
      <w:r w:rsidR="006407EB">
        <w:fldChar w:fldCharType="begin"/>
      </w:r>
      <w:r w:rsidR="006407EB">
        <w:instrText xml:space="preserve"> ADDIN EN.CITE &lt;EndNote&gt;&lt;Cite&gt;&lt;Author&gt;Buecher&lt;/Author&gt;&lt;Year&gt;2013&lt;/Year&gt;&lt;RecNum&gt;27&lt;/RecNum&gt;&lt;DisplayText&gt;(Buecher et al. 2013)&lt;/DisplayText&gt;&lt;record&gt;&lt;rec-number&gt;27&lt;/rec-number&gt;&lt;foreign-keys&gt;&lt;key app="EN" db-id="teavvzdrht9v5oepf0av9tpn02r2trradver" timestamp="1471497820"&gt;27&lt;/key&gt;&lt;/foreign-keys&gt;&lt;ref-type name="Journal Article"&gt;17&lt;/ref-type&gt;&lt;contributors&gt;&lt;authors&gt;&lt;author&gt;Buecher, B.&lt;/author&gt;&lt;author&gt;Cacheux, W.&lt;/author&gt;&lt;author&gt;Rouleau, E.&lt;/author&gt;&lt;author&gt;Dieumegard, B.&lt;/author&gt;&lt;author&gt;Mitry, E.&lt;/author&gt;&lt;author&gt;Lievre, A.&lt;/author&gt;&lt;/authors&gt;&lt;/contributors&gt;&lt;auth-address&gt;Department of Medical Oncology, Groupe Hospitalier, Institut Curie, 26, rue d&amp;apos;Ulm, 75248 Paris Cedex 5, France.&lt;/auth-address&gt;&lt;titles&gt;&lt;title&gt;Role of microsatellite instability in the management of colorectal cancers&lt;/title&gt;&lt;secondary-title&gt;Dig Liver Dis&lt;/secondary-title&gt;&lt;/titles&gt;&lt;periodical&gt;&lt;full-title&gt;Dig Liver Dis&lt;/full-title&gt;&lt;/periodical&gt;&lt;pages&gt;441-9&lt;/pages&gt;&lt;volume&gt;45&lt;/volume&gt;&lt;number&gt;6&lt;/number&gt;&lt;edition&gt;2012/12/01&lt;/edition&gt;&lt;keywords&gt;&lt;keyword&gt;Antineoplastic Combined Chemotherapy Protocols/therapeutic use&lt;/keyword&gt;&lt;keyword&gt;Chemotherapy, Adjuvant&lt;/keyword&gt;&lt;keyword&gt;Colorectal Neoplasms/diagnosis/ drug therapy/ genetics&lt;/keyword&gt;&lt;keyword&gt;Colorectal Neoplasms, Hereditary Nonpolyposis/diagnosis/drug therapy/genetics&lt;/keyword&gt;&lt;keyword&gt;Fluorouracil/therapeutic use&lt;/keyword&gt;&lt;keyword&gt;Humans&lt;/keyword&gt;&lt;keyword&gt;Leucovorin/therapeutic use&lt;/keyword&gt;&lt;keyword&gt;Microsatellite Instability&lt;/keyword&gt;&lt;keyword&gt;Organoplatinum Compounds/therapeutic use&lt;/keyword&gt;&lt;keyword&gt;Prognosis&lt;/keyword&gt;&lt;keyword&gt;Treatment Outcome&lt;/keyword&gt;&lt;/keywords&gt;&lt;dates&gt;&lt;year&gt;2013&lt;/year&gt;&lt;pub-dates&gt;&lt;date&gt;Jun&lt;/date&gt;&lt;/pub-dates&gt;&lt;/dates&gt;&lt;isbn&gt;1878-3562 (Electronic)&amp;#xD;1590-8658 (Linking)&lt;/isbn&gt;&lt;accession-num&gt;23195666&lt;/accession-num&gt;&lt;urls&gt;&lt;/urls&gt;&lt;electronic-resource-num&gt;10.1016/j.dld.2012.10.006&lt;/electronic-resource-num&gt;&lt;remote-database-provider&gt;NLM&lt;/remote-database-provider&gt;&lt;language&gt;eng&lt;/language&gt;&lt;/record&gt;&lt;/Cite&gt;&lt;/EndNote&gt;</w:instrText>
      </w:r>
      <w:r w:rsidR="006407EB">
        <w:fldChar w:fldCharType="separate"/>
      </w:r>
      <w:r w:rsidR="006407EB">
        <w:rPr>
          <w:noProof/>
        </w:rPr>
        <w:t>(Buecher et al. 2013)</w:t>
      </w:r>
      <w:r w:rsidR="006407EB">
        <w:fldChar w:fldCharType="end"/>
      </w:r>
      <w:r>
        <w:t>. Microsatellites are short tandem DNA repeat sequences of 1–6 bases distributed throughout the coding and non-coding regions of the genome</w:t>
      </w:r>
      <w:r w:rsidR="00923A7E">
        <w:t xml:space="preserve"> and</w:t>
      </w:r>
      <w:r>
        <w:t xml:space="preserve"> are especially prone to replication errors that are normally repaired by the MMR system. A</w:t>
      </w:r>
      <w:r w:rsidR="00D02B69">
        <w:t>n</w:t>
      </w:r>
      <w:r>
        <w:t xml:space="preserve"> MMR </w:t>
      </w:r>
      <w:r w:rsidR="00923A7E">
        <w:t>deficiency</w:t>
      </w:r>
      <w:r>
        <w:t xml:space="preserve"> </w:t>
      </w:r>
      <w:r w:rsidR="00923A7E">
        <w:t xml:space="preserve">results in a cancer with a 10- to 100-fold increase in the mutation rate and </w:t>
      </w:r>
      <w:r>
        <w:t xml:space="preserve">leads to the accumulation of </w:t>
      </w:r>
      <w:proofErr w:type="spellStart"/>
      <w:r>
        <w:t>frameshift</w:t>
      </w:r>
      <w:proofErr w:type="spellEnd"/>
      <w:r>
        <w:t xml:space="preserve"> mutations in microsatellites, which results in a genetic instability</w:t>
      </w:r>
      <w:r w:rsidRPr="006E5948">
        <w:t xml:space="preserve"> </w:t>
      </w:r>
      <w:r w:rsidR="007A0568">
        <w:fldChar w:fldCharType="begin">
          <w:fldData xml:space="preserve">PEVuZE5vdGU+PENpdGU+PEF1dGhvcj5CdWVjaGVyPC9BdXRob3I+PFllYXI+MjAxMzwvWWVhcj48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</w:fldData>
        </w:fldChar>
      </w:r>
      <w:r w:rsidR="007A0568">
        <w:instrText xml:space="preserve"> ADDIN EN.CITE </w:instrText>
      </w:r>
      <w:r w:rsidR="007A0568">
        <w:fldChar w:fldCharType="begin">
          <w:fldData xml:space="preserve">PEVuZE5vdGU+PENpdGU+PEF1dGhvcj5CdWVjaGVyPC9BdXRob3I+PFllYXI+MjAxMzwvWWVhcj48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</w:fldData>
        </w:fldChar>
      </w:r>
      <w:r w:rsidR="007A0568">
        <w:instrText xml:space="preserve"> ADDIN EN.CITE.DATA </w:instrText>
      </w:r>
      <w:r w:rsidR="007A0568">
        <w:fldChar w:fldCharType="end"/>
      </w:r>
      <w:r w:rsidR="007A0568">
        <w:fldChar w:fldCharType="separate"/>
      </w:r>
      <w:r w:rsidR="007A0568">
        <w:rPr>
          <w:noProof/>
        </w:rPr>
        <w:t>(Buecher et al. 2013; Dudley et al. 2016)</w:t>
      </w:r>
      <w:r w:rsidR="007A0568">
        <w:fldChar w:fldCharType="end"/>
      </w:r>
      <w:r w:rsidR="00923A7E">
        <w:t>.</w:t>
      </w:r>
      <w:r w:rsidR="006C6E9D" w:rsidRPr="006C6E9D">
        <w:t xml:space="preserve"> Microsatellite Instability</w:t>
      </w:r>
      <w:r w:rsidR="006C6E9D">
        <w:t xml:space="preserve"> </w:t>
      </w:r>
      <w:r w:rsidR="00BD6429">
        <w:t xml:space="preserve">(MSI) </w:t>
      </w:r>
      <w:r w:rsidR="006C6E9D">
        <w:t xml:space="preserve">also arises from either a </w:t>
      </w:r>
      <w:proofErr w:type="spellStart"/>
      <w:r w:rsidR="006C6E9D">
        <w:t>germline</w:t>
      </w:r>
      <w:proofErr w:type="spellEnd"/>
      <w:r w:rsidR="006C6E9D">
        <w:t xml:space="preserve"> (hereditary) mutation in one </w:t>
      </w:r>
      <w:r w:rsidR="005E211B">
        <w:t xml:space="preserve">copy </w:t>
      </w:r>
      <w:r w:rsidR="006C6E9D">
        <w:t xml:space="preserve">of </w:t>
      </w:r>
      <w:r w:rsidR="005E211B">
        <w:t>any of the</w:t>
      </w:r>
      <w:r w:rsidR="006C6E9D">
        <w:t xml:space="preserve"> </w:t>
      </w:r>
      <w:r w:rsidR="005E211B">
        <w:t xml:space="preserve">genes that encode the </w:t>
      </w:r>
      <w:r w:rsidR="006C6E9D" w:rsidRPr="005E211B">
        <w:t>MMR</w:t>
      </w:r>
      <w:r w:rsidR="005E211B">
        <w:t xml:space="preserve"> proteins</w:t>
      </w:r>
      <w:r w:rsidR="006C6E9D">
        <w:t xml:space="preserve"> (Lynch syndrome) or from sporadic somatic hyper-methylation of the </w:t>
      </w:r>
      <w:r w:rsidR="006C6E9D" w:rsidRPr="005E211B">
        <w:rPr>
          <w:i/>
        </w:rPr>
        <w:t>MLH1</w:t>
      </w:r>
      <w:r w:rsidR="006C6E9D">
        <w:t xml:space="preserve"> promoter</w:t>
      </w:r>
      <w:r w:rsidR="006C6E9D" w:rsidRPr="0078607B">
        <w:t xml:space="preserve"> </w:t>
      </w:r>
      <w:r w:rsidR="006C6E9D">
        <w:fldChar w:fldCharType="begin"/>
      </w:r>
      <w:r w:rsidR="006C6E9D">
        <w:instrText xml:space="preserve"> ADDIN EN.CITE &lt;EndNote&gt;&lt;Cite&gt;&lt;Author&gt;Dudley&lt;/Author&gt;&lt;Year&gt;2016&lt;/Year&gt;&lt;RecNum&gt;14&lt;/RecNum&gt;&lt;DisplayText&gt;(Dudley et al. 2016)&lt;/DisplayText&gt;&lt;record&gt;&lt;rec-number&gt;14&lt;/rec-number&gt;&lt;foreign-keys&gt;&lt;key app="EN" db-id="teavvzdrht9v5oepf0av9tpn02r2trradver" timestamp="1471417357"&gt;14&lt;/key&gt;&lt;/foreign-keys&gt;&lt;ref-type name="Journal Article"&gt;17&lt;/ref-type&gt;&lt;contributors&gt;&lt;authors&gt;&lt;author&gt;Dudley, J. C.&lt;/author&gt;&lt;author&gt;Lin, M. T.&lt;/author&gt;&lt;author&gt;Le, D. T.&lt;/author&gt;&lt;author&gt;Eshleman, J. R.&lt;/author&gt;&lt;/authors&gt;&lt;/contributors&gt;&lt;auth-address&gt;Department of Pathology, Massachusetts General Hospital, Boston, Massachusetts.&amp;#xD;Department of Pathology, Johns Hopkins University School of Medicine, Baltimore, Maryland.&amp;#xD;Department of Oncology, Johns Hopkins University School of Medicine, Baltimore, Maryland.&amp;#xD;Department of Pathology, Johns Hopkins University School of Medicine, Baltimore, Maryland. Department of Oncology, Johns Hopkins University School of Medicine, Baltimore, Maryland. jeshlem@jhmi.edu.&lt;/auth-address&gt;&lt;titles&gt;&lt;title&gt;Microsatellite Instability as a Biomarker for PD-1 Blockade&lt;/title&gt;&lt;secondary-title&gt;Clin Cancer Res&lt;/secondary-title&gt;&lt;/titles&gt;&lt;periodical&gt;&lt;full-title&gt;Clin Cancer Res&lt;/full-title&gt;&lt;/periodical&gt;&lt;pages&gt;813-20&lt;/pages&gt;&lt;volume&gt;22&lt;/volume&gt;&lt;number&gt;4&lt;/number&gt;&lt;edition&gt;2016/02/18&lt;/edition&gt;&lt;dates&gt;&lt;year&gt;2016&lt;/year&gt;&lt;pub-dates&gt;&lt;date&gt;Feb 15&lt;/date&gt;&lt;/pub-dates&gt;&lt;/dates&gt;&lt;isbn&gt;1078-0432 (Print)&amp;#xD;1078-0432 (Linking)&lt;/isbn&gt;&lt;accession-num&gt;26880610&lt;/accession-num&gt;&lt;urls&gt;&lt;related-urls&gt;&lt;url&gt;http://clincancerres.aacrjournals.org/content/clincanres/22/4/813.full.pdf&lt;/url&gt;&lt;/related-urls&gt;&lt;/urls&gt;&lt;electronic-resource-num&gt;10.1158/1078-0432.ccr-15-1678&lt;/electronic-resource-num&gt;&lt;remote-database-provider&gt;NLM&lt;/remote-database-provider&gt;&lt;language&gt;eng&lt;/language&gt;&lt;/record&gt;&lt;/Cite&gt;&lt;/EndNote&gt;</w:instrText>
      </w:r>
      <w:r w:rsidR="006C6E9D">
        <w:fldChar w:fldCharType="separate"/>
      </w:r>
      <w:r w:rsidR="006C6E9D">
        <w:rPr>
          <w:noProof/>
        </w:rPr>
        <w:t>(Dudley et al. 2016)</w:t>
      </w:r>
      <w:r w:rsidR="006C6E9D">
        <w:fldChar w:fldCharType="end"/>
      </w:r>
      <w:r w:rsidR="006C6E9D">
        <w:t>.</w:t>
      </w:r>
      <w:r w:rsidR="005E211B">
        <w:t xml:space="preserve"> H</w:t>
      </w:r>
      <w:r w:rsidR="005E211B" w:rsidRPr="005E211B">
        <w:t xml:space="preserve">omozygous or compound heterozygous mutation in </w:t>
      </w:r>
      <w:r w:rsidR="005E211B">
        <w:t>these</w:t>
      </w:r>
      <w:r w:rsidR="005E211B" w:rsidRPr="005E211B">
        <w:t xml:space="preserve"> genes</w:t>
      </w:r>
      <w:r w:rsidR="005E211B">
        <w:t xml:space="preserve"> leads to childhood cancer syndromes such as </w:t>
      </w:r>
      <w:r w:rsidR="005E211B" w:rsidRPr="005E211B">
        <w:t>constitutional mismatch repair deficiency syndrome</w:t>
      </w:r>
      <w:r w:rsidR="005E211B">
        <w:t xml:space="preserve"> and </w:t>
      </w:r>
      <w:proofErr w:type="spellStart"/>
      <w:r w:rsidR="005E211B" w:rsidRPr="005E211B">
        <w:t>Turcot</w:t>
      </w:r>
      <w:proofErr w:type="spellEnd"/>
      <w:r w:rsidR="005E211B" w:rsidRPr="005E211B">
        <w:t xml:space="preserve"> syndrome</w:t>
      </w:r>
      <w:r w:rsidR="005E211B">
        <w:t>.</w:t>
      </w:r>
    </w:p>
    <w:p w14:paraId="3EEDFFB0" w14:textId="3BB33AE6" w:rsidR="0078607B" w:rsidRDefault="0078607B" w:rsidP="0078607B">
      <w:pPr>
        <w:jc w:val="both"/>
      </w:pPr>
      <w:proofErr w:type="gramStart"/>
      <w:r>
        <w:t>MMR deficient CRCs account for 12</w:t>
      </w:r>
      <w:r w:rsidR="005E211B">
        <w:t>–</w:t>
      </w:r>
      <w:r>
        <w:t>17% of CRCs</w:t>
      </w:r>
      <w:r w:rsidR="006E5948">
        <w:t>, of which only 2–3% are hereditary</w:t>
      </w:r>
      <w:r w:rsidRPr="00C529A2">
        <w:t xml:space="preserve"> </w:t>
      </w:r>
      <w:proofErr w:type="gramEnd"/>
      <w:r w:rsidR="007A0568">
        <w:fldChar w:fldCharType="begin">
          <w:fldData xml:space="preserve">PEVuZE5vdGU+PENpdGU+PEF1dGhvcj5Bc2hrdG9yYWI8L0F1dGhvcj48WWVhcj4yMDE2PC9ZZWFy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</w:fldData>
        </w:fldChar>
      </w:r>
      <w:r w:rsidR="007A0568">
        <w:instrText xml:space="preserve"> ADDIN EN.CITE </w:instrText>
      </w:r>
      <w:r w:rsidR="007A0568">
        <w:fldChar w:fldCharType="begin">
          <w:fldData xml:space="preserve">PEVuZE5vdGU+PENpdGU+PEF1dGhvcj5Bc2hrdG9yYWI8L0F1dGhvcj48WWVhcj4yMDE2PC9ZZWFy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</w:fldData>
        </w:fldChar>
      </w:r>
      <w:r w:rsidR="007A0568">
        <w:instrText xml:space="preserve"> ADDIN EN.CITE.DATA </w:instrText>
      </w:r>
      <w:r w:rsidR="007A0568">
        <w:fldChar w:fldCharType="end"/>
      </w:r>
      <w:r w:rsidR="007A0568">
        <w:fldChar w:fldCharType="separate"/>
      </w:r>
      <w:r w:rsidR="007A0568">
        <w:rPr>
          <w:noProof/>
        </w:rPr>
        <w:t>(Ashktorab et al. 2016; Dunne et al. 2016)</w:t>
      </w:r>
      <w:r w:rsidR="007A0568">
        <w:fldChar w:fldCharType="end"/>
      </w:r>
      <w:proofErr w:type="gramStart"/>
      <w:r w:rsidR="006E5948">
        <w:t>.</w:t>
      </w:r>
      <w:proofErr w:type="gramEnd"/>
      <w:r>
        <w:t xml:space="preserve"> </w:t>
      </w:r>
      <w:r w:rsidR="006E5948">
        <w:t>MMR deficiency</w:t>
      </w:r>
      <w:r>
        <w:t xml:space="preserve"> is more frequent in stage II</w:t>
      </w:r>
      <w:r w:rsidR="006E5948">
        <w:t xml:space="preserve"> CRC</w:t>
      </w:r>
      <w:r>
        <w:t xml:space="preserve"> (almost 20%) compared to stage III (12%) and is relatively uncommon among metastatic tumo</w:t>
      </w:r>
      <w:r w:rsidR="006E5948">
        <w:t>u</w:t>
      </w:r>
      <w:r>
        <w:t xml:space="preserve">rs (4%) </w:t>
      </w:r>
      <w:r w:rsidR="007A0568">
        <w:fldChar w:fldCharType="begin">
          <w:fldData xml:space="preserve">PEVuZE5vdGU+PENpdGU+PEF1dGhvcj5LYXdha2FtaTwvQXV0aG9yPjxZZWFyPjIwMTU8L1llYXI+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</w:fldData>
        </w:fldChar>
      </w:r>
      <w:r w:rsidR="007A0568">
        <w:instrText xml:space="preserve"> ADDIN EN.CITE </w:instrText>
      </w:r>
      <w:r w:rsidR="007A0568">
        <w:fldChar w:fldCharType="begin">
          <w:fldData xml:space="preserve">PEVuZE5vdGU+PENpdGU+PEF1dGhvcj5LYXdha2FtaTwvQXV0aG9yPjxZZWFyPjIwMTU8L1llYXI+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</w:fldData>
        </w:fldChar>
      </w:r>
      <w:r w:rsidR="007A0568">
        <w:instrText xml:space="preserve"> ADDIN EN.CITE.DATA </w:instrText>
      </w:r>
      <w:r w:rsidR="007A0568">
        <w:fldChar w:fldCharType="end"/>
      </w:r>
      <w:r w:rsidR="007A0568">
        <w:fldChar w:fldCharType="separate"/>
      </w:r>
      <w:r w:rsidR="007A0568">
        <w:rPr>
          <w:noProof/>
        </w:rPr>
        <w:t>(Kawakami, Zaanan &amp; Sinicrope 2015)</w:t>
      </w:r>
      <w:r w:rsidR="007A0568">
        <w:fldChar w:fldCharType="end"/>
      </w:r>
      <w:r w:rsidR="006E5948">
        <w:t>.</w:t>
      </w:r>
      <w:r w:rsidR="000B2BF2">
        <w:t xml:space="preserve"> </w:t>
      </w:r>
      <w:r w:rsidR="007C2705" w:rsidRPr="007C2705">
        <w:rPr>
          <w:i/>
        </w:rPr>
        <w:t xml:space="preserve">The reduced level of MMR deficiency among stage IV CRC </w:t>
      </w:r>
      <w:r w:rsidR="007C2705">
        <w:rPr>
          <w:i/>
        </w:rPr>
        <w:t>probably reflects</w:t>
      </w:r>
      <w:r w:rsidR="007C2705" w:rsidRPr="007C2705">
        <w:rPr>
          <w:i/>
        </w:rPr>
        <w:t xml:space="preserve"> the improved prognosis of MMR deficient stage II CRC</w:t>
      </w:r>
      <w:r w:rsidR="005E211B">
        <w:rPr>
          <w:i/>
        </w:rPr>
        <w:t xml:space="preserve"> (i.e. these patients do not progress to stage IV disease)</w:t>
      </w:r>
      <w:r w:rsidR="007C2705" w:rsidRPr="007C2705">
        <w:rPr>
          <w:i/>
        </w:rPr>
        <w:t>.</w:t>
      </w:r>
      <w:r w:rsidR="007C2705">
        <w:t xml:space="preserve"> </w:t>
      </w:r>
      <w:r w:rsidR="000B2BF2" w:rsidRPr="000B2BF2">
        <w:rPr>
          <w:i/>
        </w:rPr>
        <w:t>Data to support the prevalence of MMR deficient CRC should be provided in the report.</w:t>
      </w:r>
    </w:p>
    <w:p w14:paraId="4B76CEFD" w14:textId="35C84374" w:rsidR="00C8327A" w:rsidRPr="006C354B" w:rsidRDefault="007C2705" w:rsidP="00C8327A">
      <w:pPr>
        <w:jc w:val="both"/>
        <w:rPr>
          <w:i/>
          <w:u w:val="single"/>
        </w:rPr>
      </w:pPr>
      <w:r>
        <w:rPr>
          <w:i/>
          <w:u w:val="single"/>
        </w:rPr>
        <w:t>Biological plausibility</w:t>
      </w:r>
    </w:p>
    <w:p w14:paraId="27EFA7C3" w14:textId="6A7A4988" w:rsidR="00C8327A" w:rsidRDefault="00C8327A" w:rsidP="00C8327A">
      <w:pPr>
        <w:jc w:val="both"/>
      </w:pPr>
      <w:r>
        <w:t>M</w:t>
      </w:r>
      <w:r w:rsidR="006C6E9D">
        <w:t>MR deficient</w:t>
      </w:r>
      <w:r>
        <w:t xml:space="preserve"> CRC tumours </w:t>
      </w:r>
      <w:r w:rsidRPr="007D7445">
        <w:t xml:space="preserve">commonly </w:t>
      </w:r>
      <w:r>
        <w:t xml:space="preserve">have increased numbers of tumour infiltrating lymphocytes, and patients have a greater inflammatory state as evidenced by higher C-reactive protein, neutrophil, and platelet counts than MMR-proficient CRC patients </w:t>
      </w:r>
      <w:r w:rsidR="007A0568">
        <w:fldChar w:fldCharType="begin">
          <w:fldData xml:space="preserve">PEVuZE5vdGU+PENpdGU+PEF1dGhvcj5CdWVjaGVyPC9BdXRob3I+PFllYXI+MjAxMzwvWWVhcj48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</w:fldData>
        </w:fldChar>
      </w:r>
      <w:r w:rsidR="007A0568">
        <w:instrText xml:space="preserve"> ADDIN EN.CITE </w:instrText>
      </w:r>
      <w:r w:rsidR="007A0568">
        <w:fldChar w:fldCharType="begin">
          <w:fldData xml:space="preserve">PEVuZE5vdGU+PENpdGU+PEF1dGhvcj5CdWVjaGVyPC9BdXRob3I+PFllYXI+MjAxMzwvWWVhcj48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</w:fldData>
        </w:fldChar>
      </w:r>
      <w:r w:rsidR="007A0568">
        <w:instrText xml:space="preserve"> ADDIN EN.CITE.DATA </w:instrText>
      </w:r>
      <w:r w:rsidR="007A0568">
        <w:fldChar w:fldCharType="end"/>
      </w:r>
      <w:r w:rsidR="007A0568">
        <w:fldChar w:fldCharType="separate"/>
      </w:r>
      <w:r w:rsidR="007A0568">
        <w:rPr>
          <w:noProof/>
        </w:rPr>
        <w:t xml:space="preserve">(Buecher et al. 2013; Quiroga, </w:t>
      </w:r>
      <w:r w:rsidR="007A0568">
        <w:rPr>
          <w:noProof/>
        </w:rPr>
        <w:lastRenderedPageBreak/>
        <w:t>Lyerly &amp; Morse 2016)</w:t>
      </w:r>
      <w:r w:rsidR="007A0568">
        <w:fldChar w:fldCharType="end"/>
      </w:r>
      <w:r>
        <w:t xml:space="preserve">. This is most likely due to the increased mutation rate resulting in neo-epitopes recognised as foreign by the immune system </w:t>
      </w:r>
      <w:r w:rsidR="007A0568">
        <w:fldChar w:fldCharType="begin"/>
      </w:r>
      <w:r w:rsidR="007A0568">
        <w:instrText xml:space="preserve"> ADDIN EN.CITE &lt;EndNote&gt;&lt;Cite&gt;&lt;Author&gt;Llosa&lt;/Author&gt;&lt;Year&gt;2015&lt;/Year&gt;&lt;RecNum&gt;29&lt;/RecNum&gt;&lt;DisplayText&gt;(Llosa et al. 2015)&lt;/DisplayText&gt;&lt;record&gt;&lt;rec-number&gt;29&lt;/rec-number&gt;&lt;foreign-keys&gt;&lt;key app="EN" db-id="teavvzdrht9v5oepf0av9tpn02r2trradver" timestamp="1471573630"&gt;29&lt;/key&gt;&lt;/foreign-keys&gt;&lt;ref-type name="Journal Article"&gt;17&lt;/ref-type&gt;&lt;contributors&gt;&lt;authors&gt;&lt;author&gt;Llosa, Nicolas J.&lt;/author&gt;&lt;author&gt;Cruise, Michael&lt;/author&gt;&lt;author&gt;Tam, Ada&lt;/author&gt;&lt;author&gt;Wicks, Elizabeth C.&lt;/author&gt;&lt;author&gt;Hechenbleikner, Elizabeth M.&lt;/author&gt;&lt;author&gt;Taube, Janis M.&lt;/author&gt;&lt;author&gt;Blosser, Richard L.&lt;/author&gt;&lt;author&gt;Fan, Hongni&lt;/author&gt;&lt;author&gt;Wang, Hao&lt;/author&gt;&lt;author&gt;Luber, Brandon S.&lt;/author&gt;&lt;author&gt;Zhang, Ming&lt;/author&gt;&lt;author&gt;Papadopoulos, Nickolas&lt;/author&gt;&lt;author&gt;Kinzler, Kenneth W.&lt;/author&gt;&lt;author&gt;Vogelstein, Bert&lt;/author&gt;&lt;author&gt;Sears, Cynthia L.&lt;/author&gt;&lt;author&gt;Anders, Robert A.&lt;/author&gt;&lt;author&gt;Pardoll, Drew M.&lt;/author&gt;&lt;author&gt;Housseau, Franck&lt;/author&gt;&lt;/authors&gt;&lt;/contributors&gt;&lt;titles&gt;&lt;title&gt;The Vigorous Immune Microenvironment of Microsatellite Instable Colon Cancer Is Balanced by Multiple Counter-Inhibitory Checkpoints&lt;/title&gt;&lt;secondary-title&gt;Cancer Discovery&lt;/secondary-title&gt;&lt;/titles&gt;&lt;periodical&gt;&lt;full-title&gt;Cancer Discovery&lt;/full-title&gt;&lt;/periodical&gt;&lt;pages&gt;43-51&lt;/pages&gt;&lt;volume&gt;5&lt;/volume&gt;&lt;number&gt;1&lt;/number&gt;&lt;dates&gt;&lt;year&gt;2015&lt;/year&gt;&lt;pub-dates&gt;&lt;date&gt;January 1, 2015&lt;/date&gt;&lt;/pub-dates&gt;&lt;/dates&gt;&lt;urls&gt;&lt;related-urls&gt;&lt;url&gt;http://cancerdiscovery.aacrjournals.org/content/5/1/43.abstract&lt;/url&gt;&lt;url&gt;http://cancerdiscovery.aacrjournals.org/content/5/1/43.full.pdf&lt;/url&gt;&lt;/related-urls&gt;&lt;/urls&gt;&lt;electronic-resource-num&gt;10.1158/2159-8290.cd-14-0863&lt;/electronic-resource-num&gt;&lt;/record&gt;&lt;/Cite&gt;&lt;/EndNote&gt;</w:instrText>
      </w:r>
      <w:r w:rsidR="007A0568">
        <w:fldChar w:fldCharType="separate"/>
      </w:r>
      <w:r w:rsidR="007A0568">
        <w:rPr>
          <w:noProof/>
        </w:rPr>
        <w:t>(Llosa et al. 2015)</w:t>
      </w:r>
      <w:r w:rsidR="007A0568">
        <w:fldChar w:fldCharType="end"/>
      </w:r>
      <w:r>
        <w:t>. M</w:t>
      </w:r>
      <w:r w:rsidR="006C6E9D">
        <w:t>MR deficient</w:t>
      </w:r>
      <w:r>
        <w:t xml:space="preserve"> tumours are associated with a good prognosis, and the presence of this immune response may partially explain their better clinical outcome </w:t>
      </w:r>
      <w:r w:rsidR="007A0568">
        <w:fldChar w:fldCharType="begin"/>
      </w:r>
      <w:r w:rsidR="007A0568">
        <w:instrText xml:space="preserve"> ADDIN EN.CITE &lt;EndNote&gt;&lt;Cite&gt;&lt;Author&gt;Buecher&lt;/Author&gt;&lt;Year&gt;2013&lt;/Year&gt;&lt;RecNum&gt;27&lt;/RecNum&gt;&lt;DisplayText&gt;(Buecher et al. 2013)&lt;/DisplayText&gt;&lt;record&gt;&lt;rec-number&gt;27&lt;/rec-number&gt;&lt;foreign-keys&gt;&lt;key app="EN" db-id="teavvzdrht9v5oepf0av9tpn02r2trradver" timestamp="1471497820"&gt;27&lt;/key&gt;&lt;/foreign-keys&gt;&lt;ref-type name="Journal Article"&gt;17&lt;/ref-type&gt;&lt;contributors&gt;&lt;authors&gt;&lt;author&gt;Buecher, B.&lt;/author&gt;&lt;author&gt;Cacheux, W.&lt;/author&gt;&lt;author&gt;Rouleau, E.&lt;/author&gt;&lt;author&gt;Dieumegard, B.&lt;/author&gt;&lt;author&gt;Mitry, E.&lt;/author&gt;&lt;author&gt;Lievre, A.&lt;/author&gt;&lt;/authors&gt;&lt;/contributors&gt;&lt;auth-address&gt;Department of Medical Oncology, Groupe Hospitalier, Institut Curie, 26, rue d&amp;apos;Ulm, 75248 Paris Cedex 5, France.&lt;/auth-address&gt;&lt;titles&gt;&lt;title&gt;Role of microsatellite instability in the management of colorectal cancers&lt;/title&gt;&lt;secondary-title&gt;Dig Liver Dis&lt;/secondary-title&gt;&lt;/titles&gt;&lt;periodical&gt;&lt;full-title&gt;Dig Liver Dis&lt;/full-title&gt;&lt;/periodical&gt;&lt;pages&gt;441-9&lt;/pages&gt;&lt;volume&gt;45&lt;/volume&gt;&lt;number&gt;6&lt;/number&gt;&lt;edition&gt;2012/12/01&lt;/edition&gt;&lt;keywords&gt;&lt;keyword&gt;Antineoplastic Combined Chemotherapy Protocols/therapeutic use&lt;/keyword&gt;&lt;keyword&gt;Chemotherapy, Adjuvant&lt;/keyword&gt;&lt;keyword&gt;Colorectal Neoplasms/diagnosis/ drug therapy/ genetics&lt;/keyword&gt;&lt;keyword&gt;Colorectal Neoplasms, Hereditary Nonpolyposis/diagnosis/drug therapy/genetics&lt;/keyword&gt;&lt;keyword&gt;Fluorouracil/therapeutic use&lt;/keyword&gt;&lt;keyword&gt;Humans&lt;/keyword&gt;&lt;keyword&gt;Leucovorin/therapeutic use&lt;/keyword&gt;&lt;keyword&gt;Microsatellite Instability&lt;/keyword&gt;&lt;keyword&gt;Organoplatinum Compounds/therapeutic use&lt;/keyword&gt;&lt;keyword&gt;Prognosis&lt;/keyword&gt;&lt;keyword&gt;Treatment Outcome&lt;/keyword&gt;&lt;/keywords&gt;&lt;dates&gt;&lt;year&gt;2013&lt;/year&gt;&lt;pub-dates&gt;&lt;date&gt;Jun&lt;/date&gt;&lt;/pub-dates&gt;&lt;/dates&gt;&lt;isbn&gt;1878-3562 (Electronic)&amp;#xD;1590-8658 (Linking)&lt;/isbn&gt;&lt;accession-num&gt;23195666&lt;/accession-num&gt;&lt;urls&gt;&lt;/urls&gt;&lt;electronic-resource-num&gt;10.1016/j.dld.2012.10.006&lt;/electronic-resource-num&gt;&lt;remote-database-provider&gt;NLM&lt;/remote-database-provider&gt;&lt;language&gt;eng&lt;/language&gt;&lt;/record&gt;&lt;/Cite&gt;&lt;/EndNote&gt;</w:instrText>
      </w:r>
      <w:r w:rsidR="007A0568">
        <w:fldChar w:fldCharType="separate"/>
      </w:r>
      <w:r w:rsidR="007A0568">
        <w:rPr>
          <w:noProof/>
        </w:rPr>
        <w:t>(Buecher et al. 2013)</w:t>
      </w:r>
      <w:r w:rsidR="007A0568">
        <w:fldChar w:fldCharType="end"/>
      </w:r>
      <w:r>
        <w:t xml:space="preserve">. </w:t>
      </w:r>
    </w:p>
    <w:p w14:paraId="3003B43D" w14:textId="5DF17470" w:rsidR="00C8327A" w:rsidRDefault="00C8327A" w:rsidP="00C8327A">
      <w:pPr>
        <w:jc w:val="both"/>
      </w:pPr>
      <w:proofErr w:type="spellStart"/>
      <w:r>
        <w:t>Llosa</w:t>
      </w:r>
      <w:proofErr w:type="spellEnd"/>
      <w:r>
        <w:t xml:space="preserve"> et al. </w:t>
      </w:r>
      <w:r w:rsidR="007A0568">
        <w:fldChar w:fldCharType="begin"/>
      </w:r>
      <w:r w:rsidR="007A0568">
        <w:instrText xml:space="preserve"> ADDIN EN.CITE &lt;EndNote&gt;&lt;Cite ExcludeAuth="1"&gt;&lt;Author&gt;Llosa&lt;/Author&gt;&lt;Year&gt;2015&lt;/Year&gt;&lt;RecNum&gt;29&lt;/RecNum&gt;&lt;DisplayText&gt;(2015)&lt;/DisplayText&gt;&lt;record&gt;&lt;rec-number&gt;29&lt;/rec-number&gt;&lt;foreign-keys&gt;&lt;key app="EN" db-id="teavvzdrht9v5oepf0av9tpn02r2trradver" timestamp="1471573630"&gt;29&lt;/key&gt;&lt;/foreign-keys&gt;&lt;ref-type name="Journal Article"&gt;17&lt;/ref-type&gt;&lt;contributors&gt;&lt;authors&gt;&lt;author&gt;Llosa, Nicolas J.&lt;/author&gt;&lt;author&gt;Cruise, Michael&lt;/author&gt;&lt;author&gt;Tam, Ada&lt;/author&gt;&lt;author&gt;Wicks, Elizabeth C.&lt;/author&gt;&lt;author&gt;Hechenbleikner, Elizabeth M.&lt;/author&gt;&lt;author&gt;Taube, Janis M.&lt;/author&gt;&lt;author&gt;Blosser, Richard L.&lt;/author&gt;&lt;author&gt;Fan, Hongni&lt;/author&gt;&lt;author&gt;Wang, Hao&lt;/author&gt;&lt;author&gt;Luber, Brandon S.&lt;/author&gt;&lt;author&gt;Zhang, Ming&lt;/author&gt;&lt;author&gt;Papadopoulos, Nickolas&lt;/author&gt;&lt;author&gt;Kinzler, Kenneth W.&lt;/author&gt;&lt;author&gt;Vogelstein, Bert&lt;/author&gt;&lt;author&gt;Sears, Cynthia L.&lt;/author&gt;&lt;author&gt;Anders, Robert A.&lt;/author&gt;&lt;author&gt;Pardoll, Drew M.&lt;/author&gt;&lt;author&gt;Housseau, Franck&lt;/author&gt;&lt;/authors&gt;&lt;/contributors&gt;&lt;titles&gt;&lt;title&gt;The Vigorous Immune Microenvironment of Microsatellite Instable Colon Cancer Is Balanced by Multiple Counter-Inhibitory Checkpoints&lt;/title&gt;&lt;secondary-title&gt;Cancer Discovery&lt;/secondary-title&gt;&lt;/titles&gt;&lt;periodical&gt;&lt;full-title&gt;Cancer Discovery&lt;/full-title&gt;&lt;/periodical&gt;&lt;pages&gt;43-51&lt;/pages&gt;&lt;volume&gt;5&lt;/volume&gt;&lt;number&gt;1&lt;/number&gt;&lt;dates&gt;&lt;year&gt;2015&lt;/year&gt;&lt;pub-dates&gt;&lt;date&gt;January 1, 2015&lt;/date&gt;&lt;/pub-dates&gt;&lt;/dates&gt;&lt;urls&gt;&lt;related-urls&gt;&lt;url&gt;http://cancerdiscovery.aacrjournals.org/content/5/1/43.abstract&lt;/url&gt;&lt;url&gt;http://cancerdiscovery.aacrjournals.org/content/5/1/43.full.pdf&lt;/url&gt;&lt;/related-urls&gt;&lt;/urls&gt;&lt;electronic-resource-num&gt;10.1158/2159-8290.cd-14-0863&lt;/electronic-resource-num&gt;&lt;/record&gt;&lt;/Cite&gt;&lt;/EndNote&gt;</w:instrText>
      </w:r>
      <w:r w:rsidR="007A0568">
        <w:fldChar w:fldCharType="separate"/>
      </w:r>
      <w:r w:rsidR="007A0568">
        <w:rPr>
          <w:noProof/>
        </w:rPr>
        <w:t>(2015)</w:t>
      </w:r>
      <w:r w:rsidR="007A0568">
        <w:fldChar w:fldCharType="end"/>
      </w:r>
      <w:r>
        <w:t xml:space="preserve"> found that M</w:t>
      </w:r>
      <w:r w:rsidR="006C6E9D">
        <w:t>MR deficient</w:t>
      </w:r>
      <w:r>
        <w:t xml:space="preserve"> tumours had significant gene </w:t>
      </w:r>
      <w:proofErr w:type="spellStart"/>
      <w:r>
        <w:t>upregulation</w:t>
      </w:r>
      <w:proofErr w:type="spellEnd"/>
      <w:r>
        <w:t xml:space="preserve"> of immune checkpoint proteins, including PD-L1, enabling them to survive the immune response.</w:t>
      </w:r>
      <w:r w:rsidRPr="008B325C">
        <w:t xml:space="preserve"> </w:t>
      </w:r>
      <w:r>
        <w:t xml:space="preserve">Rosenbaum et al. </w:t>
      </w:r>
      <w:r w:rsidR="007A0568">
        <w:fldChar w:fldCharType="begin"/>
      </w:r>
      <w:r w:rsidR="007A0568">
        <w:instrText xml:space="preserve"> ADDIN EN.CITE &lt;EndNote&gt;&lt;Cite ExcludeAuth="1"&gt;&lt;Author&gt;Rosenbaum&lt;/Author&gt;&lt;Year&gt;2016&lt;/Year&gt;&lt;RecNum&gt;9&lt;/RecNum&gt;&lt;DisplayText&gt;(2016)&lt;/DisplayText&gt;&lt;record&gt;&lt;rec-number&gt;9&lt;/rec-number&gt;&lt;foreign-keys&gt;&lt;key app="EN" db-id="teavvzdrht9v5oepf0av9tpn02r2trradver" timestamp="1471415935"&gt;9&lt;/key&gt;&lt;/foreign-keys&gt;&lt;ref-type name="Journal Article"&gt;17&lt;/ref-type&gt;&lt;contributors&gt;&lt;authors&gt;&lt;author&gt;Rosenbaum, M. W.&lt;/author&gt;&lt;author&gt;Bledsoe, J. R.&lt;/author&gt;&lt;author&gt;Morales-Oyarvide, V.&lt;/author&gt;&lt;author&gt;Huynh, T. G.&lt;/author&gt;&lt;author&gt;Mino-Kenudson, M.&lt;/author&gt;&lt;/authors&gt;&lt;/contributors&gt;&lt;auth-address&gt;Department of Pathology, Massachusetts General Hospital, Boston, MA, USA.&amp;#xD;Department of Epidemiology and Biostatistics, Harvard T.H. Chan School of Public Health, Boston, MA, USA.&amp;#xD;Department of Pathology, Harvard Medical School, Boston, MA, USA.&lt;/auth-address&gt;&lt;titles&gt;&lt;title&gt;PD-L1 expression in colorectal cancer is associated with microsatellite instability, BRAF mutation, medullary morphology and cytotoxic tumor-infiltrating lymphocytes&lt;/title&gt;&lt;secondary-title&gt;Mod Pathol&lt;/secondary-title&gt;&lt;/titles&gt;&lt;periodical&gt;&lt;full-title&gt;Mod Pathol&lt;/full-title&gt;&lt;/periodical&gt;&lt;edition&gt;2016/05/21&lt;/edition&gt;&lt;dates&gt;&lt;year&gt;2016&lt;/year&gt;&lt;pub-dates&gt;&lt;date&gt;May 20&lt;/date&gt;&lt;/pub-dates&gt;&lt;/dates&gt;&lt;isbn&gt;1530-0285 (Electronic)&amp;#xD;0893-3952 (Linking)&lt;/isbn&gt;&lt;accession-num&gt;27198569&lt;/accession-num&gt;&lt;urls&gt;&lt;related-urls&gt;&lt;url&gt;http://www.nature.com/modpathol/journal/vaop/ncurrent/pdf/modpathol201695a.pdf&lt;/url&gt;&lt;/related-urls&gt;&lt;/urls&gt;&lt;electronic-resource-num&gt;10.1038/modpathol.2016.95&lt;/electronic-resource-num&gt;&lt;remote-database-provider&gt;NLM&lt;/remote-database-provider&gt;&lt;language&gt;Eng&lt;/language&gt;&lt;/record&gt;&lt;/Cite&gt;&lt;/EndNote&gt;</w:instrText>
      </w:r>
      <w:r w:rsidR="007A0568">
        <w:fldChar w:fldCharType="separate"/>
      </w:r>
      <w:r w:rsidR="007A0568">
        <w:rPr>
          <w:noProof/>
        </w:rPr>
        <w:t>(2016)</w:t>
      </w:r>
      <w:r w:rsidR="007A0568">
        <w:fldChar w:fldCharType="end"/>
      </w:r>
      <w:r>
        <w:t xml:space="preserve"> </w:t>
      </w:r>
      <w:r w:rsidR="00D975EC" w:rsidRPr="00BC4E81">
        <w:t xml:space="preserve">was </w:t>
      </w:r>
      <w:r w:rsidR="00D975EC">
        <w:t xml:space="preserve">able to detect </w:t>
      </w:r>
      <w:r w:rsidR="00D975EC" w:rsidRPr="00BC4E81">
        <w:t xml:space="preserve">PD-L1 expression </w:t>
      </w:r>
      <w:r w:rsidR="00D975EC">
        <w:t>by IHC (using the anti-</w:t>
      </w:r>
      <w:r w:rsidR="00D975EC" w:rsidRPr="00BC4E81">
        <w:t xml:space="preserve">PD-L1 </w:t>
      </w:r>
      <w:r w:rsidR="00D975EC">
        <w:t xml:space="preserve">monoclonal antibody </w:t>
      </w:r>
      <w:r w:rsidR="00D975EC" w:rsidRPr="00BC4E81">
        <w:t>E1L3N</w:t>
      </w:r>
      <w:r w:rsidR="00D975EC">
        <w:t xml:space="preserve">) in </w:t>
      </w:r>
      <w:r w:rsidR="00D975EC" w:rsidRPr="00BC4E81">
        <w:t>12</w:t>
      </w:r>
      <w:r w:rsidR="00D975EC">
        <w:t>/54</w:t>
      </w:r>
      <w:r w:rsidR="00D975EC" w:rsidRPr="00BC4E81">
        <w:t xml:space="preserve"> (22%)</w:t>
      </w:r>
      <w:r w:rsidR="00D975EC">
        <w:t xml:space="preserve"> </w:t>
      </w:r>
      <w:r w:rsidR="006C6E9D" w:rsidRPr="006C6E9D">
        <w:t xml:space="preserve">MMR deficient </w:t>
      </w:r>
      <w:r w:rsidR="00D975EC">
        <w:t>CRC</w:t>
      </w:r>
      <w:r w:rsidR="00D975EC" w:rsidRPr="00BC4E81">
        <w:t xml:space="preserve"> tumours</w:t>
      </w:r>
      <w:r w:rsidR="00D975EC">
        <w:t xml:space="preserve"> (primary and metastatic),</w:t>
      </w:r>
      <w:r w:rsidR="00D975EC" w:rsidRPr="00BC4E81">
        <w:t xml:space="preserve"> </w:t>
      </w:r>
      <w:r w:rsidR="00D975EC">
        <w:t>and</w:t>
      </w:r>
      <w:r>
        <w:t xml:space="preserve"> found that PD-L1 positivity was associated with a lower survival within th</w:t>
      </w:r>
      <w:r w:rsidR="00D975EC">
        <w:t>is</w:t>
      </w:r>
      <w:r>
        <w:t xml:space="preserve"> </w:t>
      </w:r>
      <w:r w:rsidR="006C6E9D" w:rsidRPr="006C6E9D">
        <w:t xml:space="preserve">MMR deficient </w:t>
      </w:r>
      <w:r>
        <w:t xml:space="preserve">CRC </w:t>
      </w:r>
      <w:r w:rsidR="00D975EC">
        <w:t xml:space="preserve">patient </w:t>
      </w:r>
      <w:r>
        <w:t>cohort. Thus, immune checkpoint inhibitors, such as the PD-1 inhibitor pembrolizumab, may provide a clinical benefit in treating MMR deficient CRC.</w:t>
      </w:r>
    </w:p>
    <w:p w14:paraId="19265E2E" w14:textId="4EC2F8DC" w:rsidR="006623FE" w:rsidRDefault="006623FE" w:rsidP="00C8327A">
      <w:pPr>
        <w:jc w:val="both"/>
        <w:rPr>
          <w:i/>
        </w:rPr>
      </w:pPr>
      <w:r w:rsidRPr="006623FE">
        <w:rPr>
          <w:i/>
        </w:rPr>
        <w:t>A more detailed analysis of the biological plausibility for the use of IHC MMR deficiency testing to identify CRC tumours susceptible to immune checkpoint inhibitors, such as the PD-1 inhibitor pembrolizumab, should be provided in the report.</w:t>
      </w:r>
      <w:r w:rsidR="00D91BDE" w:rsidRPr="00D91BDE">
        <w:t xml:space="preserve"> </w:t>
      </w:r>
      <w:r w:rsidR="00D91BDE" w:rsidRPr="00D91BDE">
        <w:rPr>
          <w:i/>
        </w:rPr>
        <w:t>Furthermore, evidence of MMR deficiency being an effect modifier for treatment with pembrolizumab, above and beyond its prognostic effect should be provided.</w:t>
      </w:r>
    </w:p>
    <w:p w14:paraId="06F59F2B" w14:textId="77777777" w:rsidR="00021F5A" w:rsidRDefault="00021F5A" w:rsidP="00021F5A">
      <w:pPr>
        <w:rPr>
          <w:i/>
        </w:rPr>
      </w:pPr>
      <w:r>
        <w:rPr>
          <w:i/>
          <w:u w:val="single"/>
        </w:rPr>
        <w:t>Rationale</w:t>
      </w:r>
    </w:p>
    <w:p w14:paraId="5D49FEA3" w14:textId="20D33852" w:rsidR="00B02F00" w:rsidRDefault="003322F6" w:rsidP="00C8327A">
      <w:pPr>
        <w:jc w:val="both"/>
      </w:pPr>
      <w:r w:rsidRPr="003322F6">
        <w:t>T</w:t>
      </w:r>
      <w:r w:rsidR="007C1408">
        <w:t>hree</w:t>
      </w:r>
      <w:r w:rsidRPr="003322F6">
        <w:t xml:space="preserve"> trials </w:t>
      </w:r>
      <w:r>
        <w:t xml:space="preserve">that </w:t>
      </w:r>
      <w:r w:rsidRPr="003322F6">
        <w:t xml:space="preserve">are listed in the </w:t>
      </w:r>
      <w:r w:rsidR="007C1408">
        <w:t xml:space="preserve">summary of </w:t>
      </w:r>
      <w:r w:rsidRPr="003322F6">
        <w:t xml:space="preserve">evidence </w:t>
      </w:r>
      <w:r w:rsidR="007C1408">
        <w:t>include p</w:t>
      </w:r>
      <w:r w:rsidR="00021F5A" w:rsidRPr="003322F6">
        <w:t>atient population</w:t>
      </w:r>
      <w:r w:rsidR="008F2FA1" w:rsidRPr="003322F6">
        <w:t>s</w:t>
      </w:r>
      <w:r w:rsidR="00021F5A" w:rsidRPr="003322F6">
        <w:t xml:space="preserve"> </w:t>
      </w:r>
      <w:r w:rsidR="007C1408">
        <w:t xml:space="preserve">that are broader than </w:t>
      </w:r>
      <w:r w:rsidR="00F65A7A">
        <w:t>stage IV CRC indicated</w:t>
      </w:r>
      <w:r w:rsidR="007C1408">
        <w:t xml:space="preserve"> </w:t>
      </w:r>
      <w:r w:rsidR="00F65A7A">
        <w:t xml:space="preserve">for treatment </w:t>
      </w:r>
      <w:r w:rsidR="007C1408">
        <w:t>in this application.</w:t>
      </w:r>
      <w:r w:rsidR="00B02F00">
        <w:t xml:space="preserve"> While all three trials enrolled patients with metastatic CRC, t</w:t>
      </w:r>
      <w:r w:rsidR="00F65A7A">
        <w:t xml:space="preserve">he KEYNOTE-164 </w:t>
      </w:r>
      <w:r w:rsidR="002259DC">
        <w:t xml:space="preserve">single-arm phase II </w:t>
      </w:r>
      <w:r w:rsidR="00B02F00">
        <w:t xml:space="preserve">pembrolizumab </w:t>
      </w:r>
      <w:r w:rsidR="002259DC">
        <w:t xml:space="preserve">trial </w:t>
      </w:r>
      <w:r w:rsidR="00B02F00">
        <w:t xml:space="preserve">and the single-arm phase II trial </w:t>
      </w:r>
      <w:r w:rsidR="00B02F00" w:rsidRPr="002259DC">
        <w:t xml:space="preserve">to </w:t>
      </w:r>
      <w:r w:rsidR="00B02F00">
        <w:t>e</w:t>
      </w:r>
      <w:r w:rsidR="00B02F00" w:rsidRPr="002259DC">
        <w:t xml:space="preserve">valuate the </w:t>
      </w:r>
      <w:r w:rsidR="00B02F00">
        <w:t>e</w:t>
      </w:r>
      <w:r w:rsidR="00B02F00" w:rsidRPr="002259DC">
        <w:t>fficacy of MEDI4736</w:t>
      </w:r>
      <w:r w:rsidR="00B02F00">
        <w:t xml:space="preserve"> </w:t>
      </w:r>
      <w:r w:rsidR="00F3535E">
        <w:t>(</w:t>
      </w:r>
      <w:proofErr w:type="spellStart"/>
      <w:r w:rsidR="00F3535E" w:rsidRPr="00F3535E">
        <w:t>durvalumab</w:t>
      </w:r>
      <w:proofErr w:type="spellEnd"/>
      <w:r w:rsidR="00F3535E">
        <w:t>)</w:t>
      </w:r>
      <w:r w:rsidR="00F3535E" w:rsidRPr="00F3535E">
        <w:t xml:space="preserve"> </w:t>
      </w:r>
      <w:r w:rsidR="00B02F00">
        <w:t xml:space="preserve">also </w:t>
      </w:r>
      <w:r w:rsidR="002259DC">
        <w:t xml:space="preserve">enrolled patients with </w:t>
      </w:r>
      <w:r w:rsidR="002259DC" w:rsidRPr="002259DC">
        <w:t xml:space="preserve">locally-advanced </w:t>
      </w:r>
      <w:r w:rsidR="00B02F00">
        <w:t xml:space="preserve">disease whereas the third </w:t>
      </w:r>
      <w:proofErr w:type="spellStart"/>
      <w:r w:rsidR="00B02F00">
        <w:t>CheckMate</w:t>
      </w:r>
      <w:proofErr w:type="spellEnd"/>
      <w:r w:rsidR="00B02F00">
        <w:t xml:space="preserve"> 142 single-arm phase II </w:t>
      </w:r>
      <w:proofErr w:type="spellStart"/>
      <w:r w:rsidR="00B02F00">
        <w:t>nivolumab</w:t>
      </w:r>
      <w:proofErr w:type="spellEnd"/>
      <w:r w:rsidR="00B02F00">
        <w:t xml:space="preserve"> trial also enrolled patients with recurrent CRC. This approach will increase the number of patients with MMR deficient CRC eligible for the </w:t>
      </w:r>
      <w:r w:rsidR="00B02F00" w:rsidRPr="00B02F00">
        <w:t>MEDI4736</w:t>
      </w:r>
      <w:r w:rsidR="00B02F00">
        <w:t xml:space="preserve"> trial, and the proportion of patients with MMR deficient disease in the </w:t>
      </w:r>
      <w:r w:rsidR="00B02F00" w:rsidRPr="00B02F00">
        <w:t>KEYNOTE-164</w:t>
      </w:r>
      <w:r w:rsidR="00B02F00">
        <w:t xml:space="preserve"> and </w:t>
      </w:r>
      <w:proofErr w:type="spellStart"/>
      <w:r w:rsidR="00B02F00" w:rsidRPr="00B02F00">
        <w:t>CheckMate</w:t>
      </w:r>
      <w:proofErr w:type="spellEnd"/>
      <w:r w:rsidR="00B02F00" w:rsidRPr="00B02F00">
        <w:t xml:space="preserve"> 142</w:t>
      </w:r>
      <w:r w:rsidR="00B02F00">
        <w:t xml:space="preserve"> trials as a greater proportion of patients with stage III CRC will be MMR deficient (12%) than those with stage IV disease (4%).</w:t>
      </w:r>
      <w:r w:rsidR="000F7DA1">
        <w:t xml:space="preserve"> </w:t>
      </w:r>
      <w:r w:rsidR="000F7DA1" w:rsidRPr="000F7DA1">
        <w:rPr>
          <w:i/>
        </w:rPr>
        <w:t>This will have little impact on IHC MMR deficiency testing as most patients are tested at diagnosis, regardless of disease stage.</w:t>
      </w:r>
      <w:r w:rsidR="000F7DA1">
        <w:rPr>
          <w:i/>
        </w:rPr>
        <w:t xml:space="preserve"> However, as MMR deficiency is a strong prognostic marker in earlier stages of disease, its role as a treatment effect modifier must be clearly demonstrated</w:t>
      </w:r>
      <w:r w:rsidR="000F7DA1" w:rsidRPr="000F7DA1">
        <w:rPr>
          <w:i/>
        </w:rPr>
        <w:t xml:space="preserve"> </w:t>
      </w:r>
      <w:r w:rsidR="000F7DA1">
        <w:rPr>
          <w:i/>
        </w:rPr>
        <w:t>in these patients.</w:t>
      </w:r>
    </w:p>
    <w:p w14:paraId="5DD8F4AE" w14:textId="65F05A2A" w:rsidR="00407525" w:rsidRPr="00407525" w:rsidRDefault="00407525" w:rsidP="00303F73">
      <w:pPr>
        <w:pStyle w:val="Heading3"/>
      </w:pPr>
      <w:r>
        <w:t>2.2</w:t>
      </w:r>
      <w:r>
        <w:tab/>
      </w:r>
      <w:r w:rsidRPr="00407525">
        <w:t>Prior test</w:t>
      </w:r>
    </w:p>
    <w:p w14:paraId="672F934C" w14:textId="1EDC8B1E" w:rsidR="00407525" w:rsidRPr="00407525" w:rsidRDefault="00407525" w:rsidP="00407525">
      <w:proofErr w:type="gramStart"/>
      <w:r w:rsidRPr="00407525">
        <w:t xml:space="preserve">Routine histology, cytology and </w:t>
      </w:r>
      <w:r>
        <w:t>IHC</w:t>
      </w:r>
      <w:r w:rsidRPr="00407525">
        <w:t xml:space="preserve"> tests to confirm diagnosis and stage of </w:t>
      </w:r>
      <w:r>
        <w:t>CRC</w:t>
      </w:r>
      <w:r w:rsidRPr="00407525">
        <w:t>.</w:t>
      </w:r>
      <w:proofErr w:type="gramEnd"/>
    </w:p>
    <w:p w14:paraId="620A2EB5" w14:textId="10E70A4D" w:rsidR="00896845" w:rsidRPr="00E364F7" w:rsidRDefault="00AB1B12" w:rsidP="00303F73">
      <w:pPr>
        <w:pStyle w:val="Heading3"/>
      </w:pPr>
      <w:r>
        <w:t>2.</w:t>
      </w:r>
      <w:r w:rsidR="00407525">
        <w:t>3</w:t>
      </w:r>
      <w:r>
        <w:tab/>
      </w:r>
      <w:r w:rsidR="00896845" w:rsidRPr="00E364F7">
        <w:t>Intervention</w:t>
      </w:r>
    </w:p>
    <w:p w14:paraId="2676245E" w14:textId="7EFFC280" w:rsidR="0050158C" w:rsidRDefault="0050158C" w:rsidP="000057B9">
      <w:pPr>
        <w:jc w:val="both"/>
      </w:pPr>
      <w:r>
        <w:t xml:space="preserve">The intervention to be assessed is IHC MMR deficiency testing plus pembrolizumab in those who are MMR deficient, and standard </w:t>
      </w:r>
      <w:r w:rsidR="002C7FCB">
        <w:t xml:space="preserve">of </w:t>
      </w:r>
      <w:r>
        <w:t>care (</w:t>
      </w:r>
      <w:r w:rsidRPr="00DF79B3">
        <w:t>chemotherapy w</w:t>
      </w:r>
      <w:r>
        <w:t xml:space="preserve">ith a combination of two drugs) in those who are MMR proficient. </w:t>
      </w:r>
    </w:p>
    <w:p w14:paraId="7B463FD0" w14:textId="0B531C88" w:rsidR="002C7FCB" w:rsidRDefault="002C7FCB" w:rsidP="000057B9">
      <w:pPr>
        <w:jc w:val="both"/>
      </w:pPr>
      <w:r>
        <w:t>A</w:t>
      </w:r>
      <w:r w:rsidRPr="00F56E14">
        <w:t xml:space="preserve">n alternative intervention </w:t>
      </w:r>
      <w:r>
        <w:t xml:space="preserve">would be the current </w:t>
      </w:r>
      <w:r w:rsidRPr="002C7FCB">
        <w:t xml:space="preserve">IHC MMR deficiency </w:t>
      </w:r>
      <w:r>
        <w:t>testing regimen plus pembrolizumab administered to all patients. This may be of use in clarifying the benefit of the testing component.</w:t>
      </w:r>
    </w:p>
    <w:p w14:paraId="380346D9" w14:textId="77777777" w:rsidR="00EC4089" w:rsidRDefault="005A06D9" w:rsidP="000057B9">
      <w:pPr>
        <w:jc w:val="both"/>
      </w:pPr>
      <w:r>
        <w:lastRenderedPageBreak/>
        <w:t xml:space="preserve">IHC </w:t>
      </w:r>
      <w:r w:rsidR="00DF79B3">
        <w:t>MMR</w:t>
      </w:r>
      <w:r w:rsidR="00EC4089" w:rsidRPr="001526E6">
        <w:t xml:space="preserve"> deficiency</w:t>
      </w:r>
      <w:r w:rsidR="00EC4089">
        <w:t xml:space="preserve"> testing us</w:t>
      </w:r>
      <w:r>
        <w:t>es</w:t>
      </w:r>
      <w:r w:rsidR="00EC4089">
        <w:t xml:space="preserve"> antibodies </w:t>
      </w:r>
      <w:r w:rsidR="00EC4089" w:rsidRPr="001526E6">
        <w:t xml:space="preserve">directed against each MMR protein (MLH1, MSH2, MSH6 and PMS2) </w:t>
      </w:r>
      <w:r w:rsidR="00EC4089">
        <w:t xml:space="preserve">and IHC staining to </w:t>
      </w:r>
      <w:r w:rsidR="00EC4089" w:rsidRPr="001526E6">
        <w:t>detect the expression of the</w:t>
      </w:r>
      <w:r w:rsidR="009B7A0F">
        <w:t>se</w:t>
      </w:r>
      <w:r w:rsidR="00EC4089" w:rsidRPr="001526E6">
        <w:t xml:space="preserve"> proteins in the tumo</w:t>
      </w:r>
      <w:r w:rsidR="00EC4089">
        <w:t>u</w:t>
      </w:r>
      <w:r w:rsidR="00EC4089" w:rsidRPr="001526E6">
        <w:t>r cells</w:t>
      </w:r>
      <w:r w:rsidR="008E775F">
        <w:t xml:space="preserve"> </w:t>
      </w:r>
      <w:r w:rsidR="000057B9">
        <w:t>to determine eligibility for treatment with pembrolizumab. The test uses</w:t>
      </w:r>
      <w:r w:rsidR="008E775F">
        <w:t xml:space="preserve"> </w:t>
      </w:r>
      <w:r w:rsidR="008E775F" w:rsidRPr="008E775F">
        <w:t xml:space="preserve">formalin-fixed paraffin-embedded </w:t>
      </w:r>
      <w:r w:rsidR="008E775F">
        <w:t xml:space="preserve">(FFPE) </w:t>
      </w:r>
      <w:r w:rsidR="008E775F" w:rsidRPr="008E775F">
        <w:t xml:space="preserve">tumour tissue </w:t>
      </w:r>
      <w:r w:rsidR="000057B9">
        <w:t xml:space="preserve">from either a surgical resection or a biopsy (if </w:t>
      </w:r>
      <w:proofErr w:type="spellStart"/>
      <w:r w:rsidR="000057B9">
        <w:t>unresectable</w:t>
      </w:r>
      <w:proofErr w:type="spellEnd"/>
      <w:r w:rsidR="000057B9">
        <w:t>).</w:t>
      </w:r>
      <w:r w:rsidR="000B2BF2">
        <w:t xml:space="preserve"> </w:t>
      </w:r>
      <w:r w:rsidR="000B2BF2" w:rsidRPr="005B75CF">
        <w:rPr>
          <w:i/>
        </w:rPr>
        <w:t>Evidence of the stability of these proteins in FFPE tissue block</w:t>
      </w:r>
      <w:r w:rsidR="005B75CF" w:rsidRPr="005B75CF">
        <w:rPr>
          <w:i/>
        </w:rPr>
        <w:t>s</w:t>
      </w:r>
      <w:r w:rsidR="000B2BF2" w:rsidRPr="005B75CF">
        <w:rPr>
          <w:i/>
        </w:rPr>
        <w:t xml:space="preserve"> should </w:t>
      </w:r>
      <w:r w:rsidR="005B75CF" w:rsidRPr="005B75CF">
        <w:rPr>
          <w:i/>
        </w:rPr>
        <w:t>be provided if archival tissue is likely to be retrieved for testing.</w:t>
      </w:r>
    </w:p>
    <w:p w14:paraId="70C1C4F3" w14:textId="77777777" w:rsidR="00EC4089" w:rsidRDefault="000057B9" w:rsidP="000057B9">
      <w:pPr>
        <w:jc w:val="both"/>
      </w:pPr>
      <w:r>
        <w:t>The proteins form</w:t>
      </w:r>
      <w:r w:rsidRPr="000057B9">
        <w:t xml:space="preserve"> heterodimer</w:t>
      </w:r>
      <w:r>
        <w:t>s</w:t>
      </w:r>
      <w:r w:rsidRPr="000057B9">
        <w:t xml:space="preserve"> (either MLH1/PMS2 or MSH2/MSH6)</w:t>
      </w:r>
      <w:r>
        <w:t>, as the loss of one protein usually affects the expression of its partner, most MMR deficient CRCs show loss of expression of both proteins in the affected heterodimer. Loss of protein expression</w:t>
      </w:r>
      <w:r w:rsidRPr="000057B9">
        <w:t xml:space="preserve"> should be complete</w:t>
      </w:r>
      <w:r>
        <w:t>, with the</w:t>
      </w:r>
      <w:r w:rsidRPr="000057B9">
        <w:t xml:space="preserve"> absence of nuclear staining of all </w:t>
      </w:r>
      <w:r>
        <w:t>cancer cells and</w:t>
      </w:r>
      <w:r w:rsidRPr="000057B9">
        <w:t xml:space="preserve"> unequivocal positive staining of the nuclei of </w:t>
      </w:r>
      <w:r w:rsidR="00936F44">
        <w:t xml:space="preserve">surrounding </w:t>
      </w:r>
      <w:r w:rsidRPr="000057B9">
        <w:t>non-</w:t>
      </w:r>
      <w:r w:rsidR="00936F44">
        <w:t>cancer cells</w:t>
      </w:r>
      <w:r w:rsidRPr="000057B9">
        <w:t xml:space="preserve"> and </w:t>
      </w:r>
      <w:proofErr w:type="spellStart"/>
      <w:r w:rsidRPr="000057B9">
        <w:t>intratumoral</w:t>
      </w:r>
      <w:proofErr w:type="spellEnd"/>
      <w:r w:rsidRPr="000057B9">
        <w:t xml:space="preserve"> lymphocytes.</w:t>
      </w:r>
      <w:r>
        <w:t xml:space="preserve"> </w:t>
      </w:r>
      <w:r w:rsidR="003F6323">
        <w:t xml:space="preserve">The loss of expression of MSH2/MSH6 is highly suggestive of a MSH2 </w:t>
      </w:r>
      <w:proofErr w:type="spellStart"/>
      <w:r w:rsidR="003F6323">
        <w:t>germline</w:t>
      </w:r>
      <w:proofErr w:type="spellEnd"/>
      <w:r w:rsidR="003F6323">
        <w:t xml:space="preserve"> mutation, and loss of expression of MLH1/PMS2 may result either from a MLH1 </w:t>
      </w:r>
      <w:proofErr w:type="spellStart"/>
      <w:r w:rsidR="003F6323">
        <w:t>germline</w:t>
      </w:r>
      <w:proofErr w:type="spellEnd"/>
      <w:r w:rsidR="003F6323">
        <w:t xml:space="preserve"> mutation or from acquired somatic hyper-methylation of the MLH1 gene promoter. </w:t>
      </w:r>
      <w:r w:rsidR="00936F44">
        <w:t>P</w:t>
      </w:r>
      <w:r w:rsidR="00EC4089">
        <w:t>atient</w:t>
      </w:r>
      <w:r w:rsidR="00936F44">
        <w:t xml:space="preserve">s whose tumours showed a lack of expression of </w:t>
      </w:r>
      <w:r w:rsidR="003F6323">
        <w:t xml:space="preserve">any of </w:t>
      </w:r>
      <w:r w:rsidR="00936F44">
        <w:t>these proteins</w:t>
      </w:r>
      <w:r w:rsidR="00EC4089">
        <w:t xml:space="preserve"> would be</w:t>
      </w:r>
      <w:r w:rsidR="00936F44">
        <w:t xml:space="preserve"> classed as</w:t>
      </w:r>
      <w:r w:rsidR="00EC4089">
        <w:t xml:space="preserve"> </w:t>
      </w:r>
      <w:r w:rsidR="005A06D9">
        <w:t xml:space="preserve">MMR deficient and </w:t>
      </w:r>
      <w:r w:rsidR="00936F44">
        <w:t xml:space="preserve">would be </w:t>
      </w:r>
      <w:r w:rsidR="00EC4089">
        <w:t>eligible for treatment with pembrolizumab</w:t>
      </w:r>
      <w:r w:rsidR="003F6323">
        <w:t xml:space="preserve"> at diagnosis of or progression to stage IV disease</w:t>
      </w:r>
      <w:r w:rsidR="00EC4089">
        <w:t>.</w:t>
      </w:r>
    </w:p>
    <w:p w14:paraId="0810F071" w14:textId="7D55F272" w:rsidR="002F0982" w:rsidRPr="003353F1" w:rsidRDefault="002F0982" w:rsidP="002F0982">
      <w:pPr>
        <w:jc w:val="both"/>
      </w:pPr>
      <w:r>
        <w:t xml:space="preserve">The applicant indicated that IHC </w:t>
      </w:r>
      <w:r w:rsidRPr="00936F44">
        <w:t xml:space="preserve">MMR </w:t>
      </w:r>
      <w:r w:rsidRPr="005B75CF">
        <w:t xml:space="preserve">deficiency </w:t>
      </w:r>
      <w:r w:rsidRPr="00936F44">
        <w:t xml:space="preserve">testing </w:t>
      </w:r>
      <w:r w:rsidRPr="00DF4374">
        <w:t xml:space="preserve">for access to pembrolizumab </w:t>
      </w:r>
      <w:r w:rsidRPr="00936F44">
        <w:t>should be requested by the treating clinician.</w:t>
      </w:r>
      <w:r>
        <w:t xml:space="preserve"> </w:t>
      </w:r>
      <w:r w:rsidRPr="00936F44">
        <w:t>Patients are expected to receive one test throughout the course of their disease. T</w:t>
      </w:r>
      <w:r>
        <w:t>h</w:t>
      </w:r>
      <w:r w:rsidRPr="00936F44">
        <w:t>e</w:t>
      </w:r>
      <w:r>
        <w:t xml:space="preserve"> te</w:t>
      </w:r>
      <w:r w:rsidRPr="00936F44">
        <w:t>st</w:t>
      </w:r>
      <w:r>
        <w:t xml:space="preserve"> </w:t>
      </w:r>
      <w:r w:rsidRPr="00936F44">
        <w:t>i</w:t>
      </w:r>
      <w:r>
        <w:t>s a Class II in vitro diagnostic test and</w:t>
      </w:r>
      <w:r w:rsidRPr="00936F44">
        <w:t xml:space="preserve"> must be performed in an accredited laboratory by a certified pathologist. </w:t>
      </w:r>
      <w:r>
        <w:t>It should be noted that m</w:t>
      </w:r>
      <w:r w:rsidRPr="00377AFA">
        <w:t xml:space="preserve">ost laboratories already perform the IHC MMR </w:t>
      </w:r>
      <w:r>
        <w:t xml:space="preserve">deficiency </w:t>
      </w:r>
      <w:r w:rsidRPr="00377AFA">
        <w:t xml:space="preserve">test, either routinely or based on </w:t>
      </w:r>
      <w:r>
        <w:t xml:space="preserve">either </w:t>
      </w:r>
      <w:r w:rsidRPr="00377AFA">
        <w:t>clinician request</w:t>
      </w:r>
      <w:r>
        <w:t xml:space="preserve"> or red flag criteria</w:t>
      </w:r>
      <w:r w:rsidRPr="00377AFA">
        <w:t>.</w:t>
      </w:r>
      <w:r>
        <w:t xml:space="preserve"> </w:t>
      </w:r>
      <w:proofErr w:type="gramStart"/>
      <w:r w:rsidRPr="00377AFA">
        <w:t>If found to be MMR</w:t>
      </w:r>
      <w:r>
        <w:t xml:space="preserve"> deficient</w:t>
      </w:r>
      <w:r w:rsidRPr="00377AFA">
        <w:t>, treatment with pembrolizumab would be managed by medical oncologists</w:t>
      </w:r>
      <w:r w:rsidRPr="003353F1">
        <w:t>.</w:t>
      </w:r>
      <w:proofErr w:type="gramEnd"/>
    </w:p>
    <w:p w14:paraId="417A404A" w14:textId="415644C4" w:rsidR="00AB1B12" w:rsidRDefault="009B7A0F" w:rsidP="00B13D92">
      <w:pPr>
        <w:jc w:val="both"/>
      </w:pPr>
      <w:r>
        <w:t xml:space="preserve">The IHC MMR test is a simple, fast and inexpensive </w:t>
      </w:r>
      <w:r w:rsidR="00B13D92">
        <w:t>and</w:t>
      </w:r>
      <w:r w:rsidR="00AB1B12">
        <w:t xml:space="preserve"> most patients already receive IHC MMR </w:t>
      </w:r>
      <w:r w:rsidR="00AB1B12" w:rsidRPr="005B75CF">
        <w:t xml:space="preserve">deficiency </w:t>
      </w:r>
      <w:r w:rsidR="00AB1B12">
        <w:t xml:space="preserve">testing as part of their initial diagnostic work-up at initial diagnosis. </w:t>
      </w:r>
      <w:r w:rsidR="00AB1B12" w:rsidRPr="002709A7">
        <w:t xml:space="preserve">A survey found that currently, 54% of pathology laboratories conduct routine IHC MMR deficiency testing and </w:t>
      </w:r>
      <w:r w:rsidR="00AB1B12">
        <w:t xml:space="preserve">an additional </w:t>
      </w:r>
      <w:r w:rsidR="00AB1B12" w:rsidRPr="002709A7">
        <w:t>40% conduct IHC MMR deficiency testing on either clinician request or red flag criteria</w:t>
      </w:r>
      <w:r w:rsidR="00AB1B12">
        <w:t xml:space="preserve"> for Lynch syndrome</w:t>
      </w:r>
      <w:r w:rsidR="00AB1B12" w:rsidRPr="002709A7">
        <w:t xml:space="preserve">. </w:t>
      </w:r>
      <w:r w:rsidR="00AB1B12" w:rsidRPr="009F05FF">
        <w:t>Red flag criteria include: aged &lt;50 years at diagnosis</w:t>
      </w:r>
      <w:r w:rsidR="00AB1B12" w:rsidRPr="009F05FF">
        <w:rPr>
          <w:rStyle w:val="FootnoteReference"/>
        </w:rPr>
        <w:footnoteReference w:id="2"/>
      </w:r>
      <w:r w:rsidR="00AB1B12" w:rsidRPr="009F05FF">
        <w:t xml:space="preserve"> (3% of patients), medullary, micro-glandular, mucinous or signet ring cell morphology</w:t>
      </w:r>
      <w:r w:rsidR="00AB1B12" w:rsidRPr="009F05FF">
        <w:rPr>
          <w:rStyle w:val="FootnoteReference"/>
        </w:rPr>
        <w:footnoteReference w:id="3"/>
      </w:r>
      <w:r w:rsidR="00AB1B12" w:rsidRPr="009F05FF">
        <w:t xml:space="preserve"> (up to 20% of patients), and increased tumour infiltrating lymphocytes (approximately 30% of patients</w:t>
      </w:r>
      <w:r w:rsidR="007A0568">
        <w:t xml:space="preserve">) </w:t>
      </w:r>
      <w:r w:rsidR="007A0568">
        <w:fldChar w:fldCharType="begin"/>
      </w:r>
      <w:r w:rsidR="00ED359C">
        <w:instrText xml:space="preserve"> ADDIN EN.CITE &lt;EndNote&gt;&lt;Cite&gt;&lt;Author&gt;Deschoolmeester&lt;/Author&gt;&lt;Year&gt;2010&lt;/Year&gt;&lt;RecNum&gt;31&lt;/RecNum&gt;&lt;DisplayText&gt;(Deschoolmeester et al. 2010)&lt;/DisplayText&gt;&lt;record&gt;&lt;rec-number&gt;31&lt;/rec-number&gt;&lt;foreign-keys&gt;&lt;key app="EN" db-id="teavvzdrht9v5oepf0av9tpn02r2trradver" timestamp="1472006154"&gt;31&lt;/key&gt;&lt;/foreign-keys&gt;&lt;ref-type name="Journal Article"&gt;17&lt;/ref-type&gt;&lt;contributors&gt;&lt;authors&gt;&lt;author&gt;Deschoolmeester, Vanessa&lt;/author&gt;&lt;author&gt;Baay, Marc&lt;/author&gt;&lt;author&gt;Van Marck, Eric&lt;/author&gt;&lt;author&gt;Weyler, Joost&lt;/author&gt;&lt;author&gt;Vermeulen, Peter&lt;/author&gt;&lt;author&gt;Lardon, Filip&lt;/author&gt;&lt;author&gt;Vermorken, Jan B.&lt;/author&gt;&lt;/authors&gt;&lt;/contributors&gt;&lt;titles&gt;&lt;title&gt;Tumor infiltrating lymphocytes: an intriguing player in the survival of colorectal cancer patients&lt;/title&gt;&lt;secondary-title&gt;BMC Immunology&lt;/secondary-title&gt;&lt;/titles&gt;&lt;periodical&gt;&lt;full-title&gt;BMC Immunology&lt;/full-title&gt;&lt;/periodical&gt;&lt;pages&gt;19-19&lt;/pages&gt;&lt;volume&gt;11&lt;/volume&gt;&lt;dates&gt;&lt;year&gt;2010&lt;/year&gt;&lt;/dates&gt;&lt;publisher&gt;BioMed Central&lt;/publisher&gt;&lt;isbn&gt;1471-2172&lt;/isbn&gt;&lt;accession-num&gt;PMC2864219&lt;/accession-num&gt;&lt;urls&gt;&lt;related-urls&gt;&lt;url&gt;http://www.ncbi.nlm.nih.gov/pmc/articles/PMC2864219/&lt;/url&gt;&lt;url&gt;https://www.ncbi.nlm.nih.gov/pmc/articles/PMC2864219/pdf/1471-2172-11-19.pdf&lt;/url&gt;&lt;/related-urls&gt;&lt;/urls&gt;&lt;electronic-resource-num&gt;10.1186/1471-2172-11-19&lt;/electronic-resource-num&gt;&lt;remote-database-name&gt;PMC&lt;/remote-database-name&gt;&lt;/record&gt;&lt;/Cite&gt;&lt;/EndNote&gt;</w:instrText>
      </w:r>
      <w:r w:rsidR="007A0568">
        <w:fldChar w:fldCharType="separate"/>
      </w:r>
      <w:r w:rsidR="007A0568">
        <w:rPr>
          <w:noProof/>
        </w:rPr>
        <w:t>(Deschoolmeester et al. 2010)</w:t>
      </w:r>
      <w:r w:rsidR="007A0568">
        <w:fldChar w:fldCharType="end"/>
      </w:r>
      <w:r w:rsidR="00AB1B12" w:rsidRPr="009F05FF">
        <w:t>.</w:t>
      </w:r>
    </w:p>
    <w:p w14:paraId="5FEF35F2" w14:textId="53F38D10" w:rsidR="00B24B1D" w:rsidRDefault="00AB1B12" w:rsidP="00B24B1D">
      <w:pPr>
        <w:jc w:val="both"/>
      </w:pPr>
      <w:r>
        <w:t xml:space="preserve">IHC MMR </w:t>
      </w:r>
      <w:r w:rsidRPr="005B75CF">
        <w:t xml:space="preserve">deficiency </w:t>
      </w:r>
      <w:r>
        <w:t>testing</w:t>
      </w:r>
      <w:r w:rsidR="00E4287B" w:rsidRPr="00E4287B">
        <w:t xml:space="preserve"> is billed to </w:t>
      </w:r>
      <w:r w:rsidR="000B2BF2">
        <w:t xml:space="preserve">the </w:t>
      </w:r>
      <w:r w:rsidR="00E4287B" w:rsidRPr="00E4287B">
        <w:t xml:space="preserve">MBS </w:t>
      </w:r>
      <w:r w:rsidR="003F6323">
        <w:t xml:space="preserve">via </w:t>
      </w:r>
      <w:r w:rsidR="00E4287B" w:rsidRPr="00E4287B">
        <w:t>item</w:t>
      </w:r>
      <w:r w:rsidR="003F6323">
        <w:t xml:space="preserve"> number</w:t>
      </w:r>
      <w:r w:rsidR="00E4287B" w:rsidRPr="00E4287B">
        <w:t xml:space="preserve"> 72</w:t>
      </w:r>
      <w:r w:rsidR="003F6323">
        <w:t>847 (</w:t>
      </w:r>
      <w:r w:rsidR="00E444CF">
        <w:t>Table 1</w:t>
      </w:r>
      <w:r w:rsidR="003F6323">
        <w:t xml:space="preserve">). </w:t>
      </w:r>
      <w:r w:rsidR="00B24B1D">
        <w:t>Th</w:t>
      </w:r>
      <w:r w:rsidR="00E444CF">
        <w:t>is</w:t>
      </w:r>
      <w:r w:rsidR="00B24B1D">
        <w:t xml:space="preserve"> item</w:t>
      </w:r>
      <w:r w:rsidR="00B24B1D" w:rsidRPr="00CE6012">
        <w:t xml:space="preserve"> is </w:t>
      </w:r>
      <w:r w:rsidR="00B24B1D">
        <w:t>for general IHC testing</w:t>
      </w:r>
      <w:r w:rsidR="00B24B1D" w:rsidRPr="00CE6012">
        <w:t xml:space="preserve"> </w:t>
      </w:r>
      <w:r w:rsidR="00E444CF">
        <w:t>with 4-6 antibodies</w:t>
      </w:r>
      <w:r w:rsidR="00E444CF" w:rsidRPr="00CE6012">
        <w:t xml:space="preserve"> </w:t>
      </w:r>
      <w:r w:rsidR="00B24B1D" w:rsidRPr="00CE6012">
        <w:t xml:space="preserve">and </w:t>
      </w:r>
      <w:r w:rsidR="00B24B1D">
        <w:t xml:space="preserve">is </w:t>
      </w:r>
      <w:r w:rsidR="00B24B1D" w:rsidRPr="00CE6012">
        <w:t xml:space="preserve">not limited to </w:t>
      </w:r>
      <w:r w:rsidR="00E444CF">
        <w:t>either anti-</w:t>
      </w:r>
      <w:r w:rsidR="00B24B1D" w:rsidRPr="00CE6012">
        <w:t xml:space="preserve">MMR </w:t>
      </w:r>
      <w:r w:rsidR="00E444CF">
        <w:t>antibodies</w:t>
      </w:r>
      <w:r w:rsidR="00B24B1D">
        <w:t xml:space="preserve"> </w:t>
      </w:r>
      <w:r w:rsidR="00E444CF">
        <w:t>or a specific</w:t>
      </w:r>
      <w:r w:rsidR="00B24B1D">
        <w:t xml:space="preserve"> patient population.</w:t>
      </w:r>
      <w:r w:rsidR="00B24B1D" w:rsidRPr="00B24B1D">
        <w:t xml:space="preserve"> </w:t>
      </w:r>
      <w:r w:rsidR="00B24B1D" w:rsidRPr="00E4287B">
        <w:t xml:space="preserve">The purpose of </w:t>
      </w:r>
      <w:r w:rsidR="00B24B1D">
        <w:t xml:space="preserve">current </w:t>
      </w:r>
      <w:r w:rsidR="005B75CF">
        <w:t xml:space="preserve">IHC </w:t>
      </w:r>
      <w:r w:rsidR="00B24B1D" w:rsidRPr="00E4287B">
        <w:t>MMR</w:t>
      </w:r>
      <w:r w:rsidR="00B24B1D">
        <w:t xml:space="preserve"> deficiency</w:t>
      </w:r>
      <w:r w:rsidR="00B24B1D" w:rsidRPr="00E4287B">
        <w:t xml:space="preserve"> testing is to improve outcomes for </w:t>
      </w:r>
      <w:r w:rsidR="00B24B1D">
        <w:t xml:space="preserve">all CRC </w:t>
      </w:r>
      <w:r w:rsidR="00B24B1D" w:rsidRPr="00E4287B">
        <w:t>patient</w:t>
      </w:r>
      <w:r w:rsidR="00B24B1D">
        <w:t>s</w:t>
      </w:r>
      <w:r w:rsidR="002F0982" w:rsidRPr="002F0982">
        <w:t xml:space="preserve"> </w:t>
      </w:r>
      <w:r w:rsidR="002F0982">
        <w:t xml:space="preserve">by </w:t>
      </w:r>
      <w:r w:rsidR="002F0982" w:rsidRPr="002F0982">
        <w:t>provid</w:t>
      </w:r>
      <w:r w:rsidR="002F0982">
        <w:t>ing</w:t>
      </w:r>
      <w:r w:rsidR="002F0982" w:rsidRPr="002F0982">
        <w:t xml:space="preserve"> prognostic information and guid</w:t>
      </w:r>
      <w:r w:rsidR="00995517">
        <w:t>ing the use of</w:t>
      </w:r>
      <w:r w:rsidR="002F0982" w:rsidRPr="002F0982">
        <w:t xml:space="preserve"> fluorouracil-based chemotherapy</w:t>
      </w:r>
      <w:r w:rsidR="00B24B1D">
        <w:t xml:space="preserve">, as well </w:t>
      </w:r>
      <w:r w:rsidR="00995517">
        <w:t xml:space="preserve">diagnosing </w:t>
      </w:r>
      <w:r w:rsidR="00B24B1D" w:rsidRPr="00E4287B">
        <w:t>Lynch syndrome</w:t>
      </w:r>
      <w:r w:rsidR="00B24B1D">
        <w:t xml:space="preserve">, </w:t>
      </w:r>
      <w:r w:rsidR="00995517">
        <w:t xml:space="preserve">so that patients and </w:t>
      </w:r>
      <w:r w:rsidR="00995517" w:rsidRPr="00995517">
        <w:t>family members with an increased risk of cancer can be monitored</w:t>
      </w:r>
      <w:r w:rsidR="00B24B1D" w:rsidRPr="00E4287B">
        <w:t>.</w:t>
      </w:r>
    </w:p>
    <w:p w14:paraId="6E44A4B0" w14:textId="3ADE6B60" w:rsidR="00553F14" w:rsidRDefault="00553F14" w:rsidP="002F0982">
      <w:pPr>
        <w:pStyle w:val="Caption"/>
        <w:ind w:left="851" w:hanging="851"/>
      </w:pPr>
      <w:bookmarkStart w:id="3" w:name="_Ref465683796"/>
      <w:bookmarkStart w:id="4" w:name="_Ref465683799"/>
      <w:r>
        <w:lastRenderedPageBreak/>
        <w:t xml:space="preserve">Table </w:t>
      </w:r>
      <w:r>
        <w:fldChar w:fldCharType="begin"/>
      </w:r>
      <w:r>
        <w:instrText xml:space="preserve"> SEQ Table \* ARABIC </w:instrText>
      </w:r>
      <w:r>
        <w:fldChar w:fldCharType="separate"/>
      </w:r>
      <w:r>
        <w:rPr>
          <w:noProof/>
        </w:rPr>
        <w:t>1</w:t>
      </w:r>
      <w:r>
        <w:fldChar w:fldCharType="end"/>
      </w:r>
      <w:bookmarkEnd w:id="3"/>
      <w:r>
        <w:tab/>
        <w:t xml:space="preserve">Current MBS item number for IHC MMR </w:t>
      </w:r>
      <w:r w:rsidRPr="005B75CF">
        <w:t xml:space="preserve">deficiency </w:t>
      </w:r>
      <w:r>
        <w:t>testing</w:t>
      </w:r>
      <w:bookmarkEnd w:id="4"/>
    </w:p>
    <w:tbl>
      <w:tblPr>
        <w:tblStyle w:val="TableGrid11"/>
        <w:tblW w:w="0" w:type="auto"/>
        <w:tblInd w:w="-5" w:type="dxa"/>
        <w:tblLook w:val="04A0" w:firstRow="1" w:lastRow="0" w:firstColumn="1" w:lastColumn="0" w:noHBand="0" w:noVBand="1"/>
        <w:tblDescription w:val="Current MBS item number for IHC MMR deficiency testing. Current MBS item number for IHC MMR deficiency testing. MBS item 72847 descriptor "/>
      </w:tblPr>
      <w:tblGrid>
        <w:gridCol w:w="9021"/>
      </w:tblGrid>
      <w:tr w:rsidR="00B24B1D" w:rsidRPr="00CE6012" w14:paraId="0BAF4C82" w14:textId="77777777" w:rsidTr="00BC1724">
        <w:trPr>
          <w:cantSplit/>
          <w:tblHeader/>
        </w:trPr>
        <w:tc>
          <w:tcPr>
            <w:tcW w:w="9021" w:type="dxa"/>
          </w:tcPr>
          <w:p w14:paraId="3E242514" w14:textId="77777777" w:rsidR="00B24B1D" w:rsidRPr="005536FC" w:rsidRDefault="00B24B1D" w:rsidP="00BC1724">
            <w:pPr>
              <w:jc w:val="right"/>
              <w:rPr>
                <w:rFonts w:ascii="Arial Narrow" w:hAnsi="Arial Narrow"/>
              </w:rPr>
            </w:pPr>
            <w:r w:rsidRPr="005536FC">
              <w:rPr>
                <w:rFonts w:ascii="Arial Narrow" w:hAnsi="Arial Narrow"/>
              </w:rPr>
              <w:t>Category 6– Pathology Services</w:t>
            </w:r>
          </w:p>
        </w:tc>
      </w:tr>
      <w:tr w:rsidR="00B24B1D" w:rsidRPr="00CE6012" w14:paraId="41CEE0EF" w14:textId="77777777" w:rsidTr="00BC1724">
        <w:trPr>
          <w:cantSplit/>
          <w:tblHeader/>
        </w:trPr>
        <w:tc>
          <w:tcPr>
            <w:tcW w:w="9021" w:type="dxa"/>
            <w:shd w:val="clear" w:color="auto" w:fill="auto"/>
          </w:tcPr>
          <w:p w14:paraId="5F16BB57" w14:textId="77777777" w:rsidR="00B24B1D" w:rsidRPr="005536FC" w:rsidRDefault="00B24B1D" w:rsidP="000F7DA1">
            <w:pPr>
              <w:tabs>
                <w:tab w:val="left" w:pos="5024"/>
                <w:tab w:val="left" w:pos="6207"/>
              </w:tabs>
              <w:spacing w:before="40" w:after="120"/>
              <w:rPr>
                <w:rFonts w:ascii="Arial Narrow" w:hAnsi="Arial Narrow"/>
              </w:rPr>
            </w:pPr>
            <w:r w:rsidRPr="005536FC">
              <w:rPr>
                <w:rFonts w:ascii="Arial Narrow" w:hAnsi="Arial Narrow"/>
              </w:rPr>
              <w:tab/>
              <w:t>Group:</w:t>
            </w:r>
            <w:r w:rsidRPr="005536FC">
              <w:rPr>
                <w:rFonts w:ascii="Arial Narrow" w:hAnsi="Arial Narrow"/>
              </w:rPr>
              <w:tab/>
              <w:t>P5 - TISSUE PATHOLOGY</w:t>
            </w:r>
          </w:p>
          <w:p w14:paraId="061DE794" w14:textId="77777777" w:rsidR="00B24B1D" w:rsidRPr="005536FC" w:rsidRDefault="00B24B1D" w:rsidP="000F7DA1">
            <w:pPr>
              <w:spacing w:before="40" w:after="120"/>
              <w:rPr>
                <w:rFonts w:ascii="Arial Narrow" w:hAnsi="Arial Narrow"/>
              </w:rPr>
            </w:pPr>
            <w:r w:rsidRPr="005536FC">
              <w:rPr>
                <w:rFonts w:ascii="Arial Narrow" w:hAnsi="Arial Narrow"/>
              </w:rPr>
              <w:t>72847</w:t>
            </w:r>
          </w:p>
          <w:p w14:paraId="5E3B978C" w14:textId="77777777" w:rsidR="00B24B1D" w:rsidRPr="005536FC" w:rsidRDefault="00B24B1D" w:rsidP="000F7DA1">
            <w:pPr>
              <w:spacing w:before="40" w:after="120"/>
              <w:jc w:val="both"/>
              <w:rPr>
                <w:rFonts w:ascii="Arial Narrow" w:hAnsi="Arial Narrow"/>
              </w:rPr>
            </w:pPr>
            <w:proofErr w:type="spellStart"/>
            <w:r w:rsidRPr="005536FC">
              <w:rPr>
                <w:rFonts w:ascii="Arial Narrow" w:hAnsi="Arial Narrow"/>
              </w:rPr>
              <w:t>Immunohistochemical</w:t>
            </w:r>
            <w:proofErr w:type="spellEnd"/>
            <w:r w:rsidRPr="005536FC">
              <w:rPr>
                <w:rFonts w:ascii="Arial Narrow" w:hAnsi="Arial Narrow"/>
              </w:rPr>
              <w:t xml:space="preserve"> examination of biopsy material by immunofluorescence, </w:t>
            </w:r>
            <w:proofErr w:type="spellStart"/>
            <w:r w:rsidRPr="005536FC">
              <w:rPr>
                <w:rFonts w:ascii="Arial Narrow" w:hAnsi="Arial Narrow"/>
              </w:rPr>
              <w:t>immunoperoxidase</w:t>
            </w:r>
            <w:proofErr w:type="spellEnd"/>
            <w:r w:rsidRPr="005536FC">
              <w:rPr>
                <w:rFonts w:ascii="Arial Narrow" w:hAnsi="Arial Narrow"/>
              </w:rPr>
              <w:t xml:space="preserve"> or other labelled antibody techniques with multiple antigenic specificities per specimen - 4-6 antibodies </w:t>
            </w:r>
          </w:p>
          <w:p w14:paraId="22C639D4" w14:textId="77777777" w:rsidR="00B24B1D" w:rsidRPr="005536FC" w:rsidRDefault="00B24B1D" w:rsidP="000F7DA1">
            <w:pPr>
              <w:spacing w:before="40" w:after="120"/>
              <w:rPr>
                <w:rFonts w:ascii="Arial Narrow" w:hAnsi="Arial Narrow"/>
              </w:rPr>
            </w:pPr>
            <w:r w:rsidRPr="005536FC">
              <w:rPr>
                <w:rFonts w:ascii="Arial Narrow" w:hAnsi="Arial Narrow"/>
              </w:rPr>
              <w:t xml:space="preserve">(Item is subject to rule 13) </w:t>
            </w:r>
          </w:p>
          <w:p w14:paraId="29A53429" w14:textId="77777777" w:rsidR="00B24B1D" w:rsidRPr="005536FC" w:rsidRDefault="00B24B1D" w:rsidP="000F7DA1">
            <w:pPr>
              <w:shd w:val="clear" w:color="auto" w:fill="FBFBFB"/>
              <w:spacing w:before="40" w:after="120" w:line="300" w:lineRule="atLeast"/>
              <w:rPr>
                <w:rFonts w:ascii="Arial Narrow" w:hAnsi="Arial Narrow"/>
              </w:rPr>
            </w:pPr>
            <w:r w:rsidRPr="005536FC">
              <w:rPr>
                <w:rFonts w:ascii="Arial Narrow" w:hAnsi="Arial Narrow"/>
              </w:rPr>
              <w:t>Fee: $89.40 Benefit: 75% = $67.05 85% = $76.00</w:t>
            </w:r>
          </w:p>
        </w:tc>
      </w:tr>
    </w:tbl>
    <w:p w14:paraId="3E53711C" w14:textId="77777777" w:rsidR="002B3338" w:rsidRDefault="002B3338" w:rsidP="005536FC">
      <w:pPr>
        <w:spacing w:before="240" w:after="120"/>
        <w:rPr>
          <w:i/>
        </w:rPr>
      </w:pPr>
      <w:r>
        <w:rPr>
          <w:i/>
          <w:u w:val="single"/>
        </w:rPr>
        <w:t>Rationale</w:t>
      </w:r>
    </w:p>
    <w:p w14:paraId="219F5F85" w14:textId="4E4E975A" w:rsidR="00E10AB7" w:rsidRDefault="00E10AB7" w:rsidP="00E10AB7">
      <w:pPr>
        <w:jc w:val="both"/>
      </w:pPr>
      <w:r w:rsidRPr="00C16569">
        <w:t xml:space="preserve">The </w:t>
      </w:r>
      <w:r>
        <w:t>RCPA</w:t>
      </w:r>
      <w:r>
        <w:rPr>
          <w:rStyle w:val="FootnoteReference"/>
        </w:rPr>
        <w:footnoteReference w:id="4"/>
      </w:r>
      <w:r>
        <w:t xml:space="preserve"> currently recommends that “IHC</w:t>
      </w:r>
      <w:r w:rsidRPr="00C16569">
        <w:t xml:space="preserve"> tests should be performed to test </w:t>
      </w:r>
      <w:r>
        <w:t>MMR</w:t>
      </w:r>
      <w:r w:rsidRPr="00C16569">
        <w:t xml:space="preserve"> deficiency status and the results recorded in the pathology report</w:t>
      </w:r>
      <w:r>
        <w:t>.” It recommends that for the purposes of diagnosing Lynch syndrome, a</w:t>
      </w:r>
      <w:r w:rsidRPr="00C16569">
        <w:t xml:space="preserve">t a minimum all cases of </w:t>
      </w:r>
      <w:r>
        <w:t>CRC</w:t>
      </w:r>
      <w:r w:rsidRPr="00C16569">
        <w:t xml:space="preserve"> arising in individuals less than 50 years of age should be tested. In addition, all cases meeting t</w:t>
      </w:r>
      <w:r>
        <w:t xml:space="preserve">he revised Bethesda guidelines </w:t>
      </w:r>
      <w:r w:rsidR="007A0568">
        <w:fldChar w:fldCharType="begin"/>
      </w:r>
      <w:r w:rsidR="007A0568">
        <w:instrText xml:space="preserve"> ADDIN EN.CITE &lt;EndNote&gt;&lt;Cite&gt;&lt;Author&gt;Umar&lt;/Author&gt;&lt;Year&gt;2004&lt;/Year&gt;&lt;RecNum&gt;30&lt;/RecNum&gt;&lt;DisplayText&gt;(Umar et al. 2004)&lt;/DisplayText&gt;&lt;record&gt;&lt;rec-number&gt;30&lt;/rec-number&gt;&lt;foreign-keys&gt;&lt;key app="EN" db-id="teavvzdrht9v5oepf0av9tpn02r2trradver" timestamp="1471835503"&gt;30&lt;/key&gt;&lt;/foreign-keys&gt;&lt;ref-type name="Journal Article"&gt;17&lt;/ref-type&gt;&lt;contributors&gt;&lt;authors&gt;&lt;author&gt;Umar, Asad&lt;/author&gt;&lt;author&gt;Boland, C. Richard&lt;/author&gt;&lt;author&gt;Terdiman, Jonathan P.&lt;/author&gt;&lt;author&gt;Syngal, Sapna&lt;/author&gt;&lt;author&gt;de la Chapelle, Albert&lt;/author&gt;&lt;author&gt;Rüschoff, Josef&lt;/author&gt;&lt;author&gt;Fishel, Richard&lt;/author&gt;&lt;author&gt;Lindor, Noralane M.&lt;/author&gt;&lt;author&gt;Burgart, Lawrence J.&lt;/author&gt;&lt;author&gt;Hamelin, Richard&lt;/author&gt;&lt;author&gt;Hamilton, Stanley R.&lt;/author&gt;&lt;author&gt;Hiatt, Robert A.&lt;/author&gt;&lt;author&gt;Jass, Jeremy&lt;/author&gt;&lt;author&gt;Lindblom, Annika&lt;/author&gt;&lt;author&gt;Lynch, Henry T.&lt;/author&gt;&lt;author&gt;Peltomaki, Païvi&lt;/author&gt;&lt;author&gt;Ramsey, Scott D.&lt;/author&gt;&lt;author&gt;Rodriguez-Bigas, Miguel A.&lt;/author&gt;&lt;author&gt;Vasen, Hans F. A.&lt;/author&gt;&lt;author&gt;Hawk, Ernest T.&lt;/author&gt;&lt;author&gt;Barrett, J. Carl&lt;/author&gt;&lt;author&gt;Freedman, Andrew N.&lt;/author&gt;&lt;author&gt;Srivastava, Sudhir&lt;/author&gt;&lt;/authors&gt;&lt;/contributors&gt;&lt;titles&gt;&lt;title&gt;Revised Bethesda Guidelines for Hereditary Nonpolyposis Colorectal Cancer (Lynch Syndrome) and Microsatellite Instability&lt;/title&gt;&lt;secondary-title&gt;Journal of the National Cancer Institute&lt;/secondary-title&gt;&lt;/titles&gt;&lt;periodical&gt;&lt;full-title&gt;Journal of the National Cancer Institute&lt;/full-title&gt;&lt;/periodical&gt;&lt;pages&gt;261-268&lt;/pages&gt;&lt;volume&gt;96&lt;/volume&gt;&lt;number&gt;4&lt;/number&gt;&lt;dates&gt;&lt;year&gt;2004&lt;/year&gt;&lt;/dates&gt;&lt;isbn&gt;0027-8874&amp;#xD;1460-2105&lt;/isbn&gt;&lt;accession-num&gt;PMC2933058&lt;/accession-num&gt;&lt;urls&gt;&lt;related-urls&gt;&lt;url&gt;http://www.ncbi.nlm.nih.gov/pmc/articles/PMC2933058/&lt;/url&gt;&lt;url&gt;http://jnci.oxfordjournals.org/content/96/4/261.full.pdf&lt;/url&gt;&lt;/related-urls&gt;&lt;/urls&gt;&lt;remote-database-name&gt;PMC&lt;/remote-database-name&gt;&lt;/record&gt;&lt;/Cite&gt;&lt;/EndNote&gt;</w:instrText>
      </w:r>
      <w:r w:rsidR="007A0568">
        <w:fldChar w:fldCharType="separate"/>
      </w:r>
      <w:r w:rsidR="007A0568">
        <w:rPr>
          <w:noProof/>
        </w:rPr>
        <w:t>(Umar et al. 2004)</w:t>
      </w:r>
      <w:r w:rsidR="007A0568">
        <w:fldChar w:fldCharType="end"/>
      </w:r>
      <w:r>
        <w:t xml:space="preserve">, which consider age, family history and histology of CRC, for being at risk of having </w:t>
      </w:r>
      <w:r w:rsidRPr="005A06D9">
        <w:t xml:space="preserve">hereditary </w:t>
      </w:r>
      <w:proofErr w:type="spellStart"/>
      <w:r w:rsidRPr="005A06D9">
        <w:t>nonpolyposis</w:t>
      </w:r>
      <w:proofErr w:type="spellEnd"/>
      <w:r>
        <w:t xml:space="preserve"> CRC</w:t>
      </w:r>
      <w:r w:rsidRPr="00C16569">
        <w:t xml:space="preserve"> should be tested.</w:t>
      </w:r>
      <w:r w:rsidRPr="005A5EAA">
        <w:t xml:space="preserve"> </w:t>
      </w:r>
      <w:r>
        <w:t xml:space="preserve">The RCPA also notes that the prognosis of mucinous carcinomas is dependent on their MMR deficiency status. Whereas the MMR deficient phenotype confers a favourable prognosis, mucinous CRCs that are MMR proficient tend to have an overall poorer prognosis. </w:t>
      </w:r>
    </w:p>
    <w:p w14:paraId="7A2044DC" w14:textId="334BDD2E" w:rsidR="00E10AB7" w:rsidRDefault="00E10AB7" w:rsidP="00E10AB7">
      <w:pPr>
        <w:jc w:val="both"/>
      </w:pPr>
      <w:r>
        <w:t xml:space="preserve">Additionally, IHC MMR deficiency testing is used to predict of efficacy of </w:t>
      </w:r>
      <w:r w:rsidRPr="002C1D6F">
        <w:t>fluorouracil</w:t>
      </w:r>
      <w:r>
        <w:t xml:space="preserve">-based adjuvant chemotherapy. This is especially useful for stage II </w:t>
      </w:r>
      <w:r w:rsidR="00867405">
        <w:t>CRC</w:t>
      </w:r>
      <w:r>
        <w:t xml:space="preserve">; in these patients </w:t>
      </w:r>
      <w:r w:rsidR="00B13D92" w:rsidRPr="00B13D92">
        <w:t xml:space="preserve">MMR deficiency </w:t>
      </w:r>
      <w:r>
        <w:t xml:space="preserve">is associated with an excellent prognosis and a lack of benefit from </w:t>
      </w:r>
      <w:r w:rsidRPr="002C1D6F">
        <w:t>fluorouracil</w:t>
      </w:r>
      <w:r>
        <w:t>-based chemotherapy</w:t>
      </w:r>
      <w:r w:rsidRPr="00F22348">
        <w:t xml:space="preserve"> </w:t>
      </w:r>
      <w:r>
        <w:t xml:space="preserve">in </w:t>
      </w:r>
      <w:r w:rsidRPr="00F22348">
        <w:t xml:space="preserve">sporadic </w:t>
      </w:r>
      <w:r w:rsidR="00B13D92" w:rsidRPr="00B13D92">
        <w:t xml:space="preserve">MMR deficiency </w:t>
      </w:r>
      <w:r>
        <w:t xml:space="preserve">CRC </w:t>
      </w:r>
      <w:r w:rsidRPr="00F22348">
        <w:t>cases</w:t>
      </w:r>
      <w:r w:rsidRPr="002C1D6F">
        <w:t xml:space="preserve"> </w:t>
      </w:r>
      <w:r w:rsidR="007A0568">
        <w:fldChar w:fldCharType="begin"/>
      </w:r>
      <w:r w:rsidR="007A0568">
        <w:instrText xml:space="preserve"> ADDIN EN.CITE &lt;EndNote&gt;&lt;Cite&gt;&lt;Author&gt;Buecher&lt;/Author&gt;&lt;Year&gt;2013&lt;/Year&gt;&lt;RecNum&gt;27&lt;/RecNum&gt;&lt;DisplayText&gt;(Buecher et al. 2013)&lt;/DisplayText&gt;&lt;record&gt;&lt;rec-number&gt;27&lt;/rec-number&gt;&lt;foreign-keys&gt;&lt;key app="EN" db-id="teavvzdrht9v5oepf0av9tpn02r2trradver" timestamp="1471497820"&gt;27&lt;/key&gt;&lt;/foreign-keys&gt;&lt;ref-type name="Journal Article"&gt;17&lt;/ref-type&gt;&lt;contributors&gt;&lt;authors&gt;&lt;author&gt;Buecher, B.&lt;/author&gt;&lt;author&gt;Cacheux, W.&lt;/author&gt;&lt;author&gt;Rouleau, E.&lt;/author&gt;&lt;author&gt;Dieumegard, B.&lt;/author&gt;&lt;author&gt;Mitry, E.&lt;/author&gt;&lt;author&gt;Lievre, A.&lt;/author&gt;&lt;/authors&gt;&lt;/contributors&gt;&lt;auth-address&gt;Department of Medical Oncology, Groupe Hospitalier, Institut Curie, 26, rue d&amp;apos;Ulm, 75248 Paris Cedex 5, France.&lt;/auth-address&gt;&lt;titles&gt;&lt;title&gt;Role of microsatellite instability in the management of colorectal cancers&lt;/title&gt;&lt;secondary-title&gt;Dig Liver Dis&lt;/secondary-title&gt;&lt;/titles&gt;&lt;periodical&gt;&lt;full-title&gt;Dig Liver Dis&lt;/full-title&gt;&lt;/periodical&gt;&lt;pages&gt;441-9&lt;/pages&gt;&lt;volume&gt;45&lt;/volume&gt;&lt;number&gt;6&lt;/number&gt;&lt;edition&gt;2012/12/01&lt;/edition&gt;&lt;keywords&gt;&lt;keyword&gt;Antineoplastic Combined Chemotherapy Protocols/therapeutic use&lt;/keyword&gt;&lt;keyword&gt;Chemotherapy, Adjuvant&lt;/keyword&gt;&lt;keyword&gt;Colorectal Neoplasms/diagnosis/ drug therapy/ genetics&lt;/keyword&gt;&lt;keyword&gt;Colorectal Neoplasms, Hereditary Nonpolyposis/diagnosis/drug therapy/genetics&lt;/keyword&gt;&lt;keyword&gt;Fluorouracil/therapeutic use&lt;/keyword&gt;&lt;keyword&gt;Humans&lt;/keyword&gt;&lt;keyword&gt;Leucovorin/therapeutic use&lt;/keyword&gt;&lt;keyword&gt;Microsatellite Instability&lt;/keyword&gt;&lt;keyword&gt;Organoplatinum Compounds/therapeutic use&lt;/keyword&gt;&lt;keyword&gt;Prognosis&lt;/keyword&gt;&lt;keyword&gt;Treatment Outcome&lt;/keyword&gt;&lt;/keywords&gt;&lt;dates&gt;&lt;year&gt;2013&lt;/year&gt;&lt;pub-dates&gt;&lt;date&gt;Jun&lt;/date&gt;&lt;/pub-dates&gt;&lt;/dates&gt;&lt;isbn&gt;1878-3562 (Electronic)&amp;#xD;1590-8658 (Linking)&lt;/isbn&gt;&lt;accession-num&gt;23195666&lt;/accession-num&gt;&lt;urls&gt;&lt;/urls&gt;&lt;electronic-resource-num&gt;10.1016/j.dld.2012.10.006&lt;/electronic-resource-num&gt;&lt;remote-database-provider&gt;NLM&lt;/remote-database-provider&gt;&lt;language&gt;eng&lt;/language&gt;&lt;/record&gt;&lt;/Cite&gt;&lt;/EndNote&gt;</w:instrText>
      </w:r>
      <w:r w:rsidR="007A0568">
        <w:fldChar w:fldCharType="separate"/>
      </w:r>
      <w:r w:rsidR="007A0568">
        <w:rPr>
          <w:noProof/>
        </w:rPr>
        <w:t>(Buecher et al. 2013)</w:t>
      </w:r>
      <w:r w:rsidR="007A0568">
        <w:fldChar w:fldCharType="end"/>
      </w:r>
      <w:r w:rsidRPr="002C1D6F">
        <w:t>.</w:t>
      </w:r>
      <w:r>
        <w:t xml:space="preserve"> The test is not currently used to determine eligibility for treatment with immune checkpoint inhibitors, such as pembrolizumab in Australia.</w:t>
      </w:r>
    </w:p>
    <w:p w14:paraId="7B7DBBED" w14:textId="00710F59" w:rsidR="00E10AB7" w:rsidRDefault="00E10AB7" w:rsidP="002C1D6F">
      <w:pPr>
        <w:jc w:val="both"/>
      </w:pPr>
      <w:r>
        <w:t>If pembrolizumab is listed by the PBS, IHC MMR deficiency testing would also be used to direct treatment to pembrolizumab; patients with MMR-deficient stage IV CRC</w:t>
      </w:r>
      <w:r w:rsidRPr="00F22348">
        <w:t xml:space="preserve"> receiving their first line of therapy</w:t>
      </w:r>
      <w:r>
        <w:t xml:space="preserve"> would be</w:t>
      </w:r>
      <w:r w:rsidRPr="00F22348">
        <w:t xml:space="preserve"> </w:t>
      </w:r>
      <w:r>
        <w:t>eligible.</w:t>
      </w:r>
    </w:p>
    <w:p w14:paraId="4DE0DD53" w14:textId="77777777" w:rsidR="000B2BF2" w:rsidRDefault="000B2BF2" w:rsidP="002C1D6F">
      <w:pPr>
        <w:jc w:val="both"/>
        <w:rPr>
          <w:i/>
        </w:rPr>
      </w:pPr>
      <w:r>
        <w:t xml:space="preserve">As most patients already have IHC MMR </w:t>
      </w:r>
      <w:r w:rsidR="005B75CF" w:rsidRPr="005B75CF">
        <w:t xml:space="preserve">deficiency </w:t>
      </w:r>
      <w:r>
        <w:t xml:space="preserve">testing, the changes to current practice will be minimal. The applicant suggests that the test would only need to be performed once, regardless of stage of disease when tested. </w:t>
      </w:r>
      <w:r w:rsidRPr="000B2BF2">
        <w:rPr>
          <w:i/>
        </w:rPr>
        <w:t xml:space="preserve">Data to support the stability of the biomarker </w:t>
      </w:r>
      <w:r>
        <w:rPr>
          <w:i/>
        </w:rPr>
        <w:t xml:space="preserve">over the course of the disease </w:t>
      </w:r>
      <w:r w:rsidRPr="000B2BF2">
        <w:rPr>
          <w:i/>
        </w:rPr>
        <w:t>should be included in the report.</w:t>
      </w:r>
      <w:r>
        <w:rPr>
          <w:i/>
        </w:rPr>
        <w:t xml:space="preserve"> Additionally, the heterogeneity of MMR deficiency both within the tumour and between the primary tumour and metastases should also be explored.</w:t>
      </w:r>
    </w:p>
    <w:p w14:paraId="4697A74C" w14:textId="598C72E8" w:rsidR="00896845" w:rsidRPr="00E364F7" w:rsidRDefault="00AB1B12" w:rsidP="00303F73">
      <w:pPr>
        <w:pStyle w:val="Heading3"/>
      </w:pPr>
      <w:r>
        <w:t>2.</w:t>
      </w:r>
      <w:r w:rsidR="00407525">
        <w:t>4</w:t>
      </w:r>
      <w:r>
        <w:tab/>
      </w:r>
      <w:r w:rsidR="00896845" w:rsidRPr="00E364F7">
        <w:t>Comparator</w:t>
      </w:r>
    </w:p>
    <w:p w14:paraId="6166A1A9" w14:textId="3954C595" w:rsidR="00C52514" w:rsidRDefault="00DF79B3" w:rsidP="002C7FCB">
      <w:pPr>
        <w:jc w:val="both"/>
      </w:pPr>
      <w:r>
        <w:t xml:space="preserve">The </w:t>
      </w:r>
      <w:r w:rsidR="00694C7F">
        <w:t xml:space="preserve">suggested comparator </w:t>
      </w:r>
      <w:r w:rsidR="00F56E14">
        <w:t>for direct evidence of effectiveness, safety and cost-effectiveness of MMR testing and targeted pembrolizumab is the c</w:t>
      </w:r>
      <w:r w:rsidR="008135E4">
        <w:t>urrent testing regimen plus</w:t>
      </w:r>
      <w:r w:rsidR="00EC4089">
        <w:t xml:space="preserve"> standard </w:t>
      </w:r>
      <w:r w:rsidR="00843A3C">
        <w:t xml:space="preserve">of </w:t>
      </w:r>
      <w:r w:rsidR="00EC4089">
        <w:t>care (chemotherapy with a combination of two drugs)</w:t>
      </w:r>
      <w:r w:rsidR="00F56E14">
        <w:t xml:space="preserve">. </w:t>
      </w:r>
    </w:p>
    <w:p w14:paraId="77C47F5D" w14:textId="16539257" w:rsidR="00C52514" w:rsidRPr="009B2B4B" w:rsidRDefault="00C52514" w:rsidP="002C7FCB">
      <w:pPr>
        <w:jc w:val="both"/>
      </w:pPr>
      <w:r w:rsidRPr="009B2B4B">
        <w:lastRenderedPageBreak/>
        <w:t>The KEYNOTE-177 trial will provide the main clinical evidence</w:t>
      </w:r>
      <w:r w:rsidR="00D86BB4" w:rsidRPr="009B2B4B">
        <w:t>. In this trial</w:t>
      </w:r>
      <w:r w:rsidRPr="009B2B4B">
        <w:t xml:space="preserve"> the standard of care is one of six standard chemotherapy regi</w:t>
      </w:r>
      <w:r w:rsidR="00D86BB4" w:rsidRPr="009B2B4B">
        <w:t>men</w:t>
      </w:r>
      <w:r w:rsidR="001F2B41" w:rsidRPr="009B2B4B">
        <w:t>s</w:t>
      </w:r>
      <w:r w:rsidR="00D86BB4" w:rsidRPr="009B2B4B">
        <w:t xml:space="preserve"> per investigator choice:</w:t>
      </w:r>
      <w:r w:rsidRPr="009B2B4B">
        <w:t xml:space="preserve"> </w:t>
      </w:r>
      <w:r w:rsidR="00D86BB4" w:rsidRPr="009B2B4B">
        <w:t xml:space="preserve">FOLFOX, FOLFOX plus </w:t>
      </w:r>
      <w:proofErr w:type="spellStart"/>
      <w:r w:rsidR="00D86BB4" w:rsidRPr="009B2B4B">
        <w:t>bevacizumab</w:t>
      </w:r>
      <w:proofErr w:type="spellEnd"/>
      <w:r w:rsidR="00D86BB4" w:rsidRPr="009B2B4B">
        <w:t xml:space="preserve">, FOLFOX plus </w:t>
      </w:r>
      <w:proofErr w:type="spellStart"/>
      <w:r w:rsidR="00D86BB4" w:rsidRPr="009B2B4B">
        <w:t>cetuximab</w:t>
      </w:r>
      <w:proofErr w:type="spellEnd"/>
      <w:r w:rsidR="00D86BB4" w:rsidRPr="009B2B4B">
        <w:t xml:space="preserve">, FOLFIRI, FOLFIRI plus </w:t>
      </w:r>
      <w:proofErr w:type="spellStart"/>
      <w:r w:rsidR="00D86BB4" w:rsidRPr="009B2B4B">
        <w:t>bevacizumab</w:t>
      </w:r>
      <w:proofErr w:type="spellEnd"/>
      <w:r w:rsidR="00D86BB4" w:rsidRPr="009B2B4B">
        <w:t xml:space="preserve">, or FOLFIRI plus </w:t>
      </w:r>
      <w:proofErr w:type="spellStart"/>
      <w:r w:rsidR="00D86BB4" w:rsidRPr="009B2B4B">
        <w:t>cetuximab</w:t>
      </w:r>
      <w:proofErr w:type="spellEnd"/>
      <w:r w:rsidR="00D86BB4" w:rsidRPr="009B2B4B">
        <w:t>.</w:t>
      </w:r>
      <w:r w:rsidR="00185964" w:rsidRPr="009B2B4B">
        <w:t xml:space="preserve"> Th</w:t>
      </w:r>
      <w:r w:rsidR="004227D0" w:rsidRPr="009B2B4B">
        <w:t>ese combinations are commonly used in Australia</w:t>
      </w:r>
      <w:r w:rsidR="00954015" w:rsidRPr="009B2B4B">
        <w:t xml:space="preserve"> </w:t>
      </w:r>
      <w:r w:rsidR="00954015" w:rsidRPr="009B2B4B">
        <w:rPr>
          <w:i/>
        </w:rPr>
        <w:t xml:space="preserve">and </w:t>
      </w:r>
      <w:r w:rsidR="00305794">
        <w:rPr>
          <w:i/>
        </w:rPr>
        <w:t xml:space="preserve">are </w:t>
      </w:r>
      <w:r w:rsidR="00954015" w:rsidRPr="009B2B4B">
        <w:rPr>
          <w:i/>
        </w:rPr>
        <w:t>included</w:t>
      </w:r>
      <w:r w:rsidR="00305794">
        <w:rPr>
          <w:i/>
        </w:rPr>
        <w:t xml:space="preserve"> as</w:t>
      </w:r>
      <w:r w:rsidR="00954015" w:rsidRPr="009B2B4B">
        <w:rPr>
          <w:i/>
        </w:rPr>
        <w:t xml:space="preserve"> </w:t>
      </w:r>
      <w:r w:rsidR="00305794">
        <w:rPr>
          <w:i/>
        </w:rPr>
        <w:t xml:space="preserve">treatment options </w:t>
      </w:r>
      <w:r w:rsidR="00954015" w:rsidRPr="009B2B4B">
        <w:rPr>
          <w:i/>
        </w:rPr>
        <w:t>in the clinical management algorithms (Figure</w:t>
      </w:r>
      <w:r w:rsidR="005536FC" w:rsidRPr="009B2B4B">
        <w:rPr>
          <w:i/>
        </w:rPr>
        <w:t>s 1 and 2)</w:t>
      </w:r>
      <w:r w:rsidR="004227D0" w:rsidRPr="009B2B4B">
        <w:t>.</w:t>
      </w:r>
    </w:p>
    <w:p w14:paraId="0B82CC1B" w14:textId="502BF391" w:rsidR="00995517" w:rsidRDefault="00E16108" w:rsidP="00995517">
      <w:pPr>
        <w:jc w:val="both"/>
      </w:pPr>
      <w:r w:rsidRPr="009B2B4B">
        <w:t xml:space="preserve">As </w:t>
      </w:r>
      <w:r w:rsidR="00F96BA5" w:rsidRPr="009B2B4B">
        <w:t xml:space="preserve">the </w:t>
      </w:r>
      <w:r w:rsidR="00A27C5A" w:rsidRPr="009B2B4B">
        <w:t>National Comprehensive Cancer Network</w:t>
      </w:r>
      <w:r w:rsidR="00F96BA5" w:rsidRPr="009B2B4B">
        <w:t xml:space="preserve"> </w:t>
      </w:r>
      <w:r w:rsidR="005755F4" w:rsidRPr="009B2B4B">
        <w:rPr>
          <w:i/>
        </w:rPr>
        <w:t>G</w:t>
      </w:r>
      <w:r w:rsidR="00F96BA5" w:rsidRPr="009B2B4B">
        <w:rPr>
          <w:i/>
        </w:rPr>
        <w:t xml:space="preserve">uidelines </w:t>
      </w:r>
      <w:r w:rsidR="005755F4" w:rsidRPr="009B2B4B">
        <w:rPr>
          <w:i/>
        </w:rPr>
        <w:t>for Genetic/Familial High-Risk Assessment: Colorectal</w:t>
      </w:r>
      <w:r w:rsidR="005755F4" w:rsidRPr="009B2B4B">
        <w:t xml:space="preserve"> </w:t>
      </w:r>
      <w:r w:rsidR="00A27C5A" w:rsidRPr="009B2B4B">
        <w:t xml:space="preserve">recommend either </w:t>
      </w:r>
      <w:r w:rsidR="00995517" w:rsidRPr="009B2B4B">
        <w:t xml:space="preserve">MMR deficiency </w:t>
      </w:r>
      <w:r w:rsidRPr="009B2B4B">
        <w:t xml:space="preserve">testing </w:t>
      </w:r>
      <w:r w:rsidR="00A27C5A" w:rsidRPr="009B2B4B">
        <w:t>or</w:t>
      </w:r>
      <w:r w:rsidRPr="009B2B4B">
        <w:t xml:space="preserve"> PCR-based </w:t>
      </w:r>
      <w:r w:rsidR="00995517" w:rsidRPr="009B2B4B">
        <w:t xml:space="preserve">MSI </w:t>
      </w:r>
      <w:r w:rsidRPr="009B2B4B">
        <w:t>testing</w:t>
      </w:r>
      <w:r w:rsidR="00A27C5A" w:rsidRPr="009B2B4B">
        <w:t xml:space="preserve"> and both</w:t>
      </w:r>
      <w:r w:rsidRPr="009B2B4B">
        <w:t xml:space="preserve"> </w:t>
      </w:r>
      <w:r w:rsidR="005755F4" w:rsidRPr="009B2B4B">
        <w:t xml:space="preserve">tests </w:t>
      </w:r>
      <w:r w:rsidRPr="009B2B4B">
        <w:t>were used to determine eligibility for the KEYNOTE</w:t>
      </w:r>
      <w:r w:rsidR="00B0636F" w:rsidRPr="009B2B4B">
        <w:t>-</w:t>
      </w:r>
      <w:r w:rsidR="005536FC" w:rsidRPr="009B2B4B">
        <w:t>177 trial</w:t>
      </w:r>
      <w:r w:rsidRPr="009B2B4B">
        <w:t>, the</w:t>
      </w:r>
      <w:r w:rsidR="00995517" w:rsidRPr="009B2B4B">
        <w:t xml:space="preserve"> concordance between </w:t>
      </w:r>
      <w:r w:rsidRPr="009B2B4B">
        <w:t>the two tests</w:t>
      </w:r>
      <w:r w:rsidR="00995517" w:rsidRPr="009B2B4B">
        <w:t xml:space="preserve"> should be </w:t>
      </w:r>
      <w:r w:rsidRPr="009B2B4B">
        <w:t>included in the report.</w:t>
      </w:r>
    </w:p>
    <w:p w14:paraId="33DCDBBC" w14:textId="77777777" w:rsidR="00995517" w:rsidRPr="00F22094" w:rsidRDefault="00995517" w:rsidP="00995517">
      <w:pPr>
        <w:jc w:val="both"/>
      </w:pPr>
      <w:r w:rsidRPr="00F22094">
        <w:t xml:space="preserve">PCR amplification of specific microsatellite markers, usually by multiplex PCR, can be performed on fresh, frozen or FFPE tumour material </w:t>
      </w:r>
      <w:r w:rsidRPr="00F22094">
        <w:fldChar w:fldCharType="begin"/>
      </w:r>
      <w:r w:rsidRPr="00F22094">
        <w:instrText xml:space="preserve"> ADDIN EN.CITE &lt;EndNote&gt;&lt;Cite&gt;&lt;Author&gt;Buecher&lt;/Author&gt;&lt;Year&gt;2013&lt;/Year&gt;&lt;RecNum&gt;27&lt;/RecNum&gt;&lt;DisplayText&gt;(Buecher et al. 2013)&lt;/DisplayText&gt;&lt;record&gt;&lt;rec-number&gt;27&lt;/rec-number&gt;&lt;foreign-keys&gt;&lt;key app="EN" db-id="teavvzdrht9v5oepf0av9tpn02r2trradver" timestamp="1471497820"&gt;27&lt;/key&gt;&lt;/foreign-keys&gt;&lt;ref-type name="Journal Article"&gt;17&lt;/ref-type&gt;&lt;contributors&gt;&lt;authors&gt;&lt;author&gt;Buecher, B.&lt;/author&gt;&lt;author&gt;Cacheux, W.&lt;/author&gt;&lt;author&gt;Rouleau, E.&lt;/author&gt;&lt;author&gt;Dieumegard, B.&lt;/author&gt;&lt;author&gt;Mitry, E.&lt;/author&gt;&lt;author&gt;Lievre, A.&lt;/author&gt;&lt;/authors&gt;&lt;/contributors&gt;&lt;auth-address&gt;Department of Medical Oncology, Groupe Hospitalier, Institut Curie, 26, rue d&amp;apos;Ulm, 75248 Paris Cedex 5, France.&lt;/auth-address&gt;&lt;titles&gt;&lt;title&gt;Role of microsatellite instability in the management of colorectal cancers&lt;/title&gt;&lt;secondary-title&gt;Dig Liver Dis&lt;/secondary-title&gt;&lt;/titles&gt;&lt;periodical&gt;&lt;full-title&gt;Dig Liver Dis&lt;/full-title&gt;&lt;/periodical&gt;&lt;pages&gt;441-9&lt;/pages&gt;&lt;volume&gt;45&lt;/volume&gt;&lt;number&gt;6&lt;/number&gt;&lt;edition&gt;2012/12/01&lt;/edition&gt;&lt;keywords&gt;&lt;keyword&gt;Antineoplastic Combined Chemotherapy Protocols/therapeutic use&lt;/keyword&gt;&lt;keyword&gt;Chemotherapy, Adjuvant&lt;/keyword&gt;&lt;keyword&gt;Colorectal Neoplasms/diagnosis/ drug therapy/ genetics&lt;/keyword&gt;&lt;keyword&gt;Colorectal Neoplasms, Hereditary Nonpolyposis/diagnosis/drug therapy/genetics&lt;/keyword&gt;&lt;keyword&gt;Fluorouracil/therapeutic use&lt;/keyword&gt;&lt;keyword&gt;Humans&lt;/keyword&gt;&lt;keyword&gt;Leucovorin/therapeutic use&lt;/keyword&gt;&lt;keyword&gt;Microsatellite Instability&lt;/keyword&gt;&lt;keyword&gt;Organoplatinum Compounds/therapeutic use&lt;/keyword&gt;&lt;keyword&gt;Prognosis&lt;/keyword&gt;&lt;keyword&gt;Treatment Outcome&lt;/keyword&gt;&lt;/keywords&gt;&lt;dates&gt;&lt;year&gt;2013&lt;/year&gt;&lt;pub-dates&gt;&lt;date&gt;Jun&lt;/date&gt;&lt;/pub-dates&gt;&lt;/dates&gt;&lt;isbn&gt;1878-3562 (Electronic)&amp;#xD;1590-8658 (Linking)&lt;/isbn&gt;&lt;accession-num&gt;23195666&lt;/accession-num&gt;&lt;urls&gt;&lt;/urls&gt;&lt;electronic-resource-num&gt;10.1016/j.dld.2012.10.006&lt;/electronic-resource-num&gt;&lt;remote-database-provider&gt;NLM&lt;/remote-database-provider&gt;&lt;language&gt;eng&lt;/language&gt;&lt;/record&gt;&lt;/Cite&gt;&lt;/EndNote&gt;</w:instrText>
      </w:r>
      <w:r w:rsidRPr="00F22094">
        <w:fldChar w:fldCharType="separate"/>
      </w:r>
      <w:r w:rsidRPr="00F22094">
        <w:rPr>
          <w:noProof/>
        </w:rPr>
        <w:t>(Buecher et al. 2013)</w:t>
      </w:r>
      <w:r w:rsidRPr="00F22094">
        <w:fldChar w:fldCharType="end"/>
      </w:r>
      <w:r w:rsidRPr="00F22094">
        <w:t xml:space="preserve">. A MSI phenotype is defined by the presence of at least two unstable markers (identified as having insertions or deletions) among five (or ≥30% of unstable markers if a larger panel is used). All other tumours, with 0–30% unstable markers, are considered as tumours without MSI owing to their clinical, histological and outcome similarities. </w:t>
      </w:r>
    </w:p>
    <w:p w14:paraId="3AE6906B" w14:textId="77777777" w:rsidR="00995517" w:rsidRPr="00F22094" w:rsidRDefault="00995517" w:rsidP="00995517">
      <w:pPr>
        <w:jc w:val="both"/>
      </w:pPr>
      <w:r w:rsidRPr="00F22094">
        <w:t xml:space="preserve">It should be noted that rare cases of MSI cannot be detected by IHC. Apparent intact expression of all four proteins by IHC cannot entirely exclude MSI and Lynch syndrome as missense mutations can lead to a non-functional protein with retained antigenicity </w:t>
      </w:r>
      <w:r w:rsidRPr="00F22094">
        <w:fldChar w:fldCharType="begin"/>
      </w:r>
      <w:r w:rsidRPr="00F22094">
        <w:instrText xml:space="preserve"> ADDIN EN.CITE &lt;EndNote&gt;&lt;Cite&gt;&lt;Author&gt;Buecher&lt;/Author&gt;&lt;Year&gt;2013&lt;/Year&gt;&lt;RecNum&gt;27&lt;/RecNum&gt;&lt;DisplayText&gt;(Buecher et al. 2013)&lt;/DisplayText&gt;&lt;record&gt;&lt;rec-number&gt;27&lt;/rec-number&gt;&lt;foreign-keys&gt;&lt;key app="EN" db-id="teavvzdrht9v5oepf0av9tpn02r2trradver" timestamp="1471497820"&gt;27&lt;/key&gt;&lt;/foreign-keys&gt;&lt;ref-type name="Journal Article"&gt;17&lt;/ref-type&gt;&lt;contributors&gt;&lt;authors&gt;&lt;author&gt;Buecher, B.&lt;/author&gt;&lt;author&gt;Cacheux, W.&lt;/author&gt;&lt;author&gt;Rouleau, E.&lt;/author&gt;&lt;author&gt;Dieumegard, B.&lt;/author&gt;&lt;author&gt;Mitry, E.&lt;/author&gt;&lt;author&gt;Lievre, A.&lt;/author&gt;&lt;/authors&gt;&lt;/contributors&gt;&lt;auth-address&gt;Department of Medical Oncology, Groupe Hospitalier, Institut Curie, 26, rue d&amp;apos;Ulm, 75248 Paris Cedex 5, France.&lt;/auth-address&gt;&lt;titles&gt;&lt;title&gt;Role of microsatellite instability in the management of colorectal cancers&lt;/title&gt;&lt;secondary-title&gt;Dig Liver Dis&lt;/secondary-title&gt;&lt;/titles&gt;&lt;periodical&gt;&lt;full-title&gt;Dig Liver Dis&lt;/full-title&gt;&lt;/periodical&gt;&lt;pages&gt;441-9&lt;/pages&gt;&lt;volume&gt;45&lt;/volume&gt;&lt;number&gt;6&lt;/number&gt;&lt;edition&gt;2012/12/01&lt;/edition&gt;&lt;keywords&gt;&lt;keyword&gt;Antineoplastic Combined Chemotherapy Protocols/therapeutic use&lt;/keyword&gt;&lt;keyword&gt;Chemotherapy, Adjuvant&lt;/keyword&gt;&lt;keyword&gt;Colorectal Neoplasms/diagnosis/ drug therapy/ genetics&lt;/keyword&gt;&lt;keyword&gt;Colorectal Neoplasms, Hereditary Nonpolyposis/diagnosis/drug therapy/genetics&lt;/keyword&gt;&lt;keyword&gt;Fluorouracil/therapeutic use&lt;/keyword&gt;&lt;keyword&gt;Humans&lt;/keyword&gt;&lt;keyword&gt;Leucovorin/therapeutic use&lt;/keyword&gt;&lt;keyword&gt;Microsatellite Instability&lt;/keyword&gt;&lt;keyword&gt;Organoplatinum Compounds/therapeutic use&lt;/keyword&gt;&lt;keyword&gt;Prognosis&lt;/keyword&gt;&lt;keyword&gt;Treatment Outcome&lt;/keyword&gt;&lt;/keywords&gt;&lt;dates&gt;&lt;year&gt;2013&lt;/year&gt;&lt;pub-dates&gt;&lt;date&gt;Jun&lt;/date&gt;&lt;/pub-dates&gt;&lt;/dates&gt;&lt;isbn&gt;1878-3562 (Electronic)&amp;#xD;1590-8658 (Linking)&lt;/isbn&gt;&lt;accession-num&gt;23195666&lt;/accession-num&gt;&lt;urls&gt;&lt;/urls&gt;&lt;electronic-resource-num&gt;10.1016/j.dld.2012.10.006&lt;/electronic-resource-num&gt;&lt;remote-database-provider&gt;NLM&lt;/remote-database-provider&gt;&lt;language&gt;eng&lt;/language&gt;&lt;/record&gt;&lt;/Cite&gt;&lt;/EndNote&gt;</w:instrText>
      </w:r>
      <w:r w:rsidRPr="00F22094">
        <w:fldChar w:fldCharType="separate"/>
      </w:r>
      <w:r w:rsidRPr="00F22094">
        <w:rPr>
          <w:noProof/>
        </w:rPr>
        <w:t>(Buecher et al. 2013)</w:t>
      </w:r>
      <w:r w:rsidRPr="00F22094">
        <w:fldChar w:fldCharType="end"/>
      </w:r>
      <w:r w:rsidRPr="00F22094">
        <w:t>.</w:t>
      </w:r>
    </w:p>
    <w:p w14:paraId="71CB6855" w14:textId="77777777" w:rsidR="00694C7F" w:rsidRDefault="00694C7F" w:rsidP="00694C7F">
      <w:pPr>
        <w:spacing w:before="120" w:after="120"/>
        <w:rPr>
          <w:i/>
        </w:rPr>
      </w:pPr>
      <w:r>
        <w:rPr>
          <w:i/>
          <w:u w:val="single"/>
        </w:rPr>
        <w:t>Rationale</w:t>
      </w:r>
    </w:p>
    <w:p w14:paraId="796D85A9" w14:textId="69850343" w:rsidR="008324A3" w:rsidRDefault="008324A3" w:rsidP="008324A3">
      <w:pPr>
        <w:jc w:val="both"/>
      </w:pPr>
      <w:r w:rsidRPr="00C16569">
        <w:t xml:space="preserve">The </w:t>
      </w:r>
      <w:r w:rsidR="005755F4">
        <w:t>a</w:t>
      </w:r>
      <w:r>
        <w:t>pplica</w:t>
      </w:r>
      <w:r w:rsidR="005755F4">
        <w:t>n</w:t>
      </w:r>
      <w:r>
        <w:t xml:space="preserve">t suggested that the comparator would be no testing plus standard of care. However, given that many patients receive MMR testing under the current scenario, the comparator was amended to reflect this. </w:t>
      </w:r>
    </w:p>
    <w:p w14:paraId="151ADE14" w14:textId="77777777" w:rsidR="008324A3" w:rsidRPr="002704AA" w:rsidRDefault="008324A3" w:rsidP="008324A3">
      <w:pPr>
        <w:jc w:val="both"/>
        <w:rPr>
          <w:i/>
        </w:rPr>
      </w:pPr>
      <w:r w:rsidRPr="002704AA">
        <w:rPr>
          <w:i/>
        </w:rPr>
        <w:t>In this setting, IHC MMR deficiency testing to determine eligibility for pembrolizumab will be an additional test in those patients who do not receive an IHC MMR deficiency test for diagnostic or prognostic purposes at initial diagnosis. For patients who receive IHC MMR deficiency testing at initial diagnosis, there will be no change to the current diagnostic/prognostic testing regime.</w:t>
      </w:r>
    </w:p>
    <w:p w14:paraId="385F4AE7" w14:textId="2E25E645" w:rsidR="008324A3" w:rsidRDefault="008324A3" w:rsidP="008324A3">
      <w:pPr>
        <w:jc w:val="both"/>
        <w:rPr>
          <w:i/>
        </w:rPr>
      </w:pPr>
      <w:r w:rsidRPr="00C16569">
        <w:t xml:space="preserve">The </w:t>
      </w:r>
      <w:r w:rsidR="005755F4">
        <w:t>a</w:t>
      </w:r>
      <w:r>
        <w:t>pplica</w:t>
      </w:r>
      <w:r w:rsidR="005755F4">
        <w:t>n</w:t>
      </w:r>
      <w:r>
        <w:t xml:space="preserve">t suggested that a second comparator would be no testing plus pembrolizumab. </w:t>
      </w:r>
      <w:r w:rsidRPr="008324A3">
        <w:rPr>
          <w:i/>
        </w:rPr>
        <w:t>Th</w:t>
      </w:r>
      <w:r>
        <w:rPr>
          <w:i/>
        </w:rPr>
        <w:t>is</w:t>
      </w:r>
      <w:r w:rsidRPr="008324A3">
        <w:rPr>
          <w:i/>
        </w:rPr>
        <w:t xml:space="preserve"> </w:t>
      </w:r>
      <w:r>
        <w:rPr>
          <w:i/>
        </w:rPr>
        <w:t>was</w:t>
      </w:r>
      <w:r w:rsidRPr="008324A3">
        <w:rPr>
          <w:i/>
        </w:rPr>
        <w:t xml:space="preserve"> modified to </w:t>
      </w:r>
      <w:r w:rsidR="00B64181">
        <w:rPr>
          <w:i/>
        </w:rPr>
        <w:t>‘</w:t>
      </w:r>
      <w:r w:rsidRPr="008324A3">
        <w:rPr>
          <w:i/>
        </w:rPr>
        <w:t>current IHC MMR deficiency testing regimen plus pembrolizumab administered to all patients</w:t>
      </w:r>
      <w:r w:rsidR="00B64181">
        <w:rPr>
          <w:i/>
        </w:rPr>
        <w:t>’, and is included as</w:t>
      </w:r>
      <w:r w:rsidRPr="008324A3">
        <w:rPr>
          <w:i/>
        </w:rPr>
        <w:t xml:space="preserve"> an alternative intervention </w:t>
      </w:r>
      <w:r w:rsidR="00B64181">
        <w:rPr>
          <w:i/>
        </w:rPr>
        <w:t>because</w:t>
      </w:r>
      <w:r w:rsidRPr="008324A3">
        <w:rPr>
          <w:i/>
        </w:rPr>
        <w:t xml:space="preserve"> it may clarify the benefit of the testing component.</w:t>
      </w:r>
    </w:p>
    <w:p w14:paraId="5F6C69BA" w14:textId="346BE5E3" w:rsidR="002F0982" w:rsidRDefault="00E16108" w:rsidP="002F0982">
      <w:pPr>
        <w:jc w:val="both"/>
      </w:pPr>
      <w:r w:rsidRPr="00305794">
        <w:rPr>
          <w:i/>
        </w:rPr>
        <w:t xml:space="preserve">As the </w:t>
      </w:r>
      <w:r w:rsidR="002F0982" w:rsidRPr="00305794">
        <w:rPr>
          <w:i/>
        </w:rPr>
        <w:t>KEYNOTE-177</w:t>
      </w:r>
      <w:r w:rsidRPr="00305794">
        <w:rPr>
          <w:i/>
        </w:rPr>
        <w:t xml:space="preserve"> trial</w:t>
      </w:r>
      <w:r w:rsidR="002F0982" w:rsidRPr="00305794">
        <w:rPr>
          <w:i/>
        </w:rPr>
        <w:t xml:space="preserve"> is estimated to enrol 270 </w:t>
      </w:r>
      <w:proofErr w:type="gramStart"/>
      <w:r w:rsidR="002F0982" w:rsidRPr="00305794">
        <w:rPr>
          <w:i/>
        </w:rPr>
        <w:t>stage</w:t>
      </w:r>
      <w:proofErr w:type="gramEnd"/>
      <w:r w:rsidR="002F0982" w:rsidRPr="00305794">
        <w:rPr>
          <w:i/>
        </w:rPr>
        <w:t xml:space="preserve"> IV CRC patients who are MMR deficient or have microsatellite instability, </w:t>
      </w:r>
      <w:r w:rsidRPr="00305794">
        <w:rPr>
          <w:i/>
        </w:rPr>
        <w:t xml:space="preserve">the </w:t>
      </w:r>
      <w:r w:rsidR="002F0982" w:rsidRPr="00305794">
        <w:rPr>
          <w:i/>
        </w:rPr>
        <w:t>concordance between the IHC MMR test and the MSI-PCR test must be demonstrated to validate the inclusion of patients enrolled on the basis of their MSI-PCR result.</w:t>
      </w:r>
      <w:r w:rsidRPr="00305794">
        <w:rPr>
          <w:i/>
        </w:rPr>
        <w:t xml:space="preserve"> </w:t>
      </w:r>
      <w:r w:rsidR="001A1EB6" w:rsidRPr="00305794">
        <w:rPr>
          <w:i/>
        </w:rPr>
        <w:t>As MSI develops as a consequence of being MMR deficient it is reasonable to assume that the two tests should identify similar populations.</w:t>
      </w:r>
    </w:p>
    <w:p w14:paraId="48FC2CFC" w14:textId="680FDD33" w:rsidR="00377AFA" w:rsidRDefault="00CE559A" w:rsidP="00BC000C">
      <w:pPr>
        <w:keepNext/>
        <w:rPr>
          <w:i/>
        </w:rPr>
      </w:pPr>
      <w:r>
        <w:rPr>
          <w:i/>
          <w:u w:val="single"/>
        </w:rPr>
        <w:t>Reference standard</w:t>
      </w:r>
    </w:p>
    <w:p w14:paraId="17C9E3C1" w14:textId="604F4138" w:rsidR="00E16108" w:rsidRPr="00F22094" w:rsidRDefault="00E16108" w:rsidP="00E16108">
      <w:pPr>
        <w:jc w:val="both"/>
        <w:rPr>
          <w:i/>
        </w:rPr>
      </w:pPr>
      <w:r w:rsidRPr="00305794">
        <w:rPr>
          <w:i/>
        </w:rPr>
        <w:t xml:space="preserve">The gold standard for diagnosis of Lynch syndrome is genomic sequencing of the four MMR genes. To date over 3,100 unique DNA variants have been described with 57% classed as pathogenic or likely </w:t>
      </w:r>
      <w:r w:rsidRPr="00305794">
        <w:rPr>
          <w:i/>
        </w:rPr>
        <w:lastRenderedPageBreak/>
        <w:t xml:space="preserve">pathogenic, 32% as uncertain, 4% as likely not pathogenic and 7% as not pathogenic </w:t>
      </w:r>
      <w:r w:rsidRPr="00305794">
        <w:rPr>
          <w:i/>
        </w:rPr>
        <w:fldChar w:fldCharType="begin"/>
      </w:r>
      <w:r w:rsidRPr="00305794">
        <w:rPr>
          <w:i/>
        </w:rPr>
        <w:instrText xml:space="preserve"> ADDIN EN.CITE &lt;EndNote&gt;&lt;Cite&gt;&lt;Author&gt;Da Silva&lt;/Author&gt;&lt;Year&gt;2016&lt;/Year&gt;&lt;RecNum&gt;32&lt;/RecNum&gt;&lt;DisplayText&gt;(Da Silva et al. 2016)&lt;/DisplayText&gt;&lt;record&gt;&lt;rec-number&gt;32&lt;/rec-number&gt;&lt;foreign-keys&gt;&lt;key app="EN" db-id="teavvzdrht9v5oepf0av9tpn02r2trradver" timestamp="1477887725"&gt;32&lt;/key&gt;&lt;/foreign-keys&gt;&lt;ref-type name="Journal Article"&gt;17&lt;/ref-type&gt;&lt;contributors&gt;&lt;authors&gt;&lt;author&gt;Da Silva, FC&lt;/author&gt;&lt;author&gt;Wernhoff, P.&lt;/author&gt;&lt;author&gt;Dominguez-Barrera, C.&lt;/author&gt;&lt;author&gt;Dominguez-Valentin, M.&lt;/author&gt;&lt;/authors&gt;&lt;/contributors&gt;&lt;auth-address&gt;Laboratory of Experimental Oncology, Federal University of Piaui, Teresina, Brazil.&amp;#xD;Department of Experimental Medical Science, Unit of Muscle Biology, Lund Transgenic Core Facility/Reproductive Immunology, Lund University, Lund, Sweden.&amp;#xD;Department of Preventive Medicine, Faculty of Medicine, National University of San Marcos, Lima, Peru.&amp;#xD;Deparment of Tumor Biology, Institute for Cancer Research, Oslo University Hospital, Oslo, Norway mev_dv@yahoo.com.&lt;/auth-address&gt;&lt;titles&gt;&lt;title&gt;Update on Hereditary Colorectal Cancer&lt;/title&gt;&lt;secondary-title&gt;Anticancer Res&lt;/secondary-title&gt;&lt;/titles&gt;&lt;periodical&gt;&lt;full-title&gt;Anticancer Res&lt;/full-title&gt;&lt;/periodical&gt;&lt;pages&gt;4399-405&lt;/pages&gt;&lt;volume&gt;36&lt;/volume&gt;&lt;number&gt;9&lt;/number&gt;&lt;edition&gt;2016/09/16&lt;/edition&gt;&lt;keywords&gt;&lt;keyword&gt;4ereditary non-polyposis colorectal cancer&lt;/keyword&gt;&lt;keyword&gt;Fcctx&lt;/keyword&gt;&lt;keyword&gt;Lynch syndrome&lt;/keyword&gt;&lt;keyword&gt;Lynch-like syndrome&lt;/keyword&gt;&lt;keyword&gt;mismatch repair&lt;/keyword&gt;&lt;keyword&gt;review&lt;/keyword&gt;&lt;/keywords&gt;&lt;dates&gt;&lt;year&gt;2016&lt;/year&gt;&lt;pub-dates&gt;&lt;date&gt;Sep&lt;/date&gt;&lt;/pub-dates&gt;&lt;/dates&gt;&lt;isbn&gt;1791-7530 (Electronic)&amp;#xD;0250-7005 (Linking)&lt;/isbn&gt;&lt;accession-num&gt;27630275&lt;/accession-num&gt;&lt;urls&gt;&lt;/urls&gt;&lt;remote-database-provider&gt;NLM&lt;/remote-database-provider&gt;&lt;language&gt;Eng&lt;/language&gt;&lt;/record&gt;&lt;/Cite&gt;&lt;/EndNote&gt;</w:instrText>
      </w:r>
      <w:r w:rsidRPr="00305794">
        <w:rPr>
          <w:i/>
        </w:rPr>
        <w:fldChar w:fldCharType="separate"/>
      </w:r>
      <w:r w:rsidRPr="00305794">
        <w:rPr>
          <w:i/>
          <w:noProof/>
        </w:rPr>
        <w:t>(Da Silva et al. 2016)</w:t>
      </w:r>
      <w:r w:rsidRPr="00305794">
        <w:rPr>
          <w:i/>
        </w:rPr>
        <w:fldChar w:fldCharType="end"/>
      </w:r>
      <w:r w:rsidRPr="00305794">
        <w:rPr>
          <w:i/>
        </w:rPr>
        <w:t>.</w:t>
      </w:r>
    </w:p>
    <w:p w14:paraId="1021BF0E" w14:textId="1A6C7CFF" w:rsidR="00896845" w:rsidRPr="00303F73" w:rsidRDefault="00AB1B12" w:rsidP="00303F73">
      <w:pPr>
        <w:pStyle w:val="Heading3"/>
      </w:pPr>
      <w:r w:rsidRPr="00303F73">
        <w:t>2.</w:t>
      </w:r>
      <w:r w:rsidR="00407525" w:rsidRPr="00303F73">
        <w:t>5</w:t>
      </w:r>
      <w:r w:rsidRPr="00303F73">
        <w:tab/>
      </w:r>
      <w:r w:rsidR="00896845" w:rsidRPr="00303F73">
        <w:t>Outcomes</w:t>
      </w:r>
    </w:p>
    <w:p w14:paraId="153C1EAF" w14:textId="54BCF711" w:rsidR="00F225E2" w:rsidRPr="00D226D1" w:rsidRDefault="00F225E2" w:rsidP="003E6BD0">
      <w:pPr>
        <w:jc w:val="both"/>
        <w:rPr>
          <w:i/>
          <w:u w:val="single"/>
        </w:rPr>
      </w:pPr>
      <w:r w:rsidRPr="00D226D1">
        <w:rPr>
          <w:i/>
          <w:u w:val="single"/>
        </w:rPr>
        <w:t>Evidence summary provided</w:t>
      </w:r>
      <w:r w:rsidR="00D226D1">
        <w:rPr>
          <w:i/>
          <w:u w:val="single"/>
        </w:rPr>
        <w:t xml:space="preserve"> in application</w:t>
      </w:r>
    </w:p>
    <w:p w14:paraId="472817F5" w14:textId="003E920A" w:rsidR="00622431" w:rsidRDefault="00622431" w:rsidP="003E6BD0">
      <w:pPr>
        <w:jc w:val="both"/>
      </w:pPr>
      <w:r>
        <w:t>T</w:t>
      </w:r>
      <w:r w:rsidR="0007333A" w:rsidRPr="0007333A">
        <w:t xml:space="preserve">he </w:t>
      </w:r>
      <w:r>
        <w:t xml:space="preserve">evidence base identified by the </w:t>
      </w:r>
      <w:r w:rsidR="00F3535E">
        <w:t>A</w:t>
      </w:r>
      <w:r w:rsidR="0007333A" w:rsidRPr="0007333A">
        <w:t xml:space="preserve">pplicant </w:t>
      </w:r>
      <w:r w:rsidR="00C70D20">
        <w:t>consists of</w:t>
      </w:r>
      <w:r w:rsidR="0007333A" w:rsidRPr="0007333A">
        <w:t xml:space="preserve"> </w:t>
      </w:r>
      <w:r>
        <w:t>three</w:t>
      </w:r>
      <w:r w:rsidR="0007333A" w:rsidRPr="0007333A">
        <w:t xml:space="preserve"> single-arm phase II trial</w:t>
      </w:r>
      <w:r>
        <w:t>s</w:t>
      </w:r>
      <w:r w:rsidR="0007333A" w:rsidRPr="0007333A">
        <w:t xml:space="preserve"> </w:t>
      </w:r>
      <w:r w:rsidR="0007333A">
        <w:t xml:space="preserve">in which stage IV CRC patients with or without MMR deficiency were treated with </w:t>
      </w:r>
      <w:r>
        <w:t xml:space="preserve">pembrolizumab or </w:t>
      </w:r>
      <w:proofErr w:type="spellStart"/>
      <w:r>
        <w:t>nivolumab</w:t>
      </w:r>
      <w:proofErr w:type="spellEnd"/>
      <w:r>
        <w:t xml:space="preserve">, one phase II trial where </w:t>
      </w:r>
      <w:r w:rsidRPr="00622431">
        <w:t>patients with MMR deficient CRC</w:t>
      </w:r>
      <w:r>
        <w:t xml:space="preserve"> were treated with </w:t>
      </w:r>
      <w:proofErr w:type="spellStart"/>
      <w:r w:rsidRPr="00622431">
        <w:t>durvalumab</w:t>
      </w:r>
      <w:proofErr w:type="spellEnd"/>
      <w:r>
        <w:t>, and one phase III trial randomising patients with MMR deficient CRC</w:t>
      </w:r>
      <w:r w:rsidRPr="00622431">
        <w:t xml:space="preserve"> </w:t>
      </w:r>
      <w:r>
        <w:t>to treatment with either pembrolizumab or standard chemotherapy</w:t>
      </w:r>
      <w:r w:rsidR="00C70D20">
        <w:t xml:space="preserve">. </w:t>
      </w:r>
      <w:r w:rsidR="00F3535E">
        <w:t>T</w:t>
      </w:r>
      <w:r w:rsidR="00C70D20">
        <w:t>he results for some of these trials will not be</w:t>
      </w:r>
      <w:r>
        <w:t xml:space="preserve"> available until </w:t>
      </w:r>
      <w:r w:rsidR="005D1189">
        <w:t xml:space="preserve">mid to late </w:t>
      </w:r>
      <w:r>
        <w:t>201</w:t>
      </w:r>
      <w:r w:rsidR="00C70D20">
        <w:t>7 or 2018</w:t>
      </w:r>
      <w:r>
        <w:t>.</w:t>
      </w:r>
    </w:p>
    <w:p w14:paraId="682BF9DA" w14:textId="581160E8" w:rsidR="004B333E" w:rsidRDefault="00622431" w:rsidP="001A6B96">
      <w:pPr>
        <w:spacing w:before="40" w:after="0" w:line="240" w:lineRule="auto"/>
        <w:jc w:val="both"/>
      </w:pPr>
      <w:r>
        <w:t>Th</w:t>
      </w:r>
      <w:r w:rsidR="00A34A5A">
        <w:t>e</w:t>
      </w:r>
      <w:r>
        <w:t>s</w:t>
      </w:r>
      <w:r w:rsidR="00A34A5A">
        <w:t>e trials</w:t>
      </w:r>
      <w:r>
        <w:t xml:space="preserve"> </w:t>
      </w:r>
      <w:r w:rsidR="004B333E">
        <w:t xml:space="preserve">do not </w:t>
      </w:r>
      <w:r w:rsidR="00A34A5A">
        <w:t>provide</w:t>
      </w:r>
      <w:r w:rsidR="0007333A">
        <w:t xml:space="preserve"> direct evidence</w:t>
      </w:r>
      <w:r w:rsidR="007D0992">
        <w:t xml:space="preserve"> </w:t>
      </w:r>
      <w:r w:rsidR="00D226D1">
        <w:t xml:space="preserve">for </w:t>
      </w:r>
      <w:r w:rsidR="00F3535E" w:rsidRPr="00F3535E">
        <w:t>a co-dependent technology</w:t>
      </w:r>
      <w:r w:rsidR="00F3535E">
        <w:t xml:space="preserve"> </w:t>
      </w:r>
      <w:r w:rsidR="007D0992">
        <w:t>as defined below</w:t>
      </w:r>
      <w:r w:rsidR="00857054">
        <w:rPr>
          <w:rStyle w:val="FootnoteReference"/>
        </w:rPr>
        <w:footnoteReference w:id="5"/>
      </w:r>
      <w:r w:rsidR="00C70D20">
        <w:t xml:space="preserve">; </w:t>
      </w:r>
    </w:p>
    <w:p w14:paraId="7A1D16F4" w14:textId="377596FE" w:rsidR="004B333E" w:rsidRDefault="004B333E" w:rsidP="004B333E">
      <w:pPr>
        <w:spacing w:before="40" w:after="0" w:line="240" w:lineRule="auto"/>
        <w:ind w:left="2268" w:hanging="2268"/>
      </w:pPr>
      <w:r>
        <w:t>Level 1 direct evidence:</w:t>
      </w:r>
      <w:r>
        <w:tab/>
        <w:t>Double-randomised controlled trial</w:t>
      </w:r>
      <w:r w:rsidR="009268B4">
        <w:t xml:space="preserve"> </w:t>
      </w:r>
      <w:r>
        <w:t>(randomised to test and to drug)</w:t>
      </w:r>
    </w:p>
    <w:p w14:paraId="49068B05" w14:textId="509F0F3B" w:rsidR="004B333E" w:rsidRDefault="004B333E" w:rsidP="004B333E">
      <w:pPr>
        <w:spacing w:before="40" w:after="0" w:line="240" w:lineRule="auto"/>
        <w:ind w:left="2268" w:hanging="2268"/>
      </w:pPr>
      <w:r>
        <w:t xml:space="preserve">Level 2 </w:t>
      </w:r>
      <w:r w:rsidRPr="004B333E">
        <w:t>direct evidence:</w:t>
      </w:r>
      <w:r w:rsidRPr="004B333E">
        <w:tab/>
      </w:r>
      <w:r>
        <w:t>Single-randomised controlled trial</w:t>
      </w:r>
      <w:r w:rsidR="009268B4">
        <w:t xml:space="preserve"> </w:t>
      </w:r>
      <w:r>
        <w:t>(randomised to test plus drug versus no test plus usual care)</w:t>
      </w:r>
    </w:p>
    <w:p w14:paraId="1B102CBD" w14:textId="192E20D5" w:rsidR="004B333E" w:rsidRDefault="004B333E" w:rsidP="004B333E">
      <w:pPr>
        <w:spacing w:before="40" w:after="0" w:line="240" w:lineRule="auto"/>
        <w:ind w:left="2268" w:hanging="2268"/>
      </w:pPr>
      <w:r>
        <w:t xml:space="preserve">Level 3 </w:t>
      </w:r>
      <w:r w:rsidRPr="004B333E">
        <w:t>direct evidence:</w:t>
      </w:r>
      <w:r w:rsidRPr="004B333E">
        <w:tab/>
      </w:r>
      <w:r>
        <w:t>Prospective bio-marker stratified randomised controlled trial of drug</w:t>
      </w:r>
      <w:r w:rsidR="009268B4">
        <w:t xml:space="preserve"> </w:t>
      </w:r>
      <w:r>
        <w:t>(population with and without biomarker randomised to drug or usual care)</w:t>
      </w:r>
    </w:p>
    <w:p w14:paraId="5691140B" w14:textId="41CEBBFD" w:rsidR="004B333E" w:rsidRDefault="004B333E" w:rsidP="00F3535E">
      <w:pPr>
        <w:spacing w:before="40" w:line="240" w:lineRule="auto"/>
        <w:ind w:left="2268" w:hanging="2268"/>
      </w:pPr>
      <w:proofErr w:type="gramStart"/>
      <w:r>
        <w:t xml:space="preserve">Level 4 </w:t>
      </w:r>
      <w:r w:rsidRPr="004B333E">
        <w:t>direct evidence:</w:t>
      </w:r>
      <w:proofErr w:type="gramEnd"/>
      <w:r w:rsidRPr="004B333E">
        <w:tab/>
      </w:r>
      <w:r>
        <w:t>Retrospective bio-marker stratified randomised controlled trial of drug</w:t>
      </w:r>
      <w:r w:rsidR="009268B4">
        <w:t xml:space="preserve"> </w:t>
      </w:r>
      <w:r>
        <w:t>(randomised to drug or usual care and th</w:t>
      </w:r>
      <w:r w:rsidR="00F3535E">
        <w:t>en biomarker status determined)</w:t>
      </w:r>
    </w:p>
    <w:p w14:paraId="16BACB7B" w14:textId="77777777" w:rsidR="0007333A" w:rsidRDefault="004B333E" w:rsidP="00D226D1">
      <w:pPr>
        <w:spacing w:before="40" w:after="120" w:line="240" w:lineRule="auto"/>
        <w:jc w:val="both"/>
      </w:pPr>
      <w:r>
        <w:t>T</w:t>
      </w:r>
      <w:r w:rsidR="00C70D20">
        <w:t>hus,</w:t>
      </w:r>
      <w:r w:rsidR="0007333A">
        <w:t xml:space="preserve"> a linked evidence approach will need to be undertaken.</w:t>
      </w:r>
    </w:p>
    <w:p w14:paraId="4E58E0C9" w14:textId="1BE21148" w:rsidR="00D226D1" w:rsidRPr="00D226D1" w:rsidRDefault="00D226D1" w:rsidP="00D226D1">
      <w:pPr>
        <w:rPr>
          <w:u w:val="single"/>
        </w:rPr>
      </w:pPr>
      <w:r w:rsidRPr="00D226D1">
        <w:rPr>
          <w:u w:val="single"/>
        </w:rPr>
        <w:t>Linked Evidence</w:t>
      </w:r>
    </w:p>
    <w:p w14:paraId="1D5F92DB" w14:textId="330EA7E3" w:rsidR="00843A3C" w:rsidRPr="002A66BD" w:rsidRDefault="00843A3C" w:rsidP="00843A3C">
      <w:pPr>
        <w:rPr>
          <w:i/>
          <w:u w:val="single"/>
        </w:rPr>
      </w:pPr>
      <w:r w:rsidRPr="002A66BD">
        <w:rPr>
          <w:i/>
          <w:u w:val="single"/>
        </w:rPr>
        <w:t>Patient relevant</w:t>
      </w:r>
      <w:r w:rsidR="00F3535E">
        <w:rPr>
          <w:i/>
          <w:u w:val="single"/>
        </w:rPr>
        <w:t xml:space="preserve"> outcomes</w:t>
      </w:r>
    </w:p>
    <w:p w14:paraId="4C4C3AE3" w14:textId="3D90D201" w:rsidR="009047D4" w:rsidRDefault="009047D4" w:rsidP="009047D4">
      <w:pPr>
        <w:spacing w:before="40" w:after="0" w:line="240" w:lineRule="auto"/>
        <w:ind w:left="2552" w:hanging="2552"/>
        <w:jc w:val="both"/>
        <w:rPr>
          <w:rFonts w:asciiTheme="minorHAnsi" w:eastAsia="SimSun" w:hAnsiTheme="minorHAnsi" w:cs="Tahoma"/>
          <w:szCs w:val="20"/>
          <w:lang w:eastAsia="zh-CN"/>
        </w:rPr>
      </w:pPr>
      <w:r w:rsidRPr="009047D4">
        <w:rPr>
          <w:rFonts w:asciiTheme="minorHAnsi" w:eastAsia="SimSun" w:hAnsiTheme="minorHAnsi"/>
          <w:i/>
          <w:szCs w:val="20"/>
          <w:lang w:val="en-GB"/>
        </w:rPr>
        <w:t>Safety</w:t>
      </w:r>
      <w:r>
        <w:rPr>
          <w:rFonts w:asciiTheme="minorHAnsi" w:eastAsia="SimSun" w:hAnsiTheme="minorHAnsi"/>
          <w:i/>
          <w:szCs w:val="20"/>
          <w:lang w:val="en-GB"/>
        </w:rPr>
        <w:tab/>
      </w:r>
      <w:r w:rsidRPr="002A0773">
        <w:rPr>
          <w:rFonts w:asciiTheme="minorHAnsi" w:eastAsia="SimSun" w:hAnsiTheme="minorHAnsi" w:cs="Tahoma"/>
          <w:szCs w:val="20"/>
          <w:lang w:eastAsia="zh-CN"/>
        </w:rPr>
        <w:t xml:space="preserve">Harms from testing </w:t>
      </w:r>
      <w:r w:rsidRPr="00841CF5">
        <w:rPr>
          <w:rFonts w:asciiTheme="minorHAnsi" w:eastAsia="SimSun" w:hAnsiTheme="minorHAnsi" w:cs="Tahoma"/>
          <w:szCs w:val="20"/>
          <w:lang w:eastAsia="zh-CN"/>
        </w:rPr>
        <w:t>(including rates of re-biopsy required for testing)</w:t>
      </w:r>
      <w:r>
        <w:rPr>
          <w:rFonts w:asciiTheme="minorHAnsi" w:eastAsia="SimSun" w:hAnsiTheme="minorHAnsi" w:cs="Tahoma"/>
          <w:szCs w:val="20"/>
          <w:lang w:eastAsia="zh-CN"/>
        </w:rPr>
        <w:t xml:space="preserve">, </w:t>
      </w:r>
      <w:r w:rsidR="00267019">
        <w:rPr>
          <w:rFonts w:asciiTheme="minorHAnsi" w:eastAsia="SimSun" w:hAnsiTheme="minorHAnsi" w:cs="Tahoma"/>
          <w:szCs w:val="20"/>
          <w:lang w:eastAsia="zh-CN"/>
        </w:rPr>
        <w:t>t</w:t>
      </w:r>
      <w:r>
        <w:rPr>
          <w:rFonts w:asciiTheme="minorHAnsi" w:eastAsia="SimSun" w:hAnsiTheme="minorHAnsi" w:cs="Tahoma"/>
          <w:szCs w:val="20"/>
          <w:lang w:eastAsia="zh-CN"/>
        </w:rPr>
        <w:t>reatment-associated adverse events and tolerability</w:t>
      </w:r>
    </w:p>
    <w:p w14:paraId="6D6F1A0B" w14:textId="17096CC7" w:rsidR="001A6B96" w:rsidRDefault="001A6B96" w:rsidP="009268B4">
      <w:pPr>
        <w:spacing w:before="40" w:after="0" w:line="240" w:lineRule="auto"/>
        <w:ind w:left="2552" w:hanging="2552"/>
        <w:jc w:val="both"/>
        <w:rPr>
          <w:rFonts w:asciiTheme="minorHAnsi" w:eastAsia="SimSun" w:hAnsiTheme="minorHAnsi"/>
          <w:szCs w:val="20"/>
          <w:lang w:val="en-GB"/>
        </w:rPr>
      </w:pPr>
      <w:proofErr w:type="gramStart"/>
      <w:r w:rsidRPr="001A6B96">
        <w:rPr>
          <w:rFonts w:asciiTheme="minorHAnsi" w:eastAsia="SimSun" w:hAnsiTheme="minorHAnsi"/>
          <w:i/>
          <w:szCs w:val="20"/>
          <w:lang w:val="en-GB"/>
        </w:rPr>
        <w:t xml:space="preserve">Diagnostic </w:t>
      </w:r>
      <w:r w:rsidR="00E37633">
        <w:rPr>
          <w:rFonts w:asciiTheme="minorHAnsi" w:eastAsia="SimSun" w:hAnsiTheme="minorHAnsi"/>
          <w:i/>
          <w:szCs w:val="20"/>
          <w:lang w:val="en-GB"/>
        </w:rPr>
        <w:t>accuracy</w:t>
      </w:r>
      <w:r w:rsidR="009268B4">
        <w:rPr>
          <w:rFonts w:asciiTheme="minorHAnsi" w:eastAsia="SimSun" w:hAnsiTheme="minorHAnsi"/>
          <w:i/>
          <w:szCs w:val="20"/>
          <w:lang w:val="en-GB"/>
        </w:rPr>
        <w:tab/>
      </w:r>
      <w:r w:rsidRPr="002A0773">
        <w:rPr>
          <w:rFonts w:asciiTheme="minorHAnsi" w:eastAsia="SimSun" w:hAnsiTheme="minorHAnsi"/>
          <w:szCs w:val="20"/>
          <w:lang w:val="en-GB"/>
        </w:rPr>
        <w:t>Sensitivity</w:t>
      </w:r>
      <w:r>
        <w:rPr>
          <w:rFonts w:asciiTheme="minorHAnsi" w:eastAsia="SimSun" w:hAnsiTheme="minorHAnsi"/>
          <w:szCs w:val="20"/>
          <w:lang w:val="en-GB"/>
        </w:rPr>
        <w:t>, s</w:t>
      </w:r>
      <w:r w:rsidRPr="002A0773">
        <w:rPr>
          <w:rFonts w:asciiTheme="minorHAnsi" w:eastAsia="SimSun" w:hAnsiTheme="minorHAnsi"/>
          <w:szCs w:val="20"/>
          <w:lang w:val="en-GB"/>
        </w:rPr>
        <w:t>pecificity</w:t>
      </w:r>
      <w:r>
        <w:rPr>
          <w:rFonts w:asciiTheme="minorHAnsi" w:eastAsia="SimSun" w:hAnsiTheme="minorHAnsi"/>
          <w:szCs w:val="20"/>
          <w:lang w:val="en-GB"/>
        </w:rPr>
        <w:t>, concordance, t</w:t>
      </w:r>
      <w:r w:rsidRPr="002A0773">
        <w:rPr>
          <w:rFonts w:asciiTheme="minorHAnsi" w:eastAsia="SimSun" w:hAnsiTheme="minorHAnsi"/>
          <w:szCs w:val="20"/>
          <w:lang w:val="en-GB"/>
        </w:rPr>
        <w:t>est-retest reliability</w:t>
      </w:r>
      <w:r w:rsidR="00E76566">
        <w:rPr>
          <w:rFonts w:asciiTheme="minorHAnsi" w:eastAsia="SimSun" w:hAnsiTheme="minorHAnsi"/>
          <w:szCs w:val="20"/>
          <w:lang w:val="en-GB"/>
        </w:rPr>
        <w:t>,</w:t>
      </w:r>
      <w:r w:rsidR="00E76566" w:rsidRPr="00E76566">
        <w:rPr>
          <w:rFonts w:asciiTheme="minorHAnsi" w:eastAsia="SimSun" w:hAnsiTheme="minorHAnsi"/>
          <w:szCs w:val="20"/>
          <w:lang w:val="en-GB"/>
        </w:rPr>
        <w:t xml:space="preserve"> </w:t>
      </w:r>
      <w:r w:rsidR="00E76566">
        <w:rPr>
          <w:rFonts w:asciiTheme="minorHAnsi" w:eastAsia="SimSun" w:hAnsiTheme="minorHAnsi"/>
          <w:szCs w:val="20"/>
          <w:lang w:val="en-GB"/>
        </w:rPr>
        <w:t>positive and negative likelihood ratios, p</w:t>
      </w:r>
      <w:r w:rsidR="00E76566" w:rsidRPr="002A0773">
        <w:rPr>
          <w:rFonts w:asciiTheme="minorHAnsi" w:eastAsia="SimSun" w:hAnsiTheme="minorHAnsi"/>
          <w:szCs w:val="20"/>
          <w:lang w:val="en-GB"/>
        </w:rPr>
        <w:t xml:space="preserve">ositive </w:t>
      </w:r>
      <w:r w:rsidR="00E76566">
        <w:rPr>
          <w:rFonts w:asciiTheme="minorHAnsi" w:eastAsia="SimSun" w:hAnsiTheme="minorHAnsi"/>
          <w:szCs w:val="20"/>
          <w:lang w:val="en-GB"/>
        </w:rPr>
        <w:t>and n</w:t>
      </w:r>
      <w:r w:rsidR="00E76566" w:rsidRPr="002A0773">
        <w:rPr>
          <w:rFonts w:asciiTheme="minorHAnsi" w:eastAsia="SimSun" w:hAnsiTheme="minorHAnsi"/>
          <w:szCs w:val="20"/>
          <w:lang w:val="en-GB"/>
        </w:rPr>
        <w:t xml:space="preserve">egative </w:t>
      </w:r>
      <w:r w:rsidR="00E76566">
        <w:rPr>
          <w:rFonts w:asciiTheme="minorHAnsi" w:eastAsia="SimSun" w:hAnsiTheme="minorHAnsi"/>
          <w:szCs w:val="20"/>
          <w:lang w:val="en-GB"/>
        </w:rPr>
        <w:t>p</w:t>
      </w:r>
      <w:r w:rsidR="00E76566" w:rsidRPr="002A0773">
        <w:rPr>
          <w:rFonts w:asciiTheme="minorHAnsi" w:eastAsia="SimSun" w:hAnsiTheme="minorHAnsi"/>
          <w:szCs w:val="20"/>
          <w:lang w:val="en-GB"/>
        </w:rPr>
        <w:t xml:space="preserve">redictive </w:t>
      </w:r>
      <w:r w:rsidR="00E76566">
        <w:rPr>
          <w:rFonts w:asciiTheme="minorHAnsi" w:eastAsia="SimSun" w:hAnsiTheme="minorHAnsi"/>
          <w:szCs w:val="20"/>
          <w:lang w:val="en-GB"/>
        </w:rPr>
        <w:t>v</w:t>
      </w:r>
      <w:r w:rsidR="00E76566" w:rsidRPr="002A0773">
        <w:rPr>
          <w:rFonts w:asciiTheme="minorHAnsi" w:eastAsia="SimSun" w:hAnsiTheme="minorHAnsi"/>
          <w:szCs w:val="20"/>
          <w:lang w:val="en-GB"/>
        </w:rPr>
        <w:t>alue</w:t>
      </w:r>
      <w:r w:rsidR="00E76566">
        <w:rPr>
          <w:rFonts w:asciiTheme="minorHAnsi" w:eastAsia="SimSun" w:hAnsiTheme="minorHAnsi"/>
          <w:szCs w:val="20"/>
          <w:lang w:val="en-GB"/>
        </w:rPr>
        <w:t>s.</w:t>
      </w:r>
      <w:proofErr w:type="gramEnd"/>
    </w:p>
    <w:p w14:paraId="613977E0" w14:textId="77D5421B" w:rsidR="001A6B96" w:rsidRDefault="00E76566" w:rsidP="009047D4">
      <w:pPr>
        <w:spacing w:before="40" w:after="0" w:line="240" w:lineRule="auto"/>
        <w:ind w:left="2552" w:hanging="2552"/>
        <w:jc w:val="both"/>
        <w:rPr>
          <w:rFonts w:asciiTheme="minorHAnsi" w:eastAsia="SimSun" w:hAnsiTheme="minorHAnsi"/>
          <w:szCs w:val="20"/>
          <w:lang w:val="en-GB"/>
        </w:rPr>
      </w:pPr>
      <w:r>
        <w:rPr>
          <w:rFonts w:asciiTheme="minorHAnsi" w:eastAsia="SimSun" w:hAnsiTheme="minorHAnsi"/>
          <w:i/>
          <w:szCs w:val="20"/>
          <w:lang w:val="en-GB"/>
        </w:rPr>
        <w:t>Prognosis</w:t>
      </w:r>
      <w:r w:rsidR="009268B4">
        <w:rPr>
          <w:rFonts w:asciiTheme="minorHAnsi" w:eastAsia="SimSun" w:hAnsiTheme="minorHAnsi"/>
          <w:i/>
          <w:szCs w:val="20"/>
          <w:lang w:val="en-GB"/>
        </w:rPr>
        <w:tab/>
      </w:r>
      <w:r>
        <w:rPr>
          <w:rFonts w:asciiTheme="minorHAnsi" w:eastAsia="SimSun" w:hAnsiTheme="minorHAnsi"/>
          <w:szCs w:val="20"/>
          <w:lang w:val="en-GB"/>
        </w:rPr>
        <w:t>P</w:t>
      </w:r>
      <w:r w:rsidR="00521C35">
        <w:rPr>
          <w:rFonts w:asciiTheme="minorHAnsi" w:eastAsia="SimSun" w:hAnsiTheme="minorHAnsi"/>
          <w:szCs w:val="20"/>
          <w:lang w:val="en-GB"/>
        </w:rPr>
        <w:t xml:space="preserve">rognostic effect of </w:t>
      </w:r>
      <w:r w:rsidR="00267019">
        <w:rPr>
          <w:rFonts w:asciiTheme="minorHAnsi" w:eastAsia="SimSun" w:hAnsiTheme="minorHAnsi"/>
          <w:szCs w:val="20"/>
          <w:lang w:val="en-GB"/>
        </w:rPr>
        <w:t>MMR deficiency</w:t>
      </w:r>
      <w:r w:rsidR="005D1189">
        <w:rPr>
          <w:rFonts w:asciiTheme="minorHAnsi" w:eastAsia="SimSun" w:hAnsiTheme="minorHAnsi"/>
          <w:szCs w:val="20"/>
          <w:lang w:val="en-GB"/>
        </w:rPr>
        <w:t xml:space="preserve"> in </w:t>
      </w:r>
      <w:r w:rsidR="00267019">
        <w:rPr>
          <w:rFonts w:asciiTheme="minorHAnsi" w:eastAsia="SimSun" w:hAnsiTheme="minorHAnsi"/>
          <w:szCs w:val="20"/>
          <w:lang w:val="en-GB"/>
        </w:rPr>
        <w:t xml:space="preserve">CRC </w:t>
      </w:r>
      <w:r w:rsidR="005D1189">
        <w:rPr>
          <w:rFonts w:asciiTheme="minorHAnsi" w:eastAsia="SimSun" w:hAnsiTheme="minorHAnsi"/>
          <w:szCs w:val="20"/>
          <w:lang w:val="en-GB"/>
        </w:rPr>
        <w:t>patients treated with standard of care</w:t>
      </w:r>
      <w:r w:rsidR="00521C35">
        <w:rPr>
          <w:rFonts w:asciiTheme="minorHAnsi" w:eastAsia="SimSun" w:hAnsiTheme="minorHAnsi"/>
          <w:szCs w:val="20"/>
          <w:lang w:val="en-GB"/>
        </w:rPr>
        <w:t>.</w:t>
      </w:r>
    </w:p>
    <w:p w14:paraId="25AE50AA" w14:textId="19B1E6A3" w:rsidR="001A6B96" w:rsidRDefault="001A6B96" w:rsidP="009268B4">
      <w:pPr>
        <w:spacing w:before="40" w:after="0" w:line="240" w:lineRule="auto"/>
        <w:ind w:left="2552" w:hanging="2552"/>
        <w:jc w:val="both"/>
        <w:rPr>
          <w:rFonts w:asciiTheme="minorHAnsi" w:eastAsia="SimSun" w:hAnsiTheme="minorHAnsi"/>
          <w:szCs w:val="20"/>
          <w:lang w:val="en-GB"/>
        </w:rPr>
      </w:pPr>
      <w:r w:rsidRPr="001A6B96">
        <w:rPr>
          <w:rFonts w:asciiTheme="minorHAnsi" w:eastAsia="SimSun" w:hAnsiTheme="minorHAnsi"/>
          <w:i/>
          <w:szCs w:val="20"/>
          <w:lang w:val="en-GB"/>
        </w:rPr>
        <w:t>Change in management</w:t>
      </w:r>
      <w:r w:rsidR="009268B4">
        <w:rPr>
          <w:rFonts w:asciiTheme="minorHAnsi" w:eastAsia="SimSun" w:hAnsiTheme="minorHAnsi"/>
          <w:i/>
          <w:szCs w:val="20"/>
          <w:lang w:val="en-GB"/>
        </w:rPr>
        <w:tab/>
      </w:r>
      <w:r w:rsidRPr="0007333A">
        <w:rPr>
          <w:rFonts w:asciiTheme="minorHAnsi" w:eastAsia="SimSun" w:hAnsiTheme="minorHAnsi"/>
          <w:szCs w:val="20"/>
          <w:lang w:val="en-GB"/>
        </w:rPr>
        <w:t>% change in management plan (e.g. changes in treatment</w:t>
      </w:r>
      <w:r w:rsidR="00267019">
        <w:rPr>
          <w:rFonts w:asciiTheme="minorHAnsi" w:eastAsia="SimSun" w:hAnsiTheme="minorHAnsi"/>
          <w:szCs w:val="20"/>
          <w:lang w:val="en-GB"/>
        </w:rPr>
        <w:t xml:space="preserve"> as a result of IHC MMR deficiency testing</w:t>
      </w:r>
      <w:r w:rsidRPr="0007333A">
        <w:rPr>
          <w:rFonts w:asciiTheme="minorHAnsi" w:eastAsia="SimSun" w:hAnsiTheme="minorHAnsi"/>
          <w:szCs w:val="20"/>
          <w:lang w:val="en-GB"/>
        </w:rPr>
        <w:t>)</w:t>
      </w:r>
      <w:r w:rsidR="00A34545">
        <w:rPr>
          <w:rFonts w:asciiTheme="minorHAnsi" w:eastAsia="SimSun" w:hAnsiTheme="minorHAnsi"/>
          <w:szCs w:val="20"/>
          <w:lang w:val="en-GB"/>
        </w:rPr>
        <w:t>. It should be noted that the majority of patients are already tested and there may be no change in management outcomes to assess other than access to pembrolizumab</w:t>
      </w:r>
    </w:p>
    <w:p w14:paraId="7A4F1FF0" w14:textId="77777777" w:rsidR="009268B4" w:rsidRDefault="00E76566" w:rsidP="009268B4">
      <w:pPr>
        <w:spacing w:before="40" w:after="0" w:line="240" w:lineRule="auto"/>
        <w:ind w:left="2552" w:hanging="2552"/>
        <w:jc w:val="both"/>
        <w:rPr>
          <w:rFonts w:asciiTheme="minorHAnsi" w:eastAsia="SimSun" w:hAnsiTheme="minorHAnsi"/>
          <w:szCs w:val="20"/>
          <w:lang w:val="en-GB"/>
        </w:rPr>
      </w:pPr>
      <w:r>
        <w:rPr>
          <w:i/>
        </w:rPr>
        <w:t>T</w:t>
      </w:r>
      <w:r w:rsidR="00736C67">
        <w:rPr>
          <w:i/>
        </w:rPr>
        <w:t>herapeutic</w:t>
      </w:r>
      <w:r>
        <w:rPr>
          <w:i/>
        </w:rPr>
        <w:t xml:space="preserve"> e</w:t>
      </w:r>
      <w:r w:rsidRPr="001A6B96">
        <w:rPr>
          <w:i/>
        </w:rPr>
        <w:t>ffectiveness</w:t>
      </w:r>
      <w:r w:rsidR="009268B4">
        <w:rPr>
          <w:i/>
        </w:rPr>
        <w:tab/>
      </w:r>
      <w:r>
        <w:rPr>
          <w:rFonts w:asciiTheme="minorHAnsi" w:eastAsia="SimSun" w:hAnsiTheme="minorHAnsi"/>
          <w:szCs w:val="20"/>
          <w:lang w:val="en-GB"/>
        </w:rPr>
        <w:t>(</w:t>
      </w:r>
      <w:r w:rsidRPr="00A24E52">
        <w:rPr>
          <w:rFonts w:asciiTheme="minorHAnsi" w:eastAsia="SimSun" w:hAnsiTheme="minorHAnsi"/>
          <w:szCs w:val="20"/>
          <w:lang w:val="en-GB"/>
        </w:rPr>
        <w:t xml:space="preserve">ranked as </w:t>
      </w:r>
      <w:r>
        <w:rPr>
          <w:rFonts w:asciiTheme="minorHAnsi" w:eastAsia="SimSun" w:hAnsiTheme="minorHAnsi"/>
          <w:szCs w:val="20"/>
          <w:lang w:val="en-GB"/>
        </w:rPr>
        <w:t>recommended by GRADE)</w:t>
      </w:r>
    </w:p>
    <w:p w14:paraId="50063723" w14:textId="6A115C9B" w:rsidR="00E76566" w:rsidRDefault="00E76566" w:rsidP="009268B4">
      <w:pPr>
        <w:spacing w:before="40" w:after="0" w:line="240" w:lineRule="auto"/>
        <w:ind w:left="2552"/>
        <w:jc w:val="both"/>
        <w:rPr>
          <w:rFonts w:asciiTheme="minorHAnsi" w:eastAsia="SimSun" w:hAnsiTheme="minorHAnsi" w:cs="Tahoma"/>
          <w:szCs w:val="20"/>
          <w:lang w:eastAsia="zh-CN"/>
        </w:rPr>
      </w:pPr>
      <w:r w:rsidRPr="001A6B96">
        <w:rPr>
          <w:rFonts w:asciiTheme="minorHAnsi" w:eastAsia="SimSun" w:hAnsiTheme="minorHAnsi"/>
          <w:szCs w:val="20"/>
          <w:lang w:val="en-GB"/>
        </w:rPr>
        <w:t>Critical outcomes:</w:t>
      </w:r>
      <w:r w:rsidR="009268B4">
        <w:rPr>
          <w:rFonts w:asciiTheme="minorHAnsi" w:eastAsia="SimSun" w:hAnsiTheme="minorHAnsi"/>
          <w:szCs w:val="20"/>
          <w:lang w:val="en-GB"/>
        </w:rPr>
        <w:t xml:space="preserve"> </w:t>
      </w:r>
      <w:r w:rsidR="009268B4">
        <w:rPr>
          <w:rFonts w:asciiTheme="minorHAnsi" w:eastAsia="SimSun" w:hAnsiTheme="minorHAnsi" w:cs="Tahoma"/>
          <w:szCs w:val="20"/>
          <w:lang w:eastAsia="zh-CN"/>
        </w:rPr>
        <w:t>ov</w:t>
      </w:r>
      <w:r w:rsidRPr="001A6B96">
        <w:rPr>
          <w:rFonts w:asciiTheme="minorHAnsi" w:eastAsia="SimSun" w:hAnsiTheme="minorHAnsi" w:cs="Tahoma"/>
          <w:szCs w:val="20"/>
          <w:lang w:eastAsia="zh-CN"/>
        </w:rPr>
        <w:t>erall survival, progression-free survival, overall response rate</w:t>
      </w:r>
      <w:r w:rsidR="009268B4">
        <w:rPr>
          <w:rFonts w:asciiTheme="minorHAnsi" w:eastAsia="SimSun" w:hAnsiTheme="minorHAnsi" w:cs="Tahoma"/>
          <w:szCs w:val="20"/>
          <w:lang w:eastAsia="zh-CN"/>
        </w:rPr>
        <w:t xml:space="preserve">; </w:t>
      </w:r>
      <w:r w:rsidRPr="001A6B96">
        <w:rPr>
          <w:rFonts w:asciiTheme="minorHAnsi" w:eastAsia="SimSun" w:hAnsiTheme="minorHAnsi" w:cs="Tahoma"/>
          <w:szCs w:val="20"/>
          <w:lang w:eastAsia="zh-CN"/>
        </w:rPr>
        <w:t>Important outcomes:</w:t>
      </w:r>
      <w:r w:rsidR="009268B4">
        <w:rPr>
          <w:rFonts w:asciiTheme="minorHAnsi" w:eastAsia="SimSun" w:hAnsiTheme="minorHAnsi" w:cs="Tahoma"/>
          <w:szCs w:val="20"/>
          <w:lang w:eastAsia="zh-CN"/>
        </w:rPr>
        <w:t xml:space="preserve"> q</w:t>
      </w:r>
      <w:r w:rsidRPr="002A0773">
        <w:rPr>
          <w:rFonts w:asciiTheme="minorHAnsi" w:eastAsia="SimSun" w:hAnsiTheme="minorHAnsi" w:cs="Tahoma"/>
          <w:szCs w:val="20"/>
          <w:lang w:eastAsia="zh-CN"/>
        </w:rPr>
        <w:t>uality of life</w:t>
      </w:r>
    </w:p>
    <w:p w14:paraId="423D8CBE" w14:textId="4015C8A2" w:rsidR="00736C67" w:rsidRPr="003E6BD0" w:rsidRDefault="00736C67" w:rsidP="009268B4">
      <w:pPr>
        <w:spacing w:before="40" w:after="0" w:line="240" w:lineRule="auto"/>
        <w:ind w:left="2552" w:hanging="2552"/>
        <w:jc w:val="both"/>
        <w:rPr>
          <w:rFonts w:asciiTheme="minorHAnsi" w:eastAsia="SimSun" w:hAnsiTheme="minorHAnsi"/>
          <w:szCs w:val="20"/>
          <w:lang w:val="en-GB"/>
        </w:rPr>
      </w:pPr>
      <w:r>
        <w:rPr>
          <w:rFonts w:asciiTheme="minorHAnsi" w:eastAsia="SimSun" w:hAnsiTheme="minorHAnsi"/>
          <w:i/>
          <w:szCs w:val="20"/>
          <w:lang w:val="en-GB"/>
        </w:rPr>
        <w:t>Predictive validity</w:t>
      </w:r>
      <w:r>
        <w:rPr>
          <w:rFonts w:asciiTheme="minorHAnsi" w:eastAsia="SimSun" w:hAnsiTheme="minorHAnsi"/>
          <w:i/>
          <w:szCs w:val="20"/>
          <w:lang w:val="en-GB"/>
        </w:rPr>
        <w:tab/>
      </w:r>
      <w:r>
        <w:rPr>
          <w:rFonts w:asciiTheme="minorHAnsi" w:eastAsia="SimSun" w:hAnsiTheme="minorHAnsi"/>
          <w:szCs w:val="20"/>
          <w:lang w:val="en-GB"/>
        </w:rPr>
        <w:t>Treatment effect modification</w:t>
      </w:r>
    </w:p>
    <w:p w14:paraId="65F2DB45" w14:textId="4BCA87E0" w:rsidR="008268EF" w:rsidRDefault="008268EF" w:rsidP="009268B4">
      <w:pPr>
        <w:spacing w:before="40" w:after="0" w:line="240" w:lineRule="auto"/>
        <w:ind w:left="2552" w:hanging="2552"/>
        <w:jc w:val="both"/>
        <w:rPr>
          <w:rFonts w:asciiTheme="minorHAnsi" w:eastAsia="SimSun" w:hAnsiTheme="minorHAnsi" w:cs="Tahoma"/>
          <w:szCs w:val="20"/>
          <w:lang w:eastAsia="zh-CN"/>
        </w:rPr>
      </w:pPr>
    </w:p>
    <w:p w14:paraId="355A8487" w14:textId="77777777" w:rsidR="003E0382" w:rsidRPr="002A66BD" w:rsidRDefault="002A66BD" w:rsidP="00440228">
      <w:pPr>
        <w:rPr>
          <w:i/>
          <w:u w:val="single"/>
        </w:rPr>
      </w:pPr>
      <w:r w:rsidRPr="002A66BD">
        <w:rPr>
          <w:i/>
          <w:u w:val="single"/>
        </w:rPr>
        <w:t>Health</w:t>
      </w:r>
      <w:r w:rsidR="00752491">
        <w:rPr>
          <w:i/>
          <w:u w:val="single"/>
        </w:rPr>
        <w:t>care</w:t>
      </w:r>
      <w:r w:rsidRPr="002A66BD">
        <w:rPr>
          <w:i/>
          <w:u w:val="single"/>
        </w:rPr>
        <w:t xml:space="preserve"> system</w:t>
      </w:r>
    </w:p>
    <w:p w14:paraId="218358D6" w14:textId="7148790B" w:rsidR="009047D4" w:rsidRDefault="009047D4" w:rsidP="00D226D1">
      <w:pPr>
        <w:spacing w:before="40" w:after="0" w:line="240" w:lineRule="auto"/>
        <w:ind w:left="2552" w:hanging="2552"/>
        <w:jc w:val="both"/>
        <w:rPr>
          <w:rFonts w:asciiTheme="minorHAnsi" w:eastAsia="SimSun" w:hAnsiTheme="minorHAnsi" w:cs="Tahoma"/>
          <w:szCs w:val="20"/>
          <w:lang w:eastAsia="zh-CN"/>
        </w:rPr>
      </w:pPr>
      <w:r w:rsidRPr="00D226D1">
        <w:rPr>
          <w:rFonts w:asciiTheme="minorHAnsi" w:eastAsia="SimSun" w:hAnsiTheme="minorHAnsi"/>
          <w:i/>
          <w:szCs w:val="20"/>
          <w:lang w:val="en-GB"/>
        </w:rPr>
        <w:lastRenderedPageBreak/>
        <w:t>Cost-effectiveness</w:t>
      </w:r>
      <w:r w:rsidR="00D226D1">
        <w:rPr>
          <w:rFonts w:asciiTheme="minorHAnsi" w:eastAsia="SimSun" w:hAnsiTheme="minorHAnsi"/>
          <w:i/>
          <w:szCs w:val="20"/>
          <w:lang w:val="en-GB"/>
        </w:rPr>
        <w:tab/>
      </w:r>
      <w:r w:rsidRPr="002A0773">
        <w:rPr>
          <w:rFonts w:asciiTheme="minorHAnsi" w:eastAsia="SimSun" w:hAnsiTheme="minorHAnsi" w:cs="Tahoma"/>
          <w:szCs w:val="20"/>
          <w:lang w:eastAsia="zh-CN"/>
        </w:rPr>
        <w:t>Cost, cost per life year gained, cost per quality adjusted life year or disability adjusted life year, incremental cost-effectiveness ratio, cost per case identified</w:t>
      </w:r>
    </w:p>
    <w:p w14:paraId="2023F602" w14:textId="146F1459" w:rsidR="00D226D1" w:rsidRDefault="00D226D1" w:rsidP="00267019">
      <w:pPr>
        <w:spacing w:before="40" w:line="240" w:lineRule="auto"/>
        <w:ind w:left="2552" w:hanging="2552"/>
        <w:jc w:val="both"/>
        <w:rPr>
          <w:rFonts w:asciiTheme="minorHAnsi" w:eastAsia="SimSun" w:hAnsiTheme="minorHAnsi"/>
          <w:szCs w:val="20"/>
          <w:lang w:val="en-GB"/>
        </w:rPr>
      </w:pPr>
      <w:r w:rsidRPr="00D226D1">
        <w:rPr>
          <w:rFonts w:asciiTheme="minorHAnsi" w:eastAsia="SimSun" w:hAnsiTheme="minorHAnsi"/>
          <w:i/>
          <w:szCs w:val="20"/>
          <w:lang w:val="en-GB"/>
        </w:rPr>
        <w:t>Financial implications</w:t>
      </w:r>
      <w:r w:rsidRPr="00D226D1">
        <w:rPr>
          <w:rFonts w:asciiTheme="minorHAnsi" w:eastAsia="SimSun" w:hAnsiTheme="minorHAnsi"/>
          <w:i/>
          <w:szCs w:val="20"/>
          <w:lang w:val="en-GB"/>
        </w:rPr>
        <w:tab/>
      </w:r>
      <w:r w:rsidRPr="00D226D1">
        <w:rPr>
          <w:rFonts w:asciiTheme="minorHAnsi" w:eastAsia="SimSun" w:hAnsiTheme="minorHAnsi"/>
          <w:szCs w:val="20"/>
          <w:lang w:val="en-GB"/>
        </w:rPr>
        <w:t xml:space="preserve">Number of patients tested, number of patients tested per </w:t>
      </w:r>
      <w:r>
        <w:rPr>
          <w:rFonts w:asciiTheme="minorHAnsi" w:eastAsia="SimSun" w:hAnsiTheme="minorHAnsi"/>
          <w:szCs w:val="20"/>
          <w:lang w:val="en-GB"/>
        </w:rPr>
        <w:t>MMR deficient</w:t>
      </w:r>
      <w:r w:rsidRPr="00D226D1">
        <w:rPr>
          <w:rFonts w:asciiTheme="minorHAnsi" w:eastAsia="SimSun" w:hAnsiTheme="minorHAnsi"/>
          <w:szCs w:val="20"/>
          <w:lang w:val="en-GB"/>
        </w:rPr>
        <w:t xml:space="preserve"> result, number of patients tested per </w:t>
      </w:r>
      <w:r>
        <w:rPr>
          <w:rFonts w:asciiTheme="minorHAnsi" w:eastAsia="SimSun" w:hAnsiTheme="minorHAnsi"/>
          <w:szCs w:val="20"/>
          <w:lang w:val="en-GB"/>
        </w:rPr>
        <w:t xml:space="preserve">MMR deficient </w:t>
      </w:r>
      <w:r w:rsidRPr="00D226D1">
        <w:rPr>
          <w:rFonts w:asciiTheme="minorHAnsi" w:eastAsia="SimSun" w:hAnsiTheme="minorHAnsi"/>
          <w:szCs w:val="20"/>
          <w:lang w:val="en-GB"/>
        </w:rPr>
        <w:t>result treated with pembrolizumab</w:t>
      </w:r>
    </w:p>
    <w:p w14:paraId="6C9B01C3" w14:textId="2A2C5EB3" w:rsidR="00ED23F4" w:rsidRDefault="00ED23F4" w:rsidP="005D1189">
      <w:pPr>
        <w:jc w:val="both"/>
      </w:pPr>
      <w:r>
        <w:t>As most CRC patients already receive IHC MMR deficiency testing, the impact of</w:t>
      </w:r>
      <w:r w:rsidR="00E37633">
        <w:t xml:space="preserve"> additional testing </w:t>
      </w:r>
      <w:r w:rsidR="00E37633" w:rsidRPr="00E37633">
        <w:t xml:space="preserve">across the healthcare system if introduced </w:t>
      </w:r>
      <w:r w:rsidR="00F3535E">
        <w:t>is</w:t>
      </w:r>
      <w:r w:rsidR="00E37633">
        <w:t xml:space="preserve"> likely to be </w:t>
      </w:r>
      <w:r w:rsidR="00B64181">
        <w:t>small</w:t>
      </w:r>
      <w:r w:rsidR="00E37633">
        <w:t xml:space="preserve">. Most pathology laboratories already conduct IHC MMR testing; therefore, </w:t>
      </w:r>
      <w:r w:rsidR="00E37633" w:rsidRPr="00E37633">
        <w:t>changes in patterns of healthcare resource provision</w:t>
      </w:r>
      <w:r w:rsidR="00E37633">
        <w:t xml:space="preserve"> will be minimal </w:t>
      </w:r>
      <w:r w:rsidR="00E37633" w:rsidRPr="00E37633">
        <w:t xml:space="preserve">and </w:t>
      </w:r>
      <w:r w:rsidR="00E37633">
        <w:t xml:space="preserve">there are unlikely to be any </w:t>
      </w:r>
      <w:r w:rsidR="00E37633" w:rsidRPr="00E37633">
        <w:t>access issues</w:t>
      </w:r>
      <w:r w:rsidR="00E37633">
        <w:t>.</w:t>
      </w:r>
      <w:r w:rsidR="003353F1" w:rsidRPr="003353F1">
        <w:t xml:space="preserve"> </w:t>
      </w:r>
      <w:r w:rsidR="003353F1" w:rsidRPr="003353F1">
        <w:rPr>
          <w:i/>
        </w:rPr>
        <w:t>The proportion of patients currently receiving an IHC MMR test should be determined by the applicant in consultation with the RCPA.</w:t>
      </w:r>
    </w:p>
    <w:p w14:paraId="505F86FB" w14:textId="77777777" w:rsidR="00267019" w:rsidRDefault="00267019" w:rsidP="00B64181">
      <w:pPr>
        <w:keepNext/>
        <w:spacing w:before="120" w:after="120"/>
        <w:rPr>
          <w:i/>
        </w:rPr>
      </w:pPr>
      <w:r>
        <w:rPr>
          <w:i/>
          <w:u w:val="single"/>
        </w:rPr>
        <w:t>Rationale</w:t>
      </w:r>
    </w:p>
    <w:p w14:paraId="60DCF056" w14:textId="1256004C" w:rsidR="00267019" w:rsidRPr="003E6BD0" w:rsidRDefault="00F3535E" w:rsidP="00267019">
      <w:pPr>
        <w:jc w:val="both"/>
        <w:rPr>
          <w:rFonts w:asciiTheme="minorHAnsi" w:eastAsia="SimSun" w:hAnsiTheme="minorHAnsi" w:cs="Tahoma"/>
          <w:i/>
          <w:szCs w:val="20"/>
          <w:lang w:eastAsia="zh-CN"/>
        </w:rPr>
      </w:pPr>
      <w:r>
        <w:rPr>
          <w:i/>
        </w:rPr>
        <w:t>As a c</w:t>
      </w:r>
      <w:r w:rsidR="00267019" w:rsidRPr="00D858E9">
        <w:rPr>
          <w:i/>
        </w:rPr>
        <w:t xml:space="preserve">o-dependent </w:t>
      </w:r>
      <w:r>
        <w:rPr>
          <w:i/>
        </w:rPr>
        <w:t>technology,</w:t>
      </w:r>
      <w:r w:rsidR="00267019" w:rsidRPr="00D858E9">
        <w:rPr>
          <w:i/>
        </w:rPr>
        <w:t xml:space="preserve"> </w:t>
      </w:r>
      <w:r>
        <w:rPr>
          <w:i/>
        </w:rPr>
        <w:t xml:space="preserve">any </w:t>
      </w:r>
      <w:r w:rsidRPr="00D858E9">
        <w:rPr>
          <w:i/>
        </w:rPr>
        <w:t xml:space="preserve">treatment effect modification and/or prognostic effect operating in the relationship </w:t>
      </w:r>
      <w:r w:rsidR="00267019" w:rsidRPr="00D858E9">
        <w:rPr>
          <w:i/>
        </w:rPr>
        <w:t xml:space="preserve">between </w:t>
      </w:r>
      <w:r>
        <w:rPr>
          <w:i/>
        </w:rPr>
        <w:t>IHC MMR deficiency testing</w:t>
      </w:r>
      <w:r w:rsidR="00267019" w:rsidRPr="00D858E9">
        <w:rPr>
          <w:i/>
        </w:rPr>
        <w:t xml:space="preserve"> and </w:t>
      </w:r>
      <w:r>
        <w:rPr>
          <w:i/>
        </w:rPr>
        <w:t>pembrolizumab needs to be</w:t>
      </w:r>
      <w:r w:rsidR="00267019" w:rsidRPr="00D858E9">
        <w:rPr>
          <w:i/>
        </w:rPr>
        <w:t xml:space="preserve"> </w:t>
      </w:r>
      <w:r>
        <w:rPr>
          <w:i/>
        </w:rPr>
        <w:t>elucidated</w:t>
      </w:r>
      <w:r w:rsidR="00267019" w:rsidRPr="00D858E9">
        <w:rPr>
          <w:i/>
        </w:rPr>
        <w:t>.</w:t>
      </w:r>
    </w:p>
    <w:p w14:paraId="119F8410" w14:textId="22DF852D" w:rsidR="00896845" w:rsidRPr="00521C35" w:rsidRDefault="00896845" w:rsidP="00EF09A5">
      <w:pPr>
        <w:pStyle w:val="Heading2"/>
        <w:numPr>
          <w:ilvl w:val="0"/>
          <w:numId w:val="14"/>
        </w:numPr>
        <w:ind w:left="426" w:hanging="426"/>
      </w:pPr>
      <w:r w:rsidRPr="00521C35">
        <w:t>Current clinical management algorithm</w:t>
      </w:r>
      <w:r w:rsidR="002B3338" w:rsidRPr="00521C35">
        <w:t xml:space="preserve"> for identified population</w:t>
      </w:r>
    </w:p>
    <w:p w14:paraId="2F9A14C8" w14:textId="7E8CBDD1" w:rsidR="002709A7" w:rsidRDefault="007D0992" w:rsidP="007D0992">
      <w:pPr>
        <w:jc w:val="both"/>
      </w:pPr>
      <w:r>
        <w:t>The current management of CRC (shown in Figure 1) includes IHC MMR deficiency testing as part of the initial work-up</w:t>
      </w:r>
      <w:r w:rsidR="00AB1B12">
        <w:t>, with most</w:t>
      </w:r>
      <w:r>
        <w:t xml:space="preserve"> patients </w:t>
      </w:r>
      <w:r w:rsidR="00AB1B12">
        <w:t xml:space="preserve">having the test </w:t>
      </w:r>
      <w:r>
        <w:t xml:space="preserve">at initial diagnosis of CRC </w:t>
      </w:r>
      <w:r w:rsidRPr="00A34A5A">
        <w:rPr>
          <w:i/>
        </w:rPr>
        <w:t>for diagnostic (Lynch syndrome) and/or prognostic/predictive purposes</w:t>
      </w:r>
      <w:r w:rsidRPr="00305794">
        <w:t xml:space="preserve">. </w:t>
      </w:r>
      <w:r w:rsidR="00345876" w:rsidRPr="00305794">
        <w:rPr>
          <w:i/>
        </w:rPr>
        <w:t xml:space="preserve">The treatment options have been modified compared to that in the application to reflect current PBS restrictions on the use of </w:t>
      </w:r>
      <w:proofErr w:type="spellStart"/>
      <w:r w:rsidR="00345876" w:rsidRPr="00305794">
        <w:rPr>
          <w:i/>
        </w:rPr>
        <w:t>cetuximab</w:t>
      </w:r>
      <w:proofErr w:type="spellEnd"/>
      <w:r w:rsidR="00345876" w:rsidRPr="00305794">
        <w:rPr>
          <w:i/>
        </w:rPr>
        <w:t xml:space="preserve"> and panitumumab in first-line treatment of stage IV CRC, and alternative treatments for patients </w:t>
      </w:r>
      <w:r w:rsidR="00300144">
        <w:rPr>
          <w:i/>
        </w:rPr>
        <w:t>who have only</w:t>
      </w:r>
      <w:r w:rsidR="00345876" w:rsidRPr="00305794">
        <w:rPr>
          <w:i/>
        </w:rPr>
        <w:t xml:space="preserve"> </w:t>
      </w:r>
      <w:r w:rsidR="00300144" w:rsidRPr="00305794">
        <w:rPr>
          <w:i/>
        </w:rPr>
        <w:t xml:space="preserve">resectable or </w:t>
      </w:r>
      <w:r w:rsidR="00345876" w:rsidRPr="00305794">
        <w:rPr>
          <w:i/>
        </w:rPr>
        <w:t>hepatic metastases.</w:t>
      </w:r>
      <w:r w:rsidR="00345876" w:rsidRPr="00305794">
        <w:t xml:space="preserve"> </w:t>
      </w:r>
      <w:r w:rsidR="002709A7" w:rsidRPr="00305794">
        <w:t>Howev</w:t>
      </w:r>
      <w:r w:rsidR="002709A7">
        <w:t>er, c</w:t>
      </w:r>
      <w:r w:rsidR="002709A7" w:rsidRPr="002709A7">
        <w:t xml:space="preserve">urrent treatment options available to </w:t>
      </w:r>
      <w:r w:rsidR="002709A7">
        <w:t xml:space="preserve">patients with </w:t>
      </w:r>
      <w:r w:rsidR="002709A7" w:rsidRPr="002709A7">
        <w:t xml:space="preserve">MMR deficient stage IV CRC </w:t>
      </w:r>
      <w:r w:rsidR="002709A7">
        <w:t>do not include any</w:t>
      </w:r>
      <w:r w:rsidR="002709A7" w:rsidRPr="002709A7">
        <w:t xml:space="preserve"> targeted </w:t>
      </w:r>
      <w:r w:rsidR="002709A7">
        <w:t>treatment options</w:t>
      </w:r>
      <w:r w:rsidR="002709A7" w:rsidRPr="002709A7">
        <w:t>.</w:t>
      </w:r>
    </w:p>
    <w:p w14:paraId="614FFB0A" w14:textId="2F8D9AD4" w:rsidR="00BC1724" w:rsidRDefault="003723EA" w:rsidP="00345876">
      <w:pPr>
        <w:spacing w:before="240" w:after="120" w:line="240" w:lineRule="auto"/>
        <w:jc w:val="center"/>
      </w:pPr>
      <w:r>
        <w:rPr>
          <w:noProof/>
          <w:lang w:eastAsia="en-AU"/>
        </w:rPr>
        <w:t xml:space="preserve">Stage </w:t>
      </w:r>
      <w:r w:rsidR="00305794">
        <w:rPr>
          <w:noProof/>
          <w:lang w:eastAsia="en-AU"/>
        </w:rPr>
        <w:drawing>
          <wp:inline distT="0" distB="0" distL="0" distR="0" wp14:anchorId="18E1ED8A" wp14:editId="12BC421B">
            <wp:extent cx="4996800" cy="3816000"/>
            <wp:effectExtent l="0" t="0" r="0" b="0"/>
            <wp:docPr id="7" name="Picture 7" descr="Current clinical management algorithm for stage IV CRC. The current clinical management algorithm shows that for patients with stage IV colorectal cancer, treatment decisions are based on whether the metastases are resectable or hepatic alone (in which resection or ablation is used); if the patient has RAS mutations then treatment is with FOLFOX or FOLFIRI +/- bevacizumab; and if the patient has RAS wild type, they are treated with FOLFOX or FOLFIRI +/- cetuximab or panitumuma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6800" cy="3816000"/>
                    </a:xfrm>
                    <a:prstGeom prst="rect">
                      <a:avLst/>
                    </a:prstGeom>
                    <a:noFill/>
                  </pic:spPr>
                </pic:pic>
              </a:graphicData>
            </a:graphic>
          </wp:inline>
        </w:drawing>
      </w:r>
    </w:p>
    <w:p w14:paraId="545EA252" w14:textId="77777777" w:rsidR="00BC1724" w:rsidRPr="00954015" w:rsidRDefault="00BC1724" w:rsidP="00BC1724">
      <w:pPr>
        <w:tabs>
          <w:tab w:val="left" w:pos="1134"/>
        </w:tabs>
        <w:spacing w:before="40" w:after="40" w:line="240" w:lineRule="auto"/>
        <w:rPr>
          <w:rFonts w:ascii="Arial Narrow" w:hAnsi="Arial Narrow"/>
          <w:b/>
          <w:sz w:val="20"/>
        </w:rPr>
      </w:pPr>
      <w:r w:rsidRPr="00305794">
        <w:rPr>
          <w:rFonts w:ascii="Arial Narrow" w:hAnsi="Arial Narrow"/>
          <w:b/>
          <w:sz w:val="20"/>
        </w:rPr>
        <w:lastRenderedPageBreak/>
        <w:t>Figure 1</w:t>
      </w:r>
      <w:r w:rsidRPr="00305794">
        <w:rPr>
          <w:rFonts w:ascii="Arial Narrow" w:hAnsi="Arial Narrow"/>
          <w:b/>
          <w:sz w:val="20"/>
        </w:rPr>
        <w:tab/>
        <w:t>Current clinical management algorithm for stage IV CRC</w:t>
      </w:r>
    </w:p>
    <w:p w14:paraId="4D860F03" w14:textId="772CD90E" w:rsidR="00BC1724" w:rsidRPr="00954015" w:rsidRDefault="00BC1724" w:rsidP="00954015">
      <w:pPr>
        <w:spacing w:after="40" w:line="240" w:lineRule="auto"/>
        <w:jc w:val="both"/>
        <w:rPr>
          <w:rFonts w:ascii="Arial Narrow" w:hAnsi="Arial Narrow"/>
          <w:sz w:val="20"/>
        </w:rPr>
      </w:pPr>
      <w:r w:rsidRPr="00954015">
        <w:rPr>
          <w:rFonts w:ascii="Arial Narrow" w:hAnsi="Arial Narrow"/>
          <w:sz w:val="20"/>
        </w:rPr>
        <w:t>*Not routinely conducted in all centres</w:t>
      </w:r>
      <w:r w:rsidR="00AB1B12" w:rsidRPr="00954015">
        <w:rPr>
          <w:rFonts w:ascii="Arial Narrow" w:hAnsi="Arial Narrow"/>
          <w:sz w:val="20"/>
        </w:rPr>
        <w:t xml:space="preserve"> (see </w:t>
      </w:r>
      <w:r w:rsidR="00F31516" w:rsidRPr="00954015">
        <w:rPr>
          <w:rFonts w:ascii="Arial Narrow" w:hAnsi="Arial Narrow"/>
          <w:sz w:val="20"/>
        </w:rPr>
        <w:t>2.2 above for details)</w:t>
      </w:r>
      <w:r w:rsidR="00BA4826" w:rsidRPr="00954015">
        <w:rPr>
          <w:rFonts w:ascii="Arial Narrow" w:hAnsi="Arial Narrow"/>
          <w:sz w:val="20"/>
        </w:rPr>
        <w:t xml:space="preserve"> although most patients are tested</w:t>
      </w:r>
    </w:p>
    <w:p w14:paraId="2AFABD28" w14:textId="5CFA0562" w:rsidR="00BC1724" w:rsidRPr="00954015" w:rsidRDefault="00BC1724" w:rsidP="00954015">
      <w:pPr>
        <w:spacing w:line="240" w:lineRule="auto"/>
        <w:jc w:val="both"/>
        <w:rPr>
          <w:rFonts w:ascii="Arial Narrow" w:hAnsi="Arial Narrow"/>
          <w:sz w:val="20"/>
        </w:rPr>
      </w:pPr>
      <w:r w:rsidRPr="00954015">
        <w:rPr>
          <w:rFonts w:ascii="Arial Narrow" w:hAnsi="Arial Narrow"/>
          <w:sz w:val="20"/>
        </w:rPr>
        <w:t>IHC = immunohistochemistry; MMR = mismatch repair</w:t>
      </w:r>
      <w:r w:rsidR="00BC000C" w:rsidRPr="00954015">
        <w:rPr>
          <w:rFonts w:ascii="Arial Narrow" w:hAnsi="Arial Narrow"/>
          <w:sz w:val="20"/>
        </w:rPr>
        <w:t>; RAS = rat sarcoma</w:t>
      </w:r>
      <w:r w:rsidR="00F63CCE" w:rsidRPr="00954015">
        <w:rPr>
          <w:rFonts w:ascii="Arial Narrow" w:hAnsi="Arial Narrow"/>
          <w:sz w:val="20"/>
        </w:rPr>
        <w:t xml:space="preserve">; FOLFOX = combination </w:t>
      </w:r>
      <w:proofErr w:type="spellStart"/>
      <w:r w:rsidR="00F63CCE" w:rsidRPr="00954015">
        <w:rPr>
          <w:rFonts w:ascii="Arial Narrow" w:hAnsi="Arial Narrow"/>
          <w:sz w:val="20"/>
        </w:rPr>
        <w:t>folinic</w:t>
      </w:r>
      <w:proofErr w:type="spellEnd"/>
      <w:r w:rsidR="00F63CCE" w:rsidRPr="00954015">
        <w:rPr>
          <w:rFonts w:ascii="Arial Narrow" w:hAnsi="Arial Narrow"/>
          <w:sz w:val="20"/>
        </w:rPr>
        <w:t xml:space="preserve"> acid, fluorouracil and </w:t>
      </w:r>
      <w:proofErr w:type="spellStart"/>
      <w:r w:rsidR="00F63CCE" w:rsidRPr="00954015">
        <w:rPr>
          <w:rFonts w:ascii="Arial Narrow" w:hAnsi="Arial Narrow"/>
          <w:sz w:val="20"/>
        </w:rPr>
        <w:t>oxaliplatin</w:t>
      </w:r>
      <w:proofErr w:type="spellEnd"/>
      <w:r w:rsidR="00F63CCE" w:rsidRPr="00954015">
        <w:rPr>
          <w:rFonts w:ascii="Arial Narrow" w:hAnsi="Arial Narrow"/>
          <w:sz w:val="20"/>
        </w:rPr>
        <w:t xml:space="preserve">; FOLFIRI = combination of </w:t>
      </w:r>
      <w:proofErr w:type="spellStart"/>
      <w:r w:rsidR="00F63CCE" w:rsidRPr="00954015">
        <w:rPr>
          <w:rFonts w:ascii="Arial Narrow" w:hAnsi="Arial Narrow"/>
          <w:sz w:val="20"/>
        </w:rPr>
        <w:t>folinic</w:t>
      </w:r>
      <w:proofErr w:type="spellEnd"/>
      <w:r w:rsidR="00F63CCE" w:rsidRPr="00954015">
        <w:rPr>
          <w:rFonts w:ascii="Arial Narrow" w:hAnsi="Arial Narrow"/>
          <w:sz w:val="20"/>
        </w:rPr>
        <w:t xml:space="preserve"> acid, fluorouracil and </w:t>
      </w:r>
      <w:proofErr w:type="spellStart"/>
      <w:r w:rsidR="00F63CCE" w:rsidRPr="00954015">
        <w:rPr>
          <w:rFonts w:ascii="Arial Narrow" w:hAnsi="Arial Narrow"/>
          <w:sz w:val="20"/>
        </w:rPr>
        <w:t>irinotecan</w:t>
      </w:r>
      <w:proofErr w:type="spellEnd"/>
      <w:r w:rsidR="005C5B8D" w:rsidRPr="00954015">
        <w:rPr>
          <w:rFonts w:ascii="Arial Narrow" w:hAnsi="Arial Narrow"/>
          <w:sz w:val="20"/>
        </w:rPr>
        <w:t>.</w:t>
      </w:r>
    </w:p>
    <w:p w14:paraId="703783EA" w14:textId="0151A000" w:rsidR="00896845" w:rsidRPr="00521C35" w:rsidRDefault="00896845" w:rsidP="00EF09A5">
      <w:pPr>
        <w:pStyle w:val="Heading2"/>
        <w:numPr>
          <w:ilvl w:val="0"/>
          <w:numId w:val="14"/>
        </w:numPr>
        <w:ind w:left="426" w:hanging="426"/>
      </w:pPr>
      <w:r w:rsidRPr="00521C35">
        <w:t>Proposed clinical management algorithm</w:t>
      </w:r>
      <w:r w:rsidR="002B3338" w:rsidRPr="00521C35">
        <w:t xml:space="preserve"> for identified population</w:t>
      </w:r>
    </w:p>
    <w:p w14:paraId="2EED2084" w14:textId="13CB3E97" w:rsidR="00A34A5A" w:rsidRDefault="00AA784E" w:rsidP="009268B4">
      <w:pPr>
        <w:jc w:val="both"/>
      </w:pPr>
      <w:r w:rsidRPr="00A34A5A">
        <w:rPr>
          <w:i/>
        </w:rPr>
        <w:t>The clinical management algorithm proposed by the applicant</w:t>
      </w:r>
      <w:r w:rsidR="00A34A5A">
        <w:rPr>
          <w:i/>
        </w:rPr>
        <w:t xml:space="preserve"> (</w:t>
      </w:r>
      <w:r w:rsidR="00850DD9">
        <w:rPr>
          <w:i/>
        </w:rPr>
        <w:t>Figure 4</w:t>
      </w:r>
      <w:r w:rsidR="00F63CCE">
        <w:rPr>
          <w:i/>
        </w:rPr>
        <w:t xml:space="preserve"> in Appendix 1</w:t>
      </w:r>
      <w:r w:rsidR="00A34A5A">
        <w:rPr>
          <w:i/>
        </w:rPr>
        <w:t>)</w:t>
      </w:r>
      <w:r w:rsidR="00E40E64" w:rsidRPr="00A34A5A">
        <w:rPr>
          <w:i/>
        </w:rPr>
        <w:t xml:space="preserve"> </w:t>
      </w:r>
      <w:r w:rsidR="00A34A5A" w:rsidRPr="00A34A5A">
        <w:rPr>
          <w:i/>
        </w:rPr>
        <w:t>lack</w:t>
      </w:r>
      <w:r w:rsidR="007C5970">
        <w:rPr>
          <w:i/>
        </w:rPr>
        <w:t>ed</w:t>
      </w:r>
      <w:r w:rsidR="00A34A5A" w:rsidRPr="00A34A5A">
        <w:rPr>
          <w:i/>
        </w:rPr>
        <w:t xml:space="preserve"> clarity</w:t>
      </w:r>
      <w:r w:rsidRPr="00A34A5A">
        <w:rPr>
          <w:i/>
        </w:rPr>
        <w:t>. It indicate</w:t>
      </w:r>
      <w:r w:rsidR="007C5970">
        <w:rPr>
          <w:i/>
        </w:rPr>
        <w:t>d</w:t>
      </w:r>
      <w:r w:rsidRPr="00A34A5A">
        <w:rPr>
          <w:i/>
        </w:rPr>
        <w:t xml:space="preserve"> that patients with stage IV CRC should receive IHC MMR deficiency testing at initial work-up and d</w:t>
      </w:r>
      <w:r w:rsidR="007C5970">
        <w:rPr>
          <w:i/>
        </w:rPr>
        <w:t>id</w:t>
      </w:r>
      <w:r w:rsidRPr="00A34A5A">
        <w:rPr>
          <w:i/>
        </w:rPr>
        <w:t xml:space="preserve"> not </w:t>
      </w:r>
      <w:r w:rsidR="00BA4826">
        <w:rPr>
          <w:i/>
        </w:rPr>
        <w:t xml:space="preserve">appear to </w:t>
      </w:r>
      <w:r w:rsidRPr="00A34A5A">
        <w:rPr>
          <w:i/>
        </w:rPr>
        <w:t xml:space="preserve">allow for testing of patients who are diagnosed with a lower stage disease and then progress to stage IV. </w:t>
      </w:r>
      <w:r w:rsidR="00CC7676" w:rsidRPr="00A34A5A">
        <w:rPr>
          <w:i/>
        </w:rPr>
        <w:t>It also seem</w:t>
      </w:r>
      <w:r w:rsidR="00BA4826">
        <w:rPr>
          <w:i/>
        </w:rPr>
        <w:t>ed</w:t>
      </w:r>
      <w:r w:rsidR="00CC7676" w:rsidRPr="00A34A5A">
        <w:rPr>
          <w:i/>
        </w:rPr>
        <w:t xml:space="preserve"> to preclude </w:t>
      </w:r>
      <w:r w:rsidR="001E2739" w:rsidRPr="00A34A5A">
        <w:rPr>
          <w:i/>
        </w:rPr>
        <w:t xml:space="preserve">IHC MMR deficiency </w:t>
      </w:r>
      <w:r w:rsidR="00CC7676" w:rsidRPr="00A34A5A">
        <w:rPr>
          <w:i/>
        </w:rPr>
        <w:t>testing for diagnostic and/or prognostic/predictive purposes</w:t>
      </w:r>
      <w:r w:rsidR="00BA4826">
        <w:rPr>
          <w:i/>
        </w:rPr>
        <w:t xml:space="preserve"> although that was not likely their intention</w:t>
      </w:r>
      <w:r w:rsidR="00CC7676" w:rsidRPr="00A34A5A">
        <w:rPr>
          <w:i/>
        </w:rPr>
        <w:t>.</w:t>
      </w:r>
      <w:r w:rsidR="009C1166">
        <w:rPr>
          <w:i/>
        </w:rPr>
        <w:t xml:space="preserve"> </w:t>
      </w:r>
    </w:p>
    <w:p w14:paraId="0E8FE2C1" w14:textId="77777777" w:rsidR="00BA4826" w:rsidRDefault="00B0636F" w:rsidP="00AA784E">
      <w:pPr>
        <w:jc w:val="both"/>
        <w:rPr>
          <w:i/>
        </w:rPr>
      </w:pPr>
      <w:r w:rsidRPr="00305794">
        <w:rPr>
          <w:i/>
        </w:rPr>
        <w:t>After clarification during the teleconference</w:t>
      </w:r>
      <w:r w:rsidRPr="00305794">
        <w:t xml:space="preserve"> </w:t>
      </w:r>
      <w:r w:rsidRPr="00305794">
        <w:rPr>
          <w:i/>
        </w:rPr>
        <w:t>between the Department, the applicant and the HTA group on 31 October 2016</w:t>
      </w:r>
      <w:r w:rsidR="00676AF4" w:rsidRPr="00305794">
        <w:rPr>
          <w:i/>
        </w:rPr>
        <w:t>, t</w:t>
      </w:r>
      <w:r w:rsidR="00E40E64" w:rsidRPr="00305794">
        <w:rPr>
          <w:i/>
        </w:rPr>
        <w:t xml:space="preserve">he timing of the IHC MMR deficiency test </w:t>
      </w:r>
      <w:r w:rsidR="00BA4826" w:rsidRPr="00305794">
        <w:rPr>
          <w:i/>
        </w:rPr>
        <w:t>would still occur</w:t>
      </w:r>
      <w:r w:rsidR="00E40E64" w:rsidRPr="00305794">
        <w:rPr>
          <w:i/>
        </w:rPr>
        <w:t xml:space="preserve"> at initial diagnosis of CRC, but </w:t>
      </w:r>
      <w:r w:rsidR="00BA4826" w:rsidRPr="00305794">
        <w:rPr>
          <w:i/>
        </w:rPr>
        <w:t>all patients would be tested</w:t>
      </w:r>
      <w:r w:rsidR="00E40E64" w:rsidRPr="00305794">
        <w:rPr>
          <w:i/>
        </w:rPr>
        <w:t>. This enables clinicians to use this information for diagnostic and/or prognostic/predictive purposes</w:t>
      </w:r>
      <w:r w:rsidR="009C1166" w:rsidRPr="00305794">
        <w:rPr>
          <w:i/>
        </w:rPr>
        <w:t xml:space="preserve"> in early stages of disease</w:t>
      </w:r>
      <w:r w:rsidR="00E40E64" w:rsidRPr="00305794">
        <w:rPr>
          <w:i/>
        </w:rPr>
        <w:t xml:space="preserve">. </w:t>
      </w:r>
      <w:proofErr w:type="gramStart"/>
      <w:r w:rsidR="00E40E64" w:rsidRPr="00305794">
        <w:rPr>
          <w:i/>
        </w:rPr>
        <w:t xml:space="preserve">When, or if, patients are diagnosed with or progress to stage IV CRC, pembrolizumab treatment can commence in those patients who are eligible without </w:t>
      </w:r>
      <w:r w:rsidR="009C1166" w:rsidRPr="00305794">
        <w:rPr>
          <w:i/>
        </w:rPr>
        <w:t xml:space="preserve">requiring </w:t>
      </w:r>
      <w:r w:rsidR="00CC7676" w:rsidRPr="00305794">
        <w:rPr>
          <w:i/>
        </w:rPr>
        <w:t>further testing</w:t>
      </w:r>
      <w:r w:rsidR="00E40E64" w:rsidRPr="00305794">
        <w:rPr>
          <w:i/>
        </w:rPr>
        <w:t>.</w:t>
      </w:r>
      <w:proofErr w:type="gramEnd"/>
      <w:r w:rsidR="00E40E64" w:rsidRPr="00C954BE">
        <w:rPr>
          <w:i/>
        </w:rPr>
        <w:t xml:space="preserve"> </w:t>
      </w:r>
    </w:p>
    <w:p w14:paraId="5A05338E" w14:textId="24FA0784" w:rsidR="00AA784E" w:rsidRDefault="00BA4826" w:rsidP="00AA784E">
      <w:pPr>
        <w:jc w:val="both"/>
        <w:rPr>
          <w:i/>
        </w:rPr>
      </w:pPr>
      <w:r w:rsidRPr="003353F1">
        <w:rPr>
          <w:b/>
          <w:i/>
        </w:rPr>
        <w:t>For PASC consideration:</w:t>
      </w:r>
      <w:r>
        <w:rPr>
          <w:i/>
        </w:rPr>
        <w:t xml:space="preserve"> also discussed at the </w:t>
      </w:r>
      <w:proofErr w:type="spellStart"/>
      <w:r>
        <w:rPr>
          <w:i/>
        </w:rPr>
        <w:t>tele</w:t>
      </w:r>
      <w:proofErr w:type="spellEnd"/>
      <w:r>
        <w:rPr>
          <w:i/>
        </w:rPr>
        <w:t xml:space="preserve"> conference was</w:t>
      </w:r>
      <w:r w:rsidR="00B0636F">
        <w:rPr>
          <w:i/>
        </w:rPr>
        <w:t xml:space="preserve"> the stability of </w:t>
      </w:r>
      <w:r>
        <w:rPr>
          <w:i/>
        </w:rPr>
        <w:t xml:space="preserve">the </w:t>
      </w:r>
      <w:r w:rsidR="00B0636F">
        <w:rPr>
          <w:i/>
        </w:rPr>
        <w:t>MMR biomarker</w:t>
      </w:r>
      <w:r>
        <w:rPr>
          <w:i/>
        </w:rPr>
        <w:t>.</w:t>
      </w:r>
      <w:r w:rsidR="00B0636F">
        <w:rPr>
          <w:i/>
        </w:rPr>
        <w:t xml:space="preserve"> </w:t>
      </w:r>
      <w:r>
        <w:rPr>
          <w:i/>
        </w:rPr>
        <w:t xml:space="preserve">It is unknown how stable MMR deficiency is over time and disease progression in sporadic cases. Thus, </w:t>
      </w:r>
      <w:r w:rsidR="00B0636F">
        <w:rPr>
          <w:i/>
        </w:rPr>
        <w:t xml:space="preserve">it was recommended that </w:t>
      </w:r>
      <w:r w:rsidR="00823AE0">
        <w:rPr>
          <w:i/>
        </w:rPr>
        <w:t xml:space="preserve">PASC consider whether </w:t>
      </w:r>
      <w:r>
        <w:rPr>
          <w:i/>
        </w:rPr>
        <w:t xml:space="preserve">or not </w:t>
      </w:r>
      <w:r w:rsidR="00823AE0">
        <w:rPr>
          <w:i/>
        </w:rPr>
        <w:t>to</w:t>
      </w:r>
      <w:r w:rsidR="00B0636F">
        <w:rPr>
          <w:i/>
        </w:rPr>
        <w:t xml:space="preserve"> allow for repeat testing of patients who were diagnosed with early disease</w:t>
      </w:r>
      <w:r w:rsidR="00823AE0">
        <w:rPr>
          <w:i/>
        </w:rPr>
        <w:t xml:space="preserve"> on progression to stage IV disease</w:t>
      </w:r>
      <w:r w:rsidR="00B0636F">
        <w:rPr>
          <w:i/>
        </w:rPr>
        <w:t>.</w:t>
      </w:r>
    </w:p>
    <w:p w14:paraId="1150FEF6" w14:textId="291021F2" w:rsidR="00823AE0" w:rsidRPr="00BC1724" w:rsidRDefault="00300144" w:rsidP="00954015">
      <w:pPr>
        <w:spacing w:before="240" w:after="120" w:line="240" w:lineRule="auto"/>
        <w:jc w:val="center"/>
      </w:pPr>
      <w:r>
        <w:rPr>
          <w:noProof/>
          <w:lang w:eastAsia="en-AU"/>
        </w:rPr>
        <w:lastRenderedPageBreak/>
        <w:drawing>
          <wp:inline distT="0" distB="0" distL="0" distR="0" wp14:anchorId="60002159" wp14:editId="112EAA08">
            <wp:extent cx="5827809" cy="4690440"/>
            <wp:effectExtent l="0" t="0" r="1905" b="0"/>
            <wp:docPr id="8" name="Picture 8" descr="Proposed clinical management algorithm for stage IV CRC. The proposed clinical management algorithm is similar to the current clinical management algorithm, with the exception that MMR status (proficient or deficient) is used in the decision making process. Those who are resectable or have hepatic metastases only would not be influenced by the introduction of MMR testing and pembrolizumab. Those who are MMR deficient have the same treatment options as the current clinical management algorithm. Those who are MMR deficient would recieve pembrolizumab, and if they require second line treatment, would have the same treatments as those who are MMR profici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t="-156"/>
                    <a:stretch/>
                  </pic:blipFill>
                  <pic:spPr bwMode="auto">
                    <a:xfrm>
                      <a:off x="0" y="0"/>
                      <a:ext cx="5828400" cy="4690916"/>
                    </a:xfrm>
                    <a:prstGeom prst="rect">
                      <a:avLst/>
                    </a:prstGeom>
                    <a:noFill/>
                    <a:ln>
                      <a:noFill/>
                    </a:ln>
                    <a:extLst>
                      <a:ext uri="{53640926-AAD7-44D8-BBD7-CCE9431645EC}">
                        <a14:shadowObscured xmlns:a14="http://schemas.microsoft.com/office/drawing/2010/main"/>
                      </a:ext>
                    </a:extLst>
                  </pic:spPr>
                </pic:pic>
              </a:graphicData>
            </a:graphic>
          </wp:inline>
        </w:drawing>
      </w:r>
    </w:p>
    <w:p w14:paraId="1ABA7D0A" w14:textId="75E0430A" w:rsidR="00C660BB" w:rsidRPr="00954015" w:rsidRDefault="00C660BB" w:rsidP="005C5B8D">
      <w:pPr>
        <w:tabs>
          <w:tab w:val="left" w:pos="1134"/>
        </w:tabs>
        <w:spacing w:before="40" w:after="40" w:line="240" w:lineRule="auto"/>
        <w:jc w:val="both"/>
        <w:rPr>
          <w:rFonts w:ascii="Arial Narrow" w:hAnsi="Arial Narrow"/>
          <w:b/>
          <w:sz w:val="20"/>
        </w:rPr>
      </w:pPr>
      <w:r w:rsidRPr="00305794">
        <w:rPr>
          <w:rFonts w:ascii="Arial Narrow" w:hAnsi="Arial Narrow"/>
          <w:b/>
          <w:sz w:val="20"/>
        </w:rPr>
        <w:t xml:space="preserve">Figure </w:t>
      </w:r>
      <w:r w:rsidR="00954015" w:rsidRPr="00305794">
        <w:rPr>
          <w:rFonts w:ascii="Arial Narrow" w:hAnsi="Arial Narrow"/>
          <w:b/>
          <w:sz w:val="20"/>
        </w:rPr>
        <w:t>2</w:t>
      </w:r>
      <w:r w:rsidRPr="00305794">
        <w:rPr>
          <w:rFonts w:ascii="Arial Narrow" w:hAnsi="Arial Narrow"/>
          <w:b/>
          <w:sz w:val="20"/>
        </w:rPr>
        <w:tab/>
      </w:r>
      <w:r w:rsidR="00BC000C" w:rsidRPr="00305794">
        <w:rPr>
          <w:rFonts w:ascii="Arial Narrow" w:hAnsi="Arial Narrow"/>
          <w:b/>
          <w:sz w:val="20"/>
        </w:rPr>
        <w:t xml:space="preserve">Proposed </w:t>
      </w:r>
      <w:r w:rsidRPr="00305794">
        <w:rPr>
          <w:rFonts w:ascii="Arial Narrow" w:hAnsi="Arial Narrow"/>
          <w:b/>
          <w:sz w:val="20"/>
        </w:rPr>
        <w:t>clinical management algorithm for stage IV CRC</w:t>
      </w:r>
    </w:p>
    <w:p w14:paraId="7F5B9609" w14:textId="3D46B77D" w:rsidR="00C660BB" w:rsidRPr="00954015" w:rsidRDefault="00C660BB" w:rsidP="00954015">
      <w:pPr>
        <w:spacing w:line="240" w:lineRule="auto"/>
        <w:jc w:val="both"/>
        <w:rPr>
          <w:rFonts w:ascii="Arial Narrow" w:hAnsi="Arial Narrow"/>
          <w:sz w:val="20"/>
        </w:rPr>
      </w:pPr>
      <w:r w:rsidRPr="00954015">
        <w:rPr>
          <w:rFonts w:ascii="Arial Narrow" w:hAnsi="Arial Narrow"/>
          <w:sz w:val="20"/>
        </w:rPr>
        <w:t>IHC = immunohistochemistry; MMR = mismatch repair</w:t>
      </w:r>
      <w:r w:rsidR="00BC000C" w:rsidRPr="00954015">
        <w:rPr>
          <w:rFonts w:ascii="Arial Narrow" w:hAnsi="Arial Narrow"/>
          <w:sz w:val="20"/>
        </w:rPr>
        <w:t>; RAS = rat sarcoma</w:t>
      </w:r>
      <w:r w:rsidR="00F63CCE" w:rsidRPr="00954015">
        <w:rPr>
          <w:rFonts w:ascii="Arial Narrow" w:hAnsi="Arial Narrow"/>
          <w:sz w:val="20"/>
        </w:rPr>
        <w:t xml:space="preserve">; FOLFOX = combination </w:t>
      </w:r>
      <w:proofErr w:type="spellStart"/>
      <w:r w:rsidR="00F63CCE" w:rsidRPr="00954015">
        <w:rPr>
          <w:rFonts w:ascii="Arial Narrow" w:hAnsi="Arial Narrow"/>
          <w:sz w:val="20"/>
        </w:rPr>
        <w:t>folinic</w:t>
      </w:r>
      <w:proofErr w:type="spellEnd"/>
      <w:r w:rsidR="00F63CCE" w:rsidRPr="00954015">
        <w:rPr>
          <w:rFonts w:ascii="Arial Narrow" w:hAnsi="Arial Narrow"/>
          <w:sz w:val="20"/>
        </w:rPr>
        <w:t xml:space="preserve"> acid, fluorouracil and </w:t>
      </w:r>
      <w:proofErr w:type="spellStart"/>
      <w:r w:rsidR="00F63CCE" w:rsidRPr="00954015">
        <w:rPr>
          <w:rFonts w:ascii="Arial Narrow" w:hAnsi="Arial Narrow"/>
          <w:sz w:val="20"/>
        </w:rPr>
        <w:t>oxaliplatin</w:t>
      </w:r>
      <w:proofErr w:type="spellEnd"/>
      <w:r w:rsidR="00F63CCE" w:rsidRPr="00954015">
        <w:rPr>
          <w:rFonts w:ascii="Arial Narrow" w:hAnsi="Arial Narrow"/>
          <w:sz w:val="20"/>
        </w:rPr>
        <w:t xml:space="preserve">; FOLFIRI = combination of </w:t>
      </w:r>
      <w:proofErr w:type="spellStart"/>
      <w:r w:rsidR="00F63CCE" w:rsidRPr="00954015">
        <w:rPr>
          <w:rFonts w:ascii="Arial Narrow" w:hAnsi="Arial Narrow"/>
          <w:sz w:val="20"/>
        </w:rPr>
        <w:t>folinic</w:t>
      </w:r>
      <w:proofErr w:type="spellEnd"/>
      <w:r w:rsidR="00F63CCE" w:rsidRPr="00954015">
        <w:rPr>
          <w:rFonts w:ascii="Arial Narrow" w:hAnsi="Arial Narrow"/>
          <w:sz w:val="20"/>
        </w:rPr>
        <w:t xml:space="preserve"> acid, fluorouracil and </w:t>
      </w:r>
      <w:proofErr w:type="spellStart"/>
      <w:r w:rsidR="00F63CCE" w:rsidRPr="00954015">
        <w:rPr>
          <w:rFonts w:ascii="Arial Narrow" w:hAnsi="Arial Narrow"/>
          <w:sz w:val="20"/>
        </w:rPr>
        <w:t>irinotecan</w:t>
      </w:r>
      <w:proofErr w:type="spellEnd"/>
      <w:r w:rsidR="005C5B8D" w:rsidRPr="00954015">
        <w:rPr>
          <w:rFonts w:ascii="Arial Narrow" w:hAnsi="Arial Narrow"/>
          <w:sz w:val="20"/>
        </w:rPr>
        <w:t>.</w:t>
      </w:r>
    </w:p>
    <w:p w14:paraId="6834FEFE" w14:textId="779E6A72" w:rsidR="00B64181" w:rsidRDefault="00B64181" w:rsidP="00B64181">
      <w:pPr>
        <w:jc w:val="both"/>
        <w:rPr>
          <w:i/>
        </w:rPr>
      </w:pPr>
      <w:r>
        <w:rPr>
          <w:i/>
        </w:rPr>
        <w:t>It is estimated that there will be</w:t>
      </w:r>
      <w:r w:rsidRPr="00155937">
        <w:rPr>
          <w:i/>
        </w:rPr>
        <w:t xml:space="preserve"> 17,520 </w:t>
      </w:r>
      <w:r>
        <w:rPr>
          <w:i/>
        </w:rPr>
        <w:t xml:space="preserve">Australian </w:t>
      </w:r>
      <w:r w:rsidRPr="00155937">
        <w:rPr>
          <w:i/>
        </w:rPr>
        <w:t>cases of CRC in 2016</w:t>
      </w:r>
      <w:r>
        <w:rPr>
          <w:rStyle w:val="FootnoteReference"/>
          <w:i/>
        </w:rPr>
        <w:footnoteReference w:id="6"/>
      </w:r>
      <w:r w:rsidRPr="00155937">
        <w:rPr>
          <w:i/>
        </w:rPr>
        <w:t xml:space="preserve">, </w:t>
      </w:r>
      <w:r>
        <w:rPr>
          <w:i/>
        </w:rPr>
        <w:t xml:space="preserve">and 10% of these cases will be diagnosed with stage IV disease. According to the current clinical management algorithm, most of these 17,520 patients will have an IHC MMR deficiency test, </w:t>
      </w:r>
      <w:r w:rsidR="00303F73">
        <w:rPr>
          <w:i/>
        </w:rPr>
        <w:t>including all patients with stage IV disease</w:t>
      </w:r>
      <w:r w:rsidRPr="00C954BE">
        <w:rPr>
          <w:i/>
        </w:rPr>
        <w:t>.</w:t>
      </w:r>
    </w:p>
    <w:p w14:paraId="0D84621E" w14:textId="6E1F415D" w:rsidR="00E968F6" w:rsidRDefault="003E0382" w:rsidP="00EF09A5">
      <w:pPr>
        <w:pStyle w:val="Heading2"/>
        <w:numPr>
          <w:ilvl w:val="0"/>
          <w:numId w:val="14"/>
        </w:numPr>
        <w:ind w:left="426" w:hanging="426"/>
      </w:pPr>
      <w:r>
        <w:t xml:space="preserve">Proposed </w:t>
      </w:r>
      <w:r w:rsidR="002B226C">
        <w:t xml:space="preserve">economic </w:t>
      </w:r>
      <w:r w:rsidR="009E5295">
        <w:t>evaluation</w:t>
      </w:r>
    </w:p>
    <w:p w14:paraId="2AB4E314" w14:textId="040D4FA2" w:rsidR="007A3799" w:rsidRPr="00521C35" w:rsidRDefault="001168B5" w:rsidP="002A679F">
      <w:pPr>
        <w:jc w:val="both"/>
      </w:pPr>
      <w:r>
        <w:t>The applicant predicts a</w:t>
      </w:r>
      <w:r w:rsidR="007A3799">
        <w:t xml:space="preserve"> claim of superiority</w:t>
      </w:r>
      <w:r w:rsidR="002A679F">
        <w:t xml:space="preserve"> </w:t>
      </w:r>
      <w:r>
        <w:t xml:space="preserve">in </w:t>
      </w:r>
      <w:r w:rsidRPr="001168B5">
        <w:t xml:space="preserve">patients who </w:t>
      </w:r>
      <w:r>
        <w:t>are MMR deficient</w:t>
      </w:r>
      <w:r w:rsidRPr="001168B5">
        <w:t xml:space="preserve"> with pembrolizumab relative to standard of care</w:t>
      </w:r>
      <w:r w:rsidR="007A3799">
        <w:t xml:space="preserve">, </w:t>
      </w:r>
      <w:r w:rsidR="002A679F">
        <w:t xml:space="preserve">but the final clinical claims will be related to the </w:t>
      </w:r>
      <w:r w:rsidR="002A679F" w:rsidRPr="007A3799">
        <w:t xml:space="preserve">hypotheses of the </w:t>
      </w:r>
      <w:r w:rsidR="002A679F">
        <w:t xml:space="preserve">phase III KEYNOTE 177 </w:t>
      </w:r>
      <w:r w:rsidR="002A679F" w:rsidRPr="007A3799">
        <w:t xml:space="preserve">trial </w:t>
      </w:r>
      <w:r>
        <w:t xml:space="preserve">(enrolling only MMR deficient CRC patients) </w:t>
      </w:r>
      <w:r w:rsidR="002A679F" w:rsidRPr="007A3799">
        <w:t xml:space="preserve">and are dependent upon the results of the interim/final </w:t>
      </w:r>
      <w:r w:rsidR="002A679F">
        <w:t>analyses</w:t>
      </w:r>
      <w:r w:rsidR="00C954BE" w:rsidRPr="00521C35">
        <w:t>, which will be available at the end of 2018</w:t>
      </w:r>
      <w:r w:rsidR="002A679F" w:rsidRPr="00521C35">
        <w:t>.</w:t>
      </w:r>
    </w:p>
    <w:p w14:paraId="7878495C" w14:textId="77777777" w:rsidR="002A679F" w:rsidRDefault="002A679F" w:rsidP="00521C35">
      <w:pPr>
        <w:keepNext/>
        <w:contextualSpacing/>
        <w:jc w:val="both"/>
      </w:pPr>
      <w:r>
        <w:t>The four hypotheses of the KEYNOTE 177 trial are:</w:t>
      </w:r>
    </w:p>
    <w:p w14:paraId="39A3391F" w14:textId="77777777" w:rsidR="002A679F" w:rsidRDefault="002A679F" w:rsidP="00C954BE">
      <w:pPr>
        <w:ind w:left="426" w:hanging="284"/>
        <w:contextualSpacing/>
        <w:jc w:val="both"/>
      </w:pPr>
      <w:r>
        <w:t>1:</w:t>
      </w:r>
      <w:r>
        <w:tab/>
        <w:t>Pembrolizumab prolongs progression-free survival per RECIST 1.1 by central imaging vendor compared with standard of care</w:t>
      </w:r>
      <w:r w:rsidR="00C954BE">
        <w:t xml:space="preserve"> chemotherapies;</w:t>
      </w:r>
    </w:p>
    <w:p w14:paraId="45D326EA" w14:textId="77777777" w:rsidR="002A679F" w:rsidRDefault="002A679F" w:rsidP="00C954BE">
      <w:pPr>
        <w:ind w:left="426" w:hanging="284"/>
        <w:contextualSpacing/>
        <w:jc w:val="both"/>
      </w:pPr>
      <w:r>
        <w:t>2:</w:t>
      </w:r>
      <w:r>
        <w:tab/>
        <w:t xml:space="preserve">Pembrolizumab improves overall response rate compared with </w:t>
      </w:r>
      <w:r w:rsidRPr="002A679F">
        <w:t xml:space="preserve">standard </w:t>
      </w:r>
      <w:r>
        <w:t xml:space="preserve">of </w:t>
      </w:r>
      <w:r w:rsidRPr="002A679F">
        <w:t xml:space="preserve">care </w:t>
      </w:r>
      <w:r>
        <w:t>chemotherapies</w:t>
      </w:r>
      <w:r w:rsidR="00C954BE">
        <w:t>;</w:t>
      </w:r>
    </w:p>
    <w:p w14:paraId="5088B1E1" w14:textId="77777777" w:rsidR="002A679F" w:rsidRDefault="002A679F" w:rsidP="00C954BE">
      <w:pPr>
        <w:ind w:left="426" w:hanging="284"/>
        <w:contextualSpacing/>
        <w:jc w:val="both"/>
      </w:pPr>
      <w:r>
        <w:lastRenderedPageBreak/>
        <w:t>3:</w:t>
      </w:r>
      <w:r>
        <w:tab/>
        <w:t xml:space="preserve">Pembrolizumab prolongs overall survival compared with standard of care </w:t>
      </w:r>
      <w:r w:rsidR="00C954BE">
        <w:t>chemotherapies;</w:t>
      </w:r>
    </w:p>
    <w:p w14:paraId="271CDA88" w14:textId="77777777" w:rsidR="002A679F" w:rsidRDefault="002A679F" w:rsidP="00C954BE">
      <w:pPr>
        <w:ind w:left="426" w:hanging="284"/>
        <w:jc w:val="both"/>
      </w:pPr>
      <w:r>
        <w:t>4:</w:t>
      </w:r>
      <w:r>
        <w:tab/>
        <w:t>Pembrolizumab has a non-inferior safety and tolerability profile compared with standard of care chemotherapies.</w:t>
      </w:r>
    </w:p>
    <w:p w14:paraId="4F76F36C" w14:textId="16812226" w:rsidR="001168B5" w:rsidRDefault="001168B5" w:rsidP="007A3799">
      <w:pPr>
        <w:jc w:val="both"/>
        <w:rPr>
          <w:i/>
        </w:rPr>
      </w:pPr>
      <w:r>
        <w:rPr>
          <w:i/>
        </w:rPr>
        <w:t>On the basis of the</w:t>
      </w:r>
      <w:r w:rsidR="007A3799" w:rsidRPr="00C954BE">
        <w:rPr>
          <w:i/>
        </w:rPr>
        <w:t>s</w:t>
      </w:r>
      <w:r>
        <w:rPr>
          <w:i/>
        </w:rPr>
        <w:t>e</w:t>
      </w:r>
      <w:r w:rsidR="007A3799" w:rsidRPr="00C954BE">
        <w:rPr>
          <w:i/>
        </w:rPr>
        <w:t xml:space="preserve"> claim</w:t>
      </w:r>
      <w:r>
        <w:rPr>
          <w:i/>
        </w:rPr>
        <w:t>s</w:t>
      </w:r>
      <w:r w:rsidR="007A3799" w:rsidRPr="00C954BE">
        <w:rPr>
          <w:i/>
        </w:rPr>
        <w:t xml:space="preserve">, the appropriate type of economic evaluation would be a cost-utility analysis. </w:t>
      </w:r>
      <w:r w:rsidRPr="001168B5">
        <w:rPr>
          <w:i/>
        </w:rPr>
        <w:t xml:space="preserve">However, comparative evidence of IHC MMR deficiency testing or pembrolizumab treatment </w:t>
      </w:r>
      <w:r w:rsidR="00F56E14">
        <w:rPr>
          <w:i/>
        </w:rPr>
        <w:t xml:space="preserve">in both MMR deficient and proficient populations </w:t>
      </w:r>
      <w:r w:rsidRPr="001168B5">
        <w:rPr>
          <w:i/>
        </w:rPr>
        <w:t>is not included in the preliminary supporting evidence identified in Part 4 of the Application Form. Additional evidence will need to be presented in order to substantiate these claims.</w:t>
      </w:r>
    </w:p>
    <w:p w14:paraId="4306239A" w14:textId="0428E569" w:rsidR="00752491" w:rsidRDefault="00752491" w:rsidP="00EF09A5">
      <w:pPr>
        <w:pStyle w:val="Heading2"/>
        <w:numPr>
          <w:ilvl w:val="0"/>
          <w:numId w:val="14"/>
        </w:numPr>
        <w:ind w:left="426" w:hanging="426"/>
      </w:pPr>
      <w:r>
        <w:t>Proposed item descriptor</w:t>
      </w:r>
    </w:p>
    <w:p w14:paraId="58147A34" w14:textId="2D5DF066" w:rsidR="00E904CF" w:rsidRPr="00E904CF" w:rsidRDefault="00CE6012" w:rsidP="00E904CF">
      <w:pPr>
        <w:jc w:val="both"/>
      </w:pPr>
      <w:r w:rsidRPr="00CE6012">
        <w:t xml:space="preserve">The </w:t>
      </w:r>
      <w:r w:rsidR="004D5A82" w:rsidRPr="00CE6012">
        <w:t>IHC</w:t>
      </w:r>
      <w:r w:rsidR="004D5A82">
        <w:t xml:space="preserve"> </w:t>
      </w:r>
      <w:r w:rsidRPr="00CE6012">
        <w:t xml:space="preserve">MMR </w:t>
      </w:r>
      <w:r w:rsidR="004D5A82">
        <w:t xml:space="preserve">deficiency </w:t>
      </w:r>
      <w:r>
        <w:t>test</w:t>
      </w:r>
      <w:r w:rsidRPr="00CE6012">
        <w:t xml:space="preserve"> is currently billed to MBS item 72847 </w:t>
      </w:r>
      <w:r w:rsidR="004D5A82">
        <w:t>(</w:t>
      </w:r>
      <w:r w:rsidRPr="00CE6012">
        <w:t>IHC with 4-6 antibodies</w:t>
      </w:r>
      <w:r w:rsidR="004D5A82">
        <w:t>;</w:t>
      </w:r>
      <w:r w:rsidR="00EB2B37">
        <w:t xml:space="preserve"> Table 1</w:t>
      </w:r>
      <w:r w:rsidRPr="00CE6012">
        <w:t>)</w:t>
      </w:r>
      <w:r w:rsidR="00EB2B37">
        <w:t>.</w:t>
      </w:r>
      <w:r w:rsidRPr="00CE6012">
        <w:t xml:space="preserve"> </w:t>
      </w:r>
      <w:r w:rsidR="00E904CF">
        <w:t>This item number is</w:t>
      </w:r>
      <w:r w:rsidR="00E904CF" w:rsidRPr="00E904CF">
        <w:t xml:space="preserve"> generic </w:t>
      </w:r>
      <w:r w:rsidR="00E904CF">
        <w:t>and</w:t>
      </w:r>
      <w:r w:rsidR="00E904CF" w:rsidRPr="00E904CF">
        <w:t xml:space="preserve"> is used for testing other biomarkers using other antibodies in a variety of diseases. In fact, in the last financial year (July 2015 to June 2016) 54,968 tests were billed to this item number whereas there were only approximately 17,000 new cases of CRC during this time. </w:t>
      </w:r>
    </w:p>
    <w:p w14:paraId="5D909712" w14:textId="621836A4" w:rsidR="00CE6012" w:rsidRDefault="00E904CF" w:rsidP="00EB2B37">
      <w:pPr>
        <w:jc w:val="both"/>
      </w:pPr>
      <w:r>
        <w:t>MBS</w:t>
      </w:r>
      <w:r w:rsidR="004D5A82">
        <w:t xml:space="preserve"> item number </w:t>
      </w:r>
      <w:r>
        <w:t xml:space="preserve">72847 </w:t>
      </w:r>
      <w:r w:rsidR="004D5A82">
        <w:t xml:space="preserve">currently enables IHC MMR </w:t>
      </w:r>
      <w:r w:rsidR="004D5A82" w:rsidRPr="005B75CF">
        <w:t xml:space="preserve">deficiency </w:t>
      </w:r>
      <w:r w:rsidR="004D5A82">
        <w:t xml:space="preserve">testing of any </w:t>
      </w:r>
      <w:r w:rsidR="001E2739">
        <w:t xml:space="preserve">CRC </w:t>
      </w:r>
      <w:r w:rsidR="004D5A82">
        <w:t>patient</w:t>
      </w:r>
      <w:r w:rsidR="001E2739">
        <w:t>,</w:t>
      </w:r>
      <w:r w:rsidR="004D5A82">
        <w:t xml:space="preserve"> </w:t>
      </w:r>
      <w:r w:rsidR="00A847B7">
        <w:t>and</w:t>
      </w:r>
      <w:r w:rsidR="00D140E2">
        <w:t xml:space="preserve"> </w:t>
      </w:r>
      <w:r w:rsidR="00A847B7">
        <w:t>m</w:t>
      </w:r>
      <w:r w:rsidR="00D140E2">
        <w:t>ost patients are already being tested</w:t>
      </w:r>
      <w:r w:rsidR="00A34A5A">
        <w:t>,</w:t>
      </w:r>
      <w:r w:rsidR="00D140E2">
        <w:t xml:space="preserve"> </w:t>
      </w:r>
      <w:r w:rsidR="001E2739" w:rsidRPr="00A34A5A">
        <w:rPr>
          <w:i/>
        </w:rPr>
        <w:t>primarily for diagnosis of Lynch syndrome and/or for prognostic/predictive purposes</w:t>
      </w:r>
      <w:r w:rsidR="00D140E2">
        <w:t>.</w:t>
      </w:r>
      <w:r w:rsidR="009E73AB">
        <w:t xml:space="preserve"> The applicant is seeking an amendment to the existing MBS item</w:t>
      </w:r>
      <w:r w:rsidR="00BC000C">
        <w:t xml:space="preserve"> to augment IHC MMR deficiency testing for access to pembrolizumab</w:t>
      </w:r>
      <w:r w:rsidR="009E73AB">
        <w:t>.</w:t>
      </w:r>
      <w:r w:rsidR="00CF4F01">
        <w:t xml:space="preserve"> </w:t>
      </w:r>
    </w:p>
    <w:p w14:paraId="0F007C5C" w14:textId="6365C017" w:rsidR="00BC000C" w:rsidRPr="00CE6012" w:rsidRDefault="008D191C" w:rsidP="00EB2B37">
      <w:pPr>
        <w:jc w:val="both"/>
      </w:pPr>
      <w:r>
        <w:t>The applicant expects that p</w:t>
      </w:r>
      <w:r w:rsidR="00BC000C" w:rsidRPr="00BC000C">
        <w:t>atients would require only 1 test throughout the course of their disease and the Medicare fee for MBS item 72847 of $89.40 is not expected to change.</w:t>
      </w:r>
      <w:r>
        <w:t xml:space="preserve"> </w:t>
      </w:r>
      <w:r w:rsidRPr="008D191C">
        <w:rPr>
          <w:i/>
        </w:rPr>
        <w:t xml:space="preserve">However, </w:t>
      </w:r>
      <w:r>
        <w:rPr>
          <w:i/>
        </w:rPr>
        <w:t xml:space="preserve">the Department has </w:t>
      </w:r>
      <w:r w:rsidRPr="008D191C">
        <w:rPr>
          <w:i/>
        </w:rPr>
        <w:t>asked PASC to consider whether retesting of new biopsy specimens should be allowed on progression to stage IV disease.</w:t>
      </w:r>
    </w:p>
    <w:p w14:paraId="20AFA1B3" w14:textId="434AD374" w:rsidR="009F530B" w:rsidRDefault="00CF4F01" w:rsidP="00EB2B37">
      <w:pPr>
        <w:jc w:val="both"/>
        <w:rPr>
          <w:i/>
        </w:rPr>
      </w:pPr>
      <w:r>
        <w:rPr>
          <w:i/>
        </w:rPr>
        <w:t>If the current MBS item descriptor was amended, the</w:t>
      </w:r>
      <w:r w:rsidR="00EB2B37" w:rsidRPr="00A34A5A">
        <w:rPr>
          <w:i/>
        </w:rPr>
        <w:t xml:space="preserve"> proposed </w:t>
      </w:r>
      <w:r w:rsidR="009E73AB" w:rsidRPr="00A34A5A">
        <w:rPr>
          <w:i/>
        </w:rPr>
        <w:t xml:space="preserve">changes </w:t>
      </w:r>
      <w:r w:rsidR="00EB2B37" w:rsidRPr="00A34A5A">
        <w:rPr>
          <w:i/>
        </w:rPr>
        <w:t xml:space="preserve">(Table 2) </w:t>
      </w:r>
      <w:r w:rsidR="004D5A82" w:rsidRPr="00A34A5A">
        <w:rPr>
          <w:i/>
        </w:rPr>
        <w:t>would</w:t>
      </w:r>
      <w:r w:rsidR="00EB2B37" w:rsidRPr="00A34A5A">
        <w:rPr>
          <w:i/>
        </w:rPr>
        <w:t xml:space="preserve"> </w:t>
      </w:r>
      <w:r w:rsidR="004D5A82" w:rsidRPr="00A34A5A">
        <w:rPr>
          <w:i/>
        </w:rPr>
        <w:t>restrict</w:t>
      </w:r>
      <w:r w:rsidR="00EB2B37" w:rsidRPr="00A34A5A">
        <w:rPr>
          <w:i/>
        </w:rPr>
        <w:t xml:space="preserve"> IHC MMR deficiency testing </w:t>
      </w:r>
      <w:r w:rsidR="004D5A82" w:rsidRPr="00A34A5A">
        <w:rPr>
          <w:i/>
        </w:rPr>
        <w:t>to determining eligibility for</w:t>
      </w:r>
      <w:r w:rsidR="00EB2B37" w:rsidRPr="00A34A5A">
        <w:rPr>
          <w:i/>
        </w:rPr>
        <w:t xml:space="preserve"> </w:t>
      </w:r>
      <w:r w:rsidR="004D5A82" w:rsidRPr="00A34A5A">
        <w:rPr>
          <w:i/>
        </w:rPr>
        <w:t>access to</w:t>
      </w:r>
      <w:r w:rsidR="00EB2B37" w:rsidRPr="00A34A5A">
        <w:rPr>
          <w:i/>
        </w:rPr>
        <w:t xml:space="preserve"> pembrolizumab</w:t>
      </w:r>
      <w:r w:rsidR="004D5A82" w:rsidRPr="00A34A5A">
        <w:rPr>
          <w:i/>
        </w:rPr>
        <w:t xml:space="preserve">, </w:t>
      </w:r>
      <w:r>
        <w:rPr>
          <w:i/>
        </w:rPr>
        <w:t xml:space="preserve">excluding the current usage </w:t>
      </w:r>
      <w:r w:rsidRPr="00A34A5A">
        <w:rPr>
          <w:i/>
        </w:rPr>
        <w:t>for diagnostic and/or for prognostic/predictive purposes</w:t>
      </w:r>
      <w:r>
        <w:rPr>
          <w:i/>
        </w:rPr>
        <w:t xml:space="preserve">. </w:t>
      </w:r>
      <w:r w:rsidR="005B2C5B" w:rsidRPr="00A34A5A">
        <w:rPr>
          <w:i/>
        </w:rPr>
        <w:t xml:space="preserve">The loss of reimbursement for use of the IHC MMR test for diagnostic purposes would have repercussions for family members of patients with Lynch syndrome who remain undiagnosed. At risk family members may be unaware of their increased susceptibility to developing </w:t>
      </w:r>
      <w:r w:rsidR="008D191C">
        <w:rPr>
          <w:i/>
        </w:rPr>
        <w:t>cancer</w:t>
      </w:r>
      <w:r w:rsidR="005B2C5B" w:rsidRPr="00A34A5A">
        <w:rPr>
          <w:i/>
        </w:rPr>
        <w:t xml:space="preserve"> and may not undergo early </w:t>
      </w:r>
      <w:r w:rsidR="001E2739" w:rsidRPr="00A34A5A">
        <w:rPr>
          <w:i/>
        </w:rPr>
        <w:t xml:space="preserve">and/or regular </w:t>
      </w:r>
      <w:r w:rsidR="005B2C5B" w:rsidRPr="00A34A5A">
        <w:rPr>
          <w:i/>
        </w:rPr>
        <w:t xml:space="preserve">screening to detect early signs of </w:t>
      </w:r>
      <w:r w:rsidR="005B2C5B" w:rsidRPr="006E7D7C">
        <w:rPr>
          <w:i/>
        </w:rPr>
        <w:t xml:space="preserve">disease. </w:t>
      </w:r>
      <w:r w:rsidR="006E7D7C" w:rsidRPr="006E7D7C">
        <w:rPr>
          <w:i/>
        </w:rPr>
        <w:t xml:space="preserve">The proposed changes would </w:t>
      </w:r>
      <w:r w:rsidR="006E7D7C">
        <w:rPr>
          <w:i/>
        </w:rPr>
        <w:t xml:space="preserve">also </w:t>
      </w:r>
      <w:r w:rsidR="006E7D7C" w:rsidRPr="006E7D7C">
        <w:rPr>
          <w:i/>
        </w:rPr>
        <w:t xml:space="preserve">preclude reimbursement for other tests conducted under this item number. </w:t>
      </w:r>
      <w:r w:rsidR="00D140E2" w:rsidRPr="006E7D7C">
        <w:rPr>
          <w:i/>
        </w:rPr>
        <w:t>Thus</w:t>
      </w:r>
      <w:r w:rsidR="00D140E2" w:rsidRPr="00A34A5A">
        <w:rPr>
          <w:i/>
        </w:rPr>
        <w:t>, the</w:t>
      </w:r>
      <w:r w:rsidR="004D5A82" w:rsidRPr="00A34A5A">
        <w:rPr>
          <w:i/>
        </w:rPr>
        <w:t xml:space="preserve"> </w:t>
      </w:r>
      <w:r w:rsidR="00D140E2" w:rsidRPr="00A34A5A">
        <w:rPr>
          <w:i/>
        </w:rPr>
        <w:t>proposed</w:t>
      </w:r>
      <w:r w:rsidR="004D5A82" w:rsidRPr="00A34A5A">
        <w:rPr>
          <w:i/>
        </w:rPr>
        <w:t xml:space="preserve"> item number</w:t>
      </w:r>
      <w:r w:rsidR="00D140E2" w:rsidRPr="00A34A5A">
        <w:rPr>
          <w:i/>
        </w:rPr>
        <w:t>, as currently worded,</w:t>
      </w:r>
      <w:r w:rsidR="00EB2B37" w:rsidRPr="00A34A5A">
        <w:rPr>
          <w:i/>
        </w:rPr>
        <w:t xml:space="preserve"> cannot directly replace the existing item number</w:t>
      </w:r>
      <w:r w:rsidR="006F4093" w:rsidRPr="00A34A5A">
        <w:rPr>
          <w:i/>
        </w:rPr>
        <w:t xml:space="preserve"> if current usage is deemed appropriate</w:t>
      </w:r>
      <w:r w:rsidR="005B2C5B" w:rsidRPr="00A34A5A">
        <w:rPr>
          <w:i/>
        </w:rPr>
        <w:t xml:space="preserve"> by PASC</w:t>
      </w:r>
      <w:r w:rsidR="00EB2B37" w:rsidRPr="00A34A5A">
        <w:rPr>
          <w:i/>
        </w:rPr>
        <w:t xml:space="preserve">. </w:t>
      </w:r>
      <w:r>
        <w:rPr>
          <w:i/>
        </w:rPr>
        <w:t xml:space="preserve">It is suggested that the current item descriptor </w:t>
      </w:r>
      <w:r w:rsidR="008D191C">
        <w:rPr>
          <w:i/>
        </w:rPr>
        <w:t xml:space="preserve">would be sufficient for </w:t>
      </w:r>
      <w:r w:rsidR="00721FBB">
        <w:rPr>
          <w:i/>
        </w:rPr>
        <w:t>the purposes of IHC MMR testing</w:t>
      </w:r>
      <w:r w:rsidR="008D191C">
        <w:rPr>
          <w:i/>
        </w:rPr>
        <w:t xml:space="preserve"> </w:t>
      </w:r>
      <w:r w:rsidR="00721FBB">
        <w:rPr>
          <w:i/>
        </w:rPr>
        <w:t xml:space="preserve">proposed in this </w:t>
      </w:r>
      <w:r w:rsidR="008D191C">
        <w:rPr>
          <w:i/>
        </w:rPr>
        <w:t xml:space="preserve">application and </w:t>
      </w:r>
      <w:r w:rsidR="00721FBB">
        <w:rPr>
          <w:i/>
        </w:rPr>
        <w:t xml:space="preserve">should </w:t>
      </w:r>
      <w:r>
        <w:rPr>
          <w:i/>
        </w:rPr>
        <w:t>remain the same</w:t>
      </w:r>
      <w:r w:rsidR="00721FBB">
        <w:rPr>
          <w:i/>
        </w:rPr>
        <w:t>.</w:t>
      </w:r>
      <w:r>
        <w:rPr>
          <w:i/>
        </w:rPr>
        <w:t xml:space="preserve"> </w:t>
      </w:r>
      <w:r w:rsidR="00721FBB">
        <w:rPr>
          <w:i/>
        </w:rPr>
        <w:t xml:space="preserve">If PASC disagrees, </w:t>
      </w:r>
      <w:r>
        <w:rPr>
          <w:i/>
        </w:rPr>
        <w:t xml:space="preserve">an additional item number </w:t>
      </w:r>
      <w:r w:rsidR="00721FBB">
        <w:rPr>
          <w:i/>
        </w:rPr>
        <w:t xml:space="preserve">should </w:t>
      </w:r>
      <w:r>
        <w:rPr>
          <w:i/>
        </w:rPr>
        <w:t>be added</w:t>
      </w:r>
      <w:r w:rsidR="008D191C">
        <w:rPr>
          <w:i/>
        </w:rPr>
        <w:t xml:space="preserve"> as shown in Table 2</w:t>
      </w:r>
      <w:r>
        <w:rPr>
          <w:i/>
        </w:rPr>
        <w:t xml:space="preserve">. </w:t>
      </w:r>
    </w:p>
    <w:p w14:paraId="289EE2D5" w14:textId="77777777" w:rsidR="009F530B" w:rsidRDefault="009F530B">
      <w:pPr>
        <w:rPr>
          <w:i/>
        </w:rPr>
      </w:pPr>
      <w:r>
        <w:rPr>
          <w:i/>
        </w:rPr>
        <w:br w:type="page"/>
      </w:r>
    </w:p>
    <w:p w14:paraId="4E5DC145" w14:textId="77777777" w:rsidR="00CE6012" w:rsidRPr="008D191C" w:rsidRDefault="00EB2B37" w:rsidP="00BC000C">
      <w:pPr>
        <w:keepNext/>
        <w:tabs>
          <w:tab w:val="left" w:pos="1134"/>
        </w:tabs>
        <w:spacing w:after="40" w:line="240" w:lineRule="auto"/>
        <w:rPr>
          <w:rFonts w:ascii="Arial Narrow" w:hAnsi="Arial Narrow"/>
          <w:b/>
          <w:sz w:val="20"/>
        </w:rPr>
      </w:pPr>
      <w:r w:rsidRPr="008D191C">
        <w:rPr>
          <w:rFonts w:ascii="Arial Narrow" w:hAnsi="Arial Narrow"/>
          <w:b/>
          <w:sz w:val="20"/>
        </w:rPr>
        <w:lastRenderedPageBreak/>
        <w:t>Table 2</w:t>
      </w:r>
      <w:r w:rsidRPr="008D191C">
        <w:rPr>
          <w:rFonts w:ascii="Arial Narrow" w:hAnsi="Arial Narrow"/>
          <w:b/>
          <w:sz w:val="20"/>
        </w:rPr>
        <w:tab/>
        <w:t>Proposed MBS item descriptor for IHC MMR deficiency testing</w:t>
      </w:r>
    </w:p>
    <w:tbl>
      <w:tblPr>
        <w:tblStyle w:val="TableGrid11"/>
        <w:tblW w:w="0" w:type="auto"/>
        <w:tblInd w:w="-5" w:type="dxa"/>
        <w:tblLook w:val="04A0" w:firstRow="1" w:lastRow="0" w:firstColumn="1" w:lastColumn="0" w:noHBand="0" w:noVBand="1"/>
        <w:tblDescription w:val="Proposed MBS item descriptor for IHC MMR deficiency testing. proposed changes to the decriptor for MBS item 72847"/>
      </w:tblPr>
      <w:tblGrid>
        <w:gridCol w:w="9021"/>
      </w:tblGrid>
      <w:tr w:rsidR="00CE6012" w:rsidRPr="00CE6012" w14:paraId="216E139C" w14:textId="77777777" w:rsidTr="00CE6012">
        <w:trPr>
          <w:cantSplit/>
          <w:tblHeader/>
        </w:trPr>
        <w:tc>
          <w:tcPr>
            <w:tcW w:w="9021" w:type="dxa"/>
          </w:tcPr>
          <w:p w14:paraId="7DCC4B34" w14:textId="77777777" w:rsidR="00CE6012" w:rsidRPr="005536FC" w:rsidRDefault="00CE6012" w:rsidP="00CE6012">
            <w:pPr>
              <w:jc w:val="right"/>
              <w:rPr>
                <w:rFonts w:ascii="Arial Narrow" w:hAnsi="Arial Narrow"/>
              </w:rPr>
            </w:pPr>
            <w:r w:rsidRPr="005536FC">
              <w:rPr>
                <w:rFonts w:ascii="Arial Narrow" w:hAnsi="Arial Narrow"/>
              </w:rPr>
              <w:t>Category 6– Pathology Services</w:t>
            </w:r>
          </w:p>
        </w:tc>
      </w:tr>
      <w:tr w:rsidR="00CE6012" w:rsidRPr="00CE6012" w14:paraId="0BF1CD15" w14:textId="77777777" w:rsidTr="00CE6012">
        <w:trPr>
          <w:cantSplit/>
          <w:tblHeader/>
        </w:trPr>
        <w:tc>
          <w:tcPr>
            <w:tcW w:w="9021" w:type="dxa"/>
          </w:tcPr>
          <w:p w14:paraId="16F31C1E" w14:textId="4E837498" w:rsidR="00CE6012" w:rsidRPr="005536FC" w:rsidRDefault="00CE6012" w:rsidP="00CE6012">
            <w:pPr>
              <w:rPr>
                <w:rFonts w:ascii="Arial Narrow" w:hAnsi="Arial Narrow"/>
              </w:rPr>
            </w:pPr>
            <w:r w:rsidRPr="005536FC">
              <w:rPr>
                <w:rFonts w:ascii="Arial Narrow" w:hAnsi="Arial Narrow"/>
              </w:rPr>
              <w:t xml:space="preserve">Proposed </w:t>
            </w:r>
            <w:r w:rsidR="006F4093" w:rsidRPr="005536FC">
              <w:rPr>
                <w:rFonts w:ascii="Arial Narrow" w:hAnsi="Arial Narrow"/>
              </w:rPr>
              <w:t xml:space="preserve">changes to </w:t>
            </w:r>
            <w:r w:rsidRPr="005536FC">
              <w:rPr>
                <w:rFonts w:ascii="Arial Narrow" w:hAnsi="Arial Narrow"/>
              </w:rPr>
              <w:t>item descriptor</w:t>
            </w:r>
            <w:r w:rsidR="002045B0" w:rsidRPr="005536FC">
              <w:rPr>
                <w:rFonts w:ascii="Arial Narrow" w:hAnsi="Arial Narrow"/>
              </w:rPr>
              <w:t xml:space="preserve"> / new item descriptor</w:t>
            </w:r>
            <w:r w:rsidRPr="005536FC">
              <w:rPr>
                <w:rFonts w:ascii="Arial Narrow" w:hAnsi="Arial Narrow"/>
              </w:rPr>
              <w:t>:</w:t>
            </w:r>
          </w:p>
          <w:p w14:paraId="078A7994" w14:textId="77777777" w:rsidR="00CE6012" w:rsidRPr="005536FC" w:rsidRDefault="00CE6012" w:rsidP="00CE6012">
            <w:pPr>
              <w:rPr>
                <w:rFonts w:ascii="Arial Narrow" w:hAnsi="Arial Narrow"/>
              </w:rPr>
            </w:pPr>
          </w:p>
          <w:p w14:paraId="6666CB99" w14:textId="77777777" w:rsidR="00CE6012" w:rsidRPr="005536FC" w:rsidRDefault="00CE6012" w:rsidP="00CE6012">
            <w:pPr>
              <w:jc w:val="both"/>
              <w:rPr>
                <w:rFonts w:ascii="Arial Narrow" w:hAnsi="Arial Narrow"/>
              </w:rPr>
            </w:pPr>
            <w:proofErr w:type="spellStart"/>
            <w:r w:rsidRPr="005536FC">
              <w:rPr>
                <w:rFonts w:ascii="Arial Narrow" w:hAnsi="Arial Narrow"/>
              </w:rPr>
              <w:t>Immunohistochemical</w:t>
            </w:r>
            <w:proofErr w:type="spellEnd"/>
            <w:r w:rsidRPr="005536FC">
              <w:rPr>
                <w:rFonts w:ascii="Arial Narrow" w:hAnsi="Arial Narrow"/>
              </w:rPr>
              <w:t xml:space="preserve"> examination of biopsy material by immunofluorescence, </w:t>
            </w:r>
            <w:proofErr w:type="spellStart"/>
            <w:r w:rsidRPr="005536FC">
              <w:rPr>
                <w:rFonts w:ascii="Arial Narrow" w:hAnsi="Arial Narrow"/>
              </w:rPr>
              <w:t>immunoperoxidase</w:t>
            </w:r>
            <w:proofErr w:type="spellEnd"/>
            <w:r w:rsidRPr="005536FC">
              <w:rPr>
                <w:rFonts w:ascii="Arial Narrow" w:hAnsi="Arial Narrow"/>
              </w:rPr>
              <w:t xml:space="preserve"> or other labelled antibody techniques with multiple antigenic specificities per specimen (4-6 antibodies) </w:t>
            </w:r>
            <w:r w:rsidRPr="005536FC">
              <w:rPr>
                <w:rFonts w:ascii="Arial Narrow" w:hAnsi="Arial Narrow"/>
                <w:b/>
              </w:rPr>
              <w:t>to determine if the requirements relating to mismatch repair deficiency status for access to pembrolizumab under the Pharmaceutical Benefits Scheme (PBS) are fulfilled</w:t>
            </w:r>
          </w:p>
          <w:p w14:paraId="109DAC90" w14:textId="77777777" w:rsidR="00CE6012" w:rsidRPr="005536FC" w:rsidRDefault="00CE6012" w:rsidP="00CE6012">
            <w:pPr>
              <w:shd w:val="clear" w:color="auto" w:fill="FBFBFB"/>
              <w:spacing w:before="240" w:after="240" w:line="300" w:lineRule="atLeast"/>
              <w:rPr>
                <w:rFonts w:ascii="Arial Narrow" w:hAnsi="Arial Narrow"/>
              </w:rPr>
            </w:pPr>
            <w:r w:rsidRPr="005536FC">
              <w:rPr>
                <w:rFonts w:ascii="Arial Narrow" w:hAnsi="Arial Narrow"/>
              </w:rPr>
              <w:t>Fee:  $89.40  Benefit: 75% = $67.05 85% = $76.00</w:t>
            </w:r>
          </w:p>
        </w:tc>
      </w:tr>
    </w:tbl>
    <w:p w14:paraId="56555E04" w14:textId="77777777" w:rsidR="00DE7839" w:rsidRPr="005536FC" w:rsidRDefault="009E73AB" w:rsidP="00E364F7">
      <w:pPr>
        <w:rPr>
          <w:rFonts w:ascii="Arial Narrow" w:hAnsi="Arial Narrow"/>
          <w:sz w:val="20"/>
        </w:rPr>
      </w:pPr>
      <w:r w:rsidRPr="005536FC">
        <w:rPr>
          <w:rFonts w:ascii="Arial Narrow" w:hAnsi="Arial Narrow"/>
          <w:sz w:val="20"/>
        </w:rPr>
        <w:t xml:space="preserve">Type in boldface shows the proposed changes to </w:t>
      </w:r>
      <w:r w:rsidR="00DB2FC7" w:rsidRPr="005536FC">
        <w:rPr>
          <w:rFonts w:ascii="Arial Narrow" w:hAnsi="Arial Narrow"/>
          <w:sz w:val="20"/>
        </w:rPr>
        <w:t xml:space="preserve">the wording of </w:t>
      </w:r>
      <w:r w:rsidRPr="005536FC">
        <w:rPr>
          <w:rFonts w:ascii="Arial Narrow" w:hAnsi="Arial Narrow"/>
          <w:sz w:val="20"/>
        </w:rPr>
        <w:t>MBS item number 72847</w:t>
      </w:r>
    </w:p>
    <w:p w14:paraId="32C91E1D" w14:textId="47C16AEE" w:rsidR="00F31516" w:rsidRDefault="00F31516" w:rsidP="00EF09A5">
      <w:pPr>
        <w:pStyle w:val="Heading2"/>
        <w:numPr>
          <w:ilvl w:val="0"/>
          <w:numId w:val="14"/>
        </w:numPr>
        <w:ind w:left="426" w:hanging="426"/>
      </w:pPr>
      <w:r w:rsidRPr="00F31516">
        <w:t>References</w:t>
      </w:r>
    </w:p>
    <w:p w14:paraId="41A54833" w14:textId="77777777" w:rsidR="00E16108" w:rsidRPr="00E16108" w:rsidRDefault="00ED359C" w:rsidP="00E16108">
      <w:pPr>
        <w:pStyle w:val="EndNoteBibliography"/>
      </w:pPr>
      <w:r>
        <w:fldChar w:fldCharType="begin"/>
      </w:r>
      <w:r>
        <w:instrText xml:space="preserve"> ADDIN EN.REFLIST </w:instrText>
      </w:r>
      <w:r>
        <w:fldChar w:fldCharType="separate"/>
      </w:r>
      <w:r w:rsidR="00E16108" w:rsidRPr="00E16108">
        <w:t xml:space="preserve">Ashktorab, H, Ahuja, S, Kannan, L, Llor, X, Ellis, NA, Xicola, RM, Laiyemo, AO, Carethers, JM, Brim, H &amp; Nouraie, M 2016, 'A meta-analysis of MSI frequency and race in colorectal cancer', </w:t>
      </w:r>
      <w:r w:rsidR="00E16108" w:rsidRPr="00E16108">
        <w:rPr>
          <w:i/>
        </w:rPr>
        <w:t>Oncotarget</w:t>
      </w:r>
      <w:r w:rsidR="00E16108" w:rsidRPr="00E16108">
        <w:t>, vol. 7, no. 23, Apr 23, pp. 34546-34557.</w:t>
      </w:r>
    </w:p>
    <w:p w14:paraId="04110C46" w14:textId="77777777" w:rsidR="00E16108" w:rsidRPr="00E16108" w:rsidRDefault="00E16108" w:rsidP="00E16108">
      <w:pPr>
        <w:pStyle w:val="EndNoteBibliography"/>
      </w:pPr>
      <w:r w:rsidRPr="00E16108">
        <w:t xml:space="preserve">Buecher, B, Cacheux, W, Rouleau, E, Dieumegard, B, Mitry, E &amp; Lievre, A 2013, 'Role of microsatellite instability in the management of colorectal cancers', </w:t>
      </w:r>
      <w:r w:rsidRPr="00E16108">
        <w:rPr>
          <w:i/>
        </w:rPr>
        <w:t>Dig Liver Dis</w:t>
      </w:r>
      <w:r w:rsidRPr="00E16108">
        <w:t>, vol. 45, no. 6, Jun, pp. 441-449.</w:t>
      </w:r>
    </w:p>
    <w:p w14:paraId="42B62DFC" w14:textId="77777777" w:rsidR="00E16108" w:rsidRPr="00E16108" w:rsidRDefault="00E16108" w:rsidP="00E16108">
      <w:pPr>
        <w:pStyle w:val="EndNoteBibliography"/>
      </w:pPr>
      <w:r w:rsidRPr="00E16108">
        <w:t xml:space="preserve">Da Silva, F, Wernhoff, P, Dominguez-Barrera, C &amp; Dominguez-Valentin, M 2016, 'Update on Hereditary Colorectal Cancer', </w:t>
      </w:r>
      <w:r w:rsidRPr="00E16108">
        <w:rPr>
          <w:i/>
        </w:rPr>
        <w:t>Anticancer Res</w:t>
      </w:r>
      <w:r w:rsidRPr="00E16108">
        <w:t>, vol. 36, no. 9, Sep, pp. 4399-4405.</w:t>
      </w:r>
    </w:p>
    <w:p w14:paraId="01F70F3F" w14:textId="77777777" w:rsidR="00E16108" w:rsidRPr="00E16108" w:rsidRDefault="00E16108" w:rsidP="00E16108">
      <w:pPr>
        <w:pStyle w:val="EndNoteBibliography"/>
      </w:pPr>
      <w:r w:rsidRPr="00E16108">
        <w:t xml:space="preserve">Deschoolmeester, V, Baay, M, Van Marck, E, Weyler, J, Vermeulen, P, Lardon, F &amp; Vermorken, JB 2010, 'Tumor infiltrating lymphocytes: an intriguing player in the survival of colorectal cancer patients', </w:t>
      </w:r>
      <w:r w:rsidRPr="00E16108">
        <w:rPr>
          <w:i/>
        </w:rPr>
        <w:t>BMC Immunology</w:t>
      </w:r>
      <w:r w:rsidRPr="00E16108">
        <w:t>, vol. 11, pp. 19-19.</w:t>
      </w:r>
    </w:p>
    <w:p w14:paraId="53BAC481" w14:textId="77777777" w:rsidR="00E16108" w:rsidRPr="00E16108" w:rsidRDefault="00E16108" w:rsidP="00E16108">
      <w:pPr>
        <w:pStyle w:val="EndNoteBibliography"/>
      </w:pPr>
      <w:r w:rsidRPr="00E16108">
        <w:t xml:space="preserve">Dudley, JC, Lin, MT, Le, DT &amp; Eshleman, JR 2016, 'Microsatellite Instability as a Biomarker for PD-1 Blockade', </w:t>
      </w:r>
      <w:r w:rsidRPr="00E16108">
        <w:rPr>
          <w:i/>
        </w:rPr>
        <w:t>Clin Cancer Res</w:t>
      </w:r>
      <w:r w:rsidRPr="00E16108">
        <w:t>, vol. 22, no. 4, Feb 15, pp. 813-820.</w:t>
      </w:r>
    </w:p>
    <w:p w14:paraId="72D7EAEF" w14:textId="77777777" w:rsidR="00E16108" w:rsidRPr="00E16108" w:rsidRDefault="00E16108" w:rsidP="00E16108">
      <w:pPr>
        <w:pStyle w:val="EndNoteBibliography"/>
      </w:pPr>
      <w:r w:rsidRPr="00E16108">
        <w:t xml:space="preserve">Dunne, PD, McArt, DG, O'Reilly, PG, Coleman, HG, Allen, WL, Loughrey, M, Van Schaeybroeck, S, McDade, S, Salto-Tellez, M, Longley, DB, Lawler, M &amp; Johnston, PG 2016, 'Immune-Derived PD-L1 Gene Expression Defines a Subgroup of Stage II/III Colorectal Cancer Patients with Favorable Prognosis Who May Be Harmed by Adjuvant Chemotherapy', </w:t>
      </w:r>
      <w:r w:rsidRPr="00E16108">
        <w:rPr>
          <w:i/>
        </w:rPr>
        <w:t>Cancer Immunol Res</w:t>
      </w:r>
      <w:r w:rsidRPr="00E16108">
        <w:t>, vol. 4, no. 7, Jul, pp. 582-591.</w:t>
      </w:r>
    </w:p>
    <w:p w14:paraId="64B5D4DC" w14:textId="77777777" w:rsidR="00E16108" w:rsidRPr="00E16108" w:rsidRDefault="00E16108" w:rsidP="00E16108">
      <w:pPr>
        <w:pStyle w:val="EndNoteBibliography"/>
      </w:pPr>
      <w:r w:rsidRPr="00E16108">
        <w:t xml:space="preserve">Kawakami, H, Zaanan, A &amp; Sinicrope, FA 2015, 'Microsatellite instability testing and its role in the management of colorectal cancer', </w:t>
      </w:r>
      <w:r w:rsidRPr="00E16108">
        <w:rPr>
          <w:i/>
        </w:rPr>
        <w:t>Curr Treat Options Oncol</w:t>
      </w:r>
      <w:r w:rsidRPr="00E16108">
        <w:t>, vol. 16, no. 7, Jul, p. 30.</w:t>
      </w:r>
    </w:p>
    <w:p w14:paraId="50F3C685" w14:textId="77777777" w:rsidR="00E16108" w:rsidRPr="00E16108" w:rsidRDefault="00E16108" w:rsidP="00E16108">
      <w:pPr>
        <w:pStyle w:val="EndNoteBibliography"/>
      </w:pPr>
      <w:r w:rsidRPr="00E16108">
        <w:t xml:space="preserve">Llosa, NJ, Cruise, M, Tam, A, Wicks, EC, Hechenbleikner, EM, Taube, JM, Blosser, RL, Fan, H, Wang, H, Luber, BS, Zhang, M, Papadopoulos, N, Kinzler, KW, Vogelstein, B, Sears, CL, Anders, RA, Pardoll, DM &amp; Housseau, F 2015, 'The Vigorous Immune Microenvironment of Microsatellite Instable Colon Cancer Is Balanced by Multiple Counter-Inhibitory Checkpoints', </w:t>
      </w:r>
      <w:r w:rsidRPr="00E16108">
        <w:rPr>
          <w:i/>
        </w:rPr>
        <w:t>Cancer Discovery</w:t>
      </w:r>
      <w:r w:rsidRPr="00E16108">
        <w:t>, vol. 5, no. 1, January 1, 2015, pp. 43-51.</w:t>
      </w:r>
    </w:p>
    <w:p w14:paraId="09FD97BF" w14:textId="77777777" w:rsidR="00E16108" w:rsidRPr="00E16108" w:rsidRDefault="00E16108" w:rsidP="00E16108">
      <w:pPr>
        <w:pStyle w:val="EndNoteBibliography"/>
      </w:pPr>
      <w:r w:rsidRPr="00E16108">
        <w:t xml:space="preserve">Quiroga, D, Lyerly, HK &amp; Morse, MA 2016, 'Deficient Mismatch Repair and the Role of Immunotherapy in Metastatic Colorectal Cancer', </w:t>
      </w:r>
      <w:r w:rsidRPr="00E16108">
        <w:rPr>
          <w:i/>
        </w:rPr>
        <w:t>Curr Treat Options Oncol</w:t>
      </w:r>
      <w:r w:rsidRPr="00E16108">
        <w:t>, vol. 17, no. 8, Aug, p. 41.</w:t>
      </w:r>
    </w:p>
    <w:p w14:paraId="673944AE" w14:textId="77777777" w:rsidR="00E16108" w:rsidRPr="00E16108" w:rsidRDefault="00E16108" w:rsidP="00E16108">
      <w:pPr>
        <w:pStyle w:val="EndNoteBibliography"/>
      </w:pPr>
      <w:r w:rsidRPr="00E16108">
        <w:t xml:space="preserve">Rosenbaum, MW, Bledsoe, JR, Morales-Oyarvide, V, Huynh, TG &amp; Mino-Kenudson, M 2016, 'PD-L1 expression in colorectal cancer is associated with microsatellite instability, BRAF mutation, medullary morphology and cytotoxic tumor-infiltrating lymphocytes', </w:t>
      </w:r>
      <w:r w:rsidRPr="00E16108">
        <w:rPr>
          <w:i/>
        </w:rPr>
        <w:t>Mod Pathol</w:t>
      </w:r>
      <w:r w:rsidRPr="00E16108">
        <w:t>, May 20.</w:t>
      </w:r>
    </w:p>
    <w:p w14:paraId="6F2AF603" w14:textId="77777777" w:rsidR="00E16108" w:rsidRPr="00E16108" w:rsidRDefault="00E16108" w:rsidP="00E16108">
      <w:pPr>
        <w:pStyle w:val="EndNoteBibliography"/>
      </w:pPr>
      <w:r w:rsidRPr="00E16108">
        <w:lastRenderedPageBreak/>
        <w:t xml:space="preserve">Umar, A, Boland, CR, Terdiman, JP, Syngal, S, de la Chapelle, A, Rüschoff, J, Fishel, R, Lindor, NM, Burgart, LJ, Hamelin, R, Hamilton, SR, Hiatt, RA, Jass, J, Lindblom, A, Lynch, HT, Peltomaki, P, Ramsey, SD, Rodriguez-Bigas, MA, Vasen, HFA, Hawk, ET, Barrett, JC, Freedman, AN &amp; Srivastava, S 2004, 'Revised Bethesda Guidelines for Hereditary Nonpolyposis Colorectal Cancer (Lynch Syndrome) and Microsatellite Instability', </w:t>
      </w:r>
      <w:r w:rsidRPr="00E16108">
        <w:rPr>
          <w:i/>
        </w:rPr>
        <w:t>Journal of the National Cancer Institute</w:t>
      </w:r>
      <w:r w:rsidRPr="00E16108">
        <w:t>, vol. 96, no. 4, pp. 261-268.</w:t>
      </w:r>
    </w:p>
    <w:p w14:paraId="744FAB11" w14:textId="77777777" w:rsidR="00E16108" w:rsidRPr="00E16108" w:rsidRDefault="00E16108" w:rsidP="00E16108">
      <w:pPr>
        <w:pStyle w:val="EndNoteBibliography"/>
      </w:pPr>
    </w:p>
    <w:p w14:paraId="45CCE896" w14:textId="5E2CB604" w:rsidR="00F63CCE" w:rsidRPr="00F31516" w:rsidRDefault="00ED359C" w:rsidP="005C5B8D">
      <w:pPr>
        <w:pStyle w:val="Heading2"/>
        <w:pageBreakBefore/>
        <w:numPr>
          <w:ilvl w:val="0"/>
          <w:numId w:val="0"/>
        </w:numPr>
      </w:pPr>
      <w:r>
        <w:lastRenderedPageBreak/>
        <w:fldChar w:fldCharType="end"/>
      </w:r>
      <w:r w:rsidR="00F63CCE" w:rsidRPr="00F31516">
        <w:t>Appendix 1</w:t>
      </w:r>
      <w:r w:rsidR="005C5E6F" w:rsidRPr="00F31516">
        <w:tab/>
        <w:t>Applicant presented proposed clinical management algorithm</w:t>
      </w:r>
    </w:p>
    <w:p w14:paraId="4CD86972" w14:textId="77777777" w:rsidR="00F63CCE" w:rsidRDefault="00F63CCE" w:rsidP="00E904CF"/>
    <w:p w14:paraId="648BA291" w14:textId="77777777" w:rsidR="00F63CCE" w:rsidRPr="00A34A5A" w:rsidRDefault="00F63CCE" w:rsidP="005C5B8D">
      <w:pPr>
        <w:spacing w:before="240" w:after="120" w:line="240" w:lineRule="auto"/>
        <w:jc w:val="center"/>
        <w:rPr>
          <w:i/>
        </w:rPr>
      </w:pPr>
      <w:r>
        <w:rPr>
          <w:i/>
          <w:noProof/>
          <w:lang w:eastAsia="en-AU"/>
        </w:rPr>
        <w:drawing>
          <wp:inline distT="0" distB="0" distL="0" distR="0" wp14:anchorId="382C4771" wp14:editId="44640AE4">
            <wp:extent cx="5522642" cy="5163820"/>
            <wp:effectExtent l="0" t="0" r="1905" b="0"/>
            <wp:docPr id="3" name="Picture 3" descr="Proposed clinical management algorithm for stage IV CRC presented by the applicant. A simple clinical management algorithm put forward by the applicants, which does not distinguish between presenting with stage IV colorectal cancer or progressive to stage IV colorectal cancer, and using trade nam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15" r="3414" b="2737"/>
                    <a:stretch/>
                  </pic:blipFill>
                  <pic:spPr bwMode="auto">
                    <a:xfrm>
                      <a:off x="0" y="0"/>
                      <a:ext cx="5523402" cy="5164531"/>
                    </a:xfrm>
                    <a:prstGeom prst="rect">
                      <a:avLst/>
                    </a:prstGeom>
                    <a:noFill/>
                    <a:ln>
                      <a:noFill/>
                    </a:ln>
                    <a:extLst>
                      <a:ext uri="{53640926-AAD7-44D8-BBD7-CCE9431645EC}">
                        <a14:shadowObscured xmlns:a14="http://schemas.microsoft.com/office/drawing/2010/main"/>
                      </a:ext>
                    </a:extLst>
                  </pic:spPr>
                </pic:pic>
              </a:graphicData>
            </a:graphic>
          </wp:inline>
        </w:drawing>
      </w:r>
    </w:p>
    <w:p w14:paraId="5BE875A2" w14:textId="2DF6EE2F" w:rsidR="00F63CCE" w:rsidRPr="00954015" w:rsidRDefault="00F63CCE" w:rsidP="00F63CCE">
      <w:pPr>
        <w:tabs>
          <w:tab w:val="left" w:pos="1134"/>
        </w:tabs>
        <w:spacing w:before="40" w:after="40" w:line="240" w:lineRule="auto"/>
        <w:rPr>
          <w:rFonts w:ascii="Arial Narrow" w:hAnsi="Arial Narrow"/>
          <w:b/>
          <w:sz w:val="20"/>
        </w:rPr>
      </w:pPr>
      <w:r w:rsidRPr="00954015">
        <w:rPr>
          <w:rFonts w:ascii="Arial Narrow" w:hAnsi="Arial Narrow"/>
          <w:b/>
          <w:sz w:val="20"/>
        </w:rPr>
        <w:t xml:space="preserve">Figure </w:t>
      </w:r>
      <w:r w:rsidR="00954015" w:rsidRPr="00954015">
        <w:rPr>
          <w:rFonts w:ascii="Arial Narrow" w:hAnsi="Arial Narrow"/>
          <w:b/>
          <w:sz w:val="20"/>
        </w:rPr>
        <w:t>3</w:t>
      </w:r>
      <w:r w:rsidRPr="00954015">
        <w:rPr>
          <w:rFonts w:ascii="Arial Narrow" w:hAnsi="Arial Narrow"/>
          <w:b/>
          <w:sz w:val="20"/>
        </w:rPr>
        <w:tab/>
        <w:t>Proposed clinical management algorithm for stage IV CRC presented by the applicant</w:t>
      </w:r>
    </w:p>
    <w:p w14:paraId="7FF5A356" w14:textId="77777777" w:rsidR="00F63CCE" w:rsidRPr="00954015" w:rsidRDefault="00F63CCE" w:rsidP="00954015">
      <w:pPr>
        <w:spacing w:after="40" w:line="240" w:lineRule="auto"/>
        <w:jc w:val="both"/>
        <w:rPr>
          <w:rFonts w:ascii="Arial Narrow" w:hAnsi="Arial Narrow"/>
          <w:sz w:val="20"/>
        </w:rPr>
      </w:pPr>
      <w:r w:rsidRPr="00954015">
        <w:rPr>
          <w:rFonts w:ascii="Arial Narrow" w:hAnsi="Arial Narrow"/>
          <w:sz w:val="20"/>
        </w:rPr>
        <w:t>*If the test was not previously undertaken during earlier stages of disease</w:t>
      </w:r>
    </w:p>
    <w:p w14:paraId="225C444E" w14:textId="797BF8D8" w:rsidR="006407EB" w:rsidRPr="00954015" w:rsidRDefault="00F63CCE" w:rsidP="00954015">
      <w:pPr>
        <w:spacing w:line="240" w:lineRule="auto"/>
        <w:jc w:val="both"/>
        <w:rPr>
          <w:rFonts w:ascii="Arial Narrow" w:hAnsi="Arial Narrow"/>
          <w:sz w:val="20"/>
        </w:rPr>
      </w:pPr>
      <w:proofErr w:type="spellStart"/>
      <w:proofErr w:type="gramStart"/>
      <w:r w:rsidRPr="00954015">
        <w:rPr>
          <w:rFonts w:ascii="Arial Narrow" w:hAnsi="Arial Narrow"/>
          <w:sz w:val="20"/>
        </w:rPr>
        <w:t>dMMR</w:t>
      </w:r>
      <w:proofErr w:type="spellEnd"/>
      <w:proofErr w:type="gramEnd"/>
      <w:r w:rsidRPr="00954015">
        <w:rPr>
          <w:rFonts w:ascii="Arial Narrow" w:hAnsi="Arial Narrow"/>
          <w:sz w:val="20"/>
        </w:rPr>
        <w:t xml:space="preserve"> = mismatch repair deficient; IHC = immunohistochemistry; MMR = mismatch repair; </w:t>
      </w:r>
      <w:proofErr w:type="spellStart"/>
      <w:r w:rsidRPr="00954015">
        <w:rPr>
          <w:rFonts w:ascii="Arial Narrow" w:hAnsi="Arial Narrow"/>
          <w:sz w:val="20"/>
        </w:rPr>
        <w:t>pMMR</w:t>
      </w:r>
      <w:proofErr w:type="spellEnd"/>
      <w:r w:rsidRPr="00954015">
        <w:rPr>
          <w:rFonts w:ascii="Arial Narrow" w:hAnsi="Arial Narrow"/>
          <w:sz w:val="20"/>
        </w:rPr>
        <w:t xml:space="preserve"> = mismatch repair proficient; RAS = rat sarcoma; </w:t>
      </w:r>
      <w:proofErr w:type="spellStart"/>
      <w:r w:rsidRPr="00954015">
        <w:rPr>
          <w:rFonts w:ascii="Arial Narrow" w:hAnsi="Arial Narrow"/>
          <w:sz w:val="20"/>
        </w:rPr>
        <w:t>wt</w:t>
      </w:r>
      <w:proofErr w:type="spellEnd"/>
      <w:r w:rsidRPr="00954015">
        <w:rPr>
          <w:rFonts w:ascii="Arial Narrow" w:hAnsi="Arial Narrow"/>
          <w:sz w:val="20"/>
        </w:rPr>
        <w:t xml:space="preserve"> = </w:t>
      </w:r>
      <w:proofErr w:type="spellStart"/>
      <w:r w:rsidRPr="00954015">
        <w:rPr>
          <w:rFonts w:ascii="Arial Narrow" w:hAnsi="Arial Narrow"/>
          <w:sz w:val="20"/>
        </w:rPr>
        <w:t>wildtype</w:t>
      </w:r>
      <w:proofErr w:type="spellEnd"/>
      <w:r w:rsidRPr="00954015">
        <w:rPr>
          <w:rFonts w:ascii="Arial Narrow" w:hAnsi="Arial Narrow"/>
          <w:sz w:val="20"/>
        </w:rPr>
        <w:t xml:space="preserve">; ; FOLFOX = combination </w:t>
      </w:r>
      <w:proofErr w:type="spellStart"/>
      <w:r w:rsidRPr="00954015">
        <w:rPr>
          <w:rFonts w:ascii="Arial Narrow" w:hAnsi="Arial Narrow"/>
          <w:sz w:val="20"/>
        </w:rPr>
        <w:t>folinic</w:t>
      </w:r>
      <w:proofErr w:type="spellEnd"/>
      <w:r w:rsidRPr="00954015">
        <w:rPr>
          <w:rFonts w:ascii="Arial Narrow" w:hAnsi="Arial Narrow"/>
          <w:sz w:val="20"/>
        </w:rPr>
        <w:t xml:space="preserve"> acid, fluorouracil and </w:t>
      </w:r>
      <w:proofErr w:type="spellStart"/>
      <w:r w:rsidRPr="00954015">
        <w:rPr>
          <w:rFonts w:ascii="Arial Narrow" w:hAnsi="Arial Narrow"/>
          <w:sz w:val="20"/>
        </w:rPr>
        <w:t>oxaliplatin</w:t>
      </w:r>
      <w:proofErr w:type="spellEnd"/>
      <w:r w:rsidRPr="00954015">
        <w:rPr>
          <w:rFonts w:ascii="Arial Narrow" w:hAnsi="Arial Narrow"/>
          <w:sz w:val="20"/>
        </w:rPr>
        <w:t xml:space="preserve">; FOLFIRI = combination of </w:t>
      </w:r>
      <w:proofErr w:type="spellStart"/>
      <w:r w:rsidRPr="00954015">
        <w:rPr>
          <w:rFonts w:ascii="Arial Narrow" w:hAnsi="Arial Narrow"/>
          <w:sz w:val="20"/>
        </w:rPr>
        <w:t>folinic</w:t>
      </w:r>
      <w:proofErr w:type="spellEnd"/>
      <w:r w:rsidRPr="00954015">
        <w:rPr>
          <w:rFonts w:ascii="Arial Narrow" w:hAnsi="Arial Narrow"/>
          <w:sz w:val="20"/>
        </w:rPr>
        <w:t xml:space="preserve"> acid, fluorouracil and </w:t>
      </w:r>
      <w:proofErr w:type="spellStart"/>
      <w:r w:rsidRPr="00954015">
        <w:rPr>
          <w:rFonts w:ascii="Arial Narrow" w:hAnsi="Arial Narrow"/>
          <w:sz w:val="20"/>
        </w:rPr>
        <w:t>irinotecan</w:t>
      </w:r>
      <w:proofErr w:type="spellEnd"/>
    </w:p>
    <w:sectPr w:rsidR="006407EB" w:rsidRPr="00954015" w:rsidSect="007D168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1EB78" w14:textId="77777777" w:rsidR="00DB7444" w:rsidRDefault="00DB7444" w:rsidP="003D699E">
      <w:pPr>
        <w:spacing w:after="0" w:line="240" w:lineRule="auto"/>
      </w:pPr>
      <w:r>
        <w:separator/>
      </w:r>
    </w:p>
  </w:endnote>
  <w:endnote w:type="continuationSeparator" w:id="0">
    <w:p w14:paraId="4CB8D128" w14:textId="77777777" w:rsidR="00DB7444" w:rsidRDefault="00DB7444"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65227" w14:textId="77777777" w:rsidR="006E181A" w:rsidRDefault="006E1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70508FE4" w14:textId="77777777" w:rsidR="006407EB" w:rsidRDefault="006407EB"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6E181A" w:rsidRPr="006E181A">
          <w:rPr>
            <w:b/>
            <w:bCs/>
            <w:noProof/>
            <w:sz w:val="18"/>
            <w:szCs w:val="18"/>
          </w:rPr>
          <w:t>2</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PICO Confirmation</w:t>
        </w:r>
      </w:p>
      <w:p w14:paraId="5DAD090D" w14:textId="67FA70FE" w:rsidR="006407EB" w:rsidRPr="00CF2DFA" w:rsidRDefault="006407EB" w:rsidP="003D699E">
        <w:pPr>
          <w:pStyle w:val="Footer"/>
          <w:pBdr>
            <w:top w:val="single" w:sz="4" w:space="1" w:color="D9D9D9" w:themeColor="background1" w:themeShade="D9"/>
          </w:pBdr>
          <w:rPr>
            <w:b/>
            <w:bCs/>
            <w:sz w:val="18"/>
            <w:szCs w:val="18"/>
          </w:rPr>
        </w:pPr>
        <w:r>
          <w:rPr>
            <w:color w:val="808080" w:themeColor="background1" w:themeShade="80"/>
            <w:spacing w:val="60"/>
            <w:sz w:val="18"/>
            <w:szCs w:val="18"/>
          </w:rPr>
          <w:tab/>
          <w:t xml:space="preserve">Application 1452: </w:t>
        </w:r>
        <w:r w:rsidRPr="007D1680">
          <w:rPr>
            <w:color w:val="808080" w:themeColor="background1" w:themeShade="80"/>
            <w:spacing w:val="60"/>
            <w:sz w:val="18"/>
            <w:szCs w:val="18"/>
          </w:rPr>
          <w:t xml:space="preserve">Pembrolizumab in </w:t>
        </w:r>
        <w:proofErr w:type="spellStart"/>
        <w:r w:rsidRPr="007D1680">
          <w:rPr>
            <w:color w:val="808080" w:themeColor="background1" w:themeShade="80"/>
            <w:spacing w:val="60"/>
            <w:sz w:val="18"/>
            <w:szCs w:val="18"/>
          </w:rPr>
          <w:t>dMMR</w:t>
        </w:r>
        <w:proofErr w:type="spellEnd"/>
        <w:r w:rsidRPr="007D1680">
          <w:rPr>
            <w:color w:val="808080" w:themeColor="background1" w:themeShade="80"/>
            <w:spacing w:val="60"/>
            <w:sz w:val="18"/>
            <w:szCs w:val="18"/>
          </w:rPr>
          <w:t xml:space="preserve"> Stage IV C</w:t>
        </w:r>
        <w:r>
          <w:rPr>
            <w:color w:val="808080" w:themeColor="background1" w:themeShade="80"/>
            <w:spacing w:val="60"/>
            <w:sz w:val="18"/>
            <w:szCs w:val="18"/>
          </w:rPr>
          <w:t>R</w:t>
        </w:r>
        <w:r w:rsidRPr="007D1680">
          <w:rPr>
            <w:color w:val="808080" w:themeColor="background1" w:themeShade="80"/>
            <w:spacing w:val="60"/>
            <w:sz w:val="18"/>
            <w:szCs w:val="18"/>
          </w:rPr>
          <w:t>C</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80177" w14:textId="77777777" w:rsidR="006E181A" w:rsidRDefault="006E1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22C74" w14:textId="77777777" w:rsidR="00DB7444" w:rsidRDefault="00DB7444" w:rsidP="003D699E">
      <w:pPr>
        <w:spacing w:after="0" w:line="240" w:lineRule="auto"/>
      </w:pPr>
      <w:r>
        <w:separator/>
      </w:r>
    </w:p>
  </w:footnote>
  <w:footnote w:type="continuationSeparator" w:id="0">
    <w:p w14:paraId="6A3A3E49" w14:textId="77777777" w:rsidR="00DB7444" w:rsidRDefault="00DB7444" w:rsidP="003D699E">
      <w:pPr>
        <w:spacing w:after="0" w:line="240" w:lineRule="auto"/>
      </w:pPr>
      <w:r>
        <w:continuationSeparator/>
      </w:r>
    </w:p>
  </w:footnote>
  <w:footnote w:id="1">
    <w:p w14:paraId="604B00CD" w14:textId="7F25F32F" w:rsidR="006407EB" w:rsidRDefault="006407EB" w:rsidP="00696B42">
      <w:pPr>
        <w:pStyle w:val="FootnoteText"/>
      </w:pPr>
      <w:r>
        <w:rPr>
          <w:rStyle w:val="FootnoteReference"/>
        </w:rPr>
        <w:footnoteRef/>
      </w:r>
      <w:r>
        <w:t xml:space="preserve"> </w:t>
      </w:r>
      <w:proofErr w:type="gramStart"/>
      <w:r>
        <w:t>Available from URL &lt;</w:t>
      </w:r>
      <w:hyperlink r:id="rId1" w:tooltip="AIHW - bowel cancer website" w:history="1">
        <w:r w:rsidRPr="00B417F9">
          <w:rPr>
            <w:rStyle w:val="Hyperlink"/>
          </w:rPr>
          <w:t>http://www.aihw.gov.au/cancer/bowel/</w:t>
        </w:r>
      </w:hyperlink>
      <w:r>
        <w:t>&gt;, Accessed 24 August 2016.</w:t>
      </w:r>
      <w:proofErr w:type="gramEnd"/>
    </w:p>
  </w:footnote>
  <w:footnote w:id="2">
    <w:p w14:paraId="6B91710C" w14:textId="21D798DD" w:rsidR="006407EB" w:rsidRDefault="006407EB" w:rsidP="00696B42">
      <w:pPr>
        <w:pStyle w:val="FootnoteText"/>
        <w:spacing w:after="120"/>
      </w:pPr>
      <w:r>
        <w:rPr>
          <w:rStyle w:val="FootnoteReference"/>
        </w:rPr>
        <w:footnoteRef/>
      </w:r>
      <w:r>
        <w:t xml:space="preserve"> </w:t>
      </w:r>
      <w:proofErr w:type="gramStart"/>
      <w:r>
        <w:t>Available from URL &lt;</w:t>
      </w:r>
      <w:hyperlink r:id="rId2" w:tooltip="AIHW - bowel cancer webasite" w:history="1">
        <w:r w:rsidRPr="00B417F9">
          <w:rPr>
            <w:rStyle w:val="Hyperlink"/>
          </w:rPr>
          <w:t>http://www.aihw.gov.au/cancer/bowel/</w:t>
        </w:r>
      </w:hyperlink>
      <w:r>
        <w:t>&gt;, Accessed 24 August 2016.</w:t>
      </w:r>
      <w:proofErr w:type="gramEnd"/>
    </w:p>
  </w:footnote>
  <w:footnote w:id="3">
    <w:p w14:paraId="45AAD2D1" w14:textId="76AAB018" w:rsidR="006407EB" w:rsidRDefault="006407EB" w:rsidP="00696B42">
      <w:pPr>
        <w:spacing w:after="0" w:line="240" w:lineRule="auto"/>
      </w:pPr>
      <w:r>
        <w:rPr>
          <w:rStyle w:val="FootnoteReference"/>
        </w:rPr>
        <w:footnoteRef/>
      </w:r>
      <w:r>
        <w:t xml:space="preserve"> </w:t>
      </w:r>
      <w:r w:rsidRPr="009B7A0F">
        <w:rPr>
          <w:sz w:val="20"/>
          <w:szCs w:val="20"/>
        </w:rPr>
        <w:t>“Colorectal Cancer Structured Reporting Protocol” (</w:t>
      </w:r>
      <w:r>
        <w:rPr>
          <w:sz w:val="20"/>
          <w:szCs w:val="20"/>
        </w:rPr>
        <w:t>3rd</w:t>
      </w:r>
      <w:r w:rsidRPr="009B7A0F">
        <w:rPr>
          <w:sz w:val="20"/>
          <w:szCs w:val="20"/>
        </w:rPr>
        <w:t xml:space="preserve"> Edition 201</w:t>
      </w:r>
      <w:r>
        <w:rPr>
          <w:sz w:val="20"/>
          <w:szCs w:val="20"/>
        </w:rPr>
        <w:t>6</w:t>
      </w:r>
      <w:r w:rsidRPr="009B7A0F">
        <w:rPr>
          <w:sz w:val="20"/>
          <w:szCs w:val="20"/>
        </w:rPr>
        <w:t>)</w:t>
      </w:r>
      <w:r>
        <w:rPr>
          <w:sz w:val="20"/>
          <w:szCs w:val="20"/>
        </w:rPr>
        <w:t>.</w:t>
      </w:r>
      <w:r w:rsidRPr="009B7A0F">
        <w:rPr>
          <w:sz w:val="20"/>
          <w:szCs w:val="20"/>
        </w:rPr>
        <w:t xml:space="preserve"> Available from URL &lt;</w:t>
      </w:r>
      <w:r w:rsidRPr="005A5EAA">
        <w:t xml:space="preserve"> </w:t>
      </w:r>
      <w:hyperlink r:id="rId3" w:tooltip="RCPA website" w:history="1">
        <w:r w:rsidRPr="00866732">
          <w:rPr>
            <w:rStyle w:val="Hyperlink"/>
            <w:sz w:val="20"/>
            <w:szCs w:val="20"/>
            <w:lang w:eastAsia="en-AU"/>
          </w:rPr>
          <w:t>http://www.rcpa.edu.au/Library/Practising-Pathology/Structured-Pathology-Reporting-of-Cancer/Cancer-Protocols</w:t>
        </w:r>
      </w:hyperlink>
      <w:r w:rsidRPr="009B7A0F">
        <w:rPr>
          <w:sz w:val="20"/>
          <w:szCs w:val="20"/>
          <w:lang w:eastAsia="en-AU"/>
        </w:rPr>
        <w:t>&gt; accessed 2</w:t>
      </w:r>
      <w:r>
        <w:rPr>
          <w:sz w:val="20"/>
          <w:szCs w:val="20"/>
          <w:lang w:eastAsia="en-AU"/>
        </w:rPr>
        <w:t>2</w:t>
      </w:r>
      <w:r w:rsidRPr="009B7A0F">
        <w:rPr>
          <w:sz w:val="20"/>
          <w:szCs w:val="20"/>
          <w:lang w:eastAsia="en-AU"/>
        </w:rPr>
        <w:t xml:space="preserve"> August 2016.</w:t>
      </w:r>
    </w:p>
  </w:footnote>
  <w:footnote w:id="4">
    <w:p w14:paraId="30796217" w14:textId="6C023819" w:rsidR="006407EB" w:rsidRDefault="006407EB" w:rsidP="00696B42">
      <w:pPr>
        <w:spacing w:after="0" w:line="240" w:lineRule="auto"/>
      </w:pPr>
      <w:r>
        <w:rPr>
          <w:rStyle w:val="FootnoteReference"/>
        </w:rPr>
        <w:footnoteRef/>
      </w:r>
      <w:r>
        <w:t xml:space="preserve"> </w:t>
      </w:r>
      <w:r w:rsidR="00696B42" w:rsidRPr="009B7A0F">
        <w:rPr>
          <w:sz w:val="20"/>
          <w:szCs w:val="20"/>
        </w:rPr>
        <w:t>“Colorectal Cancer Structured Reporting Protocol” (</w:t>
      </w:r>
      <w:r w:rsidR="00696B42">
        <w:rPr>
          <w:sz w:val="20"/>
          <w:szCs w:val="20"/>
        </w:rPr>
        <w:t>3rd</w:t>
      </w:r>
      <w:r w:rsidR="00696B42" w:rsidRPr="009B7A0F">
        <w:rPr>
          <w:sz w:val="20"/>
          <w:szCs w:val="20"/>
        </w:rPr>
        <w:t xml:space="preserve"> Edition 201</w:t>
      </w:r>
      <w:r w:rsidR="00696B42">
        <w:rPr>
          <w:sz w:val="20"/>
          <w:szCs w:val="20"/>
        </w:rPr>
        <w:t>6</w:t>
      </w:r>
      <w:r w:rsidR="00696B42" w:rsidRPr="009B7A0F">
        <w:rPr>
          <w:sz w:val="20"/>
          <w:szCs w:val="20"/>
        </w:rPr>
        <w:t>)</w:t>
      </w:r>
      <w:r w:rsidR="00696B42">
        <w:rPr>
          <w:sz w:val="20"/>
          <w:szCs w:val="20"/>
        </w:rPr>
        <w:t>.</w:t>
      </w:r>
      <w:r w:rsidR="00696B42" w:rsidRPr="009B7A0F">
        <w:rPr>
          <w:sz w:val="20"/>
          <w:szCs w:val="20"/>
        </w:rPr>
        <w:t xml:space="preserve"> </w:t>
      </w:r>
      <w:r w:rsidRPr="009B7A0F">
        <w:rPr>
          <w:sz w:val="20"/>
        </w:rPr>
        <w:t>Available from URL &lt;</w:t>
      </w:r>
      <w:r w:rsidRPr="005A5EAA">
        <w:t xml:space="preserve"> </w:t>
      </w:r>
      <w:hyperlink r:id="rId4" w:tooltip="RCPA website" w:history="1">
        <w:r w:rsidRPr="00866732">
          <w:rPr>
            <w:rStyle w:val="Hyperlink"/>
            <w:sz w:val="20"/>
            <w:szCs w:val="24"/>
            <w:lang w:eastAsia="en-AU"/>
          </w:rPr>
          <w:t>http://www.rcpa.edu.au/Library/Practising-Pathology/Structured-Pathology-Reporting-of-Cancer/Cancer-Protocols</w:t>
        </w:r>
      </w:hyperlink>
      <w:r>
        <w:rPr>
          <w:sz w:val="20"/>
          <w:szCs w:val="24"/>
          <w:lang w:eastAsia="en-AU"/>
        </w:rPr>
        <w:t>&gt; accessed 22 August 2016.</w:t>
      </w:r>
    </w:p>
  </w:footnote>
  <w:footnote w:id="5">
    <w:p w14:paraId="2DBF8EE8" w14:textId="7E4FAE9F" w:rsidR="006407EB" w:rsidRDefault="006407EB" w:rsidP="00696B42">
      <w:pPr>
        <w:pStyle w:val="FootnoteText"/>
      </w:pPr>
      <w:r>
        <w:rPr>
          <w:rStyle w:val="FootnoteReference"/>
        </w:rPr>
        <w:footnoteRef/>
      </w:r>
      <w:r>
        <w:t xml:space="preserve">  See s</w:t>
      </w:r>
      <w:r w:rsidRPr="00F31516">
        <w:t>ection 2</w:t>
      </w:r>
      <w:r>
        <w:t>d</w:t>
      </w:r>
      <w:r w:rsidRPr="00F31516">
        <w:t xml:space="preserve"> of the </w:t>
      </w:r>
      <w:r>
        <w:t>‘</w:t>
      </w:r>
      <w:r w:rsidRPr="00F31516">
        <w:t>Guidelines for preparing a submission to the PBAC</w:t>
      </w:r>
      <w:r>
        <w:t>’ for</w:t>
      </w:r>
      <w:r w:rsidRPr="00F31516">
        <w:t xml:space="preserve"> Product Type 4 </w:t>
      </w:r>
      <w:r>
        <w:t>– Co-dependent technologies for further details</w:t>
      </w:r>
    </w:p>
  </w:footnote>
  <w:footnote w:id="6">
    <w:p w14:paraId="03DCDB9E" w14:textId="653A2550" w:rsidR="00B64181" w:rsidRDefault="00B64181" w:rsidP="00B64181">
      <w:pPr>
        <w:pStyle w:val="FootnoteText"/>
      </w:pPr>
      <w:r>
        <w:rPr>
          <w:rStyle w:val="FootnoteReference"/>
        </w:rPr>
        <w:footnoteRef/>
      </w:r>
      <w:r>
        <w:t xml:space="preserve"> </w:t>
      </w:r>
      <w:proofErr w:type="gramStart"/>
      <w:r>
        <w:t>Available from URL &lt;</w:t>
      </w:r>
      <w:hyperlink r:id="rId5" w:tooltip="AIHW - bowel cancer webstie" w:history="1">
        <w:r w:rsidRPr="00B417F9">
          <w:rPr>
            <w:rStyle w:val="Hyperlink"/>
          </w:rPr>
          <w:t>http://www.aihw.gov.au/cancer/bowel/</w:t>
        </w:r>
      </w:hyperlink>
      <w:r>
        <w:t>&gt;, Accessed 24 August 2016.</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8692C" w14:textId="77777777" w:rsidR="006407EB" w:rsidRDefault="006407EB">
    <w:pPr>
      <w:pStyle w:val="Header"/>
    </w:pPr>
    <w:r>
      <w:rPr>
        <w:noProof/>
        <w:lang w:eastAsia="en-AU"/>
      </w:rPr>
      <mc:AlternateContent>
        <mc:Choice Requires="wps">
          <w:drawing>
            <wp:anchor distT="0" distB="0" distL="114300" distR="114300" simplePos="0" relativeHeight="251657728" behindDoc="1" locked="0" layoutInCell="0" allowOverlap="1" wp14:anchorId="5D6BC2DF" wp14:editId="0A1FCC1E">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E95FB8" w14:textId="77777777" w:rsidR="006407EB" w:rsidRDefault="006407EB" w:rsidP="00F75FB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4BE95FB8" w14:textId="77777777" w:rsidR="006407EB" w:rsidRDefault="006407EB" w:rsidP="00F75FB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624C0" w14:textId="77777777" w:rsidR="006E181A" w:rsidRDefault="006E18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D911B" w14:textId="77777777" w:rsidR="006E181A" w:rsidRDefault="006E1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28D6"/>
    <w:multiLevelType w:val="hybridMultilevel"/>
    <w:tmpl w:val="C0E0E6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A815D4"/>
    <w:multiLevelType w:val="hybridMultilevel"/>
    <w:tmpl w:val="527000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302097C"/>
    <w:multiLevelType w:val="hybridMultilevel"/>
    <w:tmpl w:val="A51E240E"/>
    <w:lvl w:ilvl="0" w:tplc="D3AAAE8C">
      <w:start w:val="1"/>
      <w:numFmt w:val="decimal"/>
      <w:pStyle w:val="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27B1EAE"/>
    <w:multiLevelType w:val="hybridMultilevel"/>
    <w:tmpl w:val="8E803C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56658FB"/>
    <w:multiLevelType w:val="hybridMultilevel"/>
    <w:tmpl w:val="3ACAAD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853119F"/>
    <w:multiLevelType w:val="hybridMultilevel"/>
    <w:tmpl w:val="34C6051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E0A4AA5"/>
    <w:multiLevelType w:val="hybridMultilevel"/>
    <w:tmpl w:val="B852D4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7D0E4993"/>
    <w:multiLevelType w:val="hybridMultilevel"/>
    <w:tmpl w:val="58924B26"/>
    <w:lvl w:ilvl="0" w:tplc="CE24F2B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2"/>
  </w:num>
  <w:num w:numId="3">
    <w:abstractNumId w:val="5"/>
  </w:num>
  <w:num w:numId="4">
    <w:abstractNumId w:val="13"/>
  </w:num>
  <w:num w:numId="5">
    <w:abstractNumId w:val="15"/>
  </w:num>
  <w:num w:numId="6">
    <w:abstractNumId w:val="8"/>
  </w:num>
  <w:num w:numId="7">
    <w:abstractNumId w:val="4"/>
  </w:num>
  <w:num w:numId="8">
    <w:abstractNumId w:val="3"/>
  </w:num>
  <w:num w:numId="9">
    <w:abstractNumId w:val="9"/>
  </w:num>
  <w:num w:numId="10">
    <w:abstractNumId w:val="7"/>
  </w:num>
  <w:num w:numId="11">
    <w:abstractNumId w:val="14"/>
  </w:num>
  <w:num w:numId="12">
    <w:abstractNumId w:val="6"/>
  </w:num>
  <w:num w:numId="13">
    <w:abstractNumId w:val="1"/>
  </w:num>
  <w:num w:numId="14">
    <w:abstractNumId w:val="16"/>
  </w:num>
  <w:num w:numId="15">
    <w:abstractNumId w:val="11"/>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UofA (Style Manual Australia 6th ed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eavvzdrht9v5oepf0av9tpn02r2trradver&quot;&gt;dMMR for CRC&lt;record-ids&gt;&lt;item&gt;7&lt;/item&gt;&lt;item&gt;9&lt;/item&gt;&lt;item&gt;10&lt;/item&gt;&lt;item&gt;11&lt;/item&gt;&lt;item&gt;14&lt;/item&gt;&lt;item&gt;23&lt;/item&gt;&lt;item&gt;27&lt;/item&gt;&lt;item&gt;29&lt;/item&gt;&lt;item&gt;30&lt;/item&gt;&lt;item&gt;31&lt;/item&gt;&lt;item&gt;32&lt;/item&gt;&lt;/record-ids&gt;&lt;/item&gt;&lt;/Libraries&gt;"/>
  </w:docVars>
  <w:rsids>
    <w:rsidRoot w:val="0044715D"/>
    <w:rsid w:val="00002118"/>
    <w:rsid w:val="00004548"/>
    <w:rsid w:val="000057B9"/>
    <w:rsid w:val="00014325"/>
    <w:rsid w:val="00014375"/>
    <w:rsid w:val="00021F5A"/>
    <w:rsid w:val="00032F32"/>
    <w:rsid w:val="00063AC8"/>
    <w:rsid w:val="00065DA5"/>
    <w:rsid w:val="0007333A"/>
    <w:rsid w:val="0008659B"/>
    <w:rsid w:val="00097766"/>
    <w:rsid w:val="000A0FBA"/>
    <w:rsid w:val="000B2BF2"/>
    <w:rsid w:val="000B50A5"/>
    <w:rsid w:val="000B519A"/>
    <w:rsid w:val="000C6D71"/>
    <w:rsid w:val="000E62F5"/>
    <w:rsid w:val="000E7E5C"/>
    <w:rsid w:val="000F7DA1"/>
    <w:rsid w:val="00102C05"/>
    <w:rsid w:val="001168B5"/>
    <w:rsid w:val="0014513E"/>
    <w:rsid w:val="001455EC"/>
    <w:rsid w:val="001526E6"/>
    <w:rsid w:val="00155937"/>
    <w:rsid w:val="00164CFC"/>
    <w:rsid w:val="00185964"/>
    <w:rsid w:val="00185A78"/>
    <w:rsid w:val="00187D99"/>
    <w:rsid w:val="00190478"/>
    <w:rsid w:val="00191E53"/>
    <w:rsid w:val="00197879"/>
    <w:rsid w:val="001A1EB6"/>
    <w:rsid w:val="001A6B96"/>
    <w:rsid w:val="001B2594"/>
    <w:rsid w:val="001B3744"/>
    <w:rsid w:val="001C418E"/>
    <w:rsid w:val="001E2739"/>
    <w:rsid w:val="001F2770"/>
    <w:rsid w:val="001F2B41"/>
    <w:rsid w:val="002045B0"/>
    <w:rsid w:val="002259DC"/>
    <w:rsid w:val="00236C91"/>
    <w:rsid w:val="00242833"/>
    <w:rsid w:val="00263F78"/>
    <w:rsid w:val="00267019"/>
    <w:rsid w:val="0026766B"/>
    <w:rsid w:val="002704AA"/>
    <w:rsid w:val="002709A7"/>
    <w:rsid w:val="00276CAC"/>
    <w:rsid w:val="002777DE"/>
    <w:rsid w:val="00290BF9"/>
    <w:rsid w:val="00292DE9"/>
    <w:rsid w:val="002A03CE"/>
    <w:rsid w:val="002A0773"/>
    <w:rsid w:val="002A4909"/>
    <w:rsid w:val="002A66BD"/>
    <w:rsid w:val="002A679F"/>
    <w:rsid w:val="002B226C"/>
    <w:rsid w:val="002B3338"/>
    <w:rsid w:val="002B50A5"/>
    <w:rsid w:val="002B779D"/>
    <w:rsid w:val="002C1D6F"/>
    <w:rsid w:val="002C7FCB"/>
    <w:rsid w:val="002F0982"/>
    <w:rsid w:val="00300144"/>
    <w:rsid w:val="00303C94"/>
    <w:rsid w:val="00303F73"/>
    <w:rsid w:val="00305794"/>
    <w:rsid w:val="003322F6"/>
    <w:rsid w:val="003353F1"/>
    <w:rsid w:val="00345876"/>
    <w:rsid w:val="00354F74"/>
    <w:rsid w:val="00362776"/>
    <w:rsid w:val="003723EA"/>
    <w:rsid w:val="00377AFA"/>
    <w:rsid w:val="00382875"/>
    <w:rsid w:val="00383F1F"/>
    <w:rsid w:val="00385AE3"/>
    <w:rsid w:val="00395A27"/>
    <w:rsid w:val="003A7A02"/>
    <w:rsid w:val="003C4337"/>
    <w:rsid w:val="003C4387"/>
    <w:rsid w:val="003D699E"/>
    <w:rsid w:val="003E02C4"/>
    <w:rsid w:val="003E0382"/>
    <w:rsid w:val="003E362F"/>
    <w:rsid w:val="003E6BD0"/>
    <w:rsid w:val="003F3DBD"/>
    <w:rsid w:val="003F6323"/>
    <w:rsid w:val="003F7944"/>
    <w:rsid w:val="00400EE2"/>
    <w:rsid w:val="00407525"/>
    <w:rsid w:val="00411511"/>
    <w:rsid w:val="004227D0"/>
    <w:rsid w:val="0042483F"/>
    <w:rsid w:val="00440228"/>
    <w:rsid w:val="0044715D"/>
    <w:rsid w:val="004546B5"/>
    <w:rsid w:val="004649AB"/>
    <w:rsid w:val="004A187C"/>
    <w:rsid w:val="004A27EE"/>
    <w:rsid w:val="004B333E"/>
    <w:rsid w:val="004B7861"/>
    <w:rsid w:val="004C1FA9"/>
    <w:rsid w:val="004D1D41"/>
    <w:rsid w:val="004D5A82"/>
    <w:rsid w:val="0050158C"/>
    <w:rsid w:val="005036D6"/>
    <w:rsid w:val="00506CE9"/>
    <w:rsid w:val="00521C35"/>
    <w:rsid w:val="00524910"/>
    <w:rsid w:val="00543A25"/>
    <w:rsid w:val="005536FC"/>
    <w:rsid w:val="00553F14"/>
    <w:rsid w:val="00554695"/>
    <w:rsid w:val="005640CC"/>
    <w:rsid w:val="005755F4"/>
    <w:rsid w:val="00580698"/>
    <w:rsid w:val="005A06D9"/>
    <w:rsid w:val="005A5EAA"/>
    <w:rsid w:val="005B2C5B"/>
    <w:rsid w:val="005B75CF"/>
    <w:rsid w:val="005C5B8D"/>
    <w:rsid w:val="005C5E6F"/>
    <w:rsid w:val="005D1189"/>
    <w:rsid w:val="005D7FC6"/>
    <w:rsid w:val="005E211B"/>
    <w:rsid w:val="005E450F"/>
    <w:rsid w:val="005E5FFE"/>
    <w:rsid w:val="005E70BB"/>
    <w:rsid w:val="005F4702"/>
    <w:rsid w:val="005F4D2F"/>
    <w:rsid w:val="00605C3A"/>
    <w:rsid w:val="006074EE"/>
    <w:rsid w:val="00615737"/>
    <w:rsid w:val="00622431"/>
    <w:rsid w:val="00627B5C"/>
    <w:rsid w:val="006407EB"/>
    <w:rsid w:val="00644920"/>
    <w:rsid w:val="0065246D"/>
    <w:rsid w:val="00652FF8"/>
    <w:rsid w:val="00653F95"/>
    <w:rsid w:val="00655327"/>
    <w:rsid w:val="006623FE"/>
    <w:rsid w:val="00665D93"/>
    <w:rsid w:val="00673C5E"/>
    <w:rsid w:val="00676AF4"/>
    <w:rsid w:val="006827E0"/>
    <w:rsid w:val="006852E1"/>
    <w:rsid w:val="006855B3"/>
    <w:rsid w:val="00694C7F"/>
    <w:rsid w:val="00696B42"/>
    <w:rsid w:val="006A057F"/>
    <w:rsid w:val="006A2F46"/>
    <w:rsid w:val="006B6204"/>
    <w:rsid w:val="006C354B"/>
    <w:rsid w:val="006C6E9D"/>
    <w:rsid w:val="006D1643"/>
    <w:rsid w:val="006D7F33"/>
    <w:rsid w:val="006E181A"/>
    <w:rsid w:val="006E5948"/>
    <w:rsid w:val="006E5B44"/>
    <w:rsid w:val="006E7D7C"/>
    <w:rsid w:val="006F00B5"/>
    <w:rsid w:val="006F1741"/>
    <w:rsid w:val="006F1FB9"/>
    <w:rsid w:val="006F4093"/>
    <w:rsid w:val="00701B16"/>
    <w:rsid w:val="00721FBB"/>
    <w:rsid w:val="00734F81"/>
    <w:rsid w:val="00736C67"/>
    <w:rsid w:val="0073757B"/>
    <w:rsid w:val="00744D7B"/>
    <w:rsid w:val="00751006"/>
    <w:rsid w:val="00752491"/>
    <w:rsid w:val="0078607B"/>
    <w:rsid w:val="007919DA"/>
    <w:rsid w:val="007A0568"/>
    <w:rsid w:val="007A3799"/>
    <w:rsid w:val="007A4E2C"/>
    <w:rsid w:val="007A5B69"/>
    <w:rsid w:val="007A77E8"/>
    <w:rsid w:val="007C0853"/>
    <w:rsid w:val="007C1408"/>
    <w:rsid w:val="007C2705"/>
    <w:rsid w:val="007C5970"/>
    <w:rsid w:val="007C6C09"/>
    <w:rsid w:val="007D0992"/>
    <w:rsid w:val="007D1680"/>
    <w:rsid w:val="007D7445"/>
    <w:rsid w:val="007E1DCD"/>
    <w:rsid w:val="007E7E23"/>
    <w:rsid w:val="007F3CFA"/>
    <w:rsid w:val="007F4E20"/>
    <w:rsid w:val="00805824"/>
    <w:rsid w:val="008135E4"/>
    <w:rsid w:val="00823AE0"/>
    <w:rsid w:val="008268EF"/>
    <w:rsid w:val="00831CA9"/>
    <w:rsid w:val="008324A3"/>
    <w:rsid w:val="00841CF5"/>
    <w:rsid w:val="00843A3C"/>
    <w:rsid w:val="00845DC6"/>
    <w:rsid w:val="00850DD9"/>
    <w:rsid w:val="00855861"/>
    <w:rsid w:val="00857054"/>
    <w:rsid w:val="00867405"/>
    <w:rsid w:val="00870120"/>
    <w:rsid w:val="00870245"/>
    <w:rsid w:val="008706D6"/>
    <w:rsid w:val="00874BA7"/>
    <w:rsid w:val="008757BF"/>
    <w:rsid w:val="008866B1"/>
    <w:rsid w:val="00890394"/>
    <w:rsid w:val="00896845"/>
    <w:rsid w:val="008A2C43"/>
    <w:rsid w:val="008A3D0D"/>
    <w:rsid w:val="008B17B6"/>
    <w:rsid w:val="008B325C"/>
    <w:rsid w:val="008C3E5E"/>
    <w:rsid w:val="008D191C"/>
    <w:rsid w:val="008E775F"/>
    <w:rsid w:val="008F02B1"/>
    <w:rsid w:val="008F1BDE"/>
    <w:rsid w:val="008F2FA1"/>
    <w:rsid w:val="00900500"/>
    <w:rsid w:val="009047D4"/>
    <w:rsid w:val="00911B47"/>
    <w:rsid w:val="00915AAE"/>
    <w:rsid w:val="00923A7E"/>
    <w:rsid w:val="009245FB"/>
    <w:rsid w:val="00925EDD"/>
    <w:rsid w:val="009268B4"/>
    <w:rsid w:val="00936F44"/>
    <w:rsid w:val="00953ED7"/>
    <w:rsid w:val="00954015"/>
    <w:rsid w:val="009567C4"/>
    <w:rsid w:val="00965943"/>
    <w:rsid w:val="00974BC7"/>
    <w:rsid w:val="009805A2"/>
    <w:rsid w:val="00990572"/>
    <w:rsid w:val="00995517"/>
    <w:rsid w:val="00996CD3"/>
    <w:rsid w:val="009B2B4B"/>
    <w:rsid w:val="009B7A0F"/>
    <w:rsid w:val="009C1166"/>
    <w:rsid w:val="009C441F"/>
    <w:rsid w:val="009E5295"/>
    <w:rsid w:val="009E73AB"/>
    <w:rsid w:val="009F05FF"/>
    <w:rsid w:val="009F530B"/>
    <w:rsid w:val="00A06CF5"/>
    <w:rsid w:val="00A24E52"/>
    <w:rsid w:val="00A27C5A"/>
    <w:rsid w:val="00A34545"/>
    <w:rsid w:val="00A34A5A"/>
    <w:rsid w:val="00A42401"/>
    <w:rsid w:val="00A52C04"/>
    <w:rsid w:val="00A601AC"/>
    <w:rsid w:val="00A64B73"/>
    <w:rsid w:val="00A66AA4"/>
    <w:rsid w:val="00A812C5"/>
    <w:rsid w:val="00A8134A"/>
    <w:rsid w:val="00A83C98"/>
    <w:rsid w:val="00A847B7"/>
    <w:rsid w:val="00A84A56"/>
    <w:rsid w:val="00AA7078"/>
    <w:rsid w:val="00AA784E"/>
    <w:rsid w:val="00AA7D5E"/>
    <w:rsid w:val="00AB1B12"/>
    <w:rsid w:val="00AB1F47"/>
    <w:rsid w:val="00AD24AF"/>
    <w:rsid w:val="00AD2B95"/>
    <w:rsid w:val="00AE0ADE"/>
    <w:rsid w:val="00AE102A"/>
    <w:rsid w:val="00B02F00"/>
    <w:rsid w:val="00B0636F"/>
    <w:rsid w:val="00B13BEA"/>
    <w:rsid w:val="00B13D92"/>
    <w:rsid w:val="00B24B1D"/>
    <w:rsid w:val="00B25680"/>
    <w:rsid w:val="00B33103"/>
    <w:rsid w:val="00B45971"/>
    <w:rsid w:val="00B46A0A"/>
    <w:rsid w:val="00B64181"/>
    <w:rsid w:val="00B74B4D"/>
    <w:rsid w:val="00B750FF"/>
    <w:rsid w:val="00B83C0D"/>
    <w:rsid w:val="00B85B4F"/>
    <w:rsid w:val="00B85BAE"/>
    <w:rsid w:val="00B85D39"/>
    <w:rsid w:val="00B966E6"/>
    <w:rsid w:val="00BA0E55"/>
    <w:rsid w:val="00BA4826"/>
    <w:rsid w:val="00BA63AA"/>
    <w:rsid w:val="00BC000C"/>
    <w:rsid w:val="00BC1724"/>
    <w:rsid w:val="00BC4E81"/>
    <w:rsid w:val="00BD2174"/>
    <w:rsid w:val="00BD6429"/>
    <w:rsid w:val="00BE7108"/>
    <w:rsid w:val="00BF5405"/>
    <w:rsid w:val="00BF5E58"/>
    <w:rsid w:val="00C025EA"/>
    <w:rsid w:val="00C03CD8"/>
    <w:rsid w:val="00C16569"/>
    <w:rsid w:val="00C504CD"/>
    <w:rsid w:val="00C52514"/>
    <w:rsid w:val="00C529A2"/>
    <w:rsid w:val="00C61965"/>
    <w:rsid w:val="00C62370"/>
    <w:rsid w:val="00C63A94"/>
    <w:rsid w:val="00C660BB"/>
    <w:rsid w:val="00C702C2"/>
    <w:rsid w:val="00C70D20"/>
    <w:rsid w:val="00C8327A"/>
    <w:rsid w:val="00C852E8"/>
    <w:rsid w:val="00C93D64"/>
    <w:rsid w:val="00C954BE"/>
    <w:rsid w:val="00C9630A"/>
    <w:rsid w:val="00CB578F"/>
    <w:rsid w:val="00CB6810"/>
    <w:rsid w:val="00CC4548"/>
    <w:rsid w:val="00CC60B0"/>
    <w:rsid w:val="00CC7676"/>
    <w:rsid w:val="00CE559A"/>
    <w:rsid w:val="00CE6012"/>
    <w:rsid w:val="00CE7DB1"/>
    <w:rsid w:val="00CF31A2"/>
    <w:rsid w:val="00CF4F01"/>
    <w:rsid w:val="00D02B69"/>
    <w:rsid w:val="00D07744"/>
    <w:rsid w:val="00D140E2"/>
    <w:rsid w:val="00D20984"/>
    <w:rsid w:val="00D226D1"/>
    <w:rsid w:val="00D26848"/>
    <w:rsid w:val="00D4564A"/>
    <w:rsid w:val="00D45FDE"/>
    <w:rsid w:val="00D46C89"/>
    <w:rsid w:val="00D52B07"/>
    <w:rsid w:val="00D61C86"/>
    <w:rsid w:val="00D64A29"/>
    <w:rsid w:val="00D71519"/>
    <w:rsid w:val="00D72055"/>
    <w:rsid w:val="00D86BB4"/>
    <w:rsid w:val="00D91BDE"/>
    <w:rsid w:val="00D975EC"/>
    <w:rsid w:val="00D97B24"/>
    <w:rsid w:val="00DB2FC7"/>
    <w:rsid w:val="00DB3CD9"/>
    <w:rsid w:val="00DB7444"/>
    <w:rsid w:val="00DC768F"/>
    <w:rsid w:val="00DD46D0"/>
    <w:rsid w:val="00DD570B"/>
    <w:rsid w:val="00DE3D6C"/>
    <w:rsid w:val="00DE602D"/>
    <w:rsid w:val="00DE7839"/>
    <w:rsid w:val="00DF4374"/>
    <w:rsid w:val="00DF79B3"/>
    <w:rsid w:val="00E10AB7"/>
    <w:rsid w:val="00E152CA"/>
    <w:rsid w:val="00E16108"/>
    <w:rsid w:val="00E364F7"/>
    <w:rsid w:val="00E37633"/>
    <w:rsid w:val="00E40E64"/>
    <w:rsid w:val="00E4287B"/>
    <w:rsid w:val="00E444CF"/>
    <w:rsid w:val="00E46B27"/>
    <w:rsid w:val="00E46C0B"/>
    <w:rsid w:val="00E76566"/>
    <w:rsid w:val="00E77F5A"/>
    <w:rsid w:val="00E83EA4"/>
    <w:rsid w:val="00E8709A"/>
    <w:rsid w:val="00E904CF"/>
    <w:rsid w:val="00E968F6"/>
    <w:rsid w:val="00EB2B37"/>
    <w:rsid w:val="00EC103D"/>
    <w:rsid w:val="00EC35B9"/>
    <w:rsid w:val="00EC4089"/>
    <w:rsid w:val="00ED23F4"/>
    <w:rsid w:val="00ED359C"/>
    <w:rsid w:val="00EE7A1F"/>
    <w:rsid w:val="00EF09A5"/>
    <w:rsid w:val="00EF6479"/>
    <w:rsid w:val="00F0186F"/>
    <w:rsid w:val="00F12E59"/>
    <w:rsid w:val="00F22348"/>
    <w:rsid w:val="00F225E2"/>
    <w:rsid w:val="00F31516"/>
    <w:rsid w:val="00F347BA"/>
    <w:rsid w:val="00F349EB"/>
    <w:rsid w:val="00F3535E"/>
    <w:rsid w:val="00F427D7"/>
    <w:rsid w:val="00F42A08"/>
    <w:rsid w:val="00F56E14"/>
    <w:rsid w:val="00F63CCE"/>
    <w:rsid w:val="00F64E40"/>
    <w:rsid w:val="00F65A7A"/>
    <w:rsid w:val="00F65D23"/>
    <w:rsid w:val="00F66C65"/>
    <w:rsid w:val="00F7416C"/>
    <w:rsid w:val="00F75FB0"/>
    <w:rsid w:val="00F91154"/>
    <w:rsid w:val="00F920D6"/>
    <w:rsid w:val="00F95A79"/>
    <w:rsid w:val="00F96BA5"/>
    <w:rsid w:val="00FA522E"/>
    <w:rsid w:val="00FC3F20"/>
    <w:rsid w:val="00FC57FF"/>
    <w:rsid w:val="00FC752E"/>
    <w:rsid w:val="00FD1233"/>
    <w:rsid w:val="00FD2686"/>
    <w:rsid w:val="00FD6BEC"/>
    <w:rsid w:val="00FD7AB6"/>
    <w:rsid w:val="00FF2E60"/>
    <w:rsid w:val="00FF5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A3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019"/>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6E181A"/>
    <w:pPr>
      <w:keepNext/>
      <w:keepLines/>
      <w:numPr>
        <w:numId w:val="12"/>
      </w:numPr>
      <w:spacing w:before="120" w:after="120" w:line="240" w:lineRule="auto"/>
      <w:jc w:val="both"/>
      <w:outlineLvl w:val="1"/>
    </w:pPr>
    <w:rPr>
      <w:rFonts w:eastAsia="MS Gothic"/>
      <w:b/>
      <w:bCs/>
      <w:i/>
      <w:color w:val="1F497D" w:themeColor="text2"/>
      <w:szCs w:val="26"/>
      <w:u w:val="single"/>
    </w:rPr>
  </w:style>
  <w:style w:type="paragraph" w:styleId="Heading3">
    <w:name w:val="heading 3"/>
    <w:basedOn w:val="Normal"/>
    <w:next w:val="Normal"/>
    <w:link w:val="Heading3Char"/>
    <w:uiPriority w:val="9"/>
    <w:unhideWhenUsed/>
    <w:qFormat/>
    <w:rsid w:val="00303F73"/>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181A"/>
    <w:rPr>
      <w:rFonts w:ascii="Calibri" w:eastAsia="MS Gothic" w:hAnsi="Calibri" w:cs="Times New Roman"/>
      <w:b/>
      <w:bCs/>
      <w:i/>
      <w:color w:val="1F497D" w:themeColor="text2"/>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6E181A"/>
    <w:pPr>
      <w:spacing w:line="240" w:lineRule="auto"/>
    </w:pPr>
    <w:rPr>
      <w:rFonts w:ascii="Calibri" w:eastAsia="Calibri" w:hAnsi="Calibri" w:cs="Calibri"/>
      <w:b/>
      <w:bCs/>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F75FB0"/>
    <w:pPr>
      <w:spacing w:before="100" w:beforeAutospacing="1" w:after="100" w:afterAutospacing="1" w:line="240" w:lineRule="auto"/>
    </w:pPr>
    <w:rPr>
      <w:rFonts w:ascii="Times New Roman" w:eastAsiaTheme="minorEastAsia" w:hAnsi="Times New Roman"/>
      <w:sz w:val="24"/>
      <w:szCs w:val="24"/>
      <w:lang w:eastAsia="en-AU"/>
    </w:rPr>
  </w:style>
  <w:style w:type="table" w:customStyle="1" w:styleId="TableGrid11">
    <w:name w:val="Table Grid11"/>
    <w:basedOn w:val="TableNormal"/>
    <w:next w:val="TableGrid"/>
    <w:uiPriority w:val="59"/>
    <w:rsid w:val="00CE6012"/>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D16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168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7D1680"/>
    <w:rPr>
      <w:vertAlign w:val="superscript"/>
    </w:rPr>
  </w:style>
  <w:style w:type="character" w:customStyle="1" w:styleId="Heading3Char">
    <w:name w:val="Heading 3 Char"/>
    <w:basedOn w:val="DefaultParagraphFont"/>
    <w:link w:val="Heading3"/>
    <w:uiPriority w:val="9"/>
    <w:rsid w:val="00303F73"/>
    <w:rPr>
      <w:rFonts w:ascii="Calibri" w:eastAsia="Calibri" w:hAnsi="Calibri" w:cs="Times New Roman"/>
      <w:b/>
      <w:sz w:val="22"/>
    </w:rPr>
  </w:style>
  <w:style w:type="character" w:customStyle="1" w:styleId="li-content">
    <w:name w:val="li-content"/>
    <w:basedOn w:val="DefaultParagraphFont"/>
    <w:rsid w:val="004649AB"/>
  </w:style>
  <w:style w:type="paragraph" w:customStyle="1" w:styleId="EndNoteBibliographyTitle">
    <w:name w:val="EndNote Bibliography Title"/>
    <w:basedOn w:val="Normal"/>
    <w:link w:val="EndNoteBibliographyTitleChar"/>
    <w:rsid w:val="006407EB"/>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6407EB"/>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6407EB"/>
    <w:pPr>
      <w:spacing w:line="240" w:lineRule="auto"/>
    </w:pPr>
    <w:rPr>
      <w:noProof/>
      <w:lang w:val="en-US"/>
    </w:rPr>
  </w:style>
  <w:style w:type="character" w:customStyle="1" w:styleId="EndNoteBibliographyChar">
    <w:name w:val="EndNote Bibliography Char"/>
    <w:basedOn w:val="DefaultParagraphFont"/>
    <w:link w:val="EndNoteBibliography"/>
    <w:rsid w:val="006407EB"/>
    <w:rPr>
      <w:rFonts w:ascii="Calibri" w:eastAsia="Calibri" w:hAnsi="Calibri" w:cs="Times New Roman"/>
      <w:noProof/>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019"/>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6E181A"/>
    <w:pPr>
      <w:keepNext/>
      <w:keepLines/>
      <w:numPr>
        <w:numId w:val="12"/>
      </w:numPr>
      <w:spacing w:before="120" w:after="120" w:line="240" w:lineRule="auto"/>
      <w:jc w:val="both"/>
      <w:outlineLvl w:val="1"/>
    </w:pPr>
    <w:rPr>
      <w:rFonts w:eastAsia="MS Gothic"/>
      <w:b/>
      <w:bCs/>
      <w:i/>
      <w:color w:val="1F497D" w:themeColor="text2"/>
      <w:szCs w:val="26"/>
      <w:u w:val="single"/>
    </w:rPr>
  </w:style>
  <w:style w:type="paragraph" w:styleId="Heading3">
    <w:name w:val="heading 3"/>
    <w:basedOn w:val="Normal"/>
    <w:next w:val="Normal"/>
    <w:link w:val="Heading3Char"/>
    <w:uiPriority w:val="9"/>
    <w:unhideWhenUsed/>
    <w:qFormat/>
    <w:rsid w:val="00303F73"/>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181A"/>
    <w:rPr>
      <w:rFonts w:ascii="Calibri" w:eastAsia="MS Gothic" w:hAnsi="Calibri" w:cs="Times New Roman"/>
      <w:b/>
      <w:bCs/>
      <w:i/>
      <w:color w:val="1F497D" w:themeColor="text2"/>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6E181A"/>
    <w:pPr>
      <w:spacing w:line="240" w:lineRule="auto"/>
    </w:pPr>
    <w:rPr>
      <w:rFonts w:ascii="Calibri" w:eastAsia="Calibri" w:hAnsi="Calibri" w:cs="Calibri"/>
      <w:b/>
      <w:bCs/>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F75FB0"/>
    <w:pPr>
      <w:spacing w:before="100" w:beforeAutospacing="1" w:after="100" w:afterAutospacing="1" w:line="240" w:lineRule="auto"/>
    </w:pPr>
    <w:rPr>
      <w:rFonts w:ascii="Times New Roman" w:eastAsiaTheme="minorEastAsia" w:hAnsi="Times New Roman"/>
      <w:sz w:val="24"/>
      <w:szCs w:val="24"/>
      <w:lang w:eastAsia="en-AU"/>
    </w:rPr>
  </w:style>
  <w:style w:type="table" w:customStyle="1" w:styleId="TableGrid11">
    <w:name w:val="Table Grid11"/>
    <w:basedOn w:val="TableNormal"/>
    <w:next w:val="TableGrid"/>
    <w:uiPriority w:val="59"/>
    <w:rsid w:val="00CE6012"/>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D16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168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7D1680"/>
    <w:rPr>
      <w:vertAlign w:val="superscript"/>
    </w:rPr>
  </w:style>
  <w:style w:type="character" w:customStyle="1" w:styleId="Heading3Char">
    <w:name w:val="Heading 3 Char"/>
    <w:basedOn w:val="DefaultParagraphFont"/>
    <w:link w:val="Heading3"/>
    <w:uiPriority w:val="9"/>
    <w:rsid w:val="00303F73"/>
    <w:rPr>
      <w:rFonts w:ascii="Calibri" w:eastAsia="Calibri" w:hAnsi="Calibri" w:cs="Times New Roman"/>
      <w:b/>
      <w:sz w:val="22"/>
    </w:rPr>
  </w:style>
  <w:style w:type="character" w:customStyle="1" w:styleId="li-content">
    <w:name w:val="li-content"/>
    <w:basedOn w:val="DefaultParagraphFont"/>
    <w:rsid w:val="004649AB"/>
  </w:style>
  <w:style w:type="paragraph" w:customStyle="1" w:styleId="EndNoteBibliographyTitle">
    <w:name w:val="EndNote Bibliography Title"/>
    <w:basedOn w:val="Normal"/>
    <w:link w:val="EndNoteBibliographyTitleChar"/>
    <w:rsid w:val="006407EB"/>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6407EB"/>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6407EB"/>
    <w:pPr>
      <w:spacing w:line="240" w:lineRule="auto"/>
    </w:pPr>
    <w:rPr>
      <w:noProof/>
      <w:lang w:val="en-US"/>
    </w:rPr>
  </w:style>
  <w:style w:type="character" w:customStyle="1" w:styleId="EndNoteBibliographyChar">
    <w:name w:val="EndNote Bibliography Char"/>
    <w:basedOn w:val="DefaultParagraphFont"/>
    <w:link w:val="EndNoteBibliography"/>
    <w:rsid w:val="006407EB"/>
    <w:rPr>
      <w:rFonts w:ascii="Calibri" w:eastAsia="Calibri" w:hAnsi="Calibri" w:cs="Times New Roman"/>
      <w:noProof/>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rcpa.edu.au/Library/Practising-Pathology/Structured-Pathology-Reporting-of-Cancer/Cancer-Protocols" TargetMode="External"/><Relationship Id="rId2" Type="http://schemas.openxmlformats.org/officeDocument/2006/relationships/hyperlink" Target="http://www.aihw.gov.au/cancer/bowel/" TargetMode="External"/><Relationship Id="rId1" Type="http://schemas.openxmlformats.org/officeDocument/2006/relationships/hyperlink" Target="http://www.aihw.gov.au/cancer/bowel/" TargetMode="External"/><Relationship Id="rId5" Type="http://schemas.openxmlformats.org/officeDocument/2006/relationships/hyperlink" Target="http://www.aihw.gov.au/cancer/bowel/" TargetMode="External"/><Relationship Id="rId4" Type="http://schemas.openxmlformats.org/officeDocument/2006/relationships/hyperlink" Target="http://www.rcpa.edu.au/Library/Practising-Pathology/Structured-Pathology-Reporting-of-Cancer/Cancer-Protoc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D3069-C6EE-448F-B891-BD5EFDA8C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8343</Words>
  <Characters>47556</Characters>
  <Application>Microsoft Office Word</Application>
  <DocSecurity>0</DocSecurity>
  <Lines>396</Lines>
  <Paragraphs>111</Paragraphs>
  <ScaleCrop>false</ScaleCrop>
  <Company/>
  <LinksUpToDate>false</LinksUpToDate>
  <CharactersWithSpaces>55788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1452 PICO Confirmation</dc:title>
  <dc:creator/>
  <cp:lastModifiedBy/>
  <cp:revision>1</cp:revision>
  <dcterms:created xsi:type="dcterms:W3CDTF">2016-11-24T04:07:00Z</dcterms:created>
  <dcterms:modified xsi:type="dcterms:W3CDTF">2016-11-24T04:10:00Z</dcterms:modified>
</cp:coreProperties>
</file>