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A1050" w14:textId="77777777" w:rsidR="009E7AB6" w:rsidRPr="00707064" w:rsidRDefault="009E7AB6" w:rsidP="009E7AB6">
      <w:pPr>
        <w:spacing w:after="240"/>
        <w:jc w:val="center"/>
        <w:rPr>
          <w:b/>
          <w:i/>
          <w:szCs w:val="24"/>
          <w:highlight w:val="yellow"/>
        </w:rPr>
      </w:pPr>
      <w:r>
        <w:rPr>
          <w:rFonts w:ascii="Arial" w:hAnsi="Arial" w:cs="Arial"/>
          <w:b/>
          <w:noProof/>
          <w:color w:val="000080"/>
          <w:sz w:val="28"/>
          <w:szCs w:val="28"/>
        </w:rPr>
        <w:drawing>
          <wp:inline distT="0" distB="0" distL="0" distR="0" wp14:anchorId="327D7962" wp14:editId="12A66964">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280CE76" w14:textId="77777777" w:rsidR="009E7AB6" w:rsidRPr="00F715D1" w:rsidRDefault="009E7AB6" w:rsidP="009E7AB6">
      <w:pPr>
        <w:pStyle w:val="Title"/>
        <w:tabs>
          <w:tab w:val="left" w:pos="1926"/>
          <w:tab w:val="center" w:pos="4513"/>
        </w:tabs>
        <w:jc w:val="left"/>
      </w:pPr>
      <w:r>
        <w:tab/>
      </w:r>
      <w:r>
        <w:tab/>
      </w:r>
      <w:r w:rsidRPr="00F715D1">
        <w:t>Public Summary Document</w:t>
      </w:r>
    </w:p>
    <w:p w14:paraId="1F456B50" w14:textId="321C06C4" w:rsidR="006B241A" w:rsidRPr="009E7AB6" w:rsidRDefault="009E7AB6" w:rsidP="009E7AB6">
      <w:pPr>
        <w:pStyle w:val="Subtitle"/>
      </w:pPr>
      <w:r>
        <w:t xml:space="preserve">Application </w:t>
      </w:r>
      <w:r w:rsidR="002F020F" w:rsidRPr="009E7AB6">
        <w:t>1651 – Integrated, closed-system, extracorporeal photopheresis systems for the treatment of chronic graft-versus-host disease</w:t>
      </w:r>
    </w:p>
    <w:p w14:paraId="6044D050" w14:textId="2D9B3500" w:rsidR="00981B45" w:rsidRPr="009E7AB6" w:rsidRDefault="00981B45" w:rsidP="009E7AB6">
      <w:pPr>
        <w:tabs>
          <w:tab w:val="left" w:pos="3686"/>
        </w:tabs>
        <w:spacing w:after="240"/>
        <w:rPr>
          <w:rFonts w:ascii="Arial" w:hAnsi="Arial" w:cs="Arial"/>
          <w:b/>
          <w:szCs w:val="24"/>
        </w:rPr>
      </w:pPr>
      <w:r w:rsidRPr="009E7AB6">
        <w:rPr>
          <w:rFonts w:ascii="Arial" w:hAnsi="Arial" w:cs="Arial"/>
          <w:b/>
          <w:szCs w:val="24"/>
        </w:rPr>
        <w:t>Applicant: Mallinckrodt Pharmaceuticals and Terumo BCT Australia</w:t>
      </w:r>
      <w:r w:rsidR="0034138C">
        <w:rPr>
          <w:rFonts w:ascii="Arial" w:hAnsi="Arial" w:cs="Arial"/>
          <w:b/>
          <w:szCs w:val="24"/>
        </w:rPr>
        <w:t xml:space="preserve"> Pty Limited</w:t>
      </w:r>
    </w:p>
    <w:p w14:paraId="453299BA" w14:textId="76147A7D" w:rsidR="00065623" w:rsidRPr="009E7AB6" w:rsidRDefault="00676C49" w:rsidP="009E7AB6">
      <w:pPr>
        <w:tabs>
          <w:tab w:val="left" w:pos="3686"/>
        </w:tabs>
        <w:spacing w:after="240"/>
        <w:rPr>
          <w:rFonts w:ascii="Arial" w:hAnsi="Arial" w:cs="Arial"/>
          <w:b/>
          <w:szCs w:val="24"/>
        </w:rPr>
      </w:pPr>
      <w:r w:rsidRPr="009E7AB6">
        <w:rPr>
          <w:rFonts w:ascii="Arial" w:hAnsi="Arial" w:cs="Arial"/>
          <w:b/>
          <w:szCs w:val="24"/>
        </w:rPr>
        <w:t xml:space="preserve">Date of </w:t>
      </w:r>
      <w:r w:rsidR="009E7AB6">
        <w:rPr>
          <w:rFonts w:ascii="Arial" w:hAnsi="Arial" w:cs="Arial"/>
          <w:b/>
          <w:szCs w:val="24"/>
        </w:rPr>
        <w:t>MSAC</w:t>
      </w:r>
      <w:r w:rsidRPr="009E7AB6">
        <w:rPr>
          <w:rFonts w:ascii="Arial" w:hAnsi="Arial" w:cs="Arial"/>
          <w:b/>
          <w:szCs w:val="24"/>
        </w:rPr>
        <w:t xml:space="preserve"> </w:t>
      </w:r>
      <w:r w:rsidR="00065623" w:rsidRPr="009E7AB6">
        <w:rPr>
          <w:rFonts w:ascii="Arial" w:hAnsi="Arial" w:cs="Arial"/>
          <w:b/>
          <w:szCs w:val="24"/>
        </w:rPr>
        <w:t>consideration:</w:t>
      </w:r>
      <w:r w:rsidR="00471BF1" w:rsidRPr="009E7AB6">
        <w:rPr>
          <w:rFonts w:ascii="Arial" w:hAnsi="Arial" w:cs="Arial"/>
          <w:b/>
          <w:szCs w:val="24"/>
        </w:rPr>
        <w:t xml:space="preserve"> </w:t>
      </w:r>
      <w:r w:rsidR="00DD14F4">
        <w:rPr>
          <w:rFonts w:ascii="Arial" w:hAnsi="Arial" w:cs="Arial"/>
          <w:b/>
          <w:szCs w:val="24"/>
        </w:rPr>
        <w:t>82</w:t>
      </w:r>
      <w:r w:rsidR="00DD14F4" w:rsidRPr="0033443A">
        <w:rPr>
          <w:rFonts w:ascii="Arial" w:hAnsi="Arial" w:cs="Arial"/>
          <w:b/>
          <w:szCs w:val="24"/>
          <w:vertAlign w:val="superscript"/>
        </w:rPr>
        <w:t>nd</w:t>
      </w:r>
      <w:r w:rsidR="00DD14F4">
        <w:rPr>
          <w:rFonts w:ascii="Arial" w:hAnsi="Arial" w:cs="Arial"/>
          <w:b/>
          <w:szCs w:val="24"/>
        </w:rPr>
        <w:t xml:space="preserve"> MSAC Meeting, </w:t>
      </w:r>
      <w:r w:rsidR="009E7AB6">
        <w:rPr>
          <w:rFonts w:ascii="Arial" w:hAnsi="Arial" w:cs="Arial"/>
          <w:b/>
          <w:szCs w:val="24"/>
        </w:rPr>
        <w:t>29-30 July</w:t>
      </w:r>
      <w:r w:rsidR="00471BF1" w:rsidRPr="009E7AB6">
        <w:rPr>
          <w:rFonts w:ascii="Arial" w:hAnsi="Arial" w:cs="Arial"/>
          <w:b/>
          <w:szCs w:val="24"/>
        </w:rPr>
        <w:t xml:space="preserve"> 2021</w:t>
      </w:r>
    </w:p>
    <w:p w14:paraId="0631CEBC" w14:textId="2532A879" w:rsidR="00814AF1" w:rsidRPr="009E7AB6" w:rsidRDefault="009E7AB6" w:rsidP="009E7AB6">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5C4118FB" w14:textId="58087501" w:rsidR="00C13DF5" w:rsidRPr="009E7AB6" w:rsidRDefault="00065623" w:rsidP="00F60744">
      <w:pPr>
        <w:pStyle w:val="Heading1"/>
        <w:numPr>
          <w:ilvl w:val="0"/>
          <w:numId w:val="13"/>
        </w:numPr>
        <w:spacing w:before="240" w:after="240"/>
        <w:ind w:hanging="720"/>
        <w:rPr>
          <w:rFonts w:ascii="Arial" w:eastAsia="Times New Roman" w:hAnsi="Arial" w:cs="Times New Roman"/>
        </w:rPr>
      </w:pPr>
      <w:r w:rsidRPr="009E7AB6">
        <w:rPr>
          <w:rFonts w:ascii="Arial" w:eastAsia="Times New Roman" w:hAnsi="Arial" w:cs="Times New Roman"/>
        </w:rPr>
        <w:t>Purpose of application</w:t>
      </w:r>
    </w:p>
    <w:p w14:paraId="37216372" w14:textId="43645634" w:rsidR="003E1045" w:rsidRPr="009E7AB6" w:rsidRDefault="00C13DF5" w:rsidP="009E7AB6">
      <w:r w:rsidRPr="00C13DF5">
        <w:t>A</w:t>
      </w:r>
      <w:r>
        <w:t xml:space="preserve"> codependent</w:t>
      </w:r>
      <w:r w:rsidRPr="00C13DF5">
        <w:t xml:space="preserve"> application requesting Medicare Benefits Schedule (MBS) listing of</w:t>
      </w:r>
      <w:r>
        <w:t xml:space="preserve"> </w:t>
      </w:r>
      <w:r w:rsidRPr="00C13DF5">
        <w:t xml:space="preserve">the integrated, closed extracorporeal photopheresis (ECP) system </w:t>
      </w:r>
      <w:r>
        <w:t xml:space="preserve">and Pharmaceutical Benefits Scheme </w:t>
      </w:r>
      <w:r w:rsidR="00F147A9">
        <w:t xml:space="preserve">(PBS) </w:t>
      </w:r>
      <w:r>
        <w:t xml:space="preserve">listing of </w:t>
      </w:r>
      <w:r w:rsidRPr="00C13DF5">
        <w:t>the drug methoxsalen (UVADEX®) to treat patients with chronic graft versus host disease (cGVHD) who are steroid-dependent and/or steroid-intolerant and/or steroid-refractory (herein referred to as treatment refractory cGVHD) was received from Mallinckrodt by the Department of Health in February 2021</w:t>
      </w:r>
      <w:r w:rsidR="000D4BFC">
        <w:t>.</w:t>
      </w:r>
    </w:p>
    <w:p w14:paraId="44E6D7CC" w14:textId="77777777" w:rsidR="009E7AB6" w:rsidRPr="009E7AB6" w:rsidRDefault="009E7AB6" w:rsidP="009E7AB6">
      <w:pPr>
        <w:pStyle w:val="Heading1"/>
        <w:numPr>
          <w:ilvl w:val="0"/>
          <w:numId w:val="13"/>
        </w:numPr>
        <w:spacing w:before="240" w:after="240"/>
        <w:ind w:hanging="720"/>
        <w:rPr>
          <w:rFonts w:ascii="Arial" w:eastAsia="Times New Roman" w:hAnsi="Arial" w:cs="Times New Roman"/>
        </w:rPr>
      </w:pPr>
      <w:r w:rsidRPr="009E7AB6">
        <w:rPr>
          <w:rFonts w:ascii="Arial" w:eastAsia="Times New Roman" w:hAnsi="Arial" w:cs="Times New Roman"/>
        </w:rPr>
        <w:t>MSAC’s advice to the Minister</w:t>
      </w:r>
    </w:p>
    <w:p w14:paraId="0E809B04" w14:textId="76C79781" w:rsidR="00460AAF" w:rsidRPr="00460AAF" w:rsidRDefault="005A37CD" w:rsidP="00460AAF">
      <w:pPr>
        <w:rPr>
          <w:i/>
        </w:rPr>
      </w:pPr>
      <w:r w:rsidRPr="005A37CD">
        <w:t xml:space="preserve">After considering the strength of the available evidence in relation to comparative safety, clinical effectiveness and cost-effectiveness, MSAC supported </w:t>
      </w:r>
      <w:r w:rsidR="007C1F41">
        <w:t xml:space="preserve">the creation of new </w:t>
      </w:r>
      <w:r w:rsidRPr="005A37CD">
        <w:t xml:space="preserve">Medicare Benefits Schedule (MBS) </w:t>
      </w:r>
      <w:r w:rsidR="007C1F41">
        <w:t>items for</w:t>
      </w:r>
      <w:r w:rsidRPr="005A37CD">
        <w:t xml:space="preserve"> integrated, closed-system, extracorporeal photopheresis (ECP) systems </w:t>
      </w:r>
      <w:r w:rsidR="007C1F41">
        <w:t>in</w:t>
      </w:r>
      <w:r w:rsidRPr="005A37CD">
        <w:t xml:space="preserve"> the treatment of chronic graft-versus-host disease (cGVHD). MSAC considered the uncertainties in the clinical evidence, </w:t>
      </w:r>
      <w:r w:rsidR="007C1F41">
        <w:t>however</w:t>
      </w:r>
      <w:r w:rsidRPr="005A37CD">
        <w:t xml:space="preserve"> advised that ECP plus methoxsalen has acceptable safety, superior effectiveness and acceptable cost-effectiveness in the treatment of cGVHD compared with the current standard of care alone for the proposed patient population. MSAC also advised that there was a high unmet clinical need for effective treatments for cGVHD, given that it is not well managed by existing therapies.</w:t>
      </w:r>
      <w:r w:rsidR="00460AAF">
        <w:br w:type="page"/>
      </w:r>
    </w:p>
    <w:p w14:paraId="49DB77DE" w14:textId="5567E9C9" w:rsidR="00417910" w:rsidRDefault="00417910" w:rsidP="004E7FF6">
      <w:pPr>
        <w:spacing w:before="240"/>
      </w:pPr>
      <w:r>
        <w:lastRenderedPageBreak/>
        <w:t>MSAC supported the following MBS item descriptors and fees:</w:t>
      </w:r>
    </w:p>
    <w:p w14:paraId="039255F8" w14:textId="77777777" w:rsidR="00417910" w:rsidRPr="007E16D7" w:rsidRDefault="00417910" w:rsidP="004E7FF6">
      <w:pPr>
        <w:spacing w:before="240"/>
        <w:rPr>
          <w:b/>
          <w:bCs/>
          <w:i/>
          <w:iCs/>
        </w:rPr>
      </w:pPr>
      <w:r w:rsidRPr="007E16D7">
        <w:rPr>
          <w:b/>
          <w:bCs/>
          <w:i/>
          <w:iCs/>
        </w:rPr>
        <w:t>I</w:t>
      </w:r>
      <w:r>
        <w:rPr>
          <w:b/>
          <w:bCs/>
          <w:i/>
          <w:iCs/>
        </w:rPr>
        <w:t>tem XXXX: i</w:t>
      </w:r>
      <w:r w:rsidRPr="007E16D7">
        <w:rPr>
          <w:b/>
          <w:bCs/>
          <w:i/>
          <w:iCs/>
        </w:rPr>
        <w:t>nitial treatment</w:t>
      </w:r>
    </w:p>
    <w:p w14:paraId="1FF8C82A" w14:textId="04686CE2" w:rsidR="00417910" w:rsidRPr="007E16D7" w:rsidRDefault="00417910" w:rsidP="00417910">
      <w:pPr>
        <w:rPr>
          <w:i/>
          <w:iCs/>
        </w:rPr>
      </w:pPr>
      <w:r w:rsidRPr="007E16D7">
        <w:rPr>
          <w:i/>
          <w:iCs/>
        </w:rPr>
        <w:t>Extracorporeal photopheresis for the treatment of chronic graft-versus-host disease (cGVHD) following allogeneic haematopoietic stem cell transplantation; if</w:t>
      </w:r>
    </w:p>
    <w:p w14:paraId="2623A829" w14:textId="77777777" w:rsidR="00417910" w:rsidRPr="007E16D7" w:rsidRDefault="00417910" w:rsidP="00417910">
      <w:pPr>
        <w:rPr>
          <w:i/>
          <w:iCs/>
        </w:rPr>
      </w:pPr>
      <w:r w:rsidRPr="007E16D7">
        <w:rPr>
          <w:i/>
          <w:iCs/>
        </w:rPr>
        <w:t>a. the service is provided in the initial 12 weeks of treatment; and</w:t>
      </w:r>
    </w:p>
    <w:p w14:paraId="40F6E983" w14:textId="77777777" w:rsidR="00417910" w:rsidRPr="007E16D7" w:rsidRDefault="00417910" w:rsidP="00417910">
      <w:pPr>
        <w:rPr>
          <w:i/>
          <w:iCs/>
        </w:rPr>
      </w:pPr>
      <w:r w:rsidRPr="007E16D7">
        <w:rPr>
          <w:i/>
          <w:iCs/>
        </w:rPr>
        <w:t>b. the service is delivered using an integrated, closed extracorporeal photopheresis system; and</w:t>
      </w:r>
    </w:p>
    <w:p w14:paraId="5B691E68" w14:textId="77777777" w:rsidR="00417910" w:rsidRPr="007E16D7" w:rsidRDefault="00417910" w:rsidP="00417910">
      <w:pPr>
        <w:rPr>
          <w:i/>
          <w:iCs/>
        </w:rPr>
      </w:pPr>
      <w:r w:rsidRPr="007E16D7">
        <w:rPr>
          <w:i/>
          <w:iCs/>
        </w:rPr>
        <w:t>c. the patient has received prior systemic steroid treatment for this condition and has experienced refractory disease or is dependent or intolerant to steroid treatment; and</w:t>
      </w:r>
    </w:p>
    <w:p w14:paraId="6AC0511F" w14:textId="77777777" w:rsidR="00417910" w:rsidRPr="007E16D7" w:rsidRDefault="00417910" w:rsidP="00417910">
      <w:pPr>
        <w:rPr>
          <w:i/>
          <w:iCs/>
        </w:rPr>
      </w:pPr>
      <w:r w:rsidRPr="007E16D7">
        <w:rPr>
          <w:i/>
          <w:iCs/>
        </w:rPr>
        <w:t>d. the service is provided in combination with the use of Pharmaceutical Benefits Scheme-subsidised methoxsalen; and</w:t>
      </w:r>
    </w:p>
    <w:p w14:paraId="6EF50E31" w14:textId="77777777" w:rsidR="00417910" w:rsidRPr="007E16D7" w:rsidRDefault="00417910" w:rsidP="00417910">
      <w:pPr>
        <w:rPr>
          <w:i/>
          <w:iCs/>
        </w:rPr>
      </w:pPr>
      <w:r w:rsidRPr="007E16D7">
        <w:rPr>
          <w:i/>
          <w:iCs/>
        </w:rPr>
        <w:t>e. the service is supervised by a specialist or consultant haematologist or oncologist with allogeneic bone marrow transplantation experience.</w:t>
      </w:r>
    </w:p>
    <w:p w14:paraId="6EFD539D" w14:textId="77777777" w:rsidR="00417910" w:rsidRPr="007E16D7" w:rsidRDefault="00417910" w:rsidP="004E7FF6">
      <w:pPr>
        <w:spacing w:before="240"/>
        <w:rPr>
          <w:i/>
          <w:iCs/>
        </w:rPr>
      </w:pPr>
      <w:r w:rsidRPr="007E16D7">
        <w:rPr>
          <w:i/>
          <w:iCs/>
        </w:rPr>
        <w:t>Applicable once per treatment cycle</w:t>
      </w:r>
    </w:p>
    <w:p w14:paraId="77ACB8B4" w14:textId="77777777" w:rsidR="00417910" w:rsidRPr="007E16D7" w:rsidRDefault="00417910" w:rsidP="004E7FF6">
      <w:pPr>
        <w:spacing w:before="240"/>
        <w:rPr>
          <w:i/>
          <w:iCs/>
        </w:rPr>
      </w:pPr>
      <w:r w:rsidRPr="007E16D7">
        <w:rPr>
          <w:i/>
          <w:iCs/>
        </w:rPr>
        <w:t>Steroid-refractory or steroid-dependent disease is defined as one of the following:</w:t>
      </w:r>
    </w:p>
    <w:p w14:paraId="3836DBB6" w14:textId="77777777" w:rsidR="00417910" w:rsidRPr="007E16D7" w:rsidRDefault="00417910" w:rsidP="00417910">
      <w:pPr>
        <w:rPr>
          <w:i/>
          <w:iCs/>
        </w:rPr>
      </w:pPr>
      <w:r w:rsidRPr="007E16D7">
        <w:rPr>
          <w:i/>
          <w:iCs/>
        </w:rPr>
        <w:t>-A lack of response or disease progression after a minimum of prednisone 1 mg/kg/day or equivalent for at least 1 week, OR</w:t>
      </w:r>
    </w:p>
    <w:p w14:paraId="2B979495" w14:textId="77777777" w:rsidR="00417910" w:rsidRPr="007E16D7" w:rsidRDefault="00417910" w:rsidP="00417910">
      <w:pPr>
        <w:rPr>
          <w:i/>
          <w:iCs/>
        </w:rPr>
      </w:pPr>
      <w:r w:rsidRPr="007E16D7">
        <w:rPr>
          <w:i/>
          <w:iCs/>
        </w:rPr>
        <w:t>-Disease persistence without improvement despite continued treatment with prednisone at &gt; 0.5 mg/kg/day or 1 mg/kg every day or equivalent other day for at least 4 weeks, OR</w:t>
      </w:r>
    </w:p>
    <w:p w14:paraId="712BEC32" w14:textId="77777777" w:rsidR="00417910" w:rsidRPr="007E16D7" w:rsidRDefault="00417910" w:rsidP="00417910">
      <w:pPr>
        <w:rPr>
          <w:i/>
          <w:iCs/>
        </w:rPr>
      </w:pPr>
      <w:r w:rsidRPr="007E16D7">
        <w:rPr>
          <w:i/>
          <w:iCs/>
        </w:rPr>
        <w:t>-Increase to prednisolone dose to &gt; 0.25 mg/kg/day or equivalent after 2 unsuccessful attempts to taper the dose</w:t>
      </w:r>
      <w:r>
        <w:rPr>
          <w:i/>
          <w:iCs/>
        </w:rPr>
        <w:t>.</w:t>
      </w:r>
    </w:p>
    <w:p w14:paraId="57D3C716" w14:textId="77777777" w:rsidR="00417910" w:rsidRDefault="00417910" w:rsidP="004E7FF6">
      <w:pPr>
        <w:spacing w:before="240"/>
        <w:rPr>
          <w:i/>
          <w:iCs/>
        </w:rPr>
      </w:pPr>
      <w:r w:rsidRPr="007E16D7">
        <w:rPr>
          <w:i/>
          <w:iCs/>
        </w:rPr>
        <w:t>Fee: $1,908.35 Benefit: 75% = $1,431.30 85% = $1,823.65</w:t>
      </w:r>
    </w:p>
    <w:p w14:paraId="1E7544A6" w14:textId="77777777" w:rsidR="00417910" w:rsidRPr="00EC4DE4" w:rsidRDefault="00417910" w:rsidP="004E7FF6">
      <w:pPr>
        <w:spacing w:before="240"/>
        <w:rPr>
          <w:i/>
          <w:iCs/>
        </w:rPr>
      </w:pPr>
      <w:r>
        <w:rPr>
          <w:b/>
          <w:bCs/>
          <w:i/>
          <w:iCs/>
        </w:rPr>
        <w:t>Item YYYY: c</w:t>
      </w:r>
      <w:r w:rsidRPr="00EC4DE4">
        <w:rPr>
          <w:b/>
          <w:bCs/>
          <w:i/>
          <w:iCs/>
        </w:rPr>
        <w:t>ontinuing treatment</w:t>
      </w:r>
    </w:p>
    <w:p w14:paraId="13D74815" w14:textId="77777777" w:rsidR="00417910" w:rsidRPr="00EC4DE4" w:rsidRDefault="00417910" w:rsidP="00417910">
      <w:pPr>
        <w:rPr>
          <w:i/>
          <w:iCs/>
        </w:rPr>
      </w:pPr>
      <w:r w:rsidRPr="00EC4DE4">
        <w:rPr>
          <w:i/>
          <w:iCs/>
        </w:rPr>
        <w:t>Extracorporeal photopheresis for the continuing treatment of chronic graft-versus-host disease (cGVHD) in adults following allogeneic haematopoietic stem cell transplantation; if</w:t>
      </w:r>
    </w:p>
    <w:p w14:paraId="44F514D0" w14:textId="77777777" w:rsidR="00417910" w:rsidRPr="00EC4DE4" w:rsidRDefault="00417910" w:rsidP="00417910">
      <w:pPr>
        <w:rPr>
          <w:i/>
          <w:iCs/>
        </w:rPr>
      </w:pPr>
      <w:r w:rsidRPr="00EC4DE4">
        <w:rPr>
          <w:i/>
          <w:iCs/>
        </w:rPr>
        <w:t>in the preceding 12 weeks:</w:t>
      </w:r>
    </w:p>
    <w:p w14:paraId="092C3879" w14:textId="77777777" w:rsidR="00417910" w:rsidRPr="00EC4DE4" w:rsidRDefault="00417910" w:rsidP="00417910">
      <w:pPr>
        <w:rPr>
          <w:i/>
          <w:iCs/>
        </w:rPr>
      </w:pPr>
      <w:r w:rsidRPr="00EC4DE4">
        <w:rPr>
          <w:i/>
          <w:iCs/>
        </w:rPr>
        <w:t>a. (i) a service to which item XXXX applies has been provided; and</w:t>
      </w:r>
    </w:p>
    <w:p w14:paraId="007F2352" w14:textId="77777777" w:rsidR="00417910" w:rsidRPr="00EC4DE4" w:rsidRDefault="00417910" w:rsidP="00417910">
      <w:pPr>
        <w:rPr>
          <w:i/>
          <w:iCs/>
        </w:rPr>
      </w:pPr>
      <w:r w:rsidRPr="00EC4DE4">
        <w:rPr>
          <w:i/>
          <w:iCs/>
        </w:rPr>
        <w:t>(ii) the patient has demonstrated a response to this service; and</w:t>
      </w:r>
    </w:p>
    <w:p w14:paraId="287ABE75" w14:textId="77777777" w:rsidR="00417910" w:rsidRPr="00EC4DE4" w:rsidRDefault="00417910" w:rsidP="00417910">
      <w:pPr>
        <w:rPr>
          <w:i/>
          <w:iCs/>
        </w:rPr>
      </w:pPr>
      <w:r w:rsidRPr="00EC4DE4">
        <w:rPr>
          <w:i/>
          <w:iCs/>
        </w:rPr>
        <w:t>(iii) the patient requires further treatment; and</w:t>
      </w:r>
    </w:p>
    <w:p w14:paraId="07E954CB" w14:textId="77777777" w:rsidR="00417910" w:rsidRPr="00EC4DE4" w:rsidRDefault="00417910" w:rsidP="00417910">
      <w:pPr>
        <w:rPr>
          <w:i/>
          <w:iCs/>
        </w:rPr>
      </w:pPr>
      <w:r w:rsidRPr="00EC4DE4">
        <w:rPr>
          <w:i/>
          <w:iCs/>
        </w:rPr>
        <w:t>b. the service is delivered using an integrated, closed extracorporeal photopheresis system; and</w:t>
      </w:r>
    </w:p>
    <w:p w14:paraId="1D6696E6" w14:textId="77777777" w:rsidR="00417910" w:rsidRPr="00EC4DE4" w:rsidRDefault="00417910" w:rsidP="00417910">
      <w:pPr>
        <w:rPr>
          <w:i/>
          <w:iCs/>
        </w:rPr>
      </w:pPr>
      <w:r w:rsidRPr="00EC4DE4">
        <w:rPr>
          <w:i/>
          <w:iCs/>
        </w:rPr>
        <w:t>c. the service is provided in combination with the use of Pharmaceutical Benefits Scheme-subsidised methoxsalen; and</w:t>
      </w:r>
    </w:p>
    <w:p w14:paraId="03B7B8A8" w14:textId="77777777" w:rsidR="00417910" w:rsidRPr="00EC4DE4" w:rsidRDefault="00417910" w:rsidP="00417910">
      <w:pPr>
        <w:rPr>
          <w:i/>
          <w:iCs/>
        </w:rPr>
      </w:pPr>
      <w:r w:rsidRPr="00EC4DE4">
        <w:rPr>
          <w:i/>
          <w:iCs/>
        </w:rPr>
        <w:t>d. the service is supervised by a specialist or consultant haematologist or oncologist with allogeneic bone marrow transplantation experience.</w:t>
      </w:r>
    </w:p>
    <w:p w14:paraId="6E246A5B" w14:textId="77777777" w:rsidR="00417910" w:rsidRPr="00EC4DE4" w:rsidRDefault="00417910" w:rsidP="004E7FF6">
      <w:pPr>
        <w:spacing w:before="240"/>
        <w:rPr>
          <w:i/>
          <w:iCs/>
        </w:rPr>
      </w:pPr>
      <w:r w:rsidRPr="00EC4DE4">
        <w:rPr>
          <w:i/>
          <w:iCs/>
        </w:rPr>
        <w:t>Applicable once per treatment cycle</w:t>
      </w:r>
    </w:p>
    <w:p w14:paraId="59457EE1" w14:textId="77777777" w:rsidR="00417910" w:rsidRPr="00EC4DE4" w:rsidRDefault="00417910" w:rsidP="004E7FF6">
      <w:pPr>
        <w:spacing w:before="240"/>
        <w:rPr>
          <w:i/>
          <w:iCs/>
        </w:rPr>
      </w:pPr>
      <w:r w:rsidRPr="00EC4DE4">
        <w:rPr>
          <w:i/>
          <w:iCs/>
        </w:rPr>
        <w:t>A response, for the purposes of administering MBS item XXXX, is defined as attaining a complete or partial response in at least one organ according to NIH criteria. Response only needs to be demonstrated after the first 12 weeks of treatment.</w:t>
      </w:r>
    </w:p>
    <w:p w14:paraId="22166F27" w14:textId="5567525B" w:rsidR="00417910" w:rsidRDefault="00417910" w:rsidP="004E7FF6">
      <w:pPr>
        <w:spacing w:before="240" w:after="240"/>
        <w:rPr>
          <w:i/>
          <w:iCs/>
          <w:lang w:val="en-US"/>
        </w:rPr>
      </w:pPr>
      <w:r w:rsidRPr="00EC4DE4">
        <w:rPr>
          <w:i/>
          <w:iCs/>
          <w:lang w:val="en-US"/>
        </w:rPr>
        <w:t>Fee: $1,908.35 Benefit: 75% = $1,431.30 85% = $1,823.65</w:t>
      </w:r>
    </w:p>
    <w:tbl>
      <w:tblPr>
        <w:tblStyle w:val="TableGrid"/>
        <w:tblW w:w="0" w:type="auto"/>
        <w:tblLook w:val="04A0" w:firstRow="1" w:lastRow="0" w:firstColumn="1" w:lastColumn="0" w:noHBand="0" w:noVBand="1"/>
      </w:tblPr>
      <w:tblGrid>
        <w:gridCol w:w="9016"/>
      </w:tblGrid>
      <w:tr w:rsidR="008505A9" w14:paraId="6AC501CA" w14:textId="77777777" w:rsidTr="008505A9">
        <w:trPr>
          <w:tblHeader/>
        </w:trPr>
        <w:tc>
          <w:tcPr>
            <w:tcW w:w="9016" w:type="dxa"/>
          </w:tcPr>
          <w:p w14:paraId="3EA5694A" w14:textId="470E1893" w:rsidR="008505A9" w:rsidRPr="008505A9" w:rsidRDefault="008505A9" w:rsidP="008505A9">
            <w:pPr>
              <w:spacing w:before="120" w:after="120"/>
              <w:rPr>
                <w:rFonts w:ascii="Times New Roman" w:hAnsi="Times New Roman"/>
                <w:b/>
                <w:bCs/>
                <w:sz w:val="24"/>
                <w:szCs w:val="24"/>
                <w:lang w:val="en-US"/>
              </w:rPr>
            </w:pPr>
            <w:r w:rsidRPr="008505A9">
              <w:rPr>
                <w:rFonts w:ascii="Times New Roman" w:hAnsi="Times New Roman"/>
                <w:b/>
                <w:bCs/>
                <w:sz w:val="24"/>
                <w:szCs w:val="24"/>
                <w:lang w:val="en-US"/>
              </w:rPr>
              <w:lastRenderedPageBreak/>
              <w:t>Consumer summary</w:t>
            </w:r>
          </w:p>
        </w:tc>
      </w:tr>
      <w:tr w:rsidR="008505A9" w14:paraId="68792936" w14:textId="77777777" w:rsidTr="008505A9">
        <w:tc>
          <w:tcPr>
            <w:tcW w:w="9016" w:type="dxa"/>
          </w:tcPr>
          <w:p w14:paraId="0E38F541" w14:textId="77777777" w:rsidR="008505A9" w:rsidRPr="008505A9" w:rsidRDefault="008505A9" w:rsidP="008505A9">
            <w:pPr>
              <w:spacing w:before="120" w:after="240"/>
              <w:rPr>
                <w:rFonts w:ascii="Times New Roman" w:hAnsi="Times New Roman"/>
                <w:sz w:val="24"/>
                <w:szCs w:val="24"/>
                <w:lang w:val="en-US"/>
              </w:rPr>
            </w:pPr>
            <w:r w:rsidRPr="008505A9">
              <w:rPr>
                <w:rFonts w:ascii="Times New Roman" w:hAnsi="Times New Roman"/>
                <w:sz w:val="24"/>
                <w:szCs w:val="24"/>
                <w:lang w:val="en-US"/>
              </w:rPr>
              <w:t>This application is from Mallinckrodt Pharmaceuticals and Terumo BCT Australia Pty Limited to list integrated, closed-system, extracorporeal photopheresis (ECP) systems on the Medicare Benefits Schedule (MBS) and methoxsalen on the Pharmaceutical Benefits Scheme (PBS) for the treatment of chronic graft-versus-host disease (cGVHD).</w:t>
            </w:r>
          </w:p>
          <w:p w14:paraId="3A25801A" w14:textId="62D26B89" w:rsidR="008505A9" w:rsidRPr="008505A9" w:rsidRDefault="008505A9" w:rsidP="008505A9">
            <w:pPr>
              <w:spacing w:before="240" w:after="240"/>
              <w:rPr>
                <w:rFonts w:ascii="Times New Roman" w:hAnsi="Times New Roman"/>
                <w:sz w:val="24"/>
                <w:szCs w:val="24"/>
                <w:lang w:val="en-US"/>
              </w:rPr>
            </w:pPr>
            <w:r w:rsidRPr="008505A9">
              <w:rPr>
                <w:rFonts w:ascii="Times New Roman" w:hAnsi="Times New Roman"/>
                <w:sz w:val="24"/>
                <w:szCs w:val="24"/>
                <w:lang w:val="en-US"/>
              </w:rPr>
              <w:t xml:space="preserve">cGVHD is a common side effect in people who receive a bone marrow transplant (also called a haematopoietic stem cell transplant, or HSCT) from a donor. </w:t>
            </w:r>
            <w:r w:rsidR="00D92F74">
              <w:rPr>
                <w:rFonts w:ascii="Times New Roman" w:hAnsi="Times New Roman"/>
                <w:sz w:val="24"/>
                <w:szCs w:val="24"/>
                <w:lang w:val="en-US"/>
              </w:rPr>
              <w:t>I</w:t>
            </w:r>
            <w:r w:rsidRPr="008505A9">
              <w:rPr>
                <w:rFonts w:ascii="Times New Roman" w:hAnsi="Times New Roman"/>
                <w:sz w:val="24"/>
                <w:szCs w:val="24"/>
                <w:lang w:val="en-US"/>
              </w:rPr>
              <w:t xml:space="preserve">mmune </w:t>
            </w:r>
            <w:r w:rsidR="00D92F74">
              <w:rPr>
                <w:rFonts w:ascii="Times New Roman" w:hAnsi="Times New Roman"/>
                <w:sz w:val="24"/>
                <w:szCs w:val="24"/>
                <w:lang w:val="en-US"/>
              </w:rPr>
              <w:t>cells from the HSCT</w:t>
            </w:r>
            <w:r w:rsidRPr="008505A9">
              <w:rPr>
                <w:rFonts w:ascii="Times New Roman" w:hAnsi="Times New Roman"/>
                <w:sz w:val="24"/>
                <w:szCs w:val="24"/>
                <w:lang w:val="en-US"/>
              </w:rPr>
              <w:t xml:space="preserve"> start recognising the patient’s own cells as foreign and attacks them. This causes lots of damage in the body, especially to the liver, skin and gut. It can be fatal.</w:t>
            </w:r>
          </w:p>
          <w:p w14:paraId="4BB035D8" w14:textId="77777777" w:rsidR="008505A9" w:rsidRPr="008505A9" w:rsidRDefault="008505A9" w:rsidP="008505A9">
            <w:pPr>
              <w:spacing w:before="240" w:after="240"/>
              <w:rPr>
                <w:rFonts w:ascii="Times New Roman" w:hAnsi="Times New Roman"/>
                <w:sz w:val="24"/>
                <w:szCs w:val="24"/>
                <w:lang w:val="en-US"/>
              </w:rPr>
            </w:pPr>
            <w:r w:rsidRPr="008505A9">
              <w:rPr>
                <w:rFonts w:ascii="Times New Roman" w:hAnsi="Times New Roman"/>
                <w:sz w:val="24"/>
                <w:szCs w:val="24"/>
                <w:lang w:val="en-US"/>
              </w:rPr>
              <w:t>cGVHD is usually treated with steroids to settle down the immune system. Some patients do not get better after taking steroids, and the side effects of using steroids for a long period of time are sometimes very severe.</w:t>
            </w:r>
          </w:p>
          <w:p w14:paraId="420E757D" w14:textId="77777777" w:rsidR="008505A9" w:rsidRPr="008505A9" w:rsidRDefault="008505A9" w:rsidP="008505A9">
            <w:pPr>
              <w:spacing w:before="240" w:after="240"/>
              <w:rPr>
                <w:rFonts w:ascii="Times New Roman" w:hAnsi="Times New Roman"/>
                <w:sz w:val="24"/>
                <w:szCs w:val="24"/>
                <w:lang w:val="en-US"/>
              </w:rPr>
            </w:pPr>
            <w:r w:rsidRPr="008505A9">
              <w:rPr>
                <w:rFonts w:ascii="Times New Roman" w:hAnsi="Times New Roman"/>
                <w:sz w:val="24"/>
                <w:szCs w:val="24"/>
                <w:lang w:val="en-US"/>
              </w:rPr>
              <w:t>During ECP treatment, the patient is connected to an ECP machine, which takes the patient’s blood, runs it through the machine and returns the blood to the patient. Inside the machine, the patient’s white blood cells are separated out, treated with a drug called methoxsalen and exposed to UV (ultraviolet) light. This is thought to reprogram the immune system to stop attacking the patient.</w:t>
            </w:r>
          </w:p>
          <w:p w14:paraId="3FBE03F8" w14:textId="77777777" w:rsidR="008505A9" w:rsidRPr="008505A9" w:rsidRDefault="008505A9" w:rsidP="008505A9">
            <w:pPr>
              <w:spacing w:before="240" w:after="240"/>
              <w:rPr>
                <w:rFonts w:ascii="Times New Roman" w:hAnsi="Times New Roman"/>
                <w:sz w:val="24"/>
                <w:szCs w:val="24"/>
                <w:lang w:val="en-US"/>
              </w:rPr>
            </w:pPr>
            <w:r w:rsidRPr="008505A9">
              <w:rPr>
                <w:rFonts w:ascii="Times New Roman" w:hAnsi="Times New Roman"/>
                <w:sz w:val="24"/>
                <w:szCs w:val="24"/>
                <w:lang w:val="en-US"/>
              </w:rPr>
              <w:t>MSAC concluded that ECP was safe and more effective in cGVHD than ongoing steroids or other medicines that dampen the immune system. MSAC also concluded that ECP was good value for money because patients with cGVHD have limited options for treatment and they have received HSCT with the intent to cure them of their disease.</w:t>
            </w:r>
          </w:p>
          <w:p w14:paraId="77AB0679" w14:textId="77777777" w:rsidR="008505A9" w:rsidRPr="008505A9" w:rsidRDefault="008505A9" w:rsidP="008505A9">
            <w:pPr>
              <w:spacing w:before="240" w:after="120"/>
              <w:rPr>
                <w:rFonts w:ascii="Times New Roman" w:hAnsi="Times New Roman"/>
                <w:b/>
                <w:bCs/>
                <w:sz w:val="24"/>
                <w:szCs w:val="24"/>
                <w:lang w:val="en-US"/>
              </w:rPr>
            </w:pPr>
            <w:r w:rsidRPr="008505A9">
              <w:rPr>
                <w:rFonts w:ascii="Times New Roman" w:hAnsi="Times New Roman"/>
                <w:b/>
                <w:bCs/>
                <w:sz w:val="24"/>
                <w:szCs w:val="24"/>
                <w:lang w:val="en-US"/>
              </w:rPr>
              <w:t>MSAC’s advice to the Commonwealth Minister for Health</w:t>
            </w:r>
          </w:p>
          <w:p w14:paraId="22E28E48" w14:textId="772457CD" w:rsidR="008505A9" w:rsidRDefault="008505A9" w:rsidP="008505A9">
            <w:pPr>
              <w:spacing w:after="120"/>
              <w:rPr>
                <w:i/>
                <w:iCs/>
                <w:lang w:val="en-US"/>
              </w:rPr>
            </w:pPr>
            <w:r w:rsidRPr="008505A9">
              <w:rPr>
                <w:rFonts w:ascii="Times New Roman" w:hAnsi="Times New Roman"/>
                <w:sz w:val="24"/>
                <w:szCs w:val="24"/>
                <w:lang w:val="en-US"/>
              </w:rPr>
              <w:t>MSAC supported funding for ECP for cGVHD because it is safe and more effective than current treatment. ECP is also good value for money for patients with cGVHD, who have limited options for treatment.</w:t>
            </w:r>
          </w:p>
        </w:tc>
      </w:tr>
    </w:tbl>
    <w:p w14:paraId="4C3BB111" w14:textId="33DD454C" w:rsidR="009E7AB6" w:rsidRPr="009E7AB6" w:rsidRDefault="009E7AB6" w:rsidP="009E7AB6">
      <w:pPr>
        <w:pStyle w:val="Heading1"/>
        <w:numPr>
          <w:ilvl w:val="0"/>
          <w:numId w:val="13"/>
        </w:numPr>
        <w:spacing w:before="240" w:after="240"/>
        <w:ind w:hanging="720"/>
        <w:rPr>
          <w:rFonts w:ascii="Arial" w:eastAsia="Times New Roman" w:hAnsi="Arial" w:cs="Times New Roman"/>
        </w:rPr>
      </w:pPr>
      <w:r w:rsidRPr="009E7AB6">
        <w:rPr>
          <w:rFonts w:ascii="Arial" w:eastAsia="Times New Roman" w:hAnsi="Arial" w:cs="Times New Roman"/>
        </w:rPr>
        <w:t>Summary of consideration and rationale for MSAC’s advice</w:t>
      </w:r>
    </w:p>
    <w:p w14:paraId="4F1FA4E0" w14:textId="21C52CF1" w:rsidR="00AD2A52" w:rsidRDefault="00AD2A52" w:rsidP="00AD2A52">
      <w:r>
        <w:t>MSAC noted this codependent application requesting MBS listing of an integrated, closed loop ECP system and Pharmaceutical Benefits Scheme (PBS) listing of the drug methoxsalen to treat steroid-dependent, steroid-intolerant or steroid-refractory cGVHD.</w:t>
      </w:r>
      <w:r w:rsidR="00714285" w:rsidRPr="00714285">
        <w:t xml:space="preserve"> MSAC noted the Pharmaceutical Benefits Advisory Committee (PBAC) </w:t>
      </w:r>
      <w:r w:rsidR="00417910">
        <w:t xml:space="preserve">is scheduled to </w:t>
      </w:r>
      <w:r w:rsidR="00714285" w:rsidRPr="00714285">
        <w:t xml:space="preserve">consider the submission at its next </w:t>
      </w:r>
      <w:r w:rsidR="007E16D7">
        <w:t xml:space="preserve">available </w:t>
      </w:r>
      <w:r w:rsidR="00714285" w:rsidRPr="00714285">
        <w:t>meeting if MSAC supported public subsidy of ECP.</w:t>
      </w:r>
    </w:p>
    <w:p w14:paraId="0C050E48" w14:textId="4D553B91" w:rsidR="00AD2A52" w:rsidRDefault="00AD2A52" w:rsidP="00B853FB">
      <w:pPr>
        <w:spacing w:before="240"/>
      </w:pPr>
      <w:r>
        <w:t>MSAC recalled its previous decision to support ECP for treatment of end-stage cutaneous T</w:t>
      </w:r>
      <w:r>
        <w:noBreakHyphen/>
        <w:t>cell lymphoma (CTCL</w:t>
      </w:r>
      <w:r w:rsidR="00714285">
        <w:t xml:space="preserve">, </w:t>
      </w:r>
      <w:hyperlink r:id="rId10" w:history="1">
        <w:r w:rsidR="00714285" w:rsidRPr="00714285">
          <w:rPr>
            <w:rStyle w:val="Hyperlink"/>
          </w:rPr>
          <w:t>Public Summary Document [PSD] Application No. 1420.1, p1</w:t>
        </w:r>
      </w:hyperlink>
      <w:r>
        <w:t>).</w:t>
      </w:r>
    </w:p>
    <w:p w14:paraId="05FF4A26" w14:textId="11E6BCE3" w:rsidR="00303E22" w:rsidRDefault="00303E22" w:rsidP="00B853FB">
      <w:pPr>
        <w:spacing w:before="240"/>
      </w:pPr>
      <w:bookmarkStart w:id="0" w:name="_Hlk79693713"/>
      <w:r>
        <w:t xml:space="preserve">MSAC noted initial treatment </w:t>
      </w:r>
      <w:r w:rsidR="005937A8">
        <w:t>with ECP for cGVHD consisted of 12 weeks initial treatment.</w:t>
      </w:r>
      <w:r w:rsidR="005937A8" w:rsidRPr="005937A8">
        <w:t xml:space="preserve"> </w:t>
      </w:r>
      <w:r w:rsidR="00B3384E">
        <w:t>This included t</w:t>
      </w:r>
      <w:r w:rsidR="005937A8">
        <w:t>hree ECP treatments in the first week followed by two ECP treatments per week for at least 12 weeks</w:t>
      </w:r>
      <w:r w:rsidR="00B3384E">
        <w:t xml:space="preserve"> for a total of 25 ECP sessions</w:t>
      </w:r>
      <w:r w:rsidR="005937A8">
        <w:t xml:space="preserve">. Following </w:t>
      </w:r>
      <w:r w:rsidR="00EC2586">
        <w:t xml:space="preserve">response to </w:t>
      </w:r>
      <w:r w:rsidR="005937A8">
        <w:t xml:space="preserve">the initial </w:t>
      </w:r>
      <w:r w:rsidR="0028678D">
        <w:t>12-week</w:t>
      </w:r>
      <w:r w:rsidR="00EC2586">
        <w:t xml:space="preserve"> </w:t>
      </w:r>
      <w:r w:rsidR="005937A8">
        <w:t>treatment</w:t>
      </w:r>
      <w:r w:rsidR="00AD0FD1">
        <w:t xml:space="preserve"> course</w:t>
      </w:r>
      <w:r w:rsidR="00EC2586">
        <w:t xml:space="preserve">, </w:t>
      </w:r>
      <w:r w:rsidR="00AD0FD1">
        <w:t xml:space="preserve">patients may receive a further 12 weeks of </w:t>
      </w:r>
      <w:r w:rsidR="00EC2586">
        <w:t xml:space="preserve">ECP </w:t>
      </w:r>
      <w:r w:rsidR="00AD0FD1">
        <w:t>where ECP</w:t>
      </w:r>
      <w:r w:rsidR="00EC2586">
        <w:t xml:space="preserve"> </w:t>
      </w:r>
      <w:r w:rsidR="00AD0FD1">
        <w:t xml:space="preserve">is </w:t>
      </w:r>
      <w:r w:rsidR="00EC2586">
        <w:t>performed twice per month</w:t>
      </w:r>
      <w:r w:rsidR="00B3384E">
        <w:t>, for approximately six further ECP sessions</w:t>
      </w:r>
      <w:r w:rsidR="00EC2586">
        <w:t xml:space="preserve">. </w:t>
      </w:r>
      <w:r w:rsidR="0028678D">
        <w:t xml:space="preserve">MSAC noted that this differed from the </w:t>
      </w:r>
      <w:r w:rsidR="00286687">
        <w:t>six-month</w:t>
      </w:r>
      <w:r w:rsidR="0028678D">
        <w:t xml:space="preserve"> initial treatment period for CTCL</w:t>
      </w:r>
      <w:r w:rsidR="00AD0FD1">
        <w:t xml:space="preserve">, followed by ongoing </w:t>
      </w:r>
      <w:r w:rsidR="00FB1F37">
        <w:t>ECP while patients maintain a response to therapy.</w:t>
      </w:r>
    </w:p>
    <w:bookmarkEnd w:id="0"/>
    <w:p w14:paraId="7159F190" w14:textId="44C78E9A" w:rsidR="00AD2A52" w:rsidRDefault="00AD2A52" w:rsidP="00B853FB">
      <w:pPr>
        <w:spacing w:before="240" w:after="240"/>
      </w:pPr>
      <w:r>
        <w:lastRenderedPageBreak/>
        <w:t>MSAC noted the consultation feedback from clinical organisations, a consumer organisation and a medical practitioner, all of which were supportive of the application. Feedback noted that patients have limited treatment options and reducing the dose of immunosuppressant medications improves long-term outcomes. MSAC also noted the high clinical need in the proposed population.</w:t>
      </w:r>
    </w:p>
    <w:p w14:paraId="0BF12662" w14:textId="4A2316D7" w:rsidR="00AD2A52" w:rsidRDefault="00AD2A52" w:rsidP="00AD2A52">
      <w:r>
        <w:t>MSAC noted that</w:t>
      </w:r>
      <w:r w:rsidR="008719E3">
        <w:t xml:space="preserve">, although </w:t>
      </w:r>
      <w:r w:rsidR="008719E3" w:rsidRPr="00286687">
        <w:t xml:space="preserve">there </w:t>
      </w:r>
      <w:r w:rsidR="008719E3">
        <w:t>a</w:t>
      </w:r>
      <w:r w:rsidR="008719E3" w:rsidRPr="00286687">
        <w:t xml:space="preserve">re several sites </w:t>
      </w:r>
      <w:r w:rsidR="008719E3">
        <w:t xml:space="preserve">in Australia </w:t>
      </w:r>
      <w:r w:rsidR="008719E3" w:rsidRPr="00286687">
        <w:t>performing allogenic HSCTs</w:t>
      </w:r>
      <w:r w:rsidR="008719E3">
        <w:t>,</w:t>
      </w:r>
      <w:r>
        <w:t xml:space="preserve"> ECP is currently only available in two centres in Australia. Many patients will need to travel to access treatment. MSAC noted that one of the </w:t>
      </w:r>
      <w:r w:rsidR="00C548AC">
        <w:t xml:space="preserve">potential </w:t>
      </w:r>
      <w:r>
        <w:t xml:space="preserve">outcomes of MBS listing </w:t>
      </w:r>
      <w:r w:rsidR="00C548AC">
        <w:t xml:space="preserve">would be </w:t>
      </w:r>
      <w:r>
        <w:t xml:space="preserve">to make ECP more widely available, although it was unclear </w:t>
      </w:r>
      <w:r w:rsidR="00C548AC">
        <w:t xml:space="preserve">whether </w:t>
      </w:r>
      <w:r w:rsidR="007E16D7">
        <w:t xml:space="preserve">or how quickly </w:t>
      </w:r>
      <w:r w:rsidR="00C548AC">
        <w:t>this would occur in practice</w:t>
      </w:r>
      <w:r>
        <w:t xml:space="preserve">. MSAC requested that the Department seek further information from the applicant on how </w:t>
      </w:r>
      <w:r w:rsidR="00C37492">
        <w:t xml:space="preserve">it would increase </w:t>
      </w:r>
      <w:r w:rsidR="00C74BEE">
        <w:t xml:space="preserve">geographical </w:t>
      </w:r>
      <w:r>
        <w:t>access if ECP was listed on the MBS.</w:t>
      </w:r>
    </w:p>
    <w:p w14:paraId="3D5A24DD" w14:textId="3F30030F" w:rsidR="00AD2A52" w:rsidRDefault="00C74BEE" w:rsidP="00B853FB">
      <w:pPr>
        <w:spacing w:before="240"/>
      </w:pPr>
      <w:bookmarkStart w:id="1" w:name="_Hlk79693573"/>
      <w:r>
        <w:t xml:space="preserve">The application described </w:t>
      </w:r>
      <w:r w:rsidR="00AD2A52">
        <w:t xml:space="preserve">the comparator </w:t>
      </w:r>
      <w:r>
        <w:t xml:space="preserve">of </w:t>
      </w:r>
      <w:r w:rsidR="00AD2A52">
        <w:t xml:space="preserve">standard of care </w:t>
      </w:r>
      <w:r>
        <w:t xml:space="preserve">as </w:t>
      </w:r>
      <w:r w:rsidR="00AD2A52">
        <w:t>typically involv</w:t>
      </w:r>
      <w:r>
        <w:t>ing the</w:t>
      </w:r>
      <w:r w:rsidR="00AD2A52">
        <w:t xml:space="preserve"> continued </w:t>
      </w:r>
      <w:r>
        <w:t xml:space="preserve">use of </w:t>
      </w:r>
      <w:r w:rsidR="00AD2A52">
        <w:t xml:space="preserve">systemic steroids from first-line treatment, </w:t>
      </w:r>
      <w:r w:rsidR="00964011">
        <w:t xml:space="preserve">which may be </w:t>
      </w:r>
      <w:r w:rsidR="00AD2A52">
        <w:t xml:space="preserve">combined with mycophenolate or calcineurin inhibitors to reduce and/or </w:t>
      </w:r>
      <w:r w:rsidR="00305823">
        <w:t xml:space="preserve">substitute for </w:t>
      </w:r>
      <w:r w:rsidR="00AD2A52">
        <w:t xml:space="preserve">chronic high-dose systemic steroids. MSAC considered this to be appropriate for the steroid-refractory and steroid-dependent populations, but not the </w:t>
      </w:r>
      <w:r w:rsidR="00F939DE">
        <w:t xml:space="preserve">relatively small </w:t>
      </w:r>
      <w:r w:rsidR="00AD2A52">
        <w:t>steroid-intolerant population.</w:t>
      </w:r>
    </w:p>
    <w:bookmarkEnd w:id="1"/>
    <w:p w14:paraId="3734083B" w14:textId="403083BB" w:rsidR="006306DB" w:rsidRDefault="00AD2A52" w:rsidP="00B853FB">
      <w:pPr>
        <w:spacing w:before="240"/>
      </w:pPr>
      <w:r>
        <w:t>MSAC accepted that ECP ha</w:t>
      </w:r>
      <w:r w:rsidR="00C74BEE">
        <w:t>s</w:t>
      </w:r>
      <w:r>
        <w:t xml:space="preserve"> non-inferior safety compared with standard of care. MSAC considered that reducing or </w:t>
      </w:r>
      <w:r w:rsidR="00305823">
        <w:t xml:space="preserve">substituting </w:t>
      </w:r>
      <w:r>
        <w:t>long-term steroid</w:t>
      </w:r>
      <w:r w:rsidR="00305823">
        <w:t>s</w:t>
      </w:r>
      <w:r w:rsidR="004A0487">
        <w:t xml:space="preserve"> and immunosuppress</w:t>
      </w:r>
      <w:r w:rsidR="00AC1D7D">
        <w:t>ant</w:t>
      </w:r>
      <w:r w:rsidR="00305823">
        <w:t xml:space="preserve"> medication </w:t>
      </w:r>
      <w:r>
        <w:t>was also an important outcome</w:t>
      </w:r>
      <w:r w:rsidR="0053479E">
        <w:rPr>
          <w:bCs/>
        </w:rPr>
        <w:t xml:space="preserve"> for alleviating their cumulative adverse effects for patients</w:t>
      </w:r>
      <w:r w:rsidR="004A0487">
        <w:t xml:space="preserve">. MSAC considered </w:t>
      </w:r>
      <w:r w:rsidR="004A0487" w:rsidRPr="004A0487">
        <w:t xml:space="preserve">that </w:t>
      </w:r>
      <w:r w:rsidR="004A0487">
        <w:t xml:space="preserve">this </w:t>
      </w:r>
      <w:bookmarkStart w:id="2" w:name="_Hlk80277231"/>
      <w:r w:rsidR="00C74BEE">
        <w:t xml:space="preserve">long-term consequence </w:t>
      </w:r>
      <w:bookmarkEnd w:id="2"/>
      <w:r w:rsidR="004A0487">
        <w:t>would not be captured in the short</w:t>
      </w:r>
      <w:r w:rsidR="004A0487">
        <w:noBreakHyphen/>
        <w:t xml:space="preserve">term </w:t>
      </w:r>
      <w:r w:rsidR="004A0487" w:rsidRPr="004A0487">
        <w:t>evidence presented in the ADA</w:t>
      </w:r>
      <w:r w:rsidR="004A0487">
        <w:t>R.</w:t>
      </w:r>
    </w:p>
    <w:p w14:paraId="492CBFF1" w14:textId="4C577C23" w:rsidR="00AD2A52" w:rsidRDefault="00AD2A52" w:rsidP="00B853FB">
      <w:pPr>
        <w:spacing w:before="240"/>
      </w:pPr>
      <w:r>
        <w:t xml:space="preserve">MSAC accepted that ECP had likely superior clinical effectiveness compared with standard of care, although </w:t>
      </w:r>
      <w:r w:rsidR="0053479E">
        <w:t xml:space="preserve">the clinical </w:t>
      </w:r>
      <w:r>
        <w:t xml:space="preserve">studies </w:t>
      </w:r>
      <w:r w:rsidR="0053479E">
        <w:t xml:space="preserve">presented </w:t>
      </w:r>
      <w:r>
        <w:t xml:space="preserve">involved small numbers of participants and short follow-up times. </w:t>
      </w:r>
      <w:r w:rsidR="004A0487" w:rsidRPr="004A0487">
        <w:t>MSAC considered that the NIH global response was the most clinically relevant outcome measure</w:t>
      </w:r>
      <w:r w:rsidR="004A0487">
        <w:t xml:space="preserve"> as it considers treatment response in </w:t>
      </w:r>
      <w:r w:rsidR="006306DB">
        <w:t xml:space="preserve">many of the organs likely to be affected by cGVHD. MSAC noted that the MBS item descriptor requires patients attain a </w:t>
      </w:r>
      <w:r w:rsidR="006306DB" w:rsidRPr="006306DB">
        <w:t>complete or partial response in at least one organ according to National Institutes of Health (NIH) criteria</w:t>
      </w:r>
      <w:r w:rsidR="006306DB">
        <w:t xml:space="preserve"> for continuing therapy. However, </w:t>
      </w:r>
      <w:r w:rsidR="00C43334">
        <w:t xml:space="preserve">response according to NIH criteria was not reported in the included studies. </w:t>
      </w:r>
      <w:r w:rsidR="004A0487">
        <w:t>MSAC noted that the key randomised trial, Flowers (2008)</w:t>
      </w:r>
      <w:r w:rsidR="00B3384E">
        <w:rPr>
          <w:rStyle w:val="FootnoteReference"/>
        </w:rPr>
        <w:footnoteReference w:id="1"/>
      </w:r>
      <w:r w:rsidR="004A0487">
        <w:t xml:space="preserve">, </w:t>
      </w:r>
      <w:r w:rsidR="004A0487" w:rsidRPr="004A0487">
        <w:t xml:space="preserve">reported statistically significant </w:t>
      </w:r>
      <w:r w:rsidR="004A0487">
        <w:t xml:space="preserve">improvements in </w:t>
      </w:r>
      <w:r w:rsidR="00F939DE">
        <w:t xml:space="preserve">the unblinded assessment of </w:t>
      </w:r>
      <w:r w:rsidR="004A0487" w:rsidRPr="004A0487">
        <w:t>skin response rate</w:t>
      </w:r>
      <w:r w:rsidR="004A0487">
        <w:t>, ocular response,</w:t>
      </w:r>
      <w:r w:rsidR="004A0487" w:rsidRPr="004A0487">
        <w:t xml:space="preserve"> and reduction in corticosteroid dose with ECP.</w:t>
      </w:r>
      <w:r w:rsidR="004A0487">
        <w:t xml:space="preserve"> However, Flowers (2008) did not find a statistically significant improvement in </w:t>
      </w:r>
      <w:r w:rsidR="00F939DE">
        <w:t xml:space="preserve">the blinded assessment of </w:t>
      </w:r>
      <w:r w:rsidR="004A0487">
        <w:t xml:space="preserve">its primary outcome, </w:t>
      </w:r>
      <w:r w:rsidR="004A0487" w:rsidRPr="004A0487">
        <w:t>the median percentage change in total skin score (TTS) after 12 weeks</w:t>
      </w:r>
      <w:r w:rsidR="004A0487">
        <w:t>. MSAC noted that</w:t>
      </w:r>
      <w:r>
        <w:t xml:space="preserve"> </w:t>
      </w:r>
      <w:r w:rsidR="00C43334">
        <w:t>o</w:t>
      </w:r>
      <w:r>
        <w:t xml:space="preserve">ral, joints and gastrointestinal tract responses were not significantly different </w:t>
      </w:r>
      <w:r w:rsidR="00C43334">
        <w:t xml:space="preserve">in Flowers (2008) </w:t>
      </w:r>
      <w:r>
        <w:t xml:space="preserve">but trended towards improvement with ECP. </w:t>
      </w:r>
      <w:r w:rsidR="00C43334">
        <w:t xml:space="preserve">The </w:t>
      </w:r>
      <w:r w:rsidR="007B6EA6">
        <w:t xml:space="preserve">open-label, </w:t>
      </w:r>
      <w:r w:rsidR="00C43334">
        <w:t xml:space="preserve">single arm studies presented in the ADAR </w:t>
      </w:r>
      <w:r w:rsidR="00643130">
        <w:t>showed similar rates of response.</w:t>
      </w:r>
    </w:p>
    <w:p w14:paraId="50AAC751" w14:textId="06722240" w:rsidR="00AD2A52" w:rsidRDefault="006D3B2A" w:rsidP="00B853FB">
      <w:pPr>
        <w:spacing w:before="240" w:after="240"/>
      </w:pPr>
      <w:r>
        <w:t>MSAC noted the concerns from ESC that the literature search in the applicant-developed assessment report (ADAR) was unsatisfactory and did not include sufficient paediatric data.</w:t>
      </w:r>
      <w:r w:rsidRPr="006D3B2A">
        <w:t xml:space="preserve"> MSAC noted that additional paediatric studies were included in the ESC report. </w:t>
      </w:r>
      <w:r w:rsidRPr="00964011">
        <w:t>MSAC noted the pre-MSAC response’s contention that these additional studies used two-step</w:t>
      </w:r>
      <w:r>
        <w:t>,</w:t>
      </w:r>
      <w:r w:rsidRPr="00964011">
        <w:t xml:space="preserve"> open ECP system</w:t>
      </w:r>
      <w:r>
        <w:t>s</w:t>
      </w:r>
      <w:r w:rsidRPr="00964011">
        <w:t xml:space="preserve"> rather than integrated, closed ECP systems. The pre-MSAC response highlighted that open systems are no longer used in Australia in part due to the increased risk of reinfusion error, infection, and cross contamination. MSAC agreed with the pre-MSAC response that the additional paediatric data aligned with the clinical evidence presented in the ADAR and is </w:t>
      </w:r>
      <w:r w:rsidRPr="00964011">
        <w:lastRenderedPageBreak/>
        <w:t xml:space="preserve">unlikely to change the </w:t>
      </w:r>
      <w:r w:rsidR="00B743EA">
        <w:t xml:space="preserve">overall </w:t>
      </w:r>
      <w:r w:rsidRPr="00964011">
        <w:t xml:space="preserve">conclusion of </w:t>
      </w:r>
      <w:r w:rsidR="00B743EA">
        <w:t xml:space="preserve">comparative </w:t>
      </w:r>
      <w:r w:rsidRPr="00964011">
        <w:t>effectiveness.</w:t>
      </w:r>
      <w:r w:rsidR="00094B99">
        <w:t xml:space="preserve"> MSAC considered paediatric patients appeared to have similar response outcomes to adults, however Australia</w:t>
      </w:r>
      <w:r w:rsidR="00B743EA">
        <w:t>n</w:t>
      </w:r>
      <w:r w:rsidR="00094B99">
        <w:t xml:space="preserve"> data from the Victorian Comprehensive Cancer Centre suggested there may be more difficulties with venous access in children.</w:t>
      </w:r>
    </w:p>
    <w:p w14:paraId="091463B2" w14:textId="493CF14C" w:rsidR="007D4A43" w:rsidRDefault="00AD2A52" w:rsidP="00AD2A52">
      <w:r>
        <w:t>MSAC reviewed the economic evaluation, which was a cost-utility analysis with a 10-year time horizon.</w:t>
      </w:r>
      <w:r w:rsidR="007B6EA6" w:rsidRPr="007B6EA6">
        <w:t xml:space="preserve"> </w:t>
      </w:r>
      <w:r w:rsidR="007B6EA6">
        <w:t>MSAC noted the base case, which showed that ECP was dominant, but noted that this was uncertain due to the extrapolation of 12-week outcomes to 10 years, the uncertain effect of treatment response on mortality, and uncertainty as to whether the benefits are similar in all three populations (model inputs included the steroid-refractory population only).</w:t>
      </w:r>
      <w:r>
        <w:t xml:space="preserve"> Model inputs included a response rate to </w:t>
      </w:r>
      <w:r w:rsidR="004B30DB">
        <w:t>ECP</w:t>
      </w:r>
      <w:r w:rsidR="009C4ADA">
        <w:t xml:space="preserve"> </w:t>
      </w:r>
      <w:r>
        <w:t xml:space="preserve">of 80%, informed by Australian single-arm studies. MSAC noted ESC’s concerns that this was twice as high as the skin response rate seen in </w:t>
      </w:r>
      <w:r w:rsidR="004B30DB">
        <w:t>the ECP</w:t>
      </w:r>
      <w:r w:rsidR="009C4ADA">
        <w:t xml:space="preserve"> arm in </w:t>
      </w:r>
      <w:r>
        <w:t xml:space="preserve">the randomised controlled trial (40%). </w:t>
      </w:r>
      <w:r w:rsidR="003F17A2">
        <w:t xml:space="preserve">MSAC considered that using skin response alone in the economic </w:t>
      </w:r>
      <w:r w:rsidR="00853296">
        <w:t xml:space="preserve">model </w:t>
      </w:r>
      <w:r w:rsidR="003F17A2">
        <w:t xml:space="preserve">would bias against ECP. </w:t>
      </w:r>
      <w:r>
        <w:t xml:space="preserve">MSAC accepted the applicant’s </w:t>
      </w:r>
      <w:r w:rsidR="00871110">
        <w:t xml:space="preserve">rationale </w:t>
      </w:r>
      <w:r>
        <w:t xml:space="preserve">that </w:t>
      </w:r>
      <w:r w:rsidR="00871110">
        <w:t xml:space="preserve">a </w:t>
      </w:r>
      <w:r>
        <w:t>higher response rate was justified</w:t>
      </w:r>
      <w:r w:rsidR="00871110">
        <w:t xml:space="preserve"> as it would capture response in other </w:t>
      </w:r>
      <w:r w:rsidR="008037A5">
        <w:t xml:space="preserve">organs </w:t>
      </w:r>
      <w:r w:rsidR="00871110">
        <w:t>which is consistent with the NIH criteria for response.</w:t>
      </w:r>
      <w:r w:rsidR="009C4ADA">
        <w:t xml:space="preserve"> MSAC also accepted the assumption that the same relative risk would apply to both </w:t>
      </w:r>
      <w:r w:rsidR="004B30DB">
        <w:t>ECP response rate</w:t>
      </w:r>
      <w:r w:rsidR="009C4ADA">
        <w:t xml:space="preserve"> estimates to estimate the response rate to </w:t>
      </w:r>
      <w:r w:rsidR="004B30DB">
        <w:t xml:space="preserve">standard of care </w:t>
      </w:r>
      <w:r w:rsidR="009C4ADA">
        <w:t xml:space="preserve">(and thereby increasing the incremental improvement in response rates from 30% in the trial to 60% in the model), noting that this was consistent with other relative risk reductions from clinical studies of ECP in </w:t>
      </w:r>
      <w:r w:rsidR="004B30DB">
        <w:t>c</w:t>
      </w:r>
      <w:r w:rsidR="009C4ADA">
        <w:t>GVHD assessing more global outcomes, including studies involving the less preferred open ECP systems as well as the requested closed ECP system.</w:t>
      </w:r>
    </w:p>
    <w:p w14:paraId="51733389" w14:textId="142BABB0" w:rsidR="003F17A2" w:rsidRDefault="00AD2A52" w:rsidP="00B853FB">
      <w:pPr>
        <w:spacing w:before="240"/>
      </w:pPr>
      <w:r>
        <w:t xml:space="preserve">MSAC noted that the model included the assumption that response </w:t>
      </w:r>
      <w:r w:rsidR="008037A5">
        <w:t xml:space="preserve">or not </w:t>
      </w:r>
      <w:r>
        <w:t xml:space="preserve">at 12 weeks was </w:t>
      </w:r>
      <w:r w:rsidR="00756C7E">
        <w:t xml:space="preserve">generally </w:t>
      </w:r>
      <w:r>
        <w:t>maintained for the rest of the model (10 years)</w:t>
      </w:r>
      <w:r w:rsidR="00756C7E">
        <w:t>.</w:t>
      </w:r>
      <w:r>
        <w:t xml:space="preserve"> </w:t>
      </w:r>
      <w:r w:rsidR="00756C7E">
        <w:t xml:space="preserve">This </w:t>
      </w:r>
      <w:r>
        <w:t xml:space="preserve">affected the </w:t>
      </w:r>
      <w:r w:rsidR="008037A5">
        <w:t xml:space="preserve">modelled results for </w:t>
      </w:r>
      <w:r>
        <w:t>cost offsets</w:t>
      </w:r>
      <w:r w:rsidR="008037A5">
        <w:t>,</w:t>
      </w:r>
      <w:r>
        <w:t xml:space="preserve"> utility gains</w:t>
      </w:r>
      <w:r w:rsidR="008037A5">
        <w:t xml:space="preserve"> and overall survival gains</w:t>
      </w:r>
      <w:r>
        <w:t xml:space="preserve">. </w:t>
      </w:r>
      <w:r>
        <w:rPr>
          <w:lang w:val="en-US"/>
        </w:rPr>
        <w:t xml:space="preserve">The pre-MSAC response clarified that the risk of disease progression in responders in the model was </w:t>
      </w:r>
      <w:r w:rsidR="00756C7E">
        <w:rPr>
          <w:lang w:val="en-US"/>
        </w:rPr>
        <w:t xml:space="preserve">estimated to be 4.1% per year based on data from </w:t>
      </w:r>
      <w:r>
        <w:rPr>
          <w:lang w:val="en-US"/>
        </w:rPr>
        <w:t>the Royal Prince Alfred Hospital Special Access Scheme</w:t>
      </w:r>
      <w:r w:rsidR="00756C7E">
        <w:rPr>
          <w:lang w:val="en-US"/>
        </w:rPr>
        <w:t xml:space="preserve">. This </w:t>
      </w:r>
      <w:r>
        <w:rPr>
          <w:lang w:val="en-US"/>
        </w:rPr>
        <w:t xml:space="preserve">was applied to responders in both the ECP and standard of care arms. </w:t>
      </w:r>
      <w:r>
        <w:t xml:space="preserve">MSAC also noted that the </w:t>
      </w:r>
      <w:r w:rsidR="00C47220">
        <w:t xml:space="preserve">model </w:t>
      </w:r>
      <w:r>
        <w:t xml:space="preserve">did not capture the </w:t>
      </w:r>
      <w:r w:rsidR="008037A5">
        <w:t xml:space="preserve">utility </w:t>
      </w:r>
      <w:r>
        <w:t xml:space="preserve">benefits of reduced steroid or </w:t>
      </w:r>
      <w:r w:rsidR="00C47220">
        <w:t>other immunosuppressant</w:t>
      </w:r>
      <w:r w:rsidR="00305823">
        <w:t xml:space="preserve"> use</w:t>
      </w:r>
      <w:r>
        <w:t>.</w:t>
      </w:r>
      <w:r w:rsidR="003F17A2">
        <w:t xml:space="preserve"> MSAC noted that the pre-MSAC response cited an economic model, </w:t>
      </w:r>
      <w:r w:rsidR="003F17A2" w:rsidRPr="003F17A2">
        <w:t xml:space="preserve">Mohammad </w:t>
      </w:r>
      <w:r w:rsidR="003F17A2">
        <w:t>(2014)</w:t>
      </w:r>
      <w:r w:rsidR="003F17A2">
        <w:rPr>
          <w:rStyle w:val="FootnoteReference"/>
        </w:rPr>
        <w:footnoteReference w:id="2"/>
      </w:r>
      <w:r w:rsidR="003F17A2">
        <w:t xml:space="preserve">, </w:t>
      </w:r>
      <w:r w:rsidR="00B964C4">
        <w:t>showing</w:t>
      </w:r>
      <w:r w:rsidR="003F17A2">
        <w:t xml:space="preserve"> improved survival</w:t>
      </w:r>
      <w:r w:rsidR="00B964C4">
        <w:t xml:space="preserve"> and cost savings to the health system for patients who had undergone paediatric liver transplantation and were able to taper off immunosuppressant medication.</w:t>
      </w:r>
    </w:p>
    <w:p w14:paraId="63FD0A87" w14:textId="3F6A029C" w:rsidR="003F17A2" w:rsidRDefault="007B6EA6" w:rsidP="00B853FB">
      <w:pPr>
        <w:spacing w:before="240"/>
      </w:pPr>
      <w:r>
        <w:t xml:space="preserve">MSAC noted that the economic model did not include the cost of concomitant immunosuppressants for the ECP arm, however the model was not very sensitive to </w:t>
      </w:r>
      <w:r w:rsidR="003F17A2">
        <w:t xml:space="preserve">its inclusion. </w:t>
      </w:r>
      <w:r w:rsidR="008037A5">
        <w:t xml:space="preserve">Instead, </w:t>
      </w:r>
      <w:r w:rsidR="00B964C4">
        <w:t xml:space="preserve">MSAC noted a key driver of the economic model was the </w:t>
      </w:r>
      <w:r w:rsidR="008037A5">
        <w:t>increased</w:t>
      </w:r>
      <w:r w:rsidR="00B964C4">
        <w:t xml:space="preserve"> cost </w:t>
      </w:r>
      <w:r w:rsidR="008037A5">
        <w:t xml:space="preserve">in non-responders </w:t>
      </w:r>
      <w:r w:rsidR="00B964C4">
        <w:t>of post</w:t>
      </w:r>
      <w:r w:rsidR="00B964C4">
        <w:noBreakHyphen/>
        <w:t>progression treatments such as rituximab and intravenous immunoglobulin (IVIg). MSAC noted</w:t>
      </w:r>
      <w:r w:rsidR="00E36D0B">
        <w:t xml:space="preserve"> although there may be hospital funding of rituximab,</w:t>
      </w:r>
      <w:r w:rsidR="00B964C4">
        <w:t xml:space="preserve"> </w:t>
      </w:r>
      <w:r w:rsidR="00E36D0B">
        <w:t xml:space="preserve">its </w:t>
      </w:r>
      <w:r w:rsidR="00B964C4">
        <w:t xml:space="preserve">cost-effectiveness in this setting has not been assessed by the PBAC. MSAC </w:t>
      </w:r>
      <w:r w:rsidR="008037A5">
        <w:t xml:space="preserve">further </w:t>
      </w:r>
      <w:r w:rsidR="00B964C4">
        <w:t xml:space="preserve">recalled that </w:t>
      </w:r>
      <w:r w:rsidR="00275C3C">
        <w:t xml:space="preserve">it had </w:t>
      </w:r>
      <w:r w:rsidR="00275C3C" w:rsidRPr="00275C3C">
        <w:t>advised that immunoglobulin is not a cost effective therapy to manage infections in all patients who have acquired hypogammaglobulinaemia secondary to haematological malignancies or post-haemopoietic stem cell transplantation at the current price</w:t>
      </w:r>
      <w:r w:rsidR="00275C3C">
        <w:t xml:space="preserve"> (</w:t>
      </w:r>
      <w:hyperlink r:id="rId11" w:history="1">
        <w:r w:rsidR="00275C3C" w:rsidRPr="0076139D">
          <w:rPr>
            <w:rStyle w:val="Hyperlink"/>
          </w:rPr>
          <w:t>PSD Application 1565</w:t>
        </w:r>
      </w:hyperlink>
      <w:r w:rsidR="00275C3C">
        <w:t>,</w:t>
      </w:r>
      <w:r w:rsidR="00275C3C" w:rsidRPr="00275C3C">
        <w:t xml:space="preserve"> p1).</w:t>
      </w:r>
    </w:p>
    <w:p w14:paraId="5BCD6F7C" w14:textId="6A663C60" w:rsidR="003F17A2" w:rsidRDefault="003F17A2" w:rsidP="00B853FB">
      <w:pPr>
        <w:spacing w:before="240"/>
      </w:pPr>
      <w:bookmarkStart w:id="3" w:name="_Hlk79693615"/>
      <w:r>
        <w:t xml:space="preserve">MSAC </w:t>
      </w:r>
      <w:r w:rsidR="008037A5">
        <w:t xml:space="preserve">therefore </w:t>
      </w:r>
      <w:r w:rsidR="00286687">
        <w:t>relied on</w:t>
      </w:r>
      <w:r>
        <w:t xml:space="preserve"> the </w:t>
      </w:r>
      <w:r w:rsidR="0055160A">
        <w:t xml:space="preserve">respecified </w:t>
      </w:r>
      <w:r>
        <w:t xml:space="preserve">base case </w:t>
      </w:r>
      <w:r w:rsidR="0055160A">
        <w:t xml:space="preserve">in the Commentary </w:t>
      </w:r>
      <w:r>
        <w:t>with a 5-year time horizon and costs of rituximab removed, resulting in an incremental cost-effectiveness ratio (ICER) of $48,754</w:t>
      </w:r>
      <w:r w:rsidR="0040285A">
        <w:t>/QALY</w:t>
      </w:r>
      <w:r>
        <w:t xml:space="preserve">. MSAC considered </w:t>
      </w:r>
      <w:r w:rsidR="0040285A">
        <w:t xml:space="preserve">that </w:t>
      </w:r>
      <w:r>
        <w:t xml:space="preserve">the shorter time horizon in the revised </w:t>
      </w:r>
      <w:r>
        <w:lastRenderedPageBreak/>
        <w:t xml:space="preserve">base case adequately addressed the uncertainty relating to the duration of response as </w:t>
      </w:r>
      <w:r>
        <w:rPr>
          <w:lang w:val="en-US"/>
        </w:rPr>
        <w:t>response in cGVHD is generally durable</w:t>
      </w:r>
      <w:bookmarkStart w:id="4" w:name="_Hlk80282249"/>
      <w:r w:rsidR="0040285A">
        <w:rPr>
          <w:lang w:val="en-US"/>
        </w:rPr>
        <w:t>. MSAC considered that also reducing the associated cost offsets adequately addressed the uncertainty relating to the duration of non-response</w:t>
      </w:r>
      <w:bookmarkEnd w:id="4"/>
      <w:r w:rsidR="00C47220">
        <w:rPr>
          <w:lang w:val="en-US"/>
        </w:rPr>
        <w:t xml:space="preserve"> </w:t>
      </w:r>
      <w:bookmarkStart w:id="5" w:name="_Hlk80286800"/>
      <w:r w:rsidR="00C47220">
        <w:rPr>
          <w:lang w:val="en-US"/>
        </w:rPr>
        <w:t xml:space="preserve">and associated </w:t>
      </w:r>
      <w:r w:rsidR="0055160A">
        <w:rPr>
          <w:lang w:val="en-US"/>
        </w:rPr>
        <w:t xml:space="preserve">modelled </w:t>
      </w:r>
      <w:r w:rsidR="00C47220">
        <w:rPr>
          <w:lang w:val="en-US"/>
        </w:rPr>
        <w:t>utility and overall survival gains</w:t>
      </w:r>
      <w:bookmarkEnd w:id="5"/>
      <w:r>
        <w:rPr>
          <w:lang w:val="en-US"/>
        </w:rPr>
        <w:t>.</w:t>
      </w:r>
      <w:r w:rsidR="002D7970">
        <w:rPr>
          <w:lang w:val="en-US"/>
        </w:rPr>
        <w:t xml:space="preserve"> MSAC noted that this ICER was similar to the </w:t>
      </w:r>
      <w:r w:rsidR="0040285A">
        <w:rPr>
          <w:lang w:val="en-US"/>
        </w:rPr>
        <w:t xml:space="preserve">previously accepted </w:t>
      </w:r>
      <w:r w:rsidR="002D7970">
        <w:rPr>
          <w:lang w:val="en-US"/>
        </w:rPr>
        <w:t>ICER</w:t>
      </w:r>
      <w:bookmarkStart w:id="6" w:name="_Hlk80282187"/>
      <w:r w:rsidR="0040285A">
        <w:rPr>
          <w:lang w:val="en-US"/>
        </w:rPr>
        <w:t>/QALY for ECP</w:t>
      </w:r>
      <w:r w:rsidR="002D7970">
        <w:rPr>
          <w:lang w:val="en-US"/>
        </w:rPr>
        <w:t xml:space="preserve"> </w:t>
      </w:r>
      <w:bookmarkEnd w:id="6"/>
      <w:r w:rsidR="002D7970">
        <w:rPr>
          <w:lang w:val="en-US"/>
        </w:rPr>
        <w:t xml:space="preserve">in CTCL. </w:t>
      </w:r>
      <w:r w:rsidR="0040285A">
        <w:rPr>
          <w:lang w:val="en-US"/>
        </w:rPr>
        <w:t xml:space="preserve">In addition, </w:t>
      </w:r>
      <w:r w:rsidR="002D7970">
        <w:rPr>
          <w:lang w:val="en-US"/>
        </w:rPr>
        <w:t>MSAC noted that ECP for CTCL is a palliative therapy whereas allogenic HSCT is performed with curative intent</w:t>
      </w:r>
      <w:r w:rsidR="0040285A">
        <w:rPr>
          <w:lang w:val="en-US"/>
        </w:rPr>
        <w:t xml:space="preserve"> and </w:t>
      </w:r>
      <w:r w:rsidR="002D7970">
        <w:rPr>
          <w:lang w:val="en-US"/>
        </w:rPr>
        <w:t xml:space="preserve">considered that this strengthened the rationale for subsidising ECP </w:t>
      </w:r>
      <w:r w:rsidR="00423D46">
        <w:rPr>
          <w:lang w:val="en-US"/>
        </w:rPr>
        <w:t>in the cGVHD population.</w:t>
      </w:r>
    </w:p>
    <w:bookmarkEnd w:id="3"/>
    <w:p w14:paraId="2A804595" w14:textId="62E3BF13" w:rsidR="00AD2A52" w:rsidRDefault="00AD2A52" w:rsidP="00B853FB">
      <w:pPr>
        <w:spacing w:before="240"/>
      </w:pPr>
      <w:r>
        <w:t>MSAC noted the financial impact of ECP</w:t>
      </w:r>
      <w:bookmarkStart w:id="7" w:name="_Hlk79693332"/>
      <w:r>
        <w:t>, including corrections to costs to include the Greatest Permissible Gap and Original Medicare Safety Net, and considered this to be acceptable.</w:t>
      </w:r>
      <w:r w:rsidR="00643130">
        <w:t xml:space="preserve"> </w:t>
      </w:r>
      <w:r w:rsidR="00AC60C6">
        <w:t xml:space="preserve">As noted above in relation to only two centres currently providing ECP, </w:t>
      </w:r>
      <w:r w:rsidR="00BA69AE">
        <w:t xml:space="preserve">MSAC </w:t>
      </w:r>
      <w:r w:rsidR="00AC60C6">
        <w:t>advised</w:t>
      </w:r>
      <w:r w:rsidR="00BA69AE">
        <w:t xml:space="preserve"> that the uptake of ECP was uncertain as it would be dependent on </w:t>
      </w:r>
      <w:r w:rsidR="00AC60C6">
        <w:t xml:space="preserve">expanding </w:t>
      </w:r>
      <w:r w:rsidR="00BA69AE">
        <w:t xml:space="preserve">service provision. </w:t>
      </w:r>
      <w:bookmarkEnd w:id="7"/>
      <w:r w:rsidR="002F7BC4">
        <w:t xml:space="preserve">MSAC </w:t>
      </w:r>
      <w:r w:rsidR="00AC60C6">
        <w:t>also advised</w:t>
      </w:r>
      <w:r w:rsidR="002F7BC4">
        <w:t xml:space="preserve"> that as more allogenic HSCTs are performed, particularly in older patients, there will be a greater clinical need for ECP. </w:t>
      </w:r>
      <w:r w:rsidR="00643130">
        <w:t xml:space="preserve">MSAC </w:t>
      </w:r>
      <w:r w:rsidR="00AC60C6">
        <w:t xml:space="preserve">considered </w:t>
      </w:r>
      <w:r w:rsidR="00643130">
        <w:t xml:space="preserve">that the </w:t>
      </w:r>
      <w:r w:rsidR="00AC60C6">
        <w:t>cost</w:t>
      </w:r>
      <w:r w:rsidR="00643130">
        <w:t xml:space="preserve"> estimates </w:t>
      </w:r>
      <w:r w:rsidR="00AC60C6">
        <w:t xml:space="preserve">should have </w:t>
      </w:r>
      <w:r w:rsidR="00643130">
        <w:t>include</w:t>
      </w:r>
      <w:r w:rsidR="00AC60C6">
        <w:t>d</w:t>
      </w:r>
      <w:r w:rsidR="00643130">
        <w:t xml:space="preserve"> the cost of central venous access and flushing of central lines. </w:t>
      </w:r>
      <w:r w:rsidR="00501E34">
        <w:t xml:space="preserve">The financial estimates also did not account for reductions </w:t>
      </w:r>
      <w:r w:rsidR="00871110">
        <w:t>in the use of corticosteroids and other immunosuppressants.</w:t>
      </w:r>
    </w:p>
    <w:p w14:paraId="157EE888" w14:textId="66D3F8E5" w:rsidR="002F7BC4" w:rsidRDefault="002F7BC4" w:rsidP="00B853FB">
      <w:pPr>
        <w:spacing w:before="240" w:after="240"/>
      </w:pPr>
      <w:r>
        <w:t>MSAC advised that the MBS item should be reviewed after 2 years.</w:t>
      </w:r>
    </w:p>
    <w:p w14:paraId="5820AF33" w14:textId="4CF5678F" w:rsidR="002F7BC4" w:rsidRDefault="0055160A" w:rsidP="002F7BC4">
      <w:r>
        <w:t xml:space="preserve">MSAC </w:t>
      </w:r>
      <w:r w:rsidR="002F7BC4">
        <w:t>advised that c</w:t>
      </w:r>
      <w:r w:rsidR="002F7BC4" w:rsidRPr="00BA69AE">
        <w:t xml:space="preserve">o-claiming restrictions should be enforced to ensure that additional supervision items are not claimed as the proposed fee covers </w:t>
      </w:r>
      <w:r w:rsidR="00AC60C6">
        <w:t xml:space="preserve">the cost of </w:t>
      </w:r>
      <w:r w:rsidR="002F7BC4" w:rsidRPr="00BA69AE">
        <w:t>specialist supervision</w:t>
      </w:r>
      <w:r w:rsidR="0034766C">
        <w:t xml:space="preserve"> of </w:t>
      </w:r>
      <w:r w:rsidR="0034766C" w:rsidRPr="002F7BC4">
        <w:t>nursing staff</w:t>
      </w:r>
      <w:r w:rsidR="0034766C">
        <w:t xml:space="preserve"> involved with ECP service delivery</w:t>
      </w:r>
      <w:r w:rsidR="002F7BC4" w:rsidRPr="00BA69AE">
        <w:t>.</w:t>
      </w:r>
    </w:p>
    <w:p w14:paraId="5D44D57A" w14:textId="1B8497E3" w:rsidR="00BA69AE" w:rsidRDefault="00E36D0B" w:rsidP="00B853FB">
      <w:pPr>
        <w:spacing w:before="240"/>
      </w:pPr>
      <w:bookmarkStart w:id="8" w:name="_Hlk79693401"/>
      <w:r>
        <w:t>MSAC supported item descriptor</w:t>
      </w:r>
      <w:r w:rsidR="0034766C">
        <w:t>s</w:t>
      </w:r>
      <w:r>
        <w:t xml:space="preserve"> </w:t>
      </w:r>
      <w:r w:rsidR="00BA69AE">
        <w:t xml:space="preserve">that did not limit </w:t>
      </w:r>
      <w:r w:rsidR="0034766C">
        <w:t>the proposed</w:t>
      </w:r>
      <w:r w:rsidR="00BA69AE">
        <w:t xml:space="preserve"> use </w:t>
      </w:r>
      <w:r w:rsidR="0034766C">
        <w:t xml:space="preserve">of ECP to </w:t>
      </w:r>
      <w:r w:rsidR="00BA69AE">
        <w:t xml:space="preserve">adults. </w:t>
      </w:r>
      <w:r>
        <w:t xml:space="preserve">MSAC noted that around 20% of allogeneic haematopoietic stem cell transplant recipients are for children under 16 years of age, </w:t>
      </w:r>
      <w:bookmarkEnd w:id="8"/>
      <w:r>
        <w:t>and these people would not be eligible for ECP if the MBS item descriptor</w:t>
      </w:r>
      <w:r w:rsidR="0034766C">
        <w:t>s</w:t>
      </w:r>
      <w:r>
        <w:t xml:space="preserve"> limited the service to adults. MSAC noted that the item descriptor specified that it was for use in adults to align with the TGA</w:t>
      </w:r>
      <w:r w:rsidR="0034766C">
        <w:t>-</w:t>
      </w:r>
      <w:r>
        <w:t xml:space="preserve">approved </w:t>
      </w:r>
      <w:r w:rsidR="0034766C">
        <w:t>p</w:t>
      </w:r>
      <w:r>
        <w:t xml:space="preserve">roduct </w:t>
      </w:r>
      <w:r w:rsidR="0034766C">
        <w:t>i</w:t>
      </w:r>
      <w:r>
        <w:t xml:space="preserve">nformation for methoxsalen, which is restricted to adults. </w:t>
      </w:r>
      <w:r w:rsidRPr="00C548AC">
        <w:t xml:space="preserve">MSAC noted that PASC had advised that the item descriptor and codependent PBS restriction for methoxsalen should omit reference to the age of the patient rather than specifying an age (1651 </w:t>
      </w:r>
      <w:r w:rsidR="0034138C" w:rsidRPr="00C548AC">
        <w:t>r</w:t>
      </w:r>
      <w:r w:rsidRPr="00C548AC">
        <w:t>atified PICO</w:t>
      </w:r>
      <w:r w:rsidR="0034138C">
        <w:t xml:space="preserve"> Confirmation</w:t>
      </w:r>
      <w:r w:rsidRPr="00C548AC">
        <w:t>, p8).</w:t>
      </w:r>
      <w:r>
        <w:t xml:space="preserve"> MSAC noted the ECP was being used treat children in Australia. </w:t>
      </w:r>
      <w:bookmarkStart w:id="9" w:name="_Hlk80283214"/>
      <w:r>
        <w:t xml:space="preserve">MSAC advised that </w:t>
      </w:r>
      <w:r w:rsidR="0034766C">
        <w:t xml:space="preserve">PBAC should consider aligning the PBS restriction for methoxsalen to align with this aspect of </w:t>
      </w:r>
      <w:r>
        <w:t>the MBS item descriptor.</w:t>
      </w:r>
      <w:bookmarkEnd w:id="9"/>
    </w:p>
    <w:p w14:paraId="3B958A36" w14:textId="5FF5F350" w:rsidR="00C13DF5" w:rsidRPr="009E7AB6" w:rsidRDefault="00065623" w:rsidP="009E7AB6">
      <w:pPr>
        <w:pStyle w:val="Heading1"/>
        <w:numPr>
          <w:ilvl w:val="0"/>
          <w:numId w:val="13"/>
        </w:numPr>
        <w:spacing w:before="240" w:after="240"/>
        <w:ind w:hanging="720"/>
        <w:rPr>
          <w:rFonts w:ascii="Arial" w:eastAsia="Times New Roman" w:hAnsi="Arial" w:cs="Times New Roman"/>
        </w:rPr>
      </w:pPr>
      <w:r w:rsidRPr="009E7AB6">
        <w:rPr>
          <w:rFonts w:ascii="Arial" w:eastAsia="Times New Roman" w:hAnsi="Arial" w:cs="Times New Roman"/>
        </w:rPr>
        <w:t>Background</w:t>
      </w:r>
    </w:p>
    <w:p w14:paraId="14FC2520" w14:textId="2828FD11" w:rsidR="00460AAF" w:rsidRDefault="00C13DF5" w:rsidP="00460AAF">
      <w:r>
        <w:t xml:space="preserve">At its April 2020 meeting, </w:t>
      </w:r>
      <w:r w:rsidRPr="00C13DF5">
        <w:t xml:space="preserve">MSAC supported public funding of </w:t>
      </w:r>
      <w:r>
        <w:t xml:space="preserve">ECP </w:t>
      </w:r>
      <w:r w:rsidRPr="00C13DF5">
        <w:t>in the treatment of cutaneous T-cell lym</w:t>
      </w:r>
      <w:r>
        <w:t>phoma</w:t>
      </w:r>
      <w:r w:rsidR="000D4BFC">
        <w:t xml:space="preserve"> (CTCL)</w:t>
      </w:r>
      <w:r>
        <w:t xml:space="preserve">. However, MSAC noted that </w:t>
      </w:r>
      <w:r w:rsidRPr="00C13DF5">
        <w:t>the proposed fee for service included items which are not</w:t>
      </w:r>
      <w:r>
        <w:t xml:space="preserve"> typically reimbursed under the </w:t>
      </w:r>
      <w:r w:rsidRPr="00C13DF5">
        <w:t>MBS, and that the Department should negotiate these with the applicant</w:t>
      </w:r>
      <w:r w:rsidR="000D4BFC">
        <w:t xml:space="preserve"> (p2, </w:t>
      </w:r>
      <w:hyperlink r:id="rId12" w:history="1">
        <w:r w:rsidR="000D4BFC" w:rsidRPr="000D4BFC">
          <w:rPr>
            <w:rStyle w:val="Hyperlink"/>
          </w:rPr>
          <w:t>Public Summary Document [PSD] Application 1420</w:t>
        </w:r>
      </w:hyperlink>
      <w:r w:rsidR="000D4BFC">
        <w:t>)</w:t>
      </w:r>
      <w:r w:rsidRPr="00C13DF5">
        <w:t>.</w:t>
      </w:r>
      <w:r w:rsidR="00460AAF">
        <w:br w:type="page"/>
      </w:r>
    </w:p>
    <w:p w14:paraId="0F741F04" w14:textId="77777777" w:rsidR="000D4BFC" w:rsidRDefault="000D4BFC" w:rsidP="00B853FB">
      <w:pPr>
        <w:spacing w:before="240"/>
      </w:pPr>
      <w:r>
        <w:lastRenderedPageBreak/>
        <w:t>On 1 November 2020, two new MBS items were introduced for the treatment of CTCL with ECP:</w:t>
      </w:r>
    </w:p>
    <w:p w14:paraId="58FB0D99" w14:textId="047D99A2" w:rsidR="000D4BFC" w:rsidRDefault="000D4BFC" w:rsidP="000D4BFC">
      <w:pPr>
        <w:pStyle w:val="ListParagraph"/>
        <w:numPr>
          <w:ilvl w:val="0"/>
          <w:numId w:val="15"/>
        </w:numPr>
      </w:pPr>
      <w:r w:rsidRPr="000D4BFC">
        <w:t>Item 14247:</w:t>
      </w:r>
      <w:r>
        <w:t xml:space="preserve"> </w:t>
      </w:r>
      <w:r w:rsidRPr="000D4BFC">
        <w:t>ECP for the first six months of treatment for cutaneous T-cell lymphoma administered under the supervision of a specialist or consultant physician in the speciality of haematology, with a schedule fee of $1,908.35.</w:t>
      </w:r>
    </w:p>
    <w:p w14:paraId="4936E6BE" w14:textId="7C62676E" w:rsidR="0076139D" w:rsidRDefault="000D4BFC" w:rsidP="0076139D">
      <w:pPr>
        <w:pStyle w:val="ListParagraph"/>
        <w:numPr>
          <w:ilvl w:val="0"/>
          <w:numId w:val="15"/>
        </w:numPr>
      </w:pPr>
      <w:r w:rsidRPr="000D4BFC">
        <w:t>Item 14249: ECP for after the first six months of treatment for cutaneous T-cell lymphoma administered under the supervision of a specialist or consultant physician in the speciality of haematology, with a schedule fee of $1,908.35.</w:t>
      </w:r>
    </w:p>
    <w:p w14:paraId="7C6994E9" w14:textId="65022C94" w:rsidR="00B411FE" w:rsidRPr="00B02E35" w:rsidRDefault="0076139D" w:rsidP="00B853FB">
      <w:pPr>
        <w:spacing w:before="240"/>
        <w:rPr>
          <w:szCs w:val="24"/>
        </w:rPr>
      </w:pPr>
      <w:r>
        <w:t xml:space="preserve">In November 2019, MSAC considered a Post-Market Review of on the Government funded supply of replacement human gamma immunoglobulin therapy </w:t>
      </w:r>
      <w:r w:rsidR="00F60744">
        <w:t xml:space="preserve">via </w:t>
      </w:r>
      <w:r>
        <w:t>the National Blood</w:t>
      </w:r>
      <w:r w:rsidR="0011324C">
        <w:t xml:space="preserve"> Authority.</w:t>
      </w:r>
      <w:r w:rsidR="00F60744">
        <w:t xml:space="preserve"> In relation to a</w:t>
      </w:r>
      <w:r>
        <w:t>rrangements for the treatment of acquired hypogammaglobulinaemia secondary to</w:t>
      </w:r>
      <w:r w:rsidR="00142109">
        <w:t xml:space="preserve"> </w:t>
      </w:r>
      <w:r>
        <w:t>haematological malignancies, or post-haemopoietic stem cell transplantation, MSAC advised that immunoglobulin is not a cost</w:t>
      </w:r>
      <w:r>
        <w:noBreakHyphen/>
        <w:t xml:space="preserve">effective therapy to manage infections in all patients who have acquired hypogammaglobulinaemia secondary to haematological malignancies or post-haemopoietic stem cell transplantation at the current price. MSAC considered that immunoglobulin could be cost-effective in some patients currently eligible for </w:t>
      </w:r>
      <w:r w:rsidR="00803A4D" w:rsidRPr="00803A4D">
        <w:t>immunoglobulin</w:t>
      </w:r>
      <w:r>
        <w:t xml:space="preserve"> under the Criteria (version 3) for this indication, however the variation in the underlying patient conditions and treatments causing hypogammaglobinaemia in this population made an overall conclusion about the cost</w:t>
      </w:r>
      <w:r w:rsidR="00F60744">
        <w:t>-</w:t>
      </w:r>
      <w:r>
        <w:t xml:space="preserve">effectiveness </w:t>
      </w:r>
      <w:r w:rsidR="00142109">
        <w:t>difficult</w:t>
      </w:r>
      <w:r>
        <w:t xml:space="preserve"> (p1, </w:t>
      </w:r>
      <w:hyperlink r:id="rId13" w:history="1">
        <w:r w:rsidRPr="0076139D">
          <w:rPr>
            <w:rStyle w:val="Hyperlink"/>
          </w:rPr>
          <w:t>PSD Application 1565</w:t>
        </w:r>
      </w:hyperlink>
      <w:r>
        <w:t>).</w:t>
      </w:r>
    </w:p>
    <w:p w14:paraId="3169B06F" w14:textId="4560391F" w:rsidR="003C0DA8" w:rsidRPr="009E7AB6" w:rsidRDefault="00065623" w:rsidP="009E7AB6">
      <w:pPr>
        <w:pStyle w:val="Heading1"/>
        <w:numPr>
          <w:ilvl w:val="0"/>
          <w:numId w:val="13"/>
        </w:numPr>
        <w:spacing w:before="240" w:after="240"/>
        <w:ind w:hanging="720"/>
        <w:rPr>
          <w:rFonts w:ascii="Arial" w:eastAsia="Times New Roman" w:hAnsi="Arial" w:cs="Times New Roman"/>
        </w:rPr>
      </w:pPr>
      <w:r w:rsidRPr="009E7AB6">
        <w:rPr>
          <w:rFonts w:ascii="Arial" w:eastAsia="Times New Roman" w:hAnsi="Arial" w:cs="Times New Roman"/>
        </w:rPr>
        <w:t>Prerequisites to implementation of any funding advice</w:t>
      </w:r>
    </w:p>
    <w:p w14:paraId="33D0131A" w14:textId="3C120562" w:rsidR="00BB26AB" w:rsidRPr="00B02E35" w:rsidRDefault="003C0DA8" w:rsidP="00B411FE">
      <w:r w:rsidRPr="003C0DA8">
        <w:t xml:space="preserve">The Therakos®, Integrated, Closed CellEx® Photopheresis System and its drug counterpart, methoxsalen (UVADEX®), </w:t>
      </w:r>
      <w:r>
        <w:t>are</w:t>
      </w:r>
      <w:r w:rsidRPr="003C0DA8">
        <w:t xml:space="preserve"> approved by the TGA and registered on the Australian Register of Therapeutic Goods (ARTG) for the treatment of cGVHD.</w:t>
      </w:r>
    </w:p>
    <w:p w14:paraId="7F5D75F2" w14:textId="57298970" w:rsidR="003C0DA8" w:rsidRPr="009E7AB6" w:rsidRDefault="00065623" w:rsidP="00F60744">
      <w:pPr>
        <w:pStyle w:val="Heading1"/>
        <w:numPr>
          <w:ilvl w:val="0"/>
          <w:numId w:val="13"/>
        </w:numPr>
        <w:spacing w:before="240" w:after="240"/>
        <w:ind w:hanging="720"/>
        <w:rPr>
          <w:rFonts w:ascii="Arial" w:eastAsia="Times New Roman" w:hAnsi="Arial" w:cs="Times New Roman"/>
        </w:rPr>
      </w:pPr>
      <w:r w:rsidRPr="009E7AB6">
        <w:rPr>
          <w:rFonts w:ascii="Arial" w:eastAsia="Times New Roman" w:hAnsi="Arial" w:cs="Times New Roman"/>
        </w:rPr>
        <w:t>Proposal for public funding</w:t>
      </w:r>
    </w:p>
    <w:p w14:paraId="1362174E" w14:textId="77777777" w:rsidR="008B21B6" w:rsidRDefault="008B21B6" w:rsidP="008B21B6">
      <w:r>
        <w:t>The ADAR sought public funding via:</w:t>
      </w:r>
    </w:p>
    <w:p w14:paraId="3524D212" w14:textId="1A6665E1" w:rsidR="008B21B6" w:rsidRDefault="0011324C" w:rsidP="008B21B6">
      <w:pPr>
        <w:pStyle w:val="ListParagraph"/>
        <w:numPr>
          <w:ilvl w:val="0"/>
          <w:numId w:val="16"/>
        </w:numPr>
      </w:pPr>
      <w:r>
        <w:t xml:space="preserve">two </w:t>
      </w:r>
      <w:r w:rsidR="008B21B6">
        <w:t>MBS item</w:t>
      </w:r>
      <w:r w:rsidR="00225AAA">
        <w:t>s</w:t>
      </w:r>
      <w:r>
        <w:t xml:space="preserve"> (initial and continuing treatment)</w:t>
      </w:r>
      <w:r w:rsidR="008B21B6">
        <w:t xml:space="preserve"> to subsidise delivery of the ECP treatment with an integrated, closed ECP system for patients with treatment refractory cGVHD</w:t>
      </w:r>
      <w:r w:rsidR="00225AAA">
        <w:t xml:space="preserve"> (</w:t>
      </w:r>
      <w:r w:rsidR="00225AAA">
        <w:fldChar w:fldCharType="begin"/>
      </w:r>
      <w:r w:rsidR="00225AAA">
        <w:instrText xml:space="preserve"> REF _Ref72324865 \h </w:instrText>
      </w:r>
      <w:r w:rsidR="00225AAA">
        <w:fldChar w:fldCharType="separate"/>
      </w:r>
      <w:r w:rsidR="008407AE">
        <w:t xml:space="preserve">Table </w:t>
      </w:r>
      <w:r w:rsidR="008407AE">
        <w:rPr>
          <w:noProof/>
        </w:rPr>
        <w:t>1</w:t>
      </w:r>
      <w:r w:rsidR="00225AAA">
        <w:fldChar w:fldCharType="end"/>
      </w:r>
      <w:r w:rsidR="00225AAA">
        <w:t>)</w:t>
      </w:r>
      <w:r w:rsidR="008B21B6">
        <w:t>, and</w:t>
      </w:r>
    </w:p>
    <w:p w14:paraId="6A25FFCD" w14:textId="4FD1109D" w:rsidR="00C37492" w:rsidRPr="009E7AB6" w:rsidRDefault="008B21B6" w:rsidP="00C37492">
      <w:pPr>
        <w:pStyle w:val="ListParagraph"/>
        <w:numPr>
          <w:ilvl w:val="0"/>
          <w:numId w:val="16"/>
        </w:numPr>
      </w:pPr>
      <w:r>
        <w:t>the PBS listing of methoxsalen (UVADEX®) to reimburse the cost of the drug as part of the service.</w:t>
      </w:r>
    </w:p>
    <w:p w14:paraId="2A419D29" w14:textId="1F9997B3" w:rsidR="003C0DA8" w:rsidRDefault="003C0DA8" w:rsidP="003C0DA8">
      <w:pPr>
        <w:pStyle w:val="Caption"/>
      </w:pPr>
      <w:bookmarkStart w:id="10" w:name="_Ref72324865"/>
      <w:r>
        <w:lastRenderedPageBreak/>
        <w:t xml:space="preserve">Table </w:t>
      </w:r>
      <w:fldSimple w:instr=" SEQ Table \* ARABIC ">
        <w:r w:rsidR="008407AE">
          <w:rPr>
            <w:noProof/>
          </w:rPr>
          <w:t>1</w:t>
        </w:r>
      </w:fldSimple>
      <w:bookmarkEnd w:id="10"/>
      <w:r>
        <w:t xml:space="preserve">: </w:t>
      </w:r>
      <w:r w:rsidRPr="003C0DA8">
        <w:t>Proposed MBS items for integrated, closed ECP systems for patients with cGVHD</w:t>
      </w:r>
    </w:p>
    <w:tbl>
      <w:tblPr>
        <w:tblStyle w:val="OPTUMTableNormal"/>
        <w:tblW w:w="5063" w:type="pct"/>
        <w:tblLook w:val="04A0" w:firstRow="1" w:lastRow="0" w:firstColumn="1" w:lastColumn="0" w:noHBand="0" w:noVBand="1"/>
        <w:tblCaption w:val="The proposed MBS restriction for integrated, closed ECP systems for patients with cGVHD"/>
        <w:tblDescription w:val="The proposed MBS restriction for integrated, closed ECP systems for patients with cGVHD"/>
      </w:tblPr>
      <w:tblGrid>
        <w:gridCol w:w="9130"/>
      </w:tblGrid>
      <w:tr w:rsidR="003C0DA8" w:rsidRPr="003C0DA8" w14:paraId="492253D2" w14:textId="77777777" w:rsidTr="002D4F5D">
        <w:trPr>
          <w:cnfStyle w:val="100000000000" w:firstRow="1" w:lastRow="0" w:firstColumn="0" w:lastColumn="0" w:oddVBand="0" w:evenVBand="0" w:oddHBand="0" w:evenHBand="0" w:firstRowFirstColumn="0" w:firstRowLastColumn="0" w:lastRowFirstColumn="0" w:lastRowLastColumn="0"/>
        </w:trPr>
        <w:tc>
          <w:tcPr>
            <w:tcW w:w="9119" w:type="dxa"/>
          </w:tcPr>
          <w:p w14:paraId="4B7CBC7A" w14:textId="77777777" w:rsidR="003C0DA8" w:rsidRPr="003C0DA8" w:rsidRDefault="003C0DA8" w:rsidP="003C0DA8">
            <w:pPr>
              <w:keepNext/>
              <w:keepLines/>
              <w:spacing w:after="40"/>
              <w:ind w:left="37"/>
              <w:rPr>
                <w:rFonts w:ascii="Arial Narrow" w:hAnsi="Arial Narrow" w:cs="Tahoma"/>
                <w:b/>
                <w:bCs/>
                <w:sz w:val="20"/>
                <w:szCs w:val="18"/>
              </w:rPr>
            </w:pPr>
            <w:r w:rsidRPr="003C0DA8">
              <w:rPr>
                <w:rFonts w:ascii="Arial Narrow" w:hAnsi="Arial Narrow" w:cs="Tahoma"/>
                <w:b/>
                <w:bCs/>
                <w:sz w:val="20"/>
                <w:szCs w:val="18"/>
              </w:rPr>
              <w:t>Initial treatment</w:t>
            </w:r>
          </w:p>
          <w:p w14:paraId="0B5773C8" w14:textId="77777777" w:rsidR="003C0DA8" w:rsidRPr="003C0DA8" w:rsidRDefault="003C0DA8" w:rsidP="003C0DA8">
            <w:pPr>
              <w:keepNext/>
              <w:keepLines/>
              <w:spacing w:after="40"/>
              <w:ind w:left="37"/>
              <w:rPr>
                <w:rFonts w:ascii="Arial Narrow" w:hAnsi="Arial Narrow" w:cs="Tahoma"/>
                <w:sz w:val="20"/>
                <w:szCs w:val="18"/>
              </w:rPr>
            </w:pPr>
            <w:r w:rsidRPr="003C0DA8">
              <w:rPr>
                <w:rFonts w:ascii="Arial Narrow" w:hAnsi="Arial Narrow" w:cs="Tahoma"/>
                <w:sz w:val="20"/>
                <w:szCs w:val="18"/>
              </w:rPr>
              <w:t>xxxxx</w:t>
            </w:r>
          </w:p>
          <w:p w14:paraId="350182DE" w14:textId="77777777" w:rsidR="003C0DA8" w:rsidRPr="003C0DA8" w:rsidRDefault="003C0DA8" w:rsidP="003C0DA8">
            <w:pPr>
              <w:keepNext/>
              <w:keepLines/>
              <w:spacing w:after="40"/>
              <w:ind w:left="37"/>
              <w:rPr>
                <w:rFonts w:ascii="Arial Narrow" w:hAnsi="Arial Narrow" w:cs="Tahoma"/>
                <w:sz w:val="20"/>
                <w:szCs w:val="18"/>
              </w:rPr>
            </w:pPr>
            <w:r w:rsidRPr="003C0DA8">
              <w:rPr>
                <w:rFonts w:ascii="Arial Narrow" w:hAnsi="Arial Narrow" w:cs="Tahoma"/>
                <w:sz w:val="20"/>
                <w:szCs w:val="18"/>
              </w:rPr>
              <w:t>Extracorporeal photopheresis for the treatment of chronic graft-versus-host disease (cGVHD) in adults following allogeneic haematopoietic stem cell transplantation; if</w:t>
            </w:r>
          </w:p>
          <w:p w14:paraId="160655DE" w14:textId="77777777" w:rsidR="003C0DA8" w:rsidRPr="003C0DA8" w:rsidRDefault="003C0DA8" w:rsidP="003C0DA8">
            <w:pPr>
              <w:keepNext/>
              <w:keepLines/>
              <w:spacing w:after="40"/>
              <w:ind w:left="37"/>
              <w:rPr>
                <w:rFonts w:ascii="Arial Narrow" w:hAnsi="Arial Narrow" w:cs="Tahoma"/>
                <w:sz w:val="20"/>
                <w:szCs w:val="18"/>
              </w:rPr>
            </w:pPr>
            <w:r w:rsidRPr="003C0DA8">
              <w:rPr>
                <w:rFonts w:ascii="Arial Narrow" w:hAnsi="Arial Narrow" w:cs="Tahoma"/>
                <w:sz w:val="20"/>
                <w:szCs w:val="18"/>
              </w:rPr>
              <w:t>a. the service is provided in the initial 12 weeks of treatment; and</w:t>
            </w:r>
          </w:p>
          <w:p w14:paraId="0C18E99D" w14:textId="77777777" w:rsidR="003C0DA8" w:rsidRPr="003C0DA8" w:rsidRDefault="003C0DA8" w:rsidP="003C0DA8">
            <w:pPr>
              <w:keepNext/>
              <w:keepLines/>
              <w:spacing w:after="40"/>
              <w:ind w:left="37"/>
              <w:rPr>
                <w:rFonts w:ascii="Arial Narrow" w:hAnsi="Arial Narrow" w:cs="Tahoma"/>
                <w:sz w:val="20"/>
                <w:szCs w:val="18"/>
              </w:rPr>
            </w:pPr>
            <w:r w:rsidRPr="003C0DA8">
              <w:rPr>
                <w:rFonts w:ascii="Arial Narrow" w:hAnsi="Arial Narrow" w:cs="Tahoma"/>
                <w:sz w:val="20"/>
                <w:szCs w:val="18"/>
              </w:rPr>
              <w:t>b. the service is delivered using an integrated, closed extracorporeal photopheresis system; and</w:t>
            </w:r>
          </w:p>
          <w:p w14:paraId="32C6D5D9" w14:textId="77777777" w:rsidR="003C0DA8" w:rsidRPr="003C0DA8" w:rsidRDefault="003C0DA8" w:rsidP="003C0DA8">
            <w:pPr>
              <w:keepNext/>
              <w:keepLines/>
              <w:spacing w:after="40"/>
              <w:ind w:left="37"/>
              <w:rPr>
                <w:rFonts w:ascii="Arial Narrow" w:hAnsi="Arial Narrow" w:cs="Tahoma"/>
                <w:sz w:val="20"/>
                <w:szCs w:val="18"/>
              </w:rPr>
            </w:pPr>
            <w:r w:rsidRPr="003C0DA8">
              <w:rPr>
                <w:rFonts w:ascii="Arial Narrow" w:hAnsi="Arial Narrow" w:cs="Tahoma"/>
                <w:sz w:val="20"/>
                <w:szCs w:val="18"/>
              </w:rPr>
              <w:t>c. the patient has received prior systemic steroid treatment for this condition and has experienced refractory disease or is dependent or intolerant to steroid treatment; and</w:t>
            </w:r>
          </w:p>
          <w:p w14:paraId="1106A6F3" w14:textId="77777777" w:rsidR="003C0DA8" w:rsidRPr="003C0DA8" w:rsidRDefault="003C0DA8" w:rsidP="003C0DA8">
            <w:pPr>
              <w:keepNext/>
              <w:keepLines/>
              <w:spacing w:after="40"/>
              <w:ind w:left="37"/>
              <w:rPr>
                <w:rFonts w:ascii="Arial Narrow" w:hAnsi="Arial Narrow" w:cs="Tahoma"/>
                <w:sz w:val="20"/>
                <w:szCs w:val="18"/>
              </w:rPr>
            </w:pPr>
            <w:r w:rsidRPr="003C0DA8">
              <w:rPr>
                <w:rFonts w:ascii="Arial Narrow" w:hAnsi="Arial Narrow" w:cs="Tahoma"/>
                <w:sz w:val="20"/>
                <w:szCs w:val="18"/>
              </w:rPr>
              <w:t>d. the service is provided in combination with the use of Pharmaceutical Benefits Scheme-subsidised methoxsalen; and</w:t>
            </w:r>
          </w:p>
          <w:p w14:paraId="473F65D5" w14:textId="77777777" w:rsidR="003C0DA8" w:rsidRPr="003C0DA8" w:rsidRDefault="003C0DA8" w:rsidP="003C0DA8">
            <w:pPr>
              <w:keepNext/>
              <w:keepLines/>
              <w:spacing w:after="40"/>
              <w:ind w:left="37"/>
              <w:rPr>
                <w:rFonts w:ascii="Arial Narrow" w:hAnsi="Arial Narrow" w:cs="Tahoma"/>
                <w:sz w:val="20"/>
                <w:szCs w:val="18"/>
              </w:rPr>
            </w:pPr>
            <w:r w:rsidRPr="003C0DA8">
              <w:rPr>
                <w:rFonts w:ascii="Arial Narrow" w:hAnsi="Arial Narrow" w:cs="Tahoma"/>
                <w:sz w:val="20"/>
                <w:szCs w:val="18"/>
              </w:rPr>
              <w:t>e. the service is supervised by a specialist or consultant haematologist or oncologist with allogeneic bone marrow transplantation experience.</w:t>
            </w:r>
          </w:p>
          <w:p w14:paraId="3B71F70C" w14:textId="77777777" w:rsidR="003C0DA8" w:rsidRPr="003C0DA8" w:rsidRDefault="003C0DA8" w:rsidP="00B853FB">
            <w:pPr>
              <w:keepNext/>
              <w:keepLines/>
              <w:spacing w:before="240" w:after="240"/>
              <w:ind w:left="37"/>
              <w:rPr>
                <w:rFonts w:ascii="Arial Narrow" w:hAnsi="Arial Narrow" w:cs="Tahoma"/>
                <w:sz w:val="20"/>
                <w:szCs w:val="18"/>
              </w:rPr>
            </w:pPr>
            <w:r w:rsidRPr="003C0DA8">
              <w:rPr>
                <w:rFonts w:ascii="Arial Narrow" w:hAnsi="Arial Narrow" w:cs="Tahoma"/>
                <w:sz w:val="20"/>
                <w:szCs w:val="18"/>
              </w:rPr>
              <w:t>Applicable once per treatment cycle</w:t>
            </w:r>
          </w:p>
          <w:p w14:paraId="3473781D" w14:textId="77777777" w:rsidR="003C0DA8" w:rsidRPr="003C0DA8" w:rsidRDefault="003C0DA8" w:rsidP="003C0DA8">
            <w:pPr>
              <w:keepNext/>
              <w:keepLines/>
              <w:spacing w:after="40"/>
              <w:ind w:left="37"/>
              <w:rPr>
                <w:rFonts w:ascii="Arial Narrow" w:hAnsi="Arial Narrow" w:cs="Tahoma"/>
                <w:sz w:val="20"/>
                <w:szCs w:val="18"/>
              </w:rPr>
            </w:pPr>
            <w:r w:rsidRPr="003C0DA8">
              <w:rPr>
                <w:rFonts w:ascii="Arial Narrow" w:hAnsi="Arial Narrow" w:cs="Tahoma"/>
                <w:sz w:val="20"/>
                <w:szCs w:val="18"/>
              </w:rPr>
              <w:t>Steroid-refractory or steroid-dependent disease is defined as one of the following:</w:t>
            </w:r>
          </w:p>
          <w:p w14:paraId="4CD3CD12" w14:textId="77777777" w:rsidR="003C0DA8" w:rsidRPr="003C0DA8" w:rsidRDefault="003C0DA8" w:rsidP="003C0DA8">
            <w:pPr>
              <w:keepNext/>
              <w:keepLines/>
              <w:spacing w:after="40"/>
              <w:ind w:left="37"/>
              <w:rPr>
                <w:rFonts w:ascii="Arial Narrow" w:hAnsi="Arial Narrow" w:cs="Tahoma"/>
                <w:sz w:val="20"/>
                <w:szCs w:val="18"/>
              </w:rPr>
            </w:pPr>
            <w:r w:rsidRPr="003C0DA8">
              <w:rPr>
                <w:rFonts w:ascii="Arial Narrow" w:hAnsi="Arial Narrow" w:cs="Tahoma"/>
                <w:sz w:val="20"/>
                <w:szCs w:val="18"/>
              </w:rPr>
              <w:t>-A lack of response or disease progression after a minimum of prednisone 1 mg/kg/day or equivalent for at least 1 week, OR</w:t>
            </w:r>
          </w:p>
          <w:p w14:paraId="746F11E3" w14:textId="77777777" w:rsidR="003C0DA8" w:rsidRPr="003C0DA8" w:rsidRDefault="003C0DA8" w:rsidP="003C0DA8">
            <w:pPr>
              <w:keepNext/>
              <w:keepLines/>
              <w:spacing w:after="40"/>
              <w:ind w:left="37"/>
              <w:rPr>
                <w:rFonts w:ascii="Arial Narrow" w:hAnsi="Arial Narrow" w:cs="Tahoma"/>
                <w:sz w:val="20"/>
                <w:szCs w:val="18"/>
              </w:rPr>
            </w:pPr>
            <w:r w:rsidRPr="003C0DA8">
              <w:rPr>
                <w:rFonts w:ascii="Arial Narrow" w:hAnsi="Arial Narrow" w:cs="Tahoma"/>
                <w:sz w:val="20"/>
                <w:szCs w:val="18"/>
              </w:rPr>
              <w:t>-Disease persistence without improvement despite continued treatment with prednisone at &gt; 0.5 mg/kg/day or 1 mg/kg every day or equivalent other day for at least 4 weeks, OR</w:t>
            </w:r>
          </w:p>
          <w:p w14:paraId="640E3650" w14:textId="77777777" w:rsidR="003C0DA8" w:rsidRPr="003C0DA8" w:rsidRDefault="003C0DA8" w:rsidP="003C0DA8">
            <w:pPr>
              <w:keepNext/>
              <w:keepLines/>
              <w:spacing w:after="40"/>
              <w:ind w:left="37"/>
              <w:rPr>
                <w:rFonts w:ascii="Arial Narrow" w:hAnsi="Arial Narrow" w:cs="Tahoma"/>
                <w:sz w:val="20"/>
                <w:szCs w:val="18"/>
              </w:rPr>
            </w:pPr>
            <w:r w:rsidRPr="003C0DA8">
              <w:rPr>
                <w:rFonts w:ascii="Arial Narrow" w:hAnsi="Arial Narrow" w:cs="Tahoma"/>
                <w:sz w:val="20"/>
                <w:szCs w:val="18"/>
              </w:rPr>
              <w:t>-Increase to prednisolone dose to &gt; 0.25 mg/kg/day or equivalent after 2 unsuccessful attempts to taper the dose</w:t>
            </w:r>
          </w:p>
          <w:p w14:paraId="104676DA" w14:textId="77777777" w:rsidR="003C0DA8" w:rsidRPr="003C0DA8" w:rsidRDefault="003C0DA8" w:rsidP="003C0DA8">
            <w:pPr>
              <w:keepNext/>
              <w:keepLines/>
              <w:spacing w:after="40"/>
              <w:ind w:left="37"/>
              <w:rPr>
                <w:rFonts w:ascii="Arial Narrow" w:hAnsi="Arial Narrow" w:cs="Tahoma"/>
                <w:sz w:val="8"/>
                <w:szCs w:val="8"/>
              </w:rPr>
            </w:pPr>
          </w:p>
          <w:p w14:paraId="7A4A5039" w14:textId="77777777" w:rsidR="003C0DA8" w:rsidRPr="003C0DA8" w:rsidRDefault="003C0DA8" w:rsidP="003C0DA8">
            <w:pPr>
              <w:keepNext/>
              <w:keepLines/>
              <w:spacing w:after="40"/>
              <w:ind w:left="37"/>
              <w:rPr>
                <w:rFonts w:ascii="Arial Narrow" w:hAnsi="Arial Narrow" w:cs="Tahoma"/>
                <w:sz w:val="20"/>
                <w:szCs w:val="18"/>
              </w:rPr>
            </w:pPr>
            <w:r w:rsidRPr="003C0DA8">
              <w:rPr>
                <w:rFonts w:ascii="Arial Narrow" w:hAnsi="Arial Narrow" w:cs="Tahoma"/>
                <w:sz w:val="20"/>
                <w:szCs w:val="18"/>
              </w:rPr>
              <w:t>Fee: $1,908.35 Benefit: 75% = $1,431.30 85% = $1,823.65</w:t>
            </w:r>
          </w:p>
          <w:p w14:paraId="37072176" w14:textId="77777777" w:rsidR="003C0DA8" w:rsidRPr="003C0DA8" w:rsidRDefault="003C0DA8" w:rsidP="00B853FB">
            <w:pPr>
              <w:keepNext/>
              <w:keepLines/>
              <w:spacing w:before="240" w:after="40"/>
              <w:rPr>
                <w:rFonts w:ascii="Arial Narrow" w:hAnsi="Arial Narrow" w:cs="Tahoma"/>
                <w:b/>
                <w:bCs/>
                <w:sz w:val="20"/>
                <w:szCs w:val="18"/>
              </w:rPr>
            </w:pPr>
            <w:r w:rsidRPr="003C0DA8">
              <w:rPr>
                <w:rFonts w:ascii="Arial Narrow" w:hAnsi="Arial Narrow" w:cs="Tahoma"/>
                <w:b/>
                <w:bCs/>
                <w:sz w:val="20"/>
                <w:szCs w:val="18"/>
              </w:rPr>
              <w:t>Continuing treatment</w:t>
            </w:r>
          </w:p>
          <w:p w14:paraId="279B6FC1" w14:textId="77777777" w:rsidR="003C0DA8" w:rsidRPr="003C0DA8" w:rsidRDefault="003C0DA8" w:rsidP="003C0DA8">
            <w:pPr>
              <w:keepNext/>
              <w:keepLines/>
              <w:spacing w:after="40"/>
              <w:ind w:left="37"/>
              <w:rPr>
                <w:rFonts w:ascii="Arial Narrow" w:hAnsi="Arial Narrow" w:cs="Tahoma"/>
                <w:sz w:val="20"/>
                <w:szCs w:val="18"/>
              </w:rPr>
            </w:pPr>
            <w:r w:rsidRPr="003C0DA8">
              <w:rPr>
                <w:rFonts w:ascii="Arial Narrow" w:hAnsi="Arial Narrow" w:cs="Tahoma"/>
                <w:sz w:val="20"/>
                <w:szCs w:val="18"/>
              </w:rPr>
              <w:t>xxxxx</w:t>
            </w:r>
          </w:p>
          <w:p w14:paraId="111B0852" w14:textId="77777777" w:rsidR="003C0DA8" w:rsidRPr="003C0DA8" w:rsidRDefault="003C0DA8" w:rsidP="003C0DA8">
            <w:pPr>
              <w:keepNext/>
              <w:keepLines/>
              <w:spacing w:after="40"/>
              <w:ind w:left="37"/>
              <w:rPr>
                <w:rFonts w:ascii="Arial Narrow" w:hAnsi="Arial Narrow" w:cs="Tahoma"/>
                <w:sz w:val="20"/>
                <w:szCs w:val="18"/>
              </w:rPr>
            </w:pPr>
            <w:r w:rsidRPr="003C0DA8">
              <w:rPr>
                <w:rFonts w:ascii="Arial Narrow" w:hAnsi="Arial Narrow" w:cs="Tahoma"/>
                <w:sz w:val="20"/>
                <w:szCs w:val="18"/>
              </w:rPr>
              <w:t>Extracorporeal photopheresis for the continuing treatment of chronic graft-versus-host disease (cGVHD) in adults following allogeneic haematopoietic stem cell transplantation; if</w:t>
            </w:r>
          </w:p>
          <w:p w14:paraId="551AF706" w14:textId="77777777" w:rsidR="003C0DA8" w:rsidRPr="003C0DA8" w:rsidRDefault="003C0DA8" w:rsidP="003C0DA8">
            <w:pPr>
              <w:keepNext/>
              <w:keepLines/>
              <w:spacing w:after="40"/>
              <w:ind w:left="37"/>
              <w:rPr>
                <w:rFonts w:ascii="Arial Narrow" w:hAnsi="Arial Narrow" w:cs="Tahoma"/>
                <w:sz w:val="20"/>
                <w:szCs w:val="18"/>
              </w:rPr>
            </w:pPr>
            <w:r w:rsidRPr="003C0DA8">
              <w:rPr>
                <w:rFonts w:ascii="Arial Narrow" w:hAnsi="Arial Narrow" w:cs="Tahoma"/>
                <w:sz w:val="20"/>
                <w:szCs w:val="18"/>
              </w:rPr>
              <w:t>in the preceding 12 weeks:</w:t>
            </w:r>
          </w:p>
          <w:p w14:paraId="068374BB" w14:textId="77777777" w:rsidR="003C0DA8" w:rsidRPr="003C0DA8" w:rsidRDefault="003C0DA8" w:rsidP="003C0DA8">
            <w:pPr>
              <w:keepNext/>
              <w:keepLines/>
              <w:spacing w:after="40"/>
              <w:ind w:left="37"/>
              <w:rPr>
                <w:rFonts w:ascii="Arial Narrow" w:hAnsi="Arial Narrow" w:cs="Tahoma"/>
                <w:sz w:val="20"/>
                <w:szCs w:val="18"/>
              </w:rPr>
            </w:pPr>
            <w:r w:rsidRPr="003C0DA8">
              <w:rPr>
                <w:rFonts w:ascii="Arial Narrow" w:hAnsi="Arial Narrow" w:cs="Tahoma"/>
                <w:sz w:val="20"/>
                <w:szCs w:val="18"/>
              </w:rPr>
              <w:t>a. (i) a service to which item xxxx applies has been provided; and</w:t>
            </w:r>
          </w:p>
          <w:p w14:paraId="7C21CB59" w14:textId="77777777" w:rsidR="003C0DA8" w:rsidRPr="003C0DA8" w:rsidRDefault="003C0DA8" w:rsidP="003C0DA8">
            <w:pPr>
              <w:keepNext/>
              <w:keepLines/>
              <w:spacing w:after="40"/>
              <w:ind w:left="37"/>
              <w:rPr>
                <w:rFonts w:ascii="Arial Narrow" w:hAnsi="Arial Narrow" w:cs="Tahoma"/>
                <w:sz w:val="20"/>
                <w:szCs w:val="18"/>
              </w:rPr>
            </w:pPr>
            <w:r w:rsidRPr="003C0DA8">
              <w:rPr>
                <w:rFonts w:ascii="Arial Narrow" w:hAnsi="Arial Narrow" w:cs="Tahoma"/>
                <w:sz w:val="20"/>
                <w:szCs w:val="18"/>
              </w:rPr>
              <w:t>(ii) the patient has demonstrated a response to this service; and</w:t>
            </w:r>
          </w:p>
          <w:p w14:paraId="378315FC" w14:textId="77777777" w:rsidR="003C0DA8" w:rsidRPr="003C0DA8" w:rsidRDefault="003C0DA8" w:rsidP="003C0DA8">
            <w:pPr>
              <w:keepNext/>
              <w:keepLines/>
              <w:spacing w:after="40"/>
              <w:ind w:left="37"/>
              <w:rPr>
                <w:rFonts w:ascii="Arial Narrow" w:hAnsi="Arial Narrow" w:cs="Tahoma"/>
                <w:sz w:val="20"/>
                <w:szCs w:val="18"/>
              </w:rPr>
            </w:pPr>
            <w:r w:rsidRPr="003C0DA8">
              <w:rPr>
                <w:rFonts w:ascii="Arial Narrow" w:hAnsi="Arial Narrow" w:cs="Tahoma"/>
                <w:sz w:val="20"/>
                <w:szCs w:val="18"/>
              </w:rPr>
              <w:t>(iii) the patient requires further treatment; and</w:t>
            </w:r>
          </w:p>
          <w:p w14:paraId="3AEF39BE" w14:textId="77777777" w:rsidR="003C0DA8" w:rsidRPr="003C0DA8" w:rsidRDefault="003C0DA8" w:rsidP="003C0DA8">
            <w:pPr>
              <w:keepNext/>
              <w:keepLines/>
              <w:spacing w:after="40"/>
              <w:ind w:left="37"/>
              <w:rPr>
                <w:rFonts w:ascii="Arial Narrow" w:hAnsi="Arial Narrow" w:cs="Tahoma"/>
                <w:sz w:val="20"/>
                <w:szCs w:val="18"/>
              </w:rPr>
            </w:pPr>
            <w:r w:rsidRPr="003C0DA8">
              <w:rPr>
                <w:rFonts w:ascii="Arial Narrow" w:hAnsi="Arial Narrow" w:cs="Tahoma"/>
                <w:sz w:val="20"/>
                <w:szCs w:val="18"/>
              </w:rPr>
              <w:t>b. the service is delivered using an integrated, closed extracorporeal photopheresis system; and</w:t>
            </w:r>
          </w:p>
          <w:p w14:paraId="0686F5A9" w14:textId="77777777" w:rsidR="003C0DA8" w:rsidRPr="003C0DA8" w:rsidRDefault="003C0DA8" w:rsidP="003C0DA8">
            <w:pPr>
              <w:keepNext/>
              <w:keepLines/>
              <w:spacing w:after="40"/>
              <w:ind w:left="37"/>
              <w:rPr>
                <w:rFonts w:ascii="Arial Narrow" w:hAnsi="Arial Narrow" w:cs="Tahoma"/>
                <w:sz w:val="20"/>
                <w:szCs w:val="18"/>
              </w:rPr>
            </w:pPr>
            <w:r w:rsidRPr="003C0DA8">
              <w:rPr>
                <w:rFonts w:ascii="Arial Narrow" w:hAnsi="Arial Narrow" w:cs="Tahoma"/>
                <w:sz w:val="20"/>
                <w:szCs w:val="18"/>
              </w:rPr>
              <w:t>c. the service is provided in combination with the use of Pharmaceutical Benefits Scheme-subsidised methoxsalen; and</w:t>
            </w:r>
          </w:p>
          <w:p w14:paraId="28B45EF7" w14:textId="0F86E4D2" w:rsidR="003C0DA8" w:rsidRPr="003C0DA8" w:rsidRDefault="003C0DA8" w:rsidP="00B853FB">
            <w:pPr>
              <w:keepNext/>
              <w:keepLines/>
              <w:spacing w:after="40"/>
              <w:ind w:left="37"/>
              <w:rPr>
                <w:rFonts w:ascii="Arial Narrow" w:hAnsi="Arial Narrow" w:cs="Tahoma"/>
                <w:sz w:val="20"/>
                <w:szCs w:val="18"/>
              </w:rPr>
            </w:pPr>
            <w:r w:rsidRPr="003C0DA8">
              <w:rPr>
                <w:rFonts w:ascii="Arial Narrow" w:hAnsi="Arial Narrow" w:cs="Tahoma"/>
                <w:sz w:val="20"/>
                <w:szCs w:val="18"/>
              </w:rPr>
              <w:t>d. the service is supervised by a specialist or consultant haematologist or oncologist with allogeneic bone marrow transplantation experience.</w:t>
            </w:r>
          </w:p>
          <w:p w14:paraId="2AABE9A6" w14:textId="77777777" w:rsidR="003C0DA8" w:rsidRPr="003C0DA8" w:rsidRDefault="003C0DA8" w:rsidP="00B853FB">
            <w:pPr>
              <w:keepNext/>
              <w:keepLines/>
              <w:spacing w:before="240" w:after="240"/>
              <w:ind w:left="37"/>
              <w:rPr>
                <w:rFonts w:ascii="Arial Narrow" w:hAnsi="Arial Narrow" w:cs="Tahoma"/>
                <w:sz w:val="20"/>
                <w:szCs w:val="18"/>
              </w:rPr>
            </w:pPr>
            <w:r w:rsidRPr="003C0DA8">
              <w:rPr>
                <w:rFonts w:ascii="Arial Narrow" w:hAnsi="Arial Narrow" w:cs="Tahoma"/>
                <w:sz w:val="20"/>
                <w:szCs w:val="18"/>
              </w:rPr>
              <w:t>Applicable once per treatment cycle</w:t>
            </w:r>
          </w:p>
          <w:p w14:paraId="20F5F3BB" w14:textId="1E806E8A" w:rsidR="003C0DA8" w:rsidRPr="003C0DA8" w:rsidRDefault="003C0DA8" w:rsidP="00B853FB">
            <w:pPr>
              <w:keepNext/>
              <w:keepLines/>
              <w:spacing w:after="240"/>
              <w:ind w:left="37"/>
              <w:rPr>
                <w:rFonts w:ascii="Arial Narrow" w:hAnsi="Arial Narrow" w:cs="Tahoma"/>
                <w:sz w:val="20"/>
                <w:szCs w:val="18"/>
              </w:rPr>
            </w:pPr>
            <w:r w:rsidRPr="003C0DA8">
              <w:rPr>
                <w:rFonts w:ascii="Arial Narrow" w:hAnsi="Arial Narrow" w:cs="Tahoma"/>
                <w:sz w:val="20"/>
                <w:szCs w:val="18"/>
              </w:rPr>
              <w:t>A response, for the purposes of administering MBS item XXXX, is defined as attaining a complete or partial response in at least one organ according to NIH criteria. Response only needs to be demonstrated after the first 12 weeks of treatment.</w:t>
            </w:r>
          </w:p>
          <w:p w14:paraId="16940F79" w14:textId="77777777" w:rsidR="003C0DA8" w:rsidRPr="003C0DA8" w:rsidRDefault="003C0DA8" w:rsidP="00B853FB">
            <w:pPr>
              <w:keepNext/>
              <w:keepLines/>
              <w:spacing w:beforeLines="20" w:before="48" w:afterLines="20" w:after="48"/>
              <w:ind w:left="37"/>
              <w:rPr>
                <w:rFonts w:ascii="Arial Narrow" w:hAnsi="Arial Narrow" w:cs="Tahoma"/>
                <w:color w:val="002060"/>
                <w:sz w:val="20"/>
                <w:szCs w:val="18"/>
              </w:rPr>
            </w:pPr>
            <w:r w:rsidRPr="003C0DA8">
              <w:rPr>
                <w:rFonts w:ascii="Arial Narrow" w:hAnsi="Arial Narrow" w:cs="Tahoma"/>
                <w:sz w:val="20"/>
                <w:szCs w:val="18"/>
              </w:rPr>
              <w:t>Fee: $1,908.35 Benefit: 75% = $1,431.30 85% = $1,823.65</w:t>
            </w:r>
          </w:p>
        </w:tc>
      </w:tr>
    </w:tbl>
    <w:p w14:paraId="44F68857" w14:textId="77777777" w:rsidR="003C0DA8" w:rsidRPr="003C0DA8" w:rsidRDefault="003C0DA8" w:rsidP="003C0DA8">
      <w:pPr>
        <w:keepNext/>
        <w:keepLines/>
        <w:rPr>
          <w:rFonts w:ascii="Arial Narrow" w:hAnsi="Arial Narrow"/>
          <w:sz w:val="18"/>
          <w:szCs w:val="18"/>
        </w:rPr>
      </w:pPr>
      <w:r w:rsidRPr="003C0DA8">
        <w:rPr>
          <w:rFonts w:ascii="Arial Narrow" w:hAnsi="Arial Narrow"/>
          <w:sz w:val="18"/>
          <w:szCs w:val="18"/>
        </w:rPr>
        <w:t>Source: Table A.4, p40 of the ADAR.</w:t>
      </w:r>
    </w:p>
    <w:p w14:paraId="40D93E68" w14:textId="0220379A" w:rsidR="003C0DA8" w:rsidRPr="003C0DA8" w:rsidRDefault="003C0DA8" w:rsidP="003C0DA8">
      <w:pPr>
        <w:keepNext/>
        <w:keepLines/>
        <w:spacing w:after="240"/>
        <w:rPr>
          <w:rFonts w:ascii="Arial Narrow" w:hAnsi="Arial Narrow"/>
          <w:sz w:val="18"/>
          <w:szCs w:val="18"/>
        </w:rPr>
      </w:pPr>
      <w:r w:rsidRPr="003C0DA8">
        <w:rPr>
          <w:rFonts w:ascii="Arial Narrow" w:hAnsi="Arial Narrow"/>
          <w:sz w:val="18"/>
          <w:szCs w:val="18"/>
        </w:rPr>
        <w:t xml:space="preserve">cGVHD, chronic graft versus host disease; </w:t>
      </w:r>
      <w:r>
        <w:rPr>
          <w:rFonts w:ascii="Arial Narrow" w:hAnsi="Arial Narrow"/>
          <w:sz w:val="18"/>
          <w:szCs w:val="18"/>
        </w:rPr>
        <w:t>ECP,</w:t>
      </w:r>
      <w:r w:rsidRPr="003C0DA8">
        <w:t xml:space="preserve"> </w:t>
      </w:r>
      <w:r>
        <w:rPr>
          <w:rFonts w:ascii="Arial Narrow" w:hAnsi="Arial Narrow"/>
          <w:sz w:val="18"/>
          <w:szCs w:val="18"/>
        </w:rPr>
        <w:t>e</w:t>
      </w:r>
      <w:r w:rsidRPr="003C0DA8">
        <w:rPr>
          <w:rFonts w:ascii="Arial Narrow" w:hAnsi="Arial Narrow"/>
          <w:sz w:val="18"/>
          <w:szCs w:val="18"/>
        </w:rPr>
        <w:t>xtracorporeal photopheresis</w:t>
      </w:r>
      <w:r>
        <w:rPr>
          <w:rFonts w:ascii="Arial Narrow" w:hAnsi="Arial Narrow"/>
          <w:sz w:val="18"/>
          <w:szCs w:val="18"/>
        </w:rPr>
        <w:t xml:space="preserve">; </w:t>
      </w:r>
      <w:r w:rsidRPr="003C0DA8">
        <w:rPr>
          <w:rFonts w:ascii="Arial Narrow" w:hAnsi="Arial Narrow"/>
          <w:sz w:val="18"/>
          <w:szCs w:val="18"/>
        </w:rPr>
        <w:t xml:space="preserve">MBS, Medicare Benefits Schedule </w:t>
      </w:r>
    </w:p>
    <w:p w14:paraId="2A50B374" w14:textId="3A84DEA3" w:rsidR="00225AAA" w:rsidRDefault="00225AAA" w:rsidP="00225AAA">
      <w:r w:rsidRPr="00225AAA">
        <w:t>The proposed MBS item descriptors are within the TGA indication</w:t>
      </w:r>
      <w:r>
        <w:t xml:space="preserve">s and </w:t>
      </w:r>
      <w:r w:rsidR="00F60744">
        <w:t xml:space="preserve">consistent with the </w:t>
      </w:r>
      <w:r>
        <w:t xml:space="preserve">proposed PBS restrictions for methoxsalen, </w:t>
      </w:r>
      <w:r w:rsidRPr="00225AAA">
        <w:t>with the exception that for initial treatment, unlike the MBS item descriptor, the PBS restriction specifies that “Patient must not have previously received PBS-subsidised treatment with this drug for this PBS indication”.</w:t>
      </w:r>
    </w:p>
    <w:p w14:paraId="3C42A114" w14:textId="756C5517" w:rsidR="00F60744" w:rsidRPr="009E7AB6" w:rsidRDefault="0083383F" w:rsidP="00B853FB">
      <w:pPr>
        <w:spacing w:before="240"/>
        <w:rPr>
          <w:szCs w:val="24"/>
        </w:rPr>
      </w:pPr>
      <w:r>
        <w:t>PASC advised that the item descriptor and codependent PBS restriction for methoxsalen should omit reference to the age of the patient rather than specifying an age or using a term such as “adolescent”</w:t>
      </w:r>
      <w:r w:rsidRPr="0083383F">
        <w:rPr>
          <w:szCs w:val="24"/>
        </w:rPr>
        <w:t xml:space="preserve"> </w:t>
      </w:r>
      <w:r>
        <w:rPr>
          <w:szCs w:val="24"/>
        </w:rPr>
        <w:t xml:space="preserve">(p8, </w:t>
      </w:r>
      <w:hyperlink r:id="rId14" w:history="1">
        <w:r w:rsidR="0034138C" w:rsidRPr="003F3163">
          <w:rPr>
            <w:rStyle w:val="Hyperlink"/>
            <w:szCs w:val="24"/>
          </w:rPr>
          <w:t>r</w:t>
        </w:r>
        <w:r w:rsidRPr="003F3163">
          <w:rPr>
            <w:rStyle w:val="Hyperlink"/>
            <w:szCs w:val="24"/>
          </w:rPr>
          <w:t>atified PICO</w:t>
        </w:r>
      </w:hyperlink>
      <w:r w:rsidRPr="00225AAA">
        <w:rPr>
          <w:szCs w:val="24"/>
        </w:rPr>
        <w:t>).</w:t>
      </w:r>
    </w:p>
    <w:p w14:paraId="49E9C615" w14:textId="7D0BE921" w:rsidR="00225AAA" w:rsidRDefault="00225AAA" w:rsidP="00225AAA">
      <w:r>
        <w:lastRenderedPageBreak/>
        <w:t xml:space="preserve">The Commentary noted the following with respect </w:t>
      </w:r>
      <w:r w:rsidR="00164106">
        <w:t>t</w:t>
      </w:r>
      <w:r>
        <w:t xml:space="preserve">o the </w:t>
      </w:r>
      <w:r w:rsidR="00164106">
        <w:t xml:space="preserve">applicant’s </w:t>
      </w:r>
      <w:r>
        <w:t xml:space="preserve">justification for the requested MBS fee (consisting of $44.35 for a specialist consultation, $164 for ECP service supervision of nursing staff and </w:t>
      </w:r>
      <w:r w:rsidRPr="00CB26FD">
        <w:rPr>
          <w:b/>
          <w:bCs/>
        </w:rPr>
        <w:t>$</w:t>
      </w:r>
      <w:r w:rsidR="003E440B" w:rsidRPr="00CB26FD">
        <w:rPr>
          <w:b/>
          <w:bCs/>
        </w:rPr>
        <w:t>redacted</w:t>
      </w:r>
      <w:r>
        <w:t xml:space="preserve"> for consumables):</w:t>
      </w:r>
    </w:p>
    <w:p w14:paraId="2860F7A9" w14:textId="17F7F732" w:rsidR="00225AAA" w:rsidRDefault="00225AAA" w:rsidP="00225AAA">
      <w:pPr>
        <w:pStyle w:val="ListParagraph"/>
        <w:numPr>
          <w:ilvl w:val="0"/>
          <w:numId w:val="17"/>
        </w:numPr>
      </w:pPr>
      <w:r>
        <w:t>If supervision by a specialist consultant is required for this service then a separate MBS item may be charged. For example, MBS item 116 can be co-claimed. The cost of this item is $79.05</w:t>
      </w:r>
      <w:r w:rsidR="00164106">
        <w:t>.</w:t>
      </w:r>
    </w:p>
    <w:p w14:paraId="2B09D4AE" w14:textId="4BFDF147" w:rsidR="00225AAA" w:rsidRDefault="00225AAA" w:rsidP="00225AAA">
      <w:pPr>
        <w:pStyle w:val="ListParagraph"/>
        <w:numPr>
          <w:ilvl w:val="0"/>
          <w:numId w:val="17"/>
        </w:numPr>
      </w:pPr>
      <w:r>
        <w:t xml:space="preserve">As noted in the ADAR, one of the </w:t>
      </w:r>
      <w:r w:rsidR="00164106">
        <w:t xml:space="preserve">intended </w:t>
      </w:r>
      <w:r>
        <w:t xml:space="preserve">outcomes of listing of ECP on the MBS </w:t>
      </w:r>
      <w:r w:rsidR="00164106">
        <w:t>wa</w:t>
      </w:r>
      <w:r>
        <w:t>s that it w</w:t>
      </w:r>
      <w:r w:rsidR="00164106">
        <w:t>ould</w:t>
      </w:r>
      <w:r>
        <w:t xml:space="preserve"> become more widely available compared to the two centres that currently provide the service.</w:t>
      </w:r>
    </w:p>
    <w:p w14:paraId="3330D939" w14:textId="681E04C9" w:rsidR="00225AAA" w:rsidRDefault="00225AAA" w:rsidP="00225AAA">
      <w:pPr>
        <w:pStyle w:val="ListParagraph"/>
        <w:numPr>
          <w:ilvl w:val="0"/>
          <w:numId w:val="17"/>
        </w:numPr>
      </w:pPr>
      <w:r>
        <w:t>The requested MBS fee is the same as that of the current listing of ECP albeit that this is for a</w:t>
      </w:r>
      <w:r w:rsidR="00164106">
        <w:t>n active treatment</w:t>
      </w:r>
      <w:r>
        <w:t xml:space="preserve"> purpose whereas ECP for CTCL is for palliative care purposes.</w:t>
      </w:r>
    </w:p>
    <w:p w14:paraId="4A9AA92C" w14:textId="250155FA" w:rsidR="003C0DA8" w:rsidRPr="009E7AB6" w:rsidRDefault="00225AAA" w:rsidP="00B853FB">
      <w:pPr>
        <w:widowControl w:val="0"/>
        <w:spacing w:before="240"/>
        <w:rPr>
          <w:szCs w:val="24"/>
        </w:rPr>
      </w:pPr>
      <w:r w:rsidRPr="00225AAA">
        <w:rPr>
          <w:szCs w:val="24"/>
        </w:rPr>
        <w:t>Only patients showing a response to initial therapy are eligible for continued therapy. “Response”, for both the MBS item and PBS restriction, is defined as attaining a complete or partial response in at least one organ according to NIH criteria (i.e. limited to an improvement in cGVHD symptoms). PASC advised that for the steroid-dependent population, the definition of “response” might also appropriately include a reduction in use of concomitant therapy (with a reduction of steroid dose being the most expected response</w:t>
      </w:r>
      <w:r w:rsidR="003F3163">
        <w:rPr>
          <w:szCs w:val="24"/>
        </w:rPr>
        <w:t xml:space="preserve">, p20, </w:t>
      </w:r>
      <w:hyperlink r:id="rId15" w:history="1">
        <w:r w:rsidR="0034138C" w:rsidRPr="003F3163">
          <w:rPr>
            <w:rStyle w:val="Hyperlink"/>
            <w:szCs w:val="24"/>
          </w:rPr>
          <w:t>r</w:t>
        </w:r>
        <w:r w:rsidR="003F3163" w:rsidRPr="003F3163">
          <w:rPr>
            <w:rStyle w:val="Hyperlink"/>
            <w:szCs w:val="24"/>
          </w:rPr>
          <w:t>atified PICO</w:t>
        </w:r>
      </w:hyperlink>
      <w:r w:rsidRPr="00225AAA">
        <w:rPr>
          <w:szCs w:val="24"/>
        </w:rPr>
        <w:t xml:space="preserve">). </w:t>
      </w:r>
      <w:r w:rsidR="00AC1D7D">
        <w:rPr>
          <w:szCs w:val="24"/>
        </w:rPr>
        <w:t xml:space="preserve">The Commentary suggested that </w:t>
      </w:r>
      <w:r w:rsidRPr="00225AAA">
        <w:rPr>
          <w:szCs w:val="24"/>
        </w:rPr>
        <w:t>MSAC may wish to consider whether the definition of response in the MBS item descriptor should be amended to include a reduction in use of concomitant therapy, with consistent changes then also relevant to the PBS restriction.</w:t>
      </w:r>
    </w:p>
    <w:p w14:paraId="26E845B1" w14:textId="10287CEA" w:rsidR="008F2372" w:rsidRPr="009E7AB6" w:rsidRDefault="00775963" w:rsidP="009E7AB6">
      <w:pPr>
        <w:pStyle w:val="Heading1"/>
        <w:numPr>
          <w:ilvl w:val="0"/>
          <w:numId w:val="13"/>
        </w:numPr>
        <w:spacing w:before="240" w:after="240"/>
        <w:ind w:hanging="720"/>
        <w:rPr>
          <w:rFonts w:ascii="Arial" w:eastAsia="Times New Roman" w:hAnsi="Arial" w:cs="Times New Roman"/>
        </w:rPr>
      </w:pPr>
      <w:r w:rsidRPr="009E7AB6">
        <w:rPr>
          <w:rFonts w:ascii="Arial" w:eastAsia="Times New Roman" w:hAnsi="Arial" w:cs="Times New Roman"/>
        </w:rPr>
        <w:t xml:space="preserve">Summary of </w:t>
      </w:r>
      <w:r w:rsidR="004541AA" w:rsidRPr="009E7AB6">
        <w:rPr>
          <w:rFonts w:ascii="Arial" w:eastAsia="Times New Roman" w:hAnsi="Arial" w:cs="Times New Roman"/>
        </w:rPr>
        <w:t>public consultation feedback/consumer i</w:t>
      </w:r>
      <w:r w:rsidRPr="009E7AB6">
        <w:rPr>
          <w:rFonts w:ascii="Arial" w:eastAsia="Times New Roman" w:hAnsi="Arial" w:cs="Times New Roman"/>
        </w:rPr>
        <w:t>ssues</w:t>
      </w:r>
    </w:p>
    <w:p w14:paraId="6C9FC59E" w14:textId="3340C5F8" w:rsidR="00545DAC" w:rsidRDefault="008F2372" w:rsidP="00545DAC">
      <w:r w:rsidRPr="008F2372">
        <w:t xml:space="preserve">Consultation feedback from </w:t>
      </w:r>
      <w:r w:rsidR="00EC08FA">
        <w:t xml:space="preserve">three clinical </w:t>
      </w:r>
      <w:r w:rsidRPr="008F2372">
        <w:t>organisation</w:t>
      </w:r>
      <w:r w:rsidR="00EC08FA">
        <w:t>s, one consumer organisation</w:t>
      </w:r>
      <w:r w:rsidRPr="008F2372">
        <w:t xml:space="preserve"> and one </w:t>
      </w:r>
      <w:r w:rsidR="00EC08FA">
        <w:t>medical practitioner</w:t>
      </w:r>
      <w:r>
        <w:t xml:space="preserve"> was received. The feedback was </w:t>
      </w:r>
      <w:r w:rsidRPr="008F2372">
        <w:t>supportive of ECP systems for the treatment for patients with cGVHD.</w:t>
      </w:r>
    </w:p>
    <w:p w14:paraId="1988093B" w14:textId="40725EB3" w:rsidR="00545DAC" w:rsidRPr="00545DAC" w:rsidRDefault="00545DAC" w:rsidP="00B853FB">
      <w:pPr>
        <w:spacing w:before="240"/>
      </w:pPr>
      <w:r w:rsidRPr="00545DAC">
        <w:t>The Peter MacCallum Cancer Centre/Victorian Comprehensive Cancer Centre and the Royal Prince Alfred Hospital both provided positive written statements about the use of ECP for steroid refractory/steroid-dependent/steroid-intolerant cGVHD. The RPAH note</w:t>
      </w:r>
      <w:r w:rsidR="000E20F2">
        <w:t>d</w:t>
      </w:r>
      <w:r w:rsidRPr="00545DAC">
        <w:t xml:space="preserve"> that this is a group of patients who usually progress to requiring increasing doses of immunosuppress</w:t>
      </w:r>
      <w:r w:rsidR="00AC1D7D">
        <w:t>ant</w:t>
      </w:r>
      <w:r w:rsidRPr="00545DAC">
        <w:t xml:space="preserve"> medications. Their mortality rate is very high, often due to life</w:t>
      </w:r>
      <w:r>
        <w:noBreakHyphen/>
      </w:r>
      <w:r w:rsidRPr="00545DAC">
        <w:t>threatening infections from their medications. Being able to reduce the dose of immunosuppress</w:t>
      </w:r>
      <w:r w:rsidR="00AC1D7D">
        <w:t>ant</w:t>
      </w:r>
      <w:r w:rsidRPr="00545DAC">
        <w:t xml:space="preserve"> medications significantly improves the long-term outcome of these patients. These are severe patients where treatment options are limited.</w:t>
      </w:r>
    </w:p>
    <w:p w14:paraId="1F8A06E0" w14:textId="2F52066A" w:rsidR="00EC08FA" w:rsidRDefault="00EC08FA" w:rsidP="00B853FB">
      <w:pPr>
        <w:spacing w:before="240"/>
      </w:pPr>
      <w:r>
        <w:t xml:space="preserve">The Leukaemia Foundation highlighted that currently ECP is difficult to access as only two centres currently provide ECP and only one centre provides ECP for children. The Leukaemia Foundation highlighted the difficulties patients experience travelling for treatment while seriously unwell and immunocompromised. The </w:t>
      </w:r>
      <w:r w:rsidRPr="00EC08FA">
        <w:t>Leukaemia Foundation</w:t>
      </w:r>
      <w:r>
        <w:t xml:space="preserve"> </w:t>
      </w:r>
      <w:r w:rsidR="00B85C52">
        <w:t>supported</w:t>
      </w:r>
      <w:r>
        <w:t xml:space="preserve"> </w:t>
      </w:r>
      <w:r w:rsidR="00B85C52">
        <w:t xml:space="preserve">MBS listing of ECP for </w:t>
      </w:r>
      <w:r w:rsidR="00115AC5">
        <w:t xml:space="preserve">both </w:t>
      </w:r>
      <w:r>
        <w:t xml:space="preserve">paediatric </w:t>
      </w:r>
      <w:r w:rsidR="00B85C52">
        <w:t xml:space="preserve">and adult </w:t>
      </w:r>
      <w:r>
        <w:t>patients</w:t>
      </w:r>
      <w:r w:rsidR="009F31C5">
        <w:t>.</w:t>
      </w:r>
    </w:p>
    <w:p w14:paraId="5184F7D8" w14:textId="6BCE0934" w:rsidR="00B411FE" w:rsidRPr="00B02E35" w:rsidRDefault="00EC08FA" w:rsidP="00B853FB">
      <w:pPr>
        <w:spacing w:before="240"/>
        <w:rPr>
          <w:szCs w:val="24"/>
        </w:rPr>
      </w:pPr>
      <w:r>
        <w:t xml:space="preserve">In its consideration of </w:t>
      </w:r>
      <w:r w:rsidR="00AF2357">
        <w:t>consultation feedback</w:t>
      </w:r>
      <w:r>
        <w:t xml:space="preserve">, </w:t>
      </w:r>
      <w:r w:rsidR="008F2372" w:rsidRPr="008F2372">
        <w:t>PASC noted that some current problems with equity of access will pers</w:t>
      </w:r>
      <w:r w:rsidR="008F2372">
        <w:t>ist even if the item is listed</w:t>
      </w:r>
      <w:r>
        <w:t xml:space="preserve"> and </w:t>
      </w:r>
      <w:r w:rsidR="008F2372" w:rsidRPr="008F2372">
        <w:t>the potential for substantial residual out-of-pocket cost</w:t>
      </w:r>
      <w:r w:rsidR="008F2372">
        <w:t xml:space="preserve">s beyond MBS funding associated </w:t>
      </w:r>
      <w:r w:rsidR="008F2372" w:rsidRPr="008F2372">
        <w:t>with travel to the few centres ca</w:t>
      </w:r>
      <w:r w:rsidR="008F2372">
        <w:t>pable of providing the service.</w:t>
      </w:r>
    </w:p>
    <w:p w14:paraId="53132791" w14:textId="1022EFF8" w:rsidR="00DD2E26" w:rsidRPr="009E7AB6" w:rsidRDefault="00065623" w:rsidP="000E20F2">
      <w:pPr>
        <w:pStyle w:val="Heading1"/>
        <w:numPr>
          <w:ilvl w:val="0"/>
          <w:numId w:val="13"/>
        </w:numPr>
        <w:spacing w:before="240" w:after="240"/>
        <w:ind w:hanging="720"/>
        <w:rPr>
          <w:rFonts w:ascii="Arial" w:eastAsia="Times New Roman" w:hAnsi="Arial" w:cs="Times New Roman"/>
        </w:rPr>
      </w:pPr>
      <w:r w:rsidRPr="009E7AB6">
        <w:rPr>
          <w:rFonts w:ascii="Arial" w:eastAsia="Times New Roman" w:hAnsi="Arial" w:cs="Times New Roman"/>
        </w:rPr>
        <w:lastRenderedPageBreak/>
        <w:t>Proposed intervention’s place in clinical management</w:t>
      </w:r>
    </w:p>
    <w:p w14:paraId="0225B94C" w14:textId="275CB7EA" w:rsidR="00114AC3" w:rsidRDefault="00114AC3" w:rsidP="009E7AB6">
      <w:pPr>
        <w:tabs>
          <w:tab w:val="left" w:pos="720"/>
          <w:tab w:val="left" w:pos="1140"/>
        </w:tabs>
        <w:rPr>
          <w:rStyle w:val="eop"/>
          <w:i/>
          <w:iCs/>
          <w:color w:val="000000"/>
          <w:shd w:val="clear" w:color="auto" w:fill="FFFFFF"/>
        </w:rPr>
      </w:pPr>
      <w:r>
        <w:rPr>
          <w:rStyle w:val="normaltextrun"/>
          <w:i/>
          <w:iCs/>
          <w:color w:val="000000"/>
          <w:shd w:val="clear" w:color="auto" w:fill="FFFFFF"/>
        </w:rPr>
        <w:t xml:space="preserve">Description of </w:t>
      </w:r>
      <w:r w:rsidR="000E20F2">
        <w:rPr>
          <w:rStyle w:val="normaltextrun"/>
          <w:i/>
          <w:iCs/>
          <w:color w:val="000000"/>
          <w:shd w:val="clear" w:color="auto" w:fill="FFFFFF"/>
        </w:rPr>
        <w:t>proposed int</w:t>
      </w:r>
      <w:r>
        <w:rPr>
          <w:rStyle w:val="normaltextrun"/>
          <w:i/>
          <w:iCs/>
          <w:color w:val="000000"/>
          <w:shd w:val="clear" w:color="auto" w:fill="FFFFFF"/>
        </w:rPr>
        <w:t>ervention</w:t>
      </w:r>
    </w:p>
    <w:p w14:paraId="6592DD52" w14:textId="24BDEDE9" w:rsidR="00114AC3" w:rsidRPr="00114AC3" w:rsidRDefault="00114AC3" w:rsidP="00114AC3">
      <w:pPr>
        <w:rPr>
          <w:rStyle w:val="eop"/>
          <w:iCs/>
          <w:color w:val="000000"/>
          <w:shd w:val="clear" w:color="auto" w:fill="FFFFFF"/>
        </w:rPr>
      </w:pPr>
      <w:r w:rsidRPr="00114AC3">
        <w:rPr>
          <w:rStyle w:val="eop"/>
          <w:iCs/>
          <w:color w:val="000000"/>
          <w:shd w:val="clear" w:color="auto" w:fill="FFFFFF"/>
        </w:rPr>
        <w:t>ECP is a leukapheresis-based, immunomodulatory therapy in which a patient’s leukocytes are collected and treated ex vivo with methoxsalen and UVA light and then returned to the patient</w:t>
      </w:r>
      <w:r>
        <w:rPr>
          <w:rStyle w:val="eop"/>
          <w:iCs/>
          <w:color w:val="000000"/>
          <w:shd w:val="clear" w:color="auto" w:fill="FFFFFF"/>
        </w:rPr>
        <w:t xml:space="preserve">. </w:t>
      </w:r>
      <w:r w:rsidRPr="00114AC3">
        <w:rPr>
          <w:rStyle w:val="eop"/>
          <w:iCs/>
          <w:color w:val="000000"/>
          <w:shd w:val="clear" w:color="auto" w:fill="FFFFFF"/>
        </w:rPr>
        <w:t xml:space="preserve">Integrated, closed ECP systems </w:t>
      </w:r>
      <w:r>
        <w:rPr>
          <w:rStyle w:val="eop"/>
          <w:iCs/>
          <w:color w:val="000000"/>
          <w:shd w:val="clear" w:color="auto" w:fill="FFFFFF"/>
        </w:rPr>
        <w:t xml:space="preserve">(such as the </w:t>
      </w:r>
      <w:r w:rsidRPr="00114AC3">
        <w:rPr>
          <w:rStyle w:val="eop"/>
          <w:iCs/>
          <w:color w:val="000000"/>
          <w:shd w:val="clear" w:color="auto" w:fill="FFFFFF"/>
        </w:rPr>
        <w:t xml:space="preserve">THERAKOS CELLEX </w:t>
      </w:r>
      <w:r>
        <w:rPr>
          <w:rStyle w:val="eop"/>
          <w:iCs/>
          <w:color w:val="000000"/>
          <w:shd w:val="clear" w:color="auto" w:fill="FFFFFF"/>
        </w:rPr>
        <w:t xml:space="preserve">system) </w:t>
      </w:r>
      <w:r w:rsidRPr="00114AC3">
        <w:rPr>
          <w:rStyle w:val="eop"/>
          <w:iCs/>
          <w:color w:val="000000"/>
          <w:shd w:val="clear" w:color="auto" w:fill="FFFFFF"/>
        </w:rPr>
        <w:t>complete the processes of cell separation, photo activation of methoxsalen, and reinfusion of the treated cells back into the patient within an automated and fully integrated process. All components of the treatment are validated for use together.</w:t>
      </w:r>
    </w:p>
    <w:p w14:paraId="0E3B4C32" w14:textId="1AC5D244" w:rsidR="00114AC3" w:rsidRDefault="00114AC3" w:rsidP="00B853FB">
      <w:pPr>
        <w:keepNext/>
        <w:tabs>
          <w:tab w:val="left" w:pos="720"/>
          <w:tab w:val="left" w:pos="1140"/>
        </w:tabs>
        <w:spacing w:before="240"/>
        <w:rPr>
          <w:rStyle w:val="eop"/>
          <w:i/>
          <w:iCs/>
          <w:color w:val="000000"/>
          <w:shd w:val="clear" w:color="auto" w:fill="FFFFFF"/>
        </w:rPr>
      </w:pPr>
      <w:r>
        <w:rPr>
          <w:rStyle w:val="normaltextrun"/>
          <w:i/>
          <w:iCs/>
          <w:color w:val="000000"/>
          <w:shd w:val="clear" w:color="auto" w:fill="FFFFFF"/>
        </w:rPr>
        <w:t xml:space="preserve">Description of </w:t>
      </w:r>
      <w:r w:rsidR="000E20F2">
        <w:rPr>
          <w:rStyle w:val="normaltextrun"/>
          <w:i/>
          <w:iCs/>
          <w:color w:val="000000"/>
          <w:shd w:val="clear" w:color="auto" w:fill="FFFFFF"/>
        </w:rPr>
        <w:t>medical c</w:t>
      </w:r>
      <w:r>
        <w:rPr>
          <w:rStyle w:val="normaltextrun"/>
          <w:i/>
          <w:iCs/>
          <w:color w:val="000000"/>
          <w:shd w:val="clear" w:color="auto" w:fill="FFFFFF"/>
        </w:rPr>
        <w:t>ondition</w:t>
      </w:r>
    </w:p>
    <w:p w14:paraId="2B7540CE" w14:textId="69562C02" w:rsidR="00114AC3" w:rsidRDefault="00C86E40" w:rsidP="00114AC3">
      <w:r>
        <w:t>cGVHD</w:t>
      </w:r>
      <w:r w:rsidR="00114AC3">
        <w:t xml:space="preserve"> can occur in patients undergoing allogeneic transplant procedures. This event originates from donated bone marrow or peripheral blood stem cells that view the recipient’s body as foreign, before mounting an attack against the host’s body cells. cGVHD can appear immediately or any time after a patient’s allogenic transplant. Despite prophylactic immunosuppression, there is an increased risk of developing the disease from H</w:t>
      </w:r>
      <w:r w:rsidR="006B68C7">
        <w:t xml:space="preserve">ematopoietic </w:t>
      </w:r>
      <w:r w:rsidR="00114AC3">
        <w:t>S</w:t>
      </w:r>
      <w:r w:rsidR="006B68C7">
        <w:t xml:space="preserve">tem </w:t>
      </w:r>
      <w:r w:rsidR="00114AC3">
        <w:t>C</w:t>
      </w:r>
      <w:r w:rsidR="006B68C7">
        <w:t xml:space="preserve">ell </w:t>
      </w:r>
      <w:r w:rsidR="00114AC3">
        <w:t>T</w:t>
      </w:r>
      <w:r w:rsidR="006B68C7">
        <w:t>ransplantation</w:t>
      </w:r>
      <w:r w:rsidR="00114AC3">
        <w:t>. This may contribute to 17-20% of transplant-related deaths regardless of donor-relatedness.</w:t>
      </w:r>
    </w:p>
    <w:p w14:paraId="39B11223" w14:textId="488E87BA" w:rsidR="00114AC3" w:rsidRDefault="00114AC3" w:rsidP="00B853FB">
      <w:pPr>
        <w:spacing w:before="240"/>
      </w:pPr>
      <w:r>
        <w:t>The mainstay of treatment for cGVHD is systemic steroid therapy, however, the most effective approach to steroid-refractory/intolerant/dependent GVHD remains controversial. ECP is recommended by international guidelines and consensus documents for steroid</w:t>
      </w:r>
      <w:r w:rsidR="00C86E40">
        <w:noBreakHyphen/>
      </w:r>
      <w:r>
        <w:t>refractory and dependent cGVHD patients.</w:t>
      </w:r>
    </w:p>
    <w:p w14:paraId="26B97CC7" w14:textId="1A9AC9BA" w:rsidR="00114AC3" w:rsidRDefault="00114AC3" w:rsidP="00B853FB">
      <w:pPr>
        <w:tabs>
          <w:tab w:val="left" w:pos="720"/>
          <w:tab w:val="left" w:pos="1140"/>
        </w:tabs>
        <w:spacing w:before="240"/>
        <w:rPr>
          <w:rStyle w:val="eop"/>
          <w:i/>
          <w:iCs/>
          <w:color w:val="000000"/>
          <w:shd w:val="clear" w:color="auto" w:fill="FFFFFF"/>
        </w:rPr>
      </w:pPr>
      <w:r>
        <w:rPr>
          <w:rStyle w:val="normaltextrun"/>
          <w:i/>
          <w:iCs/>
          <w:color w:val="000000"/>
          <w:shd w:val="clear" w:color="auto" w:fill="FFFFFF"/>
        </w:rPr>
        <w:t>Clinical place</w:t>
      </w:r>
    </w:p>
    <w:p w14:paraId="7A92FAB5" w14:textId="40107A12" w:rsidR="000A47EF" w:rsidRDefault="00DD2E26" w:rsidP="00DD2E26">
      <w:r w:rsidRPr="00DD2E26">
        <w:t xml:space="preserve">The current and proposed clinical management algorithms are presented in </w:t>
      </w:r>
      <w:r w:rsidR="000A47EF" w:rsidRPr="000A47EF">
        <w:fldChar w:fldCharType="begin"/>
      </w:r>
      <w:r w:rsidR="000A47EF" w:rsidRPr="000A47EF">
        <w:instrText xml:space="preserve"> REF _Ref68735750 \h </w:instrText>
      </w:r>
      <w:r w:rsidR="000A47EF">
        <w:instrText xml:space="preserve"> \* MERGEFORMAT </w:instrText>
      </w:r>
      <w:r w:rsidR="000A47EF" w:rsidRPr="000A47EF">
        <w:fldChar w:fldCharType="separate"/>
      </w:r>
      <w:r w:rsidR="008407AE" w:rsidRPr="008407AE">
        <w:t>Figure 1</w:t>
      </w:r>
      <w:r w:rsidR="000A47EF" w:rsidRPr="000A47EF">
        <w:fldChar w:fldCharType="end"/>
      </w:r>
      <w:r w:rsidR="00114AC3">
        <w:t xml:space="preserve"> </w:t>
      </w:r>
      <w:r w:rsidR="000A47EF">
        <w:t xml:space="preserve">and </w:t>
      </w:r>
      <w:r w:rsidR="000A47EF" w:rsidRPr="000A47EF">
        <w:fldChar w:fldCharType="begin"/>
      </w:r>
      <w:r w:rsidR="000A47EF" w:rsidRPr="000A47EF">
        <w:instrText xml:space="preserve"> REF _Ref68735854 \h </w:instrText>
      </w:r>
      <w:r w:rsidR="000A47EF">
        <w:instrText xml:space="preserve"> \* MERGEFORMAT </w:instrText>
      </w:r>
      <w:r w:rsidR="000A47EF" w:rsidRPr="000A47EF">
        <w:fldChar w:fldCharType="separate"/>
      </w:r>
      <w:r w:rsidR="008407AE" w:rsidRPr="008407AE">
        <w:t>Figure 2</w:t>
      </w:r>
      <w:r w:rsidR="000A47EF" w:rsidRPr="000A47EF">
        <w:fldChar w:fldCharType="end"/>
      </w:r>
      <w:r w:rsidR="000A47EF">
        <w:t xml:space="preserve"> </w:t>
      </w:r>
      <w:r w:rsidRPr="00DD2E26">
        <w:t>and are consistent with those devel</w:t>
      </w:r>
      <w:r w:rsidR="000A47EF">
        <w:t xml:space="preserve">oped for the </w:t>
      </w:r>
      <w:r w:rsidR="0034138C">
        <w:t xml:space="preserve">ratified </w:t>
      </w:r>
      <w:r w:rsidR="000A47EF">
        <w:t>PICO Confirmation.</w:t>
      </w:r>
    </w:p>
    <w:p w14:paraId="62D7FCB3" w14:textId="69F296AE" w:rsidR="00DD2E26" w:rsidRPr="00C86E40" w:rsidRDefault="00DD2E26" w:rsidP="00B853FB">
      <w:pPr>
        <w:spacing w:before="240"/>
      </w:pPr>
      <w:r w:rsidRPr="00DD2E26">
        <w:t xml:space="preserve">It </w:t>
      </w:r>
      <w:r w:rsidR="000E20F2">
        <w:t>wa</w:t>
      </w:r>
      <w:r w:rsidRPr="00DD2E26">
        <w:t>s proposed that ECP plus methoxsalen treatment w</w:t>
      </w:r>
      <w:r w:rsidR="000E20F2">
        <w:t>ould</w:t>
      </w:r>
      <w:r w:rsidRPr="00DD2E26">
        <w:t xml:space="preserve"> initially be used as an adjunct treatment with the nominated comparators, </w:t>
      </w:r>
      <w:r w:rsidR="000E20F2">
        <w:t xml:space="preserve">and </w:t>
      </w:r>
      <w:r w:rsidRPr="00DD2E26">
        <w:t xml:space="preserve">that sustained ECP treatment </w:t>
      </w:r>
      <w:r w:rsidR="000E20F2">
        <w:t>would</w:t>
      </w:r>
      <w:r w:rsidRPr="00DD2E26">
        <w:t xml:space="preserve"> reduce the daily dosage of these comparator treatments and their associated toxicities. </w:t>
      </w:r>
      <w:r w:rsidR="00114AC3" w:rsidRPr="00C86E40">
        <w:t>The Commentary highlighted that</w:t>
      </w:r>
      <w:r w:rsidR="000E20F2">
        <w:t>,</w:t>
      </w:r>
      <w:r w:rsidRPr="00C86E40">
        <w:t xml:space="preserve"> consistent with comments made regarding the comparators, only currently subsidised treatments are represented in the clinical management algorithms. Thus, the inclusion of rituximab costs (as a third-line treatment) and in the model </w:t>
      </w:r>
      <w:r w:rsidR="000E20F2">
        <w:t>was</w:t>
      </w:r>
      <w:r w:rsidRPr="00C86E40">
        <w:t xml:space="preserve"> inappropriate.</w:t>
      </w:r>
    </w:p>
    <w:p w14:paraId="61909B4E" w14:textId="1E979039" w:rsidR="00042672" w:rsidRDefault="000E20F2" w:rsidP="00B853FB">
      <w:pPr>
        <w:spacing w:before="240"/>
      </w:pPr>
      <w:r>
        <w:t xml:space="preserve">The Commentary also questioned the inclusion of </w:t>
      </w:r>
      <w:r w:rsidRPr="00C86E40">
        <w:t>IVIg (for the ‘progressed’ health state) in the model</w:t>
      </w:r>
      <w:r>
        <w:t xml:space="preserve">. </w:t>
      </w:r>
      <w:r w:rsidR="00042672">
        <w:t xml:space="preserve">The pre-ESC response included feedback from two clinical haematologists who advised that many of their patients with cGVHD require multiple </w:t>
      </w:r>
      <w:r w:rsidR="00042672" w:rsidRPr="00042672">
        <w:t>immunosuppress</w:t>
      </w:r>
      <w:r w:rsidR="00D01F6E">
        <w:t>ant</w:t>
      </w:r>
      <w:r w:rsidR="00042672" w:rsidRPr="00042672">
        <w:t xml:space="preserve"> therapies</w:t>
      </w:r>
      <w:r>
        <w:t>,</w:t>
      </w:r>
      <w:r w:rsidR="00042672" w:rsidRPr="00042672">
        <w:t xml:space="preserve"> </w:t>
      </w:r>
      <w:r>
        <w:t>experience</w:t>
      </w:r>
      <w:r w:rsidR="00042672" w:rsidRPr="00042672">
        <w:t xml:space="preserve"> recurrent infections and </w:t>
      </w:r>
      <w:r>
        <w:t>develop</w:t>
      </w:r>
      <w:r w:rsidR="00042672" w:rsidRPr="00042672">
        <w:t xml:space="preserve"> hypogammaglobulinaemia and therefore qualify for</w:t>
      </w:r>
      <w:r w:rsidR="00842DFF">
        <w:t xml:space="preserve"> funded</w:t>
      </w:r>
      <w:r w:rsidR="00042672" w:rsidRPr="00042672">
        <w:t xml:space="preserve"> </w:t>
      </w:r>
      <w:r w:rsidR="00042672">
        <w:t>IVIg</w:t>
      </w:r>
      <w:r w:rsidR="00842DFF">
        <w:t xml:space="preserve"> via the national blood arrangements</w:t>
      </w:r>
      <w:r w:rsidR="00042672">
        <w:t>. The clinical haematologists further advised that</w:t>
      </w:r>
      <w:r>
        <w:t>,</w:t>
      </w:r>
      <w:r w:rsidR="00042672">
        <w:t xml:space="preserve"> </w:t>
      </w:r>
      <w:r w:rsidR="00042672" w:rsidRPr="00042672">
        <w:t xml:space="preserve">as the </w:t>
      </w:r>
      <w:r w:rsidR="00042672">
        <w:t>cGVHD</w:t>
      </w:r>
      <w:r w:rsidR="00042672" w:rsidRPr="00042672">
        <w:t xml:space="preserve"> responds to treatment, the immunosuppress</w:t>
      </w:r>
      <w:r w:rsidR="00D01F6E">
        <w:t>ant</w:t>
      </w:r>
      <w:r w:rsidR="00042672" w:rsidRPr="00042672">
        <w:t xml:space="preserve"> therapy can be weaned resulting in a reduced need for </w:t>
      </w:r>
      <w:r w:rsidR="00042672">
        <w:t>IVIg</w:t>
      </w:r>
      <w:r w:rsidR="00042672" w:rsidRPr="00042672">
        <w:t xml:space="preserve"> including the possibility of </w:t>
      </w:r>
      <w:r w:rsidR="00042672">
        <w:t>ceasing IVIg.</w:t>
      </w:r>
    </w:p>
    <w:p w14:paraId="330AF1D1" w14:textId="77777777" w:rsidR="000A47EF" w:rsidRPr="000A47EF" w:rsidRDefault="002315B2" w:rsidP="000A47EF">
      <w:pPr>
        <w:keepNext/>
        <w:keepLines/>
        <w:spacing w:after="120"/>
        <w:rPr>
          <w:rFonts w:ascii="Calibri" w:hAnsi="Calibri" w:cs="Tahoma"/>
          <w:sz w:val="22"/>
          <w:szCs w:val="22"/>
        </w:rPr>
      </w:pPr>
      <w:r w:rsidRPr="000A47EF">
        <w:rPr>
          <w:rFonts w:ascii="Calibri" w:hAnsi="Calibri" w:cs="Tahoma"/>
          <w:noProof/>
          <w:sz w:val="22"/>
          <w:szCs w:val="22"/>
        </w:rPr>
        <w:object w:dxaOrig="10884" w:dyaOrig="10909" w14:anchorId="00BE6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6: Current management algorithm " style="width:427.5pt;height:425.25pt;mso-width-percent:0;mso-height-percent:0;mso-width-percent:0;mso-height-percent:0" o:ole="">
            <v:imagedata r:id="rId16" o:title=""/>
          </v:shape>
          <o:OLEObject Type="Embed" ProgID="Visio.Drawing.15" ShapeID="_x0000_i1025" DrawAspect="Content" ObjectID="_1694609304" r:id="rId17"/>
        </w:object>
      </w:r>
    </w:p>
    <w:p w14:paraId="45EBABD7" w14:textId="245310FE" w:rsidR="000A47EF" w:rsidRPr="000A47EF" w:rsidRDefault="000A47EF" w:rsidP="000A47EF">
      <w:pPr>
        <w:keepLines/>
        <w:spacing w:after="120"/>
        <w:rPr>
          <w:rFonts w:ascii="Arial Narrow" w:hAnsi="Arial Narrow" w:cs="Tahoma"/>
          <w:b/>
          <w:bCs/>
          <w:sz w:val="20"/>
          <w:szCs w:val="22"/>
        </w:rPr>
      </w:pPr>
      <w:bookmarkStart w:id="11" w:name="_Ref68735750"/>
      <w:bookmarkStart w:id="12" w:name="_Hlk62014512"/>
      <w:r w:rsidRPr="000A47EF">
        <w:rPr>
          <w:rFonts w:ascii="Arial Narrow" w:hAnsi="Arial Narrow" w:cs="Tahoma"/>
          <w:b/>
          <w:bCs/>
          <w:sz w:val="20"/>
          <w:szCs w:val="22"/>
        </w:rPr>
        <w:t xml:space="preserve">Figure </w:t>
      </w:r>
      <w:r w:rsidRPr="000A47EF">
        <w:rPr>
          <w:rFonts w:ascii="Arial Narrow" w:hAnsi="Arial Narrow" w:cs="Tahoma"/>
          <w:b/>
          <w:bCs/>
          <w:sz w:val="20"/>
          <w:szCs w:val="22"/>
        </w:rPr>
        <w:fldChar w:fldCharType="begin"/>
      </w:r>
      <w:r w:rsidRPr="000A47EF">
        <w:rPr>
          <w:rFonts w:ascii="Arial Narrow" w:hAnsi="Arial Narrow" w:cs="Tahoma"/>
          <w:b/>
          <w:bCs/>
          <w:sz w:val="20"/>
          <w:szCs w:val="22"/>
        </w:rPr>
        <w:instrText xml:space="preserve"> SEQ Figure \* ARABIC </w:instrText>
      </w:r>
      <w:r w:rsidRPr="000A47EF">
        <w:rPr>
          <w:rFonts w:ascii="Arial Narrow" w:hAnsi="Arial Narrow" w:cs="Tahoma"/>
          <w:b/>
          <w:bCs/>
          <w:sz w:val="20"/>
          <w:szCs w:val="22"/>
        </w:rPr>
        <w:fldChar w:fldCharType="separate"/>
      </w:r>
      <w:r w:rsidR="008407AE">
        <w:rPr>
          <w:rFonts w:ascii="Arial Narrow" w:hAnsi="Arial Narrow" w:cs="Tahoma"/>
          <w:b/>
          <w:bCs/>
          <w:noProof/>
          <w:sz w:val="20"/>
          <w:szCs w:val="22"/>
        </w:rPr>
        <w:t>1</w:t>
      </w:r>
      <w:r w:rsidRPr="000A47EF">
        <w:rPr>
          <w:rFonts w:ascii="Arial Narrow" w:hAnsi="Arial Narrow" w:cs="Tahoma"/>
          <w:b/>
          <w:bCs/>
          <w:noProof/>
          <w:sz w:val="20"/>
          <w:szCs w:val="22"/>
        </w:rPr>
        <w:fldChar w:fldCharType="end"/>
      </w:r>
      <w:bookmarkEnd w:id="11"/>
      <w:r w:rsidR="00D95154">
        <w:rPr>
          <w:rFonts w:ascii="Arial Narrow" w:hAnsi="Arial Narrow" w:cs="Tahoma"/>
          <w:b/>
          <w:bCs/>
          <w:noProof/>
          <w:sz w:val="20"/>
          <w:szCs w:val="22"/>
        </w:rPr>
        <w:t xml:space="preserve">: </w:t>
      </w:r>
      <w:r w:rsidRPr="000A47EF">
        <w:rPr>
          <w:rFonts w:ascii="Arial Narrow" w:hAnsi="Arial Narrow" w:cs="Tahoma"/>
          <w:b/>
          <w:bCs/>
          <w:sz w:val="20"/>
          <w:szCs w:val="22"/>
        </w:rPr>
        <w:t>Current management algorithm</w:t>
      </w:r>
    </w:p>
    <w:p w14:paraId="7D2C2F2E" w14:textId="77777777" w:rsidR="000A47EF" w:rsidRPr="000A47EF" w:rsidRDefault="000A47EF" w:rsidP="000A47EF">
      <w:pPr>
        <w:rPr>
          <w:rFonts w:ascii="Arial Narrow" w:hAnsi="Arial Narrow" w:cs="Tahoma"/>
          <w:sz w:val="18"/>
        </w:rPr>
      </w:pPr>
      <w:r w:rsidRPr="000A47EF">
        <w:rPr>
          <w:rFonts w:ascii="Arial Narrow" w:hAnsi="Arial Narrow" w:cs="Tahoma"/>
          <w:sz w:val="18"/>
        </w:rPr>
        <w:t>Source: Figure A.5, p54 of the ADAR.</w:t>
      </w:r>
    </w:p>
    <w:p w14:paraId="231AF897" w14:textId="77777777" w:rsidR="000A47EF" w:rsidRPr="000A47EF" w:rsidRDefault="000A47EF" w:rsidP="000A47EF">
      <w:pPr>
        <w:spacing w:after="240"/>
        <w:rPr>
          <w:rFonts w:ascii="Arial Narrow" w:hAnsi="Arial Narrow" w:cs="Tahoma"/>
          <w:sz w:val="18"/>
        </w:rPr>
      </w:pPr>
      <w:r w:rsidRPr="000A47EF">
        <w:rPr>
          <w:rFonts w:ascii="Arial Narrow" w:hAnsi="Arial Narrow" w:cs="Tahoma"/>
          <w:sz w:val="18"/>
        </w:rPr>
        <w:t xml:space="preserve">Note: systemic agent denoted in diagram refers to the use of calcineurin inhibitors (e.g. tacrolimus and ciclosporin) and/or mycophenolate </w:t>
      </w:r>
      <w:bookmarkEnd w:id="12"/>
      <w:r w:rsidRPr="000A47EF">
        <w:rPr>
          <w:rFonts w:ascii="Arial Narrow" w:hAnsi="Arial Narrow" w:cs="Tahoma"/>
          <w:sz w:val="18"/>
        </w:rPr>
        <w:t>mofetil.</w:t>
      </w:r>
    </w:p>
    <w:p w14:paraId="5CBF7C84" w14:textId="77777777" w:rsidR="000A47EF" w:rsidRPr="000A47EF" w:rsidRDefault="002315B2" w:rsidP="000A47EF">
      <w:pPr>
        <w:spacing w:before="100" w:beforeAutospacing="1" w:after="120"/>
        <w:rPr>
          <w:rFonts w:cs="Tahoma"/>
          <w:sz w:val="22"/>
          <w:szCs w:val="24"/>
        </w:rPr>
      </w:pPr>
      <w:r w:rsidRPr="002315B2">
        <w:rPr>
          <w:rFonts w:cs="Tahoma"/>
          <w:noProof/>
          <w:sz w:val="22"/>
          <w:szCs w:val="24"/>
        </w:rPr>
        <w:object w:dxaOrig="15361" w:dyaOrig="9613" w14:anchorId="230C89B0">
          <v:shape id="_x0000_i1026" type="#_x0000_t75" alt="Figure 7: Proposed management algorithm" style="width:489pt;height:300.75pt;mso-width-percent:0;mso-height-percent:0;mso-width-percent:0;mso-height-percent:0" o:ole="">
            <v:imagedata r:id="rId18" o:title=""/>
          </v:shape>
          <o:OLEObject Type="Embed" ProgID="Visio.Drawing.15" ShapeID="_x0000_i1026" DrawAspect="Content" ObjectID="_1694609305" r:id="rId19"/>
        </w:object>
      </w:r>
    </w:p>
    <w:p w14:paraId="3918AE9E" w14:textId="231109CB" w:rsidR="000A47EF" w:rsidRPr="000A47EF" w:rsidRDefault="000A47EF" w:rsidP="000A47EF">
      <w:pPr>
        <w:spacing w:after="120"/>
        <w:rPr>
          <w:rFonts w:ascii="Arial Narrow" w:hAnsi="Arial Narrow" w:cs="Tahoma"/>
          <w:b/>
          <w:bCs/>
          <w:sz w:val="20"/>
          <w:szCs w:val="22"/>
        </w:rPr>
      </w:pPr>
      <w:bookmarkStart w:id="13" w:name="_Ref68735854"/>
      <w:r w:rsidRPr="000A47EF">
        <w:rPr>
          <w:rFonts w:ascii="Arial Narrow" w:hAnsi="Arial Narrow" w:cs="Tahoma"/>
          <w:b/>
          <w:bCs/>
          <w:sz w:val="20"/>
          <w:szCs w:val="22"/>
        </w:rPr>
        <w:t xml:space="preserve">Figure </w:t>
      </w:r>
      <w:r w:rsidRPr="000A47EF">
        <w:rPr>
          <w:rFonts w:ascii="Arial Narrow" w:hAnsi="Arial Narrow" w:cs="Tahoma"/>
          <w:b/>
          <w:bCs/>
          <w:sz w:val="20"/>
          <w:szCs w:val="22"/>
        </w:rPr>
        <w:fldChar w:fldCharType="begin"/>
      </w:r>
      <w:r w:rsidRPr="000A47EF">
        <w:rPr>
          <w:rFonts w:ascii="Arial Narrow" w:hAnsi="Arial Narrow" w:cs="Tahoma"/>
          <w:b/>
          <w:bCs/>
          <w:sz w:val="20"/>
          <w:szCs w:val="22"/>
        </w:rPr>
        <w:instrText xml:space="preserve"> SEQ Figure \* ARABIC </w:instrText>
      </w:r>
      <w:r w:rsidRPr="000A47EF">
        <w:rPr>
          <w:rFonts w:ascii="Arial Narrow" w:hAnsi="Arial Narrow" w:cs="Tahoma"/>
          <w:b/>
          <w:bCs/>
          <w:sz w:val="20"/>
          <w:szCs w:val="22"/>
        </w:rPr>
        <w:fldChar w:fldCharType="separate"/>
      </w:r>
      <w:r w:rsidR="008407AE">
        <w:rPr>
          <w:rFonts w:ascii="Arial Narrow" w:hAnsi="Arial Narrow" w:cs="Tahoma"/>
          <w:b/>
          <w:bCs/>
          <w:noProof/>
          <w:sz w:val="20"/>
          <w:szCs w:val="22"/>
        </w:rPr>
        <w:t>2</w:t>
      </w:r>
      <w:r w:rsidRPr="000A47EF">
        <w:rPr>
          <w:rFonts w:ascii="Arial Narrow" w:hAnsi="Arial Narrow" w:cs="Tahoma"/>
          <w:b/>
          <w:bCs/>
          <w:noProof/>
          <w:sz w:val="20"/>
          <w:szCs w:val="22"/>
        </w:rPr>
        <w:fldChar w:fldCharType="end"/>
      </w:r>
      <w:bookmarkEnd w:id="13"/>
      <w:r w:rsidR="00D95154">
        <w:rPr>
          <w:rFonts w:ascii="Arial Narrow" w:hAnsi="Arial Narrow" w:cs="Tahoma"/>
          <w:b/>
          <w:bCs/>
          <w:noProof/>
          <w:sz w:val="20"/>
          <w:szCs w:val="22"/>
        </w:rPr>
        <w:t xml:space="preserve">: </w:t>
      </w:r>
      <w:r w:rsidRPr="000A47EF">
        <w:rPr>
          <w:rFonts w:ascii="Arial Narrow" w:hAnsi="Arial Narrow" w:cs="Tahoma"/>
          <w:b/>
          <w:bCs/>
          <w:sz w:val="20"/>
          <w:szCs w:val="22"/>
        </w:rPr>
        <w:t>Proposed management algorithm</w:t>
      </w:r>
    </w:p>
    <w:p w14:paraId="02EFB500" w14:textId="77777777" w:rsidR="000A47EF" w:rsidRPr="000A47EF" w:rsidRDefault="000A47EF" w:rsidP="000A47EF">
      <w:pPr>
        <w:keepNext/>
        <w:keepLines/>
        <w:rPr>
          <w:rFonts w:ascii="Arial Narrow" w:hAnsi="Arial Narrow"/>
          <w:color w:val="000000"/>
          <w:sz w:val="18"/>
          <w:szCs w:val="18"/>
        </w:rPr>
      </w:pPr>
      <w:r w:rsidRPr="000A47EF">
        <w:rPr>
          <w:rFonts w:ascii="Arial Narrow" w:hAnsi="Arial Narrow"/>
          <w:color w:val="000000"/>
          <w:sz w:val="18"/>
          <w:szCs w:val="18"/>
        </w:rPr>
        <w:t>Source: Figure A.6, p56 of the ADAR.</w:t>
      </w:r>
    </w:p>
    <w:p w14:paraId="40FF6D0F" w14:textId="77777777" w:rsidR="000A47EF" w:rsidRPr="000A47EF" w:rsidRDefault="000A47EF" w:rsidP="000A47EF">
      <w:pPr>
        <w:keepNext/>
        <w:keepLines/>
        <w:rPr>
          <w:rFonts w:ascii="Arial Narrow" w:hAnsi="Arial Narrow"/>
          <w:color w:val="000000"/>
          <w:sz w:val="18"/>
          <w:szCs w:val="18"/>
        </w:rPr>
      </w:pPr>
      <w:r w:rsidRPr="000A47EF">
        <w:rPr>
          <w:rFonts w:ascii="Arial Narrow" w:hAnsi="Arial Narrow"/>
          <w:color w:val="000000"/>
          <w:sz w:val="18"/>
          <w:szCs w:val="18"/>
        </w:rPr>
        <w:t>Note: For some patients starting ECP as third-line and later-line, ECP may also be added to systemic steroids and/or other treatment, with the aim of weaning both steroids and other therapy.</w:t>
      </w:r>
    </w:p>
    <w:p w14:paraId="2207AACD" w14:textId="77777777" w:rsidR="000A47EF" w:rsidRPr="000A47EF" w:rsidRDefault="000A47EF" w:rsidP="000A47EF">
      <w:pPr>
        <w:keepNext/>
        <w:keepLines/>
        <w:tabs>
          <w:tab w:val="left" w:pos="284"/>
        </w:tabs>
        <w:ind w:left="284" w:hanging="284"/>
        <w:rPr>
          <w:rFonts w:ascii="Arial Narrow" w:hAnsi="Arial Narrow"/>
          <w:color w:val="000000"/>
          <w:sz w:val="18"/>
          <w:szCs w:val="18"/>
        </w:rPr>
      </w:pPr>
      <w:r w:rsidRPr="000A47EF">
        <w:rPr>
          <w:rFonts w:ascii="Arial Narrow" w:hAnsi="Arial Narrow"/>
          <w:color w:val="000000"/>
          <w:sz w:val="18"/>
          <w:szCs w:val="18"/>
          <w:vertAlign w:val="superscript"/>
        </w:rPr>
        <w:t>a</w:t>
      </w:r>
      <w:r w:rsidRPr="000A47EF">
        <w:rPr>
          <w:rFonts w:ascii="Arial Narrow" w:hAnsi="Arial Narrow"/>
          <w:color w:val="000000"/>
          <w:sz w:val="18"/>
          <w:szCs w:val="18"/>
        </w:rPr>
        <w:t xml:space="preserve"> </w:t>
      </w:r>
      <w:r w:rsidRPr="000A47EF">
        <w:rPr>
          <w:rFonts w:ascii="Arial Narrow" w:hAnsi="Arial Narrow"/>
          <w:color w:val="000000"/>
          <w:sz w:val="18"/>
          <w:szCs w:val="18"/>
        </w:rPr>
        <w:tab/>
        <w:t xml:space="preserve">Response: the initial treatment cycle would be 12 weeks, then review and continue with another 12-week treatment cycle if the patient is responding. PASC noted that clinicians review the treatment every 12 weeks before continuing. PASC noted that the initial 12-week treatment cycle is twice per week, and the second 12-week cycle is twice per month. PASC noted that the definition of “response” was limited to an improvement in cGVHD symptoms. PASC advised that for the steroid-dependent population, the definition of “response” might also appropriately include a reduction in use of concomitant therapy (with a reduction of steroid dose being the most expected response) </w:t>
      </w:r>
    </w:p>
    <w:p w14:paraId="1B30367E" w14:textId="77777777" w:rsidR="000A47EF" w:rsidRPr="000A47EF" w:rsidRDefault="000A47EF" w:rsidP="000A47EF">
      <w:pPr>
        <w:keepNext/>
        <w:keepLines/>
        <w:tabs>
          <w:tab w:val="left" w:pos="284"/>
        </w:tabs>
        <w:ind w:left="284" w:hanging="284"/>
        <w:rPr>
          <w:rFonts w:ascii="Arial Narrow" w:hAnsi="Arial Narrow"/>
          <w:color w:val="000000"/>
          <w:sz w:val="18"/>
          <w:szCs w:val="18"/>
          <w:vertAlign w:val="superscript"/>
        </w:rPr>
      </w:pPr>
      <w:r w:rsidRPr="000A47EF">
        <w:rPr>
          <w:rFonts w:ascii="Arial Narrow" w:hAnsi="Arial Narrow"/>
          <w:color w:val="000000"/>
          <w:sz w:val="18"/>
          <w:szCs w:val="18"/>
          <w:vertAlign w:val="superscript"/>
        </w:rPr>
        <w:t>b</w:t>
      </w:r>
      <w:r w:rsidRPr="000A47EF">
        <w:rPr>
          <w:rFonts w:ascii="Arial Narrow" w:hAnsi="Arial Narrow"/>
          <w:color w:val="000000"/>
          <w:sz w:val="18"/>
          <w:szCs w:val="18"/>
        </w:rPr>
        <w:t xml:space="preserve"> </w:t>
      </w:r>
      <w:r w:rsidRPr="000A47EF">
        <w:rPr>
          <w:rFonts w:ascii="Arial Narrow" w:hAnsi="Arial Narrow"/>
          <w:color w:val="000000"/>
          <w:sz w:val="18"/>
          <w:szCs w:val="18"/>
        </w:rPr>
        <w:tab/>
        <w:t>No response: patients who do not respond sufficiently to ECP after the initial 12-week cycle should not continue with the treatment</w:t>
      </w:r>
    </w:p>
    <w:p w14:paraId="23A74635" w14:textId="77777777" w:rsidR="000A47EF" w:rsidRPr="000A47EF" w:rsidRDefault="000A47EF" w:rsidP="000A47EF">
      <w:pPr>
        <w:keepNext/>
        <w:keepLines/>
        <w:tabs>
          <w:tab w:val="left" w:pos="284"/>
        </w:tabs>
        <w:ind w:left="284" w:hanging="284"/>
        <w:rPr>
          <w:rFonts w:ascii="Arial Narrow" w:hAnsi="Arial Narrow"/>
          <w:color w:val="000000"/>
          <w:sz w:val="18"/>
          <w:szCs w:val="18"/>
        </w:rPr>
      </w:pPr>
      <w:r w:rsidRPr="000A47EF">
        <w:rPr>
          <w:rFonts w:ascii="Arial Narrow" w:hAnsi="Arial Narrow"/>
          <w:color w:val="000000"/>
          <w:sz w:val="18"/>
          <w:szCs w:val="18"/>
          <w:vertAlign w:val="superscript"/>
        </w:rPr>
        <w:t xml:space="preserve">c </w:t>
      </w:r>
      <w:r w:rsidRPr="000A47EF">
        <w:rPr>
          <w:rFonts w:ascii="Arial Narrow" w:hAnsi="Arial Narrow"/>
          <w:color w:val="000000"/>
          <w:sz w:val="18"/>
          <w:szCs w:val="18"/>
          <w:vertAlign w:val="superscript"/>
        </w:rPr>
        <w:tab/>
      </w:r>
      <w:r w:rsidRPr="000A47EF">
        <w:rPr>
          <w:rFonts w:ascii="Arial Narrow" w:hAnsi="Arial Narrow"/>
          <w:color w:val="000000"/>
          <w:sz w:val="18"/>
          <w:szCs w:val="18"/>
        </w:rPr>
        <w:t>From cessation of ECP</w:t>
      </w:r>
    </w:p>
    <w:p w14:paraId="633D2F33" w14:textId="77777777" w:rsidR="000A47EF" w:rsidRPr="000A47EF" w:rsidRDefault="000A47EF" w:rsidP="000A47EF">
      <w:pPr>
        <w:keepNext/>
        <w:keepLines/>
        <w:tabs>
          <w:tab w:val="left" w:pos="284"/>
        </w:tabs>
        <w:ind w:left="284" w:hanging="284"/>
        <w:rPr>
          <w:rFonts w:ascii="Arial Narrow" w:hAnsi="Arial Narrow"/>
          <w:color w:val="000000"/>
          <w:sz w:val="18"/>
          <w:szCs w:val="18"/>
        </w:rPr>
      </w:pPr>
      <w:r w:rsidRPr="000A47EF">
        <w:rPr>
          <w:rFonts w:ascii="Arial Narrow" w:hAnsi="Arial Narrow"/>
          <w:color w:val="000000"/>
          <w:sz w:val="20"/>
          <w:vertAlign w:val="superscript"/>
        </w:rPr>
        <w:t xml:space="preserve">d </w:t>
      </w:r>
      <w:r w:rsidRPr="000A47EF">
        <w:rPr>
          <w:rFonts w:ascii="Arial Narrow" w:hAnsi="Arial Narrow"/>
          <w:color w:val="000000"/>
          <w:sz w:val="20"/>
          <w:vertAlign w:val="superscript"/>
        </w:rPr>
        <w:tab/>
      </w:r>
      <w:r w:rsidRPr="000A47EF">
        <w:rPr>
          <w:rFonts w:ascii="Arial Narrow" w:hAnsi="Arial Narrow"/>
          <w:color w:val="000000"/>
          <w:sz w:val="18"/>
          <w:szCs w:val="18"/>
        </w:rPr>
        <w:t>Re-using the initiation regimen for ECP (12-week treatment cycle, twice per week)</w:t>
      </w:r>
    </w:p>
    <w:p w14:paraId="74AF67A5" w14:textId="51BBB7A1" w:rsidR="00566DC3" w:rsidRPr="00114AC3" w:rsidRDefault="000A47EF" w:rsidP="00114AC3">
      <w:pPr>
        <w:keepNext/>
        <w:keepLines/>
        <w:spacing w:after="240"/>
        <w:rPr>
          <w:rFonts w:ascii="Arial Narrow" w:hAnsi="Arial Narrow"/>
          <w:color w:val="000000"/>
          <w:sz w:val="18"/>
          <w:szCs w:val="18"/>
        </w:rPr>
      </w:pPr>
      <w:r w:rsidRPr="000A47EF">
        <w:rPr>
          <w:rFonts w:ascii="Arial Narrow" w:hAnsi="Arial Narrow"/>
          <w:color w:val="000000"/>
          <w:sz w:val="18"/>
          <w:szCs w:val="18"/>
        </w:rPr>
        <w:t>Systemic agent: calcineurin inhibitor (e.g. tacrolimus and ciclosporin) or mycophenolate mofetil</w:t>
      </w:r>
    </w:p>
    <w:p w14:paraId="5067C987" w14:textId="3DE01C5E" w:rsidR="00DD2E26" w:rsidRPr="009E7AB6" w:rsidRDefault="00065623" w:rsidP="009E7AB6">
      <w:pPr>
        <w:pStyle w:val="Heading1"/>
        <w:numPr>
          <w:ilvl w:val="0"/>
          <w:numId w:val="13"/>
        </w:numPr>
        <w:spacing w:before="240" w:after="240"/>
        <w:ind w:hanging="720"/>
        <w:rPr>
          <w:rFonts w:ascii="Arial" w:eastAsia="Times New Roman" w:hAnsi="Arial" w:cs="Times New Roman"/>
        </w:rPr>
      </w:pPr>
      <w:r w:rsidRPr="009E7AB6">
        <w:rPr>
          <w:rFonts w:ascii="Arial" w:eastAsia="Times New Roman" w:hAnsi="Arial" w:cs="Times New Roman"/>
        </w:rPr>
        <w:t>Comparator</w:t>
      </w:r>
    </w:p>
    <w:p w14:paraId="1BC8BE52" w14:textId="174D6B2C" w:rsidR="00DD2E26" w:rsidRDefault="00DD2E26" w:rsidP="00DD2E26">
      <w:r w:rsidRPr="00DD2E26">
        <w:t xml:space="preserve">Based on the current International Guidelines on the treatment of cGVHD and the Australian clinician interviews presented in the ADAR, the nominated comparator for the second-line treatment of treatment refractory cGVHD </w:t>
      </w:r>
      <w:r w:rsidR="00842DFF">
        <w:t>wa</w:t>
      </w:r>
      <w:r w:rsidRPr="00DD2E26">
        <w:t>s the best available standard of care (SOC). In Australia, SOC typically involves the continued use of steroids from first-line treatment, in combination with mycophenolate or calcineurin inhibitors with the view of reducing and/or displacing chronic high dose systemic steroidal treatment.</w:t>
      </w:r>
    </w:p>
    <w:p w14:paraId="5E33A60D" w14:textId="0310FE4E" w:rsidR="00114AC3" w:rsidRDefault="00114AC3" w:rsidP="00B853FB">
      <w:pPr>
        <w:spacing w:before="240"/>
      </w:pPr>
      <w:r w:rsidRPr="00114AC3">
        <w:t>ECP with methoxsalen is expected to be delivered over 3 hours of outpatient time with specialist nurses compared with the comparators being administered orally.</w:t>
      </w:r>
    </w:p>
    <w:p w14:paraId="69345AE4" w14:textId="2E9BC0D4" w:rsidR="00DD2E26" w:rsidRPr="00DD2E26" w:rsidRDefault="00DD2E26" w:rsidP="00B853FB">
      <w:pPr>
        <w:spacing w:before="240"/>
      </w:pPr>
      <w:r>
        <w:t xml:space="preserve">The Commentary highlighted the following from the </w:t>
      </w:r>
      <w:r w:rsidR="0034138C">
        <w:t>r</w:t>
      </w:r>
      <w:r>
        <w:t>atified PICO</w:t>
      </w:r>
      <w:r w:rsidR="0034138C">
        <w:t xml:space="preserve"> Confirmation</w:t>
      </w:r>
      <w:r>
        <w:t>:</w:t>
      </w:r>
    </w:p>
    <w:p w14:paraId="0A8E6BB8" w14:textId="642D14A5" w:rsidR="00DD2E26" w:rsidRDefault="00DD2E26" w:rsidP="00DD2E26">
      <w:pPr>
        <w:pStyle w:val="ListParagraph"/>
        <w:numPr>
          <w:ilvl w:val="0"/>
          <w:numId w:val="9"/>
        </w:numPr>
        <w:tabs>
          <w:tab w:val="clear" w:pos="1080"/>
          <w:tab w:val="num" w:pos="567"/>
        </w:tabs>
        <w:ind w:left="567" w:hanging="567"/>
        <w:rPr>
          <w:iCs/>
        </w:rPr>
      </w:pPr>
      <w:r w:rsidRPr="00DD2E26">
        <w:rPr>
          <w:iCs/>
        </w:rPr>
        <w:t xml:space="preserve">PASC noted that the comparators listed in the PICO </w:t>
      </w:r>
      <w:r w:rsidR="0034138C">
        <w:rPr>
          <w:iCs/>
        </w:rPr>
        <w:t xml:space="preserve">Confirmation </w:t>
      </w:r>
      <w:r w:rsidRPr="00DD2E26">
        <w:rPr>
          <w:iCs/>
        </w:rPr>
        <w:t>(and nominated in the ADAR) are appropriate for populations a [steroid-refractory] and b [steroid-dependent]. ECP is mostly expected to add to and then partially replace systemic steroids.</w:t>
      </w:r>
    </w:p>
    <w:p w14:paraId="73E34819" w14:textId="4145DCDD" w:rsidR="00DD2E26" w:rsidRPr="00DD2E26" w:rsidRDefault="00DD2E26" w:rsidP="00DD2E26">
      <w:pPr>
        <w:pStyle w:val="ListParagraph"/>
        <w:numPr>
          <w:ilvl w:val="0"/>
          <w:numId w:val="9"/>
        </w:numPr>
        <w:tabs>
          <w:tab w:val="clear" w:pos="1080"/>
          <w:tab w:val="num" w:pos="567"/>
        </w:tabs>
        <w:ind w:left="567" w:hanging="567"/>
        <w:rPr>
          <w:iCs/>
        </w:rPr>
      </w:pPr>
      <w:r w:rsidRPr="00DD2E26">
        <w:rPr>
          <w:iCs/>
        </w:rPr>
        <w:lastRenderedPageBreak/>
        <w:t xml:space="preserve">PASC noted that the comparators listed in the PICO </w:t>
      </w:r>
      <w:r w:rsidR="0034138C">
        <w:rPr>
          <w:iCs/>
        </w:rPr>
        <w:t xml:space="preserve">Confirmation </w:t>
      </w:r>
      <w:r w:rsidRPr="00DD2E26">
        <w:rPr>
          <w:iCs/>
        </w:rPr>
        <w:t>(and nominated in the ADAR) are not appropriate for the relatively small population c [steroid-intolerant] because ‘steroid-intolerant’ should not be able to continue steroids; further clarity is needed around the current standard of care in Australia for this group. For example, to ascertain whether mycophenolate or a calcineurin inhibitor would be used without steroids.</w:t>
      </w:r>
    </w:p>
    <w:p w14:paraId="484034F5" w14:textId="5FBD64A4" w:rsidR="00443F1D" w:rsidRPr="009E7AB6" w:rsidRDefault="00DD2E26" w:rsidP="00B853FB">
      <w:pPr>
        <w:spacing w:before="240"/>
      </w:pPr>
      <w:r w:rsidRPr="00DD2E26">
        <w:rPr>
          <w:iCs/>
        </w:rPr>
        <w:t>PASC also noted that currently subsidised treatments would be the most appropriate comparators because they are more likely to be used currently than non-subsidised treatments. PASC noted that many of the treatments listed in Figure 3 [of the PICO</w:t>
      </w:r>
      <w:r w:rsidR="00BD4B1A">
        <w:rPr>
          <w:iCs/>
        </w:rPr>
        <w:t xml:space="preserve"> Confirmation</w:t>
      </w:r>
      <w:r w:rsidRPr="00DD2E26">
        <w:rPr>
          <w:iCs/>
        </w:rPr>
        <w:t xml:space="preserve">] are not subsidised in Australia and that the applicant had accepted that ruxolitinib and ibrutinib were not PBS-listed for the proposed population. Therefore, the PICO [and subsequently, the ADAR] should not retain any implication that non-subsidised treatments are also appropriate comparators. While not nominating non-subsidised treatments as comparators, the ADAR included </w:t>
      </w:r>
      <w:r w:rsidR="008F07F1">
        <w:rPr>
          <w:iCs/>
        </w:rPr>
        <w:t xml:space="preserve">rituximab </w:t>
      </w:r>
      <w:r w:rsidRPr="00DD2E26">
        <w:rPr>
          <w:iCs/>
        </w:rPr>
        <w:t>as a third-line treatment option in its stepped economic evaluation</w:t>
      </w:r>
      <w:r w:rsidR="008F07F1">
        <w:rPr>
          <w:iCs/>
        </w:rPr>
        <w:t xml:space="preserve">, which was </w:t>
      </w:r>
      <w:r w:rsidR="008F07F1" w:rsidRPr="00DD2E26">
        <w:rPr>
          <w:iCs/>
        </w:rPr>
        <w:t>inappropriate</w:t>
      </w:r>
      <w:r w:rsidR="008F07F1">
        <w:rPr>
          <w:iCs/>
        </w:rPr>
        <w:t xml:space="preserve"> because rituximab is not PBS-subsidised for cGVHD</w:t>
      </w:r>
      <w:r w:rsidRPr="00DD2E26">
        <w:rPr>
          <w:iCs/>
        </w:rPr>
        <w:t>.</w:t>
      </w:r>
    </w:p>
    <w:p w14:paraId="68DB2C0C" w14:textId="64EF56A4" w:rsidR="00114AC3" w:rsidRPr="009E7AB6" w:rsidRDefault="00065623" w:rsidP="00842DFF">
      <w:pPr>
        <w:pStyle w:val="Heading1"/>
        <w:numPr>
          <w:ilvl w:val="0"/>
          <w:numId w:val="13"/>
        </w:numPr>
        <w:spacing w:before="240" w:after="240"/>
        <w:ind w:hanging="720"/>
        <w:rPr>
          <w:rFonts w:ascii="Arial" w:eastAsia="Times New Roman" w:hAnsi="Arial" w:cs="Times New Roman"/>
        </w:rPr>
      </w:pPr>
      <w:r w:rsidRPr="009E7AB6">
        <w:rPr>
          <w:rFonts w:ascii="Arial" w:eastAsia="Times New Roman" w:hAnsi="Arial" w:cs="Times New Roman"/>
        </w:rPr>
        <w:t>Comparative safety</w:t>
      </w:r>
    </w:p>
    <w:p w14:paraId="5F7D68D0" w14:textId="2078DB4F" w:rsidR="00EA1AA6" w:rsidRDefault="00EA1AA6" w:rsidP="00EA1AA6">
      <w:pPr>
        <w:pStyle w:val="Heading2"/>
      </w:pPr>
      <w:r>
        <w:t xml:space="preserve">Clinical claim </w:t>
      </w:r>
    </w:p>
    <w:p w14:paraId="0A305DA0" w14:textId="3DDDB1D7" w:rsidR="00114AC3" w:rsidRDefault="00114AC3" w:rsidP="00114AC3">
      <w:r>
        <w:t>The ADAR</w:t>
      </w:r>
      <w:r w:rsidRPr="00114AC3">
        <w:t xml:space="preserve"> proposed that</w:t>
      </w:r>
      <w:r w:rsidR="00842DFF">
        <w:t>,</w:t>
      </w:r>
      <w:r w:rsidRPr="00114AC3">
        <w:t xml:space="preserve"> in addition to the standard of care, ECP plus methoxsalen has superior efficacy and non-inferior safety in the treatment of treatment refractory cGVHD than the current standard of care alone. Moreover, it </w:t>
      </w:r>
      <w:r w:rsidR="00842DFF">
        <w:t>wa</w:t>
      </w:r>
      <w:r w:rsidRPr="00114AC3">
        <w:t>s proposed that, after a period of sustained treatment, ECP plus methoxsalen treatment may reduce or displace corticosteroids, calcineurin inhibitors and mycophenolate mofetil in the second line treatment of cGVHD, thereby reducing comorbidities associated with the chronic use of immunosuppressant medication.</w:t>
      </w:r>
    </w:p>
    <w:p w14:paraId="3C58F4BF" w14:textId="5A43F9EA" w:rsidR="00EA1AA6" w:rsidRDefault="00EA1AA6" w:rsidP="00B853FB">
      <w:pPr>
        <w:pStyle w:val="Heading2"/>
        <w:spacing w:before="240"/>
      </w:pPr>
      <w:r>
        <w:t>Characteristics of the evidence base</w:t>
      </w:r>
    </w:p>
    <w:p w14:paraId="6495B3BA" w14:textId="77777777" w:rsidR="00EA1AA6" w:rsidRDefault="00EA1AA6" w:rsidP="00EA1AA6">
      <w:r>
        <w:t>The ADAR was based on:</w:t>
      </w:r>
    </w:p>
    <w:p w14:paraId="7BCED0FB" w14:textId="348BA538" w:rsidR="00EA1AA6" w:rsidRDefault="00EA1AA6" w:rsidP="00EA1AA6">
      <w:pPr>
        <w:pStyle w:val="ListParagraph"/>
        <w:numPr>
          <w:ilvl w:val="0"/>
          <w:numId w:val="18"/>
        </w:numPr>
      </w:pPr>
      <w:r>
        <w:t xml:space="preserve">One </w:t>
      </w:r>
      <w:r w:rsidR="00842DFF">
        <w:t>randomised controlled trial (</w:t>
      </w:r>
      <w:r>
        <w:t>RCT</w:t>
      </w:r>
      <w:r w:rsidR="00842DFF">
        <w:t>)</w:t>
      </w:r>
      <w:r>
        <w:t xml:space="preserve"> enrolling patients with cGVHD, comparing ECP with SOC (Flowers 2008);</w:t>
      </w:r>
    </w:p>
    <w:p w14:paraId="732FB867" w14:textId="1F0D6FB4" w:rsidR="00EA1AA6" w:rsidRDefault="00EA1AA6" w:rsidP="00EA1AA6">
      <w:pPr>
        <w:pStyle w:val="ListParagraph"/>
        <w:numPr>
          <w:ilvl w:val="0"/>
          <w:numId w:val="18"/>
        </w:numPr>
      </w:pPr>
      <w:r>
        <w:t xml:space="preserve">Two observational Australian registry studies, </w:t>
      </w:r>
      <w:r w:rsidR="00842DFF">
        <w:t xml:space="preserve">the </w:t>
      </w:r>
      <w:r>
        <w:t>Royal Prince Alfred Hospital Special Access Scheme (RPAH SAS) and the Victorian Comprehensive Cancer Centre Special Access Scheme (VCCC SAS); and</w:t>
      </w:r>
    </w:p>
    <w:p w14:paraId="36069E2A" w14:textId="7BE9D6B9" w:rsidR="00EA1AA6" w:rsidRDefault="00EA1AA6" w:rsidP="00EA1AA6">
      <w:pPr>
        <w:pStyle w:val="ListParagraph"/>
        <w:numPr>
          <w:ilvl w:val="0"/>
          <w:numId w:val="18"/>
        </w:numPr>
      </w:pPr>
      <w:r>
        <w:t xml:space="preserve">Six prospective single-arm studies (Greinix 2011, Dignan 2014, Foss 2005, Gandelman 2018, Okamoto 2018, Seaton 2003). The Commentary noted that the ADAR did not treat the Greinix (2011) study as a single-arm study, most likely due to Greinix (2011) reporting on 29 patients initially enrolled and randomised to SOC in the Flowers (2008) RCT. However, as this publication reports only on the open-label cross-over phase and </w:t>
      </w:r>
      <w:r w:rsidR="00842DFF">
        <w:t xml:space="preserve">does not </w:t>
      </w:r>
      <w:r>
        <w:t>provide any comparative evidence, it should have been considered and assessed as a single-arm study.</w:t>
      </w:r>
    </w:p>
    <w:p w14:paraId="5D8DC4F4" w14:textId="57DCD1D3" w:rsidR="0024491A" w:rsidRDefault="0024491A" w:rsidP="00B853FB">
      <w:pPr>
        <w:spacing w:before="240"/>
      </w:pPr>
      <w:r>
        <w:t>The ADAR appeared to have specifically excluded studies</w:t>
      </w:r>
      <w:r w:rsidRPr="0024491A">
        <w:t xml:space="preserve"> enrolling paediatric and/or adolescent patients.</w:t>
      </w:r>
      <w:r>
        <w:t xml:space="preserve"> </w:t>
      </w:r>
      <w:r w:rsidR="00332E9B">
        <w:t>As ECP is being used in children, t</w:t>
      </w:r>
      <w:r>
        <w:t xml:space="preserve">he Commentary considered this </w:t>
      </w:r>
      <w:r w:rsidR="00332E9B">
        <w:t xml:space="preserve">was </w:t>
      </w:r>
      <w:r w:rsidR="00641CED">
        <w:t xml:space="preserve">inappropriate as </w:t>
      </w:r>
      <w:r w:rsidR="00332E9B">
        <w:t xml:space="preserve">it did not allow MSAC a basis to consider whether </w:t>
      </w:r>
      <w:r w:rsidR="00641CED">
        <w:t xml:space="preserve">the proposed MBS item </w:t>
      </w:r>
      <w:r w:rsidR="00332E9B">
        <w:t>sh</w:t>
      </w:r>
      <w:r w:rsidR="00641CED">
        <w:t>ould preclude use in children</w:t>
      </w:r>
      <w:r>
        <w:t xml:space="preserve">. The pre-ESC response </w:t>
      </w:r>
      <w:r w:rsidR="00332E9B">
        <w:t>noted</w:t>
      </w:r>
      <w:r>
        <w:t xml:space="preserve"> that </w:t>
      </w:r>
      <w:r w:rsidRPr="0024491A">
        <w:t xml:space="preserve">Flowers </w:t>
      </w:r>
      <w:r>
        <w:t>(</w:t>
      </w:r>
      <w:r w:rsidRPr="0024491A">
        <w:t>2008</w:t>
      </w:r>
      <w:r>
        <w:t>),</w:t>
      </w:r>
      <w:r w:rsidRPr="0024491A">
        <w:t xml:space="preserve"> the only RCT that has assessed the safety and efficacy of ECP in the treatment of treatment refractory cGVHD</w:t>
      </w:r>
      <w:r w:rsidR="00332E9B">
        <w:t>, had</w:t>
      </w:r>
      <w:r w:rsidRPr="0024491A">
        <w:t xml:space="preserve"> include</w:t>
      </w:r>
      <w:r w:rsidR="00332E9B">
        <w:t>d</w:t>
      </w:r>
      <w:r w:rsidRPr="0024491A">
        <w:t xml:space="preserve"> patients as young as 13</w:t>
      </w:r>
      <w:r>
        <w:t> </w:t>
      </w:r>
      <w:r w:rsidRPr="0024491A">
        <w:t>years of age</w:t>
      </w:r>
      <w:r w:rsidR="00332E9B">
        <w:t>, and there was</w:t>
      </w:r>
      <w:r>
        <w:t xml:space="preserve"> paediatric data from the VCCC SAS</w:t>
      </w:r>
      <w:r w:rsidRPr="0024491A">
        <w:t>.</w:t>
      </w:r>
    </w:p>
    <w:p w14:paraId="09FC2B82" w14:textId="4D6A7154" w:rsidR="00FF3034" w:rsidRDefault="00FF3034" w:rsidP="00EA1AA6">
      <w:r>
        <w:lastRenderedPageBreak/>
        <w:t>Paediatric data reported in the meta-analysis by Malik (2014)</w:t>
      </w:r>
      <w:r>
        <w:rPr>
          <w:rStyle w:val="FootnoteReference"/>
        </w:rPr>
        <w:footnoteReference w:id="3"/>
      </w:r>
      <w:r>
        <w:t xml:space="preserve"> and the study by Flinn (2020) were </w:t>
      </w:r>
      <w:r w:rsidR="00332E9B">
        <w:t xml:space="preserve">extracted for inclusion </w:t>
      </w:r>
      <w:r>
        <w:t>in the ESC Report</w:t>
      </w:r>
      <w:r w:rsidR="00332E9B">
        <w:t xml:space="preserve"> (Table 3, Table 6 and the paragraph following Table 6)</w:t>
      </w:r>
      <w:r>
        <w:t>.</w:t>
      </w:r>
    </w:p>
    <w:p w14:paraId="12E55B97" w14:textId="1B6901C4" w:rsidR="00EA1AA6" w:rsidRDefault="00EA1AA6" w:rsidP="00B853FB">
      <w:pPr>
        <w:spacing w:before="240"/>
      </w:pPr>
      <w:r>
        <w:t>The ADAR assessed that the overall risk of bias for Flowers (2008) was ‘moderate’. The Commentary considered that</w:t>
      </w:r>
      <w:r w:rsidR="00332E9B">
        <w:t>,</w:t>
      </w:r>
      <w:r>
        <w:t xml:space="preserve"> given two domains (lack of blinding of participants) and ‘other’ (trial was supported by the device developer) were ‘high’ risk and a further two domains were ‘unclear’ (allocation concealment) and ‘moderate’ (incomplete outcome data addressed by last observation carried forward; LOCF), a more reasonable assessment may be an overall high risk of bias.</w:t>
      </w:r>
    </w:p>
    <w:p w14:paraId="2A4F1E01" w14:textId="7A1B5974" w:rsidR="00EA1AA6" w:rsidRDefault="00EA1AA6" w:rsidP="00B853FB">
      <w:pPr>
        <w:spacing w:before="240"/>
      </w:pPr>
      <w:r>
        <w:t xml:space="preserve">The Commentary considered </w:t>
      </w:r>
      <w:r w:rsidR="00332E9B">
        <w:t xml:space="preserve">that </w:t>
      </w:r>
      <w:r>
        <w:t xml:space="preserve">the ADAR </w:t>
      </w:r>
      <w:r w:rsidR="00332E9B">
        <w:t xml:space="preserve">had </w:t>
      </w:r>
      <w:r>
        <w:t>reasonably assessed the overall risk of bias as high for the two prospective Australian registry studies (RPAH SAS and VCCC SAS) and five single-arm nonrandomised prospective studies (Dignan 2014, Foss 2005, Gandelman 2018, Okamoto 2018 and Seaton 2003), owing to the</w:t>
      </w:r>
      <w:r w:rsidR="00332E9B">
        <w:t>ir</w:t>
      </w:r>
      <w:r>
        <w:t xml:space="preserve"> single-arm study design. The Commentary considered that Greinix (2011) similarly </w:t>
      </w:r>
      <w:r w:rsidR="00332E9B">
        <w:t xml:space="preserve">had </w:t>
      </w:r>
      <w:r>
        <w:t>a high risk of bias.</w:t>
      </w:r>
    </w:p>
    <w:p w14:paraId="39B3426C" w14:textId="26C904AB" w:rsidR="00EA1AA6" w:rsidRDefault="00EA1AA6" w:rsidP="00B853FB">
      <w:pPr>
        <w:spacing w:before="240"/>
      </w:pPr>
      <w:r w:rsidRPr="00EA1AA6">
        <w:t>Of the adverse events reported in the Flowers (2008) RCT, only anaemia occurred more frequently in the ECP treatment group than the control group (24.5% vs 6.0%, p &lt;0.05).</w:t>
      </w:r>
    </w:p>
    <w:p w14:paraId="2D07F641" w14:textId="36C35C7E" w:rsidR="00EA1AA6" w:rsidRDefault="00EA1AA6" w:rsidP="00B853FB">
      <w:pPr>
        <w:spacing w:before="240"/>
      </w:pPr>
      <w:r w:rsidRPr="00EA1AA6">
        <w:t>Common adverse events reported in the studies included infection (catheter-related and other), and catheter-related thrombosis.</w:t>
      </w:r>
    </w:p>
    <w:p w14:paraId="0D77C5D0" w14:textId="2D619C38" w:rsidR="0083383F" w:rsidRDefault="0083383F" w:rsidP="00B853FB">
      <w:pPr>
        <w:spacing w:before="240"/>
      </w:pPr>
      <w:r>
        <w:t>The VCCC paediatric data reported that there had been challenges in maintaining vascular access</w:t>
      </w:r>
      <w:r w:rsidR="00332E9B">
        <w:t xml:space="preserve"> for ECP</w:t>
      </w:r>
      <w:r>
        <w:t xml:space="preserve">. Of 13 patients, 8 experienced line infections </w:t>
      </w:r>
      <w:r w:rsidR="00A411A5">
        <w:t>and three</w:t>
      </w:r>
      <w:r>
        <w:t xml:space="preserve"> </w:t>
      </w:r>
      <w:r w:rsidRPr="0083383F">
        <w:t xml:space="preserve">3 patients </w:t>
      </w:r>
      <w:r>
        <w:t>requir</w:t>
      </w:r>
      <w:r w:rsidR="00A411A5">
        <w:t xml:space="preserve">ed </w:t>
      </w:r>
      <w:r w:rsidRPr="0083383F">
        <w:t>multiple central access devices</w:t>
      </w:r>
      <w:r>
        <w:t>.</w:t>
      </w:r>
    </w:p>
    <w:p w14:paraId="7B35DB18" w14:textId="76868B9D" w:rsidR="007C2D6A" w:rsidRPr="009E7AB6" w:rsidRDefault="00EA1AA6" w:rsidP="00B853FB">
      <w:pPr>
        <w:spacing w:before="240"/>
      </w:pPr>
      <w:r w:rsidRPr="00EA1AA6">
        <w:t>Across the trial and studies, no deaths were attributed to ECP plus methoxsalen treatment.</w:t>
      </w:r>
    </w:p>
    <w:p w14:paraId="4E099416" w14:textId="7813EA33" w:rsidR="00EA1AA6" w:rsidRPr="009E7AB6" w:rsidRDefault="00065623" w:rsidP="009E7AB6">
      <w:pPr>
        <w:pStyle w:val="Heading1"/>
        <w:numPr>
          <w:ilvl w:val="0"/>
          <w:numId w:val="13"/>
        </w:numPr>
        <w:spacing w:before="240" w:after="240"/>
        <w:ind w:hanging="720"/>
        <w:rPr>
          <w:rFonts w:ascii="Arial" w:eastAsia="Times New Roman" w:hAnsi="Arial" w:cs="Times New Roman"/>
        </w:rPr>
      </w:pPr>
      <w:r w:rsidRPr="009E7AB6">
        <w:rPr>
          <w:rFonts w:ascii="Arial" w:eastAsia="Times New Roman" w:hAnsi="Arial" w:cs="Times New Roman"/>
        </w:rPr>
        <w:t>Comparative effectiveness</w:t>
      </w:r>
    </w:p>
    <w:p w14:paraId="7C3447E7" w14:textId="2F0C8E87" w:rsidR="00EA1AA6" w:rsidRPr="00EA1AA6" w:rsidRDefault="00EA1AA6" w:rsidP="009E7AB6">
      <w:pPr>
        <w:pStyle w:val="Heading2"/>
      </w:pPr>
      <w:r>
        <w:t>Cutaneous cGVHD outcomes</w:t>
      </w:r>
    </w:p>
    <w:p w14:paraId="441F953F" w14:textId="1629CBF9" w:rsidR="00865820" w:rsidRDefault="00865820" w:rsidP="00865820">
      <w:pPr>
        <w:tabs>
          <w:tab w:val="left" w:pos="720"/>
          <w:tab w:val="left" w:pos="1140"/>
        </w:tabs>
        <w:rPr>
          <w:szCs w:val="24"/>
        </w:rPr>
      </w:pPr>
      <w:r w:rsidRPr="00865820">
        <w:rPr>
          <w:szCs w:val="24"/>
        </w:rPr>
        <w:t xml:space="preserve">The results for the outcome of total skin score (TSS), reported in three studies (Flowers 2008, Greinix 2011, Seaton 2003) are summarised in </w:t>
      </w:r>
      <w:r w:rsidRPr="00BF2302">
        <w:fldChar w:fldCharType="begin"/>
      </w:r>
      <w:r w:rsidRPr="00BF2302">
        <w:instrText xml:space="preserve"> REF _Ref68745166 \h </w:instrText>
      </w:r>
      <w:r w:rsidR="00BF2302">
        <w:instrText xml:space="preserve"> \* MERGEFORMAT </w:instrText>
      </w:r>
      <w:r w:rsidRPr="00BF2302">
        <w:fldChar w:fldCharType="separate"/>
      </w:r>
      <w:r w:rsidR="008407AE" w:rsidRPr="008407AE">
        <w:t>Table 2</w:t>
      </w:r>
      <w:r w:rsidRPr="00BF2302">
        <w:fldChar w:fldCharType="end"/>
      </w:r>
      <w:r w:rsidRPr="00865820">
        <w:rPr>
          <w:szCs w:val="24"/>
        </w:rPr>
        <w:t>.</w:t>
      </w:r>
    </w:p>
    <w:p w14:paraId="0AAD7A0A" w14:textId="09D5A7E2" w:rsidR="00865820" w:rsidRPr="00865820" w:rsidRDefault="00865820" w:rsidP="00B853FB">
      <w:pPr>
        <w:tabs>
          <w:tab w:val="left" w:pos="720"/>
          <w:tab w:val="left" w:pos="1140"/>
        </w:tabs>
        <w:spacing w:before="240" w:after="240"/>
        <w:rPr>
          <w:szCs w:val="24"/>
        </w:rPr>
      </w:pPr>
      <w:r w:rsidRPr="00865820">
        <w:rPr>
          <w:szCs w:val="24"/>
        </w:rPr>
        <w:t xml:space="preserve">The primary end point of the Flowers (2008) RCT was the median percentage change in TSS after 12 weeks of treatment compared with the baseline (pre-treatment) value using a validated ordinal 50-point whole body scoring system. The authors stated that the TSS was assessed by a medical professional who was trained in the skin evaluation scoring system, not otherwise involved with the care of the patient, and not informed of the patient’s study arm assignment (i.e., blinded). The fraction of each of 10 topographic areas involved with 1 or more of 5 types of skin lesions was estimated and recorded as follows: 0 = normal; 1 = discoloured (hyperpigmentation, hypopigmentation, erythematous) or alopecia; 2 = lichenoid plaque, thickening, able to move; 3 = thickened, able to move and pinch; 4 = hidebound, unable to move or pinch. No statistically significant difference in TSS at 12 weeks was observed between the treatment arms in Flowers (2008). Patients in Greinix (2011) had a baseline TSS of 8.5 (range: 1.0-18.5). Following 12 and 24 weeks of ECP treatment, TSS declined by -7.9% and -25.8, respectively. Similarly, Seaton (2003) reported decreasing skin </w:t>
      </w:r>
      <w:r w:rsidRPr="00865820">
        <w:rPr>
          <w:szCs w:val="24"/>
        </w:rPr>
        <w:lastRenderedPageBreak/>
        <w:t xml:space="preserve">scores over time. </w:t>
      </w:r>
      <w:r>
        <w:rPr>
          <w:szCs w:val="24"/>
        </w:rPr>
        <w:t xml:space="preserve">The Commentary highlighted that </w:t>
      </w:r>
      <w:r w:rsidRPr="00865820">
        <w:rPr>
          <w:iCs/>
          <w:szCs w:val="24"/>
        </w:rPr>
        <w:t>it appears that the ‘skin score’ measured in Seaton (2003) is not the same as that used in Flowers (2008) and Greinix (2011).</w:t>
      </w:r>
    </w:p>
    <w:p w14:paraId="6E4BDA04" w14:textId="042D119C" w:rsidR="00865820" w:rsidRPr="00865820" w:rsidRDefault="00865820" w:rsidP="00B853FB">
      <w:pPr>
        <w:pStyle w:val="TableHeading"/>
        <w:ind w:left="0" w:firstLine="0"/>
      </w:pPr>
      <w:bookmarkStart w:id="14" w:name="_Ref68745166"/>
      <w:r w:rsidRPr="00865820">
        <w:t xml:space="preserve">Table </w:t>
      </w:r>
      <w:r w:rsidRPr="00865820">
        <w:rPr>
          <w:noProof w:val="0"/>
        </w:rPr>
        <w:fldChar w:fldCharType="begin"/>
      </w:r>
      <w:r w:rsidRPr="00865820">
        <w:instrText xml:space="preserve"> SEQ Table \* ARABIC </w:instrText>
      </w:r>
      <w:r w:rsidRPr="00865820">
        <w:rPr>
          <w:noProof w:val="0"/>
        </w:rPr>
        <w:fldChar w:fldCharType="separate"/>
      </w:r>
      <w:r w:rsidR="008407AE">
        <w:t>2</w:t>
      </w:r>
      <w:r w:rsidRPr="00865820">
        <w:fldChar w:fldCharType="end"/>
      </w:r>
      <w:bookmarkEnd w:id="14"/>
      <w:r w:rsidR="00D95154">
        <w:t xml:space="preserve">: </w:t>
      </w:r>
      <w:r w:rsidRPr="00865820">
        <w:t>Total Skin Score outcome results across the included studies</w:t>
      </w:r>
    </w:p>
    <w:tbl>
      <w:tblPr>
        <w:tblStyle w:val="TableGrid1"/>
        <w:tblW w:w="9067" w:type="dxa"/>
        <w:tblCellMar>
          <w:left w:w="28" w:type="dxa"/>
          <w:right w:w="28" w:type="dxa"/>
        </w:tblCellMar>
        <w:tblLook w:val="04A0" w:firstRow="1" w:lastRow="0" w:firstColumn="1" w:lastColumn="0" w:noHBand="0" w:noVBand="1"/>
        <w:tblCaption w:val="Total Skin Score outcome results across the included studies"/>
      </w:tblPr>
      <w:tblGrid>
        <w:gridCol w:w="2689"/>
        <w:gridCol w:w="1594"/>
        <w:gridCol w:w="1595"/>
        <w:gridCol w:w="1594"/>
        <w:gridCol w:w="1595"/>
      </w:tblGrid>
      <w:tr w:rsidR="00865820" w:rsidRPr="00865820" w14:paraId="0BC62CA9" w14:textId="77777777" w:rsidTr="009F416C">
        <w:trPr>
          <w:cnfStyle w:val="100000000000" w:firstRow="1" w:lastRow="0" w:firstColumn="0" w:lastColumn="0" w:oddVBand="0" w:evenVBand="0" w:oddHBand="0" w:evenHBand="0" w:firstRowFirstColumn="0" w:firstRowLastColumn="0" w:lastRowFirstColumn="0" w:lastRowLastColumn="0"/>
          <w:tblHeader/>
        </w:trPr>
        <w:tc>
          <w:tcPr>
            <w:tcW w:w="2689" w:type="dxa"/>
            <w:vMerge w:val="restart"/>
            <w:vAlign w:val="center"/>
          </w:tcPr>
          <w:p w14:paraId="6EF7D086" w14:textId="6BFA93A6" w:rsidR="00865820" w:rsidRPr="00865820" w:rsidRDefault="00865820" w:rsidP="009F416C">
            <w:pPr>
              <w:keepNext/>
              <w:spacing w:before="10" w:after="10"/>
              <w:rPr>
                <w:rFonts w:cs="Tahoma"/>
              </w:rPr>
            </w:pPr>
            <w:r w:rsidRPr="00865820">
              <w:rPr>
                <w:rFonts w:cs="Tahoma"/>
                <w:b/>
                <w:bCs/>
              </w:rPr>
              <w:t>Total skin score % change from baseline at</w:t>
            </w:r>
          </w:p>
        </w:tc>
        <w:tc>
          <w:tcPr>
            <w:tcW w:w="3189" w:type="dxa"/>
            <w:gridSpan w:val="2"/>
            <w:vAlign w:val="center"/>
          </w:tcPr>
          <w:p w14:paraId="3407954C" w14:textId="77777777" w:rsidR="00865820" w:rsidRPr="00865820" w:rsidRDefault="00865820" w:rsidP="00865820">
            <w:pPr>
              <w:keepNext/>
              <w:spacing w:before="10" w:after="10"/>
              <w:jc w:val="center"/>
              <w:rPr>
                <w:rFonts w:cs="Tahoma"/>
              </w:rPr>
            </w:pPr>
            <w:r w:rsidRPr="00865820">
              <w:rPr>
                <w:rFonts w:cs="Tahoma"/>
                <w:b/>
                <w:bCs/>
              </w:rPr>
              <w:t>Flowers 2008</w:t>
            </w:r>
          </w:p>
        </w:tc>
        <w:tc>
          <w:tcPr>
            <w:tcW w:w="1594" w:type="dxa"/>
            <w:vAlign w:val="center"/>
          </w:tcPr>
          <w:p w14:paraId="21F75EC0" w14:textId="77777777" w:rsidR="00865820" w:rsidRPr="00865820" w:rsidRDefault="00865820" w:rsidP="00865820">
            <w:pPr>
              <w:keepNext/>
              <w:spacing w:before="10" w:after="10"/>
              <w:jc w:val="center"/>
              <w:rPr>
                <w:rFonts w:cs="Tahoma"/>
                <w:b/>
                <w:bCs/>
              </w:rPr>
            </w:pPr>
            <w:r w:rsidRPr="00865820">
              <w:rPr>
                <w:rFonts w:cs="Tahoma"/>
                <w:b/>
                <w:bCs/>
              </w:rPr>
              <w:t>Greinix 2011</w:t>
            </w:r>
          </w:p>
          <w:p w14:paraId="29FAB2EF" w14:textId="77777777" w:rsidR="00865820" w:rsidRPr="00865820" w:rsidRDefault="00865820" w:rsidP="00865820">
            <w:pPr>
              <w:keepNext/>
              <w:spacing w:before="10" w:after="10"/>
              <w:jc w:val="center"/>
              <w:rPr>
                <w:rFonts w:cs="Tahoma"/>
                <w:b/>
                <w:bCs/>
              </w:rPr>
            </w:pPr>
            <w:r w:rsidRPr="00865820">
              <w:rPr>
                <w:rFonts w:cs="Tahoma"/>
              </w:rPr>
              <w:t>Flowers 2008</w:t>
            </w:r>
          </w:p>
        </w:tc>
        <w:tc>
          <w:tcPr>
            <w:tcW w:w="1595" w:type="dxa"/>
            <w:vAlign w:val="center"/>
          </w:tcPr>
          <w:p w14:paraId="11AF43BC" w14:textId="77777777" w:rsidR="00865820" w:rsidRPr="00865820" w:rsidRDefault="00865820" w:rsidP="00865820">
            <w:pPr>
              <w:keepNext/>
              <w:spacing w:before="10" w:after="10"/>
              <w:jc w:val="center"/>
              <w:rPr>
                <w:rFonts w:cs="Tahoma"/>
                <w:b/>
                <w:bCs/>
                <w:vertAlign w:val="superscript"/>
              </w:rPr>
            </w:pPr>
            <w:r w:rsidRPr="00865820">
              <w:rPr>
                <w:rFonts w:cs="Tahoma"/>
                <w:b/>
                <w:bCs/>
              </w:rPr>
              <w:t>Seaton 2003</w:t>
            </w:r>
            <w:r w:rsidRPr="00865820">
              <w:rPr>
                <w:rFonts w:cs="Tahoma"/>
                <w:b/>
                <w:bCs/>
                <w:vertAlign w:val="superscript"/>
              </w:rPr>
              <w:t>a</w:t>
            </w:r>
          </w:p>
        </w:tc>
      </w:tr>
      <w:tr w:rsidR="00865820" w:rsidRPr="00865820" w14:paraId="21E2569F" w14:textId="77777777" w:rsidTr="00D56273">
        <w:trPr>
          <w:cnfStyle w:val="100000000000" w:firstRow="1" w:lastRow="0" w:firstColumn="0" w:lastColumn="0" w:oddVBand="0" w:evenVBand="0" w:oddHBand="0" w:evenHBand="0" w:firstRowFirstColumn="0" w:firstRowLastColumn="0" w:lastRowFirstColumn="0" w:lastRowLastColumn="0"/>
          <w:tblHeader/>
        </w:trPr>
        <w:tc>
          <w:tcPr>
            <w:tcW w:w="2689" w:type="dxa"/>
            <w:vMerge/>
          </w:tcPr>
          <w:p w14:paraId="4CAC0D0F" w14:textId="77777777" w:rsidR="00865820" w:rsidRPr="00865820" w:rsidRDefault="00865820" w:rsidP="00865820">
            <w:pPr>
              <w:keepNext/>
              <w:spacing w:before="10" w:after="10"/>
              <w:rPr>
                <w:rFonts w:cs="Tahoma"/>
              </w:rPr>
            </w:pPr>
          </w:p>
        </w:tc>
        <w:tc>
          <w:tcPr>
            <w:tcW w:w="1594" w:type="dxa"/>
            <w:vAlign w:val="center"/>
          </w:tcPr>
          <w:p w14:paraId="7F7DE517" w14:textId="77777777" w:rsidR="00865820" w:rsidRPr="00865820" w:rsidRDefault="00865820" w:rsidP="00865820">
            <w:pPr>
              <w:keepNext/>
              <w:spacing w:before="10" w:after="10"/>
              <w:jc w:val="center"/>
              <w:rPr>
                <w:rFonts w:cs="Tahoma"/>
                <w:b/>
                <w:bCs/>
                <w:color w:val="000000" w:themeColor="text1"/>
              </w:rPr>
            </w:pPr>
            <w:r w:rsidRPr="00865820">
              <w:rPr>
                <w:rFonts w:cs="Tahoma"/>
                <w:b/>
                <w:bCs/>
                <w:color w:val="000000" w:themeColor="text1"/>
              </w:rPr>
              <w:t>ECP, n = 48</w:t>
            </w:r>
          </w:p>
        </w:tc>
        <w:tc>
          <w:tcPr>
            <w:tcW w:w="1595" w:type="dxa"/>
            <w:vAlign w:val="center"/>
          </w:tcPr>
          <w:p w14:paraId="1BCAB219" w14:textId="77777777" w:rsidR="00865820" w:rsidRPr="00865820" w:rsidRDefault="00865820" w:rsidP="00865820">
            <w:pPr>
              <w:keepNext/>
              <w:spacing w:before="10" w:after="10"/>
              <w:jc w:val="center"/>
              <w:rPr>
                <w:rFonts w:cs="Tahoma"/>
                <w:b/>
                <w:bCs/>
                <w:color w:val="000000" w:themeColor="text1"/>
              </w:rPr>
            </w:pPr>
            <w:r w:rsidRPr="00865820">
              <w:rPr>
                <w:rFonts w:cs="Tahoma"/>
                <w:b/>
                <w:bCs/>
                <w:color w:val="000000" w:themeColor="text1"/>
              </w:rPr>
              <w:t>SOC, n = 47</w:t>
            </w:r>
          </w:p>
        </w:tc>
        <w:tc>
          <w:tcPr>
            <w:tcW w:w="1594" w:type="dxa"/>
            <w:vAlign w:val="center"/>
          </w:tcPr>
          <w:p w14:paraId="4A1F1D9B" w14:textId="77777777" w:rsidR="00865820" w:rsidRPr="00865820" w:rsidRDefault="00865820" w:rsidP="00865820">
            <w:pPr>
              <w:keepNext/>
              <w:spacing w:before="10" w:after="10"/>
              <w:jc w:val="center"/>
              <w:rPr>
                <w:rFonts w:cs="Tahoma"/>
                <w:b/>
                <w:bCs/>
                <w:color w:val="000000" w:themeColor="text1"/>
              </w:rPr>
            </w:pPr>
            <w:r w:rsidRPr="00865820">
              <w:rPr>
                <w:rFonts w:cs="Tahoma"/>
                <w:b/>
                <w:bCs/>
                <w:color w:val="000000" w:themeColor="text1"/>
              </w:rPr>
              <w:t>N = 29</w:t>
            </w:r>
          </w:p>
        </w:tc>
        <w:tc>
          <w:tcPr>
            <w:tcW w:w="1595" w:type="dxa"/>
            <w:vAlign w:val="center"/>
          </w:tcPr>
          <w:p w14:paraId="26BFA9D0" w14:textId="77777777" w:rsidR="00865820" w:rsidRPr="00865820" w:rsidRDefault="00865820" w:rsidP="00865820">
            <w:pPr>
              <w:keepNext/>
              <w:spacing w:before="10" w:after="10"/>
              <w:jc w:val="center"/>
              <w:rPr>
                <w:rFonts w:cs="Tahoma"/>
                <w:b/>
                <w:bCs/>
                <w:color w:val="000000" w:themeColor="text1"/>
              </w:rPr>
            </w:pPr>
            <w:r w:rsidRPr="00865820">
              <w:rPr>
                <w:rFonts w:cs="Tahoma"/>
                <w:b/>
                <w:bCs/>
                <w:color w:val="000000" w:themeColor="text1"/>
              </w:rPr>
              <w:t>N = 28</w:t>
            </w:r>
          </w:p>
        </w:tc>
      </w:tr>
      <w:tr w:rsidR="00865820" w:rsidRPr="00865820" w14:paraId="1DF106F7" w14:textId="77777777" w:rsidTr="00D56273">
        <w:tc>
          <w:tcPr>
            <w:tcW w:w="2689" w:type="dxa"/>
          </w:tcPr>
          <w:p w14:paraId="0321E53C" w14:textId="77777777" w:rsidR="00865820" w:rsidRPr="00865820" w:rsidRDefault="00865820" w:rsidP="00865820">
            <w:pPr>
              <w:keepNext/>
              <w:spacing w:before="10" w:after="10"/>
              <w:rPr>
                <w:rFonts w:cs="Tahoma"/>
              </w:rPr>
            </w:pPr>
            <w:r w:rsidRPr="00865820">
              <w:rPr>
                <w:rFonts w:cs="Tahoma"/>
              </w:rPr>
              <w:t>Week 4</w:t>
            </w:r>
          </w:p>
        </w:tc>
        <w:tc>
          <w:tcPr>
            <w:tcW w:w="1594" w:type="dxa"/>
            <w:vAlign w:val="center"/>
          </w:tcPr>
          <w:p w14:paraId="4663EF9C" w14:textId="77777777" w:rsidR="00865820" w:rsidRPr="00865820" w:rsidRDefault="00865820" w:rsidP="00865820">
            <w:pPr>
              <w:keepNext/>
              <w:spacing w:before="10" w:after="10"/>
              <w:jc w:val="center"/>
              <w:rPr>
                <w:rFonts w:cs="Tahoma"/>
                <w:color w:val="000000" w:themeColor="text1"/>
              </w:rPr>
            </w:pPr>
            <w:r w:rsidRPr="00865820">
              <w:rPr>
                <w:rFonts w:cs="Tahoma"/>
                <w:color w:val="000000" w:themeColor="text1"/>
              </w:rPr>
              <w:t>NR</w:t>
            </w:r>
          </w:p>
        </w:tc>
        <w:tc>
          <w:tcPr>
            <w:tcW w:w="1595" w:type="dxa"/>
            <w:vAlign w:val="center"/>
          </w:tcPr>
          <w:p w14:paraId="02EC1217" w14:textId="77777777" w:rsidR="00865820" w:rsidRPr="00865820" w:rsidRDefault="00865820" w:rsidP="00865820">
            <w:pPr>
              <w:keepNext/>
              <w:spacing w:before="10" w:after="10"/>
              <w:jc w:val="center"/>
              <w:rPr>
                <w:rFonts w:cs="Tahoma"/>
                <w:color w:val="000000" w:themeColor="text1"/>
              </w:rPr>
            </w:pPr>
            <w:r w:rsidRPr="00865820">
              <w:rPr>
                <w:rFonts w:cs="Tahoma"/>
                <w:color w:val="000000" w:themeColor="text1"/>
              </w:rPr>
              <w:t>NR</w:t>
            </w:r>
          </w:p>
        </w:tc>
        <w:tc>
          <w:tcPr>
            <w:tcW w:w="1594" w:type="dxa"/>
            <w:vAlign w:val="center"/>
          </w:tcPr>
          <w:p w14:paraId="357E9B60" w14:textId="77777777" w:rsidR="00865820" w:rsidRPr="00865820" w:rsidRDefault="00865820" w:rsidP="00865820">
            <w:pPr>
              <w:keepNext/>
              <w:spacing w:before="10" w:after="10"/>
              <w:jc w:val="center"/>
              <w:rPr>
                <w:rFonts w:cs="Tahoma"/>
                <w:color w:val="000000" w:themeColor="text1"/>
              </w:rPr>
            </w:pPr>
            <w:r w:rsidRPr="00865820">
              <w:rPr>
                <w:rFonts w:cs="Tahoma"/>
                <w:color w:val="000000" w:themeColor="text1"/>
              </w:rPr>
              <w:t>NR</w:t>
            </w:r>
          </w:p>
        </w:tc>
        <w:tc>
          <w:tcPr>
            <w:tcW w:w="1595" w:type="dxa"/>
            <w:vAlign w:val="center"/>
          </w:tcPr>
          <w:p w14:paraId="551B935C" w14:textId="77777777" w:rsidR="00865820" w:rsidRPr="00865820" w:rsidRDefault="00865820" w:rsidP="00865820">
            <w:pPr>
              <w:keepNext/>
              <w:spacing w:before="10" w:after="10"/>
              <w:jc w:val="center"/>
              <w:rPr>
                <w:rFonts w:cs="Tahoma"/>
                <w:color w:val="000000" w:themeColor="text1"/>
              </w:rPr>
            </w:pPr>
            <w:r w:rsidRPr="00865820">
              <w:rPr>
                <w:rFonts w:cs="Tahoma"/>
                <w:color w:val="000000" w:themeColor="text1"/>
              </w:rPr>
              <w:t>0.76%</w:t>
            </w:r>
          </w:p>
        </w:tc>
      </w:tr>
      <w:tr w:rsidR="00865820" w:rsidRPr="00865820" w14:paraId="01F171FF" w14:textId="77777777" w:rsidTr="00D56273">
        <w:tc>
          <w:tcPr>
            <w:tcW w:w="2689" w:type="dxa"/>
          </w:tcPr>
          <w:p w14:paraId="42A503B4" w14:textId="77777777" w:rsidR="00865820" w:rsidRPr="00865820" w:rsidRDefault="00865820" w:rsidP="00865820">
            <w:pPr>
              <w:keepNext/>
              <w:spacing w:before="10" w:after="10"/>
              <w:rPr>
                <w:rFonts w:cs="Tahoma"/>
              </w:rPr>
            </w:pPr>
            <w:r w:rsidRPr="00865820">
              <w:rPr>
                <w:rFonts w:cs="Tahoma"/>
              </w:rPr>
              <w:t>Week 8</w:t>
            </w:r>
          </w:p>
        </w:tc>
        <w:tc>
          <w:tcPr>
            <w:tcW w:w="1594" w:type="dxa"/>
            <w:vAlign w:val="center"/>
          </w:tcPr>
          <w:p w14:paraId="4F8BDF4A" w14:textId="77777777" w:rsidR="00865820" w:rsidRPr="00865820" w:rsidRDefault="00865820" w:rsidP="00865820">
            <w:pPr>
              <w:keepNext/>
              <w:spacing w:before="10" w:after="10"/>
              <w:jc w:val="center"/>
              <w:rPr>
                <w:rFonts w:cs="Tahoma"/>
                <w:color w:val="000000" w:themeColor="text1"/>
              </w:rPr>
            </w:pPr>
            <w:r w:rsidRPr="00865820">
              <w:rPr>
                <w:rFonts w:cs="Tahoma"/>
                <w:color w:val="000000" w:themeColor="text1"/>
              </w:rPr>
              <w:t>NR</w:t>
            </w:r>
          </w:p>
        </w:tc>
        <w:tc>
          <w:tcPr>
            <w:tcW w:w="1595" w:type="dxa"/>
            <w:vAlign w:val="center"/>
          </w:tcPr>
          <w:p w14:paraId="4401FDFD" w14:textId="77777777" w:rsidR="00865820" w:rsidRPr="00865820" w:rsidRDefault="00865820" w:rsidP="00865820">
            <w:pPr>
              <w:keepNext/>
              <w:spacing w:before="10" w:after="10"/>
              <w:jc w:val="center"/>
              <w:rPr>
                <w:rFonts w:cs="Tahoma"/>
                <w:color w:val="000000" w:themeColor="text1"/>
              </w:rPr>
            </w:pPr>
            <w:r w:rsidRPr="00865820">
              <w:rPr>
                <w:rFonts w:cs="Tahoma"/>
                <w:color w:val="000000" w:themeColor="text1"/>
              </w:rPr>
              <w:t>NR</w:t>
            </w:r>
          </w:p>
        </w:tc>
        <w:tc>
          <w:tcPr>
            <w:tcW w:w="1594" w:type="dxa"/>
            <w:vAlign w:val="center"/>
          </w:tcPr>
          <w:p w14:paraId="1B79A02A" w14:textId="77777777" w:rsidR="00865820" w:rsidRPr="00865820" w:rsidRDefault="00865820" w:rsidP="00865820">
            <w:pPr>
              <w:keepNext/>
              <w:spacing w:before="10" w:after="10"/>
              <w:jc w:val="center"/>
              <w:rPr>
                <w:rFonts w:cs="Tahoma"/>
                <w:color w:val="000000" w:themeColor="text1"/>
              </w:rPr>
            </w:pPr>
            <w:r w:rsidRPr="00865820">
              <w:rPr>
                <w:rFonts w:cs="Tahoma"/>
                <w:color w:val="000000" w:themeColor="text1"/>
              </w:rPr>
              <w:t>NR</w:t>
            </w:r>
          </w:p>
        </w:tc>
        <w:tc>
          <w:tcPr>
            <w:tcW w:w="1595" w:type="dxa"/>
            <w:vAlign w:val="center"/>
          </w:tcPr>
          <w:p w14:paraId="24022927" w14:textId="77777777" w:rsidR="00865820" w:rsidRPr="00865820" w:rsidRDefault="00865820" w:rsidP="00865820">
            <w:pPr>
              <w:keepNext/>
              <w:spacing w:before="10" w:after="10"/>
              <w:jc w:val="center"/>
              <w:rPr>
                <w:rFonts w:cs="Tahoma"/>
                <w:color w:val="000000" w:themeColor="text1"/>
              </w:rPr>
            </w:pPr>
            <w:r w:rsidRPr="00865820">
              <w:rPr>
                <w:rFonts w:cs="Tahoma"/>
                <w:color w:val="000000" w:themeColor="text1"/>
              </w:rPr>
              <w:t>-29.0%</w:t>
            </w:r>
          </w:p>
        </w:tc>
      </w:tr>
      <w:tr w:rsidR="00865820" w:rsidRPr="00865820" w14:paraId="259FC964" w14:textId="77777777" w:rsidTr="00D56273">
        <w:trPr>
          <w:trHeight w:val="248"/>
        </w:trPr>
        <w:tc>
          <w:tcPr>
            <w:tcW w:w="2689" w:type="dxa"/>
            <w:vMerge w:val="restart"/>
            <w:vAlign w:val="center"/>
          </w:tcPr>
          <w:p w14:paraId="26AEF94A" w14:textId="77777777" w:rsidR="00865820" w:rsidRPr="00865820" w:rsidRDefault="00865820" w:rsidP="00865820">
            <w:pPr>
              <w:keepNext/>
              <w:spacing w:before="10" w:after="10"/>
              <w:rPr>
                <w:rFonts w:cs="Tahoma"/>
              </w:rPr>
            </w:pPr>
            <w:r w:rsidRPr="00865820">
              <w:rPr>
                <w:rFonts w:cs="Tahoma"/>
              </w:rPr>
              <w:t>Week 12</w:t>
            </w:r>
          </w:p>
        </w:tc>
        <w:tc>
          <w:tcPr>
            <w:tcW w:w="1594" w:type="dxa"/>
            <w:vAlign w:val="center"/>
          </w:tcPr>
          <w:p w14:paraId="219E4176" w14:textId="77777777" w:rsidR="00865820" w:rsidRPr="00865820" w:rsidRDefault="00865820" w:rsidP="00865820">
            <w:pPr>
              <w:keepNext/>
              <w:spacing w:before="10" w:after="10"/>
              <w:jc w:val="center"/>
              <w:rPr>
                <w:rFonts w:cs="Tahoma"/>
                <w:color w:val="000000" w:themeColor="text1"/>
              </w:rPr>
            </w:pPr>
            <w:r w:rsidRPr="00865820">
              <w:rPr>
                <w:rFonts w:cs="Tahoma"/>
                <w:color w:val="000000" w:themeColor="text1"/>
              </w:rPr>
              <w:t>-14.5%</w:t>
            </w:r>
          </w:p>
        </w:tc>
        <w:tc>
          <w:tcPr>
            <w:tcW w:w="1595" w:type="dxa"/>
            <w:vAlign w:val="center"/>
          </w:tcPr>
          <w:p w14:paraId="4F42117A" w14:textId="77777777" w:rsidR="00865820" w:rsidRPr="00865820" w:rsidRDefault="00865820" w:rsidP="00865820">
            <w:pPr>
              <w:keepNext/>
              <w:spacing w:before="10" w:after="10"/>
              <w:jc w:val="center"/>
              <w:rPr>
                <w:rFonts w:cs="Tahoma"/>
                <w:color w:val="000000" w:themeColor="text1"/>
              </w:rPr>
            </w:pPr>
            <w:r w:rsidRPr="00865820">
              <w:rPr>
                <w:rFonts w:cs="Tahoma"/>
                <w:color w:val="000000" w:themeColor="text1"/>
              </w:rPr>
              <w:t>-8.5%</w:t>
            </w:r>
          </w:p>
        </w:tc>
        <w:tc>
          <w:tcPr>
            <w:tcW w:w="1594" w:type="dxa"/>
            <w:vMerge w:val="restart"/>
            <w:vAlign w:val="center"/>
          </w:tcPr>
          <w:p w14:paraId="34A54558" w14:textId="77777777" w:rsidR="00865820" w:rsidRPr="00865820" w:rsidRDefault="00865820" w:rsidP="00865820">
            <w:pPr>
              <w:keepNext/>
              <w:spacing w:before="10" w:after="10"/>
              <w:jc w:val="center"/>
              <w:rPr>
                <w:rFonts w:cs="Tahoma"/>
                <w:color w:val="000000" w:themeColor="text1"/>
              </w:rPr>
            </w:pPr>
            <w:r w:rsidRPr="00865820">
              <w:rPr>
                <w:rFonts w:cs="Tahoma"/>
                <w:color w:val="000000" w:themeColor="text1"/>
              </w:rPr>
              <w:t>-7.9%</w:t>
            </w:r>
          </w:p>
        </w:tc>
        <w:tc>
          <w:tcPr>
            <w:tcW w:w="1595" w:type="dxa"/>
            <w:vMerge w:val="restart"/>
            <w:vAlign w:val="center"/>
          </w:tcPr>
          <w:p w14:paraId="43621A82" w14:textId="77777777" w:rsidR="00865820" w:rsidRPr="00865820" w:rsidRDefault="00865820" w:rsidP="00865820">
            <w:pPr>
              <w:keepNext/>
              <w:spacing w:before="10" w:after="10"/>
              <w:jc w:val="center"/>
              <w:rPr>
                <w:rFonts w:cs="Tahoma"/>
                <w:b/>
                <w:bCs/>
                <w:color w:val="000000" w:themeColor="text1"/>
              </w:rPr>
            </w:pPr>
            <w:r w:rsidRPr="00865820">
              <w:rPr>
                <w:rFonts w:cs="Tahoma"/>
                <w:b/>
                <w:bCs/>
                <w:color w:val="000000" w:themeColor="text1"/>
              </w:rPr>
              <w:t>-48.5%</w:t>
            </w:r>
          </w:p>
        </w:tc>
      </w:tr>
      <w:tr w:rsidR="00865820" w:rsidRPr="00865820" w14:paraId="6B67D5D7" w14:textId="77777777" w:rsidTr="00D56273">
        <w:trPr>
          <w:trHeight w:val="247"/>
        </w:trPr>
        <w:tc>
          <w:tcPr>
            <w:tcW w:w="2689" w:type="dxa"/>
            <w:vMerge/>
          </w:tcPr>
          <w:p w14:paraId="7DFDC4D6" w14:textId="77777777" w:rsidR="00865820" w:rsidRPr="00865820" w:rsidRDefault="00865820" w:rsidP="00865820">
            <w:pPr>
              <w:keepNext/>
              <w:spacing w:before="10" w:after="10"/>
              <w:rPr>
                <w:rFonts w:cs="Tahoma"/>
              </w:rPr>
            </w:pPr>
          </w:p>
        </w:tc>
        <w:tc>
          <w:tcPr>
            <w:tcW w:w="3189" w:type="dxa"/>
            <w:gridSpan w:val="2"/>
            <w:vAlign w:val="center"/>
          </w:tcPr>
          <w:p w14:paraId="0B7538D6" w14:textId="77777777" w:rsidR="00865820" w:rsidRPr="00865820" w:rsidRDefault="00865820" w:rsidP="00865820">
            <w:pPr>
              <w:keepNext/>
              <w:spacing w:before="10" w:after="10"/>
              <w:jc w:val="center"/>
              <w:rPr>
                <w:rFonts w:cs="Tahoma"/>
                <w:color w:val="000000" w:themeColor="text1"/>
              </w:rPr>
            </w:pPr>
            <w:r w:rsidRPr="00865820">
              <w:rPr>
                <w:rFonts w:cs="Tahoma"/>
                <w:color w:val="000000" w:themeColor="text1"/>
              </w:rPr>
              <w:t>P=0.48</w:t>
            </w:r>
          </w:p>
        </w:tc>
        <w:tc>
          <w:tcPr>
            <w:tcW w:w="1594" w:type="dxa"/>
            <w:vMerge/>
            <w:vAlign w:val="center"/>
          </w:tcPr>
          <w:p w14:paraId="2B121D38" w14:textId="77777777" w:rsidR="00865820" w:rsidRPr="00865820" w:rsidRDefault="00865820" w:rsidP="00865820">
            <w:pPr>
              <w:keepNext/>
              <w:spacing w:before="10" w:after="10"/>
              <w:jc w:val="center"/>
              <w:rPr>
                <w:rFonts w:cs="Tahoma"/>
                <w:b/>
                <w:bCs/>
                <w:color w:val="000000" w:themeColor="text1"/>
              </w:rPr>
            </w:pPr>
          </w:p>
        </w:tc>
        <w:tc>
          <w:tcPr>
            <w:tcW w:w="1595" w:type="dxa"/>
            <w:vMerge/>
            <w:vAlign w:val="center"/>
          </w:tcPr>
          <w:p w14:paraId="70F7BF03" w14:textId="77777777" w:rsidR="00865820" w:rsidRPr="00865820" w:rsidRDefault="00865820" w:rsidP="00865820">
            <w:pPr>
              <w:keepNext/>
              <w:spacing w:before="10" w:after="10"/>
              <w:jc w:val="center"/>
              <w:rPr>
                <w:rFonts w:cs="Tahoma"/>
                <w:b/>
                <w:bCs/>
                <w:color w:val="000000" w:themeColor="text1"/>
              </w:rPr>
            </w:pPr>
          </w:p>
        </w:tc>
      </w:tr>
      <w:tr w:rsidR="00865820" w:rsidRPr="00865820" w14:paraId="0C957EEC" w14:textId="77777777" w:rsidTr="00D56273">
        <w:tc>
          <w:tcPr>
            <w:tcW w:w="2689" w:type="dxa"/>
          </w:tcPr>
          <w:p w14:paraId="09838DC6" w14:textId="77777777" w:rsidR="00865820" w:rsidRPr="00865820" w:rsidRDefault="00865820" w:rsidP="00865820">
            <w:pPr>
              <w:keepNext/>
              <w:spacing w:before="10" w:after="10"/>
              <w:rPr>
                <w:rFonts w:cs="Tahoma"/>
              </w:rPr>
            </w:pPr>
            <w:r w:rsidRPr="00865820">
              <w:rPr>
                <w:rFonts w:cs="Tahoma"/>
              </w:rPr>
              <w:t>Week 24</w:t>
            </w:r>
          </w:p>
        </w:tc>
        <w:tc>
          <w:tcPr>
            <w:tcW w:w="1594" w:type="dxa"/>
            <w:vAlign w:val="center"/>
          </w:tcPr>
          <w:p w14:paraId="16E2915D" w14:textId="77777777" w:rsidR="00865820" w:rsidRPr="00865820" w:rsidRDefault="00865820" w:rsidP="00865820">
            <w:pPr>
              <w:keepNext/>
              <w:spacing w:before="10" w:after="10"/>
              <w:jc w:val="center"/>
              <w:rPr>
                <w:rFonts w:cs="Tahoma"/>
                <w:color w:val="000000" w:themeColor="text1"/>
              </w:rPr>
            </w:pPr>
            <w:r w:rsidRPr="00865820">
              <w:rPr>
                <w:rFonts w:cs="Tahoma"/>
                <w:color w:val="000000" w:themeColor="text1"/>
              </w:rPr>
              <w:t>-31.4%</w:t>
            </w:r>
          </w:p>
        </w:tc>
        <w:tc>
          <w:tcPr>
            <w:tcW w:w="1595" w:type="dxa"/>
            <w:vAlign w:val="center"/>
          </w:tcPr>
          <w:p w14:paraId="0CEF6B9D" w14:textId="77777777" w:rsidR="00865820" w:rsidRPr="00865820" w:rsidRDefault="00865820" w:rsidP="00865820">
            <w:pPr>
              <w:keepNext/>
              <w:spacing w:before="10" w:after="10"/>
              <w:jc w:val="center"/>
              <w:rPr>
                <w:rFonts w:cs="Tahoma"/>
                <w:color w:val="000000" w:themeColor="text1"/>
              </w:rPr>
            </w:pPr>
            <w:r w:rsidRPr="00865820">
              <w:rPr>
                <w:rFonts w:cs="Tahoma"/>
                <w:color w:val="000000" w:themeColor="text1"/>
              </w:rPr>
              <w:t>NR</w:t>
            </w:r>
          </w:p>
        </w:tc>
        <w:tc>
          <w:tcPr>
            <w:tcW w:w="1594" w:type="dxa"/>
            <w:vAlign w:val="center"/>
          </w:tcPr>
          <w:p w14:paraId="58001CCE" w14:textId="77777777" w:rsidR="00865820" w:rsidRPr="00865820" w:rsidRDefault="00865820" w:rsidP="00865820">
            <w:pPr>
              <w:keepNext/>
              <w:spacing w:before="10" w:after="10"/>
              <w:jc w:val="center"/>
              <w:rPr>
                <w:rFonts w:cs="Tahoma"/>
                <w:color w:val="000000" w:themeColor="text1"/>
              </w:rPr>
            </w:pPr>
            <w:r w:rsidRPr="00865820">
              <w:rPr>
                <w:rFonts w:cs="Tahoma"/>
                <w:color w:val="000000" w:themeColor="text1"/>
              </w:rPr>
              <w:t>-25.8%</w:t>
            </w:r>
          </w:p>
        </w:tc>
        <w:tc>
          <w:tcPr>
            <w:tcW w:w="1595" w:type="dxa"/>
            <w:vAlign w:val="center"/>
          </w:tcPr>
          <w:p w14:paraId="175E0293" w14:textId="77777777" w:rsidR="00865820" w:rsidRPr="00865820" w:rsidRDefault="00865820" w:rsidP="00865820">
            <w:pPr>
              <w:keepNext/>
              <w:spacing w:before="10" w:after="10"/>
              <w:jc w:val="center"/>
              <w:rPr>
                <w:rFonts w:cs="Tahoma"/>
                <w:b/>
                <w:bCs/>
                <w:color w:val="000000" w:themeColor="text1"/>
              </w:rPr>
            </w:pPr>
            <w:r w:rsidRPr="00865820">
              <w:rPr>
                <w:rFonts w:cs="Tahoma"/>
                <w:b/>
                <w:bCs/>
                <w:color w:val="000000" w:themeColor="text1"/>
              </w:rPr>
              <w:t>-53.4%</w:t>
            </w:r>
          </w:p>
        </w:tc>
      </w:tr>
    </w:tbl>
    <w:p w14:paraId="5E32DC14" w14:textId="77777777" w:rsidR="00865820" w:rsidRPr="00865820" w:rsidRDefault="00865820" w:rsidP="00865820">
      <w:pPr>
        <w:keepNext/>
        <w:rPr>
          <w:rFonts w:ascii="Arial Narrow" w:hAnsi="Arial Narrow" w:cs="Tahoma"/>
          <w:sz w:val="18"/>
          <w:szCs w:val="18"/>
        </w:rPr>
      </w:pPr>
      <w:r w:rsidRPr="00865820">
        <w:rPr>
          <w:rFonts w:ascii="Arial Narrow" w:hAnsi="Arial Narrow" w:cs="Tahoma"/>
          <w:sz w:val="18"/>
          <w:szCs w:val="18"/>
        </w:rPr>
        <w:t>Source: Table B.25, p113 of the ADAR.</w:t>
      </w:r>
    </w:p>
    <w:p w14:paraId="6031DBE2" w14:textId="77777777" w:rsidR="00865820" w:rsidRPr="00865820" w:rsidRDefault="00865820" w:rsidP="00865820">
      <w:pPr>
        <w:keepNext/>
        <w:rPr>
          <w:rFonts w:ascii="Arial Narrow" w:hAnsi="Arial Narrow" w:cs="Tahoma"/>
          <w:sz w:val="18"/>
          <w:szCs w:val="18"/>
        </w:rPr>
      </w:pPr>
      <w:r w:rsidRPr="00865820">
        <w:rPr>
          <w:rFonts w:ascii="Arial Narrow" w:hAnsi="Arial Narrow" w:cs="Tahoma"/>
          <w:sz w:val="18"/>
          <w:szCs w:val="18"/>
        </w:rPr>
        <w:t>Bold typography indicates statistically significant differences between groups or between baseline and outcome measurement.</w:t>
      </w:r>
    </w:p>
    <w:p w14:paraId="73CD472A" w14:textId="77777777" w:rsidR="00865820" w:rsidRPr="00865820" w:rsidRDefault="00865820" w:rsidP="00865820">
      <w:pPr>
        <w:keepNext/>
        <w:tabs>
          <w:tab w:val="left" w:pos="284"/>
        </w:tabs>
        <w:spacing w:after="240"/>
        <w:ind w:left="284" w:hanging="284"/>
        <w:jc w:val="both"/>
        <w:rPr>
          <w:rFonts w:ascii="Arial Narrow" w:hAnsi="Arial Narrow" w:cs="Tahoma"/>
          <w:sz w:val="18"/>
          <w:szCs w:val="18"/>
        </w:rPr>
      </w:pPr>
      <w:r w:rsidRPr="00865820">
        <w:rPr>
          <w:rFonts w:ascii="Arial Narrow" w:hAnsi="Arial Narrow" w:cs="Tahoma"/>
          <w:sz w:val="18"/>
          <w:szCs w:val="18"/>
          <w:vertAlign w:val="superscript"/>
        </w:rPr>
        <w:t>a</w:t>
      </w:r>
      <w:r w:rsidRPr="00865820">
        <w:rPr>
          <w:rFonts w:ascii="Arial Narrow" w:hAnsi="Arial Narrow" w:cs="Tahoma"/>
          <w:sz w:val="18"/>
          <w:szCs w:val="18"/>
        </w:rPr>
        <w:tab/>
        <w:t>The authors stated that quantitative assessment of cutaneous cGVHD disease was assessed during treatment by combining surface area involvement and severity of disease in each area of skin assessed. The measuring technique was adapted from the modified Rodman scleroderma skin scoring method, where total skin score = [(percentage of body surface area containing erythematous or lichenoid lesions × grade of erythema)] + [percentage body surface area containing sclerodermoid lesions × grade of sclerodermoid change].</w:t>
      </w:r>
    </w:p>
    <w:p w14:paraId="539B5AAD" w14:textId="6855BF8F" w:rsidR="00704D34" w:rsidRDefault="00704D34" w:rsidP="00704D34">
      <w:r w:rsidRPr="00704D34">
        <w:t xml:space="preserve">Complete or partial cutaneous response reported in the studies are summarised in </w:t>
      </w:r>
      <w:r w:rsidRPr="00704D34">
        <w:fldChar w:fldCharType="begin"/>
      </w:r>
      <w:r w:rsidRPr="00704D34">
        <w:instrText xml:space="preserve"> REF _Ref71078883 \h </w:instrText>
      </w:r>
      <w:r>
        <w:instrText xml:space="preserve"> \* MERGEFORMAT </w:instrText>
      </w:r>
      <w:r w:rsidRPr="00704D34">
        <w:fldChar w:fldCharType="separate"/>
      </w:r>
      <w:r w:rsidR="008407AE" w:rsidRPr="008407AE">
        <w:t>Table 4</w:t>
      </w:r>
      <w:r w:rsidRPr="00704D34">
        <w:fldChar w:fldCharType="end"/>
      </w:r>
      <w:r w:rsidRPr="00704D34">
        <w:t>.</w:t>
      </w:r>
    </w:p>
    <w:p w14:paraId="09F284C1" w14:textId="4780C68E" w:rsidR="00704D34" w:rsidRDefault="00704D34" w:rsidP="00B853FB">
      <w:pPr>
        <w:spacing w:before="240"/>
      </w:pPr>
      <w:r w:rsidRPr="00704D34">
        <w:t xml:space="preserve">Flowers (2008) reported that a statistically significantly greater proportion of those treated with ECP </w:t>
      </w:r>
      <w:r w:rsidR="00CA5D0B">
        <w:t>reported</w:t>
      </w:r>
      <w:r w:rsidRPr="00704D34">
        <w:t xml:space="preserve"> complete or partial skin responses compared to those treated with SOC at 12 weeks. </w:t>
      </w:r>
      <w:r w:rsidRPr="00D95154">
        <w:t xml:space="preserve">However, the authors </w:t>
      </w:r>
      <w:r w:rsidR="00D95154">
        <w:t xml:space="preserve">also </w:t>
      </w:r>
      <w:r w:rsidRPr="00D95154">
        <w:t>state</w:t>
      </w:r>
      <w:r w:rsidR="00D95154">
        <w:t>d</w:t>
      </w:r>
      <w:r w:rsidRPr="00D95154">
        <w:t xml:space="preserve"> this was “[a]n unblinded assessment of skin involvement … performed by the experienced clinical investigator who was aware of the treatment assignment”.</w:t>
      </w:r>
      <w:r w:rsidRPr="00704D34">
        <w:rPr>
          <w:i/>
          <w:iCs/>
        </w:rPr>
        <w:t xml:space="preserve"> </w:t>
      </w:r>
      <w:r w:rsidRPr="00704D34">
        <w:t xml:space="preserve">Each of the single-arm studies reported that some patients </w:t>
      </w:r>
      <w:r w:rsidR="00CA5D0B">
        <w:t>reported</w:t>
      </w:r>
      <w:r w:rsidRPr="00704D34">
        <w:t xml:space="preserve"> complete or partial cutaneous responses. Unlike other studies, Seaton (2003) defined clinical response as more than 25% reduction in initial skin score for patients who had stable or reduced levels of systemic immunosuppression; any patient requiring increased immunosuppression was deemed to be a non-responder, notwithstanding any clinical improvement in skin disease.</w:t>
      </w:r>
    </w:p>
    <w:p w14:paraId="581D62DA" w14:textId="76F13C98" w:rsidR="00782E59" w:rsidRDefault="00782E59" w:rsidP="00B853FB">
      <w:pPr>
        <w:spacing w:before="240" w:after="240"/>
      </w:pPr>
      <w:r>
        <w:t>A systematic review by Malik (2014)</w:t>
      </w:r>
      <w:r>
        <w:rPr>
          <w:rStyle w:val="FootnoteReference"/>
        </w:rPr>
        <w:footnoteReference w:id="4"/>
      </w:r>
      <w:r>
        <w:t xml:space="preserve"> that was not included in the ADAR presented additional data on </w:t>
      </w:r>
      <w:r w:rsidR="00DA74D3">
        <w:t>paediatric patients with steroid refractory cGVHD treated with ECP.</w:t>
      </w:r>
    </w:p>
    <w:p w14:paraId="751D644F" w14:textId="1E132C34" w:rsidR="00976279" w:rsidRDefault="00976279" w:rsidP="00B853FB">
      <w:pPr>
        <w:pStyle w:val="TableHeading"/>
        <w:ind w:left="0" w:firstLine="0"/>
      </w:pPr>
      <w:bookmarkStart w:id="15" w:name="_Ref76365936"/>
      <w:r>
        <w:t xml:space="preserve">Table </w:t>
      </w:r>
      <w:r>
        <w:fldChar w:fldCharType="begin"/>
      </w:r>
      <w:r>
        <w:instrText xml:space="preserve"> SEQ Table \* ARABIC </w:instrText>
      </w:r>
      <w:r>
        <w:fldChar w:fldCharType="separate"/>
      </w:r>
      <w:r w:rsidR="008407AE">
        <w:t>3</w:t>
      </w:r>
      <w:r>
        <w:fldChar w:fldCharType="end"/>
      </w:r>
      <w:bookmarkEnd w:id="15"/>
      <w:r>
        <w:t xml:space="preserve">: Response rates for steroid refractory cGVHD in </w:t>
      </w:r>
      <w:r w:rsidR="004D02A6">
        <w:t>paediatric patients</w:t>
      </w:r>
    </w:p>
    <w:tbl>
      <w:tblPr>
        <w:tblStyle w:val="TableGrid"/>
        <w:tblW w:w="9067" w:type="dxa"/>
        <w:tblLook w:val="04A0" w:firstRow="1" w:lastRow="0" w:firstColumn="1" w:lastColumn="0" w:noHBand="0" w:noVBand="1"/>
        <w:tblCaption w:val="Response rates for steroid refractory cGVHD in paediatric patients"/>
      </w:tblPr>
      <w:tblGrid>
        <w:gridCol w:w="2122"/>
        <w:gridCol w:w="1417"/>
        <w:gridCol w:w="567"/>
        <w:gridCol w:w="1985"/>
        <w:gridCol w:w="1417"/>
        <w:gridCol w:w="1559"/>
      </w:tblGrid>
      <w:tr w:rsidR="00263FEA" w14:paraId="0DD682B4" w14:textId="63A163C4" w:rsidTr="00960DFA">
        <w:trPr>
          <w:tblHeader/>
        </w:trPr>
        <w:tc>
          <w:tcPr>
            <w:tcW w:w="2122" w:type="dxa"/>
          </w:tcPr>
          <w:p w14:paraId="7D3F2BEB" w14:textId="447C3264" w:rsidR="00263FEA" w:rsidRPr="00960DFA" w:rsidRDefault="00263FEA" w:rsidP="00A411A5">
            <w:pPr>
              <w:pStyle w:val="Tabletext"/>
              <w:rPr>
                <w:b/>
              </w:rPr>
            </w:pPr>
            <w:r w:rsidRPr="00960DFA">
              <w:rPr>
                <w:b/>
              </w:rPr>
              <w:t>Study</w:t>
            </w:r>
          </w:p>
        </w:tc>
        <w:tc>
          <w:tcPr>
            <w:tcW w:w="1417" w:type="dxa"/>
          </w:tcPr>
          <w:p w14:paraId="7B84CB55" w14:textId="3597832A" w:rsidR="00263FEA" w:rsidRPr="00960DFA" w:rsidRDefault="00263FEA" w:rsidP="00A411A5">
            <w:pPr>
              <w:pStyle w:val="Tabletext"/>
              <w:rPr>
                <w:b/>
              </w:rPr>
            </w:pPr>
            <w:r w:rsidRPr="00960DFA">
              <w:rPr>
                <w:b/>
              </w:rPr>
              <w:t>Design</w:t>
            </w:r>
          </w:p>
        </w:tc>
        <w:tc>
          <w:tcPr>
            <w:tcW w:w="567" w:type="dxa"/>
          </w:tcPr>
          <w:p w14:paraId="30796A8D" w14:textId="0FDF2E20" w:rsidR="00263FEA" w:rsidRPr="00960DFA" w:rsidRDefault="00263FEA" w:rsidP="00D95154">
            <w:pPr>
              <w:pStyle w:val="Tabletext"/>
              <w:jc w:val="center"/>
              <w:rPr>
                <w:b/>
              </w:rPr>
            </w:pPr>
            <w:r w:rsidRPr="00960DFA">
              <w:rPr>
                <w:b/>
              </w:rPr>
              <w:t>N</w:t>
            </w:r>
          </w:p>
        </w:tc>
        <w:tc>
          <w:tcPr>
            <w:tcW w:w="1985" w:type="dxa"/>
          </w:tcPr>
          <w:p w14:paraId="3CF961A3" w14:textId="5EAA1985" w:rsidR="00263FEA" w:rsidRPr="00960DFA" w:rsidRDefault="00263FEA" w:rsidP="00D95154">
            <w:pPr>
              <w:pStyle w:val="Tabletext"/>
              <w:jc w:val="center"/>
              <w:rPr>
                <w:b/>
              </w:rPr>
            </w:pPr>
            <w:r w:rsidRPr="00960DFA">
              <w:rPr>
                <w:b/>
              </w:rPr>
              <w:t>ECP cycles (median)</w:t>
            </w:r>
          </w:p>
        </w:tc>
        <w:tc>
          <w:tcPr>
            <w:tcW w:w="1417" w:type="dxa"/>
          </w:tcPr>
          <w:p w14:paraId="46238FD1" w14:textId="5CB85BF0" w:rsidR="00263FEA" w:rsidRPr="00960DFA" w:rsidRDefault="00263FEA" w:rsidP="00D95154">
            <w:pPr>
              <w:pStyle w:val="Tabletext"/>
              <w:jc w:val="center"/>
              <w:rPr>
                <w:b/>
              </w:rPr>
            </w:pPr>
            <w:r w:rsidRPr="00960DFA">
              <w:rPr>
                <w:b/>
              </w:rPr>
              <w:t>Age</w:t>
            </w:r>
            <w:r w:rsidR="00D95154" w:rsidRPr="00960DFA">
              <w:rPr>
                <w:b/>
              </w:rPr>
              <w:t xml:space="preserve"> </w:t>
            </w:r>
            <w:r w:rsidRPr="00960DFA">
              <w:rPr>
                <w:b/>
              </w:rPr>
              <w:t>(median)</w:t>
            </w:r>
          </w:p>
        </w:tc>
        <w:tc>
          <w:tcPr>
            <w:tcW w:w="1559" w:type="dxa"/>
          </w:tcPr>
          <w:p w14:paraId="417D2EFE" w14:textId="4E89EEF9" w:rsidR="00263FEA" w:rsidRPr="00960DFA" w:rsidRDefault="00263FEA" w:rsidP="00D95154">
            <w:pPr>
              <w:pStyle w:val="Tabletext"/>
              <w:jc w:val="center"/>
              <w:rPr>
                <w:b/>
              </w:rPr>
            </w:pPr>
            <w:r w:rsidRPr="00960DFA">
              <w:rPr>
                <w:b/>
              </w:rPr>
              <w:t>Skin response</w:t>
            </w:r>
          </w:p>
        </w:tc>
      </w:tr>
      <w:tr w:rsidR="00263FEA" w14:paraId="56C48626" w14:textId="7A80A97A" w:rsidTr="00D95154">
        <w:tc>
          <w:tcPr>
            <w:tcW w:w="2122" w:type="dxa"/>
          </w:tcPr>
          <w:p w14:paraId="7960EFB4" w14:textId="58EDABF0" w:rsidR="00263FEA" w:rsidRDefault="00263FEA" w:rsidP="00050CEE">
            <w:pPr>
              <w:pStyle w:val="Tabletext"/>
            </w:pPr>
            <w:r w:rsidRPr="00A411A5">
              <w:t xml:space="preserve">Berger </w:t>
            </w:r>
            <w:r w:rsidR="00050CEE">
              <w:t>(2007)</w:t>
            </w:r>
          </w:p>
        </w:tc>
        <w:tc>
          <w:tcPr>
            <w:tcW w:w="1417" w:type="dxa"/>
          </w:tcPr>
          <w:p w14:paraId="16D8D510" w14:textId="4C430595" w:rsidR="00263FEA" w:rsidRDefault="00263FEA" w:rsidP="00A411A5">
            <w:pPr>
              <w:pStyle w:val="Tabletext"/>
            </w:pPr>
            <w:r>
              <w:t>Prospective</w:t>
            </w:r>
          </w:p>
        </w:tc>
        <w:tc>
          <w:tcPr>
            <w:tcW w:w="567" w:type="dxa"/>
          </w:tcPr>
          <w:p w14:paraId="17728648" w14:textId="20DBCC65" w:rsidR="00263FEA" w:rsidRDefault="00263FEA" w:rsidP="00D95154">
            <w:pPr>
              <w:pStyle w:val="Tabletext"/>
              <w:jc w:val="center"/>
            </w:pPr>
            <w:r>
              <w:t>10</w:t>
            </w:r>
          </w:p>
        </w:tc>
        <w:tc>
          <w:tcPr>
            <w:tcW w:w="1985" w:type="dxa"/>
          </w:tcPr>
          <w:p w14:paraId="1F9625DD" w14:textId="47AB25F7" w:rsidR="00263FEA" w:rsidRDefault="00263FEA" w:rsidP="00D95154">
            <w:pPr>
              <w:pStyle w:val="Tabletext"/>
              <w:jc w:val="center"/>
            </w:pPr>
            <w:r>
              <w:t>22</w:t>
            </w:r>
          </w:p>
        </w:tc>
        <w:tc>
          <w:tcPr>
            <w:tcW w:w="1417" w:type="dxa"/>
          </w:tcPr>
          <w:p w14:paraId="5E37617B" w14:textId="10F80E5D" w:rsidR="00263FEA" w:rsidRDefault="00263FEA" w:rsidP="00D95154">
            <w:pPr>
              <w:pStyle w:val="Tabletext"/>
              <w:jc w:val="center"/>
            </w:pPr>
            <w:r w:rsidRPr="00232377">
              <w:t>11.2</w:t>
            </w:r>
            <w:r>
              <w:t xml:space="preserve"> years</w:t>
            </w:r>
          </w:p>
        </w:tc>
        <w:tc>
          <w:tcPr>
            <w:tcW w:w="1559" w:type="dxa"/>
          </w:tcPr>
          <w:p w14:paraId="34F29A0B" w14:textId="5F040483" w:rsidR="00263FEA" w:rsidRDefault="00263FEA" w:rsidP="00D95154">
            <w:pPr>
              <w:pStyle w:val="Tabletext"/>
              <w:jc w:val="center"/>
            </w:pPr>
            <w:r>
              <w:t>90%</w:t>
            </w:r>
          </w:p>
        </w:tc>
      </w:tr>
      <w:tr w:rsidR="00263FEA" w14:paraId="4BD9890D" w14:textId="5A0C610D" w:rsidTr="00D95154">
        <w:tc>
          <w:tcPr>
            <w:tcW w:w="2122" w:type="dxa"/>
          </w:tcPr>
          <w:p w14:paraId="4C5B548B" w14:textId="23FC8CB3" w:rsidR="00263FEA" w:rsidRDefault="00263FEA" w:rsidP="00050CEE">
            <w:pPr>
              <w:pStyle w:val="Tabletext"/>
            </w:pPr>
            <w:r w:rsidRPr="00A411A5">
              <w:t xml:space="preserve">Perotti </w:t>
            </w:r>
            <w:r w:rsidR="00050CEE">
              <w:t>(2010)</w:t>
            </w:r>
          </w:p>
        </w:tc>
        <w:tc>
          <w:tcPr>
            <w:tcW w:w="1417" w:type="dxa"/>
          </w:tcPr>
          <w:p w14:paraId="66C7322F" w14:textId="5DCBB87F" w:rsidR="00263FEA" w:rsidRDefault="00263FEA" w:rsidP="00A411A5">
            <w:pPr>
              <w:pStyle w:val="Tabletext"/>
            </w:pPr>
            <w:r>
              <w:t>Retrospective</w:t>
            </w:r>
          </w:p>
        </w:tc>
        <w:tc>
          <w:tcPr>
            <w:tcW w:w="567" w:type="dxa"/>
          </w:tcPr>
          <w:p w14:paraId="02DD1F2D" w14:textId="2C11ED9A" w:rsidR="00263FEA" w:rsidRDefault="00263FEA" w:rsidP="00D95154">
            <w:pPr>
              <w:pStyle w:val="Tabletext"/>
              <w:jc w:val="center"/>
            </w:pPr>
            <w:r>
              <w:t>23</w:t>
            </w:r>
          </w:p>
        </w:tc>
        <w:tc>
          <w:tcPr>
            <w:tcW w:w="1985" w:type="dxa"/>
          </w:tcPr>
          <w:p w14:paraId="7801BC9D" w14:textId="7BAC029B" w:rsidR="00263FEA" w:rsidRDefault="00263FEA" w:rsidP="00D95154">
            <w:pPr>
              <w:pStyle w:val="Tabletext"/>
              <w:jc w:val="center"/>
            </w:pPr>
            <w:r>
              <w:t>34</w:t>
            </w:r>
          </w:p>
        </w:tc>
        <w:tc>
          <w:tcPr>
            <w:tcW w:w="1417" w:type="dxa"/>
          </w:tcPr>
          <w:p w14:paraId="75ADC6E0" w14:textId="31640D8B" w:rsidR="00263FEA" w:rsidRDefault="00263FEA" w:rsidP="00D95154">
            <w:pPr>
              <w:pStyle w:val="Tabletext"/>
              <w:jc w:val="center"/>
            </w:pPr>
            <w:r>
              <w:t>11.8 years</w:t>
            </w:r>
          </w:p>
        </w:tc>
        <w:tc>
          <w:tcPr>
            <w:tcW w:w="1559" w:type="dxa"/>
          </w:tcPr>
          <w:p w14:paraId="27F40D63" w14:textId="3B411A40" w:rsidR="00263FEA" w:rsidRDefault="00263FEA" w:rsidP="00D95154">
            <w:pPr>
              <w:pStyle w:val="Tabletext"/>
              <w:jc w:val="center"/>
            </w:pPr>
            <w:r>
              <w:t>83%</w:t>
            </w:r>
          </w:p>
        </w:tc>
      </w:tr>
      <w:tr w:rsidR="00263FEA" w14:paraId="3304E18D" w14:textId="58B24463" w:rsidTr="00D95154">
        <w:tc>
          <w:tcPr>
            <w:tcW w:w="2122" w:type="dxa"/>
          </w:tcPr>
          <w:p w14:paraId="736B9887" w14:textId="0792E1DF" w:rsidR="00263FEA" w:rsidRDefault="00263FEA" w:rsidP="006C0CFD">
            <w:pPr>
              <w:pStyle w:val="Tabletext"/>
            </w:pPr>
            <w:r w:rsidRPr="00A411A5">
              <w:t xml:space="preserve">Kanold </w:t>
            </w:r>
            <w:r w:rsidR="00050CEE">
              <w:t>(2007)</w:t>
            </w:r>
          </w:p>
        </w:tc>
        <w:tc>
          <w:tcPr>
            <w:tcW w:w="1417" w:type="dxa"/>
          </w:tcPr>
          <w:p w14:paraId="01C766F6" w14:textId="2894DEFC" w:rsidR="00263FEA" w:rsidRDefault="00263FEA" w:rsidP="006C0CFD">
            <w:pPr>
              <w:pStyle w:val="Tabletext"/>
            </w:pPr>
            <w:r w:rsidRPr="00851F22">
              <w:t>Retrospective</w:t>
            </w:r>
          </w:p>
        </w:tc>
        <w:tc>
          <w:tcPr>
            <w:tcW w:w="567" w:type="dxa"/>
          </w:tcPr>
          <w:p w14:paraId="59C59ED7" w14:textId="59F692CA" w:rsidR="00263FEA" w:rsidRDefault="00263FEA" w:rsidP="00D95154">
            <w:pPr>
              <w:pStyle w:val="Tabletext"/>
              <w:jc w:val="center"/>
            </w:pPr>
            <w:r>
              <w:t>15</w:t>
            </w:r>
          </w:p>
        </w:tc>
        <w:tc>
          <w:tcPr>
            <w:tcW w:w="1985" w:type="dxa"/>
          </w:tcPr>
          <w:p w14:paraId="0D6B9625" w14:textId="4C6A8370" w:rsidR="00263FEA" w:rsidRDefault="00263FEA" w:rsidP="00D95154">
            <w:pPr>
              <w:pStyle w:val="Tabletext"/>
              <w:jc w:val="center"/>
            </w:pPr>
            <w:r>
              <w:t>24</w:t>
            </w:r>
          </w:p>
        </w:tc>
        <w:tc>
          <w:tcPr>
            <w:tcW w:w="1417" w:type="dxa"/>
          </w:tcPr>
          <w:p w14:paraId="736BD378" w14:textId="4DB56294" w:rsidR="00263FEA" w:rsidRDefault="00263FEA" w:rsidP="00D95154">
            <w:pPr>
              <w:pStyle w:val="Tabletext"/>
              <w:jc w:val="center"/>
            </w:pPr>
            <w:r>
              <w:t>14 years</w:t>
            </w:r>
          </w:p>
        </w:tc>
        <w:tc>
          <w:tcPr>
            <w:tcW w:w="1559" w:type="dxa"/>
          </w:tcPr>
          <w:p w14:paraId="49F6775C" w14:textId="1E17F653" w:rsidR="00263FEA" w:rsidRDefault="00263FEA" w:rsidP="00D95154">
            <w:pPr>
              <w:pStyle w:val="Tabletext"/>
              <w:jc w:val="center"/>
            </w:pPr>
            <w:r>
              <w:t>80%</w:t>
            </w:r>
          </w:p>
        </w:tc>
      </w:tr>
      <w:tr w:rsidR="00263FEA" w14:paraId="66A014CA" w14:textId="0F4DE5C2" w:rsidTr="00D95154">
        <w:tc>
          <w:tcPr>
            <w:tcW w:w="2122" w:type="dxa"/>
          </w:tcPr>
          <w:p w14:paraId="39642136" w14:textId="4033655F" w:rsidR="00263FEA" w:rsidRDefault="00263FEA" w:rsidP="00050CEE">
            <w:pPr>
              <w:pStyle w:val="Tabletext"/>
            </w:pPr>
            <w:r w:rsidRPr="00A411A5">
              <w:t xml:space="preserve">Gonzalez Vicent </w:t>
            </w:r>
            <w:r w:rsidR="00050CEE">
              <w:t>(2010)</w:t>
            </w:r>
          </w:p>
        </w:tc>
        <w:tc>
          <w:tcPr>
            <w:tcW w:w="1417" w:type="dxa"/>
          </w:tcPr>
          <w:p w14:paraId="515AE889" w14:textId="723B2317" w:rsidR="00263FEA" w:rsidRDefault="00263FEA" w:rsidP="006C0CFD">
            <w:pPr>
              <w:pStyle w:val="Tabletext"/>
            </w:pPr>
            <w:r w:rsidRPr="00851F22">
              <w:t>Retrospective</w:t>
            </w:r>
          </w:p>
        </w:tc>
        <w:tc>
          <w:tcPr>
            <w:tcW w:w="567" w:type="dxa"/>
          </w:tcPr>
          <w:p w14:paraId="2797BA65" w14:textId="31D68FA2" w:rsidR="00263FEA" w:rsidRDefault="00263FEA" w:rsidP="00D95154">
            <w:pPr>
              <w:pStyle w:val="Tabletext"/>
              <w:jc w:val="center"/>
            </w:pPr>
            <w:r>
              <w:t>6</w:t>
            </w:r>
          </w:p>
        </w:tc>
        <w:tc>
          <w:tcPr>
            <w:tcW w:w="1985" w:type="dxa"/>
          </w:tcPr>
          <w:p w14:paraId="02D67A61" w14:textId="13B163EE" w:rsidR="00263FEA" w:rsidRDefault="00263FEA" w:rsidP="00D95154">
            <w:pPr>
              <w:pStyle w:val="Tabletext"/>
              <w:jc w:val="center"/>
            </w:pPr>
            <w:r>
              <w:t>6</w:t>
            </w:r>
          </w:p>
        </w:tc>
        <w:tc>
          <w:tcPr>
            <w:tcW w:w="1417" w:type="dxa"/>
          </w:tcPr>
          <w:p w14:paraId="79218BDD" w14:textId="75867495" w:rsidR="00263FEA" w:rsidRDefault="00263FEA" w:rsidP="00D95154">
            <w:pPr>
              <w:pStyle w:val="Tabletext"/>
              <w:jc w:val="center"/>
            </w:pPr>
            <w:r>
              <w:t>10 years</w:t>
            </w:r>
          </w:p>
        </w:tc>
        <w:tc>
          <w:tcPr>
            <w:tcW w:w="1559" w:type="dxa"/>
          </w:tcPr>
          <w:p w14:paraId="3A73F514" w14:textId="326C046D" w:rsidR="00263FEA" w:rsidRDefault="00263FEA" w:rsidP="00D95154">
            <w:pPr>
              <w:pStyle w:val="Tabletext"/>
              <w:jc w:val="center"/>
            </w:pPr>
            <w:r>
              <w:t>NR</w:t>
            </w:r>
          </w:p>
        </w:tc>
      </w:tr>
      <w:tr w:rsidR="00263FEA" w14:paraId="0DCDB2DD" w14:textId="0D8DE38D" w:rsidTr="00D95154">
        <w:tc>
          <w:tcPr>
            <w:tcW w:w="2122" w:type="dxa"/>
          </w:tcPr>
          <w:p w14:paraId="5D403AB1" w14:textId="632EB5E4" w:rsidR="00263FEA" w:rsidRDefault="00263FEA" w:rsidP="00050CEE">
            <w:pPr>
              <w:pStyle w:val="Tabletext"/>
            </w:pPr>
            <w:r w:rsidRPr="00A411A5">
              <w:t xml:space="preserve">Messina </w:t>
            </w:r>
            <w:r w:rsidR="00050CEE">
              <w:t>(2003)</w:t>
            </w:r>
          </w:p>
        </w:tc>
        <w:tc>
          <w:tcPr>
            <w:tcW w:w="1417" w:type="dxa"/>
          </w:tcPr>
          <w:p w14:paraId="04187CEF" w14:textId="61BE1660" w:rsidR="00263FEA" w:rsidRDefault="00263FEA" w:rsidP="006C0CFD">
            <w:pPr>
              <w:pStyle w:val="Tabletext"/>
            </w:pPr>
            <w:r w:rsidRPr="00851F22">
              <w:t>Retrospective</w:t>
            </w:r>
          </w:p>
        </w:tc>
        <w:tc>
          <w:tcPr>
            <w:tcW w:w="567" w:type="dxa"/>
          </w:tcPr>
          <w:p w14:paraId="3A7D8E21" w14:textId="5E9F260F" w:rsidR="00263FEA" w:rsidRDefault="00263FEA" w:rsidP="00D95154">
            <w:pPr>
              <w:pStyle w:val="Tabletext"/>
              <w:jc w:val="center"/>
            </w:pPr>
            <w:r>
              <w:t>44</w:t>
            </w:r>
          </w:p>
        </w:tc>
        <w:tc>
          <w:tcPr>
            <w:tcW w:w="1985" w:type="dxa"/>
          </w:tcPr>
          <w:p w14:paraId="7DC24F64" w14:textId="53301E7F" w:rsidR="00263FEA" w:rsidRDefault="00263FEA" w:rsidP="00D95154">
            <w:pPr>
              <w:pStyle w:val="Tabletext"/>
              <w:jc w:val="center"/>
            </w:pPr>
            <w:r>
              <w:t>NR</w:t>
            </w:r>
          </w:p>
        </w:tc>
        <w:tc>
          <w:tcPr>
            <w:tcW w:w="1417" w:type="dxa"/>
          </w:tcPr>
          <w:p w14:paraId="226CB381" w14:textId="7403DB16" w:rsidR="00263FEA" w:rsidRDefault="00263FEA" w:rsidP="00D95154">
            <w:pPr>
              <w:pStyle w:val="Tabletext"/>
              <w:jc w:val="center"/>
            </w:pPr>
            <w:r>
              <w:t>8.2 years</w:t>
            </w:r>
          </w:p>
        </w:tc>
        <w:tc>
          <w:tcPr>
            <w:tcW w:w="1559" w:type="dxa"/>
          </w:tcPr>
          <w:p w14:paraId="175F3F30" w14:textId="384E5B55" w:rsidR="00263FEA" w:rsidRDefault="00263FEA" w:rsidP="00D95154">
            <w:pPr>
              <w:pStyle w:val="Tabletext"/>
              <w:jc w:val="center"/>
            </w:pPr>
            <w:r>
              <w:t>55%</w:t>
            </w:r>
          </w:p>
        </w:tc>
      </w:tr>
    </w:tbl>
    <w:p w14:paraId="1D5A61A7" w14:textId="6060440C" w:rsidR="00DA74D3" w:rsidRDefault="00960DFA" w:rsidP="00A37DCC">
      <w:pPr>
        <w:pStyle w:val="Tablenotes"/>
      </w:pPr>
      <w:r>
        <w:t>Source: Table 1</w:t>
      </w:r>
      <w:r w:rsidR="004D02A6">
        <w:t>-2, p102 of Malik (2014)</w:t>
      </w:r>
    </w:p>
    <w:p w14:paraId="058D14A4" w14:textId="7EC601A4" w:rsidR="00A37DCC" w:rsidRDefault="004D02A6" w:rsidP="00A37DCC">
      <w:pPr>
        <w:pStyle w:val="Tablenotes"/>
      </w:pPr>
      <w:r>
        <w:t xml:space="preserve">cGVHD = chronic graft versus host disease; CR = complete response; ECP = extracorporeal </w:t>
      </w:r>
      <w:r w:rsidRPr="004D02A6">
        <w:t>photopheresis</w:t>
      </w:r>
      <w:r>
        <w:t xml:space="preserve">; N = number of participants; </w:t>
      </w:r>
      <w:r w:rsidR="004E44CE">
        <w:t xml:space="preserve">NR = not reported; </w:t>
      </w:r>
      <w:r>
        <w:t>ORR = overall response rate</w:t>
      </w:r>
    </w:p>
    <w:p w14:paraId="529E39F4" w14:textId="69A453FC" w:rsidR="00704D34" w:rsidRDefault="00704D34" w:rsidP="00704D34">
      <w:pPr>
        <w:pStyle w:val="Heading2"/>
      </w:pPr>
      <w:r>
        <w:t>Extracutaneous cGVHD outcomes</w:t>
      </w:r>
    </w:p>
    <w:p w14:paraId="30B3D028" w14:textId="058C5131" w:rsidR="00704D34" w:rsidRPr="00704D34" w:rsidRDefault="00704D34" w:rsidP="00704D34">
      <w:r w:rsidRPr="00704D34">
        <w:fldChar w:fldCharType="begin"/>
      </w:r>
      <w:r w:rsidRPr="00704D34">
        <w:instrText xml:space="preserve"> REF _Ref71078883 \h </w:instrText>
      </w:r>
      <w:r>
        <w:instrText xml:space="preserve"> \* MERGEFORMAT </w:instrText>
      </w:r>
      <w:r w:rsidRPr="00704D34">
        <w:fldChar w:fldCharType="separate"/>
      </w:r>
      <w:r w:rsidR="008407AE" w:rsidRPr="008407AE">
        <w:t>Table 4</w:t>
      </w:r>
      <w:r w:rsidRPr="00704D34">
        <w:fldChar w:fldCharType="end"/>
      </w:r>
      <w:r w:rsidRPr="00704D34">
        <w:t xml:space="preserve"> also reports complete or partial extracutaneous response reported in the studies. Flowers (2008) reported that a statistically significantly greater proportion of those treated with ECP </w:t>
      </w:r>
      <w:r w:rsidR="00D95154">
        <w:t>reported</w:t>
      </w:r>
      <w:r w:rsidRPr="00704D34">
        <w:t xml:space="preserve"> complete or partial ocular responses compared to those treated with SOC </w:t>
      </w:r>
      <w:r w:rsidRPr="00704D34">
        <w:lastRenderedPageBreak/>
        <w:t xml:space="preserve">at 12 weeks; no statistically significant differences were observed for any other organ system. Each of the single-arm studies reported that some patients </w:t>
      </w:r>
      <w:r w:rsidR="00CA5D0B">
        <w:t>reported</w:t>
      </w:r>
      <w:r w:rsidRPr="00704D34">
        <w:t xml:space="preserve"> complete or partial responses in various affected organs. As for skin responses above, Seaton (2003) defined clinical response as more than 25% reduction in initial skin score for patients who had stable or reduced levels of systemic immunosuppression.</w:t>
      </w:r>
    </w:p>
    <w:p w14:paraId="5C389322" w14:textId="7207091C" w:rsidR="00704D34" w:rsidRPr="00704D34" w:rsidRDefault="00704D34" w:rsidP="00B853FB">
      <w:pPr>
        <w:keepNext/>
        <w:spacing w:before="240" w:after="120"/>
        <w:rPr>
          <w:rFonts w:ascii="Arial Narrow" w:hAnsi="Arial Narrow" w:cs="Tahoma"/>
          <w:b/>
          <w:bCs/>
          <w:sz w:val="20"/>
          <w:szCs w:val="22"/>
        </w:rPr>
      </w:pPr>
      <w:bookmarkStart w:id="16" w:name="_Ref71078883"/>
      <w:r w:rsidRPr="00704D34">
        <w:rPr>
          <w:rFonts w:ascii="Arial Narrow" w:hAnsi="Arial Narrow" w:cs="Tahoma"/>
          <w:b/>
          <w:bCs/>
          <w:sz w:val="20"/>
          <w:szCs w:val="22"/>
        </w:rPr>
        <w:t xml:space="preserve">Table </w:t>
      </w:r>
      <w:r w:rsidRPr="00704D34">
        <w:rPr>
          <w:rFonts w:ascii="Arial Narrow" w:hAnsi="Arial Narrow" w:cs="Tahoma"/>
          <w:b/>
          <w:bCs/>
          <w:sz w:val="20"/>
          <w:szCs w:val="22"/>
        </w:rPr>
        <w:fldChar w:fldCharType="begin"/>
      </w:r>
      <w:r w:rsidRPr="00704D34">
        <w:rPr>
          <w:rFonts w:ascii="Arial Narrow" w:hAnsi="Arial Narrow" w:cs="Tahoma"/>
          <w:b/>
          <w:bCs/>
          <w:sz w:val="20"/>
          <w:szCs w:val="22"/>
        </w:rPr>
        <w:instrText xml:space="preserve"> SEQ Table \* ARABIC </w:instrText>
      </w:r>
      <w:r w:rsidRPr="00704D34">
        <w:rPr>
          <w:rFonts w:ascii="Arial Narrow" w:hAnsi="Arial Narrow" w:cs="Tahoma"/>
          <w:b/>
          <w:bCs/>
          <w:sz w:val="20"/>
          <w:szCs w:val="22"/>
        </w:rPr>
        <w:fldChar w:fldCharType="separate"/>
      </w:r>
      <w:r w:rsidR="008407AE">
        <w:rPr>
          <w:rFonts w:ascii="Arial Narrow" w:hAnsi="Arial Narrow" w:cs="Tahoma"/>
          <w:b/>
          <w:bCs/>
          <w:noProof/>
          <w:sz w:val="20"/>
          <w:szCs w:val="22"/>
        </w:rPr>
        <w:t>4</w:t>
      </w:r>
      <w:r w:rsidRPr="00704D34">
        <w:rPr>
          <w:rFonts w:ascii="Arial Narrow" w:hAnsi="Arial Narrow" w:cs="Tahoma"/>
          <w:b/>
          <w:bCs/>
          <w:noProof/>
          <w:sz w:val="20"/>
          <w:szCs w:val="22"/>
        </w:rPr>
        <w:fldChar w:fldCharType="end"/>
      </w:r>
      <w:bookmarkEnd w:id="16"/>
      <w:r w:rsidR="009F416C">
        <w:rPr>
          <w:rFonts w:ascii="Arial Narrow" w:hAnsi="Arial Narrow" w:cs="Tahoma"/>
          <w:b/>
          <w:bCs/>
          <w:noProof/>
          <w:sz w:val="20"/>
          <w:szCs w:val="22"/>
        </w:rPr>
        <w:t>:</w:t>
      </w:r>
      <w:r w:rsidR="00D95154">
        <w:rPr>
          <w:rFonts w:ascii="Arial Narrow" w:hAnsi="Arial Narrow" w:cs="Tahoma"/>
          <w:b/>
          <w:bCs/>
          <w:noProof/>
          <w:sz w:val="20"/>
          <w:szCs w:val="22"/>
        </w:rPr>
        <w:t xml:space="preserve"> </w:t>
      </w:r>
      <w:r w:rsidRPr="00704D34">
        <w:rPr>
          <w:rFonts w:ascii="Arial Narrow" w:hAnsi="Arial Narrow" w:cs="Tahoma"/>
          <w:b/>
          <w:sz w:val="20"/>
          <w:szCs w:val="22"/>
        </w:rPr>
        <w:t>Complete and partial clinical response in cutaneous and extracutaneous cGVHD affected organs in the included studies</w:t>
      </w:r>
    </w:p>
    <w:tbl>
      <w:tblPr>
        <w:tblStyle w:val="TableGrid1"/>
        <w:tblW w:w="9209" w:type="dxa"/>
        <w:tblCellMar>
          <w:left w:w="28" w:type="dxa"/>
          <w:right w:w="28" w:type="dxa"/>
        </w:tblCellMar>
        <w:tblLook w:val="04A0" w:firstRow="1" w:lastRow="0" w:firstColumn="1" w:lastColumn="0" w:noHBand="0" w:noVBand="1"/>
        <w:tblCaption w:val="Complete and partial clinical response in cutaneous and extracutaneous cGVHD affected organs in the included studies"/>
      </w:tblPr>
      <w:tblGrid>
        <w:gridCol w:w="1305"/>
        <w:gridCol w:w="1046"/>
        <w:gridCol w:w="1046"/>
        <w:gridCol w:w="968"/>
        <w:gridCol w:w="969"/>
        <w:gridCol w:w="969"/>
        <w:gridCol w:w="968"/>
        <w:gridCol w:w="969"/>
        <w:gridCol w:w="969"/>
      </w:tblGrid>
      <w:tr w:rsidR="00704D34" w:rsidRPr="00704D34" w14:paraId="6E99A369" w14:textId="77777777" w:rsidTr="00D56273">
        <w:trPr>
          <w:cnfStyle w:val="100000000000" w:firstRow="1" w:lastRow="0" w:firstColumn="0" w:lastColumn="0" w:oddVBand="0" w:evenVBand="0" w:oddHBand="0" w:evenHBand="0" w:firstRowFirstColumn="0" w:firstRowLastColumn="0" w:lastRowFirstColumn="0" w:lastRowLastColumn="0"/>
          <w:tblHeader/>
        </w:trPr>
        <w:tc>
          <w:tcPr>
            <w:tcW w:w="1305" w:type="dxa"/>
            <w:vMerge w:val="restart"/>
            <w:vAlign w:val="bottom"/>
          </w:tcPr>
          <w:p w14:paraId="01716256" w14:textId="71A6E3EF" w:rsidR="00704D34" w:rsidRPr="00704D34" w:rsidRDefault="00704D34" w:rsidP="00704D34">
            <w:pPr>
              <w:keepNext/>
              <w:spacing w:before="10" w:after="10"/>
              <w:rPr>
                <w:rFonts w:cs="Tahoma"/>
              </w:rPr>
            </w:pPr>
            <w:r w:rsidRPr="00704D34">
              <w:rPr>
                <w:rFonts w:cs="Tahoma"/>
                <w:b/>
                <w:bCs/>
              </w:rPr>
              <w:t>Complete and partial clinical response n/N, (%) at</w:t>
            </w:r>
          </w:p>
        </w:tc>
        <w:tc>
          <w:tcPr>
            <w:tcW w:w="2092" w:type="dxa"/>
            <w:gridSpan w:val="2"/>
            <w:vAlign w:val="center"/>
          </w:tcPr>
          <w:p w14:paraId="75D62EB1" w14:textId="77777777" w:rsidR="00704D34" w:rsidRPr="00704D34" w:rsidRDefault="00704D34" w:rsidP="00704D34">
            <w:pPr>
              <w:keepNext/>
              <w:spacing w:before="10" w:after="10"/>
              <w:jc w:val="center"/>
              <w:rPr>
                <w:rFonts w:cs="Tahoma"/>
              </w:rPr>
            </w:pPr>
            <w:r w:rsidRPr="00704D34">
              <w:rPr>
                <w:rFonts w:cs="Tahoma"/>
                <w:b/>
                <w:bCs/>
              </w:rPr>
              <w:t>Flowers 2008</w:t>
            </w:r>
          </w:p>
        </w:tc>
        <w:tc>
          <w:tcPr>
            <w:tcW w:w="968" w:type="dxa"/>
            <w:vAlign w:val="center"/>
          </w:tcPr>
          <w:p w14:paraId="34CA3802" w14:textId="77777777" w:rsidR="00704D34" w:rsidRPr="00704D34" w:rsidRDefault="00704D34" w:rsidP="00704D34">
            <w:pPr>
              <w:keepNext/>
              <w:spacing w:before="10" w:after="10"/>
              <w:jc w:val="center"/>
              <w:rPr>
                <w:rFonts w:cs="Tahoma"/>
                <w:b/>
                <w:bCs/>
              </w:rPr>
            </w:pPr>
            <w:r w:rsidRPr="00704D34">
              <w:rPr>
                <w:rFonts w:cs="Tahoma"/>
                <w:b/>
                <w:bCs/>
              </w:rPr>
              <w:t>Greinix 2011</w:t>
            </w:r>
          </w:p>
          <w:p w14:paraId="4CD385E8" w14:textId="77777777" w:rsidR="00704D34" w:rsidRPr="00704D34" w:rsidRDefault="00704D34" w:rsidP="00704D34">
            <w:pPr>
              <w:keepNext/>
              <w:spacing w:before="10" w:after="10"/>
              <w:jc w:val="center"/>
              <w:rPr>
                <w:rFonts w:cs="Tahoma"/>
                <w:b/>
                <w:bCs/>
              </w:rPr>
            </w:pPr>
            <w:r w:rsidRPr="00704D34">
              <w:rPr>
                <w:rFonts w:cs="Tahoma"/>
              </w:rPr>
              <w:t>Flowers 2008</w:t>
            </w:r>
          </w:p>
        </w:tc>
        <w:tc>
          <w:tcPr>
            <w:tcW w:w="969" w:type="dxa"/>
            <w:vAlign w:val="center"/>
          </w:tcPr>
          <w:p w14:paraId="69C505AC" w14:textId="77777777" w:rsidR="00704D34" w:rsidRPr="00704D34" w:rsidRDefault="00704D34" w:rsidP="00704D34">
            <w:pPr>
              <w:keepNext/>
              <w:spacing w:before="10" w:after="10"/>
              <w:jc w:val="center"/>
              <w:rPr>
                <w:rFonts w:cs="Tahoma"/>
                <w:b/>
                <w:bCs/>
              </w:rPr>
            </w:pPr>
            <w:r w:rsidRPr="00704D34">
              <w:rPr>
                <w:rFonts w:cs="Tahoma"/>
                <w:b/>
                <w:bCs/>
              </w:rPr>
              <w:t>RPAH SAS</w:t>
            </w:r>
          </w:p>
        </w:tc>
        <w:tc>
          <w:tcPr>
            <w:tcW w:w="969" w:type="dxa"/>
            <w:vAlign w:val="center"/>
          </w:tcPr>
          <w:p w14:paraId="46778302" w14:textId="77777777" w:rsidR="00704D34" w:rsidRPr="00704D34" w:rsidRDefault="00704D34" w:rsidP="00704D34">
            <w:pPr>
              <w:keepNext/>
              <w:spacing w:before="10" w:after="10"/>
              <w:jc w:val="center"/>
              <w:rPr>
                <w:rFonts w:cs="Tahoma"/>
              </w:rPr>
            </w:pPr>
            <w:r w:rsidRPr="00704D34">
              <w:rPr>
                <w:rFonts w:cs="Tahoma"/>
                <w:b/>
                <w:bCs/>
              </w:rPr>
              <w:t>Dignan 2014</w:t>
            </w:r>
          </w:p>
        </w:tc>
        <w:tc>
          <w:tcPr>
            <w:tcW w:w="968" w:type="dxa"/>
            <w:vAlign w:val="center"/>
          </w:tcPr>
          <w:p w14:paraId="71E9B04D" w14:textId="77777777" w:rsidR="00704D34" w:rsidRPr="00704D34" w:rsidRDefault="00704D34" w:rsidP="00704D34">
            <w:pPr>
              <w:keepNext/>
              <w:spacing w:before="10" w:after="10"/>
              <w:jc w:val="center"/>
              <w:rPr>
                <w:rFonts w:cs="Tahoma"/>
                <w:b/>
                <w:bCs/>
              </w:rPr>
            </w:pPr>
            <w:r w:rsidRPr="00704D34">
              <w:rPr>
                <w:rFonts w:cs="Tahoma"/>
                <w:b/>
                <w:bCs/>
              </w:rPr>
              <w:t>Foss 2005</w:t>
            </w:r>
            <w:r w:rsidRPr="00704D34">
              <w:rPr>
                <w:rFonts w:cs="Tahoma"/>
                <w:vertAlign w:val="superscript"/>
              </w:rPr>
              <w:t>a</w:t>
            </w:r>
          </w:p>
        </w:tc>
        <w:tc>
          <w:tcPr>
            <w:tcW w:w="969" w:type="dxa"/>
            <w:vAlign w:val="center"/>
          </w:tcPr>
          <w:p w14:paraId="2D1D6C3D" w14:textId="77777777" w:rsidR="00704D34" w:rsidRPr="00704D34" w:rsidRDefault="00704D34" w:rsidP="00704D34">
            <w:pPr>
              <w:keepNext/>
              <w:spacing w:before="10" w:after="10"/>
              <w:jc w:val="center"/>
              <w:rPr>
                <w:rFonts w:cs="Tahoma"/>
                <w:b/>
                <w:bCs/>
              </w:rPr>
            </w:pPr>
            <w:r w:rsidRPr="00704D34">
              <w:rPr>
                <w:rFonts w:cs="Tahoma"/>
                <w:b/>
                <w:bCs/>
              </w:rPr>
              <w:t>Okamoto 2018</w:t>
            </w:r>
          </w:p>
        </w:tc>
        <w:tc>
          <w:tcPr>
            <w:tcW w:w="969" w:type="dxa"/>
            <w:vAlign w:val="center"/>
          </w:tcPr>
          <w:p w14:paraId="5CCE3A26" w14:textId="77777777" w:rsidR="00704D34" w:rsidRPr="00704D34" w:rsidRDefault="00704D34" w:rsidP="00704D34">
            <w:pPr>
              <w:keepNext/>
              <w:spacing w:before="10" w:after="10"/>
              <w:jc w:val="center"/>
              <w:rPr>
                <w:rFonts w:cs="Tahoma"/>
                <w:b/>
                <w:bCs/>
              </w:rPr>
            </w:pPr>
            <w:r w:rsidRPr="00704D34">
              <w:rPr>
                <w:rFonts w:cs="Tahoma"/>
                <w:b/>
                <w:bCs/>
              </w:rPr>
              <w:t>Seaton 2003</w:t>
            </w:r>
          </w:p>
        </w:tc>
      </w:tr>
      <w:tr w:rsidR="00704D34" w:rsidRPr="00704D34" w14:paraId="7A121DA7" w14:textId="77777777" w:rsidTr="00D56273">
        <w:trPr>
          <w:cnfStyle w:val="100000000000" w:firstRow="1" w:lastRow="0" w:firstColumn="0" w:lastColumn="0" w:oddVBand="0" w:evenVBand="0" w:oddHBand="0" w:evenHBand="0" w:firstRowFirstColumn="0" w:firstRowLastColumn="0" w:lastRowFirstColumn="0" w:lastRowLastColumn="0"/>
          <w:tblHeader/>
        </w:trPr>
        <w:tc>
          <w:tcPr>
            <w:tcW w:w="1305" w:type="dxa"/>
            <w:vMerge/>
          </w:tcPr>
          <w:p w14:paraId="171EEAA8" w14:textId="77777777" w:rsidR="00704D34" w:rsidRPr="00704D34" w:rsidRDefault="00704D34" w:rsidP="00704D34">
            <w:pPr>
              <w:keepNext/>
              <w:spacing w:before="10" w:after="10"/>
              <w:rPr>
                <w:rFonts w:cs="Tahoma"/>
              </w:rPr>
            </w:pPr>
          </w:p>
        </w:tc>
        <w:tc>
          <w:tcPr>
            <w:tcW w:w="1046" w:type="dxa"/>
            <w:vAlign w:val="center"/>
          </w:tcPr>
          <w:p w14:paraId="181CFE15" w14:textId="77777777" w:rsidR="00704D34" w:rsidRPr="00704D34" w:rsidRDefault="00704D34" w:rsidP="00704D34">
            <w:pPr>
              <w:keepNext/>
              <w:spacing w:before="10" w:after="10"/>
              <w:jc w:val="center"/>
              <w:rPr>
                <w:rFonts w:cs="Tahoma"/>
                <w:b/>
                <w:bCs/>
              </w:rPr>
            </w:pPr>
            <w:r w:rsidRPr="00704D34">
              <w:rPr>
                <w:rFonts w:cs="Tahoma"/>
                <w:b/>
                <w:bCs/>
              </w:rPr>
              <w:t xml:space="preserve">ECP, </w:t>
            </w:r>
            <w:r w:rsidRPr="00704D34">
              <w:rPr>
                <w:rFonts w:cs="Tahoma"/>
                <w:b/>
                <w:bCs/>
              </w:rPr>
              <w:br/>
              <w:t>n = 48</w:t>
            </w:r>
          </w:p>
        </w:tc>
        <w:tc>
          <w:tcPr>
            <w:tcW w:w="1046" w:type="dxa"/>
            <w:vAlign w:val="center"/>
          </w:tcPr>
          <w:p w14:paraId="2B4C374F" w14:textId="77777777" w:rsidR="00704D34" w:rsidRPr="00704D34" w:rsidRDefault="00704D34" w:rsidP="00704D34">
            <w:pPr>
              <w:keepNext/>
              <w:spacing w:before="10" w:after="10"/>
              <w:jc w:val="center"/>
              <w:rPr>
                <w:rFonts w:cs="Tahoma"/>
                <w:b/>
                <w:bCs/>
              </w:rPr>
            </w:pPr>
            <w:r w:rsidRPr="00704D34">
              <w:rPr>
                <w:rFonts w:cs="Tahoma"/>
                <w:b/>
                <w:bCs/>
              </w:rPr>
              <w:t xml:space="preserve">SOC, </w:t>
            </w:r>
            <w:r w:rsidRPr="00704D34">
              <w:rPr>
                <w:rFonts w:cs="Tahoma"/>
                <w:b/>
                <w:bCs/>
              </w:rPr>
              <w:br/>
              <w:t>n = 47</w:t>
            </w:r>
          </w:p>
        </w:tc>
        <w:tc>
          <w:tcPr>
            <w:tcW w:w="968" w:type="dxa"/>
            <w:vAlign w:val="center"/>
          </w:tcPr>
          <w:p w14:paraId="25F296B6" w14:textId="77777777" w:rsidR="00704D34" w:rsidRPr="00704D34" w:rsidRDefault="00704D34" w:rsidP="00704D34">
            <w:pPr>
              <w:keepNext/>
              <w:spacing w:before="10" w:after="10"/>
              <w:jc w:val="center"/>
              <w:rPr>
                <w:rFonts w:cs="Tahoma"/>
                <w:b/>
                <w:bCs/>
                <w:color w:val="000000" w:themeColor="text1"/>
              </w:rPr>
            </w:pPr>
            <w:r w:rsidRPr="00704D34">
              <w:rPr>
                <w:rFonts w:cs="Tahoma"/>
                <w:b/>
                <w:bCs/>
                <w:color w:val="000000" w:themeColor="text1"/>
              </w:rPr>
              <w:t>N = 29</w:t>
            </w:r>
          </w:p>
        </w:tc>
        <w:tc>
          <w:tcPr>
            <w:tcW w:w="969" w:type="dxa"/>
            <w:vAlign w:val="center"/>
          </w:tcPr>
          <w:p w14:paraId="668C82C1" w14:textId="77777777" w:rsidR="00704D34" w:rsidRPr="00704D34" w:rsidRDefault="00704D34" w:rsidP="00704D34">
            <w:pPr>
              <w:keepNext/>
              <w:spacing w:before="10" w:after="10"/>
              <w:jc w:val="center"/>
              <w:rPr>
                <w:rFonts w:cs="Tahoma"/>
                <w:b/>
                <w:bCs/>
                <w:color w:val="000000" w:themeColor="text1"/>
              </w:rPr>
            </w:pPr>
            <w:r w:rsidRPr="00704D34">
              <w:rPr>
                <w:rFonts w:cs="Tahoma"/>
                <w:b/>
                <w:bCs/>
                <w:color w:val="000000" w:themeColor="text1"/>
              </w:rPr>
              <w:t>N = 42</w:t>
            </w:r>
          </w:p>
        </w:tc>
        <w:tc>
          <w:tcPr>
            <w:tcW w:w="969" w:type="dxa"/>
            <w:vAlign w:val="center"/>
          </w:tcPr>
          <w:p w14:paraId="3781209F" w14:textId="77777777" w:rsidR="00704D34" w:rsidRPr="00704D34" w:rsidRDefault="00704D34" w:rsidP="00704D34">
            <w:pPr>
              <w:keepNext/>
              <w:spacing w:before="10" w:after="10"/>
              <w:jc w:val="center"/>
              <w:rPr>
                <w:rFonts w:cs="Tahoma"/>
                <w:color w:val="000000" w:themeColor="text1"/>
              </w:rPr>
            </w:pPr>
            <w:r w:rsidRPr="00704D34">
              <w:rPr>
                <w:rFonts w:cs="Tahoma"/>
                <w:b/>
                <w:bCs/>
                <w:color w:val="000000" w:themeColor="text1"/>
              </w:rPr>
              <w:t>N = 38</w:t>
            </w:r>
          </w:p>
        </w:tc>
        <w:tc>
          <w:tcPr>
            <w:tcW w:w="968" w:type="dxa"/>
            <w:vAlign w:val="center"/>
          </w:tcPr>
          <w:p w14:paraId="6FCD4CEC" w14:textId="77777777" w:rsidR="00704D34" w:rsidRPr="00704D34" w:rsidRDefault="00704D34" w:rsidP="00704D34">
            <w:pPr>
              <w:keepNext/>
              <w:spacing w:before="10" w:after="10"/>
              <w:jc w:val="center"/>
              <w:rPr>
                <w:rFonts w:cs="Tahoma"/>
                <w:b/>
                <w:bCs/>
              </w:rPr>
            </w:pPr>
            <w:r w:rsidRPr="00704D34">
              <w:rPr>
                <w:rFonts w:cs="Tahoma"/>
                <w:b/>
                <w:bCs/>
              </w:rPr>
              <w:t>N = 25</w:t>
            </w:r>
          </w:p>
        </w:tc>
        <w:tc>
          <w:tcPr>
            <w:tcW w:w="969" w:type="dxa"/>
            <w:vAlign w:val="center"/>
          </w:tcPr>
          <w:p w14:paraId="320CFFC8" w14:textId="77777777" w:rsidR="00704D34" w:rsidRPr="00704D34" w:rsidRDefault="00704D34" w:rsidP="00704D34">
            <w:pPr>
              <w:keepNext/>
              <w:spacing w:before="10" w:after="10"/>
              <w:jc w:val="center"/>
              <w:rPr>
                <w:rFonts w:cs="Tahoma"/>
                <w:b/>
                <w:bCs/>
                <w:color w:val="000000" w:themeColor="text1"/>
              </w:rPr>
            </w:pPr>
            <w:r w:rsidRPr="00704D34">
              <w:rPr>
                <w:rFonts w:cs="Tahoma"/>
                <w:b/>
                <w:bCs/>
                <w:color w:val="000000" w:themeColor="text1"/>
              </w:rPr>
              <w:t>N = 15</w:t>
            </w:r>
          </w:p>
        </w:tc>
        <w:tc>
          <w:tcPr>
            <w:tcW w:w="969" w:type="dxa"/>
            <w:vAlign w:val="center"/>
          </w:tcPr>
          <w:p w14:paraId="37BD73D9" w14:textId="77777777" w:rsidR="00704D34" w:rsidRPr="00704D34" w:rsidRDefault="00704D34" w:rsidP="00704D34">
            <w:pPr>
              <w:keepNext/>
              <w:spacing w:before="10" w:after="10"/>
              <w:jc w:val="center"/>
              <w:rPr>
                <w:rFonts w:cs="Tahoma"/>
              </w:rPr>
            </w:pPr>
            <w:r w:rsidRPr="00704D34">
              <w:rPr>
                <w:rFonts w:cs="Tahoma"/>
                <w:b/>
                <w:bCs/>
              </w:rPr>
              <w:t>N = 28</w:t>
            </w:r>
          </w:p>
        </w:tc>
      </w:tr>
      <w:tr w:rsidR="00704D34" w:rsidRPr="00704D34" w14:paraId="73C9DAB1" w14:textId="77777777" w:rsidTr="00D56273">
        <w:trPr>
          <w:cnfStyle w:val="100000000000" w:firstRow="1" w:lastRow="0" w:firstColumn="0" w:lastColumn="0" w:oddVBand="0" w:evenVBand="0" w:oddHBand="0" w:evenHBand="0" w:firstRowFirstColumn="0" w:firstRowLastColumn="0" w:lastRowFirstColumn="0" w:lastRowLastColumn="0"/>
          <w:tblHeader/>
        </w:trPr>
        <w:tc>
          <w:tcPr>
            <w:tcW w:w="9209" w:type="dxa"/>
            <w:gridSpan w:val="9"/>
            <w:vAlign w:val="center"/>
          </w:tcPr>
          <w:p w14:paraId="240876FF" w14:textId="77777777" w:rsidR="00704D34" w:rsidRPr="00704D34" w:rsidRDefault="00704D34" w:rsidP="00704D34">
            <w:pPr>
              <w:keepNext/>
              <w:spacing w:before="10" w:after="10"/>
              <w:rPr>
                <w:rFonts w:cs="Tahoma"/>
                <w:b/>
                <w:bCs/>
              </w:rPr>
            </w:pPr>
            <w:r w:rsidRPr="00704D34">
              <w:rPr>
                <w:rFonts w:cs="Tahoma"/>
                <w:b/>
                <w:bCs/>
              </w:rPr>
              <w:t>Skin</w:t>
            </w:r>
          </w:p>
        </w:tc>
      </w:tr>
      <w:tr w:rsidR="00704D34" w:rsidRPr="00704D34" w14:paraId="10336B29" w14:textId="77777777" w:rsidTr="00D56273">
        <w:trPr>
          <w:cnfStyle w:val="100000000000" w:firstRow="1" w:lastRow="0" w:firstColumn="0" w:lastColumn="0" w:oddVBand="0" w:evenVBand="0" w:oddHBand="0" w:evenHBand="0" w:firstRowFirstColumn="0" w:firstRowLastColumn="0" w:lastRowFirstColumn="0" w:lastRowLastColumn="0"/>
          <w:tblHeader/>
        </w:trPr>
        <w:tc>
          <w:tcPr>
            <w:tcW w:w="1305" w:type="dxa"/>
            <w:vAlign w:val="center"/>
          </w:tcPr>
          <w:p w14:paraId="21D7B223" w14:textId="77777777" w:rsidR="00704D34" w:rsidRPr="00704D34" w:rsidRDefault="00704D34" w:rsidP="00704D34">
            <w:pPr>
              <w:keepNext/>
              <w:spacing w:before="10" w:after="10"/>
              <w:rPr>
                <w:rFonts w:cs="Tahoma"/>
              </w:rPr>
            </w:pPr>
            <w:r w:rsidRPr="00704D34">
              <w:rPr>
                <w:rFonts w:cs="Tahoma"/>
              </w:rPr>
              <w:t>Week 12</w:t>
            </w:r>
          </w:p>
        </w:tc>
        <w:tc>
          <w:tcPr>
            <w:tcW w:w="1046" w:type="dxa"/>
            <w:vAlign w:val="center"/>
          </w:tcPr>
          <w:p w14:paraId="6AD9A9AD" w14:textId="77777777" w:rsidR="00704D34" w:rsidRPr="00704D34" w:rsidRDefault="00704D34" w:rsidP="00704D34">
            <w:pPr>
              <w:keepNext/>
              <w:spacing w:before="10" w:after="10"/>
              <w:jc w:val="center"/>
              <w:rPr>
                <w:rFonts w:cs="Tahoma"/>
                <w:b/>
                <w:bCs/>
              </w:rPr>
            </w:pPr>
            <w:r w:rsidRPr="00704D34">
              <w:rPr>
                <w:rFonts w:cs="Tahoma"/>
                <w:b/>
                <w:bCs/>
              </w:rPr>
              <w:t>17/43 (40)</w:t>
            </w:r>
          </w:p>
        </w:tc>
        <w:tc>
          <w:tcPr>
            <w:tcW w:w="1046" w:type="dxa"/>
            <w:vAlign w:val="center"/>
          </w:tcPr>
          <w:p w14:paraId="3B4F3E32" w14:textId="77777777" w:rsidR="00704D34" w:rsidRPr="00704D34" w:rsidRDefault="00704D34" w:rsidP="00704D34">
            <w:pPr>
              <w:keepNext/>
              <w:spacing w:before="10" w:after="10"/>
              <w:jc w:val="center"/>
              <w:rPr>
                <w:rFonts w:cs="Tahoma"/>
                <w:b/>
                <w:bCs/>
              </w:rPr>
            </w:pPr>
            <w:r w:rsidRPr="00704D34">
              <w:rPr>
                <w:rFonts w:cs="Tahoma"/>
                <w:b/>
                <w:bCs/>
              </w:rPr>
              <w:t>4/40 (10)</w:t>
            </w:r>
          </w:p>
        </w:tc>
        <w:tc>
          <w:tcPr>
            <w:tcW w:w="968" w:type="dxa"/>
            <w:vAlign w:val="center"/>
          </w:tcPr>
          <w:p w14:paraId="6A11D0D0" w14:textId="77777777" w:rsidR="00704D34" w:rsidRPr="00704D34" w:rsidRDefault="00704D34" w:rsidP="00704D34">
            <w:pPr>
              <w:keepNext/>
              <w:spacing w:before="10" w:after="10"/>
              <w:jc w:val="center"/>
              <w:rPr>
                <w:rFonts w:cs="Tahoma"/>
                <w:b/>
                <w:bCs/>
                <w:color w:val="000000" w:themeColor="text1"/>
              </w:rPr>
            </w:pPr>
            <w:r w:rsidRPr="00704D34">
              <w:rPr>
                <w:rFonts w:cs="Tahoma"/>
                <w:color w:val="000000" w:themeColor="text1"/>
              </w:rPr>
              <w:t>7/27 (26)</w:t>
            </w:r>
          </w:p>
        </w:tc>
        <w:tc>
          <w:tcPr>
            <w:tcW w:w="969" w:type="dxa"/>
            <w:vAlign w:val="center"/>
          </w:tcPr>
          <w:p w14:paraId="4884B4CC" w14:textId="77777777" w:rsidR="00704D34" w:rsidRPr="00704D34" w:rsidRDefault="00704D34" w:rsidP="00704D34">
            <w:pPr>
              <w:keepNext/>
              <w:spacing w:before="10" w:after="10"/>
              <w:jc w:val="center"/>
              <w:rPr>
                <w:rFonts w:cs="Tahoma"/>
                <w:b/>
                <w:bCs/>
                <w:color w:val="000000" w:themeColor="text1"/>
              </w:rPr>
            </w:pPr>
            <w:r w:rsidRPr="00704D34">
              <w:rPr>
                <w:rFonts w:cs="Tahoma"/>
                <w:color w:val="000000" w:themeColor="text1"/>
              </w:rPr>
              <w:t>NR</w:t>
            </w:r>
          </w:p>
        </w:tc>
        <w:tc>
          <w:tcPr>
            <w:tcW w:w="969" w:type="dxa"/>
            <w:vAlign w:val="center"/>
          </w:tcPr>
          <w:p w14:paraId="2618CBE7" w14:textId="77777777" w:rsidR="00704D34" w:rsidRPr="00704D34" w:rsidRDefault="00704D34" w:rsidP="00704D34">
            <w:pPr>
              <w:keepNext/>
              <w:spacing w:before="10" w:after="10"/>
              <w:jc w:val="center"/>
              <w:rPr>
                <w:rFonts w:cs="Tahoma"/>
                <w:b/>
                <w:bCs/>
                <w:color w:val="000000" w:themeColor="text1"/>
              </w:rPr>
            </w:pPr>
            <w:r w:rsidRPr="00704D34">
              <w:rPr>
                <w:rFonts w:cs="Tahoma"/>
                <w:color w:val="000000" w:themeColor="text1"/>
              </w:rPr>
              <w:t>NR</w:t>
            </w:r>
          </w:p>
        </w:tc>
        <w:tc>
          <w:tcPr>
            <w:tcW w:w="968" w:type="dxa"/>
            <w:vAlign w:val="center"/>
          </w:tcPr>
          <w:p w14:paraId="205335EF" w14:textId="77777777" w:rsidR="00704D34" w:rsidRPr="00704D34" w:rsidRDefault="00704D34" w:rsidP="00704D34">
            <w:pPr>
              <w:keepNext/>
              <w:spacing w:before="10" w:after="10"/>
              <w:jc w:val="center"/>
              <w:rPr>
                <w:rFonts w:cs="Tahoma"/>
                <w:b/>
                <w:bCs/>
              </w:rPr>
            </w:pPr>
            <w:r w:rsidRPr="00704D34">
              <w:rPr>
                <w:rFonts w:cs="Tahoma"/>
                <w:color w:val="000000" w:themeColor="text1"/>
              </w:rPr>
              <w:t>NR</w:t>
            </w:r>
          </w:p>
        </w:tc>
        <w:tc>
          <w:tcPr>
            <w:tcW w:w="969" w:type="dxa"/>
            <w:vAlign w:val="center"/>
          </w:tcPr>
          <w:p w14:paraId="3348E392" w14:textId="77777777" w:rsidR="00704D34" w:rsidRPr="00704D34" w:rsidRDefault="00704D34" w:rsidP="00704D34">
            <w:pPr>
              <w:keepNext/>
              <w:spacing w:before="10" w:after="10"/>
              <w:jc w:val="center"/>
              <w:rPr>
                <w:rFonts w:cs="Tahoma"/>
                <w:b/>
                <w:bCs/>
                <w:color w:val="000000" w:themeColor="text1"/>
              </w:rPr>
            </w:pPr>
            <w:r w:rsidRPr="00704D34">
              <w:rPr>
                <w:rFonts w:cs="Tahoma"/>
                <w:color w:val="000000" w:themeColor="text1"/>
              </w:rPr>
              <w:t>3/11 (27)</w:t>
            </w:r>
          </w:p>
        </w:tc>
        <w:tc>
          <w:tcPr>
            <w:tcW w:w="969" w:type="dxa"/>
            <w:vAlign w:val="center"/>
          </w:tcPr>
          <w:p w14:paraId="0E4F3866" w14:textId="77777777" w:rsidR="00704D34" w:rsidRPr="00704D34" w:rsidRDefault="00704D34" w:rsidP="00704D34">
            <w:pPr>
              <w:keepNext/>
              <w:spacing w:before="10" w:after="10"/>
              <w:jc w:val="center"/>
              <w:rPr>
                <w:rFonts w:cs="Tahoma"/>
                <w:b/>
                <w:bCs/>
              </w:rPr>
            </w:pPr>
            <w:r w:rsidRPr="00704D34">
              <w:rPr>
                <w:rFonts w:cs="Tahoma"/>
                <w:color w:val="000000" w:themeColor="text1"/>
              </w:rPr>
              <w:t>8/21 (38)</w:t>
            </w:r>
          </w:p>
        </w:tc>
      </w:tr>
      <w:tr w:rsidR="00704D34" w:rsidRPr="00704D34" w14:paraId="7EC23864" w14:textId="77777777" w:rsidTr="00D56273">
        <w:trPr>
          <w:cnfStyle w:val="100000000000" w:firstRow="1" w:lastRow="0" w:firstColumn="0" w:lastColumn="0" w:oddVBand="0" w:evenVBand="0" w:oddHBand="0" w:evenHBand="0" w:firstRowFirstColumn="0" w:firstRowLastColumn="0" w:lastRowFirstColumn="0" w:lastRowLastColumn="0"/>
          <w:tblHeader/>
        </w:trPr>
        <w:tc>
          <w:tcPr>
            <w:tcW w:w="1305" w:type="dxa"/>
            <w:vAlign w:val="center"/>
          </w:tcPr>
          <w:p w14:paraId="1FA2D006" w14:textId="77777777" w:rsidR="00704D34" w:rsidRPr="00704D34" w:rsidRDefault="00704D34" w:rsidP="00704D34">
            <w:pPr>
              <w:keepNext/>
              <w:spacing w:before="10" w:after="10"/>
              <w:rPr>
                <w:rFonts w:cs="Tahoma"/>
              </w:rPr>
            </w:pPr>
            <w:r w:rsidRPr="00704D34">
              <w:rPr>
                <w:rFonts w:cs="Tahoma"/>
              </w:rPr>
              <w:t>Week 24</w:t>
            </w:r>
          </w:p>
        </w:tc>
        <w:tc>
          <w:tcPr>
            <w:tcW w:w="1046" w:type="dxa"/>
          </w:tcPr>
          <w:p w14:paraId="44133EA3" w14:textId="77777777" w:rsidR="00704D34" w:rsidRPr="00704D34" w:rsidRDefault="00704D34" w:rsidP="00704D34">
            <w:pPr>
              <w:keepNext/>
              <w:spacing w:before="10" w:after="10"/>
              <w:jc w:val="center"/>
              <w:rPr>
                <w:rFonts w:cs="Tahoma"/>
                <w:b/>
                <w:bCs/>
              </w:rPr>
            </w:pPr>
            <w:r w:rsidRPr="00704D34">
              <w:rPr>
                <w:rFonts w:cs="Tahoma"/>
              </w:rPr>
              <w:t>NR</w:t>
            </w:r>
          </w:p>
        </w:tc>
        <w:tc>
          <w:tcPr>
            <w:tcW w:w="1046" w:type="dxa"/>
          </w:tcPr>
          <w:p w14:paraId="3156BF7E" w14:textId="77777777" w:rsidR="00704D34" w:rsidRPr="00704D34" w:rsidRDefault="00704D34" w:rsidP="00704D34">
            <w:pPr>
              <w:keepNext/>
              <w:spacing w:before="10" w:after="10"/>
              <w:jc w:val="center"/>
              <w:rPr>
                <w:rFonts w:cs="Tahoma"/>
                <w:b/>
                <w:bCs/>
              </w:rPr>
            </w:pPr>
            <w:r w:rsidRPr="00704D34">
              <w:rPr>
                <w:rFonts w:cs="Tahoma"/>
              </w:rPr>
              <w:t>NR</w:t>
            </w:r>
          </w:p>
        </w:tc>
        <w:tc>
          <w:tcPr>
            <w:tcW w:w="968" w:type="dxa"/>
            <w:vAlign w:val="center"/>
          </w:tcPr>
          <w:p w14:paraId="67FD1B2A" w14:textId="77777777" w:rsidR="00704D34" w:rsidRPr="00704D34" w:rsidRDefault="00704D34" w:rsidP="00704D34">
            <w:pPr>
              <w:keepNext/>
              <w:spacing w:before="10" w:after="10"/>
              <w:jc w:val="center"/>
              <w:rPr>
                <w:rFonts w:cs="Tahoma"/>
                <w:b/>
                <w:bCs/>
                <w:color w:val="000000" w:themeColor="text1"/>
              </w:rPr>
            </w:pPr>
            <w:r w:rsidRPr="00704D34">
              <w:rPr>
                <w:rFonts w:cs="Tahoma"/>
                <w:color w:val="000000" w:themeColor="text1"/>
              </w:rPr>
              <w:t>9/29 (31)</w:t>
            </w:r>
          </w:p>
        </w:tc>
        <w:tc>
          <w:tcPr>
            <w:tcW w:w="969" w:type="dxa"/>
            <w:vAlign w:val="center"/>
          </w:tcPr>
          <w:p w14:paraId="740804A7" w14:textId="77777777" w:rsidR="00704D34" w:rsidRPr="00704D34" w:rsidRDefault="00704D34" w:rsidP="00704D34">
            <w:pPr>
              <w:keepNext/>
              <w:spacing w:before="10" w:after="10"/>
              <w:jc w:val="center"/>
              <w:rPr>
                <w:rFonts w:cs="Tahoma"/>
                <w:b/>
                <w:bCs/>
                <w:color w:val="000000" w:themeColor="text1"/>
              </w:rPr>
            </w:pPr>
            <w:r w:rsidRPr="00704D34">
              <w:rPr>
                <w:rFonts w:cs="Tahoma"/>
                <w:color w:val="000000" w:themeColor="text1"/>
              </w:rPr>
              <w:t>NR</w:t>
            </w:r>
          </w:p>
        </w:tc>
        <w:tc>
          <w:tcPr>
            <w:tcW w:w="969" w:type="dxa"/>
            <w:vAlign w:val="center"/>
          </w:tcPr>
          <w:p w14:paraId="72A7782C" w14:textId="77777777" w:rsidR="00704D34" w:rsidRPr="00704D34" w:rsidRDefault="00704D34" w:rsidP="00704D34">
            <w:pPr>
              <w:keepNext/>
              <w:spacing w:before="10" w:after="10"/>
              <w:jc w:val="center"/>
              <w:rPr>
                <w:rFonts w:cs="Tahoma"/>
                <w:color w:val="000000" w:themeColor="text1"/>
                <w:vertAlign w:val="superscript"/>
              </w:rPr>
            </w:pPr>
            <w:r w:rsidRPr="00704D34">
              <w:rPr>
                <w:rFonts w:cs="Tahoma"/>
                <w:color w:val="000000" w:themeColor="text1"/>
              </w:rPr>
              <w:t>10/14 (71)</w:t>
            </w:r>
            <w:r w:rsidRPr="00704D34">
              <w:rPr>
                <w:rFonts w:cs="Tahoma"/>
                <w:color w:val="000000" w:themeColor="text1"/>
                <w:vertAlign w:val="superscript"/>
              </w:rPr>
              <w:t>a</w:t>
            </w:r>
          </w:p>
          <w:p w14:paraId="1DBA136B" w14:textId="77777777" w:rsidR="00704D34" w:rsidRPr="00704D34" w:rsidRDefault="00704D34" w:rsidP="00704D34">
            <w:pPr>
              <w:keepNext/>
              <w:spacing w:before="10" w:after="10"/>
              <w:jc w:val="center"/>
              <w:rPr>
                <w:rFonts w:cs="Tahoma"/>
                <w:b/>
                <w:bCs/>
                <w:color w:val="000000" w:themeColor="text1"/>
              </w:rPr>
            </w:pPr>
            <w:r w:rsidRPr="00704D34">
              <w:rPr>
                <w:rFonts w:cs="Tahoma"/>
                <w:i/>
                <w:iCs/>
                <w:color w:val="000000" w:themeColor="text1"/>
              </w:rPr>
              <w:t>8/10 (80)</w:t>
            </w:r>
            <w:r w:rsidRPr="00704D34">
              <w:rPr>
                <w:rFonts w:cs="Tahoma"/>
                <w:i/>
                <w:iCs/>
                <w:color w:val="000000" w:themeColor="text1"/>
                <w:vertAlign w:val="superscript"/>
              </w:rPr>
              <w:t>b</w:t>
            </w:r>
          </w:p>
        </w:tc>
        <w:tc>
          <w:tcPr>
            <w:tcW w:w="968" w:type="dxa"/>
            <w:vAlign w:val="center"/>
          </w:tcPr>
          <w:p w14:paraId="0687A4D9" w14:textId="77777777" w:rsidR="00704D34" w:rsidRPr="00704D34" w:rsidRDefault="00704D34" w:rsidP="00704D34">
            <w:pPr>
              <w:keepNext/>
              <w:spacing w:before="10" w:after="10"/>
              <w:jc w:val="center"/>
              <w:rPr>
                <w:rFonts w:cs="Tahoma"/>
                <w:b/>
                <w:bCs/>
              </w:rPr>
            </w:pPr>
            <w:r w:rsidRPr="00704D34">
              <w:rPr>
                <w:rFonts w:cs="Tahoma"/>
                <w:color w:val="000000" w:themeColor="text1"/>
              </w:rPr>
              <w:t>NR</w:t>
            </w:r>
          </w:p>
        </w:tc>
        <w:tc>
          <w:tcPr>
            <w:tcW w:w="969" w:type="dxa"/>
            <w:vAlign w:val="center"/>
          </w:tcPr>
          <w:p w14:paraId="1CCBDC6B" w14:textId="77777777" w:rsidR="00704D34" w:rsidRPr="00704D34" w:rsidRDefault="00704D34" w:rsidP="00704D34">
            <w:pPr>
              <w:keepNext/>
              <w:spacing w:before="10" w:after="10"/>
              <w:jc w:val="center"/>
              <w:rPr>
                <w:rFonts w:cs="Tahoma"/>
                <w:b/>
                <w:bCs/>
                <w:color w:val="000000" w:themeColor="text1"/>
              </w:rPr>
            </w:pPr>
            <w:r w:rsidRPr="00704D34">
              <w:rPr>
                <w:rFonts w:cs="Tahoma"/>
                <w:color w:val="000000" w:themeColor="text1"/>
              </w:rPr>
              <w:t>3/11 (27)</w:t>
            </w:r>
          </w:p>
        </w:tc>
        <w:tc>
          <w:tcPr>
            <w:tcW w:w="969" w:type="dxa"/>
            <w:vAlign w:val="center"/>
          </w:tcPr>
          <w:p w14:paraId="53D3C891" w14:textId="77777777" w:rsidR="00704D34" w:rsidRPr="00704D34" w:rsidRDefault="00704D34" w:rsidP="00704D34">
            <w:pPr>
              <w:keepNext/>
              <w:spacing w:before="10" w:after="10"/>
              <w:jc w:val="center"/>
              <w:rPr>
                <w:rFonts w:cs="Tahoma"/>
                <w:b/>
                <w:bCs/>
              </w:rPr>
            </w:pPr>
            <w:r w:rsidRPr="00704D34">
              <w:rPr>
                <w:rFonts w:cs="Tahoma"/>
                <w:color w:val="000000" w:themeColor="text1"/>
              </w:rPr>
              <w:t>10/21 (48)</w:t>
            </w:r>
          </w:p>
        </w:tc>
      </w:tr>
      <w:tr w:rsidR="00704D34" w:rsidRPr="00704D34" w14:paraId="0224B3BC" w14:textId="77777777" w:rsidTr="00D56273">
        <w:trPr>
          <w:cnfStyle w:val="100000000000" w:firstRow="1" w:lastRow="0" w:firstColumn="0" w:lastColumn="0" w:oddVBand="0" w:evenVBand="0" w:oddHBand="0" w:evenHBand="0" w:firstRowFirstColumn="0" w:firstRowLastColumn="0" w:lastRowFirstColumn="0" w:lastRowLastColumn="0"/>
          <w:tblHeader/>
        </w:trPr>
        <w:tc>
          <w:tcPr>
            <w:tcW w:w="1305" w:type="dxa"/>
          </w:tcPr>
          <w:p w14:paraId="7BFA4CBC" w14:textId="77777777" w:rsidR="00704D34" w:rsidRPr="00704D34" w:rsidRDefault="00704D34" w:rsidP="00704D34">
            <w:pPr>
              <w:keepNext/>
              <w:spacing w:before="10" w:after="10"/>
              <w:rPr>
                <w:rFonts w:cs="Tahoma"/>
              </w:rPr>
            </w:pPr>
            <w:r w:rsidRPr="00704D34">
              <w:rPr>
                <w:rFonts w:cs="Tahoma"/>
              </w:rPr>
              <w:t>Week 36</w:t>
            </w:r>
          </w:p>
        </w:tc>
        <w:tc>
          <w:tcPr>
            <w:tcW w:w="1046" w:type="dxa"/>
          </w:tcPr>
          <w:p w14:paraId="4C5EC49A" w14:textId="77777777" w:rsidR="00704D34" w:rsidRPr="00704D34" w:rsidRDefault="00704D34" w:rsidP="00704D34">
            <w:pPr>
              <w:keepNext/>
              <w:spacing w:before="10" w:after="10"/>
              <w:jc w:val="center"/>
              <w:rPr>
                <w:rFonts w:cs="Tahoma"/>
                <w:b/>
                <w:bCs/>
              </w:rPr>
            </w:pPr>
            <w:r w:rsidRPr="00704D34">
              <w:rPr>
                <w:rFonts w:cs="Tahoma"/>
              </w:rPr>
              <w:t>NR</w:t>
            </w:r>
          </w:p>
        </w:tc>
        <w:tc>
          <w:tcPr>
            <w:tcW w:w="1046" w:type="dxa"/>
          </w:tcPr>
          <w:p w14:paraId="6AA92EF8" w14:textId="77777777" w:rsidR="00704D34" w:rsidRPr="00704D34" w:rsidRDefault="00704D34" w:rsidP="00704D34">
            <w:pPr>
              <w:keepNext/>
              <w:spacing w:before="10" w:after="10"/>
              <w:jc w:val="center"/>
              <w:rPr>
                <w:rFonts w:cs="Tahoma"/>
                <w:b/>
                <w:bCs/>
              </w:rPr>
            </w:pPr>
            <w:r w:rsidRPr="00704D34">
              <w:rPr>
                <w:rFonts w:cs="Tahoma"/>
              </w:rPr>
              <w:t>NR</w:t>
            </w:r>
          </w:p>
        </w:tc>
        <w:tc>
          <w:tcPr>
            <w:tcW w:w="968" w:type="dxa"/>
          </w:tcPr>
          <w:p w14:paraId="777BD6ED" w14:textId="77777777" w:rsidR="00704D34" w:rsidRPr="00704D34" w:rsidRDefault="00704D34" w:rsidP="00704D34">
            <w:pPr>
              <w:keepNext/>
              <w:spacing w:before="10" w:after="10"/>
              <w:jc w:val="center"/>
              <w:rPr>
                <w:rFonts w:cs="Tahoma"/>
                <w:b/>
                <w:bCs/>
                <w:color w:val="000000" w:themeColor="text1"/>
              </w:rPr>
            </w:pPr>
            <w:r w:rsidRPr="00704D34">
              <w:rPr>
                <w:rFonts w:cs="Tahoma"/>
                <w:color w:val="000000" w:themeColor="text1"/>
              </w:rPr>
              <w:t>NR</w:t>
            </w:r>
          </w:p>
        </w:tc>
        <w:tc>
          <w:tcPr>
            <w:tcW w:w="969" w:type="dxa"/>
          </w:tcPr>
          <w:p w14:paraId="64F14572" w14:textId="77777777" w:rsidR="00704D34" w:rsidRPr="00704D34" w:rsidRDefault="00704D34" w:rsidP="00704D34">
            <w:pPr>
              <w:keepNext/>
              <w:spacing w:before="10" w:after="10"/>
              <w:jc w:val="center"/>
              <w:rPr>
                <w:rFonts w:cs="Tahoma"/>
                <w:b/>
                <w:bCs/>
                <w:color w:val="000000" w:themeColor="text1"/>
              </w:rPr>
            </w:pPr>
            <w:r w:rsidRPr="00704D34">
              <w:rPr>
                <w:rFonts w:cs="Tahoma"/>
                <w:color w:val="000000" w:themeColor="text1"/>
              </w:rPr>
              <w:t>NR</w:t>
            </w:r>
          </w:p>
        </w:tc>
        <w:tc>
          <w:tcPr>
            <w:tcW w:w="969" w:type="dxa"/>
          </w:tcPr>
          <w:p w14:paraId="1702104A" w14:textId="77777777" w:rsidR="00704D34" w:rsidRPr="00704D34" w:rsidRDefault="00704D34" w:rsidP="00704D34">
            <w:pPr>
              <w:keepNext/>
              <w:spacing w:before="10" w:after="10"/>
              <w:jc w:val="center"/>
              <w:rPr>
                <w:rFonts w:cs="Tahoma"/>
                <w:b/>
                <w:bCs/>
                <w:color w:val="000000" w:themeColor="text1"/>
              </w:rPr>
            </w:pPr>
            <w:r w:rsidRPr="00704D34">
              <w:rPr>
                <w:rFonts w:cs="Tahoma"/>
                <w:color w:val="000000" w:themeColor="text1"/>
              </w:rPr>
              <w:t>NR</w:t>
            </w:r>
          </w:p>
        </w:tc>
        <w:tc>
          <w:tcPr>
            <w:tcW w:w="968" w:type="dxa"/>
          </w:tcPr>
          <w:p w14:paraId="4537B39C" w14:textId="77777777" w:rsidR="00704D34" w:rsidRPr="00704D34" w:rsidRDefault="00704D34" w:rsidP="00704D34">
            <w:pPr>
              <w:keepNext/>
              <w:spacing w:before="10" w:after="10"/>
              <w:jc w:val="center"/>
              <w:rPr>
                <w:rFonts w:cs="Tahoma"/>
                <w:b/>
                <w:bCs/>
              </w:rPr>
            </w:pPr>
            <w:r w:rsidRPr="00704D34">
              <w:rPr>
                <w:rFonts w:cs="Tahoma"/>
                <w:color w:val="000000" w:themeColor="text1"/>
              </w:rPr>
              <w:t>NR</w:t>
            </w:r>
          </w:p>
        </w:tc>
        <w:tc>
          <w:tcPr>
            <w:tcW w:w="969" w:type="dxa"/>
            <w:vAlign w:val="center"/>
          </w:tcPr>
          <w:p w14:paraId="04F24184" w14:textId="77777777" w:rsidR="00704D34" w:rsidRPr="00704D34" w:rsidRDefault="00704D34" w:rsidP="00704D34">
            <w:pPr>
              <w:keepNext/>
              <w:spacing w:before="10" w:after="10"/>
              <w:jc w:val="center"/>
              <w:rPr>
                <w:rFonts w:cs="Tahoma"/>
                <w:b/>
                <w:bCs/>
                <w:color w:val="000000" w:themeColor="text1"/>
              </w:rPr>
            </w:pPr>
            <w:r w:rsidRPr="00704D34">
              <w:rPr>
                <w:rFonts w:cs="Tahoma"/>
                <w:color w:val="000000" w:themeColor="text1"/>
              </w:rPr>
              <w:t>4/11 (36)</w:t>
            </w:r>
          </w:p>
        </w:tc>
        <w:tc>
          <w:tcPr>
            <w:tcW w:w="969" w:type="dxa"/>
            <w:vAlign w:val="center"/>
          </w:tcPr>
          <w:p w14:paraId="5CC81043" w14:textId="77777777" w:rsidR="00704D34" w:rsidRPr="00704D34" w:rsidRDefault="00704D34" w:rsidP="00704D34">
            <w:pPr>
              <w:keepNext/>
              <w:spacing w:before="10" w:after="10"/>
              <w:jc w:val="center"/>
              <w:rPr>
                <w:rFonts w:cs="Tahoma"/>
                <w:b/>
                <w:bCs/>
              </w:rPr>
            </w:pPr>
            <w:r w:rsidRPr="00704D34">
              <w:rPr>
                <w:rFonts w:cs="Tahoma"/>
                <w:color w:val="000000" w:themeColor="text1"/>
              </w:rPr>
              <w:t>NR</w:t>
            </w:r>
          </w:p>
        </w:tc>
      </w:tr>
      <w:tr w:rsidR="00704D34" w:rsidRPr="00704D34" w14:paraId="148E5A45" w14:textId="77777777" w:rsidTr="00D56273">
        <w:trPr>
          <w:cnfStyle w:val="100000000000" w:firstRow="1" w:lastRow="0" w:firstColumn="0" w:lastColumn="0" w:oddVBand="0" w:evenVBand="0" w:oddHBand="0" w:evenHBand="0" w:firstRowFirstColumn="0" w:firstRowLastColumn="0" w:lastRowFirstColumn="0" w:lastRowLastColumn="0"/>
          <w:tblHeader/>
        </w:trPr>
        <w:tc>
          <w:tcPr>
            <w:tcW w:w="1305" w:type="dxa"/>
          </w:tcPr>
          <w:p w14:paraId="550FDB28" w14:textId="77777777" w:rsidR="00704D34" w:rsidRPr="00704D34" w:rsidRDefault="00704D34" w:rsidP="00704D34">
            <w:pPr>
              <w:keepNext/>
              <w:spacing w:before="10" w:after="10"/>
              <w:rPr>
                <w:rFonts w:cs="Tahoma"/>
              </w:rPr>
            </w:pPr>
            <w:r w:rsidRPr="00704D34">
              <w:rPr>
                <w:rFonts w:cs="Tahoma"/>
              </w:rPr>
              <w:t>Final visit</w:t>
            </w:r>
          </w:p>
        </w:tc>
        <w:tc>
          <w:tcPr>
            <w:tcW w:w="1046" w:type="dxa"/>
          </w:tcPr>
          <w:p w14:paraId="5C577FA6" w14:textId="77777777" w:rsidR="00704D34" w:rsidRPr="00704D34" w:rsidRDefault="00704D34" w:rsidP="00704D34">
            <w:pPr>
              <w:keepNext/>
              <w:spacing w:before="10" w:after="10"/>
              <w:jc w:val="center"/>
              <w:rPr>
                <w:rFonts w:cs="Tahoma"/>
                <w:b/>
                <w:bCs/>
              </w:rPr>
            </w:pPr>
            <w:r w:rsidRPr="00704D34">
              <w:rPr>
                <w:rFonts w:cs="Tahoma"/>
              </w:rPr>
              <w:t>NR</w:t>
            </w:r>
          </w:p>
        </w:tc>
        <w:tc>
          <w:tcPr>
            <w:tcW w:w="1046" w:type="dxa"/>
          </w:tcPr>
          <w:p w14:paraId="23C8E649" w14:textId="77777777" w:rsidR="00704D34" w:rsidRPr="00704D34" w:rsidRDefault="00704D34" w:rsidP="00704D34">
            <w:pPr>
              <w:keepNext/>
              <w:spacing w:before="10" w:after="10"/>
              <w:jc w:val="center"/>
              <w:rPr>
                <w:rFonts w:cs="Tahoma"/>
                <w:b/>
                <w:bCs/>
              </w:rPr>
            </w:pPr>
            <w:r w:rsidRPr="00704D34">
              <w:rPr>
                <w:rFonts w:cs="Tahoma"/>
              </w:rPr>
              <w:t>NR</w:t>
            </w:r>
          </w:p>
        </w:tc>
        <w:tc>
          <w:tcPr>
            <w:tcW w:w="968" w:type="dxa"/>
          </w:tcPr>
          <w:p w14:paraId="6D375655" w14:textId="77777777" w:rsidR="00704D34" w:rsidRPr="00704D34" w:rsidRDefault="00704D34" w:rsidP="00704D34">
            <w:pPr>
              <w:keepNext/>
              <w:spacing w:before="10" w:after="10"/>
              <w:jc w:val="center"/>
              <w:rPr>
                <w:rFonts w:cs="Tahoma"/>
                <w:b/>
                <w:bCs/>
                <w:color w:val="000000" w:themeColor="text1"/>
              </w:rPr>
            </w:pPr>
            <w:r w:rsidRPr="00704D34">
              <w:rPr>
                <w:rFonts w:cs="Tahoma"/>
                <w:color w:val="000000" w:themeColor="text1"/>
              </w:rPr>
              <w:t>NR</w:t>
            </w:r>
          </w:p>
        </w:tc>
        <w:tc>
          <w:tcPr>
            <w:tcW w:w="969" w:type="dxa"/>
            <w:vAlign w:val="center"/>
          </w:tcPr>
          <w:p w14:paraId="7EF7F695" w14:textId="77777777" w:rsidR="00704D34" w:rsidRPr="00704D34" w:rsidRDefault="00704D34" w:rsidP="00704D34">
            <w:pPr>
              <w:keepNext/>
              <w:spacing w:before="10" w:after="10"/>
              <w:jc w:val="center"/>
              <w:rPr>
                <w:rFonts w:cs="Tahoma"/>
                <w:b/>
                <w:bCs/>
                <w:color w:val="000000" w:themeColor="text1"/>
              </w:rPr>
            </w:pPr>
            <w:r w:rsidRPr="00704D34">
              <w:rPr>
                <w:rFonts w:cs="Tahoma"/>
                <w:color w:val="000000" w:themeColor="text1"/>
              </w:rPr>
              <w:t>30/38 (79)</w:t>
            </w:r>
          </w:p>
        </w:tc>
        <w:tc>
          <w:tcPr>
            <w:tcW w:w="969" w:type="dxa"/>
          </w:tcPr>
          <w:p w14:paraId="09BBAE24" w14:textId="77777777" w:rsidR="00704D34" w:rsidRPr="00704D34" w:rsidRDefault="00704D34" w:rsidP="00704D34">
            <w:pPr>
              <w:keepNext/>
              <w:spacing w:before="10" w:after="10"/>
              <w:jc w:val="center"/>
              <w:rPr>
                <w:rFonts w:cs="Tahoma"/>
                <w:b/>
                <w:bCs/>
                <w:color w:val="000000" w:themeColor="text1"/>
              </w:rPr>
            </w:pPr>
            <w:r w:rsidRPr="00704D34">
              <w:rPr>
                <w:rFonts w:cs="Tahoma"/>
                <w:color w:val="000000" w:themeColor="text1"/>
              </w:rPr>
              <w:t>NR</w:t>
            </w:r>
          </w:p>
        </w:tc>
        <w:tc>
          <w:tcPr>
            <w:tcW w:w="968" w:type="dxa"/>
            <w:vAlign w:val="center"/>
          </w:tcPr>
          <w:p w14:paraId="00143FDF" w14:textId="77777777" w:rsidR="00704D34" w:rsidRPr="00704D34" w:rsidRDefault="00704D34" w:rsidP="00704D34">
            <w:pPr>
              <w:keepNext/>
              <w:spacing w:before="10" w:after="10"/>
              <w:jc w:val="center"/>
              <w:rPr>
                <w:rFonts w:cs="Tahoma"/>
                <w:b/>
                <w:bCs/>
              </w:rPr>
            </w:pPr>
            <w:r w:rsidRPr="00704D34">
              <w:rPr>
                <w:rFonts w:cs="Tahoma"/>
                <w:color w:val="000000" w:themeColor="text1"/>
              </w:rPr>
              <w:t>20/25 (80)</w:t>
            </w:r>
          </w:p>
        </w:tc>
        <w:tc>
          <w:tcPr>
            <w:tcW w:w="969" w:type="dxa"/>
          </w:tcPr>
          <w:p w14:paraId="23E3089C" w14:textId="77777777" w:rsidR="00704D34" w:rsidRPr="00704D34" w:rsidRDefault="00704D34" w:rsidP="00704D34">
            <w:pPr>
              <w:keepNext/>
              <w:spacing w:before="10" w:after="10"/>
              <w:jc w:val="center"/>
              <w:rPr>
                <w:rFonts w:cs="Tahoma"/>
                <w:b/>
                <w:bCs/>
                <w:color w:val="000000" w:themeColor="text1"/>
              </w:rPr>
            </w:pPr>
            <w:r w:rsidRPr="00704D34">
              <w:rPr>
                <w:rFonts w:cs="Tahoma"/>
                <w:color w:val="000000" w:themeColor="text1"/>
              </w:rPr>
              <w:t>NR</w:t>
            </w:r>
          </w:p>
        </w:tc>
        <w:tc>
          <w:tcPr>
            <w:tcW w:w="969" w:type="dxa"/>
          </w:tcPr>
          <w:p w14:paraId="57CDFDCC" w14:textId="77777777" w:rsidR="00704D34" w:rsidRPr="00704D34" w:rsidRDefault="00704D34" w:rsidP="00704D34">
            <w:pPr>
              <w:keepNext/>
              <w:spacing w:before="10" w:after="10"/>
              <w:jc w:val="center"/>
              <w:rPr>
                <w:rFonts w:cs="Tahoma"/>
                <w:b/>
                <w:bCs/>
              </w:rPr>
            </w:pPr>
            <w:r w:rsidRPr="00704D34">
              <w:rPr>
                <w:rFonts w:cs="Tahoma"/>
                <w:color w:val="000000" w:themeColor="text1"/>
              </w:rPr>
              <w:t>NR</w:t>
            </w:r>
          </w:p>
        </w:tc>
      </w:tr>
      <w:tr w:rsidR="00704D34" w:rsidRPr="00704D34" w14:paraId="442104E7" w14:textId="77777777" w:rsidTr="00D56273">
        <w:tc>
          <w:tcPr>
            <w:tcW w:w="9209" w:type="dxa"/>
            <w:gridSpan w:val="9"/>
            <w:vAlign w:val="center"/>
          </w:tcPr>
          <w:p w14:paraId="3429D6C5" w14:textId="2A832CE7" w:rsidR="00704D34" w:rsidRPr="00704D34" w:rsidRDefault="00704D34" w:rsidP="00704D34">
            <w:pPr>
              <w:keepNext/>
              <w:spacing w:before="10" w:after="10"/>
              <w:rPr>
                <w:rFonts w:cs="Tahoma"/>
              </w:rPr>
            </w:pPr>
            <w:r w:rsidRPr="00704D34">
              <w:rPr>
                <w:rFonts w:cs="Tahoma"/>
                <w:b/>
                <w:bCs/>
              </w:rPr>
              <w:t>Ocular</w:t>
            </w:r>
          </w:p>
        </w:tc>
      </w:tr>
      <w:tr w:rsidR="00704D34" w:rsidRPr="00704D34" w14:paraId="784B617B" w14:textId="77777777" w:rsidTr="00D56273">
        <w:tc>
          <w:tcPr>
            <w:tcW w:w="1305" w:type="dxa"/>
            <w:vAlign w:val="center"/>
          </w:tcPr>
          <w:p w14:paraId="41C5FABE" w14:textId="77777777" w:rsidR="00704D34" w:rsidRPr="00704D34" w:rsidRDefault="00704D34" w:rsidP="00704D34">
            <w:pPr>
              <w:keepNext/>
              <w:spacing w:before="10" w:after="10"/>
              <w:rPr>
                <w:rFonts w:cs="Tahoma"/>
              </w:rPr>
            </w:pPr>
            <w:r w:rsidRPr="00704D34">
              <w:rPr>
                <w:rFonts w:cs="Tahoma"/>
              </w:rPr>
              <w:t>Week 12</w:t>
            </w:r>
          </w:p>
        </w:tc>
        <w:tc>
          <w:tcPr>
            <w:tcW w:w="1046" w:type="dxa"/>
            <w:vAlign w:val="center"/>
          </w:tcPr>
          <w:p w14:paraId="63312948" w14:textId="77777777" w:rsidR="00704D34" w:rsidRPr="00704D34" w:rsidRDefault="00704D34" w:rsidP="00704D34">
            <w:pPr>
              <w:keepNext/>
              <w:spacing w:before="10" w:after="10"/>
              <w:jc w:val="center"/>
              <w:rPr>
                <w:rFonts w:cs="Tahoma"/>
                <w:b/>
                <w:bCs/>
              </w:rPr>
            </w:pPr>
            <w:r w:rsidRPr="00704D34">
              <w:rPr>
                <w:rFonts w:cs="Tahoma"/>
                <w:b/>
                <w:bCs/>
              </w:rPr>
              <w:t>8/27 (30)</w:t>
            </w:r>
          </w:p>
        </w:tc>
        <w:tc>
          <w:tcPr>
            <w:tcW w:w="1046" w:type="dxa"/>
            <w:vAlign w:val="center"/>
          </w:tcPr>
          <w:p w14:paraId="70099C53" w14:textId="77777777" w:rsidR="00704D34" w:rsidRPr="00704D34" w:rsidRDefault="00704D34" w:rsidP="00704D34">
            <w:pPr>
              <w:keepNext/>
              <w:spacing w:before="10" w:after="10"/>
              <w:jc w:val="center"/>
              <w:rPr>
                <w:rFonts w:cs="Tahoma"/>
                <w:b/>
                <w:bCs/>
              </w:rPr>
            </w:pPr>
            <w:r w:rsidRPr="00704D34">
              <w:rPr>
                <w:rFonts w:cs="Tahoma"/>
                <w:b/>
                <w:bCs/>
              </w:rPr>
              <w:t>2/28 (7)</w:t>
            </w:r>
          </w:p>
        </w:tc>
        <w:tc>
          <w:tcPr>
            <w:tcW w:w="968" w:type="dxa"/>
            <w:vAlign w:val="center"/>
          </w:tcPr>
          <w:p w14:paraId="3BBF0EF1" w14:textId="77777777" w:rsidR="00704D34" w:rsidRPr="00704D34" w:rsidRDefault="00704D34" w:rsidP="00704D34">
            <w:pPr>
              <w:keepNext/>
              <w:spacing w:before="10" w:after="10"/>
              <w:jc w:val="center"/>
              <w:rPr>
                <w:rFonts w:cs="Tahoma"/>
              </w:rPr>
            </w:pPr>
            <w:r w:rsidRPr="00704D34">
              <w:rPr>
                <w:rFonts w:cs="Tahoma"/>
              </w:rPr>
              <w:t>4/15 (27)</w:t>
            </w:r>
          </w:p>
        </w:tc>
        <w:tc>
          <w:tcPr>
            <w:tcW w:w="969" w:type="dxa"/>
          </w:tcPr>
          <w:p w14:paraId="2BAD17E2"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2A79F4E5" w14:textId="77777777" w:rsidR="00704D34" w:rsidRPr="00704D34" w:rsidRDefault="00704D34" w:rsidP="00704D34">
            <w:pPr>
              <w:keepNext/>
              <w:spacing w:before="10" w:after="10"/>
              <w:jc w:val="center"/>
              <w:rPr>
                <w:rFonts w:cs="Tahoma"/>
              </w:rPr>
            </w:pPr>
            <w:r w:rsidRPr="00704D34">
              <w:rPr>
                <w:rFonts w:cs="Tahoma"/>
              </w:rPr>
              <w:t>NR</w:t>
            </w:r>
          </w:p>
        </w:tc>
        <w:tc>
          <w:tcPr>
            <w:tcW w:w="968" w:type="dxa"/>
          </w:tcPr>
          <w:p w14:paraId="23B4CD16" w14:textId="77777777" w:rsidR="00704D34" w:rsidRPr="00704D34" w:rsidRDefault="00704D34" w:rsidP="00704D34">
            <w:pPr>
              <w:keepNext/>
              <w:spacing w:before="10" w:after="10"/>
              <w:jc w:val="center"/>
              <w:rPr>
                <w:rFonts w:cs="Tahoma"/>
              </w:rPr>
            </w:pPr>
            <w:r w:rsidRPr="00704D34">
              <w:rPr>
                <w:rFonts w:cs="Tahoma"/>
              </w:rPr>
              <w:t>NR</w:t>
            </w:r>
          </w:p>
        </w:tc>
        <w:tc>
          <w:tcPr>
            <w:tcW w:w="969" w:type="dxa"/>
            <w:vAlign w:val="center"/>
          </w:tcPr>
          <w:p w14:paraId="6A2C7AF0" w14:textId="77777777" w:rsidR="00704D34" w:rsidRPr="00704D34" w:rsidRDefault="00704D34" w:rsidP="00704D34">
            <w:pPr>
              <w:keepNext/>
              <w:spacing w:before="10" w:after="10"/>
              <w:jc w:val="center"/>
              <w:rPr>
                <w:rFonts w:cs="Tahoma"/>
              </w:rPr>
            </w:pPr>
            <w:r w:rsidRPr="00704D34">
              <w:rPr>
                <w:rFonts w:cs="Tahoma"/>
              </w:rPr>
              <w:t>4/13 (31)</w:t>
            </w:r>
          </w:p>
        </w:tc>
        <w:tc>
          <w:tcPr>
            <w:tcW w:w="969" w:type="dxa"/>
          </w:tcPr>
          <w:p w14:paraId="477540FF" w14:textId="77777777" w:rsidR="00704D34" w:rsidRPr="00704D34" w:rsidRDefault="00704D34" w:rsidP="00704D34">
            <w:pPr>
              <w:keepNext/>
              <w:spacing w:before="10" w:after="10"/>
              <w:jc w:val="center"/>
              <w:rPr>
                <w:rFonts w:cs="Tahoma"/>
              </w:rPr>
            </w:pPr>
            <w:r w:rsidRPr="00704D34">
              <w:rPr>
                <w:rFonts w:cs="Tahoma"/>
              </w:rPr>
              <w:t>NR</w:t>
            </w:r>
          </w:p>
        </w:tc>
      </w:tr>
      <w:tr w:rsidR="00704D34" w:rsidRPr="00704D34" w14:paraId="554F99FD" w14:textId="77777777" w:rsidTr="00D56273">
        <w:tc>
          <w:tcPr>
            <w:tcW w:w="1305" w:type="dxa"/>
            <w:vAlign w:val="center"/>
          </w:tcPr>
          <w:p w14:paraId="7EE7ACA2" w14:textId="77777777" w:rsidR="00704D34" w:rsidRPr="00704D34" w:rsidRDefault="00704D34" w:rsidP="00704D34">
            <w:pPr>
              <w:keepNext/>
              <w:spacing w:before="10" w:after="10"/>
              <w:rPr>
                <w:rFonts w:cs="Tahoma"/>
              </w:rPr>
            </w:pPr>
            <w:r w:rsidRPr="00704D34">
              <w:rPr>
                <w:rFonts w:cs="Tahoma"/>
              </w:rPr>
              <w:t>Week 24</w:t>
            </w:r>
          </w:p>
        </w:tc>
        <w:tc>
          <w:tcPr>
            <w:tcW w:w="1046" w:type="dxa"/>
            <w:vAlign w:val="center"/>
          </w:tcPr>
          <w:p w14:paraId="18D6B3EC" w14:textId="77777777" w:rsidR="00704D34" w:rsidRPr="00704D34" w:rsidRDefault="00704D34" w:rsidP="00704D34">
            <w:pPr>
              <w:keepNext/>
              <w:spacing w:before="10" w:after="10"/>
              <w:jc w:val="center"/>
              <w:rPr>
                <w:rFonts w:cs="Tahoma"/>
              </w:rPr>
            </w:pPr>
            <w:r w:rsidRPr="00704D34">
              <w:rPr>
                <w:rFonts w:cs="Tahoma"/>
              </w:rPr>
              <w:t>7/26 (26)</w:t>
            </w:r>
          </w:p>
        </w:tc>
        <w:tc>
          <w:tcPr>
            <w:tcW w:w="1046" w:type="dxa"/>
          </w:tcPr>
          <w:p w14:paraId="7FC11BF4" w14:textId="77777777" w:rsidR="00704D34" w:rsidRPr="00704D34" w:rsidRDefault="00704D34" w:rsidP="00704D34">
            <w:pPr>
              <w:keepNext/>
              <w:spacing w:before="10" w:after="10"/>
              <w:jc w:val="center"/>
              <w:rPr>
                <w:rFonts w:cs="Tahoma"/>
              </w:rPr>
            </w:pPr>
            <w:r w:rsidRPr="00704D34">
              <w:rPr>
                <w:rFonts w:cs="Tahoma"/>
              </w:rPr>
              <w:t>NR</w:t>
            </w:r>
          </w:p>
        </w:tc>
        <w:tc>
          <w:tcPr>
            <w:tcW w:w="968" w:type="dxa"/>
            <w:vAlign w:val="center"/>
          </w:tcPr>
          <w:p w14:paraId="2E5A5AD3" w14:textId="77777777" w:rsidR="00704D34" w:rsidRPr="00704D34" w:rsidRDefault="00704D34" w:rsidP="00704D34">
            <w:pPr>
              <w:keepNext/>
              <w:spacing w:before="10" w:after="10"/>
              <w:jc w:val="center"/>
              <w:rPr>
                <w:rFonts w:cs="Tahoma"/>
              </w:rPr>
            </w:pPr>
            <w:r w:rsidRPr="00704D34">
              <w:rPr>
                <w:rFonts w:cs="Tahoma"/>
              </w:rPr>
              <w:t>7/15 (47)</w:t>
            </w:r>
          </w:p>
        </w:tc>
        <w:tc>
          <w:tcPr>
            <w:tcW w:w="969" w:type="dxa"/>
          </w:tcPr>
          <w:p w14:paraId="5B5B1BCE"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51468ECB" w14:textId="77777777" w:rsidR="00704D34" w:rsidRPr="00704D34" w:rsidRDefault="00704D34" w:rsidP="00704D34">
            <w:pPr>
              <w:keepNext/>
              <w:spacing w:before="10" w:after="10"/>
              <w:jc w:val="center"/>
              <w:rPr>
                <w:rFonts w:cs="Tahoma"/>
                <w:i/>
                <w:iCs/>
                <w:vertAlign w:val="superscript"/>
              </w:rPr>
            </w:pPr>
            <w:r w:rsidRPr="00704D34">
              <w:rPr>
                <w:rFonts w:cs="Tahoma"/>
              </w:rPr>
              <w:t>NR</w:t>
            </w:r>
          </w:p>
        </w:tc>
        <w:tc>
          <w:tcPr>
            <w:tcW w:w="968" w:type="dxa"/>
          </w:tcPr>
          <w:p w14:paraId="1AE0DD3C" w14:textId="77777777" w:rsidR="00704D34" w:rsidRPr="00704D34" w:rsidRDefault="00704D34" w:rsidP="00704D34">
            <w:pPr>
              <w:keepNext/>
              <w:spacing w:before="10" w:after="10"/>
              <w:jc w:val="center"/>
              <w:rPr>
                <w:rFonts w:cs="Tahoma"/>
              </w:rPr>
            </w:pPr>
            <w:r w:rsidRPr="00704D34">
              <w:rPr>
                <w:rFonts w:cs="Tahoma"/>
              </w:rPr>
              <w:t>NR</w:t>
            </w:r>
          </w:p>
        </w:tc>
        <w:tc>
          <w:tcPr>
            <w:tcW w:w="969" w:type="dxa"/>
            <w:vAlign w:val="center"/>
          </w:tcPr>
          <w:p w14:paraId="3F941852" w14:textId="77777777" w:rsidR="00704D34" w:rsidRPr="00704D34" w:rsidRDefault="00704D34" w:rsidP="00704D34">
            <w:pPr>
              <w:keepNext/>
              <w:spacing w:before="10" w:after="10"/>
              <w:jc w:val="center"/>
              <w:rPr>
                <w:rFonts w:cs="Tahoma"/>
              </w:rPr>
            </w:pPr>
            <w:r w:rsidRPr="00704D34">
              <w:rPr>
                <w:rFonts w:cs="Tahoma"/>
              </w:rPr>
              <w:t>4/13 (31)</w:t>
            </w:r>
          </w:p>
        </w:tc>
        <w:tc>
          <w:tcPr>
            <w:tcW w:w="969" w:type="dxa"/>
          </w:tcPr>
          <w:p w14:paraId="2F75CD3E" w14:textId="77777777" w:rsidR="00704D34" w:rsidRPr="00704D34" w:rsidRDefault="00704D34" w:rsidP="00704D34">
            <w:pPr>
              <w:keepNext/>
              <w:spacing w:before="10" w:after="10"/>
              <w:jc w:val="center"/>
              <w:rPr>
                <w:rFonts w:cs="Tahoma"/>
              </w:rPr>
            </w:pPr>
            <w:r w:rsidRPr="00704D34">
              <w:rPr>
                <w:rFonts w:cs="Tahoma"/>
              </w:rPr>
              <w:t>NR</w:t>
            </w:r>
          </w:p>
        </w:tc>
      </w:tr>
      <w:tr w:rsidR="00704D34" w:rsidRPr="00704D34" w14:paraId="6DF03802" w14:textId="77777777" w:rsidTr="00D56273">
        <w:tc>
          <w:tcPr>
            <w:tcW w:w="1305" w:type="dxa"/>
          </w:tcPr>
          <w:p w14:paraId="69D37046" w14:textId="77777777" w:rsidR="00704D34" w:rsidRPr="00704D34" w:rsidRDefault="00704D34" w:rsidP="00704D34">
            <w:pPr>
              <w:keepNext/>
              <w:spacing w:before="10" w:after="10"/>
              <w:rPr>
                <w:rFonts w:cs="Tahoma"/>
              </w:rPr>
            </w:pPr>
            <w:r w:rsidRPr="00704D34">
              <w:rPr>
                <w:rFonts w:cs="Tahoma"/>
              </w:rPr>
              <w:t>Week 36</w:t>
            </w:r>
          </w:p>
        </w:tc>
        <w:tc>
          <w:tcPr>
            <w:tcW w:w="1046" w:type="dxa"/>
          </w:tcPr>
          <w:p w14:paraId="6F8726D0" w14:textId="77777777" w:rsidR="00704D34" w:rsidRPr="00704D34" w:rsidRDefault="00704D34" w:rsidP="00704D34">
            <w:pPr>
              <w:keepNext/>
              <w:spacing w:before="10" w:after="10"/>
              <w:jc w:val="center"/>
              <w:rPr>
                <w:rFonts w:cs="Tahoma"/>
              </w:rPr>
            </w:pPr>
            <w:r w:rsidRPr="00704D34">
              <w:rPr>
                <w:rFonts w:cs="Tahoma"/>
              </w:rPr>
              <w:t>NR</w:t>
            </w:r>
          </w:p>
        </w:tc>
        <w:tc>
          <w:tcPr>
            <w:tcW w:w="1046" w:type="dxa"/>
          </w:tcPr>
          <w:p w14:paraId="2EE8DD4B" w14:textId="77777777" w:rsidR="00704D34" w:rsidRPr="00704D34" w:rsidRDefault="00704D34" w:rsidP="00704D34">
            <w:pPr>
              <w:keepNext/>
              <w:spacing w:before="10" w:after="10"/>
              <w:jc w:val="center"/>
              <w:rPr>
                <w:rFonts w:cs="Tahoma"/>
              </w:rPr>
            </w:pPr>
            <w:r w:rsidRPr="00704D34">
              <w:rPr>
                <w:rFonts w:cs="Tahoma"/>
              </w:rPr>
              <w:t>NR</w:t>
            </w:r>
          </w:p>
        </w:tc>
        <w:tc>
          <w:tcPr>
            <w:tcW w:w="968" w:type="dxa"/>
          </w:tcPr>
          <w:p w14:paraId="367E5718"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27E00D2F"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59669944" w14:textId="77777777" w:rsidR="00704D34" w:rsidRPr="00704D34" w:rsidRDefault="00704D34" w:rsidP="00704D34">
            <w:pPr>
              <w:keepNext/>
              <w:spacing w:before="10" w:after="10"/>
              <w:jc w:val="center"/>
              <w:rPr>
                <w:rFonts w:cs="Tahoma"/>
              </w:rPr>
            </w:pPr>
            <w:r w:rsidRPr="00704D34">
              <w:rPr>
                <w:rFonts w:cs="Tahoma"/>
              </w:rPr>
              <w:t>NR</w:t>
            </w:r>
          </w:p>
        </w:tc>
        <w:tc>
          <w:tcPr>
            <w:tcW w:w="968" w:type="dxa"/>
          </w:tcPr>
          <w:p w14:paraId="5012B3B2"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7884A660" w14:textId="77777777" w:rsidR="00704D34" w:rsidRPr="00704D34" w:rsidRDefault="00704D34" w:rsidP="00704D34">
            <w:pPr>
              <w:keepNext/>
              <w:spacing w:before="10" w:after="10"/>
              <w:jc w:val="center"/>
              <w:rPr>
                <w:rFonts w:cs="Tahoma"/>
              </w:rPr>
            </w:pPr>
            <w:r w:rsidRPr="00704D34">
              <w:rPr>
                <w:rFonts w:cs="Tahoma"/>
              </w:rPr>
              <w:t>3/13 (31)</w:t>
            </w:r>
          </w:p>
        </w:tc>
        <w:tc>
          <w:tcPr>
            <w:tcW w:w="969" w:type="dxa"/>
          </w:tcPr>
          <w:p w14:paraId="13EFB49A" w14:textId="77777777" w:rsidR="00704D34" w:rsidRPr="00704D34" w:rsidRDefault="00704D34" w:rsidP="00704D34">
            <w:pPr>
              <w:keepNext/>
              <w:spacing w:before="10" w:after="10"/>
              <w:jc w:val="center"/>
              <w:rPr>
                <w:rFonts w:cs="Tahoma"/>
              </w:rPr>
            </w:pPr>
            <w:r w:rsidRPr="00704D34">
              <w:rPr>
                <w:rFonts w:cs="Tahoma"/>
              </w:rPr>
              <w:t>NR</w:t>
            </w:r>
          </w:p>
        </w:tc>
      </w:tr>
      <w:tr w:rsidR="00704D34" w:rsidRPr="00704D34" w14:paraId="457B8CDB" w14:textId="77777777" w:rsidTr="00D56273">
        <w:tc>
          <w:tcPr>
            <w:tcW w:w="1305" w:type="dxa"/>
          </w:tcPr>
          <w:p w14:paraId="33A18A2E" w14:textId="77777777" w:rsidR="00704D34" w:rsidRPr="00704D34" w:rsidRDefault="00704D34" w:rsidP="00704D34">
            <w:pPr>
              <w:keepNext/>
              <w:spacing w:before="10" w:after="10"/>
              <w:rPr>
                <w:rFonts w:cs="Tahoma"/>
              </w:rPr>
            </w:pPr>
            <w:r w:rsidRPr="00704D34">
              <w:rPr>
                <w:rFonts w:cs="Tahoma"/>
              </w:rPr>
              <w:t>Final visit</w:t>
            </w:r>
          </w:p>
        </w:tc>
        <w:tc>
          <w:tcPr>
            <w:tcW w:w="1046" w:type="dxa"/>
          </w:tcPr>
          <w:p w14:paraId="573EDE73" w14:textId="77777777" w:rsidR="00704D34" w:rsidRPr="00704D34" w:rsidRDefault="00704D34" w:rsidP="00704D34">
            <w:pPr>
              <w:keepNext/>
              <w:spacing w:before="10" w:after="10"/>
              <w:jc w:val="center"/>
              <w:rPr>
                <w:rFonts w:cs="Tahoma"/>
              </w:rPr>
            </w:pPr>
            <w:r w:rsidRPr="00704D34">
              <w:rPr>
                <w:rFonts w:cs="Tahoma"/>
              </w:rPr>
              <w:t>NR</w:t>
            </w:r>
          </w:p>
        </w:tc>
        <w:tc>
          <w:tcPr>
            <w:tcW w:w="1046" w:type="dxa"/>
          </w:tcPr>
          <w:p w14:paraId="21E8D685" w14:textId="77777777" w:rsidR="00704D34" w:rsidRPr="00704D34" w:rsidRDefault="00704D34" w:rsidP="00704D34">
            <w:pPr>
              <w:keepNext/>
              <w:spacing w:before="10" w:after="10"/>
              <w:jc w:val="center"/>
              <w:rPr>
                <w:rFonts w:cs="Tahoma"/>
              </w:rPr>
            </w:pPr>
            <w:r w:rsidRPr="00704D34">
              <w:rPr>
                <w:rFonts w:cs="Tahoma"/>
              </w:rPr>
              <w:t>NR</w:t>
            </w:r>
          </w:p>
        </w:tc>
        <w:tc>
          <w:tcPr>
            <w:tcW w:w="968" w:type="dxa"/>
          </w:tcPr>
          <w:p w14:paraId="7C7A5FA4" w14:textId="77777777" w:rsidR="00704D34" w:rsidRPr="00704D34" w:rsidRDefault="00704D34" w:rsidP="00704D34">
            <w:pPr>
              <w:keepNext/>
              <w:spacing w:before="10" w:after="10"/>
              <w:jc w:val="center"/>
              <w:rPr>
                <w:rFonts w:cs="Tahoma"/>
              </w:rPr>
            </w:pPr>
            <w:r w:rsidRPr="00704D34">
              <w:rPr>
                <w:rFonts w:cs="Tahoma"/>
              </w:rPr>
              <w:t>NR</w:t>
            </w:r>
          </w:p>
        </w:tc>
        <w:tc>
          <w:tcPr>
            <w:tcW w:w="969" w:type="dxa"/>
            <w:vAlign w:val="center"/>
          </w:tcPr>
          <w:p w14:paraId="7DB400AC" w14:textId="77777777" w:rsidR="00704D34" w:rsidRPr="00704D34" w:rsidRDefault="00704D34" w:rsidP="00704D34">
            <w:pPr>
              <w:keepNext/>
              <w:spacing w:before="10" w:after="10"/>
              <w:jc w:val="center"/>
              <w:rPr>
                <w:rFonts w:cs="Tahoma"/>
              </w:rPr>
            </w:pPr>
            <w:r w:rsidRPr="00704D34">
              <w:rPr>
                <w:rFonts w:cs="Tahoma"/>
              </w:rPr>
              <w:t>6/15 (40)</w:t>
            </w:r>
          </w:p>
        </w:tc>
        <w:tc>
          <w:tcPr>
            <w:tcW w:w="969" w:type="dxa"/>
          </w:tcPr>
          <w:p w14:paraId="7D8ACE7A" w14:textId="77777777" w:rsidR="00704D34" w:rsidRPr="00704D34" w:rsidRDefault="00704D34" w:rsidP="00704D34">
            <w:pPr>
              <w:keepNext/>
              <w:spacing w:before="10" w:after="10"/>
              <w:jc w:val="center"/>
              <w:rPr>
                <w:rFonts w:cs="Tahoma"/>
              </w:rPr>
            </w:pPr>
            <w:r w:rsidRPr="00704D34">
              <w:rPr>
                <w:rFonts w:cs="Tahoma"/>
              </w:rPr>
              <w:t>6/11 (71)</w:t>
            </w:r>
          </w:p>
        </w:tc>
        <w:tc>
          <w:tcPr>
            <w:tcW w:w="968" w:type="dxa"/>
            <w:vAlign w:val="center"/>
          </w:tcPr>
          <w:p w14:paraId="5120123C" w14:textId="77777777" w:rsidR="00704D34" w:rsidRPr="00704D34" w:rsidRDefault="00704D34" w:rsidP="00704D34">
            <w:pPr>
              <w:keepNext/>
              <w:spacing w:before="10" w:after="10"/>
              <w:jc w:val="center"/>
              <w:rPr>
                <w:rFonts w:cs="Tahoma"/>
              </w:rPr>
            </w:pPr>
            <w:r w:rsidRPr="00704D34">
              <w:rPr>
                <w:rFonts w:cs="Tahoma"/>
              </w:rPr>
              <w:t>3/3 (100)</w:t>
            </w:r>
          </w:p>
        </w:tc>
        <w:tc>
          <w:tcPr>
            <w:tcW w:w="969" w:type="dxa"/>
          </w:tcPr>
          <w:p w14:paraId="566861A3"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7D767BE2" w14:textId="77777777" w:rsidR="00704D34" w:rsidRPr="00704D34" w:rsidRDefault="00704D34" w:rsidP="00704D34">
            <w:pPr>
              <w:keepNext/>
              <w:spacing w:before="10" w:after="10"/>
              <w:jc w:val="center"/>
              <w:rPr>
                <w:rFonts w:cs="Tahoma"/>
              </w:rPr>
            </w:pPr>
            <w:r w:rsidRPr="00704D34">
              <w:rPr>
                <w:rFonts w:cs="Tahoma"/>
              </w:rPr>
              <w:t>NR</w:t>
            </w:r>
          </w:p>
        </w:tc>
      </w:tr>
      <w:tr w:rsidR="00704D34" w:rsidRPr="00704D34" w14:paraId="78B779A4" w14:textId="77777777" w:rsidTr="00D56273">
        <w:tc>
          <w:tcPr>
            <w:tcW w:w="9209" w:type="dxa"/>
            <w:gridSpan w:val="9"/>
            <w:vAlign w:val="center"/>
          </w:tcPr>
          <w:p w14:paraId="2FD77BDC" w14:textId="055E751C" w:rsidR="00704D34" w:rsidRPr="00704D34" w:rsidRDefault="00704D34" w:rsidP="00704D34">
            <w:pPr>
              <w:keepNext/>
              <w:spacing w:before="10" w:after="10"/>
              <w:rPr>
                <w:rFonts w:cs="Tahoma"/>
                <w:b/>
                <w:bCs/>
              </w:rPr>
            </w:pPr>
            <w:r w:rsidRPr="00704D34">
              <w:rPr>
                <w:rFonts w:cs="Tahoma"/>
                <w:b/>
                <w:bCs/>
              </w:rPr>
              <w:t>Oral</w:t>
            </w:r>
          </w:p>
        </w:tc>
      </w:tr>
      <w:tr w:rsidR="00704D34" w:rsidRPr="00704D34" w14:paraId="7439F1F9" w14:textId="77777777" w:rsidTr="00D56273">
        <w:tc>
          <w:tcPr>
            <w:tcW w:w="1305" w:type="dxa"/>
            <w:vAlign w:val="center"/>
          </w:tcPr>
          <w:p w14:paraId="31C276CD" w14:textId="77777777" w:rsidR="00704D34" w:rsidRPr="00704D34" w:rsidRDefault="00704D34" w:rsidP="00704D34">
            <w:pPr>
              <w:keepNext/>
              <w:spacing w:before="10" w:after="10"/>
              <w:rPr>
                <w:rFonts w:cs="Tahoma"/>
              </w:rPr>
            </w:pPr>
            <w:r w:rsidRPr="00704D34">
              <w:rPr>
                <w:rFonts w:cs="Tahoma"/>
              </w:rPr>
              <w:t>Week 12</w:t>
            </w:r>
          </w:p>
        </w:tc>
        <w:tc>
          <w:tcPr>
            <w:tcW w:w="1046" w:type="dxa"/>
          </w:tcPr>
          <w:p w14:paraId="0C545172" w14:textId="77777777" w:rsidR="00704D34" w:rsidRPr="00704D34" w:rsidRDefault="00704D34" w:rsidP="00704D34">
            <w:pPr>
              <w:keepNext/>
              <w:spacing w:before="10" w:after="10"/>
              <w:jc w:val="center"/>
              <w:rPr>
                <w:rFonts w:cs="Tahoma"/>
              </w:rPr>
            </w:pPr>
            <w:r w:rsidRPr="00704D34">
              <w:rPr>
                <w:rFonts w:cs="Tahoma"/>
              </w:rPr>
              <w:t>16/30 (53)</w:t>
            </w:r>
          </w:p>
        </w:tc>
        <w:tc>
          <w:tcPr>
            <w:tcW w:w="1046" w:type="dxa"/>
          </w:tcPr>
          <w:p w14:paraId="19C53405" w14:textId="77777777" w:rsidR="00704D34" w:rsidRPr="00704D34" w:rsidRDefault="00704D34" w:rsidP="00704D34">
            <w:pPr>
              <w:keepNext/>
              <w:spacing w:before="10" w:after="10"/>
              <w:jc w:val="center"/>
              <w:rPr>
                <w:rFonts w:cs="Tahoma"/>
              </w:rPr>
            </w:pPr>
            <w:r w:rsidRPr="00704D34">
              <w:rPr>
                <w:rFonts w:cs="Tahoma"/>
              </w:rPr>
              <w:t>8/30 (27)</w:t>
            </w:r>
          </w:p>
        </w:tc>
        <w:tc>
          <w:tcPr>
            <w:tcW w:w="968" w:type="dxa"/>
            <w:vAlign w:val="center"/>
          </w:tcPr>
          <w:p w14:paraId="3D6960BC" w14:textId="77777777" w:rsidR="00704D34" w:rsidRPr="00704D34" w:rsidRDefault="00704D34" w:rsidP="00704D34">
            <w:pPr>
              <w:keepNext/>
              <w:spacing w:before="10" w:after="10"/>
              <w:jc w:val="center"/>
              <w:rPr>
                <w:rFonts w:cs="Tahoma"/>
              </w:rPr>
            </w:pPr>
            <w:r w:rsidRPr="00704D34">
              <w:rPr>
                <w:rFonts w:cs="Tahoma"/>
              </w:rPr>
              <w:t>13/20 (65)</w:t>
            </w:r>
          </w:p>
        </w:tc>
        <w:tc>
          <w:tcPr>
            <w:tcW w:w="969" w:type="dxa"/>
          </w:tcPr>
          <w:p w14:paraId="0EB0D9A0"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319993FC" w14:textId="77777777" w:rsidR="00704D34" w:rsidRPr="00704D34" w:rsidRDefault="00704D34" w:rsidP="00704D34">
            <w:pPr>
              <w:keepNext/>
              <w:spacing w:before="10" w:after="10"/>
              <w:jc w:val="center"/>
              <w:rPr>
                <w:rFonts w:cs="Tahoma"/>
              </w:rPr>
            </w:pPr>
            <w:r w:rsidRPr="00704D34">
              <w:rPr>
                <w:rFonts w:cs="Tahoma"/>
              </w:rPr>
              <w:t>NR</w:t>
            </w:r>
          </w:p>
        </w:tc>
        <w:tc>
          <w:tcPr>
            <w:tcW w:w="968" w:type="dxa"/>
          </w:tcPr>
          <w:p w14:paraId="6BCF019C"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7F7DC06B" w14:textId="77777777" w:rsidR="00704D34" w:rsidRPr="00704D34" w:rsidRDefault="00704D34" w:rsidP="00704D34">
            <w:pPr>
              <w:keepNext/>
              <w:spacing w:before="10" w:after="10"/>
              <w:jc w:val="center"/>
              <w:rPr>
                <w:rFonts w:cs="Tahoma"/>
              </w:rPr>
            </w:pPr>
            <w:r w:rsidRPr="00704D34">
              <w:rPr>
                <w:rFonts w:cs="Tahoma"/>
              </w:rPr>
              <w:t>5/13 (38)</w:t>
            </w:r>
          </w:p>
        </w:tc>
        <w:tc>
          <w:tcPr>
            <w:tcW w:w="969" w:type="dxa"/>
          </w:tcPr>
          <w:p w14:paraId="164BC7BA" w14:textId="77777777" w:rsidR="00704D34" w:rsidRPr="00704D34" w:rsidRDefault="00704D34" w:rsidP="00704D34">
            <w:pPr>
              <w:keepNext/>
              <w:spacing w:before="10" w:after="10"/>
              <w:jc w:val="center"/>
              <w:rPr>
                <w:rFonts w:cs="Tahoma"/>
              </w:rPr>
            </w:pPr>
            <w:r w:rsidRPr="00704D34">
              <w:rPr>
                <w:rFonts w:cs="Tahoma"/>
              </w:rPr>
              <w:t>NR</w:t>
            </w:r>
          </w:p>
        </w:tc>
      </w:tr>
      <w:tr w:rsidR="00704D34" w:rsidRPr="00704D34" w14:paraId="67AEEA50" w14:textId="77777777" w:rsidTr="00D56273">
        <w:tc>
          <w:tcPr>
            <w:tcW w:w="1305" w:type="dxa"/>
            <w:vAlign w:val="center"/>
          </w:tcPr>
          <w:p w14:paraId="6E04E1A1" w14:textId="77777777" w:rsidR="00704D34" w:rsidRPr="00704D34" w:rsidRDefault="00704D34" w:rsidP="00704D34">
            <w:pPr>
              <w:keepNext/>
              <w:spacing w:before="10" w:after="10"/>
              <w:rPr>
                <w:rFonts w:cs="Tahoma"/>
              </w:rPr>
            </w:pPr>
            <w:r w:rsidRPr="00704D34">
              <w:rPr>
                <w:rFonts w:cs="Tahoma"/>
              </w:rPr>
              <w:t>Week 24</w:t>
            </w:r>
          </w:p>
        </w:tc>
        <w:tc>
          <w:tcPr>
            <w:tcW w:w="1046" w:type="dxa"/>
          </w:tcPr>
          <w:p w14:paraId="4C50C736" w14:textId="77777777" w:rsidR="00704D34" w:rsidRPr="00704D34" w:rsidRDefault="00704D34" w:rsidP="00704D34">
            <w:pPr>
              <w:keepNext/>
              <w:spacing w:before="10" w:after="10"/>
              <w:jc w:val="center"/>
              <w:rPr>
                <w:rFonts w:cs="Tahoma"/>
              </w:rPr>
            </w:pPr>
            <w:r w:rsidRPr="00704D34">
              <w:rPr>
                <w:rFonts w:cs="Tahoma"/>
              </w:rPr>
              <w:t>13/30 (43)</w:t>
            </w:r>
          </w:p>
        </w:tc>
        <w:tc>
          <w:tcPr>
            <w:tcW w:w="1046" w:type="dxa"/>
          </w:tcPr>
          <w:p w14:paraId="51F747D8" w14:textId="77777777" w:rsidR="00704D34" w:rsidRPr="00704D34" w:rsidRDefault="00704D34" w:rsidP="00704D34">
            <w:pPr>
              <w:keepNext/>
              <w:spacing w:before="10" w:after="10"/>
              <w:jc w:val="center"/>
              <w:rPr>
                <w:rFonts w:cs="Tahoma"/>
              </w:rPr>
            </w:pPr>
            <w:r w:rsidRPr="00704D34">
              <w:rPr>
                <w:rFonts w:cs="Tahoma"/>
              </w:rPr>
              <w:t>NR</w:t>
            </w:r>
          </w:p>
        </w:tc>
        <w:tc>
          <w:tcPr>
            <w:tcW w:w="968" w:type="dxa"/>
            <w:vAlign w:val="center"/>
          </w:tcPr>
          <w:p w14:paraId="168C1285" w14:textId="77777777" w:rsidR="00704D34" w:rsidRPr="00704D34" w:rsidRDefault="00704D34" w:rsidP="00704D34">
            <w:pPr>
              <w:keepNext/>
              <w:spacing w:before="10" w:after="10"/>
              <w:jc w:val="center"/>
              <w:rPr>
                <w:rFonts w:cs="Tahoma"/>
              </w:rPr>
            </w:pPr>
            <w:r w:rsidRPr="00704D34">
              <w:rPr>
                <w:rFonts w:cs="Tahoma"/>
              </w:rPr>
              <w:t>14/20 (70)</w:t>
            </w:r>
          </w:p>
        </w:tc>
        <w:tc>
          <w:tcPr>
            <w:tcW w:w="969" w:type="dxa"/>
          </w:tcPr>
          <w:p w14:paraId="16AF451F"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5CFB70B4" w14:textId="77777777" w:rsidR="00704D34" w:rsidRPr="00704D34" w:rsidRDefault="00704D34" w:rsidP="00704D34">
            <w:pPr>
              <w:keepNext/>
              <w:spacing w:before="10" w:after="10"/>
              <w:jc w:val="center"/>
              <w:rPr>
                <w:rFonts w:cs="Tahoma"/>
              </w:rPr>
            </w:pPr>
            <w:r w:rsidRPr="00704D34">
              <w:rPr>
                <w:rFonts w:cs="Tahoma"/>
              </w:rPr>
              <w:t>NR</w:t>
            </w:r>
          </w:p>
        </w:tc>
        <w:tc>
          <w:tcPr>
            <w:tcW w:w="968" w:type="dxa"/>
          </w:tcPr>
          <w:p w14:paraId="351F9D4E"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18E2931A" w14:textId="77777777" w:rsidR="00704D34" w:rsidRPr="00704D34" w:rsidRDefault="00704D34" w:rsidP="00704D34">
            <w:pPr>
              <w:keepNext/>
              <w:spacing w:before="10" w:after="10"/>
              <w:jc w:val="center"/>
              <w:rPr>
                <w:rFonts w:cs="Tahoma"/>
              </w:rPr>
            </w:pPr>
            <w:r w:rsidRPr="00704D34">
              <w:rPr>
                <w:rFonts w:cs="Tahoma"/>
              </w:rPr>
              <w:t>5/13 (38)</w:t>
            </w:r>
          </w:p>
        </w:tc>
        <w:tc>
          <w:tcPr>
            <w:tcW w:w="969" w:type="dxa"/>
          </w:tcPr>
          <w:p w14:paraId="47321726" w14:textId="77777777" w:rsidR="00704D34" w:rsidRPr="00704D34" w:rsidRDefault="00704D34" w:rsidP="00704D34">
            <w:pPr>
              <w:keepNext/>
              <w:spacing w:before="10" w:after="10"/>
              <w:jc w:val="center"/>
              <w:rPr>
                <w:rFonts w:cs="Tahoma"/>
              </w:rPr>
            </w:pPr>
            <w:r w:rsidRPr="00704D34">
              <w:rPr>
                <w:rFonts w:cs="Tahoma"/>
              </w:rPr>
              <w:t>NR</w:t>
            </w:r>
          </w:p>
        </w:tc>
      </w:tr>
      <w:tr w:rsidR="00704D34" w:rsidRPr="00704D34" w14:paraId="4E1A8CD0" w14:textId="77777777" w:rsidTr="00D56273">
        <w:tc>
          <w:tcPr>
            <w:tcW w:w="1305" w:type="dxa"/>
          </w:tcPr>
          <w:p w14:paraId="3C5FF347" w14:textId="77777777" w:rsidR="00704D34" w:rsidRPr="00704D34" w:rsidRDefault="00704D34" w:rsidP="00704D34">
            <w:pPr>
              <w:keepNext/>
              <w:spacing w:before="10" w:after="10"/>
              <w:rPr>
                <w:rFonts w:cs="Tahoma"/>
              </w:rPr>
            </w:pPr>
            <w:r w:rsidRPr="00704D34">
              <w:rPr>
                <w:rFonts w:cs="Tahoma"/>
              </w:rPr>
              <w:t>Week 36</w:t>
            </w:r>
          </w:p>
        </w:tc>
        <w:tc>
          <w:tcPr>
            <w:tcW w:w="1046" w:type="dxa"/>
          </w:tcPr>
          <w:p w14:paraId="4804BA11" w14:textId="77777777" w:rsidR="00704D34" w:rsidRPr="00704D34" w:rsidRDefault="00704D34" w:rsidP="00704D34">
            <w:pPr>
              <w:keepNext/>
              <w:spacing w:before="10" w:after="10"/>
              <w:jc w:val="center"/>
              <w:rPr>
                <w:rFonts w:cs="Tahoma"/>
              </w:rPr>
            </w:pPr>
            <w:r w:rsidRPr="00704D34">
              <w:rPr>
                <w:rFonts w:cs="Tahoma"/>
              </w:rPr>
              <w:t>NR</w:t>
            </w:r>
          </w:p>
        </w:tc>
        <w:tc>
          <w:tcPr>
            <w:tcW w:w="1046" w:type="dxa"/>
          </w:tcPr>
          <w:p w14:paraId="7862FEC1" w14:textId="77777777" w:rsidR="00704D34" w:rsidRPr="00704D34" w:rsidRDefault="00704D34" w:rsidP="00704D34">
            <w:pPr>
              <w:keepNext/>
              <w:spacing w:before="10" w:after="10"/>
              <w:jc w:val="center"/>
              <w:rPr>
                <w:rFonts w:cs="Tahoma"/>
              </w:rPr>
            </w:pPr>
            <w:r w:rsidRPr="00704D34">
              <w:rPr>
                <w:rFonts w:cs="Tahoma"/>
              </w:rPr>
              <w:t>NR</w:t>
            </w:r>
          </w:p>
        </w:tc>
        <w:tc>
          <w:tcPr>
            <w:tcW w:w="968" w:type="dxa"/>
          </w:tcPr>
          <w:p w14:paraId="08D4377D"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5061762C"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45FF65ED" w14:textId="77777777" w:rsidR="00704D34" w:rsidRPr="00704D34" w:rsidRDefault="00704D34" w:rsidP="00704D34">
            <w:pPr>
              <w:keepNext/>
              <w:spacing w:before="10" w:after="10"/>
              <w:jc w:val="center"/>
              <w:rPr>
                <w:rFonts w:cs="Tahoma"/>
              </w:rPr>
            </w:pPr>
            <w:r w:rsidRPr="00704D34">
              <w:rPr>
                <w:rFonts w:cs="Tahoma"/>
              </w:rPr>
              <w:t>NR</w:t>
            </w:r>
          </w:p>
        </w:tc>
        <w:tc>
          <w:tcPr>
            <w:tcW w:w="968" w:type="dxa"/>
          </w:tcPr>
          <w:p w14:paraId="71F61D2C"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09CA064B" w14:textId="77777777" w:rsidR="00704D34" w:rsidRPr="00704D34" w:rsidRDefault="00704D34" w:rsidP="00704D34">
            <w:pPr>
              <w:keepNext/>
              <w:spacing w:before="10" w:after="10"/>
              <w:jc w:val="center"/>
              <w:rPr>
                <w:rFonts w:cs="Tahoma"/>
              </w:rPr>
            </w:pPr>
            <w:r w:rsidRPr="00704D34">
              <w:rPr>
                <w:rFonts w:cs="Tahoma"/>
              </w:rPr>
              <w:t>6/13 (46)</w:t>
            </w:r>
          </w:p>
        </w:tc>
        <w:tc>
          <w:tcPr>
            <w:tcW w:w="969" w:type="dxa"/>
          </w:tcPr>
          <w:p w14:paraId="26600E8A" w14:textId="77777777" w:rsidR="00704D34" w:rsidRPr="00704D34" w:rsidRDefault="00704D34" w:rsidP="00704D34">
            <w:pPr>
              <w:keepNext/>
              <w:spacing w:before="10" w:after="10"/>
              <w:jc w:val="center"/>
              <w:rPr>
                <w:rFonts w:cs="Tahoma"/>
              </w:rPr>
            </w:pPr>
            <w:r w:rsidRPr="00704D34">
              <w:rPr>
                <w:rFonts w:cs="Tahoma"/>
              </w:rPr>
              <w:t>NR</w:t>
            </w:r>
          </w:p>
        </w:tc>
      </w:tr>
      <w:tr w:rsidR="00704D34" w:rsidRPr="00704D34" w14:paraId="636AD28F" w14:textId="77777777" w:rsidTr="00D56273">
        <w:tc>
          <w:tcPr>
            <w:tcW w:w="1305" w:type="dxa"/>
          </w:tcPr>
          <w:p w14:paraId="6B98E8BE" w14:textId="77777777" w:rsidR="00704D34" w:rsidRPr="00704D34" w:rsidRDefault="00704D34" w:rsidP="00704D34">
            <w:pPr>
              <w:keepNext/>
              <w:spacing w:before="10" w:after="10"/>
              <w:rPr>
                <w:rFonts w:cs="Tahoma"/>
              </w:rPr>
            </w:pPr>
            <w:r w:rsidRPr="00704D34">
              <w:rPr>
                <w:rFonts w:cs="Tahoma"/>
              </w:rPr>
              <w:t>Final visit</w:t>
            </w:r>
          </w:p>
        </w:tc>
        <w:tc>
          <w:tcPr>
            <w:tcW w:w="1046" w:type="dxa"/>
          </w:tcPr>
          <w:p w14:paraId="6425B16A" w14:textId="77777777" w:rsidR="00704D34" w:rsidRPr="00704D34" w:rsidRDefault="00704D34" w:rsidP="00704D34">
            <w:pPr>
              <w:keepNext/>
              <w:spacing w:before="10" w:after="10"/>
              <w:jc w:val="center"/>
              <w:rPr>
                <w:rFonts w:cs="Tahoma"/>
              </w:rPr>
            </w:pPr>
            <w:r w:rsidRPr="00704D34">
              <w:rPr>
                <w:rFonts w:cs="Tahoma"/>
              </w:rPr>
              <w:t>NR</w:t>
            </w:r>
          </w:p>
        </w:tc>
        <w:tc>
          <w:tcPr>
            <w:tcW w:w="1046" w:type="dxa"/>
          </w:tcPr>
          <w:p w14:paraId="15141B08" w14:textId="77777777" w:rsidR="00704D34" w:rsidRPr="00704D34" w:rsidRDefault="00704D34" w:rsidP="00704D34">
            <w:pPr>
              <w:keepNext/>
              <w:spacing w:before="10" w:after="10"/>
              <w:jc w:val="center"/>
              <w:rPr>
                <w:rFonts w:cs="Tahoma"/>
              </w:rPr>
            </w:pPr>
            <w:r w:rsidRPr="00704D34">
              <w:rPr>
                <w:rFonts w:cs="Tahoma"/>
              </w:rPr>
              <w:t>NR</w:t>
            </w:r>
          </w:p>
        </w:tc>
        <w:tc>
          <w:tcPr>
            <w:tcW w:w="968" w:type="dxa"/>
          </w:tcPr>
          <w:p w14:paraId="3F5DCE7C" w14:textId="77777777" w:rsidR="00704D34" w:rsidRPr="00704D34" w:rsidRDefault="00704D34" w:rsidP="00704D34">
            <w:pPr>
              <w:keepNext/>
              <w:spacing w:before="10" w:after="10"/>
              <w:jc w:val="center"/>
              <w:rPr>
                <w:rFonts w:cs="Tahoma"/>
              </w:rPr>
            </w:pPr>
            <w:r w:rsidRPr="00704D34">
              <w:rPr>
                <w:rFonts w:cs="Tahoma"/>
              </w:rPr>
              <w:t>NR</w:t>
            </w:r>
          </w:p>
        </w:tc>
        <w:tc>
          <w:tcPr>
            <w:tcW w:w="969" w:type="dxa"/>
            <w:vAlign w:val="center"/>
          </w:tcPr>
          <w:p w14:paraId="0CC736F4" w14:textId="77777777" w:rsidR="00704D34" w:rsidRPr="00704D34" w:rsidRDefault="00704D34" w:rsidP="00704D34">
            <w:pPr>
              <w:keepNext/>
              <w:spacing w:before="10" w:after="10"/>
              <w:jc w:val="center"/>
              <w:rPr>
                <w:rFonts w:cs="Tahoma"/>
              </w:rPr>
            </w:pPr>
            <w:r w:rsidRPr="00704D34">
              <w:rPr>
                <w:rFonts w:cs="Tahoma"/>
              </w:rPr>
              <w:t>14/22 (64)</w:t>
            </w:r>
          </w:p>
        </w:tc>
        <w:tc>
          <w:tcPr>
            <w:tcW w:w="969" w:type="dxa"/>
          </w:tcPr>
          <w:p w14:paraId="5193E231" w14:textId="77777777" w:rsidR="00704D34" w:rsidRPr="00704D34" w:rsidRDefault="00704D34" w:rsidP="00704D34">
            <w:pPr>
              <w:keepNext/>
              <w:spacing w:before="10" w:after="10"/>
              <w:jc w:val="center"/>
              <w:rPr>
                <w:rFonts w:cs="Tahoma"/>
              </w:rPr>
            </w:pPr>
            <w:r w:rsidRPr="00704D34">
              <w:rPr>
                <w:rFonts w:cs="Tahoma"/>
              </w:rPr>
              <w:t>4/11 (36)</w:t>
            </w:r>
          </w:p>
        </w:tc>
        <w:tc>
          <w:tcPr>
            <w:tcW w:w="968" w:type="dxa"/>
            <w:vAlign w:val="center"/>
          </w:tcPr>
          <w:p w14:paraId="31594A71" w14:textId="77777777" w:rsidR="00704D34" w:rsidRPr="00704D34" w:rsidRDefault="00704D34" w:rsidP="00704D34">
            <w:pPr>
              <w:keepNext/>
              <w:spacing w:before="10" w:after="10"/>
              <w:jc w:val="center"/>
              <w:rPr>
                <w:rFonts w:cs="Tahoma"/>
              </w:rPr>
            </w:pPr>
            <w:r w:rsidRPr="00704D34">
              <w:rPr>
                <w:rFonts w:cs="Tahoma"/>
              </w:rPr>
              <w:t>6/13 (46)</w:t>
            </w:r>
          </w:p>
        </w:tc>
        <w:tc>
          <w:tcPr>
            <w:tcW w:w="969" w:type="dxa"/>
          </w:tcPr>
          <w:p w14:paraId="4989A652"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40BE6664" w14:textId="77777777" w:rsidR="00704D34" w:rsidRPr="00704D34" w:rsidRDefault="00704D34" w:rsidP="00704D34">
            <w:pPr>
              <w:keepNext/>
              <w:spacing w:before="10" w:after="10"/>
              <w:jc w:val="center"/>
              <w:rPr>
                <w:rFonts w:cs="Tahoma"/>
              </w:rPr>
            </w:pPr>
            <w:r w:rsidRPr="00704D34">
              <w:rPr>
                <w:rFonts w:cs="Tahoma"/>
              </w:rPr>
              <w:t>3/14 (21)</w:t>
            </w:r>
          </w:p>
        </w:tc>
      </w:tr>
      <w:tr w:rsidR="00704D34" w:rsidRPr="00704D34" w14:paraId="27A73D55" w14:textId="77777777" w:rsidTr="00D56273">
        <w:tc>
          <w:tcPr>
            <w:tcW w:w="9209" w:type="dxa"/>
            <w:gridSpan w:val="9"/>
            <w:vAlign w:val="center"/>
          </w:tcPr>
          <w:p w14:paraId="141C95B0" w14:textId="13BF68D3" w:rsidR="00704D34" w:rsidRPr="00704D34" w:rsidRDefault="00704D34" w:rsidP="00704D34">
            <w:pPr>
              <w:keepNext/>
              <w:spacing w:before="10" w:after="10"/>
              <w:rPr>
                <w:rFonts w:cs="Tahoma"/>
              </w:rPr>
            </w:pPr>
            <w:r w:rsidRPr="00704D34">
              <w:rPr>
                <w:rFonts w:cs="Tahoma"/>
                <w:b/>
                <w:bCs/>
              </w:rPr>
              <w:t>Joints</w:t>
            </w:r>
          </w:p>
        </w:tc>
      </w:tr>
      <w:tr w:rsidR="00704D34" w:rsidRPr="00704D34" w14:paraId="05934DDC" w14:textId="77777777" w:rsidTr="00D56273">
        <w:tc>
          <w:tcPr>
            <w:tcW w:w="1305" w:type="dxa"/>
            <w:vAlign w:val="center"/>
          </w:tcPr>
          <w:p w14:paraId="55E8A8CA" w14:textId="77777777" w:rsidR="00704D34" w:rsidRPr="00704D34" w:rsidRDefault="00704D34" w:rsidP="00704D34">
            <w:pPr>
              <w:keepNext/>
              <w:spacing w:before="10" w:after="10"/>
              <w:rPr>
                <w:rFonts w:cs="Tahoma"/>
              </w:rPr>
            </w:pPr>
            <w:r w:rsidRPr="00704D34">
              <w:rPr>
                <w:rFonts w:cs="Tahoma"/>
              </w:rPr>
              <w:t>Week 12</w:t>
            </w:r>
          </w:p>
        </w:tc>
        <w:tc>
          <w:tcPr>
            <w:tcW w:w="1046" w:type="dxa"/>
          </w:tcPr>
          <w:p w14:paraId="59A02F17" w14:textId="77777777" w:rsidR="00704D34" w:rsidRPr="00704D34" w:rsidRDefault="00704D34" w:rsidP="00704D34">
            <w:pPr>
              <w:keepNext/>
              <w:spacing w:before="10" w:after="10"/>
              <w:jc w:val="center"/>
              <w:rPr>
                <w:rFonts w:cs="Tahoma"/>
              </w:rPr>
            </w:pPr>
            <w:r w:rsidRPr="00704D34">
              <w:rPr>
                <w:rFonts w:cs="Tahoma"/>
              </w:rPr>
              <w:t>4/18 (22)</w:t>
            </w:r>
          </w:p>
        </w:tc>
        <w:tc>
          <w:tcPr>
            <w:tcW w:w="1046" w:type="dxa"/>
          </w:tcPr>
          <w:p w14:paraId="713B59CC" w14:textId="77777777" w:rsidR="00704D34" w:rsidRPr="00704D34" w:rsidRDefault="00704D34" w:rsidP="00704D34">
            <w:pPr>
              <w:keepNext/>
              <w:spacing w:before="10" w:after="10"/>
              <w:jc w:val="center"/>
              <w:rPr>
                <w:rFonts w:cs="Tahoma"/>
              </w:rPr>
            </w:pPr>
            <w:r w:rsidRPr="00704D34">
              <w:rPr>
                <w:rFonts w:cs="Tahoma"/>
              </w:rPr>
              <w:t>2/16 (12)</w:t>
            </w:r>
          </w:p>
        </w:tc>
        <w:tc>
          <w:tcPr>
            <w:tcW w:w="968" w:type="dxa"/>
          </w:tcPr>
          <w:p w14:paraId="0CF0DC27" w14:textId="77777777" w:rsidR="00704D34" w:rsidRPr="00704D34" w:rsidRDefault="00704D34" w:rsidP="00704D34">
            <w:pPr>
              <w:keepNext/>
              <w:spacing w:before="10" w:after="10"/>
              <w:jc w:val="center"/>
              <w:rPr>
                <w:rFonts w:cs="Tahoma"/>
              </w:rPr>
            </w:pPr>
            <w:r w:rsidRPr="00704D34">
              <w:rPr>
                <w:rFonts w:cs="Tahoma"/>
              </w:rPr>
              <w:t>4/11 (36)</w:t>
            </w:r>
          </w:p>
        </w:tc>
        <w:tc>
          <w:tcPr>
            <w:tcW w:w="969" w:type="dxa"/>
          </w:tcPr>
          <w:p w14:paraId="0F3A6D28"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4F7A58B8" w14:textId="77777777" w:rsidR="00704D34" w:rsidRPr="00704D34" w:rsidRDefault="00704D34" w:rsidP="00704D34">
            <w:pPr>
              <w:keepNext/>
              <w:spacing w:before="10" w:after="10"/>
              <w:jc w:val="center"/>
              <w:rPr>
                <w:rFonts w:cs="Tahoma"/>
              </w:rPr>
            </w:pPr>
            <w:r w:rsidRPr="00704D34">
              <w:rPr>
                <w:rFonts w:cs="Tahoma"/>
              </w:rPr>
              <w:t>NR</w:t>
            </w:r>
          </w:p>
        </w:tc>
        <w:tc>
          <w:tcPr>
            <w:tcW w:w="968" w:type="dxa"/>
          </w:tcPr>
          <w:p w14:paraId="23AA65BC"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5B0D9D6F" w14:textId="77777777" w:rsidR="00704D34" w:rsidRPr="00704D34" w:rsidRDefault="00704D34" w:rsidP="00704D34">
            <w:pPr>
              <w:keepNext/>
              <w:spacing w:before="10" w:after="10"/>
              <w:jc w:val="center"/>
              <w:rPr>
                <w:rFonts w:cs="Tahoma"/>
              </w:rPr>
            </w:pPr>
            <w:r w:rsidRPr="00704D34">
              <w:rPr>
                <w:rFonts w:cs="Tahoma"/>
              </w:rPr>
              <w:t>4/8 (50)</w:t>
            </w:r>
          </w:p>
        </w:tc>
        <w:tc>
          <w:tcPr>
            <w:tcW w:w="969" w:type="dxa"/>
          </w:tcPr>
          <w:p w14:paraId="345D97BF" w14:textId="77777777" w:rsidR="00704D34" w:rsidRPr="00704D34" w:rsidRDefault="00704D34" w:rsidP="00704D34">
            <w:pPr>
              <w:keepNext/>
              <w:spacing w:before="10" w:after="10"/>
              <w:jc w:val="center"/>
              <w:rPr>
                <w:rFonts w:cs="Tahoma"/>
              </w:rPr>
            </w:pPr>
            <w:r w:rsidRPr="00704D34">
              <w:rPr>
                <w:rFonts w:cs="Tahoma"/>
              </w:rPr>
              <w:t>NR</w:t>
            </w:r>
          </w:p>
        </w:tc>
      </w:tr>
      <w:tr w:rsidR="00704D34" w:rsidRPr="00704D34" w14:paraId="7367572D" w14:textId="77777777" w:rsidTr="00D56273">
        <w:tc>
          <w:tcPr>
            <w:tcW w:w="1305" w:type="dxa"/>
            <w:vAlign w:val="center"/>
          </w:tcPr>
          <w:p w14:paraId="7F1EB1BB" w14:textId="77777777" w:rsidR="00704D34" w:rsidRPr="00704D34" w:rsidRDefault="00704D34" w:rsidP="00704D34">
            <w:pPr>
              <w:keepNext/>
              <w:spacing w:before="10" w:after="10"/>
              <w:rPr>
                <w:rFonts w:cs="Tahoma"/>
              </w:rPr>
            </w:pPr>
            <w:r w:rsidRPr="00704D34">
              <w:rPr>
                <w:rFonts w:cs="Tahoma"/>
              </w:rPr>
              <w:t>Week 24</w:t>
            </w:r>
          </w:p>
        </w:tc>
        <w:tc>
          <w:tcPr>
            <w:tcW w:w="1046" w:type="dxa"/>
          </w:tcPr>
          <w:p w14:paraId="579557B5" w14:textId="77777777" w:rsidR="00704D34" w:rsidRPr="00704D34" w:rsidRDefault="00704D34" w:rsidP="00704D34">
            <w:pPr>
              <w:keepNext/>
              <w:spacing w:before="10" w:after="10"/>
              <w:jc w:val="center"/>
              <w:rPr>
                <w:rFonts w:cs="Tahoma"/>
              </w:rPr>
            </w:pPr>
            <w:r w:rsidRPr="00704D34">
              <w:rPr>
                <w:rFonts w:cs="Tahoma"/>
              </w:rPr>
              <w:t>9/18 (50)</w:t>
            </w:r>
          </w:p>
        </w:tc>
        <w:tc>
          <w:tcPr>
            <w:tcW w:w="1046" w:type="dxa"/>
          </w:tcPr>
          <w:p w14:paraId="17528F80" w14:textId="77777777" w:rsidR="00704D34" w:rsidRPr="00704D34" w:rsidRDefault="00704D34" w:rsidP="00704D34">
            <w:pPr>
              <w:keepNext/>
              <w:spacing w:before="10" w:after="10"/>
              <w:jc w:val="center"/>
              <w:rPr>
                <w:rFonts w:cs="Tahoma"/>
              </w:rPr>
            </w:pPr>
            <w:r w:rsidRPr="00704D34">
              <w:rPr>
                <w:rFonts w:cs="Tahoma"/>
              </w:rPr>
              <w:t>NR</w:t>
            </w:r>
          </w:p>
        </w:tc>
        <w:tc>
          <w:tcPr>
            <w:tcW w:w="968" w:type="dxa"/>
          </w:tcPr>
          <w:p w14:paraId="5557E5AF" w14:textId="77777777" w:rsidR="00704D34" w:rsidRPr="00704D34" w:rsidRDefault="00704D34" w:rsidP="00704D34">
            <w:pPr>
              <w:keepNext/>
              <w:spacing w:before="10" w:after="10"/>
              <w:jc w:val="center"/>
              <w:rPr>
                <w:rFonts w:cs="Tahoma"/>
              </w:rPr>
            </w:pPr>
            <w:r w:rsidRPr="00704D34">
              <w:rPr>
                <w:rFonts w:cs="Tahoma"/>
              </w:rPr>
              <w:t>5/12 (42)</w:t>
            </w:r>
          </w:p>
        </w:tc>
        <w:tc>
          <w:tcPr>
            <w:tcW w:w="969" w:type="dxa"/>
          </w:tcPr>
          <w:p w14:paraId="28134FA7"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07E394C9" w14:textId="77777777" w:rsidR="00704D34" w:rsidRPr="00704D34" w:rsidRDefault="00704D34" w:rsidP="00704D34">
            <w:pPr>
              <w:keepNext/>
              <w:spacing w:before="10" w:after="10"/>
              <w:jc w:val="center"/>
              <w:rPr>
                <w:rFonts w:cs="Tahoma"/>
              </w:rPr>
            </w:pPr>
            <w:r w:rsidRPr="00704D34">
              <w:rPr>
                <w:rFonts w:cs="Tahoma"/>
              </w:rPr>
              <w:t>NR</w:t>
            </w:r>
          </w:p>
        </w:tc>
        <w:tc>
          <w:tcPr>
            <w:tcW w:w="968" w:type="dxa"/>
          </w:tcPr>
          <w:p w14:paraId="40CF91B3"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76156015" w14:textId="77777777" w:rsidR="00704D34" w:rsidRPr="00704D34" w:rsidRDefault="00704D34" w:rsidP="00704D34">
            <w:pPr>
              <w:keepNext/>
              <w:spacing w:before="10" w:after="10"/>
              <w:jc w:val="center"/>
              <w:rPr>
                <w:rFonts w:cs="Tahoma"/>
              </w:rPr>
            </w:pPr>
            <w:r w:rsidRPr="00704D34">
              <w:rPr>
                <w:rFonts w:cs="Tahoma"/>
              </w:rPr>
              <w:t>3/8 (38)</w:t>
            </w:r>
          </w:p>
        </w:tc>
        <w:tc>
          <w:tcPr>
            <w:tcW w:w="969" w:type="dxa"/>
          </w:tcPr>
          <w:p w14:paraId="2D140096" w14:textId="77777777" w:rsidR="00704D34" w:rsidRPr="00704D34" w:rsidRDefault="00704D34" w:rsidP="00704D34">
            <w:pPr>
              <w:keepNext/>
              <w:spacing w:before="10" w:after="10"/>
              <w:jc w:val="center"/>
              <w:rPr>
                <w:rFonts w:cs="Tahoma"/>
              </w:rPr>
            </w:pPr>
            <w:r w:rsidRPr="00704D34">
              <w:rPr>
                <w:rFonts w:cs="Tahoma"/>
              </w:rPr>
              <w:t>NR</w:t>
            </w:r>
          </w:p>
        </w:tc>
      </w:tr>
      <w:tr w:rsidR="00704D34" w:rsidRPr="00704D34" w14:paraId="6E28C6EE" w14:textId="77777777" w:rsidTr="00D56273">
        <w:tc>
          <w:tcPr>
            <w:tcW w:w="1305" w:type="dxa"/>
          </w:tcPr>
          <w:p w14:paraId="5E884DA3" w14:textId="77777777" w:rsidR="00704D34" w:rsidRPr="00704D34" w:rsidRDefault="00704D34" w:rsidP="00704D34">
            <w:pPr>
              <w:keepNext/>
              <w:spacing w:before="10" w:after="10"/>
              <w:rPr>
                <w:rFonts w:cs="Tahoma"/>
              </w:rPr>
            </w:pPr>
            <w:r w:rsidRPr="00704D34">
              <w:rPr>
                <w:rFonts w:cs="Tahoma"/>
              </w:rPr>
              <w:t>Week 36</w:t>
            </w:r>
          </w:p>
        </w:tc>
        <w:tc>
          <w:tcPr>
            <w:tcW w:w="1046" w:type="dxa"/>
          </w:tcPr>
          <w:p w14:paraId="2E173C75" w14:textId="77777777" w:rsidR="00704D34" w:rsidRPr="00704D34" w:rsidRDefault="00704D34" w:rsidP="00704D34">
            <w:pPr>
              <w:keepNext/>
              <w:spacing w:before="10" w:after="10"/>
              <w:jc w:val="center"/>
              <w:rPr>
                <w:rFonts w:cs="Tahoma"/>
              </w:rPr>
            </w:pPr>
            <w:r w:rsidRPr="00704D34">
              <w:rPr>
                <w:rFonts w:cs="Tahoma"/>
              </w:rPr>
              <w:t>NR</w:t>
            </w:r>
          </w:p>
        </w:tc>
        <w:tc>
          <w:tcPr>
            <w:tcW w:w="1046" w:type="dxa"/>
          </w:tcPr>
          <w:p w14:paraId="4C7730F7" w14:textId="77777777" w:rsidR="00704D34" w:rsidRPr="00704D34" w:rsidRDefault="00704D34" w:rsidP="00704D34">
            <w:pPr>
              <w:keepNext/>
              <w:spacing w:before="10" w:after="10"/>
              <w:jc w:val="center"/>
              <w:rPr>
                <w:rFonts w:cs="Tahoma"/>
              </w:rPr>
            </w:pPr>
            <w:r w:rsidRPr="00704D34">
              <w:rPr>
                <w:rFonts w:cs="Tahoma"/>
              </w:rPr>
              <w:t>NR</w:t>
            </w:r>
          </w:p>
        </w:tc>
        <w:tc>
          <w:tcPr>
            <w:tcW w:w="968" w:type="dxa"/>
          </w:tcPr>
          <w:p w14:paraId="139E531E"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3BE76224"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36ACDA6B" w14:textId="77777777" w:rsidR="00704D34" w:rsidRPr="00704D34" w:rsidRDefault="00704D34" w:rsidP="00704D34">
            <w:pPr>
              <w:keepNext/>
              <w:spacing w:before="10" w:after="10"/>
              <w:jc w:val="center"/>
              <w:rPr>
                <w:rFonts w:cs="Tahoma"/>
              </w:rPr>
            </w:pPr>
            <w:r w:rsidRPr="00704D34">
              <w:rPr>
                <w:rFonts w:cs="Tahoma"/>
              </w:rPr>
              <w:t>NR</w:t>
            </w:r>
          </w:p>
        </w:tc>
        <w:tc>
          <w:tcPr>
            <w:tcW w:w="968" w:type="dxa"/>
          </w:tcPr>
          <w:p w14:paraId="2043FE75"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6B85A232" w14:textId="77777777" w:rsidR="00704D34" w:rsidRPr="00704D34" w:rsidRDefault="00704D34" w:rsidP="00704D34">
            <w:pPr>
              <w:keepNext/>
              <w:spacing w:before="10" w:after="10"/>
              <w:jc w:val="center"/>
              <w:rPr>
                <w:rFonts w:cs="Tahoma"/>
              </w:rPr>
            </w:pPr>
            <w:r w:rsidRPr="00704D34">
              <w:rPr>
                <w:rFonts w:cs="Tahoma"/>
              </w:rPr>
              <w:t>3/8 (38)</w:t>
            </w:r>
          </w:p>
        </w:tc>
        <w:tc>
          <w:tcPr>
            <w:tcW w:w="969" w:type="dxa"/>
          </w:tcPr>
          <w:p w14:paraId="00AC5440" w14:textId="77777777" w:rsidR="00704D34" w:rsidRPr="00704D34" w:rsidRDefault="00704D34" w:rsidP="00704D34">
            <w:pPr>
              <w:keepNext/>
              <w:spacing w:before="10" w:after="10"/>
              <w:jc w:val="center"/>
              <w:rPr>
                <w:rFonts w:cs="Tahoma"/>
              </w:rPr>
            </w:pPr>
            <w:r w:rsidRPr="00704D34">
              <w:rPr>
                <w:rFonts w:cs="Tahoma"/>
              </w:rPr>
              <w:t>NR</w:t>
            </w:r>
          </w:p>
        </w:tc>
      </w:tr>
      <w:tr w:rsidR="00704D34" w:rsidRPr="00704D34" w14:paraId="3710B75A" w14:textId="77777777" w:rsidTr="00D56273">
        <w:tc>
          <w:tcPr>
            <w:tcW w:w="1305" w:type="dxa"/>
          </w:tcPr>
          <w:p w14:paraId="2D6494B2" w14:textId="77777777" w:rsidR="00704D34" w:rsidRPr="00704D34" w:rsidRDefault="00704D34" w:rsidP="00704D34">
            <w:pPr>
              <w:keepNext/>
              <w:spacing w:before="10" w:after="10"/>
              <w:rPr>
                <w:rFonts w:cs="Tahoma"/>
              </w:rPr>
            </w:pPr>
            <w:r w:rsidRPr="00704D34">
              <w:rPr>
                <w:rFonts w:cs="Tahoma"/>
              </w:rPr>
              <w:t>Final visit</w:t>
            </w:r>
          </w:p>
        </w:tc>
        <w:tc>
          <w:tcPr>
            <w:tcW w:w="1046" w:type="dxa"/>
          </w:tcPr>
          <w:p w14:paraId="06A935D4" w14:textId="77777777" w:rsidR="00704D34" w:rsidRPr="00704D34" w:rsidRDefault="00704D34" w:rsidP="00704D34">
            <w:pPr>
              <w:keepNext/>
              <w:spacing w:before="10" w:after="10"/>
              <w:jc w:val="center"/>
              <w:rPr>
                <w:rFonts w:cs="Tahoma"/>
              </w:rPr>
            </w:pPr>
            <w:r w:rsidRPr="00704D34">
              <w:rPr>
                <w:rFonts w:cs="Tahoma"/>
              </w:rPr>
              <w:t>NR</w:t>
            </w:r>
          </w:p>
        </w:tc>
        <w:tc>
          <w:tcPr>
            <w:tcW w:w="1046" w:type="dxa"/>
          </w:tcPr>
          <w:p w14:paraId="2482AC3B" w14:textId="77777777" w:rsidR="00704D34" w:rsidRPr="00704D34" w:rsidRDefault="00704D34" w:rsidP="00704D34">
            <w:pPr>
              <w:keepNext/>
              <w:spacing w:before="10" w:after="10"/>
              <w:jc w:val="center"/>
              <w:rPr>
                <w:rFonts w:cs="Tahoma"/>
              </w:rPr>
            </w:pPr>
            <w:r w:rsidRPr="00704D34">
              <w:rPr>
                <w:rFonts w:cs="Tahoma"/>
              </w:rPr>
              <w:t>NR</w:t>
            </w:r>
          </w:p>
        </w:tc>
        <w:tc>
          <w:tcPr>
            <w:tcW w:w="968" w:type="dxa"/>
          </w:tcPr>
          <w:p w14:paraId="44161F56" w14:textId="77777777" w:rsidR="00704D34" w:rsidRPr="00704D34" w:rsidRDefault="00704D34" w:rsidP="00704D34">
            <w:pPr>
              <w:keepNext/>
              <w:spacing w:before="10" w:after="10"/>
              <w:jc w:val="center"/>
              <w:rPr>
                <w:rFonts w:cs="Tahoma"/>
              </w:rPr>
            </w:pPr>
            <w:r w:rsidRPr="00704D34">
              <w:rPr>
                <w:rFonts w:cs="Tahoma"/>
              </w:rPr>
              <w:t>NR</w:t>
            </w:r>
          </w:p>
        </w:tc>
        <w:tc>
          <w:tcPr>
            <w:tcW w:w="969" w:type="dxa"/>
            <w:vAlign w:val="center"/>
          </w:tcPr>
          <w:p w14:paraId="1FBD0029" w14:textId="77777777" w:rsidR="00704D34" w:rsidRPr="00704D34" w:rsidRDefault="00704D34" w:rsidP="00704D34">
            <w:pPr>
              <w:keepNext/>
              <w:spacing w:before="10" w:after="10"/>
              <w:jc w:val="center"/>
              <w:rPr>
                <w:rFonts w:cs="Tahoma"/>
              </w:rPr>
            </w:pPr>
            <w:r w:rsidRPr="00704D34">
              <w:rPr>
                <w:rFonts w:cs="Tahoma"/>
              </w:rPr>
              <w:t>0/1 (0)</w:t>
            </w:r>
          </w:p>
        </w:tc>
        <w:tc>
          <w:tcPr>
            <w:tcW w:w="969" w:type="dxa"/>
          </w:tcPr>
          <w:p w14:paraId="30BBD72C" w14:textId="77777777" w:rsidR="00704D34" w:rsidRPr="00704D34" w:rsidRDefault="00704D34" w:rsidP="00704D34">
            <w:pPr>
              <w:keepNext/>
              <w:spacing w:before="10" w:after="10"/>
              <w:jc w:val="center"/>
              <w:rPr>
                <w:rFonts w:cs="Tahoma"/>
                <w:i/>
                <w:iCs/>
              </w:rPr>
            </w:pPr>
            <w:r w:rsidRPr="00704D34">
              <w:rPr>
                <w:rFonts w:cs="Tahoma"/>
                <w:i/>
                <w:iCs/>
              </w:rPr>
              <w:t>3/5 (60)</w:t>
            </w:r>
          </w:p>
        </w:tc>
        <w:tc>
          <w:tcPr>
            <w:tcW w:w="968" w:type="dxa"/>
            <w:vAlign w:val="center"/>
          </w:tcPr>
          <w:p w14:paraId="313A8841" w14:textId="77777777" w:rsidR="00704D34" w:rsidRPr="00704D34" w:rsidRDefault="00704D34" w:rsidP="00704D34">
            <w:pPr>
              <w:keepNext/>
              <w:spacing w:before="10" w:after="10"/>
              <w:jc w:val="center"/>
              <w:rPr>
                <w:rFonts w:cs="Tahoma"/>
              </w:rPr>
            </w:pPr>
            <w:r w:rsidRPr="00704D34">
              <w:rPr>
                <w:rFonts w:cs="Tahoma"/>
              </w:rPr>
              <w:t>3/6 (50)</w:t>
            </w:r>
          </w:p>
        </w:tc>
        <w:tc>
          <w:tcPr>
            <w:tcW w:w="969" w:type="dxa"/>
          </w:tcPr>
          <w:p w14:paraId="2D89F437"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206AAA37" w14:textId="77777777" w:rsidR="00704D34" w:rsidRPr="00704D34" w:rsidRDefault="00704D34" w:rsidP="00704D34">
            <w:pPr>
              <w:keepNext/>
              <w:spacing w:before="10" w:after="10"/>
              <w:jc w:val="center"/>
              <w:rPr>
                <w:rFonts w:cs="Tahoma"/>
              </w:rPr>
            </w:pPr>
            <w:r w:rsidRPr="00704D34">
              <w:rPr>
                <w:rFonts w:cs="Tahoma"/>
              </w:rPr>
              <w:t>NR</w:t>
            </w:r>
          </w:p>
        </w:tc>
      </w:tr>
      <w:tr w:rsidR="00704D34" w:rsidRPr="00704D34" w14:paraId="7A07570C" w14:textId="77777777" w:rsidTr="00D56273">
        <w:tc>
          <w:tcPr>
            <w:tcW w:w="9209" w:type="dxa"/>
            <w:gridSpan w:val="9"/>
            <w:vAlign w:val="center"/>
          </w:tcPr>
          <w:p w14:paraId="1756DA74" w14:textId="77777777" w:rsidR="00704D34" w:rsidRPr="00704D34" w:rsidRDefault="00704D34" w:rsidP="00704D34">
            <w:pPr>
              <w:keepNext/>
              <w:spacing w:before="10" w:after="10"/>
              <w:rPr>
                <w:rFonts w:cs="Tahoma"/>
                <w:b/>
                <w:bCs/>
              </w:rPr>
            </w:pPr>
            <w:r w:rsidRPr="00704D34">
              <w:rPr>
                <w:rFonts w:cs="Tahoma"/>
                <w:b/>
                <w:bCs/>
              </w:rPr>
              <w:t>Gastrointestinal tract</w:t>
            </w:r>
          </w:p>
        </w:tc>
      </w:tr>
      <w:tr w:rsidR="00704D34" w:rsidRPr="00704D34" w14:paraId="1E2286E4" w14:textId="77777777" w:rsidTr="00D56273">
        <w:tc>
          <w:tcPr>
            <w:tcW w:w="1305" w:type="dxa"/>
            <w:vAlign w:val="center"/>
          </w:tcPr>
          <w:p w14:paraId="06A36F6F" w14:textId="77777777" w:rsidR="00704D34" w:rsidRPr="00704D34" w:rsidRDefault="00704D34" w:rsidP="00704D34">
            <w:pPr>
              <w:keepNext/>
              <w:spacing w:before="10" w:after="10"/>
              <w:rPr>
                <w:rFonts w:cs="Tahoma"/>
              </w:rPr>
            </w:pPr>
            <w:r w:rsidRPr="00704D34">
              <w:rPr>
                <w:rFonts w:cs="Tahoma"/>
              </w:rPr>
              <w:t>Week 12</w:t>
            </w:r>
          </w:p>
        </w:tc>
        <w:tc>
          <w:tcPr>
            <w:tcW w:w="1046" w:type="dxa"/>
          </w:tcPr>
          <w:p w14:paraId="46F6A368" w14:textId="77777777" w:rsidR="00704D34" w:rsidRPr="00704D34" w:rsidRDefault="00704D34" w:rsidP="00704D34">
            <w:pPr>
              <w:keepNext/>
              <w:spacing w:before="10" w:after="10"/>
              <w:jc w:val="center"/>
              <w:rPr>
                <w:rFonts w:cs="Tahoma"/>
              </w:rPr>
            </w:pPr>
            <w:r w:rsidRPr="00704D34">
              <w:rPr>
                <w:rFonts w:cs="Tahoma"/>
              </w:rPr>
              <w:t>1/2 (50)</w:t>
            </w:r>
          </w:p>
        </w:tc>
        <w:tc>
          <w:tcPr>
            <w:tcW w:w="1046" w:type="dxa"/>
          </w:tcPr>
          <w:p w14:paraId="7EE79B74" w14:textId="77777777" w:rsidR="00704D34" w:rsidRPr="00704D34" w:rsidRDefault="00704D34" w:rsidP="00704D34">
            <w:pPr>
              <w:keepNext/>
              <w:spacing w:before="10" w:after="10"/>
              <w:jc w:val="center"/>
              <w:rPr>
                <w:rFonts w:cs="Tahoma"/>
              </w:rPr>
            </w:pPr>
            <w:r w:rsidRPr="00704D34">
              <w:rPr>
                <w:rFonts w:cs="Tahoma"/>
              </w:rPr>
              <w:t>3/9 (33)</w:t>
            </w:r>
          </w:p>
        </w:tc>
        <w:tc>
          <w:tcPr>
            <w:tcW w:w="968" w:type="dxa"/>
          </w:tcPr>
          <w:p w14:paraId="1643A6B5" w14:textId="77777777" w:rsidR="00704D34" w:rsidRPr="00704D34" w:rsidRDefault="00704D34" w:rsidP="00704D34">
            <w:pPr>
              <w:keepNext/>
              <w:spacing w:before="10" w:after="10"/>
              <w:jc w:val="center"/>
              <w:rPr>
                <w:rFonts w:cs="Tahoma"/>
              </w:rPr>
            </w:pPr>
            <w:r w:rsidRPr="00704D34">
              <w:rPr>
                <w:rFonts w:cs="Tahoma"/>
              </w:rPr>
              <w:t>1/2 (50)</w:t>
            </w:r>
          </w:p>
        </w:tc>
        <w:tc>
          <w:tcPr>
            <w:tcW w:w="969" w:type="dxa"/>
          </w:tcPr>
          <w:p w14:paraId="3C5F2115"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2884E65E" w14:textId="77777777" w:rsidR="00704D34" w:rsidRPr="00704D34" w:rsidRDefault="00704D34" w:rsidP="00704D34">
            <w:pPr>
              <w:keepNext/>
              <w:spacing w:before="10" w:after="10"/>
              <w:jc w:val="center"/>
              <w:rPr>
                <w:rFonts w:cs="Tahoma"/>
              </w:rPr>
            </w:pPr>
            <w:r w:rsidRPr="00704D34">
              <w:rPr>
                <w:rFonts w:cs="Tahoma"/>
              </w:rPr>
              <w:t>NR</w:t>
            </w:r>
          </w:p>
        </w:tc>
        <w:tc>
          <w:tcPr>
            <w:tcW w:w="968" w:type="dxa"/>
          </w:tcPr>
          <w:p w14:paraId="0D865F6C"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77075958" w14:textId="77777777" w:rsidR="00704D34" w:rsidRPr="00704D34" w:rsidRDefault="00704D34" w:rsidP="00704D34">
            <w:pPr>
              <w:keepNext/>
              <w:spacing w:before="10" w:after="10"/>
              <w:jc w:val="center"/>
              <w:rPr>
                <w:rFonts w:cs="Tahoma"/>
              </w:rPr>
            </w:pPr>
            <w:r w:rsidRPr="00704D34">
              <w:rPr>
                <w:rFonts w:cs="Tahoma"/>
              </w:rPr>
              <w:t>1/3 (33)</w:t>
            </w:r>
          </w:p>
        </w:tc>
        <w:tc>
          <w:tcPr>
            <w:tcW w:w="969" w:type="dxa"/>
          </w:tcPr>
          <w:p w14:paraId="6FFB7E20" w14:textId="77777777" w:rsidR="00704D34" w:rsidRPr="00704D34" w:rsidRDefault="00704D34" w:rsidP="00704D34">
            <w:pPr>
              <w:keepNext/>
              <w:spacing w:before="10" w:after="10"/>
              <w:jc w:val="center"/>
              <w:rPr>
                <w:rFonts w:cs="Tahoma"/>
              </w:rPr>
            </w:pPr>
            <w:r w:rsidRPr="00704D34">
              <w:rPr>
                <w:rFonts w:cs="Tahoma"/>
              </w:rPr>
              <w:t>NR</w:t>
            </w:r>
          </w:p>
        </w:tc>
      </w:tr>
      <w:tr w:rsidR="00704D34" w:rsidRPr="00704D34" w14:paraId="61F6CA42" w14:textId="77777777" w:rsidTr="00D56273">
        <w:tc>
          <w:tcPr>
            <w:tcW w:w="1305" w:type="dxa"/>
            <w:vAlign w:val="center"/>
          </w:tcPr>
          <w:p w14:paraId="2D9D96A5" w14:textId="77777777" w:rsidR="00704D34" w:rsidRPr="00704D34" w:rsidRDefault="00704D34" w:rsidP="00704D34">
            <w:pPr>
              <w:keepNext/>
              <w:spacing w:before="10" w:after="10"/>
              <w:rPr>
                <w:rFonts w:cs="Tahoma"/>
              </w:rPr>
            </w:pPr>
            <w:r w:rsidRPr="00704D34">
              <w:rPr>
                <w:rFonts w:cs="Tahoma"/>
              </w:rPr>
              <w:t>Week 24</w:t>
            </w:r>
          </w:p>
        </w:tc>
        <w:tc>
          <w:tcPr>
            <w:tcW w:w="1046" w:type="dxa"/>
          </w:tcPr>
          <w:p w14:paraId="11A90C2A" w14:textId="77777777" w:rsidR="00704D34" w:rsidRPr="00704D34" w:rsidRDefault="00704D34" w:rsidP="00704D34">
            <w:pPr>
              <w:keepNext/>
              <w:spacing w:before="10" w:after="10"/>
              <w:jc w:val="center"/>
              <w:rPr>
                <w:rFonts w:cs="Tahoma"/>
              </w:rPr>
            </w:pPr>
            <w:r w:rsidRPr="00704D34">
              <w:rPr>
                <w:rFonts w:cs="Tahoma"/>
              </w:rPr>
              <w:t>1/2 (50)</w:t>
            </w:r>
          </w:p>
        </w:tc>
        <w:tc>
          <w:tcPr>
            <w:tcW w:w="1046" w:type="dxa"/>
          </w:tcPr>
          <w:p w14:paraId="1D446108" w14:textId="77777777" w:rsidR="00704D34" w:rsidRPr="00704D34" w:rsidRDefault="00704D34" w:rsidP="00704D34">
            <w:pPr>
              <w:keepNext/>
              <w:spacing w:before="10" w:after="10"/>
              <w:jc w:val="center"/>
              <w:rPr>
                <w:rFonts w:cs="Tahoma"/>
              </w:rPr>
            </w:pPr>
            <w:r w:rsidRPr="00704D34">
              <w:rPr>
                <w:rFonts w:cs="Tahoma"/>
              </w:rPr>
              <w:t>NR</w:t>
            </w:r>
          </w:p>
        </w:tc>
        <w:tc>
          <w:tcPr>
            <w:tcW w:w="968" w:type="dxa"/>
          </w:tcPr>
          <w:p w14:paraId="634B251A" w14:textId="77777777" w:rsidR="00704D34" w:rsidRPr="00704D34" w:rsidRDefault="00704D34" w:rsidP="00704D34">
            <w:pPr>
              <w:keepNext/>
              <w:spacing w:before="10" w:after="10"/>
              <w:jc w:val="center"/>
              <w:rPr>
                <w:rFonts w:cs="Tahoma"/>
              </w:rPr>
            </w:pPr>
            <w:r w:rsidRPr="00704D34">
              <w:rPr>
                <w:rFonts w:cs="Tahoma"/>
              </w:rPr>
              <w:t>2/2 (100)</w:t>
            </w:r>
          </w:p>
        </w:tc>
        <w:tc>
          <w:tcPr>
            <w:tcW w:w="969" w:type="dxa"/>
          </w:tcPr>
          <w:p w14:paraId="54DB554C"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7D64324D" w14:textId="77777777" w:rsidR="00704D34" w:rsidRPr="00704D34" w:rsidRDefault="00704D34" w:rsidP="00704D34">
            <w:pPr>
              <w:keepNext/>
              <w:spacing w:before="10" w:after="10"/>
              <w:jc w:val="center"/>
              <w:rPr>
                <w:rFonts w:cs="Tahoma"/>
              </w:rPr>
            </w:pPr>
            <w:r w:rsidRPr="00704D34">
              <w:rPr>
                <w:rFonts w:cs="Tahoma"/>
              </w:rPr>
              <w:t>NR</w:t>
            </w:r>
          </w:p>
        </w:tc>
        <w:tc>
          <w:tcPr>
            <w:tcW w:w="968" w:type="dxa"/>
          </w:tcPr>
          <w:p w14:paraId="07EAB12E"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519BF944" w14:textId="77777777" w:rsidR="00704D34" w:rsidRPr="00704D34" w:rsidRDefault="00704D34" w:rsidP="00704D34">
            <w:pPr>
              <w:keepNext/>
              <w:spacing w:before="10" w:after="10"/>
              <w:jc w:val="center"/>
              <w:rPr>
                <w:rFonts w:cs="Tahoma"/>
              </w:rPr>
            </w:pPr>
            <w:r w:rsidRPr="00704D34">
              <w:rPr>
                <w:rFonts w:cs="Tahoma"/>
              </w:rPr>
              <w:t>1/3 (33)</w:t>
            </w:r>
          </w:p>
        </w:tc>
        <w:tc>
          <w:tcPr>
            <w:tcW w:w="969" w:type="dxa"/>
          </w:tcPr>
          <w:p w14:paraId="67B69173" w14:textId="77777777" w:rsidR="00704D34" w:rsidRPr="00704D34" w:rsidRDefault="00704D34" w:rsidP="00704D34">
            <w:pPr>
              <w:keepNext/>
              <w:spacing w:before="10" w:after="10"/>
              <w:jc w:val="center"/>
              <w:rPr>
                <w:rFonts w:cs="Tahoma"/>
              </w:rPr>
            </w:pPr>
            <w:r w:rsidRPr="00704D34">
              <w:rPr>
                <w:rFonts w:cs="Tahoma"/>
              </w:rPr>
              <w:t>NR</w:t>
            </w:r>
          </w:p>
        </w:tc>
      </w:tr>
      <w:tr w:rsidR="00704D34" w:rsidRPr="00704D34" w14:paraId="63DA8E44" w14:textId="77777777" w:rsidTr="00D56273">
        <w:tc>
          <w:tcPr>
            <w:tcW w:w="1305" w:type="dxa"/>
          </w:tcPr>
          <w:p w14:paraId="53BA2BE1" w14:textId="77777777" w:rsidR="00704D34" w:rsidRPr="00704D34" w:rsidRDefault="00704D34" w:rsidP="00704D34">
            <w:pPr>
              <w:keepNext/>
              <w:spacing w:before="10" w:after="10"/>
              <w:rPr>
                <w:rFonts w:cs="Tahoma"/>
              </w:rPr>
            </w:pPr>
            <w:r w:rsidRPr="00704D34">
              <w:rPr>
                <w:rFonts w:cs="Tahoma"/>
              </w:rPr>
              <w:t>Week 36</w:t>
            </w:r>
          </w:p>
        </w:tc>
        <w:tc>
          <w:tcPr>
            <w:tcW w:w="1046" w:type="dxa"/>
          </w:tcPr>
          <w:p w14:paraId="283231C7" w14:textId="77777777" w:rsidR="00704D34" w:rsidRPr="00704D34" w:rsidRDefault="00704D34" w:rsidP="00704D34">
            <w:pPr>
              <w:keepNext/>
              <w:spacing w:before="10" w:after="10"/>
              <w:jc w:val="center"/>
              <w:rPr>
                <w:rFonts w:cs="Tahoma"/>
              </w:rPr>
            </w:pPr>
            <w:r w:rsidRPr="00704D34">
              <w:rPr>
                <w:rFonts w:cs="Tahoma"/>
              </w:rPr>
              <w:t>NR</w:t>
            </w:r>
          </w:p>
        </w:tc>
        <w:tc>
          <w:tcPr>
            <w:tcW w:w="1046" w:type="dxa"/>
          </w:tcPr>
          <w:p w14:paraId="28AC6D5F" w14:textId="77777777" w:rsidR="00704D34" w:rsidRPr="00704D34" w:rsidRDefault="00704D34" w:rsidP="00704D34">
            <w:pPr>
              <w:keepNext/>
              <w:spacing w:before="10" w:after="10"/>
              <w:jc w:val="center"/>
              <w:rPr>
                <w:rFonts w:cs="Tahoma"/>
              </w:rPr>
            </w:pPr>
            <w:r w:rsidRPr="00704D34">
              <w:rPr>
                <w:rFonts w:cs="Tahoma"/>
              </w:rPr>
              <w:t>NR</w:t>
            </w:r>
          </w:p>
        </w:tc>
        <w:tc>
          <w:tcPr>
            <w:tcW w:w="968" w:type="dxa"/>
          </w:tcPr>
          <w:p w14:paraId="79EC9353"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03DCD1BD"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4966F96E" w14:textId="77777777" w:rsidR="00704D34" w:rsidRPr="00704D34" w:rsidRDefault="00704D34" w:rsidP="00704D34">
            <w:pPr>
              <w:keepNext/>
              <w:spacing w:before="10" w:after="10"/>
              <w:jc w:val="center"/>
              <w:rPr>
                <w:rFonts w:cs="Tahoma"/>
              </w:rPr>
            </w:pPr>
            <w:r w:rsidRPr="00704D34">
              <w:rPr>
                <w:rFonts w:cs="Tahoma"/>
              </w:rPr>
              <w:t>NR</w:t>
            </w:r>
          </w:p>
        </w:tc>
        <w:tc>
          <w:tcPr>
            <w:tcW w:w="968" w:type="dxa"/>
          </w:tcPr>
          <w:p w14:paraId="0E7BCC87"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3E62092C" w14:textId="77777777" w:rsidR="00704D34" w:rsidRPr="00704D34" w:rsidRDefault="00704D34" w:rsidP="00704D34">
            <w:pPr>
              <w:keepNext/>
              <w:spacing w:before="10" w:after="10"/>
              <w:jc w:val="center"/>
              <w:rPr>
                <w:rFonts w:cs="Tahoma"/>
              </w:rPr>
            </w:pPr>
            <w:r w:rsidRPr="00704D34">
              <w:rPr>
                <w:rFonts w:cs="Tahoma"/>
              </w:rPr>
              <w:t>1/3 (33)</w:t>
            </w:r>
          </w:p>
        </w:tc>
        <w:tc>
          <w:tcPr>
            <w:tcW w:w="969" w:type="dxa"/>
          </w:tcPr>
          <w:p w14:paraId="5206A451" w14:textId="77777777" w:rsidR="00704D34" w:rsidRPr="00704D34" w:rsidRDefault="00704D34" w:rsidP="00704D34">
            <w:pPr>
              <w:keepNext/>
              <w:spacing w:before="10" w:after="10"/>
              <w:jc w:val="center"/>
              <w:rPr>
                <w:rFonts w:cs="Tahoma"/>
              </w:rPr>
            </w:pPr>
            <w:r w:rsidRPr="00704D34">
              <w:rPr>
                <w:rFonts w:cs="Tahoma"/>
              </w:rPr>
              <w:t>NR</w:t>
            </w:r>
          </w:p>
        </w:tc>
      </w:tr>
      <w:tr w:rsidR="00704D34" w:rsidRPr="00704D34" w14:paraId="128EE372" w14:textId="77777777" w:rsidTr="00D56273">
        <w:tc>
          <w:tcPr>
            <w:tcW w:w="1305" w:type="dxa"/>
          </w:tcPr>
          <w:p w14:paraId="5290B48C" w14:textId="77777777" w:rsidR="00704D34" w:rsidRPr="00704D34" w:rsidRDefault="00704D34" w:rsidP="00704D34">
            <w:pPr>
              <w:keepNext/>
              <w:spacing w:before="10" w:after="10"/>
              <w:rPr>
                <w:rFonts w:cs="Tahoma"/>
              </w:rPr>
            </w:pPr>
            <w:r w:rsidRPr="00704D34">
              <w:rPr>
                <w:rFonts w:cs="Tahoma"/>
              </w:rPr>
              <w:t>Final visit</w:t>
            </w:r>
          </w:p>
        </w:tc>
        <w:tc>
          <w:tcPr>
            <w:tcW w:w="1046" w:type="dxa"/>
          </w:tcPr>
          <w:p w14:paraId="146B43A4" w14:textId="77777777" w:rsidR="00704D34" w:rsidRPr="00704D34" w:rsidRDefault="00704D34" w:rsidP="00704D34">
            <w:pPr>
              <w:keepNext/>
              <w:spacing w:before="10" w:after="10"/>
              <w:jc w:val="center"/>
              <w:rPr>
                <w:rFonts w:cs="Tahoma"/>
              </w:rPr>
            </w:pPr>
            <w:r w:rsidRPr="00704D34">
              <w:rPr>
                <w:rFonts w:cs="Tahoma"/>
              </w:rPr>
              <w:t>NR</w:t>
            </w:r>
          </w:p>
        </w:tc>
        <w:tc>
          <w:tcPr>
            <w:tcW w:w="1046" w:type="dxa"/>
          </w:tcPr>
          <w:p w14:paraId="720EA9D1" w14:textId="77777777" w:rsidR="00704D34" w:rsidRPr="00704D34" w:rsidRDefault="00704D34" w:rsidP="00704D34">
            <w:pPr>
              <w:keepNext/>
              <w:spacing w:before="10" w:after="10"/>
              <w:jc w:val="center"/>
              <w:rPr>
                <w:rFonts w:cs="Tahoma"/>
              </w:rPr>
            </w:pPr>
            <w:r w:rsidRPr="00704D34">
              <w:rPr>
                <w:rFonts w:cs="Tahoma"/>
              </w:rPr>
              <w:t>NR</w:t>
            </w:r>
          </w:p>
        </w:tc>
        <w:tc>
          <w:tcPr>
            <w:tcW w:w="968" w:type="dxa"/>
          </w:tcPr>
          <w:p w14:paraId="37959C74" w14:textId="77777777" w:rsidR="00704D34" w:rsidRPr="00704D34" w:rsidRDefault="00704D34" w:rsidP="00704D34">
            <w:pPr>
              <w:keepNext/>
              <w:spacing w:before="10" w:after="10"/>
              <w:jc w:val="center"/>
              <w:rPr>
                <w:rFonts w:cs="Tahoma"/>
              </w:rPr>
            </w:pPr>
            <w:r w:rsidRPr="00704D34">
              <w:rPr>
                <w:rFonts w:cs="Tahoma"/>
              </w:rPr>
              <w:t>NR</w:t>
            </w:r>
          </w:p>
        </w:tc>
        <w:tc>
          <w:tcPr>
            <w:tcW w:w="969" w:type="dxa"/>
            <w:vAlign w:val="center"/>
          </w:tcPr>
          <w:p w14:paraId="019FECC7" w14:textId="77777777" w:rsidR="00704D34" w:rsidRPr="00704D34" w:rsidRDefault="00704D34" w:rsidP="00704D34">
            <w:pPr>
              <w:keepNext/>
              <w:spacing w:before="10" w:after="10"/>
              <w:jc w:val="center"/>
              <w:rPr>
                <w:rFonts w:cs="Tahoma"/>
              </w:rPr>
            </w:pPr>
            <w:r w:rsidRPr="00704D34">
              <w:rPr>
                <w:rFonts w:cs="Tahoma"/>
              </w:rPr>
              <w:t>0/2 (0)</w:t>
            </w:r>
          </w:p>
        </w:tc>
        <w:tc>
          <w:tcPr>
            <w:tcW w:w="969" w:type="dxa"/>
          </w:tcPr>
          <w:p w14:paraId="6F4B5193" w14:textId="77777777" w:rsidR="00704D34" w:rsidRPr="00704D34" w:rsidRDefault="00704D34" w:rsidP="00704D34">
            <w:pPr>
              <w:keepNext/>
              <w:spacing w:before="10" w:after="10"/>
              <w:jc w:val="center"/>
              <w:rPr>
                <w:rFonts w:cs="Tahoma"/>
              </w:rPr>
            </w:pPr>
            <w:r w:rsidRPr="00704D34">
              <w:rPr>
                <w:rFonts w:cs="Tahoma"/>
              </w:rPr>
              <w:t>5/5 (100)</w:t>
            </w:r>
          </w:p>
        </w:tc>
        <w:tc>
          <w:tcPr>
            <w:tcW w:w="968" w:type="dxa"/>
            <w:vAlign w:val="center"/>
          </w:tcPr>
          <w:p w14:paraId="378578F4" w14:textId="77777777" w:rsidR="00704D34" w:rsidRPr="00704D34" w:rsidRDefault="00704D34" w:rsidP="00704D34">
            <w:pPr>
              <w:keepNext/>
              <w:spacing w:before="10" w:after="10"/>
              <w:jc w:val="center"/>
              <w:rPr>
                <w:rFonts w:cs="Tahoma"/>
              </w:rPr>
            </w:pPr>
            <w:r w:rsidRPr="00704D34">
              <w:rPr>
                <w:rFonts w:cs="Tahoma"/>
              </w:rPr>
              <w:t>1/1 (100)</w:t>
            </w:r>
          </w:p>
        </w:tc>
        <w:tc>
          <w:tcPr>
            <w:tcW w:w="969" w:type="dxa"/>
          </w:tcPr>
          <w:p w14:paraId="167DF419" w14:textId="77777777" w:rsidR="00704D34" w:rsidRPr="00704D34" w:rsidRDefault="00704D34" w:rsidP="00704D34">
            <w:pPr>
              <w:keepNext/>
              <w:spacing w:before="10" w:after="10"/>
              <w:jc w:val="center"/>
              <w:rPr>
                <w:rFonts w:cs="Tahoma"/>
              </w:rPr>
            </w:pPr>
            <w:r w:rsidRPr="00704D34">
              <w:rPr>
                <w:rFonts w:cs="Tahoma"/>
              </w:rPr>
              <w:t>NR</w:t>
            </w:r>
          </w:p>
        </w:tc>
        <w:tc>
          <w:tcPr>
            <w:tcW w:w="969" w:type="dxa"/>
          </w:tcPr>
          <w:p w14:paraId="790A132F" w14:textId="77777777" w:rsidR="00704D34" w:rsidRPr="00704D34" w:rsidRDefault="00704D34" w:rsidP="00704D34">
            <w:pPr>
              <w:keepNext/>
              <w:spacing w:before="10" w:after="10"/>
              <w:jc w:val="center"/>
              <w:rPr>
                <w:rFonts w:cs="Tahoma"/>
              </w:rPr>
            </w:pPr>
            <w:r w:rsidRPr="00704D34">
              <w:rPr>
                <w:rFonts w:cs="Tahoma"/>
              </w:rPr>
              <w:t>NR</w:t>
            </w:r>
          </w:p>
        </w:tc>
      </w:tr>
    </w:tbl>
    <w:p w14:paraId="0EB83926" w14:textId="77777777" w:rsidR="00704D34" w:rsidRPr="00704D34" w:rsidRDefault="00704D34" w:rsidP="00704D34">
      <w:pPr>
        <w:keepNext/>
        <w:jc w:val="both"/>
        <w:rPr>
          <w:rFonts w:ascii="Arial Narrow" w:hAnsi="Arial Narrow" w:cs="Tahoma"/>
          <w:sz w:val="18"/>
          <w:szCs w:val="18"/>
        </w:rPr>
      </w:pPr>
      <w:r w:rsidRPr="00704D34">
        <w:rPr>
          <w:rFonts w:ascii="Arial Narrow" w:hAnsi="Arial Narrow" w:cs="Tahoma"/>
          <w:sz w:val="18"/>
          <w:szCs w:val="18"/>
        </w:rPr>
        <w:t>Source: Table B.27, pp120-121 of the ADAR.</w:t>
      </w:r>
    </w:p>
    <w:p w14:paraId="4C752B24" w14:textId="77777777" w:rsidR="00704D34" w:rsidRPr="00704D34" w:rsidRDefault="00704D34" w:rsidP="00704D34">
      <w:pPr>
        <w:keepNext/>
        <w:tabs>
          <w:tab w:val="left" w:pos="284"/>
        </w:tabs>
        <w:rPr>
          <w:rFonts w:ascii="Arial Narrow" w:hAnsi="Arial Narrow" w:cs="Tahoma"/>
          <w:sz w:val="18"/>
          <w:szCs w:val="18"/>
        </w:rPr>
      </w:pPr>
      <w:r w:rsidRPr="00704D34">
        <w:rPr>
          <w:rFonts w:ascii="Arial Narrow" w:hAnsi="Arial Narrow" w:cs="Tahoma"/>
          <w:sz w:val="18"/>
          <w:szCs w:val="18"/>
          <w:vertAlign w:val="superscript"/>
        </w:rPr>
        <w:t>a</w:t>
      </w:r>
      <w:r w:rsidRPr="00704D34">
        <w:rPr>
          <w:rFonts w:ascii="Arial Narrow" w:hAnsi="Arial Narrow" w:cs="Tahoma"/>
          <w:sz w:val="18"/>
          <w:szCs w:val="18"/>
        </w:rPr>
        <w:tab/>
        <w:t>patients with lichenoid disease</w:t>
      </w:r>
    </w:p>
    <w:p w14:paraId="4604D0BB" w14:textId="77777777" w:rsidR="00704D34" w:rsidRPr="00704D34" w:rsidRDefault="00704D34" w:rsidP="00704D34">
      <w:pPr>
        <w:keepNext/>
        <w:tabs>
          <w:tab w:val="left" w:pos="284"/>
        </w:tabs>
        <w:rPr>
          <w:rFonts w:ascii="Arial Narrow" w:hAnsi="Arial Narrow" w:cs="Tahoma"/>
          <w:sz w:val="18"/>
          <w:szCs w:val="18"/>
        </w:rPr>
      </w:pPr>
      <w:r w:rsidRPr="00704D34">
        <w:rPr>
          <w:rFonts w:ascii="Arial Narrow" w:hAnsi="Arial Narrow" w:cs="Tahoma"/>
          <w:sz w:val="18"/>
          <w:szCs w:val="18"/>
          <w:vertAlign w:val="superscript"/>
        </w:rPr>
        <w:t>b</w:t>
      </w:r>
      <w:r w:rsidRPr="00704D34">
        <w:rPr>
          <w:rFonts w:ascii="Arial Narrow" w:hAnsi="Arial Narrow" w:cs="Tahoma"/>
          <w:sz w:val="18"/>
          <w:szCs w:val="18"/>
        </w:rPr>
        <w:tab/>
        <w:t>patients with non-movable sclerodermoid disease</w:t>
      </w:r>
    </w:p>
    <w:p w14:paraId="41C868CE" w14:textId="77777777" w:rsidR="00704D34" w:rsidRPr="00704D34" w:rsidRDefault="00704D34" w:rsidP="00704D34">
      <w:pPr>
        <w:keepNext/>
        <w:spacing w:after="240"/>
        <w:jc w:val="both"/>
        <w:rPr>
          <w:rFonts w:ascii="Arial Narrow" w:hAnsi="Arial Narrow" w:cs="Tahoma"/>
          <w:sz w:val="18"/>
          <w:szCs w:val="18"/>
        </w:rPr>
      </w:pPr>
      <w:r w:rsidRPr="00704D34">
        <w:rPr>
          <w:rFonts w:ascii="Arial Narrow" w:hAnsi="Arial Narrow" w:cs="Tahoma"/>
          <w:sz w:val="18"/>
          <w:szCs w:val="18"/>
        </w:rPr>
        <w:t>Bold typography indicates statistically significant differences between groups or between baseline and outcome measurement</w:t>
      </w:r>
    </w:p>
    <w:p w14:paraId="4649033B" w14:textId="36E27557" w:rsidR="00704D34" w:rsidRDefault="00704D34" w:rsidP="00704D34">
      <w:pPr>
        <w:rPr>
          <w:iCs/>
        </w:rPr>
      </w:pPr>
      <w:r w:rsidRPr="00704D34">
        <w:fldChar w:fldCharType="begin"/>
      </w:r>
      <w:r w:rsidRPr="00704D34">
        <w:instrText xml:space="preserve"> REF _Ref71079192 \h  \* MERGEFORMAT </w:instrText>
      </w:r>
      <w:r w:rsidRPr="00704D34">
        <w:fldChar w:fldCharType="separate"/>
      </w:r>
      <w:r w:rsidR="008407AE" w:rsidRPr="008407AE">
        <w:t>Table 5</w:t>
      </w:r>
      <w:r w:rsidRPr="00704D34">
        <w:fldChar w:fldCharType="end"/>
      </w:r>
      <w:r w:rsidRPr="00704D34">
        <w:t xml:space="preserve"> summarises the global complete and partial clinical responses reported in the studies. </w:t>
      </w:r>
      <w:r w:rsidR="00474DBE">
        <w:t>Somewhat</w:t>
      </w:r>
      <w:r w:rsidRPr="00704D34">
        <w:t xml:space="preserve"> consistent proportion</w:t>
      </w:r>
      <w:r w:rsidR="00474DBE">
        <w:t>s</w:t>
      </w:r>
      <w:r w:rsidRPr="00704D34">
        <w:t xml:space="preserve"> of patients in the Dignan 2014, Gandelman 2018 and Okamoto 2018 studies </w:t>
      </w:r>
      <w:r w:rsidR="00CA5D0B">
        <w:t xml:space="preserve">reported </w:t>
      </w:r>
      <w:r w:rsidRPr="00704D34">
        <w:t xml:space="preserve">a global complete and partial clinical response in cGVHD affected organs as assessed by the NIH cGVHD Guideline (range: 43.5%-66.7%). This </w:t>
      </w:r>
      <w:r w:rsidR="00474DBE">
        <w:t>was somewhat</w:t>
      </w:r>
      <w:r w:rsidRPr="00704D34">
        <w:t xml:space="preserve"> aligned with the proportion</w:t>
      </w:r>
      <w:r w:rsidR="00474DBE">
        <w:t>s</w:t>
      </w:r>
      <w:r w:rsidRPr="00704D34">
        <w:t xml:space="preserve"> of patients in the Australian RPAH SAS, VCCC SAS and Gandelman 2018 studies </w:t>
      </w:r>
      <w:r w:rsidR="00474DBE">
        <w:t xml:space="preserve">who </w:t>
      </w:r>
      <w:r w:rsidR="00CA5D0B">
        <w:t xml:space="preserve">reported </w:t>
      </w:r>
      <w:r w:rsidRPr="00704D34">
        <w:t xml:space="preserve">a global complete and partial clinical response in cGVHD affected organs as assessed by providers (79%, 82% and 62% respectively). </w:t>
      </w:r>
      <w:r w:rsidRPr="00704D34">
        <w:rPr>
          <w:iCs/>
        </w:rPr>
        <w:t>The 79% cited for RPAH SAS could not be independently verified.</w:t>
      </w:r>
      <w:r w:rsidR="00814AF1">
        <w:rPr>
          <w:iCs/>
        </w:rPr>
        <w:t xml:space="preserve"> In the VCCC SAS paediatric </w:t>
      </w:r>
      <w:r w:rsidR="00814AF1">
        <w:rPr>
          <w:iCs/>
        </w:rPr>
        <w:lastRenderedPageBreak/>
        <w:t xml:space="preserve">cohort, </w:t>
      </w:r>
      <w:r w:rsidR="00814AF1" w:rsidRPr="00814AF1">
        <w:rPr>
          <w:iCs/>
        </w:rPr>
        <w:t xml:space="preserve">4 patients experienced a complete response, 6 patients experienced a partial response, 3 patients experienced stable disease and 4 patients </w:t>
      </w:r>
      <w:r w:rsidR="00814AF1">
        <w:rPr>
          <w:iCs/>
        </w:rPr>
        <w:t>experienced disease progression.</w:t>
      </w:r>
    </w:p>
    <w:p w14:paraId="0AFF63B2" w14:textId="1F78F36B" w:rsidR="00704D34" w:rsidRPr="00704D34" w:rsidRDefault="00704D34" w:rsidP="00B853FB">
      <w:pPr>
        <w:keepNext/>
        <w:spacing w:before="240" w:after="120"/>
        <w:rPr>
          <w:rFonts w:ascii="Arial Narrow" w:hAnsi="Arial Narrow" w:cs="Tahoma"/>
          <w:b/>
          <w:bCs/>
          <w:sz w:val="20"/>
          <w:szCs w:val="22"/>
        </w:rPr>
      </w:pPr>
      <w:bookmarkStart w:id="17" w:name="_Ref71079192"/>
      <w:r w:rsidRPr="00704D34">
        <w:rPr>
          <w:rFonts w:ascii="Arial Narrow" w:hAnsi="Arial Narrow" w:cs="Tahoma"/>
          <w:b/>
          <w:bCs/>
          <w:sz w:val="20"/>
          <w:szCs w:val="22"/>
        </w:rPr>
        <w:t xml:space="preserve">Table </w:t>
      </w:r>
      <w:r w:rsidRPr="00704D34">
        <w:rPr>
          <w:rFonts w:ascii="Arial Narrow" w:hAnsi="Arial Narrow" w:cs="Tahoma"/>
          <w:b/>
          <w:bCs/>
          <w:sz w:val="20"/>
          <w:szCs w:val="22"/>
        </w:rPr>
        <w:fldChar w:fldCharType="begin"/>
      </w:r>
      <w:r w:rsidRPr="00704D34">
        <w:rPr>
          <w:rFonts w:ascii="Arial Narrow" w:hAnsi="Arial Narrow" w:cs="Tahoma"/>
          <w:b/>
          <w:bCs/>
          <w:sz w:val="20"/>
          <w:szCs w:val="22"/>
        </w:rPr>
        <w:instrText xml:space="preserve"> SEQ Table \* ARABIC </w:instrText>
      </w:r>
      <w:r w:rsidRPr="00704D34">
        <w:rPr>
          <w:rFonts w:ascii="Arial Narrow" w:hAnsi="Arial Narrow" w:cs="Tahoma"/>
          <w:b/>
          <w:bCs/>
          <w:sz w:val="20"/>
          <w:szCs w:val="22"/>
        </w:rPr>
        <w:fldChar w:fldCharType="separate"/>
      </w:r>
      <w:r w:rsidR="008407AE">
        <w:rPr>
          <w:rFonts w:ascii="Arial Narrow" w:hAnsi="Arial Narrow" w:cs="Tahoma"/>
          <w:b/>
          <w:bCs/>
          <w:noProof/>
          <w:sz w:val="20"/>
          <w:szCs w:val="22"/>
        </w:rPr>
        <w:t>5</w:t>
      </w:r>
      <w:r w:rsidRPr="00704D34">
        <w:rPr>
          <w:rFonts w:ascii="Arial Narrow" w:hAnsi="Arial Narrow" w:cs="Tahoma"/>
          <w:b/>
          <w:bCs/>
          <w:noProof/>
          <w:sz w:val="20"/>
          <w:szCs w:val="22"/>
        </w:rPr>
        <w:fldChar w:fldCharType="end"/>
      </w:r>
      <w:bookmarkEnd w:id="17"/>
      <w:r w:rsidR="00D95154">
        <w:rPr>
          <w:rFonts w:ascii="Arial Narrow" w:hAnsi="Arial Narrow" w:cs="Tahoma"/>
          <w:b/>
          <w:bCs/>
          <w:noProof/>
          <w:sz w:val="20"/>
          <w:szCs w:val="22"/>
        </w:rPr>
        <w:t xml:space="preserve">: </w:t>
      </w:r>
      <w:r w:rsidRPr="00704D34">
        <w:rPr>
          <w:rFonts w:ascii="Arial Narrow" w:hAnsi="Arial Narrow" w:cs="Tahoma"/>
          <w:b/>
          <w:bCs/>
          <w:sz w:val="20"/>
          <w:szCs w:val="22"/>
        </w:rPr>
        <w:t>Global complete and partial clinical response cGVHD affected organs in the included studies</w:t>
      </w:r>
    </w:p>
    <w:tbl>
      <w:tblPr>
        <w:tblStyle w:val="OPTUMTableNormal"/>
        <w:tblW w:w="9101" w:type="dxa"/>
        <w:tblInd w:w="-5" w:type="dxa"/>
        <w:tblLayout w:type="fixed"/>
        <w:tblCellMar>
          <w:left w:w="28" w:type="dxa"/>
          <w:right w:w="28" w:type="dxa"/>
        </w:tblCellMar>
        <w:tblLook w:val="04A0" w:firstRow="1" w:lastRow="0" w:firstColumn="1" w:lastColumn="0" w:noHBand="0" w:noVBand="1"/>
        <w:tblCaption w:val="Global complete and partial clinical response cGVHD affected organs in key studies"/>
        <w:tblDescription w:val="Global complete and partial clinical response cGVHD affected organs in key studies"/>
      </w:tblPr>
      <w:tblGrid>
        <w:gridCol w:w="2490"/>
        <w:gridCol w:w="1101"/>
        <w:gridCol w:w="1102"/>
        <w:gridCol w:w="1102"/>
        <w:gridCol w:w="1102"/>
        <w:gridCol w:w="1102"/>
        <w:gridCol w:w="1102"/>
      </w:tblGrid>
      <w:tr w:rsidR="00704D34" w:rsidRPr="00704D34" w14:paraId="4DDF336C" w14:textId="77777777" w:rsidTr="009F416C">
        <w:trPr>
          <w:cnfStyle w:val="100000000000" w:firstRow="1" w:lastRow="0" w:firstColumn="0" w:lastColumn="0" w:oddVBand="0" w:evenVBand="0" w:oddHBand="0" w:evenHBand="0" w:firstRowFirstColumn="0" w:firstRowLastColumn="0" w:lastRowFirstColumn="0" w:lastRowLastColumn="0"/>
          <w:tblHeader/>
        </w:trPr>
        <w:tc>
          <w:tcPr>
            <w:tcW w:w="2490" w:type="dxa"/>
            <w:vAlign w:val="center"/>
          </w:tcPr>
          <w:p w14:paraId="02A060E2" w14:textId="77777777" w:rsidR="00704D34" w:rsidRPr="00704D34" w:rsidRDefault="00704D34" w:rsidP="00704D34">
            <w:pPr>
              <w:keepNext/>
              <w:keepLines/>
              <w:spacing w:beforeLines="20" w:before="48" w:afterLines="20" w:after="48"/>
              <w:rPr>
                <w:rFonts w:ascii="Arial Narrow" w:hAnsi="Arial Narrow" w:cs="Tahoma"/>
                <w:b/>
                <w:sz w:val="20"/>
              </w:rPr>
            </w:pPr>
            <w:r w:rsidRPr="00704D34">
              <w:rPr>
                <w:rFonts w:ascii="Arial Narrow" w:hAnsi="Arial Narrow" w:cs="Tahoma"/>
                <w:b/>
                <w:bCs/>
                <w:sz w:val="20"/>
              </w:rPr>
              <w:t>Study</w:t>
            </w:r>
          </w:p>
        </w:tc>
        <w:tc>
          <w:tcPr>
            <w:tcW w:w="1101" w:type="dxa"/>
            <w:vAlign w:val="center"/>
          </w:tcPr>
          <w:p w14:paraId="5DB180F0" w14:textId="77777777" w:rsidR="00704D34" w:rsidRPr="00704D34" w:rsidRDefault="00704D34" w:rsidP="00704D34">
            <w:pPr>
              <w:keepNext/>
              <w:keepLines/>
              <w:spacing w:beforeLines="20" w:before="48" w:afterLines="20" w:after="48"/>
              <w:jc w:val="center"/>
              <w:rPr>
                <w:rFonts w:ascii="Arial Narrow" w:hAnsi="Arial Narrow" w:cs="Tahoma"/>
                <w:b/>
                <w:bCs/>
                <w:sz w:val="20"/>
              </w:rPr>
            </w:pPr>
            <w:r w:rsidRPr="00704D34">
              <w:rPr>
                <w:rFonts w:ascii="Arial Narrow" w:hAnsi="Arial Narrow" w:cs="Tahoma"/>
                <w:b/>
                <w:bCs/>
                <w:sz w:val="20"/>
              </w:rPr>
              <w:t>RPAH SAS</w:t>
            </w:r>
          </w:p>
        </w:tc>
        <w:tc>
          <w:tcPr>
            <w:tcW w:w="1102" w:type="dxa"/>
            <w:vAlign w:val="center"/>
          </w:tcPr>
          <w:p w14:paraId="7DAC51ED" w14:textId="77777777" w:rsidR="00704D34" w:rsidRPr="00704D34" w:rsidRDefault="00704D34" w:rsidP="00704D34">
            <w:pPr>
              <w:keepNext/>
              <w:keepLines/>
              <w:spacing w:before="20" w:after="20"/>
              <w:jc w:val="center"/>
              <w:rPr>
                <w:rFonts w:ascii="Arial Narrow" w:hAnsi="Arial Narrow" w:cs="Tahoma"/>
                <w:bCs/>
                <w:sz w:val="20"/>
                <w:lang w:val="en-GB" w:eastAsia="en-US"/>
              </w:rPr>
            </w:pPr>
            <w:r w:rsidRPr="00704D34">
              <w:rPr>
                <w:rFonts w:ascii="Arial Narrow" w:hAnsi="Arial Narrow" w:cs="Tahoma"/>
                <w:b/>
                <w:sz w:val="20"/>
                <w:lang w:val="en-GB" w:eastAsia="en-US"/>
              </w:rPr>
              <w:t>VCCC</w:t>
            </w:r>
            <w:r w:rsidRPr="00704D34">
              <w:rPr>
                <w:rFonts w:ascii="Arial Narrow" w:hAnsi="Arial Narrow" w:cs="Tahoma"/>
                <w:b/>
                <w:bCs/>
                <w:sz w:val="20"/>
                <w:lang w:val="en-GB" w:eastAsia="en-US"/>
              </w:rPr>
              <w:t xml:space="preserve"> SAS</w:t>
            </w:r>
          </w:p>
          <w:p w14:paraId="56CFE0AA" w14:textId="77777777" w:rsidR="00704D34" w:rsidRPr="00704D34" w:rsidRDefault="00704D34" w:rsidP="00704D34">
            <w:pPr>
              <w:keepNext/>
              <w:keepLines/>
              <w:spacing w:before="20" w:after="20"/>
              <w:jc w:val="center"/>
              <w:rPr>
                <w:rFonts w:ascii="Arial Narrow" w:hAnsi="Arial Narrow" w:cs="Tahoma"/>
                <w:bCs/>
                <w:sz w:val="20"/>
                <w:lang w:val="en-GB" w:eastAsia="en-US"/>
              </w:rPr>
            </w:pPr>
            <w:r w:rsidRPr="00704D34">
              <w:rPr>
                <w:rFonts w:ascii="Arial Narrow" w:hAnsi="Arial Narrow" w:cs="Tahoma"/>
                <w:bCs/>
                <w:sz w:val="20"/>
                <w:lang w:val="en-GB" w:eastAsia="en-US"/>
              </w:rPr>
              <w:t>Adult population</w:t>
            </w:r>
          </w:p>
        </w:tc>
        <w:tc>
          <w:tcPr>
            <w:tcW w:w="1102" w:type="dxa"/>
            <w:vAlign w:val="center"/>
          </w:tcPr>
          <w:p w14:paraId="7FEAC56D" w14:textId="77777777" w:rsidR="00704D34" w:rsidRPr="00704D34" w:rsidRDefault="00704D34" w:rsidP="00704D34">
            <w:pPr>
              <w:keepNext/>
              <w:keepLines/>
              <w:spacing w:before="20" w:after="20"/>
              <w:jc w:val="center"/>
              <w:rPr>
                <w:rFonts w:ascii="Arial Narrow" w:hAnsi="Arial Narrow" w:cs="Tahoma"/>
                <w:bCs/>
                <w:sz w:val="20"/>
                <w:lang w:val="en-GB" w:eastAsia="en-US"/>
              </w:rPr>
            </w:pPr>
            <w:r w:rsidRPr="00704D34">
              <w:rPr>
                <w:rFonts w:ascii="Arial Narrow" w:hAnsi="Arial Narrow" w:cs="Tahoma"/>
                <w:b/>
                <w:sz w:val="20"/>
                <w:lang w:val="en-GB" w:eastAsia="en-US"/>
              </w:rPr>
              <w:t>VCCC SAS</w:t>
            </w:r>
          </w:p>
          <w:p w14:paraId="6CA4E779" w14:textId="77777777" w:rsidR="00704D34" w:rsidRPr="00704D34" w:rsidRDefault="00704D34" w:rsidP="00704D34">
            <w:pPr>
              <w:keepNext/>
              <w:keepLines/>
              <w:spacing w:before="20" w:after="20"/>
              <w:jc w:val="center"/>
              <w:rPr>
                <w:rFonts w:ascii="Arial Narrow" w:hAnsi="Arial Narrow" w:cs="Tahoma"/>
                <w:bCs/>
                <w:sz w:val="20"/>
                <w:lang w:val="en-GB" w:eastAsia="en-US"/>
              </w:rPr>
            </w:pPr>
            <w:r w:rsidRPr="00704D34">
              <w:rPr>
                <w:rFonts w:ascii="Arial Narrow" w:hAnsi="Arial Narrow" w:cs="Tahoma"/>
                <w:bCs/>
                <w:sz w:val="20"/>
                <w:lang w:val="en-GB" w:eastAsia="en-US"/>
              </w:rPr>
              <w:t>Paediatric population</w:t>
            </w:r>
          </w:p>
        </w:tc>
        <w:tc>
          <w:tcPr>
            <w:tcW w:w="1102" w:type="dxa"/>
            <w:vAlign w:val="center"/>
          </w:tcPr>
          <w:p w14:paraId="0D50F6FC" w14:textId="77777777" w:rsidR="00704D34" w:rsidRPr="00704D34" w:rsidRDefault="00704D34" w:rsidP="00704D34">
            <w:pPr>
              <w:keepNext/>
              <w:keepLines/>
              <w:spacing w:beforeLines="20" w:before="48" w:afterLines="20" w:after="48"/>
              <w:jc w:val="center"/>
              <w:rPr>
                <w:rFonts w:ascii="Arial Narrow" w:hAnsi="Arial Narrow" w:cs="Tahoma"/>
                <w:sz w:val="20"/>
              </w:rPr>
            </w:pPr>
            <w:r w:rsidRPr="00704D34">
              <w:rPr>
                <w:rFonts w:ascii="Arial Narrow" w:hAnsi="Arial Narrow" w:cs="Tahoma"/>
                <w:b/>
                <w:bCs/>
                <w:sz w:val="20"/>
              </w:rPr>
              <w:t>Dignan 2014</w:t>
            </w:r>
          </w:p>
        </w:tc>
        <w:tc>
          <w:tcPr>
            <w:tcW w:w="1102" w:type="dxa"/>
            <w:vAlign w:val="center"/>
          </w:tcPr>
          <w:p w14:paraId="761FD5EB" w14:textId="77777777" w:rsidR="00704D34" w:rsidRPr="00704D34" w:rsidRDefault="00704D34" w:rsidP="00704D34">
            <w:pPr>
              <w:keepNext/>
              <w:keepLines/>
              <w:spacing w:beforeLines="20" w:before="48" w:afterLines="20" w:after="48"/>
              <w:jc w:val="center"/>
              <w:rPr>
                <w:rFonts w:ascii="Arial Narrow" w:hAnsi="Arial Narrow" w:cs="Tahoma"/>
                <w:sz w:val="20"/>
              </w:rPr>
            </w:pPr>
            <w:r w:rsidRPr="00704D34">
              <w:rPr>
                <w:rFonts w:ascii="Arial Narrow" w:hAnsi="Arial Narrow" w:cs="Tahoma"/>
                <w:b/>
                <w:bCs/>
                <w:sz w:val="20"/>
              </w:rPr>
              <w:t>Gandelman 2018</w:t>
            </w:r>
          </w:p>
        </w:tc>
        <w:tc>
          <w:tcPr>
            <w:tcW w:w="1102" w:type="dxa"/>
            <w:vAlign w:val="center"/>
          </w:tcPr>
          <w:p w14:paraId="3E5E974D" w14:textId="77777777" w:rsidR="00704D34" w:rsidRPr="00704D34" w:rsidRDefault="00704D34" w:rsidP="00704D34">
            <w:pPr>
              <w:keepNext/>
              <w:keepLines/>
              <w:spacing w:beforeLines="20" w:before="48" w:afterLines="20" w:after="48"/>
              <w:jc w:val="center"/>
              <w:rPr>
                <w:rFonts w:ascii="Arial Narrow" w:hAnsi="Arial Narrow" w:cs="Tahoma"/>
                <w:sz w:val="20"/>
              </w:rPr>
            </w:pPr>
            <w:r w:rsidRPr="00704D34">
              <w:rPr>
                <w:rFonts w:ascii="Arial Narrow" w:hAnsi="Arial Narrow" w:cs="Tahoma"/>
                <w:b/>
                <w:bCs/>
                <w:sz w:val="20"/>
              </w:rPr>
              <w:t>Okamoto 2018</w:t>
            </w:r>
          </w:p>
        </w:tc>
      </w:tr>
      <w:tr w:rsidR="00704D34" w:rsidRPr="00704D34" w14:paraId="042361BE" w14:textId="77777777" w:rsidTr="00D56273">
        <w:tc>
          <w:tcPr>
            <w:tcW w:w="2490" w:type="dxa"/>
          </w:tcPr>
          <w:p w14:paraId="06C496E5" w14:textId="77777777" w:rsidR="00704D34" w:rsidRPr="00704D34" w:rsidRDefault="00704D34" w:rsidP="00704D34">
            <w:pPr>
              <w:keepNext/>
              <w:keepLines/>
              <w:spacing w:before="20" w:after="20"/>
              <w:rPr>
                <w:rFonts w:ascii="Arial Narrow" w:eastAsia="Calibri" w:hAnsi="Arial Narrow" w:cs="Calibri"/>
                <w:sz w:val="20"/>
                <w:lang w:eastAsia="en-US"/>
              </w:rPr>
            </w:pPr>
            <w:r w:rsidRPr="00704D34">
              <w:rPr>
                <w:rFonts w:ascii="Arial Narrow" w:eastAsia="Calibri" w:hAnsi="Arial Narrow" w:cs="Calibri"/>
                <w:sz w:val="20"/>
                <w:lang w:eastAsia="en-US"/>
              </w:rPr>
              <w:t>Proportion of patients with NIH cGVHD Guideline-defined global complete and partial clinical response n, (%)</w:t>
            </w:r>
          </w:p>
        </w:tc>
        <w:tc>
          <w:tcPr>
            <w:tcW w:w="1101" w:type="dxa"/>
            <w:vAlign w:val="center"/>
          </w:tcPr>
          <w:p w14:paraId="3EDD8ECE" w14:textId="77777777" w:rsidR="00704D34" w:rsidRPr="00704D34" w:rsidRDefault="00704D34" w:rsidP="00704D34">
            <w:pPr>
              <w:keepNext/>
              <w:keepLines/>
              <w:spacing w:before="20" w:after="20"/>
              <w:jc w:val="center"/>
              <w:rPr>
                <w:rFonts w:ascii="Arial Narrow" w:eastAsia="Calibri" w:hAnsi="Arial Narrow" w:cs="Calibri"/>
                <w:sz w:val="20"/>
                <w:lang w:eastAsia="en-US"/>
              </w:rPr>
            </w:pPr>
            <w:r w:rsidRPr="00704D34">
              <w:rPr>
                <w:rFonts w:ascii="Arial Narrow" w:eastAsia="Calibri" w:hAnsi="Arial Narrow" w:cs="Calibri"/>
                <w:sz w:val="20"/>
                <w:lang w:eastAsia="en-US"/>
              </w:rPr>
              <w:t>NR</w:t>
            </w:r>
          </w:p>
        </w:tc>
        <w:tc>
          <w:tcPr>
            <w:tcW w:w="1102" w:type="dxa"/>
            <w:vAlign w:val="center"/>
          </w:tcPr>
          <w:p w14:paraId="54BC56D7" w14:textId="77777777" w:rsidR="00704D34" w:rsidRPr="00704D34" w:rsidRDefault="00704D34" w:rsidP="00704D34">
            <w:pPr>
              <w:keepNext/>
              <w:keepLines/>
              <w:spacing w:before="20" w:after="20"/>
              <w:jc w:val="center"/>
              <w:rPr>
                <w:rFonts w:ascii="Arial Narrow" w:eastAsia="Calibri" w:hAnsi="Arial Narrow" w:cs="Calibri"/>
                <w:sz w:val="20"/>
                <w:lang w:eastAsia="en-US"/>
              </w:rPr>
            </w:pPr>
            <w:r w:rsidRPr="00704D34">
              <w:rPr>
                <w:rFonts w:ascii="Arial Narrow" w:eastAsia="Calibri" w:hAnsi="Arial Narrow" w:cs="Calibri"/>
                <w:sz w:val="20"/>
                <w:lang w:eastAsia="en-US"/>
              </w:rPr>
              <w:t>NR</w:t>
            </w:r>
          </w:p>
        </w:tc>
        <w:tc>
          <w:tcPr>
            <w:tcW w:w="1102" w:type="dxa"/>
            <w:vAlign w:val="center"/>
          </w:tcPr>
          <w:p w14:paraId="585C666C" w14:textId="77777777" w:rsidR="00704D34" w:rsidRPr="00704D34" w:rsidRDefault="00704D34" w:rsidP="00704D34">
            <w:pPr>
              <w:keepNext/>
              <w:keepLines/>
              <w:spacing w:before="20" w:after="20"/>
              <w:jc w:val="center"/>
              <w:rPr>
                <w:rFonts w:ascii="Arial Narrow" w:eastAsia="Calibri" w:hAnsi="Arial Narrow" w:cs="Calibri"/>
                <w:sz w:val="20"/>
                <w:lang w:eastAsia="en-US"/>
              </w:rPr>
            </w:pPr>
            <w:r w:rsidRPr="00704D34">
              <w:rPr>
                <w:rFonts w:ascii="Arial Narrow" w:eastAsia="Calibri" w:hAnsi="Arial Narrow" w:cs="Calibri"/>
                <w:sz w:val="20"/>
                <w:lang w:eastAsia="en-US"/>
              </w:rPr>
              <w:t>NR</w:t>
            </w:r>
          </w:p>
        </w:tc>
        <w:tc>
          <w:tcPr>
            <w:tcW w:w="1102" w:type="dxa"/>
            <w:vAlign w:val="center"/>
          </w:tcPr>
          <w:p w14:paraId="6BD221C9" w14:textId="77777777" w:rsidR="00704D34" w:rsidRPr="00704D34" w:rsidRDefault="00704D34" w:rsidP="00704D34">
            <w:pPr>
              <w:keepNext/>
              <w:keepLines/>
              <w:spacing w:before="20" w:after="20"/>
              <w:jc w:val="center"/>
              <w:rPr>
                <w:rFonts w:ascii="Arial Narrow" w:eastAsia="Calibri" w:hAnsi="Arial Narrow" w:cs="Calibri"/>
                <w:sz w:val="20"/>
                <w:lang w:eastAsia="en-US"/>
              </w:rPr>
            </w:pPr>
            <w:r w:rsidRPr="00704D34">
              <w:rPr>
                <w:rFonts w:ascii="Arial Narrow" w:eastAsia="Calibri" w:hAnsi="Arial Narrow" w:cs="Calibri"/>
                <w:sz w:val="20"/>
                <w:lang w:eastAsia="en-US"/>
              </w:rPr>
              <w:t>19/38 (50)</w:t>
            </w:r>
          </w:p>
        </w:tc>
        <w:tc>
          <w:tcPr>
            <w:tcW w:w="1102" w:type="dxa"/>
            <w:vAlign w:val="center"/>
          </w:tcPr>
          <w:p w14:paraId="77671314" w14:textId="77777777" w:rsidR="00704D34" w:rsidRPr="00704D34" w:rsidRDefault="00704D34" w:rsidP="00704D34">
            <w:pPr>
              <w:keepNext/>
              <w:keepLines/>
              <w:spacing w:before="20" w:after="20"/>
              <w:jc w:val="center"/>
              <w:rPr>
                <w:rFonts w:ascii="Arial Narrow" w:eastAsia="Calibri" w:hAnsi="Arial Narrow" w:cs="Calibri"/>
                <w:sz w:val="20"/>
                <w:lang w:eastAsia="en-US"/>
              </w:rPr>
            </w:pPr>
            <w:r w:rsidRPr="00704D34">
              <w:rPr>
                <w:rFonts w:ascii="Arial Narrow" w:eastAsia="Calibri" w:hAnsi="Arial Narrow" w:cs="Calibri"/>
                <w:sz w:val="20"/>
                <w:lang w:eastAsia="en-US"/>
              </w:rPr>
              <w:t>(43.5)</w:t>
            </w:r>
          </w:p>
        </w:tc>
        <w:tc>
          <w:tcPr>
            <w:tcW w:w="1102" w:type="dxa"/>
            <w:vAlign w:val="center"/>
          </w:tcPr>
          <w:p w14:paraId="4853D83B" w14:textId="77777777" w:rsidR="00704D34" w:rsidRPr="00704D34" w:rsidRDefault="00704D34" w:rsidP="00704D34">
            <w:pPr>
              <w:keepNext/>
              <w:keepLines/>
              <w:spacing w:before="20" w:after="20"/>
              <w:jc w:val="center"/>
              <w:rPr>
                <w:rFonts w:ascii="Arial Narrow" w:eastAsia="Calibri" w:hAnsi="Arial Narrow" w:cs="Calibri"/>
                <w:sz w:val="20"/>
                <w:lang w:eastAsia="en-US"/>
              </w:rPr>
            </w:pPr>
            <w:r w:rsidRPr="00704D34">
              <w:rPr>
                <w:rFonts w:ascii="Arial Narrow" w:eastAsia="Calibri" w:hAnsi="Arial Narrow" w:cs="Calibri"/>
                <w:sz w:val="20"/>
                <w:lang w:eastAsia="en-US"/>
              </w:rPr>
              <w:t>8/15 (53.5) ITT</w:t>
            </w:r>
          </w:p>
          <w:p w14:paraId="539B33E9" w14:textId="77777777" w:rsidR="00704D34" w:rsidRPr="00704D34" w:rsidRDefault="00704D34" w:rsidP="00704D34">
            <w:pPr>
              <w:keepNext/>
              <w:keepLines/>
              <w:spacing w:before="20" w:after="20"/>
              <w:jc w:val="center"/>
              <w:rPr>
                <w:rFonts w:ascii="Arial Narrow" w:eastAsia="Calibri" w:hAnsi="Arial Narrow" w:cs="Calibri"/>
                <w:sz w:val="20"/>
                <w:lang w:eastAsia="en-US"/>
              </w:rPr>
            </w:pPr>
            <w:r w:rsidRPr="00704D34">
              <w:rPr>
                <w:rFonts w:ascii="Arial Narrow" w:eastAsia="Calibri" w:hAnsi="Arial Narrow" w:cs="Calibri"/>
                <w:sz w:val="20"/>
                <w:lang w:eastAsia="en-US"/>
              </w:rPr>
              <w:t>8/12 (66.7) PP</w:t>
            </w:r>
          </w:p>
        </w:tc>
      </w:tr>
      <w:tr w:rsidR="00704D34" w:rsidRPr="00704D34" w14:paraId="55D0775D" w14:textId="77777777" w:rsidTr="00D56273">
        <w:tc>
          <w:tcPr>
            <w:tcW w:w="2490" w:type="dxa"/>
          </w:tcPr>
          <w:p w14:paraId="5C695F4F" w14:textId="77777777" w:rsidR="00704D34" w:rsidRPr="00704D34" w:rsidRDefault="00704D34" w:rsidP="00704D34">
            <w:pPr>
              <w:keepNext/>
              <w:keepLines/>
              <w:spacing w:before="20" w:after="20"/>
              <w:rPr>
                <w:rFonts w:ascii="Arial Narrow" w:eastAsia="Calibri" w:hAnsi="Arial Narrow" w:cs="Calibri"/>
                <w:sz w:val="20"/>
                <w:lang w:eastAsia="en-US"/>
              </w:rPr>
            </w:pPr>
            <w:r w:rsidRPr="00704D34">
              <w:rPr>
                <w:rFonts w:ascii="Arial Narrow" w:eastAsia="Calibri" w:hAnsi="Arial Narrow" w:cs="Calibri"/>
                <w:sz w:val="20"/>
                <w:lang w:eastAsia="en-US"/>
              </w:rPr>
              <w:t>Proportion of patients with provider-assessed global complete and partial clinical response n, (%)</w:t>
            </w:r>
          </w:p>
        </w:tc>
        <w:tc>
          <w:tcPr>
            <w:tcW w:w="1101" w:type="dxa"/>
            <w:vAlign w:val="center"/>
          </w:tcPr>
          <w:p w14:paraId="517A36C2" w14:textId="77777777" w:rsidR="00704D34" w:rsidRPr="00704D34" w:rsidRDefault="00704D34" w:rsidP="00704D34">
            <w:pPr>
              <w:keepNext/>
              <w:keepLines/>
              <w:spacing w:before="20" w:after="20"/>
              <w:jc w:val="center"/>
              <w:rPr>
                <w:rFonts w:ascii="Arial Narrow" w:eastAsia="Calibri" w:hAnsi="Arial Narrow" w:cs="Calibri"/>
                <w:sz w:val="20"/>
                <w:lang w:eastAsia="en-US"/>
              </w:rPr>
            </w:pPr>
            <w:r w:rsidRPr="00704D34">
              <w:rPr>
                <w:rFonts w:ascii="Arial Narrow" w:eastAsia="Calibri" w:hAnsi="Arial Narrow" w:cs="Calibri"/>
                <w:sz w:val="20"/>
                <w:lang w:eastAsia="en-US"/>
              </w:rPr>
              <w:t>33/42 (79)</w:t>
            </w:r>
            <w:r w:rsidRPr="00704D34">
              <w:rPr>
                <w:rFonts w:ascii="Arial Narrow" w:eastAsia="Calibri" w:hAnsi="Arial Narrow" w:cs="Calibri"/>
                <w:sz w:val="20"/>
                <w:vertAlign w:val="superscript"/>
                <w:lang w:eastAsia="en-US"/>
              </w:rPr>
              <w:t>a</w:t>
            </w:r>
          </w:p>
        </w:tc>
        <w:tc>
          <w:tcPr>
            <w:tcW w:w="1102" w:type="dxa"/>
            <w:vAlign w:val="center"/>
          </w:tcPr>
          <w:p w14:paraId="5893A13E" w14:textId="77777777" w:rsidR="00704D34" w:rsidRPr="00704D34" w:rsidRDefault="00704D34" w:rsidP="00704D34">
            <w:pPr>
              <w:keepNext/>
              <w:keepLines/>
              <w:spacing w:before="20" w:after="20"/>
              <w:jc w:val="center"/>
              <w:rPr>
                <w:rFonts w:ascii="Arial Narrow" w:eastAsia="Calibri" w:hAnsi="Arial Narrow" w:cs="Calibri"/>
                <w:sz w:val="20"/>
                <w:lang w:eastAsia="en-US"/>
              </w:rPr>
            </w:pPr>
            <w:r w:rsidRPr="00704D34">
              <w:rPr>
                <w:rFonts w:ascii="Arial Narrow" w:eastAsia="Calibri" w:hAnsi="Arial Narrow" w:cs="Calibri"/>
                <w:sz w:val="20"/>
                <w:lang w:eastAsia="en-US"/>
              </w:rPr>
              <w:t>27/33 (82)</w:t>
            </w:r>
          </w:p>
        </w:tc>
        <w:tc>
          <w:tcPr>
            <w:tcW w:w="1102" w:type="dxa"/>
            <w:vAlign w:val="center"/>
          </w:tcPr>
          <w:p w14:paraId="329DAF86" w14:textId="77777777" w:rsidR="00704D34" w:rsidRPr="00704D34" w:rsidRDefault="00704D34" w:rsidP="00704D34">
            <w:pPr>
              <w:keepNext/>
              <w:keepLines/>
              <w:spacing w:before="20" w:after="20"/>
              <w:jc w:val="center"/>
              <w:rPr>
                <w:rFonts w:ascii="Arial Narrow" w:eastAsia="Calibri" w:hAnsi="Arial Narrow" w:cs="Calibri"/>
                <w:sz w:val="20"/>
                <w:lang w:eastAsia="en-US"/>
              </w:rPr>
            </w:pPr>
            <w:r w:rsidRPr="00704D34">
              <w:rPr>
                <w:rFonts w:ascii="Arial Narrow" w:eastAsia="Calibri" w:hAnsi="Arial Narrow" w:cs="Calibri"/>
                <w:sz w:val="20"/>
                <w:lang w:eastAsia="en-US"/>
              </w:rPr>
              <w:t>10/13 (77)</w:t>
            </w:r>
          </w:p>
        </w:tc>
        <w:tc>
          <w:tcPr>
            <w:tcW w:w="1102" w:type="dxa"/>
            <w:vAlign w:val="center"/>
          </w:tcPr>
          <w:p w14:paraId="66638603" w14:textId="77777777" w:rsidR="00704D34" w:rsidRPr="00704D34" w:rsidRDefault="00704D34" w:rsidP="00704D34">
            <w:pPr>
              <w:keepNext/>
              <w:keepLines/>
              <w:spacing w:before="20" w:after="20"/>
              <w:jc w:val="center"/>
              <w:rPr>
                <w:rFonts w:ascii="Arial Narrow" w:eastAsia="Calibri" w:hAnsi="Arial Narrow" w:cs="Calibri"/>
                <w:sz w:val="20"/>
                <w:lang w:eastAsia="en-US"/>
              </w:rPr>
            </w:pPr>
            <w:r w:rsidRPr="00704D34">
              <w:rPr>
                <w:rFonts w:ascii="Arial Narrow" w:eastAsia="Calibri" w:hAnsi="Arial Narrow" w:cs="Calibri"/>
                <w:sz w:val="20"/>
                <w:lang w:eastAsia="en-US"/>
              </w:rPr>
              <w:t>NR</w:t>
            </w:r>
          </w:p>
        </w:tc>
        <w:tc>
          <w:tcPr>
            <w:tcW w:w="1102" w:type="dxa"/>
            <w:vAlign w:val="center"/>
          </w:tcPr>
          <w:p w14:paraId="1319153B" w14:textId="77777777" w:rsidR="00704D34" w:rsidRPr="00704D34" w:rsidRDefault="00704D34" w:rsidP="00704D34">
            <w:pPr>
              <w:keepNext/>
              <w:keepLines/>
              <w:spacing w:before="20" w:after="20"/>
              <w:jc w:val="center"/>
              <w:rPr>
                <w:rFonts w:ascii="Arial Narrow" w:eastAsia="Calibri" w:hAnsi="Arial Narrow" w:cs="Calibri"/>
                <w:sz w:val="20"/>
                <w:lang w:eastAsia="en-US"/>
              </w:rPr>
            </w:pPr>
            <w:r w:rsidRPr="00704D34">
              <w:rPr>
                <w:rFonts w:ascii="Arial Narrow" w:eastAsia="Calibri" w:hAnsi="Arial Narrow" w:cs="Calibri"/>
                <w:sz w:val="20"/>
                <w:lang w:eastAsia="en-US"/>
              </w:rPr>
              <w:t>(62.3)</w:t>
            </w:r>
          </w:p>
        </w:tc>
        <w:tc>
          <w:tcPr>
            <w:tcW w:w="1102" w:type="dxa"/>
            <w:vAlign w:val="center"/>
          </w:tcPr>
          <w:p w14:paraId="445040BD" w14:textId="77777777" w:rsidR="00704D34" w:rsidRPr="00704D34" w:rsidRDefault="00704D34" w:rsidP="00704D34">
            <w:pPr>
              <w:keepNext/>
              <w:keepLines/>
              <w:spacing w:before="20" w:after="20"/>
              <w:jc w:val="center"/>
              <w:rPr>
                <w:rFonts w:ascii="Arial Narrow" w:eastAsia="Calibri" w:hAnsi="Arial Narrow" w:cs="Calibri"/>
                <w:sz w:val="20"/>
                <w:lang w:eastAsia="en-US"/>
              </w:rPr>
            </w:pPr>
            <w:r w:rsidRPr="00704D34">
              <w:rPr>
                <w:rFonts w:ascii="Arial Narrow" w:eastAsia="Calibri" w:hAnsi="Arial Narrow" w:cs="Calibri"/>
                <w:sz w:val="20"/>
                <w:lang w:eastAsia="en-US"/>
              </w:rPr>
              <w:t>NR</w:t>
            </w:r>
          </w:p>
        </w:tc>
      </w:tr>
    </w:tbl>
    <w:p w14:paraId="3980096C" w14:textId="77777777" w:rsidR="00704D34" w:rsidRPr="00704D34" w:rsidRDefault="00704D34" w:rsidP="00704D34">
      <w:pPr>
        <w:keepNext/>
        <w:rPr>
          <w:rFonts w:ascii="Arial Narrow" w:hAnsi="Arial Narrow" w:cs="Tahoma"/>
          <w:sz w:val="18"/>
          <w:szCs w:val="18"/>
        </w:rPr>
      </w:pPr>
      <w:r w:rsidRPr="00704D34">
        <w:rPr>
          <w:rFonts w:ascii="Arial Narrow" w:hAnsi="Arial Narrow" w:cs="Tahoma"/>
          <w:sz w:val="18"/>
          <w:szCs w:val="18"/>
        </w:rPr>
        <w:t>Source: Table B.28, p122 of the ADAR</w:t>
      </w:r>
    </w:p>
    <w:p w14:paraId="7FF63784" w14:textId="77777777" w:rsidR="00704D34" w:rsidRPr="00704D34" w:rsidRDefault="00704D34" w:rsidP="00704D34">
      <w:pPr>
        <w:keepNext/>
        <w:tabs>
          <w:tab w:val="left" w:pos="284"/>
        </w:tabs>
        <w:rPr>
          <w:rFonts w:ascii="Arial Narrow" w:hAnsi="Arial Narrow" w:cs="Tahoma"/>
          <w:sz w:val="18"/>
          <w:szCs w:val="18"/>
        </w:rPr>
      </w:pPr>
      <w:r w:rsidRPr="00704D34">
        <w:rPr>
          <w:rFonts w:ascii="Arial Narrow" w:hAnsi="Arial Narrow" w:cs="Tahoma"/>
          <w:sz w:val="18"/>
          <w:szCs w:val="18"/>
          <w:vertAlign w:val="superscript"/>
        </w:rPr>
        <w:t>a</w:t>
      </w:r>
      <w:r w:rsidRPr="00704D34">
        <w:rPr>
          <w:rFonts w:ascii="Arial Narrow" w:hAnsi="Arial Narrow" w:cs="Tahoma"/>
          <w:sz w:val="18"/>
          <w:szCs w:val="18"/>
        </w:rPr>
        <w:tab/>
        <w:t>Calculated using raw patient data (source: RPAH SAS Appendix 1a)</w:t>
      </w:r>
    </w:p>
    <w:p w14:paraId="0FF4D347" w14:textId="0C49F118" w:rsidR="00704D34" w:rsidRDefault="00704D34" w:rsidP="00704D34">
      <w:pPr>
        <w:keepNext/>
        <w:spacing w:after="240"/>
        <w:rPr>
          <w:rFonts w:ascii="Arial Narrow" w:hAnsi="Arial Narrow" w:cs="Tahoma"/>
          <w:sz w:val="18"/>
          <w:szCs w:val="18"/>
        </w:rPr>
      </w:pPr>
      <w:r w:rsidRPr="00704D34">
        <w:rPr>
          <w:rFonts w:ascii="Arial Narrow" w:hAnsi="Arial Narrow" w:cs="Tahoma"/>
          <w:sz w:val="18"/>
          <w:szCs w:val="18"/>
        </w:rPr>
        <w:t>ITT: intention-to-treat; PP: per protocol</w:t>
      </w:r>
    </w:p>
    <w:p w14:paraId="0BB2EDBA" w14:textId="427C955F" w:rsidR="00DC0263" w:rsidRDefault="00DC0263" w:rsidP="00B853FB">
      <w:pPr>
        <w:spacing w:after="240"/>
      </w:pPr>
      <w:r>
        <w:fldChar w:fldCharType="begin"/>
      </w:r>
      <w:r>
        <w:instrText xml:space="preserve"> REF _Ref74922433 \h </w:instrText>
      </w:r>
      <w:r>
        <w:fldChar w:fldCharType="separate"/>
      </w:r>
      <w:r w:rsidR="008407AE">
        <w:t xml:space="preserve">Table </w:t>
      </w:r>
      <w:r w:rsidR="008407AE">
        <w:rPr>
          <w:noProof/>
        </w:rPr>
        <w:t>6</w:t>
      </w:r>
      <w:r>
        <w:fldChar w:fldCharType="end"/>
      </w:r>
      <w:r>
        <w:t xml:space="preserve"> presents the overall response rates and organ specific response rates from the paediatric ECP studies presented in Malik (2014). Malik (2014) reported that the pooled complete response rate for the paediatric population was 39% (</w:t>
      </w:r>
      <w:r w:rsidR="00474DBE">
        <w:t xml:space="preserve">95% </w:t>
      </w:r>
      <w:r>
        <w:t>CI</w:t>
      </w:r>
      <w:r w:rsidR="00A37DCC">
        <w:t>:</w:t>
      </w:r>
      <w:r>
        <w:t xml:space="preserve"> 29</w:t>
      </w:r>
      <w:r w:rsidR="00A37DCC">
        <w:t>%, 51</w:t>
      </w:r>
      <w:r>
        <w:t>%; P =0.17). The overall response rate in paediatric patients was 69% (</w:t>
      </w:r>
      <w:r w:rsidR="00474DBE">
        <w:t xml:space="preserve">95% </w:t>
      </w:r>
      <w:r w:rsidR="00A37DCC">
        <w:t>CI:</w:t>
      </w:r>
      <w:r>
        <w:t xml:space="preserve"> 58</w:t>
      </w:r>
      <w:r w:rsidR="00A37DCC">
        <w:t xml:space="preserve">%, </w:t>
      </w:r>
      <w:r>
        <w:t>78%; P =0.24). The difference between adults and paediatric CR and ORR was not statistically significant.</w:t>
      </w:r>
    </w:p>
    <w:p w14:paraId="0BB09D30" w14:textId="78014BD5" w:rsidR="00DC0263" w:rsidRDefault="00DC0263" w:rsidP="00B853FB">
      <w:pPr>
        <w:pStyle w:val="TableHeading"/>
        <w:ind w:left="0" w:firstLine="0"/>
      </w:pPr>
      <w:bookmarkStart w:id="18" w:name="_Ref74922433"/>
      <w:r>
        <w:t xml:space="preserve">Table </w:t>
      </w:r>
      <w:r>
        <w:fldChar w:fldCharType="begin"/>
      </w:r>
      <w:r>
        <w:instrText xml:space="preserve"> SEQ Table \* ARABIC </w:instrText>
      </w:r>
      <w:r>
        <w:fldChar w:fldCharType="separate"/>
      </w:r>
      <w:r w:rsidR="008407AE">
        <w:t>6</w:t>
      </w:r>
      <w:r>
        <w:fldChar w:fldCharType="end"/>
      </w:r>
      <w:bookmarkEnd w:id="18"/>
      <w:r w:rsidR="00474DBE">
        <w:t>:</w:t>
      </w:r>
      <w:r>
        <w:t xml:space="preserve"> Overall and organ-specific response rates in paediatric patients</w:t>
      </w:r>
    </w:p>
    <w:tbl>
      <w:tblPr>
        <w:tblStyle w:val="TableGrid"/>
        <w:tblW w:w="0" w:type="auto"/>
        <w:tblLook w:val="04A0" w:firstRow="1" w:lastRow="0" w:firstColumn="1" w:lastColumn="0" w:noHBand="0" w:noVBand="1"/>
        <w:tblCaption w:val="Overall and organ-specific response rates in paediatric patients"/>
      </w:tblPr>
      <w:tblGrid>
        <w:gridCol w:w="2547"/>
        <w:gridCol w:w="567"/>
        <w:gridCol w:w="850"/>
        <w:gridCol w:w="709"/>
        <w:gridCol w:w="709"/>
        <w:gridCol w:w="709"/>
        <w:gridCol w:w="850"/>
        <w:gridCol w:w="709"/>
        <w:gridCol w:w="709"/>
        <w:gridCol w:w="657"/>
      </w:tblGrid>
      <w:tr w:rsidR="004D02A6" w:rsidRPr="004D02A6" w14:paraId="185C6607" w14:textId="6FED6F37" w:rsidTr="009F416C">
        <w:trPr>
          <w:tblHeader/>
        </w:trPr>
        <w:tc>
          <w:tcPr>
            <w:tcW w:w="2547" w:type="dxa"/>
          </w:tcPr>
          <w:p w14:paraId="007646A2" w14:textId="77777777" w:rsidR="004D02A6" w:rsidRPr="00474DBE" w:rsidRDefault="004D02A6" w:rsidP="004D02A6">
            <w:pPr>
              <w:spacing w:before="40" w:after="40"/>
              <w:rPr>
                <w:rFonts w:ascii="Arial Narrow" w:hAnsi="Arial Narrow"/>
                <w:b/>
                <w:sz w:val="20"/>
                <w:szCs w:val="24"/>
                <w:lang w:eastAsia="en-US"/>
              </w:rPr>
            </w:pPr>
            <w:r w:rsidRPr="00474DBE">
              <w:rPr>
                <w:rFonts w:ascii="Arial Narrow" w:hAnsi="Arial Narrow"/>
                <w:b/>
                <w:sz w:val="20"/>
                <w:szCs w:val="24"/>
                <w:lang w:eastAsia="en-US"/>
              </w:rPr>
              <w:t>Study</w:t>
            </w:r>
          </w:p>
        </w:tc>
        <w:tc>
          <w:tcPr>
            <w:tcW w:w="567" w:type="dxa"/>
          </w:tcPr>
          <w:p w14:paraId="5F9094C5" w14:textId="77777777" w:rsidR="004D02A6" w:rsidRPr="00474DBE" w:rsidRDefault="004D02A6" w:rsidP="00474DBE">
            <w:pPr>
              <w:spacing w:before="40" w:after="40"/>
              <w:jc w:val="center"/>
              <w:rPr>
                <w:rFonts w:ascii="Arial Narrow" w:hAnsi="Arial Narrow"/>
                <w:b/>
                <w:sz w:val="20"/>
                <w:szCs w:val="24"/>
                <w:lang w:eastAsia="en-US"/>
              </w:rPr>
            </w:pPr>
            <w:r w:rsidRPr="00474DBE">
              <w:rPr>
                <w:rFonts w:ascii="Arial Narrow" w:hAnsi="Arial Narrow"/>
                <w:b/>
                <w:sz w:val="20"/>
                <w:szCs w:val="24"/>
                <w:lang w:eastAsia="en-US"/>
              </w:rPr>
              <w:t>N</w:t>
            </w:r>
          </w:p>
        </w:tc>
        <w:tc>
          <w:tcPr>
            <w:tcW w:w="850" w:type="dxa"/>
          </w:tcPr>
          <w:p w14:paraId="0F3D91F6" w14:textId="77777777" w:rsidR="004D02A6" w:rsidRPr="00474DBE" w:rsidRDefault="004D02A6" w:rsidP="00474DBE">
            <w:pPr>
              <w:spacing w:before="40" w:after="40"/>
              <w:jc w:val="center"/>
              <w:rPr>
                <w:rFonts w:ascii="Arial Narrow" w:hAnsi="Arial Narrow"/>
                <w:b/>
                <w:sz w:val="20"/>
                <w:szCs w:val="24"/>
                <w:lang w:eastAsia="en-US"/>
              </w:rPr>
            </w:pPr>
            <w:r w:rsidRPr="00474DBE">
              <w:rPr>
                <w:rFonts w:ascii="Arial Narrow" w:hAnsi="Arial Narrow"/>
                <w:b/>
                <w:sz w:val="20"/>
                <w:szCs w:val="24"/>
                <w:lang w:eastAsia="en-US"/>
              </w:rPr>
              <w:t>ORR</w:t>
            </w:r>
          </w:p>
        </w:tc>
        <w:tc>
          <w:tcPr>
            <w:tcW w:w="709" w:type="dxa"/>
          </w:tcPr>
          <w:p w14:paraId="481550A6" w14:textId="77777777" w:rsidR="004D02A6" w:rsidRPr="00474DBE" w:rsidRDefault="004D02A6" w:rsidP="00474DBE">
            <w:pPr>
              <w:spacing w:before="40" w:after="40"/>
              <w:jc w:val="center"/>
              <w:rPr>
                <w:rFonts w:ascii="Arial Narrow" w:hAnsi="Arial Narrow"/>
                <w:b/>
                <w:sz w:val="20"/>
                <w:szCs w:val="24"/>
                <w:lang w:eastAsia="en-US"/>
              </w:rPr>
            </w:pPr>
            <w:r w:rsidRPr="00474DBE">
              <w:rPr>
                <w:rFonts w:ascii="Arial Narrow" w:hAnsi="Arial Narrow"/>
                <w:b/>
                <w:sz w:val="20"/>
                <w:szCs w:val="24"/>
                <w:lang w:eastAsia="en-US"/>
              </w:rPr>
              <w:t>CR</w:t>
            </w:r>
          </w:p>
        </w:tc>
        <w:tc>
          <w:tcPr>
            <w:tcW w:w="709" w:type="dxa"/>
          </w:tcPr>
          <w:p w14:paraId="74C3D8AD" w14:textId="19328725" w:rsidR="004D02A6" w:rsidRPr="00474DBE" w:rsidRDefault="004D02A6" w:rsidP="00474DBE">
            <w:pPr>
              <w:spacing w:before="40" w:after="40"/>
              <w:jc w:val="center"/>
              <w:rPr>
                <w:rFonts w:ascii="Arial Narrow" w:hAnsi="Arial Narrow"/>
                <w:b/>
                <w:sz w:val="20"/>
                <w:szCs w:val="24"/>
                <w:lang w:eastAsia="en-US"/>
              </w:rPr>
            </w:pPr>
            <w:r w:rsidRPr="00474DBE">
              <w:rPr>
                <w:rFonts w:ascii="Arial Narrow" w:hAnsi="Arial Narrow"/>
                <w:b/>
                <w:sz w:val="20"/>
                <w:szCs w:val="24"/>
                <w:lang w:eastAsia="en-US"/>
              </w:rPr>
              <w:t>Liver</w:t>
            </w:r>
          </w:p>
        </w:tc>
        <w:tc>
          <w:tcPr>
            <w:tcW w:w="709" w:type="dxa"/>
          </w:tcPr>
          <w:p w14:paraId="57E63E1D" w14:textId="4B37125C" w:rsidR="004D02A6" w:rsidRPr="00474DBE" w:rsidRDefault="004D02A6" w:rsidP="00474DBE">
            <w:pPr>
              <w:spacing w:before="40" w:after="40"/>
              <w:jc w:val="center"/>
              <w:rPr>
                <w:rFonts w:ascii="Arial Narrow" w:hAnsi="Arial Narrow"/>
                <w:b/>
                <w:sz w:val="20"/>
                <w:szCs w:val="24"/>
                <w:lang w:eastAsia="en-US"/>
              </w:rPr>
            </w:pPr>
            <w:r w:rsidRPr="00474DBE">
              <w:rPr>
                <w:rFonts w:ascii="Arial Narrow" w:hAnsi="Arial Narrow"/>
                <w:b/>
                <w:sz w:val="20"/>
                <w:szCs w:val="24"/>
                <w:lang w:eastAsia="en-US"/>
              </w:rPr>
              <w:t>GI</w:t>
            </w:r>
          </w:p>
        </w:tc>
        <w:tc>
          <w:tcPr>
            <w:tcW w:w="850" w:type="dxa"/>
          </w:tcPr>
          <w:p w14:paraId="21373129" w14:textId="27CDA493" w:rsidR="004D02A6" w:rsidRPr="00474DBE" w:rsidRDefault="004D02A6" w:rsidP="00474DBE">
            <w:pPr>
              <w:spacing w:before="40" w:after="40"/>
              <w:jc w:val="center"/>
              <w:rPr>
                <w:rFonts w:ascii="Arial Narrow" w:hAnsi="Arial Narrow"/>
                <w:b/>
                <w:sz w:val="20"/>
                <w:szCs w:val="24"/>
                <w:lang w:eastAsia="en-US"/>
              </w:rPr>
            </w:pPr>
            <w:r w:rsidRPr="00474DBE">
              <w:rPr>
                <w:rFonts w:ascii="Arial Narrow" w:hAnsi="Arial Narrow"/>
                <w:b/>
                <w:sz w:val="20"/>
                <w:szCs w:val="24"/>
                <w:lang w:eastAsia="en-US"/>
              </w:rPr>
              <w:t>Ocular</w:t>
            </w:r>
          </w:p>
        </w:tc>
        <w:tc>
          <w:tcPr>
            <w:tcW w:w="709" w:type="dxa"/>
          </w:tcPr>
          <w:p w14:paraId="295AD49B" w14:textId="781DBC4C" w:rsidR="004D02A6" w:rsidRPr="00474DBE" w:rsidRDefault="004D02A6" w:rsidP="00474DBE">
            <w:pPr>
              <w:spacing w:before="40" w:after="40"/>
              <w:jc w:val="center"/>
              <w:rPr>
                <w:rFonts w:ascii="Arial Narrow" w:hAnsi="Arial Narrow"/>
                <w:b/>
                <w:sz w:val="20"/>
                <w:szCs w:val="24"/>
                <w:lang w:eastAsia="en-US"/>
              </w:rPr>
            </w:pPr>
            <w:r w:rsidRPr="00474DBE">
              <w:rPr>
                <w:rFonts w:ascii="Arial Narrow" w:hAnsi="Arial Narrow"/>
                <w:b/>
                <w:sz w:val="20"/>
                <w:szCs w:val="24"/>
                <w:lang w:eastAsia="en-US"/>
              </w:rPr>
              <w:t>Oral</w:t>
            </w:r>
          </w:p>
        </w:tc>
        <w:tc>
          <w:tcPr>
            <w:tcW w:w="709" w:type="dxa"/>
          </w:tcPr>
          <w:p w14:paraId="0F07B5E4" w14:textId="74D875F2" w:rsidR="004D02A6" w:rsidRPr="00474DBE" w:rsidRDefault="004D02A6" w:rsidP="00474DBE">
            <w:pPr>
              <w:spacing w:before="40" w:after="40"/>
              <w:jc w:val="center"/>
              <w:rPr>
                <w:rFonts w:ascii="Arial Narrow" w:hAnsi="Arial Narrow"/>
                <w:b/>
                <w:sz w:val="20"/>
                <w:szCs w:val="24"/>
                <w:lang w:eastAsia="en-US"/>
              </w:rPr>
            </w:pPr>
            <w:r w:rsidRPr="00474DBE">
              <w:rPr>
                <w:rFonts w:ascii="Arial Narrow" w:hAnsi="Arial Narrow"/>
                <w:b/>
                <w:sz w:val="20"/>
                <w:szCs w:val="24"/>
                <w:lang w:eastAsia="en-US"/>
              </w:rPr>
              <w:t>MSK</w:t>
            </w:r>
          </w:p>
        </w:tc>
        <w:tc>
          <w:tcPr>
            <w:tcW w:w="657" w:type="dxa"/>
          </w:tcPr>
          <w:p w14:paraId="02D082E0" w14:textId="18AE61A6" w:rsidR="004D02A6" w:rsidRPr="00474DBE" w:rsidRDefault="004D02A6" w:rsidP="00474DBE">
            <w:pPr>
              <w:spacing w:before="40" w:after="40"/>
              <w:jc w:val="center"/>
              <w:rPr>
                <w:rFonts w:ascii="Arial Narrow" w:hAnsi="Arial Narrow"/>
                <w:b/>
                <w:sz w:val="20"/>
                <w:szCs w:val="24"/>
                <w:lang w:eastAsia="en-US"/>
              </w:rPr>
            </w:pPr>
            <w:r w:rsidRPr="00474DBE">
              <w:rPr>
                <w:rFonts w:ascii="Arial Narrow" w:hAnsi="Arial Narrow"/>
                <w:b/>
                <w:sz w:val="20"/>
                <w:szCs w:val="24"/>
                <w:lang w:eastAsia="en-US"/>
              </w:rPr>
              <w:t>BO</w:t>
            </w:r>
          </w:p>
        </w:tc>
      </w:tr>
      <w:tr w:rsidR="004E44CE" w:rsidRPr="004D02A6" w14:paraId="7E6072FF" w14:textId="14398273" w:rsidTr="00474DBE">
        <w:tc>
          <w:tcPr>
            <w:tcW w:w="2547" w:type="dxa"/>
          </w:tcPr>
          <w:p w14:paraId="2BC2D3B7" w14:textId="268A9D0E" w:rsidR="004E44CE" w:rsidRPr="004D02A6" w:rsidRDefault="004E44CE" w:rsidP="00474DBE">
            <w:pPr>
              <w:pStyle w:val="Tabletext"/>
            </w:pPr>
            <w:r w:rsidRPr="00A411A5">
              <w:t xml:space="preserve">Berger </w:t>
            </w:r>
            <w:r>
              <w:t>(2007)</w:t>
            </w:r>
          </w:p>
        </w:tc>
        <w:tc>
          <w:tcPr>
            <w:tcW w:w="567" w:type="dxa"/>
          </w:tcPr>
          <w:p w14:paraId="0F846F7E" w14:textId="77777777" w:rsidR="004E44CE" w:rsidRPr="004D02A6" w:rsidRDefault="004E44CE" w:rsidP="00474DBE">
            <w:pPr>
              <w:spacing w:before="40" w:after="40"/>
              <w:jc w:val="center"/>
              <w:rPr>
                <w:rFonts w:ascii="Arial Narrow" w:hAnsi="Arial Narrow"/>
                <w:sz w:val="20"/>
                <w:szCs w:val="24"/>
                <w:lang w:eastAsia="en-US"/>
              </w:rPr>
            </w:pPr>
            <w:r w:rsidRPr="004D02A6">
              <w:rPr>
                <w:rFonts w:ascii="Arial Narrow" w:hAnsi="Arial Narrow"/>
                <w:sz w:val="20"/>
                <w:szCs w:val="24"/>
                <w:lang w:eastAsia="en-US"/>
              </w:rPr>
              <w:t>10</w:t>
            </w:r>
          </w:p>
        </w:tc>
        <w:tc>
          <w:tcPr>
            <w:tcW w:w="850" w:type="dxa"/>
          </w:tcPr>
          <w:p w14:paraId="2908A26A" w14:textId="77777777" w:rsidR="004E44CE" w:rsidRPr="004D02A6" w:rsidRDefault="004E44CE" w:rsidP="00474DBE">
            <w:pPr>
              <w:spacing w:before="40" w:after="40"/>
              <w:jc w:val="center"/>
              <w:rPr>
                <w:rFonts w:ascii="Arial Narrow" w:hAnsi="Arial Narrow"/>
                <w:sz w:val="20"/>
                <w:szCs w:val="24"/>
                <w:lang w:eastAsia="en-US"/>
              </w:rPr>
            </w:pPr>
            <w:r w:rsidRPr="004D02A6">
              <w:rPr>
                <w:rFonts w:ascii="Arial Narrow" w:hAnsi="Arial Narrow"/>
                <w:sz w:val="20"/>
                <w:szCs w:val="24"/>
                <w:lang w:eastAsia="en-US"/>
              </w:rPr>
              <w:t>40%</w:t>
            </w:r>
          </w:p>
        </w:tc>
        <w:tc>
          <w:tcPr>
            <w:tcW w:w="709" w:type="dxa"/>
          </w:tcPr>
          <w:p w14:paraId="4B4B92C0" w14:textId="77777777" w:rsidR="004E44CE" w:rsidRPr="004D02A6" w:rsidRDefault="004E44CE" w:rsidP="00474DBE">
            <w:pPr>
              <w:spacing w:before="40" w:after="40"/>
              <w:jc w:val="center"/>
              <w:rPr>
                <w:rFonts w:ascii="Arial Narrow" w:hAnsi="Arial Narrow"/>
                <w:sz w:val="20"/>
                <w:szCs w:val="24"/>
                <w:lang w:eastAsia="en-US"/>
              </w:rPr>
            </w:pPr>
            <w:r w:rsidRPr="004D02A6">
              <w:rPr>
                <w:rFonts w:ascii="Arial Narrow" w:hAnsi="Arial Narrow"/>
                <w:sz w:val="20"/>
                <w:szCs w:val="24"/>
                <w:lang w:eastAsia="en-US"/>
              </w:rPr>
              <w:t>30%</w:t>
            </w:r>
          </w:p>
        </w:tc>
        <w:tc>
          <w:tcPr>
            <w:tcW w:w="709" w:type="dxa"/>
          </w:tcPr>
          <w:p w14:paraId="2D49AC37" w14:textId="30CF737F" w:rsidR="004E44CE" w:rsidRPr="004D02A6" w:rsidRDefault="004E44CE" w:rsidP="00474DBE">
            <w:pPr>
              <w:spacing w:before="40" w:after="40"/>
              <w:jc w:val="center"/>
              <w:rPr>
                <w:rFonts w:ascii="Arial Narrow" w:hAnsi="Arial Narrow"/>
                <w:sz w:val="20"/>
                <w:szCs w:val="24"/>
                <w:lang w:eastAsia="en-US"/>
              </w:rPr>
            </w:pPr>
            <w:r>
              <w:rPr>
                <w:rFonts w:ascii="Arial Narrow" w:hAnsi="Arial Narrow"/>
                <w:sz w:val="20"/>
                <w:szCs w:val="24"/>
                <w:lang w:eastAsia="en-US"/>
              </w:rPr>
              <w:t>50%</w:t>
            </w:r>
          </w:p>
        </w:tc>
        <w:tc>
          <w:tcPr>
            <w:tcW w:w="709" w:type="dxa"/>
          </w:tcPr>
          <w:p w14:paraId="421BEC79" w14:textId="751A85FE" w:rsidR="004E44CE" w:rsidRPr="004D02A6" w:rsidRDefault="004E44CE" w:rsidP="00474DBE">
            <w:pPr>
              <w:spacing w:before="40" w:after="40"/>
              <w:jc w:val="center"/>
              <w:rPr>
                <w:rFonts w:ascii="Arial Narrow" w:hAnsi="Arial Narrow"/>
                <w:sz w:val="20"/>
                <w:szCs w:val="24"/>
                <w:lang w:eastAsia="en-US"/>
              </w:rPr>
            </w:pPr>
            <w:r>
              <w:rPr>
                <w:rFonts w:ascii="Arial Narrow" w:hAnsi="Arial Narrow"/>
                <w:sz w:val="20"/>
                <w:szCs w:val="24"/>
                <w:lang w:eastAsia="en-US"/>
              </w:rPr>
              <w:t>0%</w:t>
            </w:r>
          </w:p>
        </w:tc>
        <w:tc>
          <w:tcPr>
            <w:tcW w:w="850" w:type="dxa"/>
          </w:tcPr>
          <w:p w14:paraId="2343341F" w14:textId="51D8FD43" w:rsidR="004E44CE" w:rsidRPr="004D02A6" w:rsidRDefault="004E44CE" w:rsidP="00474DBE">
            <w:pPr>
              <w:spacing w:before="40" w:after="40"/>
              <w:jc w:val="center"/>
              <w:rPr>
                <w:rFonts w:ascii="Arial Narrow" w:hAnsi="Arial Narrow"/>
                <w:sz w:val="20"/>
                <w:szCs w:val="24"/>
                <w:lang w:eastAsia="en-US"/>
              </w:rPr>
            </w:pPr>
            <w:r>
              <w:rPr>
                <w:rFonts w:ascii="Arial Narrow" w:hAnsi="Arial Narrow"/>
                <w:sz w:val="20"/>
                <w:szCs w:val="24"/>
                <w:lang w:eastAsia="en-US"/>
              </w:rPr>
              <w:t>NR</w:t>
            </w:r>
          </w:p>
        </w:tc>
        <w:tc>
          <w:tcPr>
            <w:tcW w:w="709" w:type="dxa"/>
          </w:tcPr>
          <w:p w14:paraId="047041B0" w14:textId="1BA7D979" w:rsidR="004E44CE" w:rsidRPr="004D02A6" w:rsidRDefault="004E44CE" w:rsidP="00474DBE">
            <w:pPr>
              <w:spacing w:before="40" w:after="40"/>
              <w:jc w:val="center"/>
              <w:rPr>
                <w:rFonts w:ascii="Arial Narrow" w:hAnsi="Arial Narrow"/>
                <w:sz w:val="20"/>
                <w:szCs w:val="24"/>
                <w:lang w:eastAsia="en-US"/>
              </w:rPr>
            </w:pPr>
            <w:r>
              <w:rPr>
                <w:rFonts w:ascii="Arial Narrow" w:hAnsi="Arial Narrow"/>
                <w:sz w:val="20"/>
                <w:szCs w:val="24"/>
                <w:lang w:eastAsia="en-US"/>
              </w:rPr>
              <w:t>33%</w:t>
            </w:r>
          </w:p>
        </w:tc>
        <w:tc>
          <w:tcPr>
            <w:tcW w:w="709" w:type="dxa"/>
          </w:tcPr>
          <w:p w14:paraId="7AC3CDDB" w14:textId="469533F9" w:rsidR="004E44CE" w:rsidRPr="004D02A6" w:rsidRDefault="004E44CE" w:rsidP="00474DBE">
            <w:pPr>
              <w:spacing w:before="40" w:after="40"/>
              <w:jc w:val="center"/>
              <w:rPr>
                <w:rFonts w:ascii="Arial Narrow" w:hAnsi="Arial Narrow"/>
                <w:sz w:val="20"/>
                <w:szCs w:val="24"/>
                <w:lang w:eastAsia="en-US"/>
              </w:rPr>
            </w:pPr>
            <w:r>
              <w:rPr>
                <w:rFonts w:ascii="Arial Narrow" w:hAnsi="Arial Narrow"/>
                <w:sz w:val="20"/>
                <w:szCs w:val="24"/>
                <w:lang w:eastAsia="en-US"/>
              </w:rPr>
              <w:t>100%</w:t>
            </w:r>
          </w:p>
        </w:tc>
        <w:tc>
          <w:tcPr>
            <w:tcW w:w="657" w:type="dxa"/>
          </w:tcPr>
          <w:p w14:paraId="7D4E3CA9" w14:textId="0D7B3C5F" w:rsidR="004E44CE" w:rsidRPr="004D02A6" w:rsidRDefault="004E44CE" w:rsidP="00474DBE">
            <w:pPr>
              <w:spacing w:before="40" w:after="40"/>
              <w:jc w:val="center"/>
              <w:rPr>
                <w:rFonts w:ascii="Arial Narrow" w:hAnsi="Arial Narrow"/>
                <w:sz w:val="20"/>
                <w:szCs w:val="24"/>
                <w:lang w:eastAsia="en-US"/>
              </w:rPr>
            </w:pPr>
            <w:r>
              <w:rPr>
                <w:rFonts w:ascii="Arial Narrow" w:hAnsi="Arial Narrow"/>
                <w:sz w:val="20"/>
                <w:szCs w:val="24"/>
                <w:lang w:eastAsia="en-US"/>
              </w:rPr>
              <w:t>0%</w:t>
            </w:r>
          </w:p>
        </w:tc>
      </w:tr>
      <w:tr w:rsidR="004E44CE" w:rsidRPr="004D02A6" w14:paraId="5A8159FC" w14:textId="3D7A09CB" w:rsidTr="00474DBE">
        <w:tc>
          <w:tcPr>
            <w:tcW w:w="2547" w:type="dxa"/>
          </w:tcPr>
          <w:p w14:paraId="5528A99B" w14:textId="633D0549" w:rsidR="004E44CE" w:rsidRPr="004D02A6" w:rsidRDefault="004E44CE" w:rsidP="00474DBE">
            <w:pPr>
              <w:pStyle w:val="Tabletext"/>
            </w:pPr>
            <w:r w:rsidRPr="00A411A5">
              <w:t xml:space="preserve">Perotti </w:t>
            </w:r>
            <w:r>
              <w:t>(2010)</w:t>
            </w:r>
          </w:p>
        </w:tc>
        <w:tc>
          <w:tcPr>
            <w:tcW w:w="567" w:type="dxa"/>
          </w:tcPr>
          <w:p w14:paraId="4B10F5E4" w14:textId="77777777" w:rsidR="004E44CE" w:rsidRPr="004D02A6" w:rsidRDefault="004E44CE" w:rsidP="00474DBE">
            <w:pPr>
              <w:spacing w:before="40" w:after="40"/>
              <w:jc w:val="center"/>
              <w:rPr>
                <w:rFonts w:ascii="Arial Narrow" w:hAnsi="Arial Narrow"/>
                <w:sz w:val="20"/>
                <w:szCs w:val="24"/>
                <w:lang w:eastAsia="en-US"/>
              </w:rPr>
            </w:pPr>
            <w:r w:rsidRPr="004D02A6">
              <w:rPr>
                <w:rFonts w:ascii="Arial Narrow" w:hAnsi="Arial Narrow"/>
                <w:sz w:val="20"/>
                <w:szCs w:val="24"/>
                <w:lang w:eastAsia="en-US"/>
              </w:rPr>
              <w:t>23</w:t>
            </w:r>
          </w:p>
        </w:tc>
        <w:tc>
          <w:tcPr>
            <w:tcW w:w="850" w:type="dxa"/>
          </w:tcPr>
          <w:p w14:paraId="09F5541B" w14:textId="77777777" w:rsidR="004E44CE" w:rsidRPr="004D02A6" w:rsidRDefault="004E44CE" w:rsidP="00474DBE">
            <w:pPr>
              <w:spacing w:before="40" w:after="40"/>
              <w:jc w:val="center"/>
              <w:rPr>
                <w:rFonts w:ascii="Arial Narrow" w:hAnsi="Arial Narrow"/>
                <w:sz w:val="20"/>
                <w:szCs w:val="24"/>
                <w:lang w:eastAsia="en-US"/>
              </w:rPr>
            </w:pPr>
            <w:r w:rsidRPr="004D02A6">
              <w:rPr>
                <w:rFonts w:ascii="Arial Narrow" w:hAnsi="Arial Narrow"/>
                <w:sz w:val="20"/>
                <w:szCs w:val="24"/>
                <w:lang w:eastAsia="en-US"/>
              </w:rPr>
              <w:t>69.5%</w:t>
            </w:r>
          </w:p>
        </w:tc>
        <w:tc>
          <w:tcPr>
            <w:tcW w:w="709" w:type="dxa"/>
          </w:tcPr>
          <w:p w14:paraId="23A83F51" w14:textId="77777777" w:rsidR="004E44CE" w:rsidRPr="004D02A6" w:rsidRDefault="004E44CE" w:rsidP="00474DBE">
            <w:pPr>
              <w:spacing w:before="40" w:after="40"/>
              <w:jc w:val="center"/>
              <w:rPr>
                <w:rFonts w:ascii="Arial Narrow" w:hAnsi="Arial Narrow"/>
                <w:sz w:val="20"/>
                <w:szCs w:val="24"/>
                <w:lang w:eastAsia="en-US"/>
              </w:rPr>
            </w:pPr>
            <w:r w:rsidRPr="004D02A6">
              <w:rPr>
                <w:rFonts w:ascii="Arial Narrow" w:hAnsi="Arial Narrow"/>
                <w:sz w:val="20"/>
                <w:szCs w:val="24"/>
                <w:lang w:eastAsia="en-US"/>
              </w:rPr>
              <w:t>NR</w:t>
            </w:r>
          </w:p>
        </w:tc>
        <w:tc>
          <w:tcPr>
            <w:tcW w:w="709" w:type="dxa"/>
          </w:tcPr>
          <w:p w14:paraId="0891C00D" w14:textId="00D31913" w:rsidR="004E44CE" w:rsidRPr="004D02A6" w:rsidRDefault="004E44CE" w:rsidP="00474DBE">
            <w:pPr>
              <w:spacing w:before="40" w:after="40"/>
              <w:jc w:val="center"/>
              <w:rPr>
                <w:rFonts w:ascii="Arial Narrow" w:hAnsi="Arial Narrow"/>
                <w:sz w:val="20"/>
                <w:szCs w:val="24"/>
                <w:lang w:eastAsia="en-US"/>
              </w:rPr>
            </w:pPr>
            <w:r>
              <w:rPr>
                <w:rFonts w:ascii="Arial Narrow" w:hAnsi="Arial Narrow"/>
                <w:sz w:val="20"/>
                <w:szCs w:val="24"/>
                <w:lang w:eastAsia="en-US"/>
              </w:rPr>
              <w:t>100%</w:t>
            </w:r>
          </w:p>
        </w:tc>
        <w:tc>
          <w:tcPr>
            <w:tcW w:w="709" w:type="dxa"/>
          </w:tcPr>
          <w:p w14:paraId="29D687C3" w14:textId="2FEC4969" w:rsidR="004E44CE" w:rsidRPr="004D02A6" w:rsidRDefault="004E44CE" w:rsidP="00474DBE">
            <w:pPr>
              <w:spacing w:before="40" w:after="40"/>
              <w:jc w:val="center"/>
              <w:rPr>
                <w:rFonts w:ascii="Arial Narrow" w:hAnsi="Arial Narrow"/>
                <w:sz w:val="20"/>
                <w:szCs w:val="24"/>
                <w:lang w:eastAsia="en-US"/>
              </w:rPr>
            </w:pPr>
            <w:r>
              <w:rPr>
                <w:rFonts w:ascii="Arial Narrow" w:hAnsi="Arial Narrow"/>
                <w:sz w:val="20"/>
                <w:szCs w:val="24"/>
                <w:lang w:eastAsia="en-US"/>
              </w:rPr>
              <w:t>80%</w:t>
            </w:r>
          </w:p>
        </w:tc>
        <w:tc>
          <w:tcPr>
            <w:tcW w:w="850" w:type="dxa"/>
          </w:tcPr>
          <w:p w14:paraId="1DED01FB" w14:textId="6F6F340B" w:rsidR="004E44CE" w:rsidRPr="004D02A6" w:rsidRDefault="004E44CE" w:rsidP="00474DBE">
            <w:pPr>
              <w:spacing w:before="40" w:after="40"/>
              <w:jc w:val="center"/>
              <w:rPr>
                <w:rFonts w:ascii="Arial Narrow" w:hAnsi="Arial Narrow"/>
                <w:sz w:val="20"/>
                <w:szCs w:val="24"/>
                <w:lang w:eastAsia="en-US"/>
              </w:rPr>
            </w:pPr>
            <w:r>
              <w:rPr>
                <w:rFonts w:ascii="Arial Narrow" w:hAnsi="Arial Narrow"/>
                <w:sz w:val="20"/>
                <w:szCs w:val="24"/>
                <w:lang w:eastAsia="en-US"/>
              </w:rPr>
              <w:t>75%</w:t>
            </w:r>
          </w:p>
        </w:tc>
        <w:tc>
          <w:tcPr>
            <w:tcW w:w="709" w:type="dxa"/>
          </w:tcPr>
          <w:p w14:paraId="21155A9D" w14:textId="4C568554" w:rsidR="004E44CE" w:rsidRPr="004D02A6" w:rsidRDefault="004E44CE" w:rsidP="00474DBE">
            <w:pPr>
              <w:spacing w:before="40" w:after="40"/>
              <w:jc w:val="center"/>
              <w:rPr>
                <w:rFonts w:ascii="Arial Narrow" w:hAnsi="Arial Narrow"/>
                <w:sz w:val="20"/>
                <w:szCs w:val="24"/>
                <w:lang w:eastAsia="en-US"/>
              </w:rPr>
            </w:pPr>
            <w:r>
              <w:rPr>
                <w:rFonts w:ascii="Arial Narrow" w:hAnsi="Arial Narrow"/>
                <w:sz w:val="20"/>
                <w:szCs w:val="24"/>
                <w:lang w:eastAsia="en-US"/>
              </w:rPr>
              <w:t>NR</w:t>
            </w:r>
          </w:p>
        </w:tc>
        <w:tc>
          <w:tcPr>
            <w:tcW w:w="709" w:type="dxa"/>
          </w:tcPr>
          <w:p w14:paraId="2B885C6C" w14:textId="384F7CF2" w:rsidR="004E44CE" w:rsidRPr="004D02A6" w:rsidRDefault="004E44CE" w:rsidP="00474DBE">
            <w:pPr>
              <w:spacing w:before="40" w:after="40"/>
              <w:jc w:val="center"/>
              <w:rPr>
                <w:rFonts w:ascii="Arial Narrow" w:hAnsi="Arial Narrow"/>
                <w:sz w:val="20"/>
                <w:szCs w:val="24"/>
                <w:lang w:eastAsia="en-US"/>
              </w:rPr>
            </w:pPr>
            <w:r>
              <w:rPr>
                <w:rFonts w:ascii="Arial Narrow" w:hAnsi="Arial Narrow"/>
                <w:sz w:val="20"/>
                <w:szCs w:val="24"/>
                <w:lang w:eastAsia="en-US"/>
              </w:rPr>
              <w:t>NR</w:t>
            </w:r>
          </w:p>
        </w:tc>
        <w:tc>
          <w:tcPr>
            <w:tcW w:w="657" w:type="dxa"/>
          </w:tcPr>
          <w:p w14:paraId="0DD687E4" w14:textId="13C0C577" w:rsidR="004E44CE" w:rsidRPr="004D02A6" w:rsidRDefault="004E44CE" w:rsidP="00474DBE">
            <w:pPr>
              <w:spacing w:before="40" w:after="40"/>
              <w:jc w:val="center"/>
              <w:rPr>
                <w:rFonts w:ascii="Arial Narrow" w:hAnsi="Arial Narrow"/>
                <w:sz w:val="20"/>
                <w:szCs w:val="24"/>
                <w:lang w:eastAsia="en-US"/>
              </w:rPr>
            </w:pPr>
            <w:r>
              <w:rPr>
                <w:rFonts w:ascii="Arial Narrow" w:hAnsi="Arial Narrow"/>
                <w:sz w:val="20"/>
                <w:szCs w:val="24"/>
                <w:lang w:eastAsia="en-US"/>
              </w:rPr>
              <w:t>NR</w:t>
            </w:r>
          </w:p>
        </w:tc>
      </w:tr>
      <w:tr w:rsidR="004E44CE" w:rsidRPr="004D02A6" w14:paraId="7B28DEC0" w14:textId="7A27F2D1" w:rsidTr="00474DBE">
        <w:tc>
          <w:tcPr>
            <w:tcW w:w="2547" w:type="dxa"/>
          </w:tcPr>
          <w:p w14:paraId="2F65F948" w14:textId="5C81F8B5" w:rsidR="004E44CE" w:rsidRPr="004D02A6" w:rsidRDefault="004E44CE" w:rsidP="00474DBE">
            <w:pPr>
              <w:pStyle w:val="Tabletext"/>
            </w:pPr>
            <w:r w:rsidRPr="00A411A5">
              <w:t xml:space="preserve">Kanold </w:t>
            </w:r>
            <w:r>
              <w:t>(2007)</w:t>
            </w:r>
          </w:p>
        </w:tc>
        <w:tc>
          <w:tcPr>
            <w:tcW w:w="567" w:type="dxa"/>
          </w:tcPr>
          <w:p w14:paraId="38FE018C" w14:textId="77777777" w:rsidR="004E44CE" w:rsidRPr="004D02A6" w:rsidRDefault="004E44CE" w:rsidP="00474DBE">
            <w:pPr>
              <w:spacing w:before="40" w:after="40"/>
              <w:jc w:val="center"/>
              <w:rPr>
                <w:rFonts w:ascii="Arial Narrow" w:hAnsi="Arial Narrow"/>
                <w:sz w:val="20"/>
                <w:szCs w:val="24"/>
                <w:lang w:eastAsia="en-US"/>
              </w:rPr>
            </w:pPr>
            <w:r w:rsidRPr="004D02A6">
              <w:rPr>
                <w:rFonts w:ascii="Arial Narrow" w:hAnsi="Arial Narrow"/>
                <w:sz w:val="20"/>
                <w:szCs w:val="24"/>
                <w:lang w:eastAsia="en-US"/>
              </w:rPr>
              <w:t>15</w:t>
            </w:r>
          </w:p>
        </w:tc>
        <w:tc>
          <w:tcPr>
            <w:tcW w:w="850" w:type="dxa"/>
          </w:tcPr>
          <w:p w14:paraId="720E83F0" w14:textId="77777777" w:rsidR="004E44CE" w:rsidRPr="004D02A6" w:rsidRDefault="004E44CE" w:rsidP="00474DBE">
            <w:pPr>
              <w:spacing w:before="40" w:after="40"/>
              <w:jc w:val="center"/>
              <w:rPr>
                <w:rFonts w:ascii="Arial Narrow" w:hAnsi="Arial Narrow"/>
                <w:sz w:val="20"/>
                <w:szCs w:val="24"/>
                <w:lang w:eastAsia="en-US"/>
              </w:rPr>
            </w:pPr>
            <w:r w:rsidRPr="004D02A6">
              <w:rPr>
                <w:rFonts w:ascii="Arial Narrow" w:hAnsi="Arial Narrow"/>
                <w:sz w:val="20"/>
                <w:szCs w:val="24"/>
                <w:lang w:eastAsia="en-US"/>
              </w:rPr>
              <w:t>73.3%</w:t>
            </w:r>
          </w:p>
        </w:tc>
        <w:tc>
          <w:tcPr>
            <w:tcW w:w="709" w:type="dxa"/>
          </w:tcPr>
          <w:p w14:paraId="31E88267" w14:textId="77777777" w:rsidR="004E44CE" w:rsidRPr="004D02A6" w:rsidRDefault="004E44CE" w:rsidP="00474DBE">
            <w:pPr>
              <w:spacing w:before="40" w:after="40"/>
              <w:jc w:val="center"/>
              <w:rPr>
                <w:rFonts w:ascii="Arial Narrow" w:hAnsi="Arial Narrow"/>
                <w:sz w:val="20"/>
                <w:szCs w:val="24"/>
                <w:lang w:eastAsia="en-US"/>
              </w:rPr>
            </w:pPr>
            <w:r w:rsidRPr="004D02A6">
              <w:rPr>
                <w:rFonts w:ascii="Arial Narrow" w:hAnsi="Arial Narrow"/>
                <w:sz w:val="20"/>
                <w:szCs w:val="24"/>
                <w:lang w:eastAsia="en-US"/>
              </w:rPr>
              <w:t>26%</w:t>
            </w:r>
          </w:p>
        </w:tc>
        <w:tc>
          <w:tcPr>
            <w:tcW w:w="709" w:type="dxa"/>
          </w:tcPr>
          <w:p w14:paraId="3FDF78C4" w14:textId="4372408F" w:rsidR="004E44CE" w:rsidRPr="004D02A6" w:rsidRDefault="004E44CE" w:rsidP="00474DBE">
            <w:pPr>
              <w:spacing w:before="40" w:after="40"/>
              <w:jc w:val="center"/>
              <w:rPr>
                <w:rFonts w:ascii="Arial Narrow" w:hAnsi="Arial Narrow"/>
                <w:sz w:val="20"/>
                <w:szCs w:val="24"/>
                <w:lang w:eastAsia="en-US"/>
              </w:rPr>
            </w:pPr>
            <w:r>
              <w:rPr>
                <w:rFonts w:ascii="Arial Narrow" w:hAnsi="Arial Narrow"/>
                <w:sz w:val="20"/>
                <w:szCs w:val="24"/>
                <w:lang w:eastAsia="en-US"/>
              </w:rPr>
              <w:t>59%</w:t>
            </w:r>
          </w:p>
        </w:tc>
        <w:tc>
          <w:tcPr>
            <w:tcW w:w="709" w:type="dxa"/>
          </w:tcPr>
          <w:p w14:paraId="2B72F6AE" w14:textId="3B76EBA9" w:rsidR="004E44CE" w:rsidRPr="004D02A6" w:rsidRDefault="004E44CE" w:rsidP="00474DBE">
            <w:pPr>
              <w:spacing w:before="40" w:after="40"/>
              <w:jc w:val="center"/>
              <w:rPr>
                <w:rFonts w:ascii="Arial Narrow" w:hAnsi="Arial Narrow"/>
                <w:sz w:val="20"/>
                <w:szCs w:val="24"/>
                <w:lang w:eastAsia="en-US"/>
              </w:rPr>
            </w:pPr>
            <w:r>
              <w:rPr>
                <w:rFonts w:ascii="Arial Narrow" w:hAnsi="Arial Narrow"/>
                <w:sz w:val="20"/>
                <w:szCs w:val="24"/>
                <w:lang w:eastAsia="en-US"/>
              </w:rPr>
              <w:t>NR</w:t>
            </w:r>
          </w:p>
        </w:tc>
        <w:tc>
          <w:tcPr>
            <w:tcW w:w="850" w:type="dxa"/>
          </w:tcPr>
          <w:p w14:paraId="2C7ED9CD" w14:textId="7C06BF05" w:rsidR="004E44CE" w:rsidRPr="004D02A6" w:rsidRDefault="004E44CE" w:rsidP="00474DBE">
            <w:pPr>
              <w:spacing w:before="40" w:after="40"/>
              <w:jc w:val="center"/>
              <w:rPr>
                <w:rFonts w:ascii="Arial Narrow" w:hAnsi="Arial Narrow"/>
                <w:sz w:val="20"/>
                <w:szCs w:val="24"/>
                <w:lang w:eastAsia="en-US"/>
              </w:rPr>
            </w:pPr>
            <w:r>
              <w:rPr>
                <w:rFonts w:ascii="Arial Narrow" w:hAnsi="Arial Narrow"/>
                <w:sz w:val="20"/>
                <w:szCs w:val="24"/>
                <w:lang w:eastAsia="en-US"/>
              </w:rPr>
              <w:t>NR</w:t>
            </w:r>
          </w:p>
        </w:tc>
        <w:tc>
          <w:tcPr>
            <w:tcW w:w="709" w:type="dxa"/>
          </w:tcPr>
          <w:p w14:paraId="3B54ACAD" w14:textId="51A052D5" w:rsidR="004E44CE" w:rsidRPr="004D02A6" w:rsidRDefault="004E44CE" w:rsidP="00474DBE">
            <w:pPr>
              <w:spacing w:before="40" w:after="40"/>
              <w:jc w:val="center"/>
              <w:rPr>
                <w:rFonts w:ascii="Arial Narrow" w:hAnsi="Arial Narrow"/>
                <w:sz w:val="20"/>
                <w:szCs w:val="24"/>
                <w:lang w:eastAsia="en-US"/>
              </w:rPr>
            </w:pPr>
            <w:r>
              <w:rPr>
                <w:rFonts w:ascii="Arial Narrow" w:hAnsi="Arial Narrow"/>
                <w:sz w:val="20"/>
                <w:szCs w:val="24"/>
                <w:lang w:eastAsia="en-US"/>
              </w:rPr>
              <w:t>NR</w:t>
            </w:r>
          </w:p>
        </w:tc>
        <w:tc>
          <w:tcPr>
            <w:tcW w:w="709" w:type="dxa"/>
          </w:tcPr>
          <w:p w14:paraId="3D568078" w14:textId="625C214D" w:rsidR="004E44CE" w:rsidRPr="004D02A6" w:rsidRDefault="004E44CE" w:rsidP="00474DBE">
            <w:pPr>
              <w:spacing w:before="40" w:after="40"/>
              <w:jc w:val="center"/>
              <w:rPr>
                <w:rFonts w:ascii="Arial Narrow" w:hAnsi="Arial Narrow"/>
                <w:sz w:val="20"/>
                <w:szCs w:val="24"/>
                <w:lang w:eastAsia="en-US"/>
              </w:rPr>
            </w:pPr>
            <w:r>
              <w:rPr>
                <w:rFonts w:ascii="Arial Narrow" w:hAnsi="Arial Narrow"/>
                <w:sz w:val="20"/>
                <w:szCs w:val="24"/>
                <w:lang w:eastAsia="en-US"/>
              </w:rPr>
              <w:t>NR</w:t>
            </w:r>
          </w:p>
        </w:tc>
        <w:tc>
          <w:tcPr>
            <w:tcW w:w="657" w:type="dxa"/>
          </w:tcPr>
          <w:p w14:paraId="699B3695" w14:textId="0D78194D" w:rsidR="004E44CE" w:rsidRPr="004D02A6" w:rsidRDefault="004E44CE" w:rsidP="00474DBE">
            <w:pPr>
              <w:spacing w:before="40" w:after="40"/>
              <w:jc w:val="center"/>
              <w:rPr>
                <w:rFonts w:ascii="Arial Narrow" w:hAnsi="Arial Narrow"/>
                <w:sz w:val="20"/>
                <w:szCs w:val="24"/>
                <w:lang w:eastAsia="en-US"/>
              </w:rPr>
            </w:pPr>
            <w:r>
              <w:rPr>
                <w:rFonts w:ascii="Arial Narrow" w:hAnsi="Arial Narrow"/>
                <w:sz w:val="20"/>
                <w:szCs w:val="24"/>
                <w:lang w:eastAsia="en-US"/>
              </w:rPr>
              <w:t>NR</w:t>
            </w:r>
          </w:p>
        </w:tc>
      </w:tr>
      <w:tr w:rsidR="004E44CE" w:rsidRPr="004D02A6" w14:paraId="39633397" w14:textId="0289D94F" w:rsidTr="00474DBE">
        <w:tc>
          <w:tcPr>
            <w:tcW w:w="2547" w:type="dxa"/>
          </w:tcPr>
          <w:p w14:paraId="69F66D00" w14:textId="0A4931C7" w:rsidR="004E44CE" w:rsidRPr="004D02A6" w:rsidRDefault="004E44CE" w:rsidP="00474DBE">
            <w:pPr>
              <w:pStyle w:val="Tabletext"/>
            </w:pPr>
            <w:r w:rsidRPr="00A411A5">
              <w:t xml:space="preserve">Gonzalez Vicent </w:t>
            </w:r>
            <w:r>
              <w:t>(2010)</w:t>
            </w:r>
          </w:p>
        </w:tc>
        <w:tc>
          <w:tcPr>
            <w:tcW w:w="567" w:type="dxa"/>
          </w:tcPr>
          <w:p w14:paraId="4CEB1DCB" w14:textId="77777777" w:rsidR="004E44CE" w:rsidRPr="004D02A6" w:rsidRDefault="004E44CE" w:rsidP="00474DBE">
            <w:pPr>
              <w:spacing w:before="40" w:after="40"/>
              <w:jc w:val="center"/>
              <w:rPr>
                <w:rFonts w:ascii="Arial Narrow" w:hAnsi="Arial Narrow"/>
                <w:sz w:val="20"/>
                <w:szCs w:val="24"/>
                <w:lang w:eastAsia="en-US"/>
              </w:rPr>
            </w:pPr>
            <w:r w:rsidRPr="004D02A6">
              <w:rPr>
                <w:rFonts w:ascii="Arial Narrow" w:hAnsi="Arial Narrow"/>
                <w:sz w:val="20"/>
                <w:szCs w:val="24"/>
                <w:lang w:eastAsia="en-US"/>
              </w:rPr>
              <w:t>6</w:t>
            </w:r>
          </w:p>
        </w:tc>
        <w:tc>
          <w:tcPr>
            <w:tcW w:w="850" w:type="dxa"/>
          </w:tcPr>
          <w:p w14:paraId="3DD5961B" w14:textId="77777777" w:rsidR="004E44CE" w:rsidRPr="004D02A6" w:rsidRDefault="004E44CE" w:rsidP="00474DBE">
            <w:pPr>
              <w:spacing w:before="40" w:after="40"/>
              <w:jc w:val="center"/>
              <w:rPr>
                <w:rFonts w:ascii="Arial Narrow" w:hAnsi="Arial Narrow"/>
                <w:sz w:val="20"/>
                <w:szCs w:val="24"/>
                <w:lang w:eastAsia="en-US"/>
              </w:rPr>
            </w:pPr>
            <w:r w:rsidRPr="004D02A6">
              <w:rPr>
                <w:rFonts w:ascii="Arial Narrow" w:hAnsi="Arial Narrow"/>
                <w:sz w:val="20"/>
                <w:szCs w:val="24"/>
                <w:lang w:eastAsia="en-US"/>
              </w:rPr>
              <w:t>83%</w:t>
            </w:r>
          </w:p>
        </w:tc>
        <w:tc>
          <w:tcPr>
            <w:tcW w:w="709" w:type="dxa"/>
          </w:tcPr>
          <w:p w14:paraId="45EC57E3" w14:textId="77777777" w:rsidR="004E44CE" w:rsidRPr="004D02A6" w:rsidRDefault="004E44CE" w:rsidP="00474DBE">
            <w:pPr>
              <w:spacing w:before="40" w:after="40"/>
              <w:jc w:val="center"/>
              <w:rPr>
                <w:rFonts w:ascii="Arial Narrow" w:hAnsi="Arial Narrow"/>
                <w:sz w:val="20"/>
                <w:szCs w:val="24"/>
                <w:lang w:eastAsia="en-US"/>
              </w:rPr>
            </w:pPr>
            <w:r w:rsidRPr="004D02A6">
              <w:rPr>
                <w:rFonts w:ascii="Arial Narrow" w:hAnsi="Arial Narrow"/>
                <w:sz w:val="20"/>
                <w:szCs w:val="24"/>
                <w:lang w:eastAsia="en-US"/>
              </w:rPr>
              <w:t>50%</w:t>
            </w:r>
          </w:p>
        </w:tc>
        <w:tc>
          <w:tcPr>
            <w:tcW w:w="709" w:type="dxa"/>
          </w:tcPr>
          <w:p w14:paraId="16F468BF" w14:textId="7751FD86" w:rsidR="004E44CE" w:rsidRPr="004D02A6" w:rsidRDefault="004E44CE" w:rsidP="00474DBE">
            <w:pPr>
              <w:spacing w:before="40" w:after="40"/>
              <w:jc w:val="center"/>
              <w:rPr>
                <w:rFonts w:ascii="Arial Narrow" w:hAnsi="Arial Narrow"/>
                <w:sz w:val="20"/>
                <w:szCs w:val="24"/>
                <w:lang w:eastAsia="en-US"/>
              </w:rPr>
            </w:pPr>
            <w:r w:rsidRPr="00AF3E96">
              <w:rPr>
                <w:rFonts w:ascii="Arial Narrow" w:hAnsi="Arial Narrow"/>
                <w:sz w:val="20"/>
                <w:szCs w:val="24"/>
                <w:lang w:eastAsia="en-US"/>
              </w:rPr>
              <w:t>NR</w:t>
            </w:r>
          </w:p>
        </w:tc>
        <w:tc>
          <w:tcPr>
            <w:tcW w:w="709" w:type="dxa"/>
          </w:tcPr>
          <w:p w14:paraId="42317236" w14:textId="1F77FDBC" w:rsidR="004E44CE" w:rsidRPr="004D02A6" w:rsidRDefault="004E44CE" w:rsidP="00474DBE">
            <w:pPr>
              <w:spacing w:before="40" w:after="40"/>
              <w:jc w:val="center"/>
              <w:rPr>
                <w:rFonts w:ascii="Arial Narrow" w:hAnsi="Arial Narrow"/>
                <w:sz w:val="20"/>
                <w:szCs w:val="24"/>
                <w:lang w:eastAsia="en-US"/>
              </w:rPr>
            </w:pPr>
            <w:r w:rsidRPr="00AF3E96">
              <w:rPr>
                <w:rFonts w:ascii="Arial Narrow" w:hAnsi="Arial Narrow"/>
                <w:sz w:val="20"/>
                <w:szCs w:val="24"/>
                <w:lang w:eastAsia="en-US"/>
              </w:rPr>
              <w:t>NR</w:t>
            </w:r>
          </w:p>
        </w:tc>
        <w:tc>
          <w:tcPr>
            <w:tcW w:w="850" w:type="dxa"/>
          </w:tcPr>
          <w:p w14:paraId="6B32FE97" w14:textId="594DD91B" w:rsidR="004E44CE" w:rsidRPr="004D02A6" w:rsidRDefault="004E44CE" w:rsidP="00474DBE">
            <w:pPr>
              <w:spacing w:before="40" w:after="40"/>
              <w:jc w:val="center"/>
              <w:rPr>
                <w:rFonts w:ascii="Arial Narrow" w:hAnsi="Arial Narrow"/>
                <w:sz w:val="20"/>
                <w:szCs w:val="24"/>
                <w:lang w:eastAsia="en-US"/>
              </w:rPr>
            </w:pPr>
            <w:r w:rsidRPr="00AF3E96">
              <w:rPr>
                <w:rFonts w:ascii="Arial Narrow" w:hAnsi="Arial Narrow"/>
                <w:sz w:val="20"/>
                <w:szCs w:val="24"/>
                <w:lang w:eastAsia="en-US"/>
              </w:rPr>
              <w:t>NR</w:t>
            </w:r>
          </w:p>
        </w:tc>
        <w:tc>
          <w:tcPr>
            <w:tcW w:w="709" w:type="dxa"/>
          </w:tcPr>
          <w:p w14:paraId="252C7637" w14:textId="1A8EC969" w:rsidR="004E44CE" w:rsidRPr="004D02A6" w:rsidRDefault="004E44CE" w:rsidP="00474DBE">
            <w:pPr>
              <w:spacing w:before="40" w:after="40"/>
              <w:jc w:val="center"/>
              <w:rPr>
                <w:rFonts w:ascii="Arial Narrow" w:hAnsi="Arial Narrow"/>
                <w:sz w:val="20"/>
                <w:szCs w:val="24"/>
                <w:lang w:eastAsia="en-US"/>
              </w:rPr>
            </w:pPr>
            <w:r w:rsidRPr="00AF3E96">
              <w:rPr>
                <w:rFonts w:ascii="Arial Narrow" w:hAnsi="Arial Narrow"/>
                <w:sz w:val="20"/>
                <w:szCs w:val="24"/>
                <w:lang w:eastAsia="en-US"/>
              </w:rPr>
              <w:t>NR</w:t>
            </w:r>
          </w:p>
        </w:tc>
        <w:tc>
          <w:tcPr>
            <w:tcW w:w="709" w:type="dxa"/>
          </w:tcPr>
          <w:p w14:paraId="0DE93A0B" w14:textId="72D18A7F" w:rsidR="004E44CE" w:rsidRPr="004D02A6" w:rsidRDefault="004E44CE" w:rsidP="00474DBE">
            <w:pPr>
              <w:spacing w:before="40" w:after="40"/>
              <w:jc w:val="center"/>
              <w:rPr>
                <w:rFonts w:ascii="Arial Narrow" w:hAnsi="Arial Narrow"/>
                <w:sz w:val="20"/>
                <w:szCs w:val="24"/>
                <w:lang w:eastAsia="en-US"/>
              </w:rPr>
            </w:pPr>
            <w:r w:rsidRPr="00AF3E96">
              <w:rPr>
                <w:rFonts w:ascii="Arial Narrow" w:hAnsi="Arial Narrow"/>
                <w:sz w:val="20"/>
                <w:szCs w:val="24"/>
                <w:lang w:eastAsia="en-US"/>
              </w:rPr>
              <w:t>NR</w:t>
            </w:r>
          </w:p>
        </w:tc>
        <w:tc>
          <w:tcPr>
            <w:tcW w:w="657" w:type="dxa"/>
          </w:tcPr>
          <w:p w14:paraId="7D6263BE" w14:textId="6BBB23AB" w:rsidR="004E44CE" w:rsidRPr="004D02A6" w:rsidRDefault="004E44CE" w:rsidP="00474DBE">
            <w:pPr>
              <w:spacing w:before="40" w:after="40"/>
              <w:jc w:val="center"/>
              <w:rPr>
                <w:rFonts w:ascii="Arial Narrow" w:hAnsi="Arial Narrow"/>
                <w:sz w:val="20"/>
                <w:szCs w:val="24"/>
                <w:lang w:eastAsia="en-US"/>
              </w:rPr>
            </w:pPr>
            <w:r w:rsidRPr="00AF3E96">
              <w:rPr>
                <w:rFonts w:ascii="Arial Narrow" w:hAnsi="Arial Narrow"/>
                <w:sz w:val="20"/>
                <w:szCs w:val="24"/>
                <w:lang w:eastAsia="en-US"/>
              </w:rPr>
              <w:t>NR</w:t>
            </w:r>
          </w:p>
        </w:tc>
      </w:tr>
      <w:tr w:rsidR="004E44CE" w:rsidRPr="004D02A6" w14:paraId="3550A95D" w14:textId="42996B22" w:rsidTr="00474DBE">
        <w:tc>
          <w:tcPr>
            <w:tcW w:w="2547" w:type="dxa"/>
          </w:tcPr>
          <w:p w14:paraId="2DBEF748" w14:textId="7341A0C8" w:rsidR="004E44CE" w:rsidRPr="004D02A6" w:rsidRDefault="004E44CE" w:rsidP="00474DBE">
            <w:pPr>
              <w:pStyle w:val="Tabletext"/>
            </w:pPr>
            <w:r w:rsidRPr="00A411A5">
              <w:t xml:space="preserve">Messina </w:t>
            </w:r>
            <w:r>
              <w:t>(2003)</w:t>
            </w:r>
          </w:p>
        </w:tc>
        <w:tc>
          <w:tcPr>
            <w:tcW w:w="567" w:type="dxa"/>
          </w:tcPr>
          <w:p w14:paraId="229FCCD5" w14:textId="77777777" w:rsidR="004E44CE" w:rsidRPr="004D02A6" w:rsidRDefault="004E44CE" w:rsidP="00474DBE">
            <w:pPr>
              <w:spacing w:before="40" w:after="40"/>
              <w:jc w:val="center"/>
              <w:rPr>
                <w:rFonts w:ascii="Arial Narrow" w:hAnsi="Arial Narrow"/>
                <w:sz w:val="20"/>
                <w:szCs w:val="24"/>
                <w:lang w:eastAsia="en-US"/>
              </w:rPr>
            </w:pPr>
            <w:r w:rsidRPr="004D02A6">
              <w:rPr>
                <w:rFonts w:ascii="Arial Narrow" w:hAnsi="Arial Narrow"/>
                <w:sz w:val="20"/>
                <w:szCs w:val="24"/>
                <w:lang w:eastAsia="en-US"/>
              </w:rPr>
              <w:t>44</w:t>
            </w:r>
          </w:p>
        </w:tc>
        <w:tc>
          <w:tcPr>
            <w:tcW w:w="850" w:type="dxa"/>
          </w:tcPr>
          <w:p w14:paraId="05E4EACD" w14:textId="77777777" w:rsidR="004E44CE" w:rsidRPr="004D02A6" w:rsidRDefault="004E44CE" w:rsidP="00474DBE">
            <w:pPr>
              <w:spacing w:before="40" w:after="40"/>
              <w:jc w:val="center"/>
              <w:rPr>
                <w:rFonts w:ascii="Arial Narrow" w:hAnsi="Arial Narrow"/>
                <w:sz w:val="20"/>
                <w:szCs w:val="24"/>
                <w:lang w:eastAsia="en-US"/>
              </w:rPr>
            </w:pPr>
            <w:r w:rsidRPr="004D02A6">
              <w:rPr>
                <w:rFonts w:ascii="Arial Narrow" w:hAnsi="Arial Narrow"/>
                <w:sz w:val="20"/>
                <w:szCs w:val="24"/>
                <w:lang w:eastAsia="en-US"/>
              </w:rPr>
              <w:t>73%</w:t>
            </w:r>
          </w:p>
        </w:tc>
        <w:tc>
          <w:tcPr>
            <w:tcW w:w="709" w:type="dxa"/>
          </w:tcPr>
          <w:p w14:paraId="3A107D3C" w14:textId="77777777" w:rsidR="004E44CE" w:rsidRPr="004D02A6" w:rsidRDefault="004E44CE" w:rsidP="00474DBE">
            <w:pPr>
              <w:spacing w:before="40" w:after="40"/>
              <w:jc w:val="center"/>
              <w:rPr>
                <w:rFonts w:ascii="Arial Narrow" w:hAnsi="Arial Narrow"/>
                <w:sz w:val="20"/>
                <w:szCs w:val="24"/>
                <w:lang w:eastAsia="en-US"/>
              </w:rPr>
            </w:pPr>
            <w:r w:rsidRPr="004D02A6">
              <w:rPr>
                <w:rFonts w:ascii="Arial Narrow" w:hAnsi="Arial Narrow"/>
                <w:sz w:val="20"/>
                <w:szCs w:val="24"/>
                <w:lang w:eastAsia="en-US"/>
              </w:rPr>
              <w:t>44%</w:t>
            </w:r>
          </w:p>
        </w:tc>
        <w:tc>
          <w:tcPr>
            <w:tcW w:w="709" w:type="dxa"/>
          </w:tcPr>
          <w:p w14:paraId="25A13A92" w14:textId="23258462" w:rsidR="004E44CE" w:rsidRPr="004D02A6" w:rsidRDefault="004E44CE" w:rsidP="00474DBE">
            <w:pPr>
              <w:spacing w:before="40" w:after="40"/>
              <w:jc w:val="center"/>
              <w:rPr>
                <w:rFonts w:ascii="Arial Narrow" w:hAnsi="Arial Narrow"/>
                <w:sz w:val="20"/>
                <w:szCs w:val="24"/>
                <w:lang w:eastAsia="en-US"/>
              </w:rPr>
            </w:pPr>
            <w:r>
              <w:rPr>
                <w:rFonts w:ascii="Arial Narrow" w:hAnsi="Arial Narrow"/>
                <w:sz w:val="20"/>
                <w:szCs w:val="24"/>
                <w:lang w:eastAsia="en-US"/>
              </w:rPr>
              <w:t>55%</w:t>
            </w:r>
          </w:p>
        </w:tc>
        <w:tc>
          <w:tcPr>
            <w:tcW w:w="709" w:type="dxa"/>
          </w:tcPr>
          <w:p w14:paraId="14C47175" w14:textId="0B9A33F6" w:rsidR="004E44CE" w:rsidRPr="004D02A6" w:rsidRDefault="004E44CE" w:rsidP="00474DBE">
            <w:pPr>
              <w:spacing w:before="40" w:after="40"/>
              <w:jc w:val="center"/>
              <w:rPr>
                <w:rFonts w:ascii="Arial Narrow" w:hAnsi="Arial Narrow"/>
                <w:sz w:val="20"/>
                <w:szCs w:val="24"/>
                <w:lang w:eastAsia="en-US"/>
              </w:rPr>
            </w:pPr>
            <w:r>
              <w:rPr>
                <w:rFonts w:ascii="Arial Narrow" w:hAnsi="Arial Narrow"/>
                <w:sz w:val="20"/>
                <w:szCs w:val="24"/>
                <w:lang w:eastAsia="en-US"/>
              </w:rPr>
              <w:t>60%</w:t>
            </w:r>
          </w:p>
        </w:tc>
        <w:tc>
          <w:tcPr>
            <w:tcW w:w="850" w:type="dxa"/>
          </w:tcPr>
          <w:p w14:paraId="112E7661" w14:textId="62EDABDA" w:rsidR="004E44CE" w:rsidRPr="004D02A6" w:rsidRDefault="004E44CE" w:rsidP="00474DBE">
            <w:pPr>
              <w:spacing w:before="40" w:after="40"/>
              <w:jc w:val="center"/>
              <w:rPr>
                <w:rFonts w:ascii="Arial Narrow" w:hAnsi="Arial Narrow"/>
                <w:sz w:val="20"/>
                <w:szCs w:val="24"/>
                <w:lang w:eastAsia="en-US"/>
              </w:rPr>
            </w:pPr>
            <w:r w:rsidRPr="00AF3E96">
              <w:rPr>
                <w:rFonts w:ascii="Arial Narrow" w:hAnsi="Arial Narrow"/>
                <w:sz w:val="20"/>
                <w:szCs w:val="24"/>
                <w:lang w:eastAsia="en-US"/>
              </w:rPr>
              <w:t>NR</w:t>
            </w:r>
          </w:p>
        </w:tc>
        <w:tc>
          <w:tcPr>
            <w:tcW w:w="709" w:type="dxa"/>
          </w:tcPr>
          <w:p w14:paraId="1F1B586A" w14:textId="52E6B0FF" w:rsidR="004E44CE" w:rsidRPr="004D02A6" w:rsidRDefault="004E44CE" w:rsidP="00474DBE">
            <w:pPr>
              <w:spacing w:before="40" w:after="40"/>
              <w:jc w:val="center"/>
              <w:rPr>
                <w:rFonts w:ascii="Arial Narrow" w:hAnsi="Arial Narrow"/>
                <w:sz w:val="20"/>
                <w:szCs w:val="24"/>
                <w:lang w:eastAsia="en-US"/>
              </w:rPr>
            </w:pPr>
            <w:r w:rsidRPr="00AF3E96">
              <w:rPr>
                <w:rFonts w:ascii="Arial Narrow" w:hAnsi="Arial Narrow"/>
                <w:sz w:val="20"/>
                <w:szCs w:val="24"/>
                <w:lang w:eastAsia="en-US"/>
              </w:rPr>
              <w:t>NR</w:t>
            </w:r>
          </w:p>
        </w:tc>
        <w:tc>
          <w:tcPr>
            <w:tcW w:w="709" w:type="dxa"/>
          </w:tcPr>
          <w:p w14:paraId="738166DB" w14:textId="77210891" w:rsidR="004E44CE" w:rsidRPr="004D02A6" w:rsidRDefault="004E44CE" w:rsidP="00474DBE">
            <w:pPr>
              <w:spacing w:before="40" w:after="40"/>
              <w:jc w:val="center"/>
              <w:rPr>
                <w:rFonts w:ascii="Arial Narrow" w:hAnsi="Arial Narrow"/>
                <w:sz w:val="20"/>
                <w:szCs w:val="24"/>
                <w:lang w:eastAsia="en-US"/>
              </w:rPr>
            </w:pPr>
            <w:r w:rsidRPr="00AF3E96">
              <w:rPr>
                <w:rFonts w:ascii="Arial Narrow" w:hAnsi="Arial Narrow"/>
                <w:sz w:val="20"/>
                <w:szCs w:val="24"/>
                <w:lang w:eastAsia="en-US"/>
              </w:rPr>
              <w:t>NR</w:t>
            </w:r>
          </w:p>
        </w:tc>
        <w:tc>
          <w:tcPr>
            <w:tcW w:w="657" w:type="dxa"/>
          </w:tcPr>
          <w:p w14:paraId="12AFD28B" w14:textId="49528C06" w:rsidR="004E44CE" w:rsidRPr="004D02A6" w:rsidRDefault="004E44CE" w:rsidP="00474DBE">
            <w:pPr>
              <w:spacing w:before="40" w:after="40"/>
              <w:jc w:val="center"/>
              <w:rPr>
                <w:rFonts w:ascii="Arial Narrow" w:hAnsi="Arial Narrow"/>
                <w:sz w:val="20"/>
                <w:szCs w:val="24"/>
                <w:lang w:eastAsia="en-US"/>
              </w:rPr>
            </w:pPr>
            <w:r w:rsidRPr="00AF3E96">
              <w:rPr>
                <w:rFonts w:ascii="Arial Narrow" w:hAnsi="Arial Narrow"/>
                <w:sz w:val="20"/>
                <w:szCs w:val="24"/>
                <w:lang w:eastAsia="en-US"/>
              </w:rPr>
              <w:t>NR</w:t>
            </w:r>
          </w:p>
        </w:tc>
      </w:tr>
    </w:tbl>
    <w:p w14:paraId="727E22B5" w14:textId="41C49C5F" w:rsidR="004D02A6" w:rsidRPr="004D02A6" w:rsidRDefault="004D02A6" w:rsidP="004D02A6">
      <w:pPr>
        <w:keepNext/>
        <w:keepLines/>
        <w:jc w:val="both"/>
        <w:rPr>
          <w:rFonts w:ascii="Arial Narrow" w:hAnsi="Arial Narrow" w:cs="Arial"/>
          <w:sz w:val="20"/>
          <w:lang w:eastAsia="en-US"/>
        </w:rPr>
      </w:pPr>
      <w:r w:rsidRPr="004D02A6">
        <w:rPr>
          <w:rFonts w:ascii="Arial Narrow" w:hAnsi="Arial Narrow" w:cs="Arial"/>
          <w:sz w:val="20"/>
          <w:lang w:eastAsia="en-US"/>
        </w:rPr>
        <w:t xml:space="preserve">Source: </w:t>
      </w:r>
      <w:r w:rsidR="00DC0263">
        <w:rPr>
          <w:rFonts w:ascii="Arial Narrow" w:hAnsi="Arial Narrow" w:cs="Arial"/>
          <w:sz w:val="20"/>
          <w:lang w:eastAsia="en-US"/>
        </w:rPr>
        <w:t>Table 1</w:t>
      </w:r>
      <w:r w:rsidRPr="004D02A6">
        <w:rPr>
          <w:rFonts w:ascii="Arial Narrow" w:hAnsi="Arial Narrow" w:cs="Arial"/>
          <w:sz w:val="20"/>
          <w:lang w:eastAsia="en-US"/>
        </w:rPr>
        <w:t>-2, p102 of Malik (2014)</w:t>
      </w:r>
    </w:p>
    <w:p w14:paraId="27F0FAF5" w14:textId="650068F9" w:rsidR="004D02A6" w:rsidRDefault="00DC0263" w:rsidP="00474DBE">
      <w:pPr>
        <w:pStyle w:val="Tablecaption"/>
      </w:pPr>
      <w:r>
        <w:t xml:space="preserve">BO = bronchiolitis obliterans; </w:t>
      </w:r>
      <w:r w:rsidR="004D02A6" w:rsidRPr="004D02A6">
        <w:t>CR = complete response; ECP = extracorporeal photopheresis;</w:t>
      </w:r>
      <w:r>
        <w:t xml:space="preserve"> GI = gastrointestinal; MSK = musculoskeletal; </w:t>
      </w:r>
      <w:r w:rsidR="004D02A6" w:rsidRPr="004D02A6">
        <w:t>N = number of participants; ORR = overall response rate</w:t>
      </w:r>
    </w:p>
    <w:p w14:paraId="3C0D99A7" w14:textId="77777777" w:rsidR="00743EF8" w:rsidRPr="00743EF8" w:rsidRDefault="00743EF8" w:rsidP="00B853FB">
      <w:pPr>
        <w:spacing w:before="240"/>
      </w:pPr>
      <w:r w:rsidRPr="00743EF8">
        <w:t>Flinn (2020) reported that six of 15 (40%) patients with cGVHD had a complete response, two of 15 (13.3%) had a partial response, and 3 patients had no response (response not known for four patients).</w:t>
      </w:r>
    </w:p>
    <w:p w14:paraId="35A5DFD2" w14:textId="39F374AC" w:rsidR="00704D34" w:rsidRDefault="00704D34" w:rsidP="00B853FB">
      <w:pPr>
        <w:pStyle w:val="Heading2"/>
        <w:spacing w:before="240"/>
      </w:pPr>
      <w:r>
        <w:t>Reductions in immunosuppressant medications</w:t>
      </w:r>
    </w:p>
    <w:p w14:paraId="5EF84F6E" w14:textId="562981D7" w:rsidR="00704D34" w:rsidRDefault="00704D34" w:rsidP="00704D34">
      <w:r w:rsidRPr="00704D34">
        <w:fldChar w:fldCharType="begin"/>
      </w:r>
      <w:r w:rsidRPr="00704D34">
        <w:instrText xml:space="preserve"> REF _Ref68745248 \h </w:instrText>
      </w:r>
      <w:r w:rsidR="00CA5D0B">
        <w:instrText xml:space="preserve"> \* MERGEFORMAT </w:instrText>
      </w:r>
      <w:r w:rsidRPr="00704D34">
        <w:fldChar w:fldCharType="separate"/>
      </w:r>
      <w:r w:rsidR="008407AE" w:rsidRPr="008407AE">
        <w:rPr>
          <w:szCs w:val="24"/>
        </w:rPr>
        <w:t xml:space="preserve">Table </w:t>
      </w:r>
      <w:r w:rsidR="008407AE" w:rsidRPr="008407AE">
        <w:rPr>
          <w:noProof/>
          <w:szCs w:val="24"/>
        </w:rPr>
        <w:t>7</w:t>
      </w:r>
      <w:r w:rsidRPr="00704D34">
        <w:fldChar w:fldCharType="end"/>
      </w:r>
      <w:r w:rsidRPr="00704D34">
        <w:t xml:space="preserve"> summarises the changes in immunosuppressant use among patients in the studies.</w:t>
      </w:r>
    </w:p>
    <w:p w14:paraId="770C16BC" w14:textId="22845FDE" w:rsidR="00704D34" w:rsidRDefault="00704D34" w:rsidP="00B853FB">
      <w:pPr>
        <w:spacing w:before="240"/>
      </w:pPr>
      <w:r w:rsidRPr="00704D34">
        <w:t xml:space="preserve">In Flowers (2008), significantly more patients </w:t>
      </w:r>
      <w:r w:rsidR="00CA5D0B">
        <w:t xml:space="preserve">reported </w:t>
      </w:r>
      <w:r w:rsidRPr="00704D34">
        <w:t xml:space="preserve">a ≥50% reduction in their daily steroid dose intake and a steroid dose ≤10 mg/day following 12 weeks of ECP plus methoxsalen treatment versus patients that received standard care (20.8% versus 6.4%, p &lt;0.05). Moreover, 35.4% of patients in the ECP treatment group </w:t>
      </w:r>
      <w:r w:rsidR="00CA5D0B">
        <w:t>reported</w:t>
      </w:r>
      <w:r w:rsidRPr="00704D34">
        <w:t xml:space="preserve"> a ≥50% reduction in their daily steroid dose intake and a steroid dose ≤10 mg/day after 24 weeks of ECP treatment. These findings are similar to those found in the Greinix (2011) study where 17% and 25% of patients </w:t>
      </w:r>
      <w:r w:rsidR="00CA5D0B">
        <w:t>reported</w:t>
      </w:r>
      <w:r w:rsidRPr="00704D34">
        <w:t xml:space="preserve"> a ≥50 reduction in their daily steroid dose intake and a steroid dose ≤10 mg/day after 12 weeks and 24 weeks of ECP plus methoxsalen treatment, respectively. The other single</w:t>
      </w:r>
      <w:r w:rsidR="00CA5D0B">
        <w:t>-</w:t>
      </w:r>
      <w:r w:rsidRPr="00704D34">
        <w:t xml:space="preserve">arm studies similarly reported reductions in the dose of steroid use, with two studies (VCCC SAS, Dignan 2014) reporting that a number of patients had </w:t>
      </w:r>
      <w:r w:rsidRPr="00704D34">
        <w:lastRenderedPageBreak/>
        <w:t>ceased steroid therapy completely; notably, four of 11 (36%) of the paediatric patients in the VCCC SAS were reported to cease therapy with steroids.</w:t>
      </w:r>
    </w:p>
    <w:p w14:paraId="3712127B" w14:textId="2E939F8E" w:rsidR="00704D34" w:rsidRDefault="00704D34" w:rsidP="00B853FB">
      <w:pPr>
        <w:spacing w:before="240"/>
      </w:pPr>
      <w:r w:rsidRPr="00704D34">
        <w:t>ECP plus methoxsalen treatment was also associated with reduced intake of commonly used non-steroidal medications for the treatment of cGVHD, including mycophenolate mofetil, cyclosporin and tacrolimus.</w:t>
      </w:r>
    </w:p>
    <w:p w14:paraId="4748CC10" w14:textId="7943285C" w:rsidR="00704D34" w:rsidRPr="00704D34" w:rsidRDefault="00704D34" w:rsidP="00CA5D0B">
      <w:pPr>
        <w:keepNext/>
        <w:spacing w:after="120"/>
        <w:jc w:val="both"/>
        <w:rPr>
          <w:rFonts w:ascii="Arial Narrow" w:hAnsi="Arial Narrow" w:cs="Tahoma"/>
          <w:b/>
          <w:bCs/>
          <w:sz w:val="20"/>
          <w:szCs w:val="22"/>
        </w:rPr>
      </w:pPr>
      <w:bookmarkStart w:id="19" w:name="_Ref68745248"/>
      <w:r w:rsidRPr="00704D34">
        <w:rPr>
          <w:rFonts w:ascii="Arial Narrow" w:hAnsi="Arial Narrow" w:cs="Tahoma"/>
          <w:b/>
          <w:bCs/>
          <w:sz w:val="20"/>
          <w:szCs w:val="22"/>
        </w:rPr>
        <w:lastRenderedPageBreak/>
        <w:t xml:space="preserve">Table </w:t>
      </w:r>
      <w:r w:rsidRPr="00704D34">
        <w:rPr>
          <w:rFonts w:ascii="Arial Narrow" w:hAnsi="Arial Narrow" w:cs="Tahoma"/>
          <w:b/>
          <w:bCs/>
          <w:sz w:val="20"/>
          <w:szCs w:val="22"/>
        </w:rPr>
        <w:fldChar w:fldCharType="begin"/>
      </w:r>
      <w:r w:rsidRPr="00704D34">
        <w:rPr>
          <w:rFonts w:ascii="Arial Narrow" w:hAnsi="Arial Narrow" w:cs="Tahoma"/>
          <w:b/>
          <w:bCs/>
          <w:sz w:val="20"/>
          <w:szCs w:val="22"/>
        </w:rPr>
        <w:instrText xml:space="preserve"> SEQ Table \* ARABIC </w:instrText>
      </w:r>
      <w:r w:rsidRPr="00704D34">
        <w:rPr>
          <w:rFonts w:ascii="Arial Narrow" w:hAnsi="Arial Narrow" w:cs="Tahoma"/>
          <w:b/>
          <w:bCs/>
          <w:sz w:val="20"/>
          <w:szCs w:val="22"/>
        </w:rPr>
        <w:fldChar w:fldCharType="separate"/>
      </w:r>
      <w:r w:rsidR="008407AE">
        <w:rPr>
          <w:rFonts w:ascii="Arial Narrow" w:hAnsi="Arial Narrow" w:cs="Tahoma"/>
          <w:b/>
          <w:bCs/>
          <w:noProof/>
          <w:sz w:val="20"/>
          <w:szCs w:val="22"/>
        </w:rPr>
        <w:t>7</w:t>
      </w:r>
      <w:r w:rsidRPr="00704D34">
        <w:rPr>
          <w:rFonts w:ascii="Arial Narrow" w:hAnsi="Arial Narrow" w:cs="Tahoma"/>
          <w:b/>
          <w:bCs/>
          <w:noProof/>
          <w:sz w:val="20"/>
          <w:szCs w:val="22"/>
        </w:rPr>
        <w:fldChar w:fldCharType="end"/>
      </w:r>
      <w:bookmarkEnd w:id="19"/>
      <w:r w:rsidR="0034138C">
        <w:rPr>
          <w:rFonts w:ascii="Arial Narrow" w:hAnsi="Arial Narrow" w:cs="Tahoma"/>
          <w:b/>
          <w:bCs/>
          <w:noProof/>
          <w:sz w:val="20"/>
          <w:szCs w:val="22"/>
        </w:rPr>
        <w:t>:</w:t>
      </w:r>
      <w:r w:rsidR="00CA5D0B">
        <w:rPr>
          <w:rFonts w:ascii="Arial Narrow" w:hAnsi="Arial Narrow" w:cs="Tahoma"/>
          <w:b/>
          <w:bCs/>
          <w:noProof/>
          <w:sz w:val="20"/>
          <w:szCs w:val="22"/>
        </w:rPr>
        <w:t xml:space="preserve"> </w:t>
      </w:r>
      <w:r w:rsidRPr="00704D34">
        <w:rPr>
          <w:rFonts w:ascii="Arial Narrow" w:hAnsi="Arial Narrow" w:cs="Tahoma"/>
          <w:b/>
          <w:bCs/>
          <w:sz w:val="20"/>
          <w:szCs w:val="22"/>
        </w:rPr>
        <w:t>Reduction in immunosuppressant medication following ECP plus methoxsalen treatment in the included studies</w:t>
      </w:r>
    </w:p>
    <w:tbl>
      <w:tblPr>
        <w:tblStyle w:val="newstyle1"/>
        <w:tblW w:w="0" w:type="auto"/>
        <w:tblCellMar>
          <w:left w:w="28" w:type="dxa"/>
          <w:right w:w="28" w:type="dxa"/>
        </w:tblCellMar>
        <w:tblLook w:val="04A0" w:firstRow="1" w:lastRow="0" w:firstColumn="1" w:lastColumn="0" w:noHBand="0" w:noVBand="1"/>
        <w:tblCaption w:val="Reduction in immunosuppressant medication following ECP plus methoxsalen treatment in the included studies"/>
      </w:tblPr>
      <w:tblGrid>
        <w:gridCol w:w="988"/>
        <w:gridCol w:w="2310"/>
        <w:gridCol w:w="1704"/>
        <w:gridCol w:w="1338"/>
        <w:gridCol w:w="885"/>
        <w:gridCol w:w="453"/>
        <w:gridCol w:w="1338"/>
      </w:tblGrid>
      <w:tr w:rsidR="00704D34" w:rsidRPr="00704D34" w14:paraId="437F14B4" w14:textId="77777777" w:rsidTr="00D56273">
        <w:trPr>
          <w:tblHeader/>
        </w:trPr>
        <w:tc>
          <w:tcPr>
            <w:tcW w:w="988" w:type="dxa"/>
            <w:vAlign w:val="center"/>
          </w:tcPr>
          <w:p w14:paraId="4EC96B63" w14:textId="77777777" w:rsidR="00704D34" w:rsidRPr="00704D34" w:rsidRDefault="00704D34" w:rsidP="00704D34">
            <w:pPr>
              <w:keepNext/>
              <w:spacing w:before="40" w:after="40"/>
              <w:ind w:left="0"/>
              <w:rPr>
                <w:rFonts w:ascii="Arial Narrow" w:hAnsi="Arial Narrow" w:cs="Tahoma"/>
                <w:b/>
                <w:bCs/>
              </w:rPr>
            </w:pPr>
            <w:r w:rsidRPr="00704D34">
              <w:rPr>
                <w:rFonts w:ascii="Arial Narrow" w:hAnsi="Arial Narrow" w:cs="Tahoma"/>
                <w:b/>
                <w:bCs/>
              </w:rPr>
              <w:t>Study</w:t>
            </w:r>
          </w:p>
        </w:tc>
        <w:tc>
          <w:tcPr>
            <w:tcW w:w="4014" w:type="dxa"/>
            <w:gridSpan w:val="2"/>
            <w:vAlign w:val="center"/>
          </w:tcPr>
          <w:p w14:paraId="20298C2F" w14:textId="77777777" w:rsidR="00704D34" w:rsidRPr="00704D34" w:rsidRDefault="00704D34" w:rsidP="00704D34">
            <w:pPr>
              <w:keepNext/>
              <w:spacing w:before="40" w:after="40"/>
              <w:ind w:left="0"/>
              <w:jc w:val="center"/>
              <w:rPr>
                <w:rFonts w:ascii="Arial Narrow" w:hAnsi="Arial Narrow" w:cs="Tahoma"/>
                <w:b/>
                <w:bCs/>
              </w:rPr>
            </w:pPr>
            <w:r w:rsidRPr="00704D34">
              <w:rPr>
                <w:rFonts w:ascii="Arial Narrow" w:hAnsi="Arial Narrow" w:cs="Tahoma"/>
                <w:b/>
                <w:bCs/>
              </w:rPr>
              <w:t>Outcome at 12 weeks</w:t>
            </w:r>
          </w:p>
        </w:tc>
        <w:tc>
          <w:tcPr>
            <w:tcW w:w="1338" w:type="dxa"/>
            <w:vAlign w:val="center"/>
          </w:tcPr>
          <w:p w14:paraId="74F3AB08" w14:textId="77777777" w:rsidR="00704D34" w:rsidRPr="00704D34" w:rsidRDefault="00704D34" w:rsidP="00704D34">
            <w:pPr>
              <w:keepNext/>
              <w:spacing w:before="40" w:after="40"/>
              <w:ind w:left="8" w:hanging="8"/>
              <w:jc w:val="center"/>
              <w:rPr>
                <w:rFonts w:ascii="Arial Narrow" w:hAnsi="Arial Narrow" w:cs="Tahoma"/>
                <w:b/>
                <w:bCs/>
              </w:rPr>
            </w:pPr>
            <w:r w:rsidRPr="00704D34">
              <w:rPr>
                <w:rFonts w:ascii="Arial Narrow" w:hAnsi="Arial Narrow" w:cs="Tahoma"/>
                <w:b/>
                <w:bCs/>
              </w:rPr>
              <w:t>ECP, n/N(%)</w:t>
            </w:r>
          </w:p>
        </w:tc>
        <w:tc>
          <w:tcPr>
            <w:tcW w:w="1338" w:type="dxa"/>
            <w:gridSpan w:val="2"/>
          </w:tcPr>
          <w:p w14:paraId="42F54871" w14:textId="77777777" w:rsidR="00704D34" w:rsidRPr="00704D34" w:rsidRDefault="00704D34" w:rsidP="00704D34">
            <w:pPr>
              <w:keepNext/>
              <w:spacing w:before="40" w:after="40"/>
              <w:ind w:left="8" w:hanging="8"/>
              <w:jc w:val="center"/>
              <w:rPr>
                <w:rFonts w:ascii="Arial Narrow" w:hAnsi="Arial Narrow" w:cs="Tahoma"/>
                <w:b/>
                <w:bCs/>
              </w:rPr>
            </w:pPr>
            <w:r w:rsidRPr="00704D34">
              <w:rPr>
                <w:rFonts w:ascii="Arial Narrow" w:hAnsi="Arial Narrow" w:cs="Tahoma"/>
                <w:b/>
                <w:bCs/>
              </w:rPr>
              <w:t>SOC, n/N (%)</w:t>
            </w:r>
          </w:p>
        </w:tc>
        <w:tc>
          <w:tcPr>
            <w:tcW w:w="1338" w:type="dxa"/>
            <w:vAlign w:val="center"/>
          </w:tcPr>
          <w:p w14:paraId="56E8FEAD" w14:textId="77777777" w:rsidR="00704D34" w:rsidRPr="00704D34" w:rsidRDefault="00704D34" w:rsidP="00704D34">
            <w:pPr>
              <w:keepNext/>
              <w:spacing w:before="40" w:after="40"/>
              <w:ind w:left="8" w:hanging="8"/>
              <w:jc w:val="center"/>
              <w:rPr>
                <w:rFonts w:ascii="Arial Narrow" w:hAnsi="Arial Narrow" w:cs="Tahoma"/>
                <w:b/>
                <w:bCs/>
              </w:rPr>
            </w:pPr>
            <w:r w:rsidRPr="00704D34">
              <w:rPr>
                <w:rFonts w:ascii="Arial Narrow" w:hAnsi="Arial Narrow" w:cs="Tahoma"/>
                <w:b/>
                <w:bCs/>
              </w:rPr>
              <w:t>p-value</w:t>
            </w:r>
          </w:p>
        </w:tc>
      </w:tr>
      <w:tr w:rsidR="00704D34" w:rsidRPr="00704D34" w14:paraId="46AC55B4" w14:textId="77777777" w:rsidTr="00D56273">
        <w:trPr>
          <w:tblHeader/>
        </w:trPr>
        <w:tc>
          <w:tcPr>
            <w:tcW w:w="988" w:type="dxa"/>
            <w:tcBorders>
              <w:bottom w:val="nil"/>
            </w:tcBorders>
            <w:vAlign w:val="bottom"/>
          </w:tcPr>
          <w:p w14:paraId="7D4A1FC5" w14:textId="77777777" w:rsidR="00704D34" w:rsidRPr="00704D34" w:rsidRDefault="00704D34" w:rsidP="00704D34">
            <w:pPr>
              <w:keepNext/>
              <w:spacing w:before="40"/>
              <w:ind w:left="0"/>
              <w:rPr>
                <w:rFonts w:ascii="Arial Narrow" w:hAnsi="Arial Narrow" w:cs="Tahoma"/>
              </w:rPr>
            </w:pPr>
            <w:r w:rsidRPr="00704D34">
              <w:rPr>
                <w:rFonts w:ascii="Arial Narrow" w:hAnsi="Arial Narrow" w:cs="Tahoma"/>
              </w:rPr>
              <w:t xml:space="preserve">Flowers </w:t>
            </w:r>
          </w:p>
        </w:tc>
        <w:tc>
          <w:tcPr>
            <w:tcW w:w="4014" w:type="dxa"/>
            <w:gridSpan w:val="2"/>
            <w:vAlign w:val="center"/>
          </w:tcPr>
          <w:p w14:paraId="1FB1B55D" w14:textId="77777777" w:rsidR="00704D34" w:rsidRPr="00704D34" w:rsidRDefault="00704D34" w:rsidP="00704D34">
            <w:pPr>
              <w:keepNext/>
              <w:spacing w:before="40" w:after="40"/>
              <w:ind w:left="0"/>
              <w:rPr>
                <w:rFonts w:ascii="Arial Narrow" w:hAnsi="Arial Narrow" w:cs="Tahoma"/>
              </w:rPr>
            </w:pPr>
            <w:r w:rsidRPr="00704D34">
              <w:rPr>
                <w:rFonts w:ascii="Arial Narrow" w:hAnsi="Arial Narrow" w:cs="Tahoma"/>
              </w:rPr>
              <w:t>≥50% reduction in steroids</w:t>
            </w:r>
          </w:p>
        </w:tc>
        <w:tc>
          <w:tcPr>
            <w:tcW w:w="1338" w:type="dxa"/>
            <w:vAlign w:val="center"/>
          </w:tcPr>
          <w:p w14:paraId="7F8780BB" w14:textId="77777777" w:rsidR="00704D34" w:rsidRPr="00704D34" w:rsidRDefault="00704D34" w:rsidP="00704D34">
            <w:pPr>
              <w:keepNext/>
              <w:spacing w:before="40" w:after="40"/>
              <w:ind w:left="8" w:hanging="8"/>
              <w:jc w:val="center"/>
              <w:rPr>
                <w:rFonts w:ascii="Arial Narrow" w:hAnsi="Arial Narrow" w:cs="Tahoma"/>
              </w:rPr>
            </w:pPr>
            <w:r w:rsidRPr="00704D34">
              <w:rPr>
                <w:rFonts w:ascii="Arial Narrow" w:hAnsi="Arial Narrow" w:cs="Tahoma"/>
              </w:rPr>
              <w:t>12/48 (25)</w:t>
            </w:r>
          </w:p>
        </w:tc>
        <w:tc>
          <w:tcPr>
            <w:tcW w:w="1338" w:type="dxa"/>
            <w:gridSpan w:val="2"/>
            <w:vAlign w:val="center"/>
          </w:tcPr>
          <w:p w14:paraId="0C627EDF" w14:textId="77777777" w:rsidR="00704D34" w:rsidRPr="00704D34" w:rsidRDefault="00704D34" w:rsidP="00704D34">
            <w:pPr>
              <w:keepNext/>
              <w:spacing w:before="40" w:after="40"/>
              <w:ind w:left="8" w:hanging="8"/>
              <w:jc w:val="center"/>
              <w:rPr>
                <w:rFonts w:ascii="Arial Narrow" w:hAnsi="Arial Narrow" w:cs="Tahoma"/>
              </w:rPr>
            </w:pPr>
            <w:r w:rsidRPr="00704D34">
              <w:rPr>
                <w:rFonts w:ascii="Arial Narrow" w:hAnsi="Arial Narrow" w:cs="Tahoma"/>
              </w:rPr>
              <w:t>6/47 (13)</w:t>
            </w:r>
          </w:p>
        </w:tc>
        <w:tc>
          <w:tcPr>
            <w:tcW w:w="1338" w:type="dxa"/>
            <w:vAlign w:val="center"/>
          </w:tcPr>
          <w:p w14:paraId="39A9EB15" w14:textId="77777777" w:rsidR="00704D34" w:rsidRPr="00704D34" w:rsidRDefault="00704D34" w:rsidP="00704D34">
            <w:pPr>
              <w:keepNext/>
              <w:spacing w:before="40" w:after="40"/>
              <w:ind w:left="8" w:hanging="8"/>
              <w:jc w:val="center"/>
              <w:rPr>
                <w:rFonts w:ascii="Arial Narrow" w:hAnsi="Arial Narrow" w:cs="Tahoma"/>
              </w:rPr>
            </w:pPr>
            <w:r w:rsidRPr="00704D34">
              <w:rPr>
                <w:rFonts w:ascii="Arial Narrow" w:hAnsi="Arial Narrow" w:cs="Tahoma"/>
              </w:rPr>
              <w:t>NS</w:t>
            </w:r>
          </w:p>
        </w:tc>
      </w:tr>
      <w:tr w:rsidR="00704D34" w:rsidRPr="00704D34" w14:paraId="16B86831" w14:textId="77777777" w:rsidTr="00D56273">
        <w:trPr>
          <w:tblHeader/>
        </w:trPr>
        <w:tc>
          <w:tcPr>
            <w:tcW w:w="988" w:type="dxa"/>
            <w:tcBorders>
              <w:top w:val="nil"/>
              <w:bottom w:val="double" w:sz="4" w:space="0" w:color="auto"/>
            </w:tcBorders>
          </w:tcPr>
          <w:p w14:paraId="5C60A265" w14:textId="77777777" w:rsidR="00704D34" w:rsidRPr="00704D34" w:rsidRDefault="00704D34" w:rsidP="00704D34">
            <w:pPr>
              <w:keepNext/>
              <w:spacing w:after="40"/>
              <w:ind w:left="0"/>
              <w:rPr>
                <w:rFonts w:ascii="Arial Narrow" w:hAnsi="Arial Narrow" w:cs="Tahoma"/>
                <w:b/>
                <w:bCs/>
              </w:rPr>
            </w:pPr>
            <w:r w:rsidRPr="00704D34">
              <w:rPr>
                <w:rFonts w:ascii="Arial Narrow" w:hAnsi="Arial Narrow" w:cs="Tahoma"/>
              </w:rPr>
              <w:t>2008</w:t>
            </w:r>
          </w:p>
        </w:tc>
        <w:tc>
          <w:tcPr>
            <w:tcW w:w="4014" w:type="dxa"/>
            <w:gridSpan w:val="2"/>
            <w:tcBorders>
              <w:bottom w:val="double" w:sz="4" w:space="0" w:color="auto"/>
            </w:tcBorders>
            <w:vAlign w:val="center"/>
          </w:tcPr>
          <w:p w14:paraId="0242EBE4" w14:textId="77777777" w:rsidR="00704D34" w:rsidRPr="00704D34" w:rsidRDefault="00704D34" w:rsidP="00704D34">
            <w:pPr>
              <w:keepNext/>
              <w:spacing w:before="40" w:after="40"/>
              <w:ind w:left="0"/>
              <w:rPr>
                <w:rFonts w:ascii="Arial Narrow" w:hAnsi="Arial Narrow" w:cs="Tahoma"/>
              </w:rPr>
            </w:pPr>
            <w:r w:rsidRPr="00704D34">
              <w:rPr>
                <w:rFonts w:ascii="Arial Narrow" w:hAnsi="Arial Narrow" w:cs="Tahoma"/>
              </w:rPr>
              <w:t xml:space="preserve">≥50% reduction in steroids AND </w:t>
            </w:r>
            <w:r w:rsidRPr="00704D34">
              <w:rPr>
                <w:rFonts w:ascii="Arial Narrow" w:hAnsi="Arial Narrow" w:cs="Tahoma"/>
              </w:rPr>
              <w:br/>
              <w:t>steroid daily dose &lt;10 mg/day</w:t>
            </w:r>
          </w:p>
        </w:tc>
        <w:tc>
          <w:tcPr>
            <w:tcW w:w="1338" w:type="dxa"/>
            <w:tcBorders>
              <w:bottom w:val="double" w:sz="4" w:space="0" w:color="auto"/>
            </w:tcBorders>
            <w:vAlign w:val="center"/>
          </w:tcPr>
          <w:p w14:paraId="5C602C38" w14:textId="77777777" w:rsidR="00704D34" w:rsidRPr="00704D34" w:rsidRDefault="00704D34" w:rsidP="00704D34">
            <w:pPr>
              <w:keepNext/>
              <w:spacing w:before="40" w:after="40"/>
              <w:ind w:left="8" w:hanging="8"/>
              <w:jc w:val="center"/>
              <w:rPr>
                <w:rFonts w:ascii="Arial Narrow" w:hAnsi="Arial Narrow" w:cs="Tahoma"/>
              </w:rPr>
            </w:pPr>
            <w:r w:rsidRPr="00704D34">
              <w:rPr>
                <w:rFonts w:ascii="Arial Narrow" w:hAnsi="Arial Narrow" w:cs="Tahoma"/>
              </w:rPr>
              <w:t>10/48 (21)</w:t>
            </w:r>
          </w:p>
        </w:tc>
        <w:tc>
          <w:tcPr>
            <w:tcW w:w="1338" w:type="dxa"/>
            <w:gridSpan w:val="2"/>
            <w:tcBorders>
              <w:bottom w:val="double" w:sz="4" w:space="0" w:color="auto"/>
            </w:tcBorders>
            <w:vAlign w:val="center"/>
          </w:tcPr>
          <w:p w14:paraId="708D487E" w14:textId="77777777" w:rsidR="00704D34" w:rsidRPr="00704D34" w:rsidRDefault="00704D34" w:rsidP="00704D34">
            <w:pPr>
              <w:keepNext/>
              <w:spacing w:before="40" w:after="40"/>
              <w:ind w:left="8" w:hanging="8"/>
              <w:jc w:val="center"/>
              <w:rPr>
                <w:rFonts w:ascii="Arial Narrow" w:hAnsi="Arial Narrow" w:cs="Tahoma"/>
              </w:rPr>
            </w:pPr>
            <w:r w:rsidRPr="00704D34">
              <w:rPr>
                <w:rFonts w:ascii="Arial Narrow" w:hAnsi="Arial Narrow" w:cs="Tahoma"/>
              </w:rPr>
              <w:t>3/47 (6)</w:t>
            </w:r>
          </w:p>
        </w:tc>
        <w:tc>
          <w:tcPr>
            <w:tcW w:w="1338" w:type="dxa"/>
            <w:tcBorders>
              <w:bottom w:val="double" w:sz="4" w:space="0" w:color="auto"/>
            </w:tcBorders>
            <w:vAlign w:val="center"/>
          </w:tcPr>
          <w:p w14:paraId="77230D0B" w14:textId="77777777" w:rsidR="00704D34" w:rsidRPr="00704D34" w:rsidRDefault="00704D34" w:rsidP="00704D34">
            <w:pPr>
              <w:keepNext/>
              <w:spacing w:before="40" w:after="40"/>
              <w:ind w:left="8" w:hanging="8"/>
              <w:jc w:val="center"/>
              <w:rPr>
                <w:rFonts w:ascii="Arial Narrow" w:hAnsi="Arial Narrow" w:cs="Tahoma"/>
                <w:b/>
                <w:bCs/>
              </w:rPr>
            </w:pPr>
            <w:r w:rsidRPr="00704D34">
              <w:rPr>
                <w:rFonts w:ascii="Arial Narrow" w:hAnsi="Arial Narrow" w:cs="Tahoma"/>
                <w:b/>
                <w:bCs/>
              </w:rPr>
              <w:t>&lt;0.04</w:t>
            </w:r>
          </w:p>
        </w:tc>
      </w:tr>
      <w:tr w:rsidR="00704D34" w:rsidRPr="00704D34" w14:paraId="483F91F7" w14:textId="77777777" w:rsidTr="00D56273">
        <w:trPr>
          <w:tblHeader/>
        </w:trPr>
        <w:tc>
          <w:tcPr>
            <w:tcW w:w="988" w:type="dxa"/>
            <w:tcBorders>
              <w:top w:val="double" w:sz="4" w:space="0" w:color="auto"/>
            </w:tcBorders>
            <w:vAlign w:val="center"/>
          </w:tcPr>
          <w:p w14:paraId="3B81E9C1" w14:textId="77777777" w:rsidR="00704D34" w:rsidRPr="00704D34" w:rsidRDefault="00704D34" w:rsidP="00704D34">
            <w:pPr>
              <w:keepNext/>
              <w:spacing w:before="40" w:after="40"/>
              <w:ind w:left="0"/>
              <w:rPr>
                <w:rFonts w:ascii="Arial Narrow" w:hAnsi="Arial Narrow" w:cs="Tahoma"/>
                <w:b/>
                <w:bCs/>
              </w:rPr>
            </w:pPr>
            <w:r w:rsidRPr="00704D34">
              <w:rPr>
                <w:rFonts w:ascii="Arial Narrow" w:hAnsi="Arial Narrow" w:cs="Tahoma"/>
                <w:b/>
                <w:bCs/>
              </w:rPr>
              <w:t>Study</w:t>
            </w:r>
          </w:p>
        </w:tc>
        <w:tc>
          <w:tcPr>
            <w:tcW w:w="2310" w:type="dxa"/>
            <w:tcBorders>
              <w:top w:val="double" w:sz="4" w:space="0" w:color="auto"/>
            </w:tcBorders>
            <w:vAlign w:val="center"/>
          </w:tcPr>
          <w:p w14:paraId="01F175AC" w14:textId="77777777" w:rsidR="00704D34" w:rsidRPr="00704D34" w:rsidRDefault="00704D34" w:rsidP="00704D34">
            <w:pPr>
              <w:keepNext/>
              <w:spacing w:before="40" w:after="40"/>
              <w:ind w:left="0"/>
              <w:jc w:val="center"/>
              <w:rPr>
                <w:rFonts w:ascii="Arial Narrow" w:hAnsi="Arial Narrow" w:cs="Tahoma"/>
                <w:b/>
                <w:bCs/>
              </w:rPr>
            </w:pPr>
            <w:r w:rsidRPr="00704D34">
              <w:rPr>
                <w:rFonts w:ascii="Arial Narrow" w:hAnsi="Arial Narrow" w:cs="Tahoma"/>
                <w:b/>
                <w:bCs/>
              </w:rPr>
              <w:t>Reduction in steroids</w:t>
            </w:r>
          </w:p>
        </w:tc>
        <w:tc>
          <w:tcPr>
            <w:tcW w:w="1704" w:type="dxa"/>
            <w:tcBorders>
              <w:top w:val="double" w:sz="4" w:space="0" w:color="auto"/>
            </w:tcBorders>
            <w:vAlign w:val="center"/>
          </w:tcPr>
          <w:p w14:paraId="273BF1D2" w14:textId="77777777" w:rsidR="00704D34" w:rsidRPr="00704D34" w:rsidRDefault="00704D34" w:rsidP="00704D34">
            <w:pPr>
              <w:keepNext/>
              <w:spacing w:before="40" w:after="40"/>
              <w:ind w:left="0"/>
              <w:jc w:val="center"/>
              <w:rPr>
                <w:rFonts w:ascii="Arial Narrow" w:hAnsi="Arial Narrow" w:cs="Tahoma"/>
                <w:b/>
                <w:bCs/>
              </w:rPr>
            </w:pPr>
            <w:r w:rsidRPr="00704D34">
              <w:rPr>
                <w:rFonts w:ascii="Arial Narrow" w:hAnsi="Arial Narrow" w:cs="Tahoma"/>
                <w:b/>
                <w:bCs/>
              </w:rPr>
              <w:t>n/N (%)</w:t>
            </w:r>
          </w:p>
        </w:tc>
        <w:tc>
          <w:tcPr>
            <w:tcW w:w="2223" w:type="dxa"/>
            <w:gridSpan w:val="2"/>
            <w:tcBorders>
              <w:top w:val="double" w:sz="4" w:space="0" w:color="auto"/>
            </w:tcBorders>
          </w:tcPr>
          <w:p w14:paraId="41B8D0D2" w14:textId="77777777" w:rsidR="00704D34" w:rsidRPr="00704D34" w:rsidRDefault="00704D34" w:rsidP="00704D34">
            <w:pPr>
              <w:keepNext/>
              <w:spacing w:before="40" w:after="40"/>
              <w:ind w:left="8" w:hanging="8"/>
              <w:jc w:val="center"/>
              <w:rPr>
                <w:rFonts w:ascii="Arial Narrow" w:hAnsi="Arial Narrow" w:cs="Tahoma"/>
                <w:b/>
                <w:bCs/>
              </w:rPr>
            </w:pPr>
            <w:r w:rsidRPr="00704D34">
              <w:rPr>
                <w:rFonts w:ascii="Arial Narrow" w:hAnsi="Arial Narrow" w:cs="Tahoma"/>
                <w:b/>
                <w:bCs/>
              </w:rPr>
              <w:t>Reduction in immunosuppressants</w:t>
            </w:r>
          </w:p>
        </w:tc>
        <w:tc>
          <w:tcPr>
            <w:tcW w:w="1791" w:type="dxa"/>
            <w:gridSpan w:val="2"/>
            <w:tcBorders>
              <w:top w:val="double" w:sz="4" w:space="0" w:color="auto"/>
            </w:tcBorders>
            <w:vAlign w:val="center"/>
          </w:tcPr>
          <w:p w14:paraId="6A2FD65D" w14:textId="77777777" w:rsidR="00704D34" w:rsidRPr="00704D34" w:rsidRDefault="00704D34" w:rsidP="00704D34">
            <w:pPr>
              <w:keepNext/>
              <w:spacing w:before="40" w:after="40"/>
              <w:ind w:left="8" w:hanging="8"/>
              <w:jc w:val="center"/>
              <w:rPr>
                <w:rFonts w:ascii="Arial Narrow" w:hAnsi="Arial Narrow" w:cs="Tahoma"/>
                <w:b/>
                <w:bCs/>
              </w:rPr>
            </w:pPr>
            <w:r w:rsidRPr="00704D34">
              <w:rPr>
                <w:rFonts w:ascii="Arial Narrow" w:hAnsi="Arial Narrow" w:cs="Tahoma"/>
                <w:b/>
                <w:bCs/>
              </w:rPr>
              <w:t>n/N (%)</w:t>
            </w:r>
          </w:p>
        </w:tc>
      </w:tr>
      <w:tr w:rsidR="00704D34" w:rsidRPr="00704D34" w14:paraId="3DA6154B" w14:textId="77777777" w:rsidTr="00D56273">
        <w:tc>
          <w:tcPr>
            <w:tcW w:w="988" w:type="dxa"/>
            <w:tcBorders>
              <w:bottom w:val="nil"/>
            </w:tcBorders>
            <w:vAlign w:val="bottom"/>
          </w:tcPr>
          <w:p w14:paraId="49CF84F3" w14:textId="77777777" w:rsidR="00704D34" w:rsidRPr="00704D34" w:rsidRDefault="00704D34" w:rsidP="00704D34">
            <w:pPr>
              <w:keepNext/>
              <w:spacing w:before="40"/>
              <w:ind w:left="0"/>
              <w:rPr>
                <w:rFonts w:ascii="Arial Narrow" w:hAnsi="Arial Narrow" w:cs="Tahoma"/>
              </w:rPr>
            </w:pPr>
            <w:r w:rsidRPr="00704D34">
              <w:rPr>
                <w:rFonts w:ascii="Arial Narrow" w:hAnsi="Arial Narrow" w:cs="Tahoma"/>
              </w:rPr>
              <w:t xml:space="preserve">Flowers </w:t>
            </w:r>
          </w:p>
        </w:tc>
        <w:tc>
          <w:tcPr>
            <w:tcW w:w="2310" w:type="dxa"/>
            <w:tcBorders>
              <w:bottom w:val="nil"/>
            </w:tcBorders>
            <w:vAlign w:val="center"/>
          </w:tcPr>
          <w:p w14:paraId="392C3E69" w14:textId="77777777" w:rsidR="00704D34" w:rsidRPr="00704D34" w:rsidRDefault="00704D34" w:rsidP="00704D34">
            <w:pPr>
              <w:keepNext/>
              <w:spacing w:before="40" w:after="40"/>
              <w:ind w:left="0"/>
              <w:rPr>
                <w:rFonts w:ascii="Arial Narrow" w:hAnsi="Arial Narrow" w:cs="Tahoma"/>
              </w:rPr>
            </w:pPr>
            <w:r w:rsidRPr="00704D34">
              <w:rPr>
                <w:rFonts w:ascii="Arial Narrow" w:hAnsi="Arial Narrow" w:cs="Tahoma"/>
              </w:rPr>
              <w:t>≥50% reduction</w:t>
            </w:r>
          </w:p>
        </w:tc>
        <w:tc>
          <w:tcPr>
            <w:tcW w:w="1704" w:type="dxa"/>
            <w:vAlign w:val="center"/>
          </w:tcPr>
          <w:p w14:paraId="71631DB4"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rPr>
              <w:t>24 weeks: NR (40)</w:t>
            </w:r>
          </w:p>
        </w:tc>
        <w:tc>
          <w:tcPr>
            <w:tcW w:w="4014" w:type="dxa"/>
            <w:gridSpan w:val="4"/>
            <w:tcBorders>
              <w:bottom w:val="nil"/>
            </w:tcBorders>
            <w:vAlign w:val="bottom"/>
          </w:tcPr>
          <w:p w14:paraId="02778140" w14:textId="77777777" w:rsidR="00704D34" w:rsidRPr="00704D34" w:rsidRDefault="00704D34" w:rsidP="00704D34">
            <w:pPr>
              <w:keepNext/>
              <w:spacing w:before="40" w:after="40"/>
              <w:ind w:left="8" w:hanging="8"/>
              <w:jc w:val="center"/>
              <w:rPr>
                <w:rFonts w:ascii="Arial Narrow" w:hAnsi="Arial Narrow" w:cs="Tahoma"/>
              </w:rPr>
            </w:pPr>
          </w:p>
        </w:tc>
      </w:tr>
      <w:tr w:rsidR="00704D34" w:rsidRPr="00704D34" w14:paraId="12073778" w14:textId="77777777" w:rsidTr="00D56273">
        <w:tc>
          <w:tcPr>
            <w:tcW w:w="988" w:type="dxa"/>
            <w:tcBorders>
              <w:top w:val="nil"/>
              <w:bottom w:val="nil"/>
            </w:tcBorders>
          </w:tcPr>
          <w:p w14:paraId="278BBC0F" w14:textId="77777777" w:rsidR="00704D34" w:rsidRPr="00704D34" w:rsidRDefault="00704D34" w:rsidP="00704D34">
            <w:pPr>
              <w:keepNext/>
              <w:spacing w:after="40"/>
              <w:ind w:left="0"/>
              <w:rPr>
                <w:rFonts w:ascii="Arial Narrow" w:hAnsi="Arial Narrow" w:cs="Tahoma"/>
              </w:rPr>
            </w:pPr>
            <w:r w:rsidRPr="00704D34">
              <w:rPr>
                <w:rFonts w:ascii="Arial Narrow" w:hAnsi="Arial Narrow" w:cs="Tahoma"/>
              </w:rPr>
              <w:t>2008</w:t>
            </w:r>
          </w:p>
        </w:tc>
        <w:tc>
          <w:tcPr>
            <w:tcW w:w="2310" w:type="dxa"/>
            <w:tcBorders>
              <w:top w:val="nil"/>
            </w:tcBorders>
          </w:tcPr>
          <w:p w14:paraId="36BA65D0" w14:textId="77777777" w:rsidR="00704D34" w:rsidRPr="00704D34" w:rsidRDefault="00704D34" w:rsidP="00704D34">
            <w:pPr>
              <w:keepNext/>
              <w:spacing w:before="40" w:after="40"/>
              <w:ind w:left="0"/>
              <w:rPr>
                <w:rFonts w:ascii="Arial Narrow" w:hAnsi="Arial Narrow" w:cs="Tahoma"/>
              </w:rPr>
            </w:pPr>
            <w:r w:rsidRPr="00704D34">
              <w:rPr>
                <w:rFonts w:ascii="Arial Narrow" w:hAnsi="Arial Narrow" w:cs="Tahoma"/>
              </w:rPr>
              <w:t>≥50% reduction AND steroid daily dose &lt;10 mg/day</w:t>
            </w:r>
          </w:p>
        </w:tc>
        <w:tc>
          <w:tcPr>
            <w:tcW w:w="1704" w:type="dxa"/>
            <w:vAlign w:val="center"/>
          </w:tcPr>
          <w:p w14:paraId="27E0B8A7"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rPr>
              <w:t>24 weeks: NR (35)</w:t>
            </w:r>
          </w:p>
        </w:tc>
        <w:tc>
          <w:tcPr>
            <w:tcW w:w="4014" w:type="dxa"/>
            <w:gridSpan w:val="4"/>
            <w:tcBorders>
              <w:top w:val="nil"/>
              <w:bottom w:val="nil"/>
            </w:tcBorders>
          </w:tcPr>
          <w:p w14:paraId="73189B35" w14:textId="77777777" w:rsidR="00704D34" w:rsidRPr="00704D34" w:rsidRDefault="00704D34" w:rsidP="00704D34">
            <w:pPr>
              <w:keepNext/>
              <w:spacing w:before="40" w:after="40"/>
              <w:ind w:left="8" w:hanging="8"/>
              <w:jc w:val="center"/>
              <w:rPr>
                <w:rFonts w:ascii="Arial Narrow" w:hAnsi="Arial Narrow" w:cs="Tahoma"/>
              </w:rPr>
            </w:pPr>
            <w:r w:rsidRPr="00704D34">
              <w:rPr>
                <w:rFonts w:ascii="Arial Narrow" w:hAnsi="Arial Narrow" w:cs="Tahoma"/>
              </w:rPr>
              <w:t>NR</w:t>
            </w:r>
          </w:p>
        </w:tc>
      </w:tr>
      <w:tr w:rsidR="00704D34" w:rsidRPr="00704D34" w14:paraId="225C941F" w14:textId="77777777" w:rsidTr="00D56273">
        <w:tc>
          <w:tcPr>
            <w:tcW w:w="988" w:type="dxa"/>
            <w:tcBorders>
              <w:bottom w:val="nil"/>
            </w:tcBorders>
          </w:tcPr>
          <w:p w14:paraId="39E7A9C5" w14:textId="77777777" w:rsidR="00704D34" w:rsidRPr="00704D34" w:rsidRDefault="00704D34" w:rsidP="00704D34">
            <w:pPr>
              <w:keepNext/>
              <w:spacing w:before="40" w:after="40"/>
              <w:ind w:left="0"/>
              <w:rPr>
                <w:rFonts w:ascii="Arial Narrow" w:hAnsi="Arial Narrow" w:cs="Tahoma"/>
              </w:rPr>
            </w:pPr>
            <w:r w:rsidRPr="00704D34">
              <w:rPr>
                <w:rFonts w:ascii="Arial Narrow" w:hAnsi="Arial Narrow" w:cs="Tahoma"/>
              </w:rPr>
              <w:t>Greinix 2011</w:t>
            </w:r>
          </w:p>
        </w:tc>
        <w:tc>
          <w:tcPr>
            <w:tcW w:w="2310" w:type="dxa"/>
            <w:vAlign w:val="center"/>
          </w:tcPr>
          <w:p w14:paraId="0768C6BB" w14:textId="77777777" w:rsidR="00704D34" w:rsidRPr="00704D34" w:rsidRDefault="00704D34" w:rsidP="00704D34">
            <w:pPr>
              <w:keepNext/>
              <w:spacing w:before="40" w:after="40"/>
              <w:ind w:left="0"/>
              <w:rPr>
                <w:rFonts w:ascii="Arial Narrow" w:hAnsi="Arial Narrow" w:cs="Tahoma"/>
              </w:rPr>
            </w:pPr>
            <w:r w:rsidRPr="00704D34">
              <w:rPr>
                <w:rFonts w:ascii="Arial Narrow" w:hAnsi="Arial Narrow" w:cs="Tahoma"/>
              </w:rPr>
              <w:t>≥50% reduction</w:t>
            </w:r>
          </w:p>
        </w:tc>
        <w:tc>
          <w:tcPr>
            <w:tcW w:w="1704" w:type="dxa"/>
            <w:vAlign w:val="center"/>
          </w:tcPr>
          <w:p w14:paraId="599CB771"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rPr>
              <w:t>12 weeks 4/24 (17)</w:t>
            </w:r>
          </w:p>
          <w:p w14:paraId="6C365D23"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rPr>
              <w:t>24 weeks: 8/24 (33)</w:t>
            </w:r>
          </w:p>
        </w:tc>
        <w:tc>
          <w:tcPr>
            <w:tcW w:w="4014" w:type="dxa"/>
            <w:gridSpan w:val="4"/>
            <w:tcBorders>
              <w:bottom w:val="nil"/>
            </w:tcBorders>
            <w:vAlign w:val="bottom"/>
          </w:tcPr>
          <w:p w14:paraId="7CA007EA" w14:textId="77777777" w:rsidR="00704D34" w:rsidRPr="00704D34" w:rsidRDefault="00704D34" w:rsidP="00704D34">
            <w:pPr>
              <w:keepNext/>
              <w:spacing w:before="40" w:after="40"/>
              <w:ind w:left="8" w:hanging="8"/>
              <w:jc w:val="center"/>
              <w:rPr>
                <w:rFonts w:ascii="Arial Narrow" w:hAnsi="Arial Narrow" w:cs="Tahoma"/>
              </w:rPr>
            </w:pPr>
            <w:r w:rsidRPr="00704D34">
              <w:rPr>
                <w:rFonts w:ascii="Arial Narrow" w:hAnsi="Arial Narrow" w:cs="Tahoma"/>
              </w:rPr>
              <w:t>NR</w:t>
            </w:r>
          </w:p>
        </w:tc>
      </w:tr>
      <w:tr w:rsidR="00704D34" w:rsidRPr="00704D34" w14:paraId="517D5BBE" w14:textId="77777777" w:rsidTr="00D56273">
        <w:tc>
          <w:tcPr>
            <w:tcW w:w="988" w:type="dxa"/>
            <w:tcBorders>
              <w:top w:val="nil"/>
            </w:tcBorders>
          </w:tcPr>
          <w:p w14:paraId="54AB2355" w14:textId="77777777" w:rsidR="00704D34" w:rsidRPr="00704D34" w:rsidRDefault="00704D34" w:rsidP="00704D34">
            <w:pPr>
              <w:keepNext/>
              <w:spacing w:before="40" w:after="40"/>
              <w:ind w:left="0"/>
              <w:rPr>
                <w:rFonts w:ascii="Arial Narrow" w:hAnsi="Arial Narrow" w:cs="Tahoma"/>
              </w:rPr>
            </w:pPr>
          </w:p>
        </w:tc>
        <w:tc>
          <w:tcPr>
            <w:tcW w:w="2310" w:type="dxa"/>
          </w:tcPr>
          <w:p w14:paraId="447744F4" w14:textId="77777777" w:rsidR="00704D34" w:rsidRPr="00704D34" w:rsidRDefault="00704D34" w:rsidP="00704D34">
            <w:pPr>
              <w:keepNext/>
              <w:spacing w:before="40" w:after="40"/>
              <w:ind w:left="0"/>
              <w:rPr>
                <w:rFonts w:ascii="Arial Narrow" w:hAnsi="Arial Narrow" w:cs="Tahoma"/>
              </w:rPr>
            </w:pPr>
            <w:r w:rsidRPr="00704D34">
              <w:rPr>
                <w:rFonts w:ascii="Arial Narrow" w:hAnsi="Arial Narrow" w:cs="Tahoma"/>
              </w:rPr>
              <w:t>≥50% reduction AND steroid daily dose &lt;10 mg/day</w:t>
            </w:r>
          </w:p>
        </w:tc>
        <w:tc>
          <w:tcPr>
            <w:tcW w:w="1704" w:type="dxa"/>
            <w:vAlign w:val="center"/>
          </w:tcPr>
          <w:p w14:paraId="2E9D0CA6"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rPr>
              <w:t>12 weeks: 4/24 (17)</w:t>
            </w:r>
          </w:p>
          <w:p w14:paraId="59FB0522"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rPr>
              <w:t>24 weeks: 6/24 (25)</w:t>
            </w:r>
          </w:p>
        </w:tc>
        <w:tc>
          <w:tcPr>
            <w:tcW w:w="4014" w:type="dxa"/>
            <w:gridSpan w:val="4"/>
            <w:tcBorders>
              <w:top w:val="nil"/>
            </w:tcBorders>
            <w:vAlign w:val="center"/>
          </w:tcPr>
          <w:p w14:paraId="0E00D879" w14:textId="77777777" w:rsidR="00704D34" w:rsidRPr="00704D34" w:rsidRDefault="00704D34" w:rsidP="00704D34">
            <w:pPr>
              <w:keepNext/>
              <w:spacing w:before="40" w:after="40"/>
              <w:ind w:left="8" w:hanging="8"/>
              <w:jc w:val="center"/>
              <w:rPr>
                <w:rFonts w:ascii="Arial Narrow" w:hAnsi="Arial Narrow" w:cs="Tahoma"/>
              </w:rPr>
            </w:pPr>
          </w:p>
        </w:tc>
      </w:tr>
      <w:tr w:rsidR="00704D34" w:rsidRPr="00704D34" w14:paraId="27F813E6" w14:textId="77777777" w:rsidTr="00D56273">
        <w:tc>
          <w:tcPr>
            <w:tcW w:w="988" w:type="dxa"/>
            <w:tcBorders>
              <w:bottom w:val="nil"/>
            </w:tcBorders>
          </w:tcPr>
          <w:p w14:paraId="5135744B" w14:textId="77777777" w:rsidR="00704D34" w:rsidRPr="00704D34" w:rsidRDefault="00704D34" w:rsidP="00704D34">
            <w:pPr>
              <w:keepNext/>
              <w:spacing w:before="40" w:after="40"/>
              <w:ind w:left="0"/>
              <w:rPr>
                <w:rFonts w:ascii="Arial Narrow" w:hAnsi="Arial Narrow" w:cs="Tahoma"/>
              </w:rPr>
            </w:pPr>
            <w:r w:rsidRPr="00704D34">
              <w:rPr>
                <w:rFonts w:ascii="Arial Narrow" w:hAnsi="Arial Narrow" w:cs="Tahoma"/>
              </w:rPr>
              <w:t>RPAH SAS</w:t>
            </w:r>
          </w:p>
        </w:tc>
        <w:tc>
          <w:tcPr>
            <w:tcW w:w="4014" w:type="dxa"/>
            <w:gridSpan w:val="2"/>
            <w:tcBorders>
              <w:bottom w:val="nil"/>
            </w:tcBorders>
            <w:vAlign w:val="center"/>
          </w:tcPr>
          <w:p w14:paraId="0ABB4D25"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rPr>
              <w:t>NR</w:t>
            </w:r>
          </w:p>
        </w:tc>
        <w:tc>
          <w:tcPr>
            <w:tcW w:w="2223" w:type="dxa"/>
            <w:gridSpan w:val="2"/>
          </w:tcPr>
          <w:p w14:paraId="4E8B4D7F" w14:textId="77777777" w:rsidR="00704D34" w:rsidRPr="00704D34" w:rsidRDefault="00704D34" w:rsidP="00704D34">
            <w:pPr>
              <w:keepNext/>
              <w:spacing w:before="40" w:after="40"/>
              <w:ind w:left="8" w:hanging="8"/>
              <w:rPr>
                <w:rFonts w:ascii="Arial Narrow" w:hAnsi="Arial Narrow" w:cs="Tahoma"/>
              </w:rPr>
            </w:pPr>
            <w:r w:rsidRPr="00704D34">
              <w:rPr>
                <w:rFonts w:ascii="Arial Narrow" w:hAnsi="Arial Narrow" w:cs="Tahoma"/>
              </w:rPr>
              <w:t>Reduced</w:t>
            </w:r>
            <w:r w:rsidRPr="00704D34">
              <w:rPr>
                <w:rFonts w:ascii="Arial Narrow" w:hAnsi="Arial Narrow" w:cs="Tahoma"/>
                <w:vertAlign w:val="superscript"/>
              </w:rPr>
              <w:t>a</w:t>
            </w:r>
            <w:r w:rsidRPr="00704D34">
              <w:rPr>
                <w:rFonts w:ascii="Arial Narrow" w:hAnsi="Arial Narrow" w:cs="Tahoma"/>
              </w:rPr>
              <w:t>, n/N (%)</w:t>
            </w:r>
          </w:p>
        </w:tc>
        <w:tc>
          <w:tcPr>
            <w:tcW w:w="1791" w:type="dxa"/>
            <w:gridSpan w:val="2"/>
            <w:vAlign w:val="center"/>
          </w:tcPr>
          <w:p w14:paraId="5128DECC" w14:textId="77777777" w:rsidR="00704D34" w:rsidRPr="00704D34" w:rsidRDefault="00704D34" w:rsidP="00704D34">
            <w:pPr>
              <w:keepNext/>
              <w:spacing w:before="40" w:after="40"/>
              <w:ind w:left="8" w:hanging="8"/>
              <w:jc w:val="center"/>
              <w:rPr>
                <w:rFonts w:ascii="Arial Narrow" w:hAnsi="Arial Narrow" w:cs="Tahoma"/>
              </w:rPr>
            </w:pPr>
            <w:r w:rsidRPr="00704D34">
              <w:rPr>
                <w:rFonts w:ascii="Arial Narrow" w:hAnsi="Arial Narrow" w:cs="Tahoma"/>
              </w:rPr>
              <w:t>24/42 (52)</w:t>
            </w:r>
          </w:p>
        </w:tc>
      </w:tr>
      <w:tr w:rsidR="00704D34" w:rsidRPr="00704D34" w14:paraId="3A063C94" w14:textId="77777777" w:rsidTr="00D56273">
        <w:tc>
          <w:tcPr>
            <w:tcW w:w="988" w:type="dxa"/>
            <w:tcBorders>
              <w:top w:val="nil"/>
            </w:tcBorders>
          </w:tcPr>
          <w:p w14:paraId="73202595" w14:textId="77777777" w:rsidR="00704D34" w:rsidRPr="00704D34" w:rsidRDefault="00704D34" w:rsidP="00704D34">
            <w:pPr>
              <w:keepNext/>
              <w:spacing w:before="40" w:after="40"/>
              <w:ind w:left="0"/>
              <w:rPr>
                <w:rFonts w:ascii="Arial Narrow" w:hAnsi="Arial Narrow" w:cs="Tahoma"/>
              </w:rPr>
            </w:pPr>
          </w:p>
        </w:tc>
        <w:tc>
          <w:tcPr>
            <w:tcW w:w="4014" w:type="dxa"/>
            <w:gridSpan w:val="2"/>
            <w:tcBorders>
              <w:top w:val="nil"/>
            </w:tcBorders>
          </w:tcPr>
          <w:p w14:paraId="334ECCD3" w14:textId="77777777" w:rsidR="00704D34" w:rsidRPr="00704D34" w:rsidRDefault="00704D34" w:rsidP="00704D34">
            <w:pPr>
              <w:keepNext/>
              <w:spacing w:before="40" w:after="40"/>
              <w:ind w:left="0"/>
              <w:jc w:val="center"/>
              <w:rPr>
                <w:rFonts w:ascii="Arial Narrow" w:hAnsi="Arial Narrow" w:cs="Tahoma"/>
              </w:rPr>
            </w:pPr>
          </w:p>
        </w:tc>
        <w:tc>
          <w:tcPr>
            <w:tcW w:w="2223" w:type="dxa"/>
            <w:gridSpan w:val="2"/>
          </w:tcPr>
          <w:p w14:paraId="711492B1" w14:textId="77777777" w:rsidR="00704D34" w:rsidRPr="00704D34" w:rsidRDefault="00704D34" w:rsidP="00704D34">
            <w:pPr>
              <w:keepNext/>
              <w:spacing w:before="40" w:after="40"/>
              <w:ind w:left="8" w:hanging="8"/>
              <w:rPr>
                <w:rFonts w:ascii="Arial Narrow" w:hAnsi="Arial Narrow" w:cs="Tahoma"/>
              </w:rPr>
            </w:pPr>
            <w:r w:rsidRPr="00704D34">
              <w:rPr>
                <w:rFonts w:ascii="Arial Narrow" w:hAnsi="Arial Narrow" w:cs="Tahoma"/>
              </w:rPr>
              <w:t>Completely ceased</w:t>
            </w:r>
            <w:r w:rsidRPr="00704D34">
              <w:rPr>
                <w:rFonts w:ascii="Arial Narrow" w:hAnsi="Arial Narrow" w:cs="Tahoma"/>
                <w:vertAlign w:val="superscript"/>
              </w:rPr>
              <w:t>a</w:t>
            </w:r>
            <w:r w:rsidRPr="00704D34">
              <w:rPr>
                <w:rFonts w:ascii="Arial Narrow" w:hAnsi="Arial Narrow" w:cs="Tahoma"/>
              </w:rPr>
              <w:t>, n/N (%)</w:t>
            </w:r>
          </w:p>
        </w:tc>
        <w:tc>
          <w:tcPr>
            <w:tcW w:w="1791" w:type="dxa"/>
            <w:gridSpan w:val="2"/>
            <w:vAlign w:val="center"/>
          </w:tcPr>
          <w:p w14:paraId="3D4C7A8D" w14:textId="77777777" w:rsidR="00704D34" w:rsidRPr="00704D34" w:rsidRDefault="00704D34" w:rsidP="00704D34">
            <w:pPr>
              <w:keepNext/>
              <w:spacing w:before="40" w:after="40"/>
              <w:ind w:left="8" w:hanging="8"/>
              <w:jc w:val="center"/>
              <w:rPr>
                <w:rFonts w:ascii="Arial Narrow" w:hAnsi="Arial Narrow" w:cs="Tahoma"/>
              </w:rPr>
            </w:pPr>
            <w:r w:rsidRPr="00704D34">
              <w:rPr>
                <w:rFonts w:ascii="Arial Narrow" w:hAnsi="Arial Narrow" w:cs="Tahoma"/>
              </w:rPr>
              <w:t>4/42 (10)</w:t>
            </w:r>
          </w:p>
        </w:tc>
      </w:tr>
      <w:tr w:rsidR="00704D34" w:rsidRPr="00704D34" w14:paraId="6EC78D66" w14:textId="77777777" w:rsidTr="00D56273">
        <w:trPr>
          <w:trHeight w:val="70"/>
        </w:trPr>
        <w:tc>
          <w:tcPr>
            <w:tcW w:w="988" w:type="dxa"/>
            <w:tcBorders>
              <w:bottom w:val="nil"/>
            </w:tcBorders>
            <w:vAlign w:val="bottom"/>
          </w:tcPr>
          <w:p w14:paraId="1C4ECCF0" w14:textId="77777777" w:rsidR="00704D34" w:rsidRPr="00704D34" w:rsidRDefault="00704D34" w:rsidP="00704D34">
            <w:pPr>
              <w:keepNext/>
              <w:spacing w:before="40"/>
              <w:ind w:left="0"/>
              <w:rPr>
                <w:rFonts w:ascii="Arial Narrow" w:hAnsi="Arial Narrow" w:cs="Tahoma"/>
              </w:rPr>
            </w:pPr>
            <w:r w:rsidRPr="00704D34">
              <w:rPr>
                <w:rFonts w:ascii="Arial Narrow" w:hAnsi="Arial Narrow" w:cs="Tahoma"/>
              </w:rPr>
              <w:t>VCCC SAS</w:t>
            </w:r>
          </w:p>
        </w:tc>
        <w:tc>
          <w:tcPr>
            <w:tcW w:w="2310" w:type="dxa"/>
            <w:vAlign w:val="center"/>
          </w:tcPr>
          <w:p w14:paraId="1618DE7E" w14:textId="77777777" w:rsidR="00704D34" w:rsidRPr="00704D34" w:rsidRDefault="00704D34" w:rsidP="00704D34">
            <w:pPr>
              <w:keepNext/>
              <w:spacing w:before="40" w:after="40"/>
              <w:ind w:left="0"/>
              <w:rPr>
                <w:rFonts w:ascii="Arial Narrow" w:hAnsi="Arial Narrow" w:cs="Tahoma"/>
              </w:rPr>
            </w:pPr>
            <w:r w:rsidRPr="00704D34">
              <w:rPr>
                <w:rFonts w:ascii="Arial Narrow" w:hAnsi="Arial Narrow" w:cs="Tahoma"/>
              </w:rPr>
              <w:t xml:space="preserve">Reduced </w:t>
            </w:r>
          </w:p>
        </w:tc>
        <w:tc>
          <w:tcPr>
            <w:tcW w:w="1704" w:type="dxa"/>
            <w:vAlign w:val="center"/>
          </w:tcPr>
          <w:p w14:paraId="531C504E"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i/>
                <w:iCs/>
              </w:rPr>
              <w:t>25</w:t>
            </w:r>
            <w:r w:rsidRPr="00704D34">
              <w:rPr>
                <w:rFonts w:ascii="Arial Narrow" w:hAnsi="Arial Narrow" w:cs="Tahoma"/>
              </w:rPr>
              <w:t>/33 (7</w:t>
            </w:r>
            <w:r w:rsidRPr="00704D34">
              <w:rPr>
                <w:rFonts w:ascii="Arial Narrow" w:hAnsi="Arial Narrow" w:cs="Tahoma"/>
                <w:i/>
                <w:iCs/>
              </w:rPr>
              <w:t>6</w:t>
            </w:r>
            <w:r w:rsidRPr="00704D34">
              <w:rPr>
                <w:rFonts w:ascii="Arial Narrow" w:hAnsi="Arial Narrow" w:cs="Tahoma"/>
              </w:rPr>
              <w:t>)</w:t>
            </w:r>
          </w:p>
        </w:tc>
        <w:tc>
          <w:tcPr>
            <w:tcW w:w="4014" w:type="dxa"/>
            <w:gridSpan w:val="4"/>
            <w:tcBorders>
              <w:bottom w:val="nil"/>
            </w:tcBorders>
            <w:vAlign w:val="center"/>
          </w:tcPr>
          <w:p w14:paraId="00419396" w14:textId="77777777" w:rsidR="00704D34" w:rsidRPr="00704D34" w:rsidRDefault="00704D34" w:rsidP="00704D34">
            <w:pPr>
              <w:keepNext/>
              <w:spacing w:before="40" w:after="40"/>
              <w:ind w:left="8" w:hanging="8"/>
              <w:jc w:val="center"/>
              <w:rPr>
                <w:rFonts w:ascii="Arial Narrow" w:hAnsi="Arial Narrow" w:cs="Tahoma"/>
              </w:rPr>
            </w:pPr>
          </w:p>
        </w:tc>
      </w:tr>
      <w:tr w:rsidR="00704D34" w:rsidRPr="00704D34" w14:paraId="108D7A13" w14:textId="77777777" w:rsidTr="00D56273">
        <w:tc>
          <w:tcPr>
            <w:tcW w:w="988" w:type="dxa"/>
            <w:tcBorders>
              <w:top w:val="nil"/>
              <w:bottom w:val="nil"/>
            </w:tcBorders>
          </w:tcPr>
          <w:p w14:paraId="78886CD3" w14:textId="77777777" w:rsidR="00704D34" w:rsidRPr="00704D34" w:rsidRDefault="00704D34" w:rsidP="00704D34">
            <w:pPr>
              <w:keepNext/>
              <w:spacing w:after="40"/>
              <w:ind w:left="0"/>
              <w:rPr>
                <w:rFonts w:ascii="Arial Narrow" w:hAnsi="Arial Narrow" w:cs="Tahoma"/>
              </w:rPr>
            </w:pPr>
            <w:r w:rsidRPr="00704D34">
              <w:rPr>
                <w:rFonts w:ascii="Arial Narrow" w:hAnsi="Arial Narrow" w:cs="Tahoma"/>
              </w:rPr>
              <w:t>Adults</w:t>
            </w:r>
          </w:p>
        </w:tc>
        <w:tc>
          <w:tcPr>
            <w:tcW w:w="2310" w:type="dxa"/>
            <w:vAlign w:val="center"/>
          </w:tcPr>
          <w:p w14:paraId="24C3E319" w14:textId="77777777" w:rsidR="00704D34" w:rsidRPr="00704D34" w:rsidRDefault="00704D34" w:rsidP="00704D34">
            <w:pPr>
              <w:keepNext/>
              <w:spacing w:before="40" w:after="40"/>
              <w:ind w:left="0"/>
              <w:rPr>
                <w:rFonts w:ascii="Arial Narrow" w:hAnsi="Arial Narrow" w:cs="Tahoma"/>
              </w:rPr>
            </w:pPr>
            <w:r w:rsidRPr="00704D34">
              <w:rPr>
                <w:rFonts w:ascii="Arial Narrow" w:hAnsi="Arial Narrow" w:cs="Tahoma"/>
              </w:rPr>
              <w:t>Reduced by 100%</w:t>
            </w:r>
          </w:p>
        </w:tc>
        <w:tc>
          <w:tcPr>
            <w:tcW w:w="1704" w:type="dxa"/>
            <w:vAlign w:val="center"/>
          </w:tcPr>
          <w:p w14:paraId="09EC0715"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i/>
                <w:iCs/>
              </w:rPr>
              <w:t>5</w:t>
            </w:r>
            <w:r w:rsidRPr="00704D34">
              <w:rPr>
                <w:rFonts w:ascii="Arial Narrow" w:hAnsi="Arial Narrow" w:cs="Tahoma"/>
              </w:rPr>
              <w:t>/33 (</w:t>
            </w:r>
            <w:r w:rsidRPr="00704D34">
              <w:rPr>
                <w:rFonts w:ascii="Arial Narrow" w:hAnsi="Arial Narrow" w:cs="Tahoma"/>
                <w:i/>
                <w:iCs/>
              </w:rPr>
              <w:t>15</w:t>
            </w:r>
            <w:r w:rsidRPr="00704D34">
              <w:rPr>
                <w:rFonts w:ascii="Arial Narrow" w:hAnsi="Arial Narrow" w:cs="Tahoma"/>
              </w:rPr>
              <w:t>)</w:t>
            </w:r>
          </w:p>
        </w:tc>
        <w:tc>
          <w:tcPr>
            <w:tcW w:w="4014" w:type="dxa"/>
            <w:gridSpan w:val="4"/>
            <w:tcBorders>
              <w:top w:val="nil"/>
              <w:bottom w:val="nil"/>
            </w:tcBorders>
          </w:tcPr>
          <w:p w14:paraId="3ED871AB" w14:textId="77777777" w:rsidR="00704D34" w:rsidRPr="00704D34" w:rsidRDefault="00704D34" w:rsidP="00704D34">
            <w:pPr>
              <w:keepNext/>
              <w:spacing w:before="40" w:after="40"/>
              <w:ind w:left="8" w:hanging="8"/>
              <w:jc w:val="center"/>
              <w:rPr>
                <w:rFonts w:ascii="Arial Narrow" w:hAnsi="Arial Narrow" w:cs="Tahoma"/>
              </w:rPr>
            </w:pPr>
          </w:p>
        </w:tc>
      </w:tr>
      <w:tr w:rsidR="00704D34" w:rsidRPr="00704D34" w14:paraId="2BFD9AD7" w14:textId="77777777" w:rsidTr="00D56273">
        <w:tc>
          <w:tcPr>
            <w:tcW w:w="988" w:type="dxa"/>
            <w:tcBorders>
              <w:top w:val="nil"/>
              <w:bottom w:val="nil"/>
            </w:tcBorders>
          </w:tcPr>
          <w:p w14:paraId="1E90F349" w14:textId="77777777" w:rsidR="00704D34" w:rsidRPr="00704D34" w:rsidRDefault="00704D34" w:rsidP="00704D34">
            <w:pPr>
              <w:keepNext/>
              <w:spacing w:before="40" w:after="40"/>
              <w:ind w:left="0"/>
              <w:rPr>
                <w:rFonts w:ascii="Arial Narrow" w:hAnsi="Arial Narrow" w:cs="Tahoma"/>
              </w:rPr>
            </w:pPr>
          </w:p>
        </w:tc>
        <w:tc>
          <w:tcPr>
            <w:tcW w:w="2310" w:type="dxa"/>
            <w:vAlign w:val="center"/>
          </w:tcPr>
          <w:p w14:paraId="39D1FCD4" w14:textId="77777777" w:rsidR="00704D34" w:rsidRPr="00704D34" w:rsidRDefault="00704D34" w:rsidP="00704D34">
            <w:pPr>
              <w:keepNext/>
              <w:spacing w:before="40" w:after="40"/>
              <w:ind w:left="0"/>
              <w:rPr>
                <w:rFonts w:ascii="Arial Narrow" w:hAnsi="Arial Narrow" w:cs="Tahoma"/>
              </w:rPr>
            </w:pPr>
            <w:r w:rsidRPr="00704D34">
              <w:rPr>
                <w:rFonts w:ascii="Arial Narrow" w:hAnsi="Arial Narrow" w:cs="Tahoma"/>
              </w:rPr>
              <w:t>Reduced by ≥75%</w:t>
            </w:r>
            <w:r w:rsidRPr="00704D34">
              <w:rPr>
                <w:rFonts w:ascii="Arial Narrow" w:hAnsi="Arial Narrow" w:cs="Tahoma"/>
                <w:i/>
                <w:iCs/>
              </w:rPr>
              <w:t>-&lt;100%</w:t>
            </w:r>
          </w:p>
        </w:tc>
        <w:tc>
          <w:tcPr>
            <w:tcW w:w="1704" w:type="dxa"/>
            <w:vAlign w:val="center"/>
          </w:tcPr>
          <w:p w14:paraId="47DD2B87"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rPr>
              <w:t>9/33 (27)</w:t>
            </w:r>
          </w:p>
        </w:tc>
        <w:tc>
          <w:tcPr>
            <w:tcW w:w="4014" w:type="dxa"/>
            <w:gridSpan w:val="4"/>
            <w:tcBorders>
              <w:top w:val="nil"/>
              <w:bottom w:val="nil"/>
            </w:tcBorders>
          </w:tcPr>
          <w:p w14:paraId="0ADBC412" w14:textId="77777777" w:rsidR="00704D34" w:rsidRPr="00704D34" w:rsidRDefault="00704D34" w:rsidP="00704D34">
            <w:pPr>
              <w:keepNext/>
              <w:spacing w:before="40" w:after="40"/>
              <w:ind w:left="8" w:hanging="8"/>
              <w:jc w:val="center"/>
              <w:rPr>
                <w:rFonts w:ascii="Arial Narrow" w:hAnsi="Arial Narrow" w:cs="Tahoma"/>
              </w:rPr>
            </w:pPr>
            <w:r w:rsidRPr="00704D34">
              <w:rPr>
                <w:rFonts w:ascii="Arial Narrow" w:hAnsi="Arial Narrow" w:cs="Tahoma"/>
              </w:rPr>
              <w:t>NR</w:t>
            </w:r>
          </w:p>
        </w:tc>
      </w:tr>
      <w:tr w:rsidR="00704D34" w:rsidRPr="00704D34" w14:paraId="235B5AAE" w14:textId="77777777" w:rsidTr="00D56273">
        <w:tc>
          <w:tcPr>
            <w:tcW w:w="988" w:type="dxa"/>
            <w:tcBorders>
              <w:top w:val="nil"/>
              <w:bottom w:val="nil"/>
            </w:tcBorders>
          </w:tcPr>
          <w:p w14:paraId="3B29FBB4" w14:textId="77777777" w:rsidR="00704D34" w:rsidRPr="00704D34" w:rsidRDefault="00704D34" w:rsidP="00704D34">
            <w:pPr>
              <w:keepNext/>
              <w:spacing w:before="40" w:after="40"/>
              <w:ind w:left="0"/>
              <w:rPr>
                <w:rFonts w:ascii="Arial Narrow" w:hAnsi="Arial Narrow" w:cs="Tahoma"/>
              </w:rPr>
            </w:pPr>
          </w:p>
        </w:tc>
        <w:tc>
          <w:tcPr>
            <w:tcW w:w="2310" w:type="dxa"/>
            <w:vAlign w:val="center"/>
          </w:tcPr>
          <w:p w14:paraId="54A9FAD0" w14:textId="77777777" w:rsidR="00704D34" w:rsidRPr="00704D34" w:rsidRDefault="00704D34" w:rsidP="00704D34">
            <w:pPr>
              <w:keepNext/>
              <w:spacing w:before="40" w:after="40"/>
              <w:ind w:left="0"/>
              <w:rPr>
                <w:rFonts w:ascii="Arial Narrow" w:hAnsi="Arial Narrow" w:cs="Tahoma"/>
                <w:i/>
                <w:iCs/>
              </w:rPr>
            </w:pPr>
            <w:r w:rsidRPr="00704D34">
              <w:rPr>
                <w:rFonts w:ascii="Arial Narrow" w:hAnsi="Arial Narrow" w:cs="Tahoma"/>
              </w:rPr>
              <w:t>Reduced by ≥50%</w:t>
            </w:r>
            <w:r w:rsidRPr="00704D34">
              <w:rPr>
                <w:rFonts w:ascii="Arial Narrow" w:hAnsi="Arial Narrow" w:cs="Tahoma"/>
                <w:i/>
                <w:iCs/>
              </w:rPr>
              <w:t>-&lt;75%</w:t>
            </w:r>
          </w:p>
        </w:tc>
        <w:tc>
          <w:tcPr>
            <w:tcW w:w="1704" w:type="dxa"/>
            <w:vAlign w:val="center"/>
          </w:tcPr>
          <w:p w14:paraId="1807CFE9"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rPr>
              <w:t>7/33 (21)</w:t>
            </w:r>
          </w:p>
        </w:tc>
        <w:tc>
          <w:tcPr>
            <w:tcW w:w="4014" w:type="dxa"/>
            <w:gridSpan w:val="4"/>
            <w:tcBorders>
              <w:top w:val="nil"/>
              <w:bottom w:val="nil"/>
            </w:tcBorders>
          </w:tcPr>
          <w:p w14:paraId="7EBFE905" w14:textId="77777777" w:rsidR="00704D34" w:rsidRPr="00704D34" w:rsidRDefault="00704D34" w:rsidP="00704D34">
            <w:pPr>
              <w:keepNext/>
              <w:spacing w:before="40" w:after="40"/>
              <w:ind w:left="8" w:hanging="8"/>
              <w:jc w:val="center"/>
              <w:rPr>
                <w:rFonts w:ascii="Arial Narrow" w:hAnsi="Arial Narrow" w:cs="Tahoma"/>
              </w:rPr>
            </w:pPr>
          </w:p>
        </w:tc>
      </w:tr>
      <w:tr w:rsidR="00704D34" w:rsidRPr="00704D34" w14:paraId="28816536" w14:textId="77777777" w:rsidTr="00D56273">
        <w:tc>
          <w:tcPr>
            <w:tcW w:w="988" w:type="dxa"/>
            <w:tcBorders>
              <w:top w:val="nil"/>
              <w:bottom w:val="nil"/>
            </w:tcBorders>
          </w:tcPr>
          <w:p w14:paraId="02B2946A" w14:textId="77777777" w:rsidR="00704D34" w:rsidRPr="00704D34" w:rsidRDefault="00704D34" w:rsidP="00704D34">
            <w:pPr>
              <w:keepNext/>
              <w:spacing w:before="40" w:after="40"/>
              <w:ind w:left="0"/>
              <w:rPr>
                <w:rFonts w:ascii="Arial Narrow" w:hAnsi="Arial Narrow" w:cs="Tahoma"/>
              </w:rPr>
            </w:pPr>
          </w:p>
        </w:tc>
        <w:tc>
          <w:tcPr>
            <w:tcW w:w="2310" w:type="dxa"/>
            <w:vAlign w:val="center"/>
          </w:tcPr>
          <w:p w14:paraId="17F459C3" w14:textId="77777777" w:rsidR="00704D34" w:rsidRPr="00704D34" w:rsidRDefault="00704D34" w:rsidP="00704D34">
            <w:pPr>
              <w:keepNext/>
              <w:spacing w:before="40" w:after="40"/>
              <w:ind w:left="0"/>
              <w:rPr>
                <w:rFonts w:ascii="Arial Narrow" w:hAnsi="Arial Narrow" w:cs="Tahoma"/>
              </w:rPr>
            </w:pPr>
            <w:r w:rsidRPr="00704D34">
              <w:rPr>
                <w:rFonts w:ascii="Arial Narrow" w:hAnsi="Arial Narrow" w:cs="Tahoma"/>
              </w:rPr>
              <w:t xml:space="preserve">Reduced by </w:t>
            </w:r>
            <w:r w:rsidRPr="00704D34">
              <w:rPr>
                <w:rFonts w:ascii="Arial Narrow" w:hAnsi="Arial Narrow" w:cs="Tahoma"/>
                <w:i/>
                <w:iCs/>
              </w:rPr>
              <w:t>≥1%-</w:t>
            </w:r>
            <w:r w:rsidRPr="00704D34">
              <w:rPr>
                <w:rFonts w:ascii="Arial Narrow" w:hAnsi="Arial Narrow" w:cs="Tahoma"/>
              </w:rPr>
              <w:t>&lt;50%</w:t>
            </w:r>
          </w:p>
        </w:tc>
        <w:tc>
          <w:tcPr>
            <w:tcW w:w="1704" w:type="dxa"/>
            <w:vAlign w:val="center"/>
          </w:tcPr>
          <w:p w14:paraId="14244A9D"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i/>
                <w:iCs/>
              </w:rPr>
              <w:t>4</w:t>
            </w:r>
            <w:r w:rsidRPr="00704D34">
              <w:rPr>
                <w:rFonts w:ascii="Arial Narrow" w:hAnsi="Arial Narrow" w:cs="Tahoma"/>
              </w:rPr>
              <w:t>/33 (</w:t>
            </w:r>
            <w:r w:rsidRPr="00704D34">
              <w:rPr>
                <w:rFonts w:ascii="Arial Narrow" w:hAnsi="Arial Narrow" w:cs="Tahoma"/>
                <w:i/>
                <w:iCs/>
              </w:rPr>
              <w:t>36</w:t>
            </w:r>
            <w:r w:rsidRPr="00704D34">
              <w:rPr>
                <w:rFonts w:ascii="Arial Narrow" w:hAnsi="Arial Narrow" w:cs="Tahoma"/>
              </w:rPr>
              <w:t>)</w:t>
            </w:r>
          </w:p>
        </w:tc>
        <w:tc>
          <w:tcPr>
            <w:tcW w:w="4014" w:type="dxa"/>
            <w:gridSpan w:val="4"/>
            <w:tcBorders>
              <w:top w:val="nil"/>
              <w:bottom w:val="nil"/>
            </w:tcBorders>
          </w:tcPr>
          <w:p w14:paraId="4F4F1910" w14:textId="77777777" w:rsidR="00704D34" w:rsidRPr="00704D34" w:rsidRDefault="00704D34" w:rsidP="00704D34">
            <w:pPr>
              <w:keepNext/>
              <w:spacing w:before="40" w:after="40"/>
              <w:ind w:left="8" w:hanging="8"/>
              <w:jc w:val="center"/>
              <w:rPr>
                <w:rFonts w:ascii="Arial Narrow" w:hAnsi="Arial Narrow" w:cs="Tahoma"/>
              </w:rPr>
            </w:pPr>
          </w:p>
        </w:tc>
      </w:tr>
      <w:tr w:rsidR="00704D34" w:rsidRPr="00704D34" w14:paraId="04338897" w14:textId="77777777" w:rsidTr="00D56273">
        <w:tc>
          <w:tcPr>
            <w:tcW w:w="988" w:type="dxa"/>
            <w:tcBorders>
              <w:top w:val="nil"/>
            </w:tcBorders>
          </w:tcPr>
          <w:p w14:paraId="07149FC3" w14:textId="77777777" w:rsidR="00704D34" w:rsidRPr="00704D34" w:rsidRDefault="00704D34" w:rsidP="00704D34">
            <w:pPr>
              <w:keepNext/>
              <w:spacing w:before="40" w:after="40"/>
              <w:ind w:left="0"/>
              <w:rPr>
                <w:rFonts w:ascii="Arial Narrow" w:hAnsi="Arial Narrow" w:cs="Tahoma"/>
              </w:rPr>
            </w:pPr>
          </w:p>
        </w:tc>
        <w:tc>
          <w:tcPr>
            <w:tcW w:w="4014" w:type="dxa"/>
            <w:gridSpan w:val="2"/>
            <w:vAlign w:val="center"/>
          </w:tcPr>
          <w:p w14:paraId="3D41B8D5"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rPr>
              <w:t>Median change from baseline: 17.5 mg (±18.6)</w:t>
            </w:r>
          </w:p>
        </w:tc>
        <w:tc>
          <w:tcPr>
            <w:tcW w:w="4014" w:type="dxa"/>
            <w:gridSpan w:val="4"/>
            <w:tcBorders>
              <w:top w:val="nil"/>
            </w:tcBorders>
          </w:tcPr>
          <w:p w14:paraId="1D5C97AD" w14:textId="77777777" w:rsidR="00704D34" w:rsidRPr="00704D34" w:rsidRDefault="00704D34" w:rsidP="00704D34">
            <w:pPr>
              <w:keepNext/>
              <w:spacing w:before="40" w:after="40"/>
              <w:ind w:left="8" w:hanging="8"/>
              <w:jc w:val="center"/>
              <w:rPr>
                <w:rFonts w:ascii="Arial Narrow" w:hAnsi="Arial Narrow" w:cs="Tahoma"/>
              </w:rPr>
            </w:pPr>
          </w:p>
        </w:tc>
      </w:tr>
      <w:tr w:rsidR="00704D34" w:rsidRPr="00704D34" w14:paraId="03B4574A" w14:textId="77777777" w:rsidTr="00D56273">
        <w:tc>
          <w:tcPr>
            <w:tcW w:w="988" w:type="dxa"/>
            <w:tcBorders>
              <w:bottom w:val="nil"/>
            </w:tcBorders>
          </w:tcPr>
          <w:p w14:paraId="480BB9EF" w14:textId="77777777" w:rsidR="00704D34" w:rsidRPr="00704D34" w:rsidRDefault="00704D34" w:rsidP="00704D34">
            <w:pPr>
              <w:keepNext/>
              <w:spacing w:before="40"/>
              <w:ind w:left="0"/>
              <w:rPr>
                <w:rFonts w:ascii="Arial Narrow" w:hAnsi="Arial Narrow" w:cs="Tahoma"/>
              </w:rPr>
            </w:pPr>
            <w:r w:rsidRPr="00704D34">
              <w:rPr>
                <w:rFonts w:ascii="Arial Narrow" w:hAnsi="Arial Narrow" w:cs="Tahoma"/>
              </w:rPr>
              <w:t>VCCC SAS</w:t>
            </w:r>
          </w:p>
        </w:tc>
        <w:tc>
          <w:tcPr>
            <w:tcW w:w="2310" w:type="dxa"/>
            <w:vAlign w:val="center"/>
          </w:tcPr>
          <w:p w14:paraId="04E8DEB1" w14:textId="77777777" w:rsidR="00704D34" w:rsidRPr="00704D34" w:rsidRDefault="00704D34" w:rsidP="00704D34">
            <w:pPr>
              <w:keepNext/>
              <w:spacing w:before="40" w:after="40"/>
              <w:ind w:left="0"/>
              <w:rPr>
                <w:rFonts w:ascii="Arial Narrow" w:hAnsi="Arial Narrow" w:cs="Tahoma"/>
              </w:rPr>
            </w:pPr>
            <w:r w:rsidRPr="00704D34">
              <w:rPr>
                <w:rFonts w:ascii="Arial Narrow" w:hAnsi="Arial Narrow" w:cs="Tahoma"/>
              </w:rPr>
              <w:t xml:space="preserve">Reduced </w:t>
            </w:r>
          </w:p>
        </w:tc>
        <w:tc>
          <w:tcPr>
            <w:tcW w:w="1704" w:type="dxa"/>
            <w:vAlign w:val="center"/>
          </w:tcPr>
          <w:p w14:paraId="74B3F01C"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i/>
                <w:iCs/>
              </w:rPr>
              <w:t>11</w:t>
            </w:r>
            <w:r w:rsidRPr="00704D34">
              <w:rPr>
                <w:rFonts w:ascii="Arial Narrow" w:hAnsi="Arial Narrow" w:cs="Tahoma"/>
              </w:rPr>
              <w:t>/</w:t>
            </w:r>
            <w:r w:rsidRPr="00704D34">
              <w:rPr>
                <w:rFonts w:ascii="Arial Narrow" w:hAnsi="Arial Narrow" w:cs="Tahoma"/>
                <w:i/>
                <w:iCs/>
              </w:rPr>
              <w:t>11</w:t>
            </w:r>
            <w:r w:rsidRPr="00704D34">
              <w:rPr>
                <w:rFonts w:ascii="Arial Narrow" w:hAnsi="Arial Narrow" w:cs="Tahoma"/>
              </w:rPr>
              <w:t xml:space="preserve"> (</w:t>
            </w:r>
            <w:r w:rsidRPr="00704D34">
              <w:rPr>
                <w:rFonts w:ascii="Arial Narrow" w:hAnsi="Arial Narrow" w:cs="Tahoma"/>
                <w:i/>
                <w:iCs/>
              </w:rPr>
              <w:t>100</w:t>
            </w:r>
            <w:r w:rsidRPr="00704D34">
              <w:rPr>
                <w:rFonts w:ascii="Arial Narrow" w:hAnsi="Arial Narrow" w:cs="Tahoma"/>
              </w:rPr>
              <w:t>)</w:t>
            </w:r>
          </w:p>
        </w:tc>
        <w:tc>
          <w:tcPr>
            <w:tcW w:w="4014" w:type="dxa"/>
            <w:gridSpan w:val="4"/>
            <w:tcBorders>
              <w:bottom w:val="nil"/>
            </w:tcBorders>
            <w:vAlign w:val="center"/>
          </w:tcPr>
          <w:p w14:paraId="360F4AC6" w14:textId="77777777" w:rsidR="00704D34" w:rsidRPr="00704D34" w:rsidRDefault="00704D34" w:rsidP="00704D34">
            <w:pPr>
              <w:keepNext/>
              <w:spacing w:before="40" w:after="40"/>
              <w:ind w:left="8" w:hanging="8"/>
              <w:jc w:val="center"/>
              <w:rPr>
                <w:rFonts w:ascii="Arial Narrow" w:hAnsi="Arial Narrow" w:cs="Tahoma"/>
              </w:rPr>
            </w:pPr>
          </w:p>
        </w:tc>
      </w:tr>
      <w:tr w:rsidR="00704D34" w:rsidRPr="00704D34" w14:paraId="1C9932F8" w14:textId="77777777" w:rsidTr="00D56273">
        <w:tc>
          <w:tcPr>
            <w:tcW w:w="988" w:type="dxa"/>
            <w:tcBorders>
              <w:top w:val="nil"/>
              <w:bottom w:val="nil"/>
            </w:tcBorders>
          </w:tcPr>
          <w:p w14:paraId="38855EB1" w14:textId="77777777" w:rsidR="00704D34" w:rsidRPr="00704D34" w:rsidRDefault="00704D34" w:rsidP="00704D34">
            <w:pPr>
              <w:keepNext/>
              <w:spacing w:after="40"/>
              <w:ind w:left="0"/>
              <w:rPr>
                <w:rFonts w:ascii="Arial Narrow" w:hAnsi="Arial Narrow" w:cs="Tahoma"/>
              </w:rPr>
            </w:pPr>
            <w:r w:rsidRPr="00704D34">
              <w:rPr>
                <w:rFonts w:ascii="Arial Narrow" w:hAnsi="Arial Narrow" w:cs="Tahoma"/>
              </w:rPr>
              <w:t>Paediatrics</w:t>
            </w:r>
          </w:p>
        </w:tc>
        <w:tc>
          <w:tcPr>
            <w:tcW w:w="2310" w:type="dxa"/>
            <w:vAlign w:val="center"/>
          </w:tcPr>
          <w:p w14:paraId="6F8E779A" w14:textId="77777777" w:rsidR="00704D34" w:rsidRPr="00704D34" w:rsidRDefault="00704D34" w:rsidP="00704D34">
            <w:pPr>
              <w:keepNext/>
              <w:spacing w:before="40" w:after="40"/>
              <w:ind w:left="0"/>
              <w:rPr>
                <w:rFonts w:ascii="Arial Narrow" w:hAnsi="Arial Narrow" w:cs="Tahoma"/>
              </w:rPr>
            </w:pPr>
            <w:r w:rsidRPr="00704D34">
              <w:rPr>
                <w:rFonts w:ascii="Arial Narrow" w:hAnsi="Arial Narrow" w:cs="Tahoma"/>
              </w:rPr>
              <w:t>Reduced by 100%</w:t>
            </w:r>
          </w:p>
        </w:tc>
        <w:tc>
          <w:tcPr>
            <w:tcW w:w="1704" w:type="dxa"/>
            <w:vAlign w:val="center"/>
          </w:tcPr>
          <w:p w14:paraId="478F3DD7"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i/>
                <w:iCs/>
              </w:rPr>
              <w:t>4</w:t>
            </w:r>
            <w:r w:rsidRPr="00704D34">
              <w:rPr>
                <w:rFonts w:ascii="Arial Narrow" w:hAnsi="Arial Narrow" w:cs="Tahoma"/>
              </w:rPr>
              <w:t>/</w:t>
            </w:r>
            <w:r w:rsidRPr="00704D34">
              <w:rPr>
                <w:rFonts w:ascii="Arial Narrow" w:hAnsi="Arial Narrow" w:cs="Tahoma"/>
                <w:i/>
                <w:iCs/>
              </w:rPr>
              <w:t>11</w:t>
            </w:r>
            <w:r w:rsidRPr="00704D34">
              <w:rPr>
                <w:rFonts w:ascii="Arial Narrow" w:hAnsi="Arial Narrow" w:cs="Tahoma"/>
              </w:rPr>
              <w:t xml:space="preserve"> (</w:t>
            </w:r>
            <w:r w:rsidRPr="00704D34">
              <w:rPr>
                <w:rFonts w:ascii="Arial Narrow" w:hAnsi="Arial Narrow" w:cs="Tahoma"/>
                <w:i/>
                <w:iCs/>
              </w:rPr>
              <w:t>36</w:t>
            </w:r>
            <w:r w:rsidRPr="00704D34">
              <w:rPr>
                <w:rFonts w:ascii="Arial Narrow" w:hAnsi="Arial Narrow" w:cs="Tahoma"/>
              </w:rPr>
              <w:t>)</w:t>
            </w:r>
          </w:p>
        </w:tc>
        <w:tc>
          <w:tcPr>
            <w:tcW w:w="4014" w:type="dxa"/>
            <w:gridSpan w:val="4"/>
            <w:tcBorders>
              <w:top w:val="nil"/>
              <w:bottom w:val="nil"/>
            </w:tcBorders>
          </w:tcPr>
          <w:p w14:paraId="5D443459" w14:textId="77777777" w:rsidR="00704D34" w:rsidRPr="00704D34" w:rsidRDefault="00704D34" w:rsidP="00704D34">
            <w:pPr>
              <w:keepNext/>
              <w:spacing w:before="40" w:after="40"/>
              <w:ind w:left="8" w:hanging="8"/>
              <w:jc w:val="center"/>
              <w:rPr>
                <w:rFonts w:ascii="Arial Narrow" w:hAnsi="Arial Narrow" w:cs="Tahoma"/>
              </w:rPr>
            </w:pPr>
          </w:p>
        </w:tc>
      </w:tr>
      <w:tr w:rsidR="00704D34" w:rsidRPr="00704D34" w14:paraId="5FF95C6F" w14:textId="77777777" w:rsidTr="00D56273">
        <w:tc>
          <w:tcPr>
            <w:tcW w:w="988" w:type="dxa"/>
            <w:tcBorders>
              <w:top w:val="nil"/>
              <w:bottom w:val="nil"/>
            </w:tcBorders>
          </w:tcPr>
          <w:p w14:paraId="3C451881" w14:textId="77777777" w:rsidR="00704D34" w:rsidRPr="00704D34" w:rsidRDefault="00704D34" w:rsidP="00704D34">
            <w:pPr>
              <w:keepNext/>
              <w:spacing w:before="40" w:after="40"/>
              <w:ind w:left="0"/>
              <w:rPr>
                <w:rFonts w:ascii="Arial Narrow" w:hAnsi="Arial Narrow" w:cs="Tahoma"/>
              </w:rPr>
            </w:pPr>
          </w:p>
        </w:tc>
        <w:tc>
          <w:tcPr>
            <w:tcW w:w="2310" w:type="dxa"/>
            <w:vAlign w:val="center"/>
          </w:tcPr>
          <w:p w14:paraId="41C9E07C" w14:textId="77777777" w:rsidR="00704D34" w:rsidRPr="00704D34" w:rsidRDefault="00704D34" w:rsidP="00704D34">
            <w:pPr>
              <w:keepNext/>
              <w:spacing w:before="40" w:after="40"/>
              <w:ind w:left="0"/>
              <w:rPr>
                <w:rFonts w:ascii="Arial Narrow" w:hAnsi="Arial Narrow" w:cs="Tahoma"/>
              </w:rPr>
            </w:pPr>
            <w:r w:rsidRPr="00704D34">
              <w:rPr>
                <w:rFonts w:ascii="Arial Narrow" w:hAnsi="Arial Narrow" w:cs="Tahoma"/>
              </w:rPr>
              <w:t>Reduced by ≥75%</w:t>
            </w:r>
            <w:r w:rsidRPr="00704D34">
              <w:rPr>
                <w:rFonts w:ascii="Arial Narrow" w:hAnsi="Arial Narrow" w:cs="Tahoma"/>
                <w:i/>
                <w:iCs/>
              </w:rPr>
              <w:t>-&lt;100%</w:t>
            </w:r>
          </w:p>
        </w:tc>
        <w:tc>
          <w:tcPr>
            <w:tcW w:w="1704" w:type="dxa"/>
            <w:vAlign w:val="center"/>
          </w:tcPr>
          <w:p w14:paraId="78B5C3CB"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i/>
                <w:iCs/>
              </w:rPr>
              <w:t>0/11</w:t>
            </w:r>
            <w:r w:rsidRPr="00704D34">
              <w:rPr>
                <w:rFonts w:ascii="Arial Narrow" w:hAnsi="Arial Narrow" w:cs="Tahoma"/>
              </w:rPr>
              <w:t xml:space="preserve"> (</w:t>
            </w:r>
            <w:r w:rsidRPr="00704D34">
              <w:rPr>
                <w:rFonts w:ascii="Arial Narrow" w:hAnsi="Arial Narrow" w:cs="Tahoma"/>
                <w:i/>
                <w:iCs/>
              </w:rPr>
              <w:t>0</w:t>
            </w:r>
            <w:r w:rsidRPr="00704D34">
              <w:rPr>
                <w:rFonts w:ascii="Arial Narrow" w:hAnsi="Arial Narrow" w:cs="Tahoma"/>
              </w:rPr>
              <w:t>)</w:t>
            </w:r>
          </w:p>
        </w:tc>
        <w:tc>
          <w:tcPr>
            <w:tcW w:w="4014" w:type="dxa"/>
            <w:gridSpan w:val="4"/>
            <w:tcBorders>
              <w:top w:val="nil"/>
              <w:bottom w:val="nil"/>
            </w:tcBorders>
          </w:tcPr>
          <w:p w14:paraId="70253F46" w14:textId="77777777" w:rsidR="00704D34" w:rsidRPr="00704D34" w:rsidRDefault="00704D34" w:rsidP="00704D34">
            <w:pPr>
              <w:keepNext/>
              <w:spacing w:before="40" w:after="40"/>
              <w:ind w:left="8" w:hanging="8"/>
              <w:jc w:val="center"/>
              <w:rPr>
                <w:rFonts w:ascii="Arial Narrow" w:hAnsi="Arial Narrow" w:cs="Tahoma"/>
              </w:rPr>
            </w:pPr>
            <w:r w:rsidRPr="00704D34">
              <w:rPr>
                <w:rFonts w:ascii="Arial Narrow" w:hAnsi="Arial Narrow" w:cs="Tahoma"/>
              </w:rPr>
              <w:t>NR</w:t>
            </w:r>
          </w:p>
        </w:tc>
      </w:tr>
      <w:tr w:rsidR="00704D34" w:rsidRPr="00704D34" w14:paraId="371F4B51" w14:textId="77777777" w:rsidTr="00D56273">
        <w:tc>
          <w:tcPr>
            <w:tcW w:w="988" w:type="dxa"/>
            <w:tcBorders>
              <w:top w:val="nil"/>
              <w:bottom w:val="nil"/>
            </w:tcBorders>
          </w:tcPr>
          <w:p w14:paraId="7C5BFFD6" w14:textId="77777777" w:rsidR="00704D34" w:rsidRPr="00704D34" w:rsidRDefault="00704D34" w:rsidP="00704D34">
            <w:pPr>
              <w:keepNext/>
              <w:spacing w:before="40" w:after="40"/>
              <w:ind w:left="0"/>
              <w:rPr>
                <w:rFonts w:ascii="Arial Narrow" w:hAnsi="Arial Narrow" w:cs="Tahoma"/>
              </w:rPr>
            </w:pPr>
          </w:p>
        </w:tc>
        <w:tc>
          <w:tcPr>
            <w:tcW w:w="2310" w:type="dxa"/>
            <w:tcBorders>
              <w:bottom w:val="single" w:sz="4" w:space="0" w:color="auto"/>
            </w:tcBorders>
            <w:vAlign w:val="center"/>
          </w:tcPr>
          <w:p w14:paraId="7072BC0F" w14:textId="77777777" w:rsidR="00704D34" w:rsidRPr="00704D34" w:rsidRDefault="00704D34" w:rsidP="00704D34">
            <w:pPr>
              <w:keepNext/>
              <w:spacing w:before="40" w:after="40"/>
              <w:ind w:left="0"/>
              <w:rPr>
                <w:rFonts w:ascii="Arial Narrow" w:hAnsi="Arial Narrow" w:cs="Tahoma"/>
              </w:rPr>
            </w:pPr>
            <w:r w:rsidRPr="00704D34">
              <w:rPr>
                <w:rFonts w:ascii="Arial Narrow" w:hAnsi="Arial Narrow" w:cs="Tahoma"/>
              </w:rPr>
              <w:t>Reduced by ≥50%</w:t>
            </w:r>
            <w:r w:rsidRPr="00704D34">
              <w:rPr>
                <w:rFonts w:ascii="Arial Narrow" w:hAnsi="Arial Narrow" w:cs="Tahoma"/>
                <w:i/>
                <w:iCs/>
              </w:rPr>
              <w:t>-&lt;75%</w:t>
            </w:r>
          </w:p>
        </w:tc>
        <w:tc>
          <w:tcPr>
            <w:tcW w:w="1704" w:type="dxa"/>
            <w:vAlign w:val="center"/>
          </w:tcPr>
          <w:p w14:paraId="7CA58D72"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i/>
                <w:iCs/>
              </w:rPr>
              <w:t>6</w:t>
            </w:r>
            <w:r w:rsidRPr="00704D34">
              <w:rPr>
                <w:rFonts w:ascii="Arial Narrow" w:hAnsi="Arial Narrow" w:cs="Tahoma"/>
              </w:rPr>
              <w:t>/</w:t>
            </w:r>
            <w:r w:rsidRPr="00704D34">
              <w:rPr>
                <w:rFonts w:ascii="Arial Narrow" w:hAnsi="Arial Narrow" w:cs="Tahoma"/>
                <w:i/>
                <w:iCs/>
              </w:rPr>
              <w:t>11</w:t>
            </w:r>
            <w:r w:rsidRPr="00704D34">
              <w:rPr>
                <w:rFonts w:ascii="Arial Narrow" w:hAnsi="Arial Narrow" w:cs="Tahoma"/>
              </w:rPr>
              <w:t xml:space="preserve"> (</w:t>
            </w:r>
            <w:r w:rsidRPr="00704D34">
              <w:rPr>
                <w:rFonts w:ascii="Arial Narrow" w:hAnsi="Arial Narrow" w:cs="Tahoma"/>
                <w:i/>
                <w:iCs/>
              </w:rPr>
              <w:t>54</w:t>
            </w:r>
            <w:r w:rsidRPr="00704D34">
              <w:rPr>
                <w:rFonts w:ascii="Arial Narrow" w:hAnsi="Arial Narrow" w:cs="Tahoma"/>
              </w:rPr>
              <w:t>)</w:t>
            </w:r>
          </w:p>
        </w:tc>
        <w:tc>
          <w:tcPr>
            <w:tcW w:w="4014" w:type="dxa"/>
            <w:gridSpan w:val="4"/>
            <w:tcBorders>
              <w:top w:val="nil"/>
              <w:bottom w:val="nil"/>
            </w:tcBorders>
          </w:tcPr>
          <w:p w14:paraId="7630544F" w14:textId="77777777" w:rsidR="00704D34" w:rsidRPr="00704D34" w:rsidRDefault="00704D34" w:rsidP="00704D34">
            <w:pPr>
              <w:keepNext/>
              <w:spacing w:before="40" w:after="40"/>
              <w:ind w:left="8" w:hanging="8"/>
              <w:jc w:val="center"/>
              <w:rPr>
                <w:rFonts w:ascii="Arial Narrow" w:hAnsi="Arial Narrow" w:cs="Tahoma"/>
              </w:rPr>
            </w:pPr>
          </w:p>
        </w:tc>
      </w:tr>
      <w:tr w:rsidR="00704D34" w:rsidRPr="00704D34" w14:paraId="0FB41B90" w14:textId="77777777" w:rsidTr="00D56273">
        <w:tc>
          <w:tcPr>
            <w:tcW w:w="988" w:type="dxa"/>
            <w:tcBorders>
              <w:top w:val="nil"/>
              <w:bottom w:val="nil"/>
            </w:tcBorders>
          </w:tcPr>
          <w:p w14:paraId="46993C90" w14:textId="77777777" w:rsidR="00704D34" w:rsidRPr="00704D34" w:rsidRDefault="00704D34" w:rsidP="00704D34">
            <w:pPr>
              <w:keepNext/>
              <w:spacing w:before="40" w:after="40"/>
              <w:ind w:left="0"/>
              <w:rPr>
                <w:rFonts w:ascii="Arial Narrow" w:hAnsi="Arial Narrow" w:cs="Tahoma"/>
              </w:rPr>
            </w:pPr>
          </w:p>
        </w:tc>
        <w:tc>
          <w:tcPr>
            <w:tcW w:w="2310" w:type="dxa"/>
            <w:tcBorders>
              <w:top w:val="single" w:sz="4" w:space="0" w:color="auto"/>
            </w:tcBorders>
            <w:vAlign w:val="center"/>
          </w:tcPr>
          <w:p w14:paraId="7FB54DDB" w14:textId="77777777" w:rsidR="00704D34" w:rsidRPr="00704D34" w:rsidRDefault="00704D34" w:rsidP="00704D34">
            <w:pPr>
              <w:keepNext/>
              <w:spacing w:before="40" w:after="40"/>
              <w:ind w:left="0"/>
              <w:rPr>
                <w:rFonts w:ascii="Arial Narrow" w:hAnsi="Arial Narrow" w:cs="Tahoma"/>
                <w:i/>
                <w:iCs/>
              </w:rPr>
            </w:pPr>
            <w:r w:rsidRPr="00704D34">
              <w:rPr>
                <w:rFonts w:ascii="Arial Narrow" w:hAnsi="Arial Narrow" w:cs="Tahoma"/>
                <w:i/>
                <w:iCs/>
              </w:rPr>
              <w:t>Reduced by ≥1%-&lt;50%</w:t>
            </w:r>
          </w:p>
        </w:tc>
        <w:tc>
          <w:tcPr>
            <w:tcW w:w="1704" w:type="dxa"/>
            <w:vAlign w:val="center"/>
          </w:tcPr>
          <w:p w14:paraId="6978B9D3" w14:textId="77777777" w:rsidR="00704D34" w:rsidRPr="00704D34" w:rsidRDefault="00704D34" w:rsidP="00704D34">
            <w:pPr>
              <w:keepNext/>
              <w:spacing w:before="40" w:after="40"/>
              <w:ind w:left="0"/>
              <w:jc w:val="center"/>
              <w:rPr>
                <w:rFonts w:ascii="Arial Narrow" w:hAnsi="Arial Narrow" w:cs="Tahoma"/>
                <w:i/>
                <w:iCs/>
              </w:rPr>
            </w:pPr>
            <w:r w:rsidRPr="00704D34">
              <w:rPr>
                <w:rFonts w:ascii="Arial Narrow" w:hAnsi="Arial Narrow" w:cs="Tahoma"/>
                <w:i/>
                <w:iCs/>
              </w:rPr>
              <w:t>1/11 (9)</w:t>
            </w:r>
          </w:p>
        </w:tc>
        <w:tc>
          <w:tcPr>
            <w:tcW w:w="4014" w:type="dxa"/>
            <w:gridSpan w:val="4"/>
            <w:tcBorders>
              <w:top w:val="nil"/>
              <w:bottom w:val="nil"/>
            </w:tcBorders>
          </w:tcPr>
          <w:p w14:paraId="577DC9D0" w14:textId="77777777" w:rsidR="00704D34" w:rsidRPr="00704D34" w:rsidRDefault="00704D34" w:rsidP="00704D34">
            <w:pPr>
              <w:keepNext/>
              <w:spacing w:before="40" w:after="40"/>
              <w:ind w:left="8" w:hanging="8"/>
              <w:jc w:val="center"/>
              <w:rPr>
                <w:rFonts w:ascii="Arial Narrow" w:hAnsi="Arial Narrow" w:cs="Tahoma"/>
              </w:rPr>
            </w:pPr>
          </w:p>
        </w:tc>
      </w:tr>
      <w:tr w:rsidR="00704D34" w:rsidRPr="00704D34" w14:paraId="78C0E549" w14:textId="77777777" w:rsidTr="00D56273">
        <w:tc>
          <w:tcPr>
            <w:tcW w:w="988" w:type="dxa"/>
            <w:tcBorders>
              <w:top w:val="nil"/>
            </w:tcBorders>
          </w:tcPr>
          <w:p w14:paraId="0B92257A" w14:textId="77777777" w:rsidR="00704D34" w:rsidRPr="00704D34" w:rsidRDefault="00704D34" w:rsidP="00704D34">
            <w:pPr>
              <w:keepNext/>
              <w:spacing w:before="40" w:after="40"/>
              <w:ind w:left="0"/>
              <w:rPr>
                <w:rFonts w:ascii="Arial Narrow" w:hAnsi="Arial Narrow" w:cs="Tahoma"/>
              </w:rPr>
            </w:pPr>
          </w:p>
        </w:tc>
        <w:tc>
          <w:tcPr>
            <w:tcW w:w="4014" w:type="dxa"/>
            <w:gridSpan w:val="2"/>
            <w:tcBorders>
              <w:top w:val="single" w:sz="4" w:space="0" w:color="auto"/>
            </w:tcBorders>
            <w:vAlign w:val="center"/>
          </w:tcPr>
          <w:p w14:paraId="00B47BB6"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rPr>
              <w:t>Median change from baseline: 1 mg (±8.5)</w:t>
            </w:r>
          </w:p>
        </w:tc>
        <w:tc>
          <w:tcPr>
            <w:tcW w:w="4014" w:type="dxa"/>
            <w:gridSpan w:val="4"/>
            <w:tcBorders>
              <w:top w:val="nil"/>
            </w:tcBorders>
          </w:tcPr>
          <w:p w14:paraId="26FAA60C" w14:textId="77777777" w:rsidR="00704D34" w:rsidRPr="00704D34" w:rsidRDefault="00704D34" w:rsidP="00704D34">
            <w:pPr>
              <w:keepNext/>
              <w:spacing w:before="40" w:after="40"/>
              <w:ind w:left="8" w:hanging="8"/>
              <w:jc w:val="center"/>
              <w:rPr>
                <w:rFonts w:ascii="Arial Narrow" w:hAnsi="Arial Narrow" w:cs="Tahoma"/>
              </w:rPr>
            </w:pPr>
          </w:p>
        </w:tc>
      </w:tr>
      <w:tr w:rsidR="00704D34" w:rsidRPr="00704D34" w14:paraId="05B453AF" w14:textId="77777777" w:rsidTr="00D56273">
        <w:tc>
          <w:tcPr>
            <w:tcW w:w="988" w:type="dxa"/>
            <w:tcBorders>
              <w:bottom w:val="nil"/>
            </w:tcBorders>
          </w:tcPr>
          <w:p w14:paraId="1B291F70" w14:textId="77777777" w:rsidR="00704D34" w:rsidRPr="00704D34" w:rsidRDefault="00704D34" w:rsidP="00704D34">
            <w:pPr>
              <w:keepNext/>
              <w:spacing w:before="40" w:after="40"/>
              <w:ind w:left="0"/>
              <w:rPr>
                <w:rFonts w:ascii="Arial Narrow" w:hAnsi="Arial Narrow" w:cs="Tahoma"/>
              </w:rPr>
            </w:pPr>
            <w:r w:rsidRPr="00704D34">
              <w:rPr>
                <w:rFonts w:ascii="Arial Narrow" w:hAnsi="Arial Narrow" w:cs="Tahoma"/>
              </w:rPr>
              <w:t>Dignan 2014</w:t>
            </w:r>
          </w:p>
        </w:tc>
        <w:tc>
          <w:tcPr>
            <w:tcW w:w="2310" w:type="dxa"/>
          </w:tcPr>
          <w:p w14:paraId="13A7DBF0" w14:textId="77777777" w:rsidR="00704D34" w:rsidRPr="00704D34" w:rsidRDefault="00704D34" w:rsidP="00704D34">
            <w:pPr>
              <w:keepNext/>
              <w:spacing w:before="40" w:after="40"/>
              <w:ind w:left="0"/>
              <w:rPr>
                <w:rFonts w:ascii="Arial Narrow" w:hAnsi="Arial Narrow" w:cs="Tahoma"/>
              </w:rPr>
            </w:pPr>
            <w:r w:rsidRPr="00704D34">
              <w:rPr>
                <w:rFonts w:ascii="Arial Narrow" w:hAnsi="Arial Narrow" w:cs="Tahoma"/>
              </w:rPr>
              <w:t xml:space="preserve">Reduced </w:t>
            </w:r>
          </w:p>
        </w:tc>
        <w:tc>
          <w:tcPr>
            <w:tcW w:w="1704" w:type="dxa"/>
            <w:vAlign w:val="center"/>
          </w:tcPr>
          <w:p w14:paraId="29AD4E45"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rPr>
              <w:t>17/19 (89)</w:t>
            </w:r>
          </w:p>
        </w:tc>
        <w:tc>
          <w:tcPr>
            <w:tcW w:w="2223" w:type="dxa"/>
            <w:gridSpan w:val="2"/>
            <w:vAlign w:val="center"/>
          </w:tcPr>
          <w:p w14:paraId="78A07CDD" w14:textId="77777777" w:rsidR="00704D34" w:rsidRPr="00704D34" w:rsidRDefault="00704D34" w:rsidP="00704D34">
            <w:pPr>
              <w:keepNext/>
              <w:spacing w:before="40" w:after="40"/>
              <w:ind w:left="8" w:hanging="8"/>
              <w:rPr>
                <w:rFonts w:ascii="Arial Narrow" w:hAnsi="Arial Narrow" w:cs="Tahoma"/>
              </w:rPr>
            </w:pPr>
            <w:r w:rsidRPr="00704D34">
              <w:rPr>
                <w:rFonts w:ascii="Arial Narrow" w:hAnsi="Arial Narrow" w:cs="Tahoma"/>
              </w:rPr>
              <w:t xml:space="preserve">Reduced </w:t>
            </w:r>
          </w:p>
        </w:tc>
        <w:tc>
          <w:tcPr>
            <w:tcW w:w="1791" w:type="dxa"/>
            <w:gridSpan w:val="2"/>
            <w:vAlign w:val="center"/>
          </w:tcPr>
          <w:p w14:paraId="3FE31548" w14:textId="77777777" w:rsidR="00704D34" w:rsidRPr="00704D34" w:rsidRDefault="00704D34" w:rsidP="00704D34">
            <w:pPr>
              <w:keepNext/>
              <w:spacing w:before="40" w:after="40"/>
              <w:ind w:left="8" w:hanging="8"/>
              <w:jc w:val="center"/>
              <w:rPr>
                <w:rFonts w:ascii="Arial Narrow" w:hAnsi="Arial Narrow" w:cs="Tahoma"/>
              </w:rPr>
            </w:pPr>
            <w:r w:rsidRPr="00704D34">
              <w:rPr>
                <w:rFonts w:ascii="Arial Narrow" w:hAnsi="Arial Narrow" w:cs="Tahoma"/>
              </w:rPr>
              <w:t>3/6 (50)</w:t>
            </w:r>
          </w:p>
        </w:tc>
      </w:tr>
      <w:tr w:rsidR="00704D34" w:rsidRPr="00704D34" w14:paraId="7E2763B2" w14:textId="77777777" w:rsidTr="00D56273">
        <w:tc>
          <w:tcPr>
            <w:tcW w:w="988" w:type="dxa"/>
            <w:tcBorders>
              <w:top w:val="nil"/>
              <w:bottom w:val="nil"/>
            </w:tcBorders>
          </w:tcPr>
          <w:p w14:paraId="71FB22F5" w14:textId="77777777" w:rsidR="00704D34" w:rsidRPr="00704D34" w:rsidRDefault="00704D34" w:rsidP="00704D34">
            <w:pPr>
              <w:keepNext/>
              <w:spacing w:before="40" w:after="40"/>
              <w:ind w:left="0"/>
              <w:rPr>
                <w:rFonts w:ascii="Arial Narrow" w:hAnsi="Arial Narrow" w:cs="Tahoma"/>
              </w:rPr>
            </w:pPr>
          </w:p>
        </w:tc>
        <w:tc>
          <w:tcPr>
            <w:tcW w:w="2310" w:type="dxa"/>
            <w:vAlign w:val="center"/>
          </w:tcPr>
          <w:p w14:paraId="4A790EA9" w14:textId="77777777" w:rsidR="00704D34" w:rsidRPr="00704D34" w:rsidRDefault="00704D34" w:rsidP="00704D34">
            <w:pPr>
              <w:keepNext/>
              <w:spacing w:before="40" w:after="40"/>
              <w:ind w:left="0"/>
              <w:rPr>
                <w:rFonts w:ascii="Arial Narrow" w:hAnsi="Arial Narrow" w:cs="Tahoma"/>
              </w:rPr>
            </w:pPr>
            <w:r w:rsidRPr="00704D34">
              <w:rPr>
                <w:rFonts w:ascii="Arial Narrow" w:hAnsi="Arial Narrow" w:cs="Tahoma"/>
              </w:rPr>
              <w:t>Reduced by 100%</w:t>
            </w:r>
          </w:p>
        </w:tc>
        <w:tc>
          <w:tcPr>
            <w:tcW w:w="1704" w:type="dxa"/>
            <w:vAlign w:val="center"/>
          </w:tcPr>
          <w:p w14:paraId="21343466"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rPr>
              <w:t>5/19 (26)</w:t>
            </w:r>
          </w:p>
        </w:tc>
        <w:tc>
          <w:tcPr>
            <w:tcW w:w="2223" w:type="dxa"/>
            <w:gridSpan w:val="2"/>
            <w:vAlign w:val="center"/>
          </w:tcPr>
          <w:p w14:paraId="6ACB0013" w14:textId="77777777" w:rsidR="00704D34" w:rsidRPr="00704D34" w:rsidRDefault="00704D34" w:rsidP="00704D34">
            <w:pPr>
              <w:keepNext/>
              <w:spacing w:before="40" w:after="40"/>
              <w:ind w:left="8" w:hanging="8"/>
              <w:rPr>
                <w:rFonts w:ascii="Arial Narrow" w:hAnsi="Arial Narrow" w:cs="Tahoma"/>
              </w:rPr>
            </w:pPr>
            <w:r w:rsidRPr="00704D34">
              <w:rPr>
                <w:rFonts w:ascii="Arial Narrow" w:hAnsi="Arial Narrow" w:cs="Tahoma"/>
              </w:rPr>
              <w:t>Reduced MM by 50%</w:t>
            </w:r>
          </w:p>
        </w:tc>
        <w:tc>
          <w:tcPr>
            <w:tcW w:w="1791" w:type="dxa"/>
            <w:gridSpan w:val="2"/>
            <w:vAlign w:val="center"/>
          </w:tcPr>
          <w:p w14:paraId="08CEBCA3" w14:textId="77777777" w:rsidR="00704D34" w:rsidRPr="00704D34" w:rsidRDefault="00704D34" w:rsidP="00704D34">
            <w:pPr>
              <w:keepNext/>
              <w:spacing w:before="40" w:after="40"/>
              <w:ind w:left="8" w:hanging="8"/>
              <w:jc w:val="center"/>
              <w:rPr>
                <w:rFonts w:ascii="Arial Narrow" w:hAnsi="Arial Narrow" w:cs="Tahoma"/>
              </w:rPr>
            </w:pPr>
            <w:r w:rsidRPr="00704D34">
              <w:rPr>
                <w:rFonts w:ascii="Arial Narrow" w:hAnsi="Arial Narrow" w:cs="Tahoma"/>
              </w:rPr>
              <w:t>2/6 (33)</w:t>
            </w:r>
          </w:p>
        </w:tc>
      </w:tr>
      <w:tr w:rsidR="00704D34" w:rsidRPr="00704D34" w14:paraId="657BF19A" w14:textId="77777777" w:rsidTr="00D56273">
        <w:tc>
          <w:tcPr>
            <w:tcW w:w="988" w:type="dxa"/>
            <w:tcBorders>
              <w:top w:val="nil"/>
              <w:bottom w:val="nil"/>
            </w:tcBorders>
          </w:tcPr>
          <w:p w14:paraId="4828A37E" w14:textId="77777777" w:rsidR="00704D34" w:rsidRPr="00704D34" w:rsidRDefault="00704D34" w:rsidP="00704D34">
            <w:pPr>
              <w:keepNext/>
              <w:spacing w:before="40" w:after="40"/>
              <w:ind w:left="0"/>
              <w:rPr>
                <w:rFonts w:ascii="Arial Narrow" w:hAnsi="Arial Narrow" w:cs="Tahoma"/>
              </w:rPr>
            </w:pPr>
          </w:p>
        </w:tc>
        <w:tc>
          <w:tcPr>
            <w:tcW w:w="2310" w:type="dxa"/>
            <w:vAlign w:val="center"/>
          </w:tcPr>
          <w:p w14:paraId="5A14EE1E" w14:textId="77777777" w:rsidR="00704D34" w:rsidRPr="00704D34" w:rsidRDefault="00704D34" w:rsidP="00704D34">
            <w:pPr>
              <w:keepNext/>
              <w:spacing w:before="40" w:after="40"/>
              <w:ind w:left="0"/>
              <w:rPr>
                <w:rFonts w:ascii="Arial Narrow" w:hAnsi="Arial Narrow" w:cs="Tahoma"/>
              </w:rPr>
            </w:pPr>
            <w:r w:rsidRPr="00704D34">
              <w:rPr>
                <w:rFonts w:ascii="Arial Narrow" w:hAnsi="Arial Narrow" w:cs="Tahoma"/>
              </w:rPr>
              <w:t>Reduced by ≥75%</w:t>
            </w:r>
            <w:r w:rsidRPr="00704D34">
              <w:rPr>
                <w:rFonts w:ascii="Arial Narrow" w:hAnsi="Arial Narrow" w:cs="Tahoma"/>
                <w:i/>
                <w:iCs/>
              </w:rPr>
              <w:t>-&lt;100%</w:t>
            </w:r>
          </w:p>
        </w:tc>
        <w:tc>
          <w:tcPr>
            <w:tcW w:w="1704" w:type="dxa"/>
            <w:vAlign w:val="center"/>
          </w:tcPr>
          <w:p w14:paraId="6FFFCA77"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rPr>
              <w:t>4/19 (21)</w:t>
            </w:r>
          </w:p>
        </w:tc>
        <w:tc>
          <w:tcPr>
            <w:tcW w:w="2223" w:type="dxa"/>
            <w:gridSpan w:val="2"/>
            <w:vAlign w:val="center"/>
          </w:tcPr>
          <w:p w14:paraId="430721B4" w14:textId="77777777" w:rsidR="00704D34" w:rsidRPr="00704D34" w:rsidRDefault="00704D34" w:rsidP="00704D34">
            <w:pPr>
              <w:keepNext/>
              <w:spacing w:before="40" w:after="40"/>
              <w:ind w:left="8" w:hanging="8"/>
              <w:rPr>
                <w:rFonts w:ascii="Arial Narrow" w:hAnsi="Arial Narrow" w:cs="Tahoma"/>
              </w:rPr>
            </w:pPr>
            <w:r w:rsidRPr="00704D34">
              <w:rPr>
                <w:rFonts w:ascii="Arial Narrow" w:hAnsi="Arial Narrow" w:cs="Tahoma"/>
              </w:rPr>
              <w:t>Reduced CsA by 75%</w:t>
            </w:r>
          </w:p>
        </w:tc>
        <w:tc>
          <w:tcPr>
            <w:tcW w:w="1791" w:type="dxa"/>
            <w:gridSpan w:val="2"/>
            <w:vAlign w:val="center"/>
          </w:tcPr>
          <w:p w14:paraId="03A4D494" w14:textId="77777777" w:rsidR="00704D34" w:rsidRPr="00704D34" w:rsidRDefault="00704D34" w:rsidP="00704D34">
            <w:pPr>
              <w:keepNext/>
              <w:spacing w:before="40" w:after="40"/>
              <w:ind w:left="8" w:hanging="8"/>
              <w:jc w:val="center"/>
              <w:rPr>
                <w:rFonts w:ascii="Arial Narrow" w:hAnsi="Arial Narrow" w:cs="Tahoma"/>
              </w:rPr>
            </w:pPr>
            <w:r w:rsidRPr="00704D34">
              <w:rPr>
                <w:rFonts w:ascii="Arial Narrow" w:hAnsi="Arial Narrow" w:cs="Tahoma"/>
              </w:rPr>
              <w:t>1/6 (17)</w:t>
            </w:r>
          </w:p>
        </w:tc>
      </w:tr>
      <w:tr w:rsidR="00704D34" w:rsidRPr="00704D34" w14:paraId="0575D6F8" w14:textId="77777777" w:rsidTr="00D56273">
        <w:tc>
          <w:tcPr>
            <w:tcW w:w="988" w:type="dxa"/>
            <w:tcBorders>
              <w:top w:val="nil"/>
              <w:bottom w:val="nil"/>
            </w:tcBorders>
          </w:tcPr>
          <w:p w14:paraId="5EF097DB" w14:textId="77777777" w:rsidR="00704D34" w:rsidRPr="00704D34" w:rsidRDefault="00704D34" w:rsidP="00704D34">
            <w:pPr>
              <w:keepNext/>
              <w:spacing w:before="40" w:after="40"/>
              <w:ind w:left="0"/>
              <w:rPr>
                <w:rFonts w:ascii="Arial Narrow" w:hAnsi="Arial Narrow" w:cs="Tahoma"/>
              </w:rPr>
            </w:pPr>
          </w:p>
        </w:tc>
        <w:tc>
          <w:tcPr>
            <w:tcW w:w="2310" w:type="dxa"/>
            <w:tcBorders>
              <w:bottom w:val="single" w:sz="4" w:space="0" w:color="auto"/>
            </w:tcBorders>
            <w:vAlign w:val="center"/>
          </w:tcPr>
          <w:p w14:paraId="4EFE9083" w14:textId="77777777" w:rsidR="00704D34" w:rsidRPr="00704D34" w:rsidRDefault="00704D34" w:rsidP="00704D34">
            <w:pPr>
              <w:keepNext/>
              <w:spacing w:before="40" w:after="40"/>
              <w:ind w:left="0"/>
              <w:rPr>
                <w:rFonts w:ascii="Arial Narrow" w:hAnsi="Arial Narrow" w:cs="Tahoma"/>
              </w:rPr>
            </w:pPr>
            <w:r w:rsidRPr="00704D34">
              <w:rPr>
                <w:rFonts w:ascii="Arial Narrow" w:hAnsi="Arial Narrow" w:cs="Tahoma"/>
              </w:rPr>
              <w:t>Reduced by ≥50%</w:t>
            </w:r>
            <w:r w:rsidRPr="00704D34">
              <w:rPr>
                <w:rFonts w:ascii="Arial Narrow" w:hAnsi="Arial Narrow" w:cs="Tahoma"/>
                <w:i/>
                <w:iCs/>
              </w:rPr>
              <w:t>-&lt;75%</w:t>
            </w:r>
          </w:p>
        </w:tc>
        <w:tc>
          <w:tcPr>
            <w:tcW w:w="1704" w:type="dxa"/>
            <w:vAlign w:val="center"/>
          </w:tcPr>
          <w:p w14:paraId="16FAD745"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rPr>
              <w:t>4/19 (21)</w:t>
            </w:r>
          </w:p>
        </w:tc>
        <w:tc>
          <w:tcPr>
            <w:tcW w:w="4014" w:type="dxa"/>
            <w:gridSpan w:val="4"/>
            <w:tcBorders>
              <w:bottom w:val="nil"/>
            </w:tcBorders>
            <w:vAlign w:val="center"/>
          </w:tcPr>
          <w:p w14:paraId="30213833" w14:textId="77777777" w:rsidR="00704D34" w:rsidRPr="00704D34" w:rsidRDefault="00704D34" w:rsidP="00704D34">
            <w:pPr>
              <w:keepNext/>
              <w:spacing w:before="40" w:after="40"/>
              <w:ind w:left="8" w:hanging="8"/>
              <w:jc w:val="center"/>
              <w:rPr>
                <w:rFonts w:ascii="Arial Narrow" w:hAnsi="Arial Narrow" w:cs="Tahoma"/>
              </w:rPr>
            </w:pPr>
          </w:p>
        </w:tc>
      </w:tr>
      <w:tr w:rsidR="00704D34" w:rsidRPr="00704D34" w14:paraId="49F68948" w14:textId="77777777" w:rsidTr="00D56273">
        <w:tc>
          <w:tcPr>
            <w:tcW w:w="988" w:type="dxa"/>
            <w:tcBorders>
              <w:top w:val="nil"/>
              <w:bottom w:val="nil"/>
            </w:tcBorders>
          </w:tcPr>
          <w:p w14:paraId="14C4A4CA" w14:textId="77777777" w:rsidR="00704D34" w:rsidRPr="00704D34" w:rsidRDefault="00704D34" w:rsidP="00704D34">
            <w:pPr>
              <w:keepNext/>
              <w:spacing w:before="40" w:after="40"/>
              <w:ind w:left="0"/>
              <w:rPr>
                <w:rFonts w:ascii="Arial Narrow" w:hAnsi="Arial Narrow" w:cs="Tahoma"/>
              </w:rPr>
            </w:pPr>
          </w:p>
        </w:tc>
        <w:tc>
          <w:tcPr>
            <w:tcW w:w="2310" w:type="dxa"/>
            <w:tcBorders>
              <w:top w:val="single" w:sz="4" w:space="0" w:color="auto"/>
            </w:tcBorders>
            <w:vAlign w:val="center"/>
          </w:tcPr>
          <w:p w14:paraId="56F291CE" w14:textId="77777777" w:rsidR="00704D34" w:rsidRPr="00704D34" w:rsidRDefault="00704D34" w:rsidP="00704D34">
            <w:pPr>
              <w:keepNext/>
              <w:spacing w:before="40" w:after="40"/>
              <w:ind w:left="0"/>
              <w:rPr>
                <w:rFonts w:ascii="Arial Narrow" w:hAnsi="Arial Narrow" w:cs="Tahoma"/>
              </w:rPr>
            </w:pPr>
            <w:r w:rsidRPr="00704D34">
              <w:rPr>
                <w:rFonts w:ascii="Arial Narrow" w:hAnsi="Arial Narrow" w:cs="Tahoma"/>
              </w:rPr>
              <w:t>Reduced by &lt;50%</w:t>
            </w:r>
          </w:p>
        </w:tc>
        <w:tc>
          <w:tcPr>
            <w:tcW w:w="1704" w:type="dxa"/>
            <w:vAlign w:val="center"/>
          </w:tcPr>
          <w:p w14:paraId="32D05D0F"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rPr>
              <w:t>4/19 (21)</w:t>
            </w:r>
          </w:p>
        </w:tc>
        <w:tc>
          <w:tcPr>
            <w:tcW w:w="4014" w:type="dxa"/>
            <w:gridSpan w:val="4"/>
            <w:tcBorders>
              <w:top w:val="nil"/>
            </w:tcBorders>
            <w:vAlign w:val="center"/>
          </w:tcPr>
          <w:p w14:paraId="7E8EDE63" w14:textId="77777777" w:rsidR="00704D34" w:rsidRPr="00704D34" w:rsidRDefault="00704D34" w:rsidP="00704D34">
            <w:pPr>
              <w:keepNext/>
              <w:spacing w:before="40" w:after="40"/>
              <w:ind w:left="8" w:hanging="8"/>
              <w:jc w:val="center"/>
              <w:rPr>
                <w:rFonts w:ascii="Arial Narrow" w:hAnsi="Arial Narrow" w:cs="Tahoma"/>
              </w:rPr>
            </w:pPr>
          </w:p>
        </w:tc>
      </w:tr>
      <w:tr w:rsidR="00704D34" w:rsidRPr="00704D34" w14:paraId="5227E7B4" w14:textId="77777777" w:rsidTr="00D56273">
        <w:tc>
          <w:tcPr>
            <w:tcW w:w="988" w:type="dxa"/>
            <w:tcBorders>
              <w:top w:val="nil"/>
            </w:tcBorders>
          </w:tcPr>
          <w:p w14:paraId="11FD58D0" w14:textId="77777777" w:rsidR="00704D34" w:rsidRPr="00704D34" w:rsidRDefault="00704D34" w:rsidP="00704D34">
            <w:pPr>
              <w:keepNext/>
              <w:spacing w:before="40" w:after="40"/>
              <w:ind w:left="0"/>
              <w:rPr>
                <w:rFonts w:ascii="Arial Narrow" w:hAnsi="Arial Narrow" w:cs="Tahoma"/>
              </w:rPr>
            </w:pPr>
          </w:p>
        </w:tc>
        <w:tc>
          <w:tcPr>
            <w:tcW w:w="8028" w:type="dxa"/>
            <w:gridSpan w:val="6"/>
            <w:tcBorders>
              <w:top w:val="nil"/>
            </w:tcBorders>
            <w:vAlign w:val="center"/>
          </w:tcPr>
          <w:p w14:paraId="3F44EC3E" w14:textId="77777777" w:rsidR="00704D34" w:rsidRPr="00704D34" w:rsidRDefault="00704D34" w:rsidP="00704D34">
            <w:pPr>
              <w:keepNext/>
              <w:spacing w:before="40" w:after="40"/>
              <w:ind w:left="8" w:hanging="8"/>
              <w:jc w:val="center"/>
              <w:rPr>
                <w:rFonts w:ascii="Arial Narrow" w:hAnsi="Arial Narrow" w:cs="Tahoma"/>
              </w:rPr>
            </w:pPr>
            <w:r w:rsidRPr="00704D34">
              <w:rPr>
                <w:rFonts w:ascii="Arial Narrow" w:hAnsi="Arial Narrow" w:cs="Tahoma"/>
              </w:rPr>
              <w:t>Any reduced immunosuppressant medication, n/N (%):20/25 (80) PP; 20/36 (55) ITT</w:t>
            </w:r>
          </w:p>
        </w:tc>
      </w:tr>
      <w:tr w:rsidR="00704D34" w:rsidRPr="00704D34" w14:paraId="62461076" w14:textId="77777777" w:rsidTr="00D56273">
        <w:tc>
          <w:tcPr>
            <w:tcW w:w="988" w:type="dxa"/>
            <w:tcBorders>
              <w:bottom w:val="nil"/>
            </w:tcBorders>
          </w:tcPr>
          <w:p w14:paraId="5FF0D4C8" w14:textId="77777777" w:rsidR="00704D34" w:rsidRPr="00704D34" w:rsidRDefault="00704D34" w:rsidP="00704D34">
            <w:pPr>
              <w:keepNext/>
              <w:spacing w:before="40" w:after="40"/>
              <w:ind w:left="0"/>
              <w:rPr>
                <w:rFonts w:ascii="Arial Narrow" w:hAnsi="Arial Narrow" w:cs="Tahoma"/>
              </w:rPr>
            </w:pPr>
            <w:r w:rsidRPr="00704D34">
              <w:rPr>
                <w:rFonts w:ascii="Arial Narrow" w:hAnsi="Arial Narrow" w:cs="Tahoma"/>
              </w:rPr>
              <w:t>Foss 2005</w:t>
            </w:r>
          </w:p>
        </w:tc>
        <w:tc>
          <w:tcPr>
            <w:tcW w:w="2310" w:type="dxa"/>
            <w:tcBorders>
              <w:bottom w:val="single" w:sz="4" w:space="0" w:color="auto"/>
            </w:tcBorders>
            <w:vAlign w:val="center"/>
          </w:tcPr>
          <w:p w14:paraId="351FE82E" w14:textId="77777777" w:rsidR="00704D34" w:rsidRPr="00704D34" w:rsidRDefault="00704D34" w:rsidP="00704D34">
            <w:pPr>
              <w:keepNext/>
              <w:spacing w:before="40" w:after="40"/>
              <w:ind w:left="0"/>
              <w:rPr>
                <w:rFonts w:ascii="Arial Narrow" w:hAnsi="Arial Narrow" w:cs="Tahoma"/>
              </w:rPr>
            </w:pPr>
            <w:r w:rsidRPr="00704D34">
              <w:rPr>
                <w:rFonts w:ascii="Arial Narrow" w:hAnsi="Arial Narrow" w:cs="Tahoma"/>
              </w:rPr>
              <w:t xml:space="preserve">Reduced </w:t>
            </w:r>
          </w:p>
        </w:tc>
        <w:tc>
          <w:tcPr>
            <w:tcW w:w="1704" w:type="dxa"/>
            <w:tcBorders>
              <w:bottom w:val="single" w:sz="4" w:space="0" w:color="auto"/>
            </w:tcBorders>
            <w:vAlign w:val="center"/>
          </w:tcPr>
          <w:p w14:paraId="241AF94A"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rPr>
              <w:t>13/23 (57)</w:t>
            </w:r>
          </w:p>
        </w:tc>
        <w:tc>
          <w:tcPr>
            <w:tcW w:w="2223" w:type="dxa"/>
            <w:gridSpan w:val="2"/>
            <w:vAlign w:val="center"/>
          </w:tcPr>
          <w:p w14:paraId="39DA57C9" w14:textId="77777777" w:rsidR="00704D34" w:rsidRPr="00704D34" w:rsidRDefault="00704D34" w:rsidP="00704D34">
            <w:pPr>
              <w:keepNext/>
              <w:spacing w:before="40" w:after="40"/>
              <w:ind w:left="8" w:hanging="8"/>
              <w:rPr>
                <w:rFonts w:ascii="Arial Narrow" w:hAnsi="Arial Narrow" w:cs="Tahoma"/>
              </w:rPr>
            </w:pPr>
            <w:r w:rsidRPr="00704D34">
              <w:rPr>
                <w:rFonts w:ascii="Arial Narrow" w:hAnsi="Arial Narrow" w:cs="Tahoma"/>
              </w:rPr>
              <w:t>Discontinued (at least one)</w:t>
            </w:r>
          </w:p>
        </w:tc>
        <w:tc>
          <w:tcPr>
            <w:tcW w:w="1791" w:type="dxa"/>
            <w:gridSpan w:val="2"/>
            <w:vAlign w:val="center"/>
          </w:tcPr>
          <w:p w14:paraId="086693F0" w14:textId="77777777" w:rsidR="00704D34" w:rsidRPr="00704D34" w:rsidRDefault="00704D34" w:rsidP="00704D34">
            <w:pPr>
              <w:keepNext/>
              <w:spacing w:before="40" w:after="40"/>
              <w:ind w:left="8" w:hanging="8"/>
              <w:jc w:val="center"/>
              <w:rPr>
                <w:rFonts w:ascii="Arial Narrow" w:hAnsi="Arial Narrow" w:cs="Tahoma"/>
              </w:rPr>
            </w:pPr>
            <w:r w:rsidRPr="00704D34">
              <w:rPr>
                <w:rFonts w:ascii="Arial Narrow" w:hAnsi="Arial Narrow" w:cs="Tahoma"/>
              </w:rPr>
              <w:t>11/25 (44)</w:t>
            </w:r>
          </w:p>
        </w:tc>
      </w:tr>
      <w:tr w:rsidR="00704D34" w:rsidRPr="00704D34" w14:paraId="725AF8E2" w14:textId="77777777" w:rsidTr="00D56273">
        <w:tc>
          <w:tcPr>
            <w:tcW w:w="988" w:type="dxa"/>
            <w:tcBorders>
              <w:top w:val="nil"/>
              <w:bottom w:val="nil"/>
            </w:tcBorders>
          </w:tcPr>
          <w:p w14:paraId="34F27A80" w14:textId="77777777" w:rsidR="00704D34" w:rsidRPr="00704D34" w:rsidRDefault="00704D34" w:rsidP="00704D34">
            <w:pPr>
              <w:keepNext/>
              <w:spacing w:before="40" w:after="40"/>
              <w:ind w:left="0"/>
              <w:rPr>
                <w:rFonts w:ascii="Arial Narrow" w:hAnsi="Arial Narrow" w:cs="Tahoma"/>
              </w:rPr>
            </w:pPr>
          </w:p>
        </w:tc>
        <w:tc>
          <w:tcPr>
            <w:tcW w:w="4014" w:type="dxa"/>
            <w:gridSpan w:val="2"/>
            <w:tcBorders>
              <w:top w:val="nil"/>
              <w:bottom w:val="nil"/>
            </w:tcBorders>
          </w:tcPr>
          <w:p w14:paraId="55524F19" w14:textId="77777777" w:rsidR="00704D34" w:rsidRPr="00704D34" w:rsidRDefault="00704D34" w:rsidP="00704D34">
            <w:pPr>
              <w:keepNext/>
              <w:spacing w:before="40" w:after="40"/>
              <w:ind w:left="0"/>
              <w:jc w:val="center"/>
              <w:rPr>
                <w:rFonts w:ascii="Arial Narrow" w:hAnsi="Arial Narrow" w:cs="Tahoma"/>
              </w:rPr>
            </w:pPr>
          </w:p>
        </w:tc>
        <w:tc>
          <w:tcPr>
            <w:tcW w:w="2223" w:type="dxa"/>
            <w:gridSpan w:val="2"/>
            <w:vAlign w:val="center"/>
          </w:tcPr>
          <w:p w14:paraId="51B160AD" w14:textId="77777777" w:rsidR="00704D34" w:rsidRPr="00704D34" w:rsidRDefault="00704D34" w:rsidP="00704D34">
            <w:pPr>
              <w:keepNext/>
              <w:spacing w:before="40" w:after="40"/>
              <w:ind w:left="8" w:hanging="8"/>
              <w:rPr>
                <w:rFonts w:ascii="Arial Narrow" w:hAnsi="Arial Narrow" w:cs="Tahoma"/>
              </w:rPr>
            </w:pPr>
            <w:r w:rsidRPr="00704D34">
              <w:rPr>
                <w:rFonts w:ascii="Arial Narrow" w:hAnsi="Arial Narrow" w:cs="Tahoma"/>
              </w:rPr>
              <w:t xml:space="preserve">Reduced/discontinued MM </w:t>
            </w:r>
          </w:p>
        </w:tc>
        <w:tc>
          <w:tcPr>
            <w:tcW w:w="1791" w:type="dxa"/>
            <w:gridSpan w:val="2"/>
            <w:vAlign w:val="center"/>
          </w:tcPr>
          <w:p w14:paraId="1CD6AA96" w14:textId="77777777" w:rsidR="00704D34" w:rsidRPr="00704D34" w:rsidRDefault="00704D34" w:rsidP="00704D34">
            <w:pPr>
              <w:keepNext/>
              <w:spacing w:before="40" w:after="40"/>
              <w:ind w:left="8" w:hanging="8"/>
              <w:jc w:val="center"/>
              <w:rPr>
                <w:rFonts w:ascii="Arial Narrow" w:hAnsi="Arial Narrow" w:cs="Tahoma"/>
              </w:rPr>
            </w:pPr>
            <w:r w:rsidRPr="00704D34">
              <w:rPr>
                <w:rFonts w:ascii="Arial Narrow" w:hAnsi="Arial Narrow" w:cs="Tahoma"/>
              </w:rPr>
              <w:t>12/25 (48)</w:t>
            </w:r>
          </w:p>
        </w:tc>
      </w:tr>
      <w:tr w:rsidR="00704D34" w:rsidRPr="00704D34" w14:paraId="412BA7AB" w14:textId="77777777" w:rsidTr="00D56273">
        <w:tc>
          <w:tcPr>
            <w:tcW w:w="988" w:type="dxa"/>
            <w:tcBorders>
              <w:top w:val="nil"/>
            </w:tcBorders>
          </w:tcPr>
          <w:p w14:paraId="270ADF61" w14:textId="77777777" w:rsidR="00704D34" w:rsidRPr="00704D34" w:rsidRDefault="00704D34" w:rsidP="00704D34">
            <w:pPr>
              <w:keepNext/>
              <w:spacing w:before="40" w:after="40"/>
              <w:ind w:left="0"/>
              <w:rPr>
                <w:rFonts w:ascii="Arial Narrow" w:hAnsi="Arial Narrow" w:cs="Tahoma"/>
              </w:rPr>
            </w:pPr>
          </w:p>
        </w:tc>
        <w:tc>
          <w:tcPr>
            <w:tcW w:w="4014" w:type="dxa"/>
            <w:gridSpan w:val="2"/>
            <w:tcBorders>
              <w:top w:val="nil"/>
            </w:tcBorders>
          </w:tcPr>
          <w:p w14:paraId="672847A8" w14:textId="77777777" w:rsidR="00704D34" w:rsidRPr="00704D34" w:rsidRDefault="00704D34" w:rsidP="00704D34">
            <w:pPr>
              <w:keepNext/>
              <w:spacing w:before="40" w:after="40"/>
              <w:ind w:left="0"/>
              <w:jc w:val="center"/>
              <w:rPr>
                <w:rFonts w:ascii="Arial Narrow" w:hAnsi="Arial Narrow" w:cs="Tahoma"/>
              </w:rPr>
            </w:pPr>
          </w:p>
        </w:tc>
        <w:tc>
          <w:tcPr>
            <w:tcW w:w="2223" w:type="dxa"/>
            <w:gridSpan w:val="2"/>
            <w:vAlign w:val="center"/>
          </w:tcPr>
          <w:p w14:paraId="0F51D372" w14:textId="77777777" w:rsidR="00704D34" w:rsidRPr="00704D34" w:rsidRDefault="00704D34" w:rsidP="00704D34">
            <w:pPr>
              <w:keepNext/>
              <w:spacing w:before="40" w:after="40"/>
              <w:ind w:left="8" w:hanging="8"/>
              <w:rPr>
                <w:rFonts w:ascii="Arial Narrow" w:hAnsi="Arial Narrow" w:cs="Tahoma"/>
              </w:rPr>
            </w:pPr>
            <w:r w:rsidRPr="00704D34">
              <w:rPr>
                <w:rFonts w:ascii="Arial Narrow" w:hAnsi="Arial Narrow" w:cs="Tahoma"/>
              </w:rPr>
              <w:t>Reduced/discontinued TAC</w:t>
            </w:r>
          </w:p>
        </w:tc>
        <w:tc>
          <w:tcPr>
            <w:tcW w:w="1791" w:type="dxa"/>
            <w:gridSpan w:val="2"/>
            <w:vAlign w:val="center"/>
          </w:tcPr>
          <w:p w14:paraId="512986F8" w14:textId="77777777" w:rsidR="00704D34" w:rsidRPr="00704D34" w:rsidRDefault="00704D34" w:rsidP="00704D34">
            <w:pPr>
              <w:keepNext/>
              <w:spacing w:before="40" w:after="40"/>
              <w:ind w:left="8" w:hanging="8"/>
              <w:jc w:val="center"/>
              <w:rPr>
                <w:rFonts w:ascii="Arial Narrow" w:hAnsi="Arial Narrow" w:cs="Tahoma"/>
              </w:rPr>
            </w:pPr>
            <w:r w:rsidRPr="00704D34">
              <w:rPr>
                <w:rFonts w:ascii="Arial Narrow" w:hAnsi="Arial Narrow" w:cs="Tahoma"/>
              </w:rPr>
              <w:t>5/25 (20)</w:t>
            </w:r>
          </w:p>
        </w:tc>
      </w:tr>
      <w:tr w:rsidR="00704D34" w:rsidRPr="00704D34" w14:paraId="10B9C381" w14:textId="77777777" w:rsidTr="00D56273">
        <w:tc>
          <w:tcPr>
            <w:tcW w:w="988" w:type="dxa"/>
          </w:tcPr>
          <w:p w14:paraId="42CC2137" w14:textId="77777777" w:rsidR="00704D34" w:rsidRPr="00704D34" w:rsidRDefault="00704D34" w:rsidP="00704D34">
            <w:pPr>
              <w:keepNext/>
              <w:spacing w:before="40" w:after="40"/>
              <w:ind w:left="0"/>
              <w:rPr>
                <w:rFonts w:ascii="Arial Narrow" w:hAnsi="Arial Narrow" w:cs="Tahoma"/>
              </w:rPr>
            </w:pPr>
            <w:r w:rsidRPr="00704D34">
              <w:rPr>
                <w:rFonts w:ascii="Arial Narrow" w:hAnsi="Arial Narrow" w:cs="Tahoma"/>
              </w:rPr>
              <w:t>Gandelman 2018</w:t>
            </w:r>
          </w:p>
        </w:tc>
        <w:tc>
          <w:tcPr>
            <w:tcW w:w="4014" w:type="dxa"/>
            <w:gridSpan w:val="2"/>
          </w:tcPr>
          <w:p w14:paraId="2C230982"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rPr>
              <w:t xml:space="preserve">Median daily steroid dose intake (SD) [IQR]: </w:t>
            </w:r>
          </w:p>
          <w:p w14:paraId="5730817D"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rPr>
              <w:t xml:space="preserve">Baseline = 0.36 mg/kg [0.21-0.48] </w:t>
            </w:r>
          </w:p>
          <w:p w14:paraId="7AE47A43"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rPr>
              <w:t>Final visit = 0.14 mg/kg [0.10-0.20]</w:t>
            </w:r>
          </w:p>
        </w:tc>
        <w:tc>
          <w:tcPr>
            <w:tcW w:w="4014" w:type="dxa"/>
            <w:gridSpan w:val="4"/>
            <w:vAlign w:val="center"/>
          </w:tcPr>
          <w:p w14:paraId="2A336516" w14:textId="77777777" w:rsidR="00704D34" w:rsidRPr="00704D34" w:rsidRDefault="00704D34" w:rsidP="00704D34">
            <w:pPr>
              <w:keepNext/>
              <w:spacing w:before="40" w:after="40"/>
              <w:ind w:left="8" w:hanging="8"/>
              <w:jc w:val="center"/>
              <w:rPr>
                <w:rFonts w:ascii="Arial Narrow" w:hAnsi="Arial Narrow" w:cs="Tahoma"/>
              </w:rPr>
            </w:pPr>
            <w:r w:rsidRPr="00704D34">
              <w:rPr>
                <w:rFonts w:ascii="Arial Narrow" w:hAnsi="Arial Narrow" w:cs="Tahoma"/>
              </w:rPr>
              <w:t>NR</w:t>
            </w:r>
          </w:p>
        </w:tc>
      </w:tr>
      <w:tr w:rsidR="00704D34" w:rsidRPr="00704D34" w14:paraId="76D23EFA" w14:textId="77777777" w:rsidTr="00D56273">
        <w:tc>
          <w:tcPr>
            <w:tcW w:w="988" w:type="dxa"/>
          </w:tcPr>
          <w:p w14:paraId="418DDC6B" w14:textId="77777777" w:rsidR="00704D34" w:rsidRPr="00704D34" w:rsidRDefault="00704D34" w:rsidP="00704D34">
            <w:pPr>
              <w:keepNext/>
              <w:spacing w:before="40" w:after="40"/>
              <w:ind w:left="0"/>
              <w:rPr>
                <w:rFonts w:ascii="Arial Narrow" w:hAnsi="Arial Narrow" w:cs="Tahoma"/>
              </w:rPr>
            </w:pPr>
            <w:r w:rsidRPr="00704D34">
              <w:rPr>
                <w:rFonts w:ascii="Arial Narrow" w:hAnsi="Arial Narrow" w:cs="Tahoma"/>
              </w:rPr>
              <w:t>Okamoto 2018</w:t>
            </w:r>
          </w:p>
        </w:tc>
        <w:tc>
          <w:tcPr>
            <w:tcW w:w="4014" w:type="dxa"/>
            <w:gridSpan w:val="2"/>
          </w:tcPr>
          <w:p w14:paraId="7A4DC351"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rPr>
              <w:t>Median reduction in dose from screening:</w:t>
            </w:r>
          </w:p>
          <w:p w14:paraId="144B0173"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rPr>
              <w:t xml:space="preserve">24 weeks = 0.115 mg/kg (±0.230) </w:t>
            </w:r>
          </w:p>
          <w:p w14:paraId="1C83588B" w14:textId="77777777" w:rsidR="00704D34" w:rsidRPr="00704D34" w:rsidRDefault="00704D34" w:rsidP="00704D34">
            <w:pPr>
              <w:keepNext/>
              <w:spacing w:before="40" w:after="40"/>
              <w:ind w:left="0"/>
              <w:jc w:val="center"/>
              <w:rPr>
                <w:rFonts w:ascii="Arial Narrow" w:hAnsi="Arial Narrow" w:cs="Tahoma"/>
              </w:rPr>
            </w:pPr>
            <w:r w:rsidRPr="00704D34">
              <w:rPr>
                <w:rFonts w:ascii="Arial Narrow" w:hAnsi="Arial Narrow" w:cs="Tahoma"/>
              </w:rPr>
              <w:t>36 weeks = 0.167 mg/kg (±0.164)</w:t>
            </w:r>
          </w:p>
        </w:tc>
        <w:tc>
          <w:tcPr>
            <w:tcW w:w="4014" w:type="dxa"/>
            <w:gridSpan w:val="4"/>
            <w:vAlign w:val="center"/>
          </w:tcPr>
          <w:p w14:paraId="75E89613" w14:textId="77777777" w:rsidR="00704D34" w:rsidRPr="00704D34" w:rsidRDefault="00704D34" w:rsidP="00704D34">
            <w:pPr>
              <w:keepNext/>
              <w:spacing w:before="40" w:after="40"/>
              <w:ind w:left="8" w:hanging="8"/>
              <w:jc w:val="center"/>
              <w:rPr>
                <w:rFonts w:ascii="Arial Narrow" w:hAnsi="Arial Narrow" w:cs="Tahoma"/>
              </w:rPr>
            </w:pPr>
            <w:r w:rsidRPr="00704D34">
              <w:rPr>
                <w:rFonts w:ascii="Arial Narrow" w:hAnsi="Arial Narrow" w:cs="Tahoma"/>
              </w:rPr>
              <w:t>NR</w:t>
            </w:r>
          </w:p>
        </w:tc>
      </w:tr>
    </w:tbl>
    <w:p w14:paraId="7AC6E232" w14:textId="77777777" w:rsidR="00704D34" w:rsidRPr="00704D34" w:rsidRDefault="00704D34" w:rsidP="00704D34">
      <w:pPr>
        <w:keepNext/>
        <w:spacing w:after="240" w:line="312" w:lineRule="auto"/>
        <w:rPr>
          <w:rFonts w:ascii="Arial Narrow" w:hAnsi="Arial Narrow" w:cs="Tahoma"/>
          <w:sz w:val="18"/>
          <w:szCs w:val="18"/>
        </w:rPr>
      </w:pPr>
      <w:r w:rsidRPr="00704D34">
        <w:rPr>
          <w:rFonts w:ascii="Arial Narrow" w:hAnsi="Arial Narrow" w:cs="Tahoma"/>
          <w:sz w:val="18"/>
          <w:szCs w:val="18"/>
        </w:rPr>
        <w:t>Source: Table B.29, pp125-127 of the ADAR.</w:t>
      </w:r>
    </w:p>
    <w:p w14:paraId="62FA906A" w14:textId="24EB802A" w:rsidR="00D56273" w:rsidRDefault="00D56273" w:rsidP="00D56273">
      <w:r w:rsidRPr="00D56273">
        <w:lastRenderedPageBreak/>
        <w:t>On the basis of the benefits and harms reported in the evidence base, the ADAR propose</w:t>
      </w:r>
      <w:r w:rsidR="00CA5D0B">
        <w:t>d</w:t>
      </w:r>
      <w:r w:rsidRPr="00D56273">
        <w:t xml:space="preserve"> that, relative to standard of care, ECP with methoxsalen has non-inferior safety and superior effectiveness.</w:t>
      </w:r>
    </w:p>
    <w:p w14:paraId="418325F9" w14:textId="6FB3FC22" w:rsidR="00D56273" w:rsidRPr="00CD2FD8" w:rsidRDefault="00D56273" w:rsidP="00B853FB">
      <w:pPr>
        <w:spacing w:before="240"/>
        <w:rPr>
          <w:iCs/>
        </w:rPr>
      </w:pPr>
      <w:r w:rsidRPr="00CD2FD8">
        <w:rPr>
          <w:iCs/>
        </w:rPr>
        <w:t>The Commentary considered that the clinical claim</w:t>
      </w:r>
      <w:r w:rsidR="00C13C95">
        <w:rPr>
          <w:iCs/>
        </w:rPr>
        <w:t>s</w:t>
      </w:r>
      <w:r w:rsidRPr="00CD2FD8">
        <w:rPr>
          <w:iCs/>
        </w:rPr>
        <w:t xml:space="preserve"> made by the ADAR require</w:t>
      </w:r>
      <w:r w:rsidR="00CA5D0B">
        <w:rPr>
          <w:iCs/>
        </w:rPr>
        <w:t>d</w:t>
      </w:r>
      <w:r w:rsidRPr="00CD2FD8">
        <w:rPr>
          <w:iCs/>
        </w:rPr>
        <w:t xml:space="preserve"> consideration.</w:t>
      </w:r>
    </w:p>
    <w:p w14:paraId="5F5497C6" w14:textId="37E77CEC" w:rsidR="00D56273" w:rsidRPr="00CD2FD8" w:rsidRDefault="00CD2FD8" w:rsidP="00B853FB">
      <w:pPr>
        <w:spacing w:before="240"/>
        <w:rPr>
          <w:iCs/>
        </w:rPr>
      </w:pPr>
      <w:r w:rsidRPr="00CD2FD8">
        <w:rPr>
          <w:iCs/>
        </w:rPr>
        <w:t>The Commentary considered that w</w:t>
      </w:r>
      <w:r w:rsidR="00D56273" w:rsidRPr="00CD2FD8">
        <w:rPr>
          <w:iCs/>
        </w:rPr>
        <w:t>ith respect to the claim of non-inferior safety, the only randomised control</w:t>
      </w:r>
      <w:r w:rsidR="00CA5D0B">
        <w:rPr>
          <w:iCs/>
        </w:rPr>
        <w:t>led</w:t>
      </w:r>
      <w:r w:rsidR="00D56273" w:rsidRPr="00CD2FD8">
        <w:rPr>
          <w:iCs/>
        </w:rPr>
        <w:t xml:space="preserve"> trial (Flowers 2008) comparing ECP with methoxsalen and SOC reported that a statistically significantly greater proportion of those treated with ECP developed anaemia (indicating inferior safety). However, the likely improved safety as a result of the apparent steroid-sparing effect observed with treatment with ECP may not have been adequately captured in the included evidence.</w:t>
      </w:r>
    </w:p>
    <w:p w14:paraId="4B4F6A5C" w14:textId="66DCA7EC" w:rsidR="00D56273" w:rsidRDefault="00CD2FD8" w:rsidP="00B853FB">
      <w:pPr>
        <w:spacing w:before="240"/>
        <w:rPr>
          <w:iCs/>
        </w:rPr>
      </w:pPr>
      <w:r w:rsidRPr="00CD2FD8">
        <w:rPr>
          <w:iCs/>
        </w:rPr>
        <w:t>The Commentary considered that with</w:t>
      </w:r>
      <w:r w:rsidR="00D56273" w:rsidRPr="00CD2FD8">
        <w:rPr>
          <w:iCs/>
        </w:rPr>
        <w:t xml:space="preserve"> respect to the claim of superior effectiveness, although no statistically significant difference in the median change in TSS after 12 weeks of treatment (the primary outcome of the trial) was observed, statistically significant differences in complete and partial skin and ocular responses were observed, as well a reduction in steroid use (≥50% reduction AND steroid daily dose &lt;10 mg/day) at 12 weeks. The single</w:t>
      </w:r>
      <w:r w:rsidR="00CA5D0B">
        <w:rPr>
          <w:iCs/>
        </w:rPr>
        <w:t>-</w:t>
      </w:r>
      <w:r w:rsidR="00D56273" w:rsidRPr="00CD2FD8">
        <w:rPr>
          <w:iCs/>
        </w:rPr>
        <w:t>arm studies also reported consistent findings (response in various organ systems and reductions in immunosuppressant use).</w:t>
      </w:r>
    </w:p>
    <w:p w14:paraId="4CC75F0B" w14:textId="71D20F24" w:rsidR="00E13628" w:rsidRPr="009E7AB6" w:rsidRDefault="00065623" w:rsidP="00CA5D0B">
      <w:pPr>
        <w:pStyle w:val="Heading1"/>
        <w:numPr>
          <w:ilvl w:val="0"/>
          <w:numId w:val="13"/>
        </w:numPr>
        <w:spacing w:before="240" w:after="240"/>
        <w:ind w:hanging="720"/>
        <w:rPr>
          <w:rFonts w:ascii="Arial" w:eastAsia="Times New Roman" w:hAnsi="Arial" w:cs="Times New Roman"/>
        </w:rPr>
      </w:pPr>
      <w:r w:rsidRPr="009E7AB6">
        <w:rPr>
          <w:rFonts w:ascii="Arial" w:eastAsia="Times New Roman" w:hAnsi="Arial" w:cs="Times New Roman"/>
        </w:rPr>
        <w:t>Economic evaluation</w:t>
      </w:r>
    </w:p>
    <w:p w14:paraId="0B8B9989" w14:textId="229BC4E0" w:rsidR="00E13628" w:rsidRDefault="00E13628" w:rsidP="009E7AB6">
      <w:pPr>
        <w:pStyle w:val="Heading2"/>
      </w:pPr>
      <w:r>
        <w:t xml:space="preserve">Translation </w:t>
      </w:r>
      <w:r w:rsidR="00CA5D0B">
        <w:t>i</w:t>
      </w:r>
      <w:r>
        <w:t>ssues</w:t>
      </w:r>
    </w:p>
    <w:p w14:paraId="256AD948" w14:textId="299227FD" w:rsidR="00E13628" w:rsidRDefault="00E13628" w:rsidP="00E13628">
      <w:r w:rsidRPr="00E13628">
        <w:fldChar w:fldCharType="begin"/>
      </w:r>
      <w:r w:rsidRPr="00E13628">
        <w:instrText xml:space="preserve"> REF _Ref68745434 \h </w:instrText>
      </w:r>
      <w:r>
        <w:instrText xml:space="preserve"> \* MERGEFORMAT </w:instrText>
      </w:r>
      <w:r w:rsidRPr="00E13628">
        <w:fldChar w:fldCharType="separate"/>
      </w:r>
      <w:r w:rsidR="008407AE" w:rsidRPr="008407AE">
        <w:t xml:space="preserve">Table </w:t>
      </w:r>
      <w:r w:rsidR="008407AE" w:rsidRPr="008407AE">
        <w:rPr>
          <w:noProof/>
        </w:rPr>
        <w:t>8</w:t>
      </w:r>
      <w:r w:rsidRPr="00E13628">
        <w:fldChar w:fldCharType="end"/>
      </w:r>
      <w:r w:rsidRPr="00E13628">
        <w:t xml:space="preserve"> summarises the results of the premodelling studies presented in the ADAR.</w:t>
      </w:r>
    </w:p>
    <w:p w14:paraId="0F1E643E" w14:textId="0FBEBB76" w:rsidR="00E13628" w:rsidRPr="00E13628" w:rsidRDefault="00E13628" w:rsidP="00B853FB">
      <w:pPr>
        <w:keepNext/>
        <w:keepLines/>
        <w:spacing w:before="240" w:after="40"/>
        <w:rPr>
          <w:rFonts w:ascii="Arial Narrow" w:hAnsi="Arial Narrow" w:cs="Tahoma"/>
          <w:b/>
          <w:sz w:val="20"/>
        </w:rPr>
      </w:pPr>
      <w:bookmarkStart w:id="20" w:name="_Ref68745434"/>
      <w:r w:rsidRPr="00E13628">
        <w:rPr>
          <w:rFonts w:ascii="Arial Narrow" w:hAnsi="Arial Narrow" w:cs="Tahoma"/>
          <w:b/>
          <w:sz w:val="20"/>
        </w:rPr>
        <w:t xml:space="preserve">Table </w:t>
      </w:r>
      <w:r w:rsidRPr="00E13628">
        <w:rPr>
          <w:rFonts w:ascii="Arial Narrow" w:hAnsi="Arial Narrow" w:cs="Tahoma"/>
          <w:b/>
          <w:sz w:val="20"/>
        </w:rPr>
        <w:fldChar w:fldCharType="begin"/>
      </w:r>
      <w:r w:rsidRPr="00E13628">
        <w:rPr>
          <w:rFonts w:ascii="Arial Narrow" w:hAnsi="Arial Narrow" w:cs="Tahoma"/>
          <w:b/>
          <w:sz w:val="20"/>
        </w:rPr>
        <w:instrText xml:space="preserve"> SEQ Table \* ARABIC </w:instrText>
      </w:r>
      <w:r w:rsidRPr="00E13628">
        <w:rPr>
          <w:rFonts w:ascii="Arial Narrow" w:hAnsi="Arial Narrow" w:cs="Tahoma"/>
          <w:b/>
          <w:sz w:val="20"/>
        </w:rPr>
        <w:fldChar w:fldCharType="separate"/>
      </w:r>
      <w:r w:rsidR="008407AE">
        <w:rPr>
          <w:rFonts w:ascii="Arial Narrow" w:hAnsi="Arial Narrow" w:cs="Tahoma"/>
          <w:b/>
          <w:noProof/>
          <w:sz w:val="20"/>
        </w:rPr>
        <w:t>8</w:t>
      </w:r>
      <w:r w:rsidRPr="00E13628">
        <w:rPr>
          <w:rFonts w:ascii="Arial Narrow" w:hAnsi="Arial Narrow" w:cs="Tahoma"/>
          <w:b/>
          <w:noProof/>
          <w:sz w:val="20"/>
        </w:rPr>
        <w:fldChar w:fldCharType="end"/>
      </w:r>
      <w:bookmarkEnd w:id="20"/>
      <w:r w:rsidR="0034138C">
        <w:rPr>
          <w:rFonts w:ascii="Arial Narrow" w:hAnsi="Arial Narrow" w:cs="Tahoma"/>
          <w:b/>
          <w:noProof/>
          <w:sz w:val="20"/>
        </w:rPr>
        <w:t xml:space="preserve">: </w:t>
      </w:r>
      <w:r w:rsidRPr="00E13628">
        <w:rPr>
          <w:rFonts w:ascii="Arial Narrow" w:hAnsi="Arial Narrow" w:cs="Tahoma"/>
          <w:b/>
          <w:sz w:val="20"/>
        </w:rPr>
        <w:t>Summary of pre-modelling studies</w:t>
      </w:r>
    </w:p>
    <w:tbl>
      <w:tblPr>
        <w:tblStyle w:val="OPTUMTableNormal"/>
        <w:tblpPr w:leftFromText="180" w:rightFromText="180" w:vertAnchor="text" w:tblpY="1"/>
        <w:tblOverlap w:val="never"/>
        <w:tblW w:w="5138" w:type="pct"/>
        <w:tblCellMar>
          <w:left w:w="29" w:type="dxa"/>
          <w:right w:w="29" w:type="dxa"/>
        </w:tblCellMar>
        <w:tblLook w:val="01E0" w:firstRow="1" w:lastRow="1" w:firstColumn="1" w:lastColumn="1" w:noHBand="0" w:noVBand="0"/>
        <w:tblCaption w:val="Summary of pre-modelling studies"/>
        <w:tblDescription w:val="Summary of pre-modelling studies"/>
      </w:tblPr>
      <w:tblGrid>
        <w:gridCol w:w="1981"/>
        <w:gridCol w:w="3674"/>
        <w:gridCol w:w="3610"/>
      </w:tblGrid>
      <w:tr w:rsidR="00E13628" w:rsidRPr="00E13628" w14:paraId="163AA6AC" w14:textId="77777777" w:rsidTr="00C13C95">
        <w:trPr>
          <w:cnfStyle w:val="100000000000" w:firstRow="1" w:lastRow="0" w:firstColumn="0" w:lastColumn="0" w:oddVBand="0" w:evenVBand="0" w:oddHBand="0" w:evenHBand="0" w:firstRowFirstColumn="0" w:firstRowLastColumn="0" w:lastRowFirstColumn="0" w:lastRowLastColumn="0"/>
          <w:tblHeader/>
        </w:trPr>
        <w:tc>
          <w:tcPr>
            <w:tcW w:w="1069" w:type="pct"/>
          </w:tcPr>
          <w:p w14:paraId="1BF86422" w14:textId="77777777" w:rsidR="00E13628" w:rsidRPr="00E13628" w:rsidRDefault="00E13628" w:rsidP="00E13628">
            <w:pPr>
              <w:keepNext/>
              <w:widowControl w:val="0"/>
              <w:spacing w:after="40"/>
              <w:rPr>
                <w:rFonts w:ascii="Arial Narrow" w:hAnsi="Arial Narrow" w:cs="Tahoma"/>
                <w:b/>
                <w:sz w:val="20"/>
              </w:rPr>
            </w:pPr>
            <w:r w:rsidRPr="00E13628">
              <w:rPr>
                <w:rFonts w:ascii="Arial Narrow" w:hAnsi="Arial Narrow" w:cs="Tahoma"/>
                <w:b/>
                <w:sz w:val="20"/>
              </w:rPr>
              <w:t>Pre-modelling study</w:t>
            </w:r>
          </w:p>
        </w:tc>
        <w:tc>
          <w:tcPr>
            <w:tcW w:w="1983" w:type="pct"/>
          </w:tcPr>
          <w:p w14:paraId="23263C61" w14:textId="77777777" w:rsidR="00E13628" w:rsidRPr="00E13628" w:rsidRDefault="00E13628" w:rsidP="00E13628">
            <w:pPr>
              <w:keepNext/>
              <w:widowControl w:val="0"/>
              <w:spacing w:after="40"/>
              <w:jc w:val="center"/>
              <w:rPr>
                <w:rFonts w:ascii="Arial Narrow" w:hAnsi="Arial Narrow" w:cs="Tahoma"/>
                <w:b/>
                <w:sz w:val="20"/>
              </w:rPr>
            </w:pPr>
            <w:r w:rsidRPr="00E13628">
              <w:rPr>
                <w:rFonts w:ascii="Arial Narrow" w:hAnsi="Arial Narrow" w:cs="Tahoma"/>
                <w:b/>
                <w:sz w:val="20"/>
              </w:rPr>
              <w:t>Description</w:t>
            </w:r>
          </w:p>
        </w:tc>
        <w:tc>
          <w:tcPr>
            <w:tcW w:w="1948" w:type="pct"/>
          </w:tcPr>
          <w:p w14:paraId="0CE7086B" w14:textId="1E1769D4" w:rsidR="00E13628" w:rsidRPr="00E13628" w:rsidRDefault="00E13628" w:rsidP="00E13628">
            <w:pPr>
              <w:keepNext/>
              <w:widowControl w:val="0"/>
              <w:spacing w:after="40"/>
              <w:jc w:val="center"/>
              <w:rPr>
                <w:rFonts w:ascii="Arial Narrow" w:hAnsi="Arial Narrow" w:cs="Tahoma"/>
                <w:b/>
                <w:sz w:val="20"/>
              </w:rPr>
            </w:pPr>
            <w:r w:rsidRPr="00E13628">
              <w:rPr>
                <w:rFonts w:ascii="Arial Narrow" w:hAnsi="Arial Narrow" w:cs="Tahoma"/>
                <w:b/>
                <w:sz w:val="20"/>
              </w:rPr>
              <w:t xml:space="preserve">Results used in </w:t>
            </w:r>
            <w:r w:rsidR="00BD4B1A">
              <w:rPr>
                <w:rFonts w:ascii="Arial Narrow" w:hAnsi="Arial Narrow" w:cs="Tahoma"/>
                <w:b/>
                <w:sz w:val="20"/>
              </w:rPr>
              <w:t>economic evaluation</w:t>
            </w:r>
          </w:p>
        </w:tc>
      </w:tr>
      <w:tr w:rsidR="00E13628" w:rsidRPr="00E13628" w14:paraId="3B6E5ECC" w14:textId="77777777" w:rsidTr="00C13C95">
        <w:tc>
          <w:tcPr>
            <w:tcW w:w="1069" w:type="pct"/>
          </w:tcPr>
          <w:p w14:paraId="6318D7FE" w14:textId="621928AF" w:rsidR="00E13628" w:rsidRPr="00E13628" w:rsidRDefault="00E13628" w:rsidP="00E13628">
            <w:pPr>
              <w:keepNext/>
              <w:widowControl w:val="0"/>
              <w:spacing w:after="40"/>
              <w:rPr>
                <w:rFonts w:ascii="Arial Narrow" w:hAnsi="Arial Narrow" w:cs="Tahoma"/>
                <w:sz w:val="20"/>
                <w:szCs w:val="22"/>
                <w:lang w:eastAsia="en-US"/>
              </w:rPr>
            </w:pPr>
            <w:r w:rsidRPr="00E13628">
              <w:rPr>
                <w:rFonts w:ascii="Arial Narrow" w:hAnsi="Arial Narrow" w:cs="Tahoma"/>
                <w:sz w:val="20"/>
                <w:szCs w:val="22"/>
                <w:lang w:eastAsia="en-US"/>
              </w:rPr>
              <w:t xml:space="preserve">Applicability of </w:t>
            </w:r>
            <w:r w:rsidR="00CA5D0B">
              <w:rPr>
                <w:rFonts w:ascii="Arial Narrow" w:hAnsi="Arial Narrow" w:cs="Tahoma"/>
                <w:sz w:val="20"/>
                <w:szCs w:val="22"/>
                <w:lang w:eastAsia="en-US"/>
              </w:rPr>
              <w:t>clinical</w:t>
            </w:r>
            <w:r w:rsidRPr="00E13628">
              <w:rPr>
                <w:rFonts w:ascii="Arial Narrow" w:hAnsi="Arial Narrow" w:cs="Tahoma"/>
                <w:sz w:val="20"/>
                <w:szCs w:val="22"/>
                <w:lang w:eastAsia="en-US"/>
              </w:rPr>
              <w:t xml:space="preserve"> evidence to Australian clinical practice</w:t>
            </w:r>
          </w:p>
        </w:tc>
        <w:tc>
          <w:tcPr>
            <w:tcW w:w="1983" w:type="pct"/>
          </w:tcPr>
          <w:p w14:paraId="4B231E5D" w14:textId="77777777" w:rsidR="00E13628" w:rsidRPr="00E13628" w:rsidRDefault="00E13628" w:rsidP="00E13628">
            <w:pPr>
              <w:keepNext/>
              <w:widowControl w:val="0"/>
              <w:spacing w:after="40"/>
              <w:rPr>
                <w:rFonts w:ascii="Arial Narrow" w:hAnsi="Arial Narrow" w:cs="Tahoma"/>
                <w:sz w:val="20"/>
                <w:szCs w:val="22"/>
                <w:lang w:eastAsia="en-US"/>
              </w:rPr>
            </w:pPr>
            <w:r w:rsidRPr="00E13628">
              <w:rPr>
                <w:rFonts w:ascii="Arial Narrow" w:hAnsi="Arial Narrow" w:cs="Tahoma"/>
                <w:sz w:val="20"/>
                <w:szCs w:val="22"/>
                <w:lang w:eastAsia="en-US"/>
              </w:rPr>
              <w:t>A comparison of patient characteristics and treatments and outcomes in the Australian registry studies with Flowers 2008.</w:t>
            </w:r>
          </w:p>
        </w:tc>
        <w:tc>
          <w:tcPr>
            <w:tcW w:w="1948" w:type="pct"/>
          </w:tcPr>
          <w:p w14:paraId="1D50AFA0" w14:textId="77777777" w:rsidR="00E13628" w:rsidRPr="00E13628" w:rsidRDefault="00E13628" w:rsidP="00E13628">
            <w:pPr>
              <w:keepNext/>
              <w:widowControl w:val="0"/>
              <w:spacing w:after="40"/>
              <w:rPr>
                <w:rFonts w:ascii="Arial Narrow" w:hAnsi="Arial Narrow" w:cs="Tahoma"/>
                <w:sz w:val="20"/>
                <w:szCs w:val="22"/>
                <w:lang w:eastAsia="en-US"/>
              </w:rPr>
            </w:pPr>
            <w:r w:rsidRPr="00E13628">
              <w:rPr>
                <w:rFonts w:ascii="Arial Narrow" w:hAnsi="Arial Narrow" w:cs="Tahoma"/>
                <w:sz w:val="20"/>
                <w:szCs w:val="22"/>
                <w:lang w:eastAsia="en-US"/>
              </w:rPr>
              <w:t>Efficacy of ECP used in the economic model informed from Australian registry studies with the efficacy of SOC based on the relative efficacy of SOC to ECP reported in Flowers (2008).</w:t>
            </w:r>
          </w:p>
        </w:tc>
      </w:tr>
      <w:tr w:rsidR="00E13628" w:rsidRPr="00E13628" w14:paraId="40C80C21" w14:textId="77777777" w:rsidTr="00C13C95">
        <w:tc>
          <w:tcPr>
            <w:tcW w:w="1069" w:type="pct"/>
          </w:tcPr>
          <w:p w14:paraId="14379180" w14:textId="77777777" w:rsidR="00E13628" w:rsidRPr="00E13628" w:rsidRDefault="00E13628" w:rsidP="00E13628">
            <w:pPr>
              <w:keepNext/>
              <w:widowControl w:val="0"/>
              <w:spacing w:after="40"/>
              <w:rPr>
                <w:rFonts w:ascii="Arial Narrow" w:hAnsi="Arial Narrow" w:cs="Tahoma"/>
                <w:sz w:val="20"/>
                <w:szCs w:val="22"/>
                <w:lang w:eastAsia="en-US"/>
              </w:rPr>
            </w:pPr>
            <w:r w:rsidRPr="00E13628">
              <w:rPr>
                <w:rFonts w:ascii="Arial Narrow" w:hAnsi="Arial Narrow" w:cs="Tahoma"/>
                <w:sz w:val="20"/>
                <w:szCs w:val="22"/>
                <w:lang w:eastAsia="en-US"/>
              </w:rPr>
              <w:t>Natural history of cGVHD</w:t>
            </w:r>
          </w:p>
        </w:tc>
        <w:tc>
          <w:tcPr>
            <w:tcW w:w="1983" w:type="pct"/>
          </w:tcPr>
          <w:p w14:paraId="32D5A9BA" w14:textId="77777777" w:rsidR="00E13628" w:rsidRPr="00E13628" w:rsidRDefault="00E13628" w:rsidP="004B30DB">
            <w:pPr>
              <w:keepNext/>
              <w:widowControl w:val="0"/>
              <w:spacing w:after="40"/>
              <w:rPr>
                <w:rFonts w:ascii="Arial Narrow" w:hAnsi="Arial Narrow" w:cs="Arial"/>
                <w:color w:val="000000"/>
                <w:sz w:val="20"/>
                <w:lang w:eastAsia="en-US"/>
              </w:rPr>
            </w:pPr>
            <w:r w:rsidRPr="00E13628">
              <w:rPr>
                <w:rFonts w:ascii="Arial Narrow" w:hAnsi="Arial Narrow" w:cs="Arial"/>
                <w:color w:val="000000"/>
                <w:sz w:val="20"/>
                <w:lang w:eastAsia="en-US"/>
              </w:rPr>
              <w:t>A review of natural history studies of cGVHD for longer-term outcomes (mortality, disease progression and hospitalisations) in the economic model and to assess whether mortality differed for patients who responded to treatment compared with patients who did not.</w:t>
            </w:r>
          </w:p>
        </w:tc>
        <w:tc>
          <w:tcPr>
            <w:tcW w:w="1948" w:type="pct"/>
          </w:tcPr>
          <w:p w14:paraId="49DD1053" w14:textId="77777777" w:rsidR="00E13628" w:rsidRPr="00E13628" w:rsidRDefault="00E13628" w:rsidP="00E13628">
            <w:pPr>
              <w:keepNext/>
              <w:widowControl w:val="0"/>
              <w:spacing w:after="40"/>
              <w:rPr>
                <w:rFonts w:ascii="Arial Narrow" w:hAnsi="Arial Narrow" w:cs="Tahoma"/>
                <w:sz w:val="20"/>
                <w:szCs w:val="22"/>
                <w:lang w:eastAsia="en-US"/>
              </w:rPr>
            </w:pPr>
            <w:r w:rsidRPr="00E13628">
              <w:rPr>
                <w:rFonts w:ascii="Arial Narrow" w:hAnsi="Arial Narrow" w:cs="Tahoma"/>
                <w:sz w:val="20"/>
                <w:szCs w:val="22"/>
                <w:lang w:eastAsia="en-US"/>
              </w:rPr>
              <w:t>Rates of mortality reported in the Australian registry studies (stratified by whether or not patients responded to treatment) were used in the model. Hospitalisation data was also used to validate frequency of hospitalisation in the model.</w:t>
            </w:r>
          </w:p>
        </w:tc>
      </w:tr>
      <w:tr w:rsidR="00E13628" w:rsidRPr="00E13628" w14:paraId="4AAB15CD" w14:textId="77777777" w:rsidTr="00C13C95">
        <w:tc>
          <w:tcPr>
            <w:tcW w:w="1069" w:type="pct"/>
          </w:tcPr>
          <w:p w14:paraId="55862EDF" w14:textId="77777777" w:rsidR="00E13628" w:rsidRPr="00E13628" w:rsidRDefault="00E13628" w:rsidP="00E13628">
            <w:pPr>
              <w:keepNext/>
              <w:widowControl w:val="0"/>
              <w:spacing w:after="40"/>
              <w:rPr>
                <w:rFonts w:ascii="Arial Narrow" w:hAnsi="Arial Narrow" w:cs="Tahoma"/>
                <w:sz w:val="20"/>
                <w:szCs w:val="22"/>
                <w:lang w:eastAsia="en-US"/>
              </w:rPr>
            </w:pPr>
            <w:r w:rsidRPr="00E13628">
              <w:rPr>
                <w:rFonts w:ascii="Arial Narrow" w:hAnsi="Arial Narrow" w:cs="Tahoma"/>
                <w:sz w:val="20"/>
                <w:szCs w:val="22"/>
                <w:lang w:eastAsia="en-US"/>
              </w:rPr>
              <w:t>Utility values used in the economic model</w:t>
            </w:r>
          </w:p>
        </w:tc>
        <w:tc>
          <w:tcPr>
            <w:tcW w:w="1983" w:type="pct"/>
          </w:tcPr>
          <w:p w14:paraId="17C0F589" w14:textId="77777777" w:rsidR="00E13628" w:rsidRPr="00E13628" w:rsidRDefault="00E13628" w:rsidP="00E13628">
            <w:pPr>
              <w:keepNext/>
              <w:widowControl w:val="0"/>
              <w:spacing w:after="40"/>
              <w:rPr>
                <w:rFonts w:ascii="Arial Narrow" w:hAnsi="Arial Narrow" w:cs="Tahoma"/>
                <w:sz w:val="20"/>
                <w:szCs w:val="22"/>
                <w:lang w:eastAsia="en-US"/>
              </w:rPr>
            </w:pPr>
            <w:r w:rsidRPr="00E13628">
              <w:rPr>
                <w:rFonts w:ascii="Arial Narrow" w:hAnsi="Arial Narrow" w:cs="Tahoma"/>
                <w:sz w:val="20"/>
                <w:szCs w:val="22"/>
                <w:lang w:eastAsia="en-US"/>
              </w:rPr>
              <w:t>Utility values associated with disease progression and treatment were sourced from the literature.</w:t>
            </w:r>
          </w:p>
        </w:tc>
        <w:tc>
          <w:tcPr>
            <w:tcW w:w="1948" w:type="pct"/>
          </w:tcPr>
          <w:p w14:paraId="6098380C" w14:textId="77777777" w:rsidR="00E13628" w:rsidRPr="00E13628" w:rsidRDefault="00E13628" w:rsidP="00E13628">
            <w:pPr>
              <w:keepNext/>
              <w:widowControl w:val="0"/>
              <w:spacing w:after="40"/>
              <w:rPr>
                <w:rFonts w:ascii="Arial Narrow" w:hAnsi="Arial Narrow" w:cs="Tahoma"/>
                <w:sz w:val="20"/>
                <w:szCs w:val="22"/>
                <w:lang w:eastAsia="en-US"/>
              </w:rPr>
            </w:pPr>
            <w:r w:rsidRPr="00E13628">
              <w:rPr>
                <w:rFonts w:ascii="Arial Narrow" w:hAnsi="Arial Narrow" w:cs="Tahoma"/>
                <w:sz w:val="20"/>
                <w:szCs w:val="22"/>
                <w:lang w:eastAsia="en-US"/>
              </w:rPr>
              <w:t>Utility values used in the base case were 0.786 (response) and 0.696 (progressed).</w:t>
            </w:r>
          </w:p>
        </w:tc>
      </w:tr>
    </w:tbl>
    <w:p w14:paraId="20703377" w14:textId="77777777" w:rsidR="00E13628" w:rsidRPr="00E13628" w:rsidRDefault="00E13628" w:rsidP="00E13628">
      <w:pPr>
        <w:widowControl w:val="0"/>
        <w:jc w:val="both"/>
        <w:rPr>
          <w:rFonts w:ascii="Arial Narrow" w:hAnsi="Arial Narrow" w:cs="Arial"/>
          <w:snapToGrid w:val="0"/>
          <w:sz w:val="18"/>
          <w:lang w:eastAsia="en-US"/>
        </w:rPr>
      </w:pPr>
      <w:r w:rsidRPr="00E13628">
        <w:rPr>
          <w:rFonts w:ascii="Arial Narrow" w:hAnsi="Arial Narrow" w:cs="Arial"/>
          <w:snapToGrid w:val="0"/>
          <w:sz w:val="18"/>
          <w:lang w:eastAsia="en-US"/>
        </w:rPr>
        <w:t>Source: Table C.8, p157 of the ADAR</w:t>
      </w:r>
    </w:p>
    <w:p w14:paraId="0B73157B" w14:textId="77777777" w:rsidR="00E13628" w:rsidRPr="00E13628" w:rsidRDefault="00E13628" w:rsidP="00E13628">
      <w:pPr>
        <w:widowControl w:val="0"/>
        <w:spacing w:after="240"/>
        <w:jc w:val="both"/>
        <w:rPr>
          <w:rFonts w:ascii="Arial Narrow" w:hAnsi="Arial Narrow" w:cs="Arial"/>
          <w:snapToGrid w:val="0"/>
          <w:sz w:val="18"/>
          <w:lang w:eastAsia="en-US"/>
        </w:rPr>
      </w:pPr>
      <w:r w:rsidRPr="00E13628">
        <w:rPr>
          <w:rFonts w:ascii="Arial Narrow" w:hAnsi="Arial Narrow" w:cs="Arial"/>
          <w:snapToGrid w:val="0"/>
          <w:sz w:val="18"/>
          <w:lang w:eastAsia="en-US"/>
        </w:rPr>
        <w:t>cGVHD, chronic graft versus host disease; ECP, extracorporeal photopheresis</w:t>
      </w:r>
    </w:p>
    <w:p w14:paraId="590BBA77" w14:textId="642A90B5" w:rsidR="00E13628" w:rsidRDefault="00E13628" w:rsidP="00E13628">
      <w:pPr>
        <w:rPr>
          <w:i/>
          <w:iCs/>
        </w:rPr>
      </w:pPr>
      <w:r w:rsidRPr="00E13628">
        <w:t>The ADAR note</w:t>
      </w:r>
      <w:r w:rsidR="00CA5D0B">
        <w:t>d</w:t>
      </w:r>
      <w:r w:rsidRPr="00E13628">
        <w:t xml:space="preserve"> that the complete or partial clinical response rate of patients that received ECP plus methoxsalen in the </w:t>
      </w:r>
      <w:r w:rsidR="00EA6BC8">
        <w:t>registry (</w:t>
      </w:r>
      <w:r w:rsidRPr="00E13628">
        <w:t>RPAH SAS and VCCC SAS</w:t>
      </w:r>
      <w:r w:rsidR="00EA6BC8">
        <w:t>)</w:t>
      </w:r>
      <w:r w:rsidRPr="00E13628">
        <w:t xml:space="preserve"> studies w</w:t>
      </w:r>
      <w:r w:rsidR="00EA6BC8">
        <w:t>as</w:t>
      </w:r>
      <w:r w:rsidRPr="00E13628">
        <w:t xml:space="preserve"> higher than the complete and partial clinical skin response rate reported by Flowers (2008) (79% and 82% (</w:t>
      </w:r>
      <w:r w:rsidRPr="00E13628">
        <w:rPr>
          <w:i/>
          <w:iCs/>
        </w:rPr>
        <w:fldChar w:fldCharType="begin"/>
      </w:r>
      <w:r w:rsidRPr="00E13628">
        <w:instrText xml:space="preserve"> REF _Ref71079192 \h </w:instrText>
      </w:r>
      <w:r>
        <w:rPr>
          <w:i/>
          <w:iCs/>
        </w:rPr>
        <w:instrText xml:space="preserve"> \* MERGEFORMAT </w:instrText>
      </w:r>
      <w:r w:rsidRPr="00E13628">
        <w:rPr>
          <w:i/>
          <w:iCs/>
        </w:rPr>
      </w:r>
      <w:r w:rsidRPr="00E13628">
        <w:rPr>
          <w:i/>
          <w:iCs/>
        </w:rPr>
        <w:fldChar w:fldCharType="separate"/>
      </w:r>
      <w:r w:rsidR="008407AE" w:rsidRPr="008407AE">
        <w:t xml:space="preserve">Table </w:t>
      </w:r>
      <w:r w:rsidR="008407AE" w:rsidRPr="008407AE">
        <w:rPr>
          <w:noProof/>
        </w:rPr>
        <w:t>5</w:t>
      </w:r>
      <w:r w:rsidRPr="00E13628">
        <w:rPr>
          <w:i/>
          <w:iCs/>
        </w:rPr>
        <w:fldChar w:fldCharType="end"/>
      </w:r>
      <w:r w:rsidRPr="00E13628">
        <w:t>) versus 40% (</w:t>
      </w:r>
      <w:r w:rsidRPr="00E13628">
        <w:fldChar w:fldCharType="begin"/>
      </w:r>
      <w:r w:rsidRPr="00E13628">
        <w:instrText xml:space="preserve"> REF _Ref71078883 \h </w:instrText>
      </w:r>
      <w:r>
        <w:instrText xml:space="preserve"> \* MERGEFORMAT </w:instrText>
      </w:r>
      <w:r w:rsidRPr="00E13628">
        <w:fldChar w:fldCharType="separate"/>
      </w:r>
      <w:r w:rsidR="008407AE" w:rsidRPr="008407AE">
        <w:t xml:space="preserve">Table </w:t>
      </w:r>
      <w:r w:rsidR="008407AE" w:rsidRPr="008407AE">
        <w:rPr>
          <w:noProof/>
        </w:rPr>
        <w:t>4</w:t>
      </w:r>
      <w:r w:rsidRPr="00E13628">
        <w:fldChar w:fldCharType="end"/>
      </w:r>
      <w:r w:rsidRPr="00E13628">
        <w:t>), respectively). The ADAR attribute</w:t>
      </w:r>
      <w:r w:rsidR="00CA5D0B">
        <w:t>d</w:t>
      </w:r>
      <w:r w:rsidRPr="00E13628">
        <w:t xml:space="preserve"> this difference to differences in the definition of response from the 2005 NIH guidelines, used in Flowers (2008) and the 2014 NIH guidelines, used in the RPAH </w:t>
      </w:r>
      <w:r w:rsidR="00CA5D0B">
        <w:t xml:space="preserve">SAS </w:t>
      </w:r>
      <w:r w:rsidRPr="00E13628">
        <w:t xml:space="preserve">and VCCC </w:t>
      </w:r>
      <w:r w:rsidR="00CA5D0B">
        <w:t xml:space="preserve">SAS </w:t>
      </w:r>
      <w:r w:rsidRPr="00E13628">
        <w:t>studies, contending that</w:t>
      </w:r>
      <w:r w:rsidRPr="00E13628">
        <w:rPr>
          <w:i/>
          <w:iCs/>
        </w:rPr>
        <w:t xml:space="preserve"> </w:t>
      </w:r>
      <w:r w:rsidRPr="00E13628">
        <w:t xml:space="preserve">the clinical assessments made during the RPAH </w:t>
      </w:r>
      <w:r w:rsidR="00CA5D0B">
        <w:t xml:space="preserve">SAS </w:t>
      </w:r>
      <w:r w:rsidRPr="00E13628">
        <w:t xml:space="preserve">and VCCC SAS studies under the guidance of the 2014 NIH Clinical Guideline may have been more sensitive in detecting partial clinical response following ECP plus methoxsalen treatment than clinical </w:t>
      </w:r>
      <w:r w:rsidRPr="00E13628">
        <w:lastRenderedPageBreak/>
        <w:t xml:space="preserve">assessments made in the Flowers (2008) RCT using the 2005 NIH Clinical Guideline. </w:t>
      </w:r>
      <w:r w:rsidR="00EA6BC8">
        <w:t xml:space="preserve">The Commentary </w:t>
      </w:r>
      <w:r w:rsidRPr="00E13628">
        <w:rPr>
          <w:iCs/>
        </w:rPr>
        <w:t>noted that the RPAH and VCCC studies d</w:t>
      </w:r>
      <w:r w:rsidR="00EA6BC8">
        <w:rPr>
          <w:iCs/>
        </w:rPr>
        <w:t>id</w:t>
      </w:r>
      <w:r w:rsidRPr="00E13628">
        <w:rPr>
          <w:iCs/>
        </w:rPr>
        <w:t xml:space="preserve"> not explicitly define response as per NIH 2014 criteria.</w:t>
      </w:r>
    </w:p>
    <w:p w14:paraId="31FD5C92" w14:textId="3A1FBD87" w:rsidR="00E13628" w:rsidRPr="00E13628" w:rsidRDefault="00E13628" w:rsidP="00B853FB">
      <w:pPr>
        <w:spacing w:before="240"/>
        <w:rPr>
          <w:iCs/>
        </w:rPr>
      </w:pPr>
      <w:r w:rsidRPr="00E13628">
        <w:rPr>
          <w:iCs/>
        </w:rPr>
        <w:t>The Commentary highlighted differences in the response rates in the clinical evidence and the economic model. The complete and partial cutaneous response in the ECP arm of Flowers (2008) was 40% compared with 10% in the SOC arm (an increment of 30%). The ADAR assume</w:t>
      </w:r>
      <w:r w:rsidR="00EA6BC8">
        <w:rPr>
          <w:iCs/>
        </w:rPr>
        <w:t>d</w:t>
      </w:r>
      <w:r w:rsidRPr="00E13628">
        <w:rPr>
          <w:iCs/>
        </w:rPr>
        <w:t xml:space="preserve"> that the response rate in the ECP treatment arm is 80.2% (the average of the global complete and partial clinical response rates reported in the RPAH SAS and VCCC SAS – Adult population), and estimate</w:t>
      </w:r>
      <w:r w:rsidR="00EA6BC8">
        <w:rPr>
          <w:iCs/>
        </w:rPr>
        <w:t>d</w:t>
      </w:r>
      <w:r w:rsidRPr="00E13628">
        <w:rPr>
          <w:iCs/>
        </w:rPr>
        <w:t xml:space="preserve"> the SOC arm response rate (20.3%) by applying a relative risk of 3.95 based on the complete and partial cutaneous response rates for ECP and SOC at 12 weeks in Flowers (2008)</w:t>
      </w:r>
      <w:r w:rsidR="00EA6BC8">
        <w:rPr>
          <w:iCs/>
        </w:rPr>
        <w:t>, resulting in</w:t>
      </w:r>
      <w:r w:rsidRPr="00E13628">
        <w:rPr>
          <w:iCs/>
        </w:rPr>
        <w:t xml:space="preserve"> an increment of 59.9%; i.e. double that observed in the trial. </w:t>
      </w:r>
      <w:r w:rsidR="00AC1D7D">
        <w:rPr>
          <w:iCs/>
        </w:rPr>
        <w:t xml:space="preserve">The Commentary suggested that </w:t>
      </w:r>
      <w:r w:rsidRPr="00E13628">
        <w:rPr>
          <w:iCs/>
        </w:rPr>
        <w:t>MSAC may wish to consider whether this assumption is adequately justified.</w:t>
      </w:r>
    </w:p>
    <w:p w14:paraId="5FD511BF" w14:textId="5FDCF98C" w:rsidR="00E13628" w:rsidRPr="00E13628" w:rsidRDefault="00E13628" w:rsidP="00B853FB">
      <w:pPr>
        <w:spacing w:before="240"/>
      </w:pPr>
      <w:r w:rsidRPr="00E13628">
        <w:t xml:space="preserve">The ADAR estimated that non-responders had a three-times greater per cycle probability of death than in responders. </w:t>
      </w:r>
      <w:r>
        <w:t xml:space="preserve">The Commentary noted that </w:t>
      </w:r>
      <w:r w:rsidRPr="00783676">
        <w:rPr>
          <w:iCs/>
        </w:rPr>
        <w:t>this was calculated from RPAH</w:t>
      </w:r>
      <w:r w:rsidR="00EA6BC8">
        <w:rPr>
          <w:iCs/>
        </w:rPr>
        <w:t xml:space="preserve"> SAS</w:t>
      </w:r>
      <w:r w:rsidRPr="00783676">
        <w:rPr>
          <w:iCs/>
        </w:rPr>
        <w:t xml:space="preserve"> and VCCC SAS data</w:t>
      </w:r>
      <w:r w:rsidRPr="00783676">
        <w:t xml:space="preserve"> based on an assumption that there was patient follow-up of 4 years. </w:t>
      </w:r>
      <w:r w:rsidR="00783676">
        <w:t>The Commentary noted that</w:t>
      </w:r>
      <w:r w:rsidR="00EA6BC8">
        <w:t>,</w:t>
      </w:r>
      <w:r w:rsidR="00783676">
        <w:t xml:space="preserve"> </w:t>
      </w:r>
      <w:r w:rsidR="00EA6BC8">
        <w:t>al</w:t>
      </w:r>
      <w:r w:rsidR="00783676">
        <w:t>t</w:t>
      </w:r>
      <w:r w:rsidRPr="00783676">
        <w:t xml:space="preserve">hough some of the studies in the natural history review showed statistically significant increases in overall survival associated with response, it did not necessarily support the application of mortality probabilities over assumed time periods from the VCCC </w:t>
      </w:r>
      <w:r w:rsidR="00EA6BC8">
        <w:t xml:space="preserve">SAS </w:t>
      </w:r>
      <w:r w:rsidRPr="00783676">
        <w:t xml:space="preserve">and RPAH </w:t>
      </w:r>
      <w:r w:rsidR="00EA6BC8">
        <w:t>SAS</w:t>
      </w:r>
      <w:r w:rsidRPr="00783676">
        <w:t xml:space="preserve"> studies. </w:t>
      </w:r>
      <w:r w:rsidR="00783676">
        <w:t>The Commentary considered that t</w:t>
      </w:r>
      <w:r w:rsidRPr="00783676">
        <w:t>his may be entirely or partially the reason that the model results substantially overestimated mortality in the SOC arm compared to Lee (2018) included in the ADAR’s natural history review.</w:t>
      </w:r>
    </w:p>
    <w:p w14:paraId="579DADB8" w14:textId="11825A4E" w:rsidR="00783676" w:rsidRDefault="00783676" w:rsidP="00B853FB">
      <w:pPr>
        <w:spacing w:before="240" w:after="240"/>
      </w:pPr>
      <w:r w:rsidRPr="00783676">
        <w:t xml:space="preserve">The economic evaluation is summarised in </w:t>
      </w:r>
      <w:r w:rsidRPr="00783676">
        <w:fldChar w:fldCharType="begin"/>
      </w:r>
      <w:r w:rsidRPr="00783676">
        <w:instrText xml:space="preserve"> REF _Ref404370956 \h </w:instrText>
      </w:r>
      <w:r>
        <w:instrText xml:space="preserve"> \* MERGEFORMAT </w:instrText>
      </w:r>
      <w:r w:rsidRPr="00783676">
        <w:fldChar w:fldCharType="separate"/>
      </w:r>
      <w:r w:rsidR="008407AE" w:rsidRPr="008407AE">
        <w:t xml:space="preserve">Table </w:t>
      </w:r>
      <w:r w:rsidR="008407AE" w:rsidRPr="008407AE">
        <w:rPr>
          <w:noProof/>
        </w:rPr>
        <w:t>9</w:t>
      </w:r>
      <w:r w:rsidRPr="00783676">
        <w:fldChar w:fldCharType="end"/>
      </w:r>
      <w:r w:rsidRPr="00783676">
        <w:t>.</w:t>
      </w:r>
    </w:p>
    <w:p w14:paraId="571E5617" w14:textId="232A5D8F" w:rsidR="00783676" w:rsidRPr="00783676" w:rsidRDefault="00783676" w:rsidP="00783676">
      <w:pPr>
        <w:keepNext/>
        <w:spacing w:after="120"/>
        <w:rPr>
          <w:rFonts w:ascii="Arial Narrow" w:hAnsi="Arial Narrow" w:cs="Tahoma"/>
          <w:b/>
          <w:bCs/>
          <w:sz w:val="20"/>
          <w:szCs w:val="22"/>
        </w:rPr>
      </w:pPr>
      <w:bookmarkStart w:id="21" w:name="_Ref404370956"/>
      <w:bookmarkStart w:id="22" w:name="_Ref394419656"/>
      <w:bookmarkStart w:id="23" w:name="_Toc399251123"/>
      <w:r w:rsidRPr="00783676">
        <w:rPr>
          <w:rFonts w:ascii="Arial Narrow" w:hAnsi="Arial Narrow" w:cs="Tahoma"/>
          <w:b/>
          <w:bCs/>
          <w:sz w:val="20"/>
          <w:szCs w:val="22"/>
        </w:rPr>
        <w:t xml:space="preserve">Table </w:t>
      </w:r>
      <w:r w:rsidRPr="00783676">
        <w:rPr>
          <w:rFonts w:ascii="Arial Narrow" w:hAnsi="Arial Narrow" w:cs="Tahoma"/>
          <w:b/>
          <w:bCs/>
          <w:sz w:val="20"/>
          <w:szCs w:val="22"/>
        </w:rPr>
        <w:fldChar w:fldCharType="begin"/>
      </w:r>
      <w:r w:rsidRPr="00783676">
        <w:rPr>
          <w:rFonts w:ascii="Arial Narrow" w:hAnsi="Arial Narrow" w:cs="Tahoma"/>
          <w:b/>
          <w:bCs/>
          <w:sz w:val="20"/>
          <w:szCs w:val="22"/>
        </w:rPr>
        <w:instrText xml:space="preserve"> SEQ Table \* ARABIC </w:instrText>
      </w:r>
      <w:r w:rsidRPr="00783676">
        <w:rPr>
          <w:rFonts w:ascii="Arial Narrow" w:hAnsi="Arial Narrow" w:cs="Tahoma"/>
          <w:b/>
          <w:bCs/>
          <w:sz w:val="20"/>
          <w:szCs w:val="22"/>
        </w:rPr>
        <w:fldChar w:fldCharType="separate"/>
      </w:r>
      <w:r w:rsidR="008407AE">
        <w:rPr>
          <w:rFonts w:ascii="Arial Narrow" w:hAnsi="Arial Narrow" w:cs="Tahoma"/>
          <w:b/>
          <w:bCs/>
          <w:noProof/>
          <w:sz w:val="20"/>
          <w:szCs w:val="22"/>
        </w:rPr>
        <w:t>9</w:t>
      </w:r>
      <w:r w:rsidRPr="00783676">
        <w:rPr>
          <w:rFonts w:ascii="Arial Narrow" w:hAnsi="Arial Narrow" w:cs="Tahoma"/>
          <w:b/>
          <w:bCs/>
          <w:noProof/>
          <w:sz w:val="20"/>
          <w:szCs w:val="22"/>
        </w:rPr>
        <w:fldChar w:fldCharType="end"/>
      </w:r>
      <w:bookmarkEnd w:id="21"/>
      <w:r w:rsidR="0034138C">
        <w:rPr>
          <w:rFonts w:ascii="Arial Narrow" w:hAnsi="Arial Narrow" w:cs="Tahoma"/>
          <w:b/>
          <w:bCs/>
          <w:noProof/>
          <w:sz w:val="20"/>
          <w:szCs w:val="22"/>
        </w:rPr>
        <w:t>:</w:t>
      </w:r>
      <w:r w:rsidR="00EA6BC8">
        <w:rPr>
          <w:rFonts w:ascii="Arial Narrow" w:hAnsi="Arial Narrow" w:cs="Tahoma"/>
          <w:b/>
          <w:bCs/>
          <w:noProof/>
          <w:sz w:val="20"/>
          <w:szCs w:val="22"/>
        </w:rPr>
        <w:t xml:space="preserve"> </w:t>
      </w:r>
      <w:r w:rsidRPr="00783676">
        <w:rPr>
          <w:rFonts w:ascii="Arial Narrow" w:hAnsi="Arial Narrow" w:cs="Tahoma"/>
          <w:b/>
          <w:bCs/>
          <w:sz w:val="20"/>
          <w:szCs w:val="22"/>
        </w:rPr>
        <w:t>Summary of the economic evaluation</w:t>
      </w:r>
      <w:bookmarkEnd w:id="22"/>
      <w:bookmarkEnd w:id="23"/>
    </w:p>
    <w:tbl>
      <w:tblPr>
        <w:tblStyle w:val="OPTUMTableNormal"/>
        <w:tblW w:w="9021" w:type="dxa"/>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3184"/>
        <w:gridCol w:w="5837"/>
      </w:tblGrid>
      <w:tr w:rsidR="00783676" w:rsidRPr="00783676" w14:paraId="25BAEC6D" w14:textId="77777777" w:rsidTr="002D4F5D">
        <w:trPr>
          <w:cnfStyle w:val="100000000000" w:firstRow="1" w:lastRow="0" w:firstColumn="0" w:lastColumn="0" w:oddVBand="0" w:evenVBand="0" w:oddHBand="0" w:evenHBand="0" w:firstRowFirstColumn="0" w:firstRowLastColumn="0" w:lastRowFirstColumn="0" w:lastRowLastColumn="0"/>
          <w:trHeight w:val="20"/>
        </w:trPr>
        <w:tc>
          <w:tcPr>
            <w:tcW w:w="3184" w:type="dxa"/>
          </w:tcPr>
          <w:p w14:paraId="41D99FED" w14:textId="77777777" w:rsidR="00783676" w:rsidRPr="00783676" w:rsidRDefault="00783676" w:rsidP="00783676">
            <w:pPr>
              <w:keepNext/>
              <w:spacing w:after="40"/>
              <w:rPr>
                <w:rFonts w:ascii="Arial Narrow" w:hAnsi="Arial Narrow" w:cs="Tahoma"/>
                <w:sz w:val="20"/>
              </w:rPr>
            </w:pPr>
            <w:r w:rsidRPr="00783676">
              <w:rPr>
                <w:rFonts w:ascii="Arial Narrow" w:hAnsi="Arial Narrow" w:cs="Tahoma"/>
                <w:sz w:val="20"/>
              </w:rPr>
              <w:t>Perspective</w:t>
            </w:r>
          </w:p>
        </w:tc>
        <w:tc>
          <w:tcPr>
            <w:tcW w:w="5837" w:type="dxa"/>
          </w:tcPr>
          <w:p w14:paraId="54D90C55" w14:textId="77777777" w:rsidR="00783676" w:rsidRPr="00783676" w:rsidRDefault="00783676" w:rsidP="00783676">
            <w:pPr>
              <w:keepNext/>
              <w:spacing w:after="40"/>
              <w:rPr>
                <w:rFonts w:ascii="Arial Narrow" w:hAnsi="Arial Narrow" w:cs="Tahoma"/>
                <w:sz w:val="20"/>
              </w:rPr>
            </w:pPr>
            <w:r w:rsidRPr="00783676">
              <w:rPr>
                <w:rFonts w:ascii="Arial Narrow" w:hAnsi="Arial Narrow" w:cs="Tahoma"/>
                <w:sz w:val="20"/>
              </w:rPr>
              <w:t>Australian health care</w:t>
            </w:r>
          </w:p>
        </w:tc>
      </w:tr>
      <w:tr w:rsidR="00783676" w:rsidRPr="00783676" w14:paraId="3911682A" w14:textId="77777777" w:rsidTr="002D4F5D">
        <w:trPr>
          <w:trHeight w:val="20"/>
        </w:trPr>
        <w:tc>
          <w:tcPr>
            <w:tcW w:w="3184" w:type="dxa"/>
          </w:tcPr>
          <w:p w14:paraId="0F0CD962" w14:textId="77777777" w:rsidR="00783676" w:rsidRPr="00783676" w:rsidRDefault="00783676" w:rsidP="00783676">
            <w:pPr>
              <w:keepNext/>
              <w:spacing w:after="40"/>
              <w:rPr>
                <w:rFonts w:ascii="Arial Narrow" w:hAnsi="Arial Narrow" w:cs="Tahoma"/>
                <w:sz w:val="20"/>
              </w:rPr>
            </w:pPr>
            <w:r w:rsidRPr="00783676">
              <w:rPr>
                <w:rFonts w:ascii="Arial Narrow" w:hAnsi="Arial Narrow" w:cs="Tahoma"/>
                <w:sz w:val="20"/>
              </w:rPr>
              <w:t>Comparator</w:t>
            </w:r>
          </w:p>
        </w:tc>
        <w:tc>
          <w:tcPr>
            <w:tcW w:w="5837" w:type="dxa"/>
          </w:tcPr>
          <w:p w14:paraId="7AFC3886" w14:textId="77777777" w:rsidR="00783676" w:rsidRPr="00783676" w:rsidRDefault="00783676" w:rsidP="00783676">
            <w:pPr>
              <w:keepNext/>
              <w:spacing w:after="40"/>
              <w:rPr>
                <w:rFonts w:ascii="Arial Narrow" w:hAnsi="Arial Narrow" w:cs="Tahoma"/>
                <w:sz w:val="20"/>
              </w:rPr>
            </w:pPr>
            <w:r w:rsidRPr="00783676">
              <w:rPr>
                <w:rFonts w:ascii="Arial Narrow" w:hAnsi="Arial Narrow" w:cs="Tahoma"/>
                <w:sz w:val="20"/>
              </w:rPr>
              <w:t>Standard of Care</w:t>
            </w:r>
          </w:p>
        </w:tc>
      </w:tr>
      <w:tr w:rsidR="00783676" w:rsidRPr="00783676" w14:paraId="17132F65" w14:textId="77777777" w:rsidTr="002D4F5D">
        <w:trPr>
          <w:trHeight w:val="20"/>
        </w:trPr>
        <w:tc>
          <w:tcPr>
            <w:tcW w:w="3184" w:type="dxa"/>
          </w:tcPr>
          <w:p w14:paraId="6BD5D3EB" w14:textId="77777777" w:rsidR="00783676" w:rsidRPr="00783676" w:rsidRDefault="00783676" w:rsidP="00783676">
            <w:pPr>
              <w:keepNext/>
              <w:spacing w:after="40"/>
              <w:rPr>
                <w:rFonts w:ascii="Arial Narrow" w:hAnsi="Arial Narrow" w:cs="Tahoma"/>
                <w:sz w:val="20"/>
              </w:rPr>
            </w:pPr>
            <w:r w:rsidRPr="00783676">
              <w:rPr>
                <w:rFonts w:ascii="Arial Narrow" w:hAnsi="Arial Narrow" w:cs="Tahoma"/>
                <w:sz w:val="20"/>
              </w:rPr>
              <w:t>Type of economic evaluation</w:t>
            </w:r>
          </w:p>
        </w:tc>
        <w:tc>
          <w:tcPr>
            <w:tcW w:w="5837" w:type="dxa"/>
          </w:tcPr>
          <w:p w14:paraId="052FD536" w14:textId="77777777" w:rsidR="00783676" w:rsidRPr="00783676" w:rsidRDefault="00783676" w:rsidP="00783676">
            <w:pPr>
              <w:keepNext/>
              <w:spacing w:after="40"/>
              <w:rPr>
                <w:rFonts w:ascii="Arial Narrow" w:hAnsi="Arial Narrow" w:cs="Tahoma"/>
                <w:sz w:val="20"/>
              </w:rPr>
            </w:pPr>
            <w:r w:rsidRPr="00783676">
              <w:rPr>
                <w:rFonts w:ascii="Arial Narrow" w:hAnsi="Arial Narrow" w:cs="Tahoma"/>
                <w:sz w:val="20"/>
              </w:rPr>
              <w:t>Cost-utility.</w:t>
            </w:r>
          </w:p>
        </w:tc>
      </w:tr>
      <w:tr w:rsidR="00783676" w:rsidRPr="00783676" w14:paraId="4CE5A0FD" w14:textId="77777777" w:rsidTr="002D4F5D">
        <w:trPr>
          <w:trHeight w:val="20"/>
        </w:trPr>
        <w:tc>
          <w:tcPr>
            <w:tcW w:w="3184" w:type="dxa"/>
          </w:tcPr>
          <w:p w14:paraId="560DE0B3" w14:textId="77777777" w:rsidR="00783676" w:rsidRPr="00783676" w:rsidRDefault="00783676" w:rsidP="00783676">
            <w:pPr>
              <w:keepNext/>
              <w:spacing w:after="40"/>
              <w:rPr>
                <w:rFonts w:ascii="Arial Narrow" w:hAnsi="Arial Narrow" w:cs="Tahoma"/>
                <w:sz w:val="20"/>
              </w:rPr>
            </w:pPr>
            <w:r w:rsidRPr="00783676">
              <w:rPr>
                <w:rFonts w:ascii="Arial Narrow" w:hAnsi="Arial Narrow" w:cs="Tahoma"/>
                <w:sz w:val="20"/>
              </w:rPr>
              <w:t>Sources of evidence</w:t>
            </w:r>
          </w:p>
        </w:tc>
        <w:tc>
          <w:tcPr>
            <w:tcW w:w="5837" w:type="dxa"/>
          </w:tcPr>
          <w:p w14:paraId="6D7216E8" w14:textId="77777777" w:rsidR="00783676" w:rsidRPr="00783676" w:rsidRDefault="00783676" w:rsidP="00783676">
            <w:pPr>
              <w:keepNext/>
              <w:spacing w:after="40"/>
              <w:rPr>
                <w:rFonts w:ascii="Arial Narrow" w:hAnsi="Arial Narrow" w:cs="Tahoma"/>
                <w:sz w:val="20"/>
              </w:rPr>
            </w:pPr>
            <w:r w:rsidRPr="00783676">
              <w:rPr>
                <w:rFonts w:ascii="Arial Narrow" w:hAnsi="Arial Narrow" w:cs="Tahoma"/>
                <w:sz w:val="20"/>
              </w:rPr>
              <w:t>RPAH and VCCC SAS studies, Flowers 2008</w:t>
            </w:r>
          </w:p>
        </w:tc>
      </w:tr>
      <w:tr w:rsidR="00783676" w:rsidRPr="00783676" w14:paraId="308EDD63" w14:textId="77777777" w:rsidTr="002D4F5D">
        <w:trPr>
          <w:trHeight w:val="20"/>
        </w:trPr>
        <w:tc>
          <w:tcPr>
            <w:tcW w:w="3184" w:type="dxa"/>
            <w:hideMark/>
          </w:tcPr>
          <w:p w14:paraId="205DFA88" w14:textId="77777777" w:rsidR="00783676" w:rsidRPr="00783676" w:rsidRDefault="00783676" w:rsidP="00783676">
            <w:pPr>
              <w:keepNext/>
              <w:spacing w:after="40"/>
              <w:rPr>
                <w:rFonts w:ascii="Arial Narrow" w:hAnsi="Arial Narrow" w:cs="Tahoma"/>
                <w:sz w:val="20"/>
              </w:rPr>
            </w:pPr>
            <w:r w:rsidRPr="00783676">
              <w:rPr>
                <w:rFonts w:ascii="Arial Narrow" w:hAnsi="Arial Narrow" w:cs="Tahoma"/>
                <w:sz w:val="20"/>
              </w:rPr>
              <w:t>Time horizon</w:t>
            </w:r>
          </w:p>
        </w:tc>
        <w:tc>
          <w:tcPr>
            <w:tcW w:w="5837" w:type="dxa"/>
          </w:tcPr>
          <w:p w14:paraId="5060E71B" w14:textId="77777777" w:rsidR="00783676" w:rsidRPr="00783676" w:rsidRDefault="00783676" w:rsidP="00783676">
            <w:pPr>
              <w:keepNext/>
              <w:spacing w:after="40"/>
              <w:rPr>
                <w:rFonts w:ascii="Arial Narrow" w:hAnsi="Arial Narrow" w:cs="Tahoma"/>
                <w:sz w:val="20"/>
              </w:rPr>
            </w:pPr>
            <w:r w:rsidRPr="00783676">
              <w:rPr>
                <w:rFonts w:ascii="Arial Narrow" w:hAnsi="Arial Narrow" w:cs="Tahoma"/>
                <w:sz w:val="20"/>
              </w:rPr>
              <w:t>10 years</w:t>
            </w:r>
          </w:p>
        </w:tc>
      </w:tr>
      <w:tr w:rsidR="00783676" w:rsidRPr="00783676" w14:paraId="4D784163" w14:textId="77777777" w:rsidTr="002D4F5D">
        <w:trPr>
          <w:trHeight w:val="20"/>
        </w:trPr>
        <w:tc>
          <w:tcPr>
            <w:tcW w:w="3184" w:type="dxa"/>
            <w:hideMark/>
          </w:tcPr>
          <w:p w14:paraId="73CFEBFD" w14:textId="77777777" w:rsidR="00783676" w:rsidRPr="00783676" w:rsidRDefault="00783676" w:rsidP="00783676">
            <w:pPr>
              <w:keepNext/>
              <w:spacing w:after="40"/>
              <w:rPr>
                <w:rFonts w:ascii="Arial Narrow" w:hAnsi="Arial Narrow" w:cs="Tahoma"/>
                <w:sz w:val="20"/>
              </w:rPr>
            </w:pPr>
            <w:r w:rsidRPr="00783676">
              <w:rPr>
                <w:rFonts w:ascii="Arial Narrow" w:hAnsi="Arial Narrow" w:cs="Tahoma"/>
                <w:sz w:val="20"/>
              </w:rPr>
              <w:t>Outcomes</w:t>
            </w:r>
          </w:p>
        </w:tc>
        <w:tc>
          <w:tcPr>
            <w:tcW w:w="5837" w:type="dxa"/>
          </w:tcPr>
          <w:p w14:paraId="0A9D3EA0" w14:textId="77777777" w:rsidR="00783676" w:rsidRPr="00783676" w:rsidRDefault="00783676" w:rsidP="00783676">
            <w:pPr>
              <w:keepNext/>
              <w:spacing w:after="40"/>
              <w:rPr>
                <w:rFonts w:ascii="Arial Narrow" w:hAnsi="Arial Narrow" w:cs="Tahoma"/>
                <w:sz w:val="20"/>
              </w:rPr>
            </w:pPr>
            <w:r w:rsidRPr="00783676">
              <w:rPr>
                <w:rFonts w:ascii="Arial Narrow" w:hAnsi="Arial Narrow" w:cs="Tahoma"/>
                <w:sz w:val="20"/>
              </w:rPr>
              <w:t>QALYs</w:t>
            </w:r>
          </w:p>
        </w:tc>
      </w:tr>
      <w:tr w:rsidR="00783676" w:rsidRPr="00783676" w14:paraId="609E32EA" w14:textId="77777777" w:rsidTr="002D4F5D">
        <w:trPr>
          <w:trHeight w:val="20"/>
        </w:trPr>
        <w:tc>
          <w:tcPr>
            <w:tcW w:w="3184" w:type="dxa"/>
            <w:hideMark/>
          </w:tcPr>
          <w:p w14:paraId="197154D3" w14:textId="77777777" w:rsidR="00783676" w:rsidRPr="00783676" w:rsidRDefault="00783676" w:rsidP="00783676">
            <w:pPr>
              <w:keepNext/>
              <w:spacing w:after="40"/>
              <w:rPr>
                <w:rFonts w:ascii="Arial Narrow" w:hAnsi="Arial Narrow" w:cs="Tahoma"/>
                <w:sz w:val="20"/>
              </w:rPr>
            </w:pPr>
            <w:r w:rsidRPr="00783676">
              <w:rPr>
                <w:rFonts w:ascii="Arial Narrow" w:hAnsi="Arial Narrow" w:cs="Tahoma"/>
                <w:sz w:val="20"/>
              </w:rPr>
              <w:t>Methods used to generate results</w:t>
            </w:r>
          </w:p>
        </w:tc>
        <w:tc>
          <w:tcPr>
            <w:tcW w:w="5837" w:type="dxa"/>
          </w:tcPr>
          <w:p w14:paraId="2BCFDEAC" w14:textId="77777777" w:rsidR="00783676" w:rsidRPr="00783676" w:rsidRDefault="00783676" w:rsidP="00783676">
            <w:pPr>
              <w:keepNext/>
              <w:spacing w:after="40"/>
              <w:rPr>
                <w:rFonts w:ascii="Arial Narrow" w:hAnsi="Arial Narrow" w:cs="Tahoma"/>
                <w:sz w:val="20"/>
              </w:rPr>
            </w:pPr>
            <w:r w:rsidRPr="00783676">
              <w:rPr>
                <w:rFonts w:ascii="Arial Narrow" w:hAnsi="Arial Narrow" w:cs="Tahoma"/>
                <w:sz w:val="20"/>
              </w:rPr>
              <w:t>Markov model</w:t>
            </w:r>
          </w:p>
        </w:tc>
      </w:tr>
      <w:tr w:rsidR="00783676" w:rsidRPr="00783676" w14:paraId="64694EB4" w14:textId="77777777" w:rsidTr="002D4F5D">
        <w:trPr>
          <w:trHeight w:val="20"/>
        </w:trPr>
        <w:tc>
          <w:tcPr>
            <w:tcW w:w="3184" w:type="dxa"/>
          </w:tcPr>
          <w:p w14:paraId="30143152" w14:textId="77777777" w:rsidR="00783676" w:rsidRPr="00783676" w:rsidRDefault="00783676" w:rsidP="00783676">
            <w:pPr>
              <w:keepNext/>
              <w:spacing w:after="40"/>
              <w:rPr>
                <w:rFonts w:ascii="Arial Narrow" w:hAnsi="Arial Narrow" w:cs="Tahoma"/>
                <w:sz w:val="20"/>
              </w:rPr>
            </w:pPr>
            <w:r w:rsidRPr="00783676">
              <w:rPr>
                <w:rFonts w:ascii="Arial Narrow" w:hAnsi="Arial Narrow" w:cs="Tahoma"/>
                <w:sz w:val="20"/>
              </w:rPr>
              <w:t>Health states</w:t>
            </w:r>
          </w:p>
        </w:tc>
        <w:tc>
          <w:tcPr>
            <w:tcW w:w="5837" w:type="dxa"/>
          </w:tcPr>
          <w:p w14:paraId="11B4E95D" w14:textId="77777777" w:rsidR="00783676" w:rsidRPr="00783676" w:rsidRDefault="00783676" w:rsidP="00783676">
            <w:pPr>
              <w:keepNext/>
              <w:spacing w:after="40"/>
              <w:rPr>
                <w:rFonts w:ascii="Arial Narrow" w:hAnsi="Arial Narrow" w:cs="Tahoma"/>
                <w:sz w:val="20"/>
              </w:rPr>
            </w:pPr>
            <w:r w:rsidRPr="00783676">
              <w:rPr>
                <w:rFonts w:ascii="Arial Narrow" w:hAnsi="Arial Narrow" w:cs="Tahoma"/>
                <w:sz w:val="20"/>
              </w:rPr>
              <w:t>Response (on treatment), response (off treatment), progressed, death</w:t>
            </w:r>
          </w:p>
        </w:tc>
      </w:tr>
      <w:tr w:rsidR="00783676" w:rsidRPr="00783676" w14:paraId="5B8BEE58" w14:textId="77777777" w:rsidTr="002D4F5D">
        <w:trPr>
          <w:trHeight w:val="20"/>
        </w:trPr>
        <w:tc>
          <w:tcPr>
            <w:tcW w:w="3184" w:type="dxa"/>
            <w:hideMark/>
          </w:tcPr>
          <w:p w14:paraId="36FD38E4" w14:textId="77777777" w:rsidR="00783676" w:rsidRPr="00783676" w:rsidRDefault="00783676" w:rsidP="00783676">
            <w:pPr>
              <w:keepNext/>
              <w:spacing w:after="40"/>
              <w:rPr>
                <w:rFonts w:ascii="Arial Narrow" w:hAnsi="Arial Narrow" w:cs="Tahoma"/>
                <w:sz w:val="20"/>
              </w:rPr>
            </w:pPr>
            <w:r w:rsidRPr="00783676">
              <w:rPr>
                <w:rFonts w:ascii="Arial Narrow" w:hAnsi="Arial Narrow" w:cs="Tahoma"/>
                <w:sz w:val="20"/>
              </w:rPr>
              <w:t>Cycle length</w:t>
            </w:r>
          </w:p>
        </w:tc>
        <w:tc>
          <w:tcPr>
            <w:tcW w:w="5837" w:type="dxa"/>
          </w:tcPr>
          <w:p w14:paraId="2B7C5314" w14:textId="77777777" w:rsidR="00783676" w:rsidRPr="00783676" w:rsidRDefault="00783676" w:rsidP="00783676">
            <w:pPr>
              <w:keepNext/>
              <w:spacing w:after="40"/>
              <w:rPr>
                <w:rFonts w:ascii="Arial Narrow" w:hAnsi="Arial Narrow" w:cs="Tahoma"/>
                <w:sz w:val="20"/>
              </w:rPr>
            </w:pPr>
            <w:r w:rsidRPr="00783676">
              <w:rPr>
                <w:rFonts w:ascii="Arial Narrow" w:hAnsi="Arial Narrow" w:cs="Tahoma"/>
                <w:sz w:val="20"/>
              </w:rPr>
              <w:t>12 weeks</w:t>
            </w:r>
          </w:p>
        </w:tc>
      </w:tr>
      <w:tr w:rsidR="00783676" w:rsidRPr="00783676" w14:paraId="4C991412" w14:textId="77777777" w:rsidTr="002D4F5D">
        <w:trPr>
          <w:trHeight w:val="20"/>
        </w:trPr>
        <w:tc>
          <w:tcPr>
            <w:tcW w:w="3184" w:type="dxa"/>
            <w:hideMark/>
          </w:tcPr>
          <w:p w14:paraId="22439C22" w14:textId="77777777" w:rsidR="00783676" w:rsidRPr="00783676" w:rsidRDefault="00783676" w:rsidP="00783676">
            <w:pPr>
              <w:keepNext/>
              <w:spacing w:after="40"/>
              <w:rPr>
                <w:rFonts w:ascii="Arial Narrow" w:hAnsi="Arial Narrow" w:cs="Tahoma"/>
                <w:sz w:val="20"/>
              </w:rPr>
            </w:pPr>
            <w:r w:rsidRPr="00783676">
              <w:rPr>
                <w:rFonts w:ascii="Arial Narrow" w:hAnsi="Arial Narrow" w:cs="Tahoma"/>
                <w:sz w:val="20"/>
              </w:rPr>
              <w:t>Discount rate</w:t>
            </w:r>
          </w:p>
        </w:tc>
        <w:tc>
          <w:tcPr>
            <w:tcW w:w="5837" w:type="dxa"/>
          </w:tcPr>
          <w:p w14:paraId="16C988FD" w14:textId="77777777" w:rsidR="00783676" w:rsidRPr="00783676" w:rsidRDefault="00783676" w:rsidP="00783676">
            <w:pPr>
              <w:keepNext/>
              <w:spacing w:after="40"/>
              <w:rPr>
                <w:rFonts w:ascii="Arial Narrow" w:hAnsi="Arial Narrow" w:cs="Tahoma"/>
                <w:sz w:val="20"/>
              </w:rPr>
            </w:pPr>
            <w:r w:rsidRPr="00783676">
              <w:rPr>
                <w:rFonts w:ascii="Arial Narrow" w:hAnsi="Arial Narrow" w:cs="Tahoma"/>
                <w:sz w:val="20"/>
              </w:rPr>
              <w:t>5% for costs and effects</w:t>
            </w:r>
          </w:p>
        </w:tc>
      </w:tr>
      <w:tr w:rsidR="00783676" w:rsidRPr="00783676" w14:paraId="7C661646" w14:textId="77777777" w:rsidTr="002D4F5D">
        <w:trPr>
          <w:trHeight w:val="20"/>
        </w:trPr>
        <w:tc>
          <w:tcPr>
            <w:tcW w:w="3184" w:type="dxa"/>
            <w:hideMark/>
          </w:tcPr>
          <w:p w14:paraId="27A3DF4A" w14:textId="77777777" w:rsidR="00783676" w:rsidRPr="00783676" w:rsidRDefault="00783676" w:rsidP="00783676">
            <w:pPr>
              <w:keepNext/>
              <w:spacing w:after="40"/>
              <w:rPr>
                <w:rFonts w:ascii="Arial Narrow" w:hAnsi="Arial Narrow" w:cs="Tahoma"/>
                <w:sz w:val="20"/>
              </w:rPr>
            </w:pPr>
            <w:r w:rsidRPr="00783676">
              <w:rPr>
                <w:rFonts w:ascii="Arial Narrow" w:hAnsi="Arial Narrow" w:cs="Tahoma"/>
                <w:sz w:val="20"/>
              </w:rPr>
              <w:t>Software packages used</w:t>
            </w:r>
          </w:p>
        </w:tc>
        <w:tc>
          <w:tcPr>
            <w:tcW w:w="5837" w:type="dxa"/>
          </w:tcPr>
          <w:p w14:paraId="54B9F12C" w14:textId="77777777" w:rsidR="00783676" w:rsidRPr="00783676" w:rsidRDefault="00783676" w:rsidP="00783676">
            <w:pPr>
              <w:keepNext/>
              <w:spacing w:after="40"/>
              <w:rPr>
                <w:rFonts w:ascii="Arial Narrow" w:hAnsi="Arial Narrow" w:cs="Tahoma"/>
                <w:sz w:val="20"/>
              </w:rPr>
            </w:pPr>
            <w:r w:rsidRPr="00783676">
              <w:rPr>
                <w:rFonts w:ascii="Arial Narrow" w:hAnsi="Arial Narrow" w:cs="Tahoma"/>
                <w:sz w:val="20"/>
              </w:rPr>
              <w:t>TreeAge 2020 and Excel</w:t>
            </w:r>
          </w:p>
        </w:tc>
      </w:tr>
    </w:tbl>
    <w:p w14:paraId="73716DD8" w14:textId="77777777" w:rsidR="00783676" w:rsidRPr="00783676" w:rsidRDefault="00783676" w:rsidP="00783676">
      <w:pPr>
        <w:keepNext/>
        <w:jc w:val="both"/>
        <w:rPr>
          <w:rFonts w:ascii="Arial Narrow" w:hAnsi="Arial Narrow" w:cs="Arial"/>
          <w:snapToGrid w:val="0"/>
          <w:sz w:val="18"/>
          <w:lang w:eastAsia="en-US"/>
        </w:rPr>
      </w:pPr>
      <w:r w:rsidRPr="00783676">
        <w:rPr>
          <w:rFonts w:ascii="Arial Narrow" w:hAnsi="Arial Narrow" w:cs="Arial"/>
          <w:snapToGrid w:val="0"/>
          <w:sz w:val="18"/>
          <w:lang w:eastAsia="en-US"/>
        </w:rPr>
        <w:t>Source: Table D.1, p158 of the ADAR</w:t>
      </w:r>
    </w:p>
    <w:p w14:paraId="618FDF64" w14:textId="4EA17503" w:rsidR="00783676" w:rsidRPr="00783676" w:rsidRDefault="00783676" w:rsidP="00783676">
      <w:pPr>
        <w:keepNext/>
        <w:spacing w:after="240"/>
        <w:jc w:val="both"/>
        <w:rPr>
          <w:rFonts w:ascii="Arial Narrow" w:hAnsi="Arial Narrow" w:cs="Arial"/>
          <w:snapToGrid w:val="0"/>
          <w:sz w:val="18"/>
          <w:lang w:eastAsia="en-US"/>
        </w:rPr>
      </w:pPr>
      <w:r w:rsidRPr="00783676">
        <w:rPr>
          <w:rFonts w:ascii="Arial Narrow" w:hAnsi="Arial Narrow" w:cs="Arial"/>
          <w:snapToGrid w:val="0"/>
          <w:sz w:val="18"/>
          <w:lang w:eastAsia="en-US"/>
        </w:rPr>
        <w:t>QALY, Quality adjusted life year; RPAH, Royal Prince Albert Hospital; SAS, S</w:t>
      </w:r>
      <w:r w:rsidR="00CA5D0B">
        <w:rPr>
          <w:rFonts w:ascii="Arial Narrow" w:hAnsi="Arial Narrow" w:cs="Arial"/>
          <w:snapToGrid w:val="0"/>
          <w:sz w:val="18"/>
          <w:lang w:eastAsia="en-US"/>
        </w:rPr>
        <w:t>pecial Access Scheme</w:t>
      </w:r>
      <w:r w:rsidRPr="00783676">
        <w:rPr>
          <w:rFonts w:ascii="Arial Narrow" w:hAnsi="Arial Narrow" w:cs="Arial"/>
          <w:snapToGrid w:val="0"/>
          <w:sz w:val="18"/>
          <w:lang w:eastAsia="en-US"/>
        </w:rPr>
        <w:t>; VCCC, Victorian Comprehensive Cancer Centre</w:t>
      </w:r>
    </w:p>
    <w:p w14:paraId="6779FD21" w14:textId="57DDFDDF" w:rsidR="00783676" w:rsidRPr="00783676" w:rsidRDefault="00783676" w:rsidP="00783676">
      <w:r w:rsidRPr="00783676">
        <w:t>The ADAR present</w:t>
      </w:r>
      <w:r w:rsidR="00CF764F">
        <w:t>ed its</w:t>
      </w:r>
      <w:r w:rsidRPr="00783676">
        <w:t xml:space="preserve"> economic evaluation in two steps:</w:t>
      </w:r>
    </w:p>
    <w:p w14:paraId="4DF0DA37" w14:textId="270C12F6" w:rsidR="00783676" w:rsidRPr="00783676" w:rsidRDefault="00783676" w:rsidP="00783676">
      <w:pPr>
        <w:pStyle w:val="ListParagraph"/>
        <w:numPr>
          <w:ilvl w:val="0"/>
          <w:numId w:val="22"/>
        </w:numPr>
      </w:pPr>
      <w:r w:rsidRPr="00783676">
        <w:t>Step 1 is a cost pre responder analysis over a 12 week time horizon.</w:t>
      </w:r>
    </w:p>
    <w:p w14:paraId="32D6EFE6" w14:textId="20A016F0" w:rsidR="00B853FB" w:rsidRDefault="00783676" w:rsidP="00B853FB">
      <w:pPr>
        <w:pStyle w:val="ListParagraph"/>
        <w:numPr>
          <w:ilvl w:val="0"/>
          <w:numId w:val="22"/>
        </w:numPr>
      </w:pPr>
      <w:r w:rsidRPr="00783676">
        <w:t xml:space="preserve">Step 2 (base case) is a </w:t>
      </w:r>
      <w:r w:rsidR="00CF764F">
        <w:t xml:space="preserve">cost-utility analysis </w:t>
      </w:r>
      <w:r w:rsidRPr="00783676">
        <w:t>over a 10</w:t>
      </w:r>
      <w:r w:rsidR="00CF764F">
        <w:t>-</w:t>
      </w:r>
      <w:r w:rsidRPr="00783676">
        <w:t>year time horizon.</w:t>
      </w:r>
      <w:r w:rsidR="00B853FB">
        <w:br w:type="page"/>
      </w:r>
    </w:p>
    <w:p w14:paraId="3EBF72C5" w14:textId="6B6F95E9" w:rsidR="00783676" w:rsidRPr="00783676" w:rsidRDefault="00783676" w:rsidP="00B853FB">
      <w:pPr>
        <w:spacing w:before="240"/>
      </w:pPr>
      <w:r w:rsidRPr="00783676">
        <w:lastRenderedPageBreak/>
        <w:t>The base case model</w:t>
      </w:r>
      <w:r w:rsidR="00CF764F">
        <w:t>led</w:t>
      </w:r>
      <w:r w:rsidRPr="00783676">
        <w:t xml:space="preserve"> </w:t>
      </w:r>
      <w:r w:rsidR="00CF764F">
        <w:t xml:space="preserve">cost-utility analysis </w:t>
      </w:r>
      <w:r w:rsidRPr="00783676">
        <w:t>has four health states:</w:t>
      </w:r>
    </w:p>
    <w:p w14:paraId="51A2B8EC" w14:textId="7A614B25" w:rsidR="00783676" w:rsidRPr="00783676" w:rsidRDefault="00783676" w:rsidP="00783676">
      <w:pPr>
        <w:pStyle w:val="ListParagraph"/>
        <w:numPr>
          <w:ilvl w:val="0"/>
          <w:numId w:val="23"/>
        </w:numPr>
      </w:pPr>
      <w:r w:rsidRPr="00783676">
        <w:t>response (on or off treatment),</w:t>
      </w:r>
    </w:p>
    <w:p w14:paraId="6A9D08E7" w14:textId="018CC34E" w:rsidR="00783676" w:rsidRPr="00783676" w:rsidRDefault="00783676" w:rsidP="00783676">
      <w:pPr>
        <w:pStyle w:val="ListParagraph"/>
        <w:numPr>
          <w:ilvl w:val="0"/>
          <w:numId w:val="23"/>
        </w:numPr>
      </w:pPr>
      <w:r w:rsidRPr="00783676">
        <w:t>progressed,</w:t>
      </w:r>
    </w:p>
    <w:p w14:paraId="256B7796" w14:textId="0A412236" w:rsidR="00783676" w:rsidRDefault="00783676" w:rsidP="00783676">
      <w:pPr>
        <w:pStyle w:val="ListParagraph"/>
        <w:numPr>
          <w:ilvl w:val="0"/>
          <w:numId w:val="23"/>
        </w:numPr>
      </w:pPr>
      <w:r w:rsidRPr="00783676">
        <w:t>death.</w:t>
      </w:r>
    </w:p>
    <w:p w14:paraId="26D77E06" w14:textId="7D0C720F" w:rsidR="00783676" w:rsidRDefault="00783676" w:rsidP="00B853FB">
      <w:pPr>
        <w:spacing w:before="240"/>
      </w:pPr>
      <w:r w:rsidRPr="00783676">
        <w:t>Costs in the model include</w:t>
      </w:r>
      <w:r>
        <w:t>d the</w:t>
      </w:r>
      <w:r w:rsidRPr="00783676">
        <w:t xml:space="preserve"> cost of ECP and SOC treatment as well as health state costs associated with disease monitoring and hospitalisations associated with disease progression.</w:t>
      </w:r>
    </w:p>
    <w:p w14:paraId="340A7F6D" w14:textId="493ABCDA" w:rsidR="00783676" w:rsidRPr="00783676" w:rsidRDefault="00783676" w:rsidP="00B853FB">
      <w:pPr>
        <w:spacing w:before="240"/>
      </w:pPr>
      <w:r>
        <w:t>The Commentary highlighted that</w:t>
      </w:r>
      <w:r w:rsidRPr="00783676">
        <w:t xml:space="preserve"> the base case of stepped economic evaluation presented in the ADAR </w:t>
      </w:r>
      <w:r>
        <w:t>inappropriately</w:t>
      </w:r>
      <w:r w:rsidRPr="00783676">
        <w:t>:</w:t>
      </w:r>
    </w:p>
    <w:p w14:paraId="11C74ADF" w14:textId="7A83CFAB" w:rsidR="00783676" w:rsidRPr="00783676" w:rsidRDefault="00CF764F" w:rsidP="00783676">
      <w:pPr>
        <w:pStyle w:val="ListParagraph"/>
        <w:numPr>
          <w:ilvl w:val="0"/>
          <w:numId w:val="26"/>
        </w:numPr>
      </w:pPr>
      <w:r>
        <w:t xml:space="preserve">included </w:t>
      </w:r>
      <w:r w:rsidR="00783676" w:rsidRPr="00783676">
        <w:t>the costs (but not effects) of rituximab as a third-line therapy;</w:t>
      </w:r>
    </w:p>
    <w:p w14:paraId="2590116C" w14:textId="43AC6F68" w:rsidR="00783676" w:rsidRPr="00783676" w:rsidRDefault="00CF764F" w:rsidP="00783676">
      <w:pPr>
        <w:pStyle w:val="ListParagraph"/>
        <w:numPr>
          <w:ilvl w:val="0"/>
          <w:numId w:val="25"/>
        </w:numPr>
      </w:pPr>
      <w:r>
        <w:t xml:space="preserve">included the </w:t>
      </w:r>
      <w:r w:rsidR="00783676" w:rsidRPr="00783676">
        <w:t>costs (but not effects) of IVIg as part of the disease management costs in the ‘progressed’ health state (it is not clear that IVIg is recommended for cGVHD);</w:t>
      </w:r>
    </w:p>
    <w:p w14:paraId="22F92FDB" w14:textId="738D6A70" w:rsidR="00783676" w:rsidRDefault="00783676" w:rsidP="00783676">
      <w:pPr>
        <w:pStyle w:val="ListParagraph"/>
        <w:numPr>
          <w:ilvl w:val="0"/>
          <w:numId w:val="25"/>
        </w:numPr>
      </w:pPr>
      <w:r w:rsidRPr="00783676">
        <w:t>exclude</w:t>
      </w:r>
      <w:r w:rsidR="00CF764F">
        <w:t>d</w:t>
      </w:r>
      <w:r w:rsidRPr="00783676">
        <w:t xml:space="preserve"> the cost of immunosuppressants in second-line therapy in the ECP arm.</w:t>
      </w:r>
    </w:p>
    <w:p w14:paraId="4CADB34F" w14:textId="56DF435F" w:rsidR="00783676" w:rsidRDefault="00783676" w:rsidP="00B853FB">
      <w:pPr>
        <w:spacing w:before="240"/>
      </w:pPr>
      <w:r w:rsidRPr="00783676">
        <w:t xml:space="preserve">The </w:t>
      </w:r>
      <w:r>
        <w:t xml:space="preserve">Commentary considered the </w:t>
      </w:r>
      <w:r w:rsidRPr="00783676">
        <w:t>inclusion of rituximab as a third-line treatment option contradict</w:t>
      </w:r>
      <w:r w:rsidR="00CF764F">
        <w:t>ed</w:t>
      </w:r>
      <w:r w:rsidRPr="00783676">
        <w:t xml:space="preserve"> the nominated comparators and clinical management algorithms that do not consider rituximab as part of clinical management. As more patients in the SOC arm continue to third-line therapy in the model, the inclusion of rituximab </w:t>
      </w:r>
      <w:r w:rsidR="00CF764F">
        <w:t xml:space="preserve">cost offsets </w:t>
      </w:r>
      <w:r w:rsidRPr="00783676">
        <w:t>favours ECP.</w:t>
      </w:r>
    </w:p>
    <w:p w14:paraId="3EC4B3DE" w14:textId="1F95456A" w:rsidR="00783676" w:rsidRDefault="00783676" w:rsidP="00B853FB">
      <w:pPr>
        <w:spacing w:before="240"/>
        <w:rPr>
          <w:iCs/>
        </w:rPr>
      </w:pPr>
      <w:r w:rsidRPr="00783676">
        <w:t xml:space="preserve">The overall costs and outcomes, and incremental costs and outcomes as calculated for the intervention and comparator in the model, and using the base case assumptions in the ADAR, are shown in </w:t>
      </w:r>
      <w:r w:rsidRPr="00783676">
        <w:fldChar w:fldCharType="begin"/>
      </w:r>
      <w:r w:rsidRPr="00783676">
        <w:instrText xml:space="preserve"> REF _Ref68745791 \h  \* MERGEFORMAT </w:instrText>
      </w:r>
      <w:r w:rsidRPr="00783676">
        <w:fldChar w:fldCharType="separate"/>
      </w:r>
      <w:r w:rsidR="008407AE" w:rsidRPr="008407AE">
        <w:t>Table 10</w:t>
      </w:r>
      <w:r w:rsidRPr="00783676">
        <w:fldChar w:fldCharType="end"/>
      </w:r>
      <w:r w:rsidRPr="00783676">
        <w:t>. T</w:t>
      </w:r>
      <w:r w:rsidRPr="00783676">
        <w:rPr>
          <w:iCs/>
        </w:rPr>
        <w:t xml:space="preserve">he Commentary highlighted that the ADAR did not include model results in terms of life years gained. During the evaluation, all non-death utility health states were set to 1 to estimate the life years accrued in the model. The ECP arm had a mean 5.65 life years versus 4.47 life years in the SOC arm, resulting in an increment of 1.18 life years gained. This was </w:t>
      </w:r>
      <w:r>
        <w:rPr>
          <w:iCs/>
        </w:rPr>
        <w:t xml:space="preserve">identified by the Commentary as </w:t>
      </w:r>
      <w:r w:rsidRPr="00783676">
        <w:rPr>
          <w:iCs/>
        </w:rPr>
        <w:t xml:space="preserve">the main driver of QALY gains in the model. However, </w:t>
      </w:r>
      <w:r>
        <w:rPr>
          <w:iCs/>
        </w:rPr>
        <w:t xml:space="preserve">the Commentary’s </w:t>
      </w:r>
      <w:r w:rsidRPr="00783676">
        <w:rPr>
          <w:iCs/>
        </w:rPr>
        <w:t>sensitivity analyses applying the same per cycle risk of mortality to all patients led to substantial increases in SOC costs, likely due to increased time in progressed health states.</w:t>
      </w:r>
      <w:r w:rsidRPr="00783676">
        <w:t xml:space="preserve"> </w:t>
      </w:r>
      <w:r>
        <w:t xml:space="preserve">The Commentary </w:t>
      </w:r>
      <w:r w:rsidR="00AC1D7D">
        <w:rPr>
          <w:iCs/>
        </w:rPr>
        <w:t>suggested</w:t>
      </w:r>
      <w:r>
        <w:t xml:space="preserve"> that </w:t>
      </w:r>
      <w:r w:rsidRPr="00783676">
        <w:rPr>
          <w:iCs/>
        </w:rPr>
        <w:t>MSAC may wish to consider whether the model’s estimation of a survival benefit is reasonable.</w:t>
      </w:r>
    </w:p>
    <w:p w14:paraId="1B352125" w14:textId="4F99CF25" w:rsidR="00783676" w:rsidRPr="00783676" w:rsidRDefault="00783676" w:rsidP="00B853FB">
      <w:pPr>
        <w:keepNext/>
        <w:spacing w:before="240" w:after="40"/>
        <w:rPr>
          <w:rFonts w:ascii="Arial Narrow" w:eastAsia="Calibri" w:hAnsi="Arial Narrow" w:cs="Calibri"/>
          <w:b/>
          <w:sz w:val="20"/>
          <w:szCs w:val="22"/>
          <w:lang w:eastAsia="en-US"/>
        </w:rPr>
      </w:pPr>
      <w:bookmarkStart w:id="24" w:name="_Ref68745791"/>
      <w:bookmarkStart w:id="25" w:name="_Toc399251124"/>
      <w:r w:rsidRPr="00783676">
        <w:rPr>
          <w:rFonts w:ascii="Arial Narrow" w:eastAsia="Calibri" w:hAnsi="Arial Narrow" w:cs="Calibri"/>
          <w:b/>
          <w:sz w:val="20"/>
          <w:lang w:eastAsia="en-US"/>
        </w:rPr>
        <w:t xml:space="preserve">Table </w:t>
      </w:r>
      <w:r w:rsidRPr="00783676">
        <w:rPr>
          <w:rFonts w:ascii="Arial Narrow" w:eastAsia="Calibri" w:hAnsi="Arial Narrow" w:cs="Calibri"/>
          <w:b/>
          <w:sz w:val="20"/>
          <w:lang w:eastAsia="en-US"/>
        </w:rPr>
        <w:fldChar w:fldCharType="begin"/>
      </w:r>
      <w:r w:rsidRPr="00783676">
        <w:rPr>
          <w:rFonts w:ascii="Arial Narrow" w:eastAsia="Calibri" w:hAnsi="Arial Narrow" w:cs="Calibri"/>
          <w:b/>
          <w:sz w:val="20"/>
          <w:lang w:eastAsia="en-US"/>
        </w:rPr>
        <w:instrText xml:space="preserve"> SEQ Table \* ARABIC </w:instrText>
      </w:r>
      <w:r w:rsidRPr="00783676">
        <w:rPr>
          <w:rFonts w:ascii="Arial Narrow" w:eastAsia="Calibri" w:hAnsi="Arial Narrow" w:cs="Calibri"/>
          <w:b/>
          <w:sz w:val="20"/>
          <w:lang w:eastAsia="en-US"/>
        </w:rPr>
        <w:fldChar w:fldCharType="separate"/>
      </w:r>
      <w:r w:rsidR="008407AE">
        <w:rPr>
          <w:rFonts w:ascii="Arial Narrow" w:eastAsia="Calibri" w:hAnsi="Arial Narrow" w:cs="Calibri"/>
          <w:b/>
          <w:noProof/>
          <w:sz w:val="20"/>
          <w:lang w:eastAsia="en-US"/>
        </w:rPr>
        <w:t>10</w:t>
      </w:r>
      <w:r w:rsidRPr="00783676">
        <w:rPr>
          <w:rFonts w:ascii="Arial Narrow" w:eastAsia="Calibri" w:hAnsi="Arial Narrow" w:cs="Calibri"/>
          <w:b/>
          <w:noProof/>
          <w:sz w:val="20"/>
          <w:lang w:eastAsia="en-US"/>
        </w:rPr>
        <w:fldChar w:fldCharType="end"/>
      </w:r>
      <w:bookmarkEnd w:id="24"/>
      <w:bookmarkEnd w:id="25"/>
      <w:r w:rsidR="0034138C">
        <w:rPr>
          <w:rFonts w:ascii="Arial Narrow" w:eastAsia="Calibri" w:hAnsi="Arial Narrow" w:cs="Calibri"/>
          <w:b/>
          <w:noProof/>
          <w:sz w:val="20"/>
          <w:lang w:eastAsia="en-US"/>
        </w:rPr>
        <w:t xml:space="preserve">: </w:t>
      </w:r>
      <w:r w:rsidRPr="00783676">
        <w:rPr>
          <w:rFonts w:ascii="Arial Narrow" w:eastAsia="Calibri" w:hAnsi="Arial Narrow" w:cs="Calibri"/>
          <w:b/>
          <w:sz w:val="20"/>
          <w:szCs w:val="22"/>
          <w:lang w:eastAsia="en-US"/>
        </w:rPr>
        <w:t>Results of the stepped analysis</w:t>
      </w:r>
    </w:p>
    <w:tbl>
      <w:tblPr>
        <w:tblStyle w:val="TableGrid1"/>
        <w:tblW w:w="5028" w:type="pct"/>
        <w:tblCellMar>
          <w:left w:w="28" w:type="dxa"/>
          <w:right w:w="28" w:type="dxa"/>
        </w:tblCellMar>
        <w:tblLook w:val="04A0" w:firstRow="1" w:lastRow="0" w:firstColumn="1" w:lastColumn="0" w:noHBand="0" w:noVBand="1"/>
        <w:tblCaption w:val="Results of the stepped analysis"/>
        <w:tblDescription w:val="Results of the stepped analysis"/>
      </w:tblPr>
      <w:tblGrid>
        <w:gridCol w:w="571"/>
        <w:gridCol w:w="1266"/>
        <w:gridCol w:w="1559"/>
        <w:gridCol w:w="1275"/>
        <w:gridCol w:w="2268"/>
        <w:gridCol w:w="2127"/>
      </w:tblGrid>
      <w:tr w:rsidR="00783676" w:rsidRPr="00783676" w14:paraId="3DD0A61F" w14:textId="77777777" w:rsidTr="009F416C">
        <w:trPr>
          <w:cnfStyle w:val="100000000000" w:firstRow="1" w:lastRow="0" w:firstColumn="0" w:lastColumn="0" w:oddVBand="0" w:evenVBand="0" w:oddHBand="0" w:evenHBand="0" w:firstRowFirstColumn="0" w:firstRowLastColumn="0" w:lastRowFirstColumn="0" w:lastRowLastColumn="0"/>
          <w:tblHeader/>
        </w:trPr>
        <w:tc>
          <w:tcPr>
            <w:tcW w:w="315" w:type="pct"/>
          </w:tcPr>
          <w:p w14:paraId="60454595" w14:textId="5A330531" w:rsidR="00783676" w:rsidRPr="00783676" w:rsidRDefault="009F416C" w:rsidP="00783676">
            <w:pPr>
              <w:keepNext/>
              <w:spacing w:after="40"/>
              <w:jc w:val="center"/>
              <w:rPr>
                <w:rFonts w:cs="Tahoma"/>
                <w:b/>
                <w:bCs/>
                <w:szCs w:val="22"/>
                <w:lang w:eastAsia="en-US"/>
              </w:rPr>
            </w:pPr>
            <w:r>
              <w:rPr>
                <w:rFonts w:cs="Tahoma"/>
                <w:b/>
                <w:bCs/>
                <w:szCs w:val="22"/>
                <w:lang w:eastAsia="en-US"/>
              </w:rPr>
              <w:t>Step</w:t>
            </w:r>
          </w:p>
        </w:tc>
        <w:tc>
          <w:tcPr>
            <w:tcW w:w="698" w:type="pct"/>
            <w:vAlign w:val="center"/>
          </w:tcPr>
          <w:p w14:paraId="5C8B475C" w14:textId="77777777" w:rsidR="00783676" w:rsidRPr="00783676" w:rsidRDefault="00783676" w:rsidP="00783676">
            <w:pPr>
              <w:keepNext/>
              <w:spacing w:after="40"/>
              <w:jc w:val="center"/>
              <w:rPr>
                <w:rFonts w:cs="Tahoma"/>
                <w:b/>
                <w:bCs/>
                <w:szCs w:val="22"/>
                <w:lang w:eastAsia="en-US"/>
              </w:rPr>
            </w:pPr>
            <w:r w:rsidRPr="00783676">
              <w:rPr>
                <w:rFonts w:cs="Tahoma"/>
                <w:b/>
                <w:bCs/>
                <w:szCs w:val="22"/>
                <w:lang w:eastAsia="en-US"/>
              </w:rPr>
              <w:t>Cost</w:t>
            </w:r>
          </w:p>
        </w:tc>
        <w:tc>
          <w:tcPr>
            <w:tcW w:w="860" w:type="pct"/>
            <w:vAlign w:val="center"/>
          </w:tcPr>
          <w:p w14:paraId="663D7347" w14:textId="77777777" w:rsidR="00783676" w:rsidRPr="00783676" w:rsidRDefault="00783676" w:rsidP="00783676">
            <w:pPr>
              <w:keepNext/>
              <w:spacing w:after="40"/>
              <w:jc w:val="center"/>
              <w:rPr>
                <w:rFonts w:cs="Tahoma"/>
                <w:b/>
                <w:bCs/>
                <w:szCs w:val="22"/>
                <w:lang w:eastAsia="en-US"/>
              </w:rPr>
            </w:pPr>
            <w:r w:rsidRPr="00783676">
              <w:rPr>
                <w:rFonts w:cs="Tahoma"/>
                <w:b/>
                <w:bCs/>
                <w:szCs w:val="22"/>
                <w:lang w:eastAsia="en-US"/>
              </w:rPr>
              <w:t>Incremental cost</w:t>
            </w:r>
          </w:p>
        </w:tc>
        <w:tc>
          <w:tcPr>
            <w:tcW w:w="703" w:type="pct"/>
            <w:vAlign w:val="center"/>
          </w:tcPr>
          <w:p w14:paraId="5E7C6958" w14:textId="77777777" w:rsidR="00783676" w:rsidRPr="00783676" w:rsidRDefault="00783676" w:rsidP="00783676">
            <w:pPr>
              <w:keepNext/>
              <w:spacing w:after="40"/>
              <w:jc w:val="center"/>
              <w:rPr>
                <w:rFonts w:cs="Tahoma"/>
                <w:b/>
                <w:bCs/>
                <w:szCs w:val="22"/>
                <w:lang w:eastAsia="en-US"/>
              </w:rPr>
            </w:pPr>
            <w:r w:rsidRPr="00783676">
              <w:rPr>
                <w:rFonts w:cs="Tahoma"/>
                <w:b/>
                <w:bCs/>
                <w:szCs w:val="22"/>
                <w:lang w:eastAsia="en-US"/>
              </w:rPr>
              <w:t>Effectiveness</w:t>
            </w:r>
          </w:p>
        </w:tc>
        <w:tc>
          <w:tcPr>
            <w:tcW w:w="1251" w:type="pct"/>
            <w:vAlign w:val="center"/>
          </w:tcPr>
          <w:p w14:paraId="65E24D27" w14:textId="77777777" w:rsidR="00783676" w:rsidRPr="00783676" w:rsidRDefault="00783676" w:rsidP="00783676">
            <w:pPr>
              <w:keepNext/>
              <w:spacing w:after="40"/>
              <w:jc w:val="center"/>
              <w:rPr>
                <w:rFonts w:cs="Tahoma"/>
                <w:b/>
                <w:bCs/>
                <w:szCs w:val="22"/>
                <w:lang w:eastAsia="en-US"/>
              </w:rPr>
            </w:pPr>
            <w:r w:rsidRPr="00783676">
              <w:rPr>
                <w:rFonts w:cs="Tahoma"/>
                <w:b/>
                <w:bCs/>
                <w:szCs w:val="22"/>
                <w:lang w:eastAsia="en-US"/>
              </w:rPr>
              <w:t>Incremental effectiveness</w:t>
            </w:r>
          </w:p>
        </w:tc>
        <w:tc>
          <w:tcPr>
            <w:tcW w:w="1173" w:type="pct"/>
            <w:vAlign w:val="center"/>
          </w:tcPr>
          <w:p w14:paraId="35B6B87F" w14:textId="77777777" w:rsidR="00783676" w:rsidRPr="00783676" w:rsidRDefault="00783676" w:rsidP="00783676">
            <w:pPr>
              <w:keepNext/>
              <w:spacing w:after="40"/>
              <w:jc w:val="center"/>
              <w:rPr>
                <w:rFonts w:cs="Tahoma"/>
                <w:b/>
                <w:bCs/>
                <w:szCs w:val="22"/>
                <w:lang w:eastAsia="en-US"/>
              </w:rPr>
            </w:pPr>
            <w:r w:rsidRPr="00783676">
              <w:rPr>
                <w:rFonts w:cs="Tahoma"/>
                <w:b/>
                <w:bCs/>
                <w:szCs w:val="22"/>
                <w:lang w:eastAsia="en-US"/>
              </w:rPr>
              <w:t>ICER</w:t>
            </w:r>
          </w:p>
        </w:tc>
      </w:tr>
      <w:tr w:rsidR="00783676" w:rsidRPr="00783676" w14:paraId="74A68722" w14:textId="77777777" w:rsidTr="00042672">
        <w:tc>
          <w:tcPr>
            <w:tcW w:w="5000" w:type="pct"/>
            <w:gridSpan w:val="6"/>
            <w:vAlign w:val="center"/>
          </w:tcPr>
          <w:p w14:paraId="0881BFC4" w14:textId="6CE13372" w:rsidR="00783676" w:rsidRPr="00783676" w:rsidRDefault="00783676" w:rsidP="00783676">
            <w:pPr>
              <w:keepNext/>
              <w:spacing w:after="40"/>
              <w:rPr>
                <w:rFonts w:cs="Tahoma"/>
                <w:szCs w:val="22"/>
                <w:lang w:eastAsia="en-US"/>
              </w:rPr>
            </w:pPr>
            <w:r w:rsidRPr="00783676">
              <w:rPr>
                <w:rFonts w:cs="Tahoma"/>
                <w:i/>
                <w:iCs/>
                <w:szCs w:val="22"/>
                <w:lang w:eastAsia="en-US"/>
              </w:rPr>
              <w:t>Step 1 (cost per response – 12</w:t>
            </w:r>
            <w:r w:rsidR="00C13C95">
              <w:rPr>
                <w:rFonts w:cs="Tahoma"/>
                <w:i/>
                <w:iCs/>
                <w:szCs w:val="22"/>
                <w:lang w:eastAsia="en-US"/>
              </w:rPr>
              <w:t>-</w:t>
            </w:r>
            <w:r w:rsidRPr="00783676">
              <w:rPr>
                <w:rFonts w:cs="Tahoma"/>
                <w:i/>
                <w:iCs/>
                <w:szCs w:val="22"/>
                <w:lang w:eastAsia="en-US"/>
              </w:rPr>
              <w:t>week time horizon)</w:t>
            </w:r>
          </w:p>
        </w:tc>
      </w:tr>
      <w:tr w:rsidR="00783676" w:rsidRPr="00783676" w14:paraId="18932CAC" w14:textId="77777777" w:rsidTr="00042672">
        <w:tc>
          <w:tcPr>
            <w:tcW w:w="315" w:type="pct"/>
          </w:tcPr>
          <w:p w14:paraId="339B27C0" w14:textId="77777777" w:rsidR="00783676" w:rsidRPr="00783676" w:rsidRDefault="00783676" w:rsidP="00783676">
            <w:pPr>
              <w:keepNext/>
              <w:spacing w:after="40"/>
              <w:rPr>
                <w:rFonts w:cs="Tahoma"/>
                <w:szCs w:val="22"/>
                <w:lang w:eastAsia="en-US"/>
              </w:rPr>
            </w:pPr>
            <w:r w:rsidRPr="00783676">
              <w:rPr>
                <w:rFonts w:cs="Tahoma"/>
                <w:szCs w:val="22"/>
                <w:lang w:eastAsia="en-US"/>
              </w:rPr>
              <w:t>ECP</w:t>
            </w:r>
          </w:p>
        </w:tc>
        <w:tc>
          <w:tcPr>
            <w:tcW w:w="698" w:type="pct"/>
            <w:vAlign w:val="bottom"/>
          </w:tcPr>
          <w:p w14:paraId="6250C917" w14:textId="77777777" w:rsidR="00783676" w:rsidRPr="00783676" w:rsidRDefault="00783676" w:rsidP="00783676">
            <w:pPr>
              <w:keepNext/>
              <w:spacing w:after="40"/>
              <w:jc w:val="center"/>
              <w:rPr>
                <w:rFonts w:cs="Tahoma"/>
                <w:szCs w:val="22"/>
                <w:lang w:eastAsia="en-US"/>
              </w:rPr>
            </w:pPr>
            <w:r w:rsidRPr="00783676">
              <w:rPr>
                <w:rFonts w:cs="Tahoma"/>
                <w:szCs w:val="22"/>
                <w:lang w:eastAsia="en-US"/>
              </w:rPr>
              <w:t>$54,178.23</w:t>
            </w:r>
          </w:p>
        </w:tc>
        <w:tc>
          <w:tcPr>
            <w:tcW w:w="860" w:type="pct"/>
            <w:tcBorders>
              <w:bottom w:val="nil"/>
            </w:tcBorders>
            <w:vAlign w:val="bottom"/>
          </w:tcPr>
          <w:p w14:paraId="503F571D" w14:textId="77777777" w:rsidR="00783676" w:rsidRPr="00783676" w:rsidRDefault="00783676" w:rsidP="00783676">
            <w:pPr>
              <w:keepNext/>
              <w:spacing w:after="40"/>
              <w:jc w:val="center"/>
              <w:rPr>
                <w:rFonts w:cs="Tahoma"/>
                <w:szCs w:val="22"/>
                <w:lang w:eastAsia="en-US"/>
              </w:rPr>
            </w:pPr>
            <w:r w:rsidRPr="00783676">
              <w:rPr>
                <w:rFonts w:cs="Tahoma"/>
                <w:szCs w:val="22"/>
                <w:lang w:eastAsia="en-US"/>
              </w:rPr>
              <w:t>$48,357</w:t>
            </w:r>
          </w:p>
        </w:tc>
        <w:tc>
          <w:tcPr>
            <w:tcW w:w="703" w:type="pct"/>
            <w:vAlign w:val="bottom"/>
          </w:tcPr>
          <w:p w14:paraId="28FDD29F" w14:textId="77777777" w:rsidR="00783676" w:rsidRPr="00783676" w:rsidRDefault="00783676" w:rsidP="00783676">
            <w:pPr>
              <w:keepNext/>
              <w:spacing w:after="40"/>
              <w:jc w:val="center"/>
              <w:rPr>
                <w:rFonts w:cs="Tahoma"/>
                <w:szCs w:val="22"/>
                <w:lang w:eastAsia="en-US"/>
              </w:rPr>
            </w:pPr>
            <w:r w:rsidRPr="00783676">
              <w:rPr>
                <w:rFonts w:cs="Tahoma"/>
                <w:szCs w:val="22"/>
                <w:lang w:eastAsia="en-US"/>
              </w:rPr>
              <w:t>0.80</w:t>
            </w:r>
          </w:p>
        </w:tc>
        <w:tc>
          <w:tcPr>
            <w:tcW w:w="1251" w:type="pct"/>
            <w:tcBorders>
              <w:bottom w:val="nil"/>
            </w:tcBorders>
            <w:vAlign w:val="bottom"/>
          </w:tcPr>
          <w:p w14:paraId="2C85E47F" w14:textId="77777777" w:rsidR="00783676" w:rsidRPr="00783676" w:rsidRDefault="00783676" w:rsidP="00783676">
            <w:pPr>
              <w:keepNext/>
              <w:spacing w:after="40"/>
              <w:jc w:val="center"/>
              <w:rPr>
                <w:rFonts w:cs="Tahoma"/>
                <w:szCs w:val="22"/>
                <w:lang w:eastAsia="en-US"/>
              </w:rPr>
            </w:pPr>
            <w:r w:rsidRPr="00783676">
              <w:rPr>
                <w:rFonts w:cs="Tahoma"/>
                <w:szCs w:val="22"/>
                <w:lang w:eastAsia="en-US"/>
              </w:rPr>
              <w:t>0.60</w:t>
            </w:r>
          </w:p>
        </w:tc>
        <w:tc>
          <w:tcPr>
            <w:tcW w:w="1173" w:type="pct"/>
            <w:tcBorders>
              <w:bottom w:val="nil"/>
            </w:tcBorders>
            <w:vAlign w:val="bottom"/>
          </w:tcPr>
          <w:p w14:paraId="279BA199" w14:textId="77777777" w:rsidR="00783676" w:rsidRPr="00783676" w:rsidRDefault="00783676" w:rsidP="00783676">
            <w:pPr>
              <w:keepNext/>
              <w:spacing w:after="40"/>
              <w:jc w:val="center"/>
              <w:rPr>
                <w:rFonts w:cs="Tahoma"/>
                <w:szCs w:val="22"/>
                <w:lang w:eastAsia="en-US"/>
              </w:rPr>
            </w:pPr>
            <w:r w:rsidRPr="00783676">
              <w:rPr>
                <w:rFonts w:cs="Tahoma"/>
                <w:szCs w:val="22"/>
                <w:lang w:eastAsia="en-US"/>
              </w:rPr>
              <w:t>$80,739</w:t>
            </w:r>
          </w:p>
        </w:tc>
      </w:tr>
      <w:tr w:rsidR="00783676" w:rsidRPr="00783676" w14:paraId="63054DD8" w14:textId="77777777" w:rsidTr="00042672">
        <w:tc>
          <w:tcPr>
            <w:tcW w:w="315" w:type="pct"/>
          </w:tcPr>
          <w:p w14:paraId="61257DE7" w14:textId="77777777" w:rsidR="00783676" w:rsidRPr="00783676" w:rsidRDefault="00783676" w:rsidP="00783676">
            <w:pPr>
              <w:keepNext/>
              <w:spacing w:after="40"/>
              <w:rPr>
                <w:rFonts w:cs="Tahoma"/>
                <w:szCs w:val="22"/>
                <w:lang w:eastAsia="en-US"/>
              </w:rPr>
            </w:pPr>
            <w:r w:rsidRPr="00783676">
              <w:rPr>
                <w:rFonts w:cs="Tahoma"/>
                <w:szCs w:val="22"/>
                <w:lang w:eastAsia="en-US"/>
              </w:rPr>
              <w:t>SOC</w:t>
            </w:r>
          </w:p>
        </w:tc>
        <w:tc>
          <w:tcPr>
            <w:tcW w:w="698" w:type="pct"/>
            <w:vAlign w:val="bottom"/>
          </w:tcPr>
          <w:p w14:paraId="765BE254" w14:textId="77777777" w:rsidR="00783676" w:rsidRPr="00783676" w:rsidRDefault="00783676" w:rsidP="00783676">
            <w:pPr>
              <w:keepNext/>
              <w:spacing w:after="40"/>
              <w:jc w:val="center"/>
              <w:rPr>
                <w:rFonts w:cs="Tahoma"/>
                <w:szCs w:val="22"/>
                <w:lang w:eastAsia="en-US"/>
              </w:rPr>
            </w:pPr>
            <w:r w:rsidRPr="00783676">
              <w:rPr>
                <w:rFonts w:cs="Tahoma"/>
                <w:szCs w:val="22"/>
                <w:lang w:eastAsia="en-US"/>
              </w:rPr>
              <w:t>$5,821.60</w:t>
            </w:r>
          </w:p>
        </w:tc>
        <w:tc>
          <w:tcPr>
            <w:tcW w:w="860" w:type="pct"/>
            <w:tcBorders>
              <w:top w:val="nil"/>
            </w:tcBorders>
            <w:vAlign w:val="bottom"/>
          </w:tcPr>
          <w:p w14:paraId="3E06A16F" w14:textId="77777777" w:rsidR="00783676" w:rsidRPr="00783676" w:rsidRDefault="00783676" w:rsidP="00783676">
            <w:pPr>
              <w:keepNext/>
              <w:spacing w:after="40"/>
              <w:jc w:val="center"/>
              <w:rPr>
                <w:rFonts w:cs="Tahoma"/>
                <w:szCs w:val="22"/>
                <w:lang w:eastAsia="en-US"/>
              </w:rPr>
            </w:pPr>
          </w:p>
        </w:tc>
        <w:tc>
          <w:tcPr>
            <w:tcW w:w="703" w:type="pct"/>
            <w:vAlign w:val="bottom"/>
          </w:tcPr>
          <w:p w14:paraId="1F6BEEFA" w14:textId="77777777" w:rsidR="00783676" w:rsidRPr="00783676" w:rsidRDefault="00783676" w:rsidP="00783676">
            <w:pPr>
              <w:keepNext/>
              <w:spacing w:after="40"/>
              <w:jc w:val="center"/>
              <w:rPr>
                <w:rFonts w:cs="Tahoma"/>
                <w:szCs w:val="22"/>
                <w:lang w:eastAsia="en-US"/>
              </w:rPr>
            </w:pPr>
            <w:r w:rsidRPr="00783676">
              <w:rPr>
                <w:rFonts w:cs="Tahoma"/>
                <w:szCs w:val="22"/>
                <w:lang w:eastAsia="en-US"/>
              </w:rPr>
              <w:t>0.20</w:t>
            </w:r>
          </w:p>
        </w:tc>
        <w:tc>
          <w:tcPr>
            <w:tcW w:w="1251" w:type="pct"/>
            <w:tcBorders>
              <w:top w:val="nil"/>
            </w:tcBorders>
            <w:vAlign w:val="bottom"/>
          </w:tcPr>
          <w:p w14:paraId="0ABBA386" w14:textId="77777777" w:rsidR="00783676" w:rsidRPr="00783676" w:rsidRDefault="00783676" w:rsidP="00783676">
            <w:pPr>
              <w:keepNext/>
              <w:spacing w:after="40"/>
              <w:jc w:val="center"/>
              <w:rPr>
                <w:rFonts w:cs="Tahoma"/>
                <w:szCs w:val="22"/>
                <w:lang w:eastAsia="en-US"/>
              </w:rPr>
            </w:pPr>
          </w:p>
        </w:tc>
        <w:tc>
          <w:tcPr>
            <w:tcW w:w="1173" w:type="pct"/>
            <w:tcBorders>
              <w:top w:val="nil"/>
            </w:tcBorders>
            <w:vAlign w:val="bottom"/>
          </w:tcPr>
          <w:p w14:paraId="5B7CEFB8" w14:textId="77777777" w:rsidR="00783676" w:rsidRPr="00783676" w:rsidRDefault="00783676" w:rsidP="00783676">
            <w:pPr>
              <w:keepNext/>
              <w:spacing w:after="40"/>
              <w:jc w:val="center"/>
              <w:rPr>
                <w:rFonts w:cs="Tahoma"/>
                <w:szCs w:val="22"/>
                <w:lang w:eastAsia="en-US"/>
              </w:rPr>
            </w:pPr>
          </w:p>
        </w:tc>
      </w:tr>
      <w:tr w:rsidR="00783676" w:rsidRPr="00783676" w14:paraId="4D84ED9C" w14:textId="77777777" w:rsidTr="00042672">
        <w:tc>
          <w:tcPr>
            <w:tcW w:w="5000" w:type="pct"/>
            <w:gridSpan w:val="6"/>
          </w:tcPr>
          <w:p w14:paraId="5D8835CD" w14:textId="77777777" w:rsidR="00783676" w:rsidRPr="00783676" w:rsidRDefault="00783676" w:rsidP="00783676">
            <w:pPr>
              <w:keepNext/>
              <w:spacing w:after="40"/>
              <w:rPr>
                <w:rFonts w:cs="Tahoma"/>
                <w:i/>
                <w:iCs/>
                <w:szCs w:val="22"/>
                <w:lang w:eastAsia="en-US"/>
              </w:rPr>
            </w:pPr>
            <w:r w:rsidRPr="00783676">
              <w:rPr>
                <w:rFonts w:cs="Tahoma"/>
                <w:i/>
                <w:iCs/>
                <w:szCs w:val="22"/>
                <w:lang w:eastAsia="en-US"/>
              </w:rPr>
              <w:t>Step 1B results of step 2 in costs/LYG calculated during the evaluation</w:t>
            </w:r>
          </w:p>
        </w:tc>
      </w:tr>
      <w:tr w:rsidR="00783676" w:rsidRPr="00783676" w14:paraId="158961FC" w14:textId="77777777" w:rsidTr="00042672">
        <w:tc>
          <w:tcPr>
            <w:tcW w:w="315" w:type="pct"/>
          </w:tcPr>
          <w:p w14:paraId="7F9C6856" w14:textId="77777777" w:rsidR="00783676" w:rsidRPr="00B56C0A" w:rsidRDefault="00783676" w:rsidP="00783676">
            <w:pPr>
              <w:keepNext/>
              <w:spacing w:after="40"/>
              <w:rPr>
                <w:rFonts w:cs="Tahoma"/>
                <w:szCs w:val="22"/>
                <w:lang w:eastAsia="en-US"/>
              </w:rPr>
            </w:pPr>
            <w:r w:rsidRPr="00B56C0A">
              <w:rPr>
                <w:rFonts w:cs="Tahoma"/>
                <w:szCs w:val="22"/>
                <w:lang w:eastAsia="en-US"/>
              </w:rPr>
              <w:t>ECP</w:t>
            </w:r>
          </w:p>
        </w:tc>
        <w:tc>
          <w:tcPr>
            <w:tcW w:w="698" w:type="pct"/>
          </w:tcPr>
          <w:p w14:paraId="2E5BB64F" w14:textId="77777777" w:rsidR="00783676" w:rsidRPr="00B56C0A" w:rsidRDefault="00783676" w:rsidP="00783676">
            <w:pPr>
              <w:keepNext/>
              <w:spacing w:after="40"/>
              <w:jc w:val="center"/>
              <w:rPr>
                <w:rFonts w:cs="Tahoma"/>
                <w:szCs w:val="22"/>
                <w:lang w:eastAsia="en-US"/>
              </w:rPr>
            </w:pPr>
            <w:r w:rsidRPr="00B56C0A">
              <w:rPr>
                <w:rFonts w:cs="Tahoma"/>
                <w:szCs w:val="22"/>
                <w:lang w:eastAsia="en-US"/>
              </w:rPr>
              <w:t>$180,020.12</w:t>
            </w:r>
          </w:p>
        </w:tc>
        <w:tc>
          <w:tcPr>
            <w:tcW w:w="860" w:type="pct"/>
            <w:tcBorders>
              <w:top w:val="nil"/>
              <w:bottom w:val="nil"/>
            </w:tcBorders>
          </w:tcPr>
          <w:p w14:paraId="0F6DD356" w14:textId="094A088E" w:rsidR="00783676" w:rsidRPr="00B56C0A" w:rsidRDefault="00AF2357" w:rsidP="00783676">
            <w:pPr>
              <w:keepNext/>
              <w:spacing w:after="40"/>
              <w:jc w:val="center"/>
              <w:rPr>
                <w:rFonts w:cs="Tahoma"/>
                <w:szCs w:val="22"/>
                <w:lang w:eastAsia="en-US"/>
              </w:rPr>
            </w:pPr>
            <w:r w:rsidRPr="00B56C0A">
              <w:rPr>
                <w:rFonts w:cs="Tahoma"/>
                <w:szCs w:val="22"/>
                <w:lang w:eastAsia="en-US"/>
              </w:rPr>
              <w:t>$24,006</w:t>
            </w:r>
          </w:p>
        </w:tc>
        <w:tc>
          <w:tcPr>
            <w:tcW w:w="703" w:type="pct"/>
          </w:tcPr>
          <w:p w14:paraId="03514D88" w14:textId="77777777" w:rsidR="00783676" w:rsidRPr="00B56C0A" w:rsidRDefault="00783676" w:rsidP="00783676">
            <w:pPr>
              <w:keepNext/>
              <w:spacing w:after="40"/>
              <w:jc w:val="center"/>
              <w:rPr>
                <w:rFonts w:cs="Tahoma"/>
                <w:szCs w:val="22"/>
                <w:lang w:eastAsia="en-US"/>
              </w:rPr>
            </w:pPr>
            <w:r w:rsidRPr="00B56C0A">
              <w:rPr>
                <w:rFonts w:cs="Tahoma"/>
                <w:szCs w:val="22"/>
                <w:lang w:eastAsia="en-US"/>
              </w:rPr>
              <w:t>5.65</w:t>
            </w:r>
          </w:p>
        </w:tc>
        <w:tc>
          <w:tcPr>
            <w:tcW w:w="1251" w:type="pct"/>
            <w:tcBorders>
              <w:top w:val="nil"/>
              <w:bottom w:val="nil"/>
            </w:tcBorders>
          </w:tcPr>
          <w:p w14:paraId="6118123A" w14:textId="77777777" w:rsidR="00783676" w:rsidRPr="00B56C0A" w:rsidRDefault="00783676" w:rsidP="00783676">
            <w:pPr>
              <w:keepNext/>
              <w:spacing w:after="40"/>
              <w:jc w:val="center"/>
              <w:rPr>
                <w:rFonts w:cs="Tahoma"/>
                <w:szCs w:val="22"/>
                <w:lang w:eastAsia="en-US"/>
              </w:rPr>
            </w:pPr>
            <w:r w:rsidRPr="00B56C0A">
              <w:rPr>
                <w:rFonts w:cs="Tahoma"/>
                <w:szCs w:val="22"/>
                <w:lang w:eastAsia="en-US"/>
              </w:rPr>
              <w:t>1.18 LYG</w:t>
            </w:r>
          </w:p>
        </w:tc>
        <w:tc>
          <w:tcPr>
            <w:tcW w:w="1173" w:type="pct"/>
            <w:tcBorders>
              <w:top w:val="nil"/>
              <w:bottom w:val="nil"/>
            </w:tcBorders>
          </w:tcPr>
          <w:p w14:paraId="73802146" w14:textId="77777777" w:rsidR="00783676" w:rsidRPr="00B56C0A" w:rsidRDefault="00783676" w:rsidP="00783676">
            <w:pPr>
              <w:keepNext/>
              <w:spacing w:after="40"/>
              <w:jc w:val="center"/>
              <w:rPr>
                <w:rFonts w:cs="Tahoma"/>
                <w:szCs w:val="22"/>
                <w:lang w:eastAsia="en-US"/>
              </w:rPr>
            </w:pPr>
            <w:r w:rsidRPr="00B56C0A">
              <w:rPr>
                <w:rFonts w:cs="Tahoma"/>
                <w:szCs w:val="22"/>
                <w:lang w:eastAsia="en-US"/>
              </w:rPr>
              <w:t>Dominant (-$20,341)</w:t>
            </w:r>
          </w:p>
        </w:tc>
      </w:tr>
      <w:tr w:rsidR="00783676" w:rsidRPr="00783676" w14:paraId="4D137F4D" w14:textId="77777777" w:rsidTr="00042672">
        <w:tc>
          <w:tcPr>
            <w:tcW w:w="315" w:type="pct"/>
          </w:tcPr>
          <w:p w14:paraId="5280B538" w14:textId="77777777" w:rsidR="00783676" w:rsidRPr="00B56C0A" w:rsidRDefault="00783676" w:rsidP="00783676">
            <w:pPr>
              <w:keepNext/>
              <w:spacing w:after="40"/>
              <w:rPr>
                <w:rFonts w:cs="Tahoma"/>
                <w:szCs w:val="22"/>
                <w:lang w:eastAsia="en-US"/>
              </w:rPr>
            </w:pPr>
            <w:r w:rsidRPr="00B56C0A">
              <w:rPr>
                <w:rFonts w:cs="Tahoma"/>
                <w:szCs w:val="22"/>
                <w:lang w:eastAsia="en-US"/>
              </w:rPr>
              <w:t>SOC</w:t>
            </w:r>
          </w:p>
        </w:tc>
        <w:tc>
          <w:tcPr>
            <w:tcW w:w="698" w:type="pct"/>
          </w:tcPr>
          <w:p w14:paraId="2EB519C9" w14:textId="77777777" w:rsidR="00783676" w:rsidRPr="00B56C0A" w:rsidRDefault="00783676" w:rsidP="00783676">
            <w:pPr>
              <w:keepNext/>
              <w:spacing w:after="40"/>
              <w:jc w:val="center"/>
              <w:rPr>
                <w:rFonts w:cs="Tahoma"/>
                <w:szCs w:val="22"/>
                <w:lang w:eastAsia="en-US"/>
              </w:rPr>
            </w:pPr>
            <w:r w:rsidRPr="00B56C0A">
              <w:rPr>
                <w:rFonts w:cs="Tahoma"/>
                <w:szCs w:val="22"/>
                <w:lang w:eastAsia="en-US"/>
              </w:rPr>
              <w:t>$204,026.09</w:t>
            </w:r>
          </w:p>
        </w:tc>
        <w:tc>
          <w:tcPr>
            <w:tcW w:w="860" w:type="pct"/>
            <w:tcBorders>
              <w:top w:val="nil"/>
            </w:tcBorders>
          </w:tcPr>
          <w:p w14:paraId="74AAF1D5" w14:textId="5382C286" w:rsidR="00783676" w:rsidRPr="00B56C0A" w:rsidRDefault="00783676" w:rsidP="00783676">
            <w:pPr>
              <w:keepNext/>
              <w:spacing w:after="40"/>
              <w:jc w:val="center"/>
              <w:rPr>
                <w:rFonts w:cs="Tahoma"/>
                <w:szCs w:val="22"/>
                <w:lang w:eastAsia="en-US"/>
              </w:rPr>
            </w:pPr>
          </w:p>
        </w:tc>
        <w:tc>
          <w:tcPr>
            <w:tcW w:w="703" w:type="pct"/>
          </w:tcPr>
          <w:p w14:paraId="5D0C72F6" w14:textId="77777777" w:rsidR="00783676" w:rsidRPr="00B56C0A" w:rsidRDefault="00783676" w:rsidP="00783676">
            <w:pPr>
              <w:keepNext/>
              <w:spacing w:after="40"/>
              <w:jc w:val="center"/>
              <w:rPr>
                <w:rFonts w:cs="Tahoma"/>
                <w:szCs w:val="22"/>
                <w:lang w:eastAsia="en-US"/>
              </w:rPr>
            </w:pPr>
            <w:r w:rsidRPr="00B56C0A">
              <w:rPr>
                <w:rFonts w:cs="Tahoma"/>
                <w:szCs w:val="22"/>
                <w:lang w:eastAsia="en-US"/>
              </w:rPr>
              <w:t>4.47</w:t>
            </w:r>
          </w:p>
        </w:tc>
        <w:tc>
          <w:tcPr>
            <w:tcW w:w="1251" w:type="pct"/>
            <w:tcBorders>
              <w:top w:val="nil"/>
            </w:tcBorders>
          </w:tcPr>
          <w:p w14:paraId="41A32780" w14:textId="77777777" w:rsidR="00783676" w:rsidRPr="00B56C0A" w:rsidRDefault="00783676" w:rsidP="00783676">
            <w:pPr>
              <w:keepNext/>
              <w:spacing w:after="40"/>
              <w:jc w:val="center"/>
              <w:rPr>
                <w:rFonts w:cs="Tahoma"/>
                <w:szCs w:val="22"/>
                <w:lang w:eastAsia="en-US"/>
              </w:rPr>
            </w:pPr>
          </w:p>
        </w:tc>
        <w:tc>
          <w:tcPr>
            <w:tcW w:w="1173" w:type="pct"/>
            <w:tcBorders>
              <w:top w:val="nil"/>
            </w:tcBorders>
          </w:tcPr>
          <w:p w14:paraId="2B2F3510" w14:textId="77777777" w:rsidR="00783676" w:rsidRPr="00B56C0A" w:rsidRDefault="00783676" w:rsidP="00783676">
            <w:pPr>
              <w:keepNext/>
              <w:spacing w:after="40"/>
              <w:jc w:val="center"/>
              <w:rPr>
                <w:rFonts w:cs="Tahoma"/>
                <w:szCs w:val="22"/>
                <w:lang w:eastAsia="en-US"/>
              </w:rPr>
            </w:pPr>
          </w:p>
        </w:tc>
      </w:tr>
      <w:tr w:rsidR="00783676" w:rsidRPr="00783676" w14:paraId="3EC568F7" w14:textId="77777777" w:rsidTr="00042672">
        <w:tc>
          <w:tcPr>
            <w:tcW w:w="5000" w:type="pct"/>
            <w:gridSpan w:val="6"/>
            <w:vAlign w:val="center"/>
          </w:tcPr>
          <w:p w14:paraId="00079AAC" w14:textId="7FF94DFF" w:rsidR="00783676" w:rsidRPr="00783676" w:rsidRDefault="00783676" w:rsidP="00783676">
            <w:pPr>
              <w:keepNext/>
              <w:spacing w:after="40"/>
              <w:rPr>
                <w:rFonts w:cs="Tahoma"/>
                <w:szCs w:val="22"/>
                <w:lang w:eastAsia="en-US"/>
              </w:rPr>
            </w:pPr>
            <w:r w:rsidRPr="00783676">
              <w:rPr>
                <w:rFonts w:cs="Tahoma"/>
                <w:i/>
                <w:iCs/>
                <w:szCs w:val="22"/>
                <w:lang w:eastAsia="en-US"/>
              </w:rPr>
              <w:t>Step 2 (cost per QALY – 10</w:t>
            </w:r>
            <w:r w:rsidR="00C13C95">
              <w:rPr>
                <w:rFonts w:cs="Tahoma"/>
                <w:i/>
                <w:iCs/>
                <w:szCs w:val="22"/>
                <w:lang w:eastAsia="en-US"/>
              </w:rPr>
              <w:t>-</w:t>
            </w:r>
            <w:r w:rsidRPr="00783676">
              <w:rPr>
                <w:rFonts w:cs="Tahoma"/>
                <w:i/>
                <w:iCs/>
                <w:szCs w:val="22"/>
                <w:lang w:eastAsia="en-US"/>
              </w:rPr>
              <w:t>year</w:t>
            </w:r>
            <w:r w:rsidR="00C13C95">
              <w:rPr>
                <w:rFonts w:cs="Tahoma"/>
                <w:i/>
                <w:iCs/>
                <w:szCs w:val="22"/>
                <w:lang w:eastAsia="en-US"/>
              </w:rPr>
              <w:t xml:space="preserve"> </w:t>
            </w:r>
            <w:r w:rsidRPr="00783676">
              <w:rPr>
                <w:rFonts w:cs="Tahoma"/>
                <w:i/>
                <w:iCs/>
                <w:szCs w:val="22"/>
                <w:lang w:eastAsia="en-US"/>
              </w:rPr>
              <w:t>time horizon)</w:t>
            </w:r>
          </w:p>
        </w:tc>
      </w:tr>
      <w:tr w:rsidR="00783676" w:rsidRPr="00783676" w14:paraId="124C1F0B" w14:textId="77777777" w:rsidTr="00042672">
        <w:tc>
          <w:tcPr>
            <w:tcW w:w="315" w:type="pct"/>
            <w:vAlign w:val="center"/>
          </w:tcPr>
          <w:p w14:paraId="36589337" w14:textId="77777777" w:rsidR="00783676" w:rsidRPr="00783676" w:rsidRDefault="00783676" w:rsidP="00783676">
            <w:pPr>
              <w:keepNext/>
              <w:spacing w:after="40"/>
              <w:rPr>
                <w:rFonts w:cs="Tahoma"/>
                <w:szCs w:val="22"/>
                <w:lang w:eastAsia="en-US"/>
              </w:rPr>
            </w:pPr>
            <w:r w:rsidRPr="00783676">
              <w:rPr>
                <w:rFonts w:cs="Tahoma"/>
                <w:szCs w:val="22"/>
                <w:lang w:eastAsia="en-US"/>
              </w:rPr>
              <w:t>ECP</w:t>
            </w:r>
          </w:p>
        </w:tc>
        <w:tc>
          <w:tcPr>
            <w:tcW w:w="698" w:type="pct"/>
            <w:vAlign w:val="center"/>
          </w:tcPr>
          <w:p w14:paraId="7F147107" w14:textId="77777777" w:rsidR="00783676" w:rsidRPr="00783676" w:rsidRDefault="00783676" w:rsidP="00783676">
            <w:pPr>
              <w:keepNext/>
              <w:spacing w:after="40"/>
              <w:jc w:val="center"/>
              <w:rPr>
                <w:rFonts w:cs="Tahoma"/>
                <w:szCs w:val="22"/>
                <w:lang w:eastAsia="en-US"/>
              </w:rPr>
            </w:pPr>
            <w:r w:rsidRPr="00783676">
              <w:rPr>
                <w:rFonts w:cs="Tahoma"/>
                <w:szCs w:val="22"/>
                <w:lang w:eastAsia="en-US"/>
              </w:rPr>
              <w:t>$180,020.12</w:t>
            </w:r>
          </w:p>
        </w:tc>
        <w:tc>
          <w:tcPr>
            <w:tcW w:w="860" w:type="pct"/>
            <w:tcBorders>
              <w:bottom w:val="nil"/>
            </w:tcBorders>
            <w:vAlign w:val="center"/>
          </w:tcPr>
          <w:p w14:paraId="4E4127C2" w14:textId="477B652D" w:rsidR="00783676" w:rsidRPr="00783676" w:rsidRDefault="00AF2357" w:rsidP="00783676">
            <w:pPr>
              <w:keepNext/>
              <w:spacing w:after="40"/>
              <w:jc w:val="center"/>
              <w:rPr>
                <w:rFonts w:cs="Tahoma"/>
                <w:szCs w:val="22"/>
                <w:lang w:eastAsia="en-US"/>
              </w:rPr>
            </w:pPr>
            <w:r w:rsidRPr="00783676">
              <w:rPr>
                <w:rFonts w:cs="Tahoma"/>
                <w:szCs w:val="22"/>
                <w:lang w:eastAsia="en-US"/>
              </w:rPr>
              <w:t>$24,006</w:t>
            </w:r>
          </w:p>
        </w:tc>
        <w:tc>
          <w:tcPr>
            <w:tcW w:w="703" w:type="pct"/>
            <w:vAlign w:val="center"/>
          </w:tcPr>
          <w:p w14:paraId="349F0E07" w14:textId="77777777" w:rsidR="00783676" w:rsidRPr="00783676" w:rsidRDefault="00783676" w:rsidP="00783676">
            <w:pPr>
              <w:keepNext/>
              <w:spacing w:after="40"/>
              <w:jc w:val="center"/>
              <w:rPr>
                <w:rFonts w:cs="Tahoma"/>
                <w:szCs w:val="22"/>
                <w:lang w:eastAsia="en-US"/>
              </w:rPr>
            </w:pPr>
            <w:r w:rsidRPr="00783676">
              <w:rPr>
                <w:rFonts w:cs="Tahoma"/>
                <w:szCs w:val="22"/>
                <w:lang w:eastAsia="en-US"/>
              </w:rPr>
              <w:t>4.31</w:t>
            </w:r>
          </w:p>
        </w:tc>
        <w:tc>
          <w:tcPr>
            <w:tcW w:w="1251" w:type="pct"/>
            <w:tcBorders>
              <w:bottom w:val="nil"/>
            </w:tcBorders>
            <w:vAlign w:val="center"/>
          </w:tcPr>
          <w:p w14:paraId="54E9E022" w14:textId="77777777" w:rsidR="00783676" w:rsidRPr="00783676" w:rsidRDefault="00783676" w:rsidP="00783676">
            <w:pPr>
              <w:keepNext/>
              <w:spacing w:after="40"/>
              <w:jc w:val="center"/>
              <w:rPr>
                <w:rFonts w:cs="Tahoma"/>
                <w:szCs w:val="22"/>
                <w:lang w:eastAsia="en-US"/>
              </w:rPr>
            </w:pPr>
            <w:r w:rsidRPr="00783676">
              <w:rPr>
                <w:rFonts w:cs="Tahoma"/>
                <w:szCs w:val="22"/>
                <w:lang w:eastAsia="en-US"/>
              </w:rPr>
              <w:t>1.10 QALY</w:t>
            </w:r>
          </w:p>
        </w:tc>
        <w:tc>
          <w:tcPr>
            <w:tcW w:w="1173" w:type="pct"/>
            <w:tcBorders>
              <w:bottom w:val="nil"/>
            </w:tcBorders>
          </w:tcPr>
          <w:p w14:paraId="2B485E08" w14:textId="77777777" w:rsidR="00783676" w:rsidRPr="00783676" w:rsidRDefault="00783676" w:rsidP="00783676">
            <w:pPr>
              <w:keepNext/>
              <w:spacing w:after="40"/>
              <w:jc w:val="center"/>
              <w:rPr>
                <w:rFonts w:cs="Tahoma"/>
                <w:szCs w:val="22"/>
                <w:lang w:eastAsia="en-US"/>
              </w:rPr>
            </w:pPr>
            <w:r w:rsidRPr="00783676">
              <w:rPr>
                <w:rFonts w:cs="Tahoma"/>
                <w:szCs w:val="22"/>
                <w:lang w:eastAsia="en-US"/>
              </w:rPr>
              <w:t>Dominant (</w:t>
            </w:r>
            <w:r w:rsidRPr="00783676">
              <w:rPr>
                <w:rFonts w:cs="Tahoma"/>
                <w:i/>
                <w:iCs/>
                <w:szCs w:val="22"/>
                <w:lang w:eastAsia="en-US"/>
              </w:rPr>
              <w:t>-$21,779)</w:t>
            </w:r>
          </w:p>
        </w:tc>
      </w:tr>
      <w:tr w:rsidR="00783676" w:rsidRPr="00783676" w14:paraId="373EA14C" w14:textId="77777777" w:rsidTr="00042672">
        <w:tc>
          <w:tcPr>
            <w:tcW w:w="315" w:type="pct"/>
            <w:tcBorders>
              <w:bottom w:val="single" w:sz="4" w:space="0" w:color="auto"/>
            </w:tcBorders>
          </w:tcPr>
          <w:p w14:paraId="0D4F9D13" w14:textId="77777777" w:rsidR="00783676" w:rsidRPr="00783676" w:rsidRDefault="00783676" w:rsidP="00783676">
            <w:pPr>
              <w:keepNext/>
              <w:spacing w:after="40"/>
              <w:rPr>
                <w:rFonts w:cs="Tahoma"/>
                <w:szCs w:val="22"/>
                <w:lang w:eastAsia="en-US"/>
              </w:rPr>
            </w:pPr>
            <w:r w:rsidRPr="00783676">
              <w:rPr>
                <w:rFonts w:cs="Tahoma"/>
                <w:szCs w:val="22"/>
                <w:lang w:eastAsia="en-US"/>
              </w:rPr>
              <w:t>SOC</w:t>
            </w:r>
          </w:p>
        </w:tc>
        <w:tc>
          <w:tcPr>
            <w:tcW w:w="698" w:type="pct"/>
            <w:tcBorders>
              <w:bottom w:val="single" w:sz="4" w:space="0" w:color="auto"/>
            </w:tcBorders>
          </w:tcPr>
          <w:p w14:paraId="42499E98" w14:textId="77777777" w:rsidR="00783676" w:rsidRPr="00783676" w:rsidRDefault="00783676" w:rsidP="00783676">
            <w:pPr>
              <w:keepNext/>
              <w:spacing w:after="40"/>
              <w:jc w:val="center"/>
              <w:rPr>
                <w:rFonts w:cs="Tahoma"/>
                <w:szCs w:val="22"/>
                <w:lang w:eastAsia="en-US"/>
              </w:rPr>
            </w:pPr>
            <w:r w:rsidRPr="00783676">
              <w:rPr>
                <w:rFonts w:cs="Tahoma"/>
                <w:szCs w:val="22"/>
                <w:lang w:eastAsia="en-US"/>
              </w:rPr>
              <w:t>$204,026.09</w:t>
            </w:r>
          </w:p>
        </w:tc>
        <w:tc>
          <w:tcPr>
            <w:tcW w:w="860" w:type="pct"/>
            <w:tcBorders>
              <w:top w:val="nil"/>
              <w:bottom w:val="single" w:sz="4" w:space="0" w:color="auto"/>
            </w:tcBorders>
          </w:tcPr>
          <w:p w14:paraId="1D560C01" w14:textId="787A7818" w:rsidR="00783676" w:rsidRPr="00783676" w:rsidRDefault="00783676" w:rsidP="00783676">
            <w:pPr>
              <w:keepNext/>
              <w:spacing w:after="40"/>
              <w:jc w:val="center"/>
              <w:rPr>
                <w:rFonts w:cs="Tahoma"/>
                <w:szCs w:val="22"/>
                <w:lang w:eastAsia="en-US"/>
              </w:rPr>
            </w:pPr>
          </w:p>
        </w:tc>
        <w:tc>
          <w:tcPr>
            <w:tcW w:w="703" w:type="pct"/>
            <w:tcBorders>
              <w:bottom w:val="single" w:sz="4" w:space="0" w:color="auto"/>
            </w:tcBorders>
          </w:tcPr>
          <w:p w14:paraId="09175397" w14:textId="77777777" w:rsidR="00783676" w:rsidRPr="00783676" w:rsidRDefault="00783676" w:rsidP="00783676">
            <w:pPr>
              <w:keepNext/>
              <w:spacing w:after="40"/>
              <w:jc w:val="center"/>
              <w:rPr>
                <w:rFonts w:cs="Tahoma"/>
                <w:szCs w:val="22"/>
                <w:lang w:eastAsia="en-US"/>
              </w:rPr>
            </w:pPr>
            <w:r w:rsidRPr="00783676">
              <w:rPr>
                <w:rFonts w:cs="Tahoma"/>
                <w:szCs w:val="22"/>
                <w:lang w:eastAsia="en-US"/>
              </w:rPr>
              <w:t>3.21</w:t>
            </w:r>
          </w:p>
        </w:tc>
        <w:tc>
          <w:tcPr>
            <w:tcW w:w="1251" w:type="pct"/>
            <w:tcBorders>
              <w:top w:val="nil"/>
              <w:bottom w:val="single" w:sz="4" w:space="0" w:color="auto"/>
            </w:tcBorders>
          </w:tcPr>
          <w:p w14:paraId="5EEE776F" w14:textId="77777777" w:rsidR="00783676" w:rsidRPr="00783676" w:rsidRDefault="00783676" w:rsidP="00783676">
            <w:pPr>
              <w:keepNext/>
              <w:spacing w:after="40"/>
              <w:jc w:val="center"/>
              <w:rPr>
                <w:rFonts w:cs="Tahoma"/>
                <w:szCs w:val="22"/>
                <w:lang w:eastAsia="en-US"/>
              </w:rPr>
            </w:pPr>
          </w:p>
        </w:tc>
        <w:tc>
          <w:tcPr>
            <w:tcW w:w="1173" w:type="pct"/>
            <w:tcBorders>
              <w:top w:val="nil"/>
              <w:bottom w:val="single" w:sz="4" w:space="0" w:color="auto"/>
            </w:tcBorders>
          </w:tcPr>
          <w:p w14:paraId="7D68C446" w14:textId="77777777" w:rsidR="00783676" w:rsidRPr="00783676" w:rsidRDefault="00783676" w:rsidP="00783676">
            <w:pPr>
              <w:keepNext/>
              <w:spacing w:after="40"/>
              <w:jc w:val="center"/>
              <w:rPr>
                <w:rFonts w:cs="Tahoma"/>
                <w:szCs w:val="22"/>
                <w:lang w:eastAsia="en-US"/>
              </w:rPr>
            </w:pPr>
          </w:p>
        </w:tc>
      </w:tr>
    </w:tbl>
    <w:p w14:paraId="78BEC1CA" w14:textId="77777777" w:rsidR="00783676" w:rsidRPr="00783676" w:rsidRDefault="00783676" w:rsidP="00783676">
      <w:pPr>
        <w:widowControl w:val="0"/>
        <w:jc w:val="both"/>
        <w:rPr>
          <w:rFonts w:ascii="Arial Narrow" w:hAnsi="Arial Narrow" w:cs="Arial"/>
          <w:snapToGrid w:val="0"/>
          <w:sz w:val="18"/>
          <w:lang w:eastAsia="en-US"/>
        </w:rPr>
      </w:pPr>
      <w:r w:rsidRPr="00783676">
        <w:rPr>
          <w:rFonts w:ascii="Arial Narrow" w:hAnsi="Arial Narrow" w:cs="Arial"/>
          <w:snapToGrid w:val="0"/>
          <w:sz w:val="18"/>
          <w:lang w:eastAsia="en-US"/>
        </w:rPr>
        <w:t>Source: Table D.16, p172 of the ADAR</w:t>
      </w:r>
    </w:p>
    <w:p w14:paraId="7178AFD0" w14:textId="3DFDB300" w:rsidR="00B853FB" w:rsidRPr="00B853FB" w:rsidRDefault="00783676" w:rsidP="00B853FB">
      <w:pPr>
        <w:widowControl w:val="0"/>
        <w:spacing w:after="240"/>
        <w:jc w:val="both"/>
        <w:rPr>
          <w:rFonts w:ascii="Arial Narrow" w:hAnsi="Arial Narrow" w:cs="Arial"/>
          <w:snapToGrid w:val="0"/>
          <w:sz w:val="18"/>
          <w:lang w:eastAsia="en-US"/>
        </w:rPr>
      </w:pPr>
      <w:r w:rsidRPr="00783676">
        <w:rPr>
          <w:rFonts w:ascii="Arial Narrow" w:hAnsi="Arial Narrow" w:cs="Arial"/>
          <w:snapToGrid w:val="0"/>
          <w:sz w:val="18"/>
          <w:lang w:eastAsia="en-US"/>
        </w:rPr>
        <w:t xml:space="preserve">ECP, </w:t>
      </w:r>
      <w:r w:rsidR="000D2B0D" w:rsidRPr="00783676">
        <w:rPr>
          <w:rFonts w:ascii="Arial Narrow" w:hAnsi="Arial Narrow" w:cs="Arial"/>
          <w:snapToGrid w:val="0"/>
          <w:sz w:val="18"/>
          <w:lang w:eastAsia="en-US"/>
        </w:rPr>
        <w:t>extracorporeal</w:t>
      </w:r>
      <w:r w:rsidRPr="00783676">
        <w:rPr>
          <w:rFonts w:ascii="Arial Narrow" w:hAnsi="Arial Narrow" w:cs="Arial"/>
          <w:snapToGrid w:val="0"/>
          <w:sz w:val="18"/>
          <w:lang w:eastAsia="en-US"/>
        </w:rPr>
        <w:t xml:space="preserve"> photopheresis; ICER, incremental cost-effectiveness ratio; QALY, Quality-adjusted life year; SOC, standard of care.</w:t>
      </w:r>
      <w:r w:rsidR="00B853FB">
        <w:br w:type="page"/>
      </w:r>
    </w:p>
    <w:p w14:paraId="04FD6175" w14:textId="53C96D73" w:rsidR="00783676" w:rsidRPr="00783676" w:rsidRDefault="00783676" w:rsidP="00783676">
      <w:r w:rsidRPr="00783676">
        <w:lastRenderedPageBreak/>
        <w:t xml:space="preserve">The </w:t>
      </w:r>
      <w:r>
        <w:t xml:space="preserve">Commentary noted that the </w:t>
      </w:r>
      <w:r w:rsidRPr="00783676">
        <w:t>modelled results were most sensitive (changing from ‘dominant’ to a cost/QALY) to:</w:t>
      </w:r>
    </w:p>
    <w:p w14:paraId="07906BB9" w14:textId="77777777" w:rsidR="00783676" w:rsidRPr="00783676" w:rsidRDefault="00783676" w:rsidP="00783676">
      <w:pPr>
        <w:pStyle w:val="ListParagraph"/>
        <w:numPr>
          <w:ilvl w:val="0"/>
          <w:numId w:val="27"/>
        </w:numPr>
        <w:rPr>
          <w:iCs/>
        </w:rPr>
      </w:pPr>
      <w:r w:rsidRPr="00783676">
        <w:rPr>
          <w:iCs/>
        </w:rPr>
        <w:t>ECP response at 12 weeks ($24,651/QALY based on a response rate of 40% as reported in Flowers 2008);</w:t>
      </w:r>
    </w:p>
    <w:p w14:paraId="4A813DBF" w14:textId="48A9BC10" w:rsidR="00783676" w:rsidRPr="00783676" w:rsidRDefault="00B56C0A" w:rsidP="00783676">
      <w:pPr>
        <w:pStyle w:val="ListParagraph"/>
        <w:numPr>
          <w:ilvl w:val="0"/>
          <w:numId w:val="27"/>
        </w:numPr>
        <w:rPr>
          <w:iCs/>
        </w:rPr>
      </w:pPr>
      <w:r>
        <w:rPr>
          <w:iCs/>
        </w:rPr>
        <w:t>e</w:t>
      </w:r>
      <w:r w:rsidR="00783676" w:rsidRPr="00783676">
        <w:rPr>
          <w:iCs/>
        </w:rPr>
        <w:t xml:space="preserve">xcluding rituximab as third-line therapy (consistent with </w:t>
      </w:r>
      <w:r w:rsidR="008F07F1">
        <w:rPr>
          <w:iCs/>
        </w:rPr>
        <w:t>the r</w:t>
      </w:r>
      <w:r w:rsidR="00783676" w:rsidRPr="00783676">
        <w:rPr>
          <w:iCs/>
        </w:rPr>
        <w:t xml:space="preserve">atified PICO </w:t>
      </w:r>
      <w:r w:rsidR="008F07F1">
        <w:rPr>
          <w:iCs/>
        </w:rPr>
        <w:t>C</w:t>
      </w:r>
      <w:r w:rsidR="00783676" w:rsidRPr="00783676">
        <w:rPr>
          <w:iCs/>
        </w:rPr>
        <w:t>onfirmation; $10,632/QALY); and</w:t>
      </w:r>
    </w:p>
    <w:p w14:paraId="5B2AA24D" w14:textId="58FE2AC3" w:rsidR="00783676" w:rsidRDefault="00B56C0A" w:rsidP="00783676">
      <w:pPr>
        <w:pStyle w:val="ListParagraph"/>
        <w:numPr>
          <w:ilvl w:val="0"/>
          <w:numId w:val="27"/>
        </w:numPr>
        <w:rPr>
          <w:iCs/>
        </w:rPr>
      </w:pPr>
      <w:r>
        <w:rPr>
          <w:iCs/>
        </w:rPr>
        <w:t>r</w:t>
      </w:r>
      <w:r w:rsidR="00783676" w:rsidRPr="00783676">
        <w:rPr>
          <w:iCs/>
        </w:rPr>
        <w:t>emoving intravenous immunoglobin from progressed state disease management costs ($20,588/QALY).</w:t>
      </w:r>
    </w:p>
    <w:p w14:paraId="0DA13C9E" w14:textId="2C0440B0" w:rsidR="00783676" w:rsidRPr="00783676" w:rsidRDefault="00783676" w:rsidP="00B853FB">
      <w:pPr>
        <w:keepNext/>
        <w:spacing w:before="240" w:after="120"/>
        <w:rPr>
          <w:rFonts w:ascii="Arial Narrow" w:hAnsi="Arial Narrow" w:cs="Arial"/>
          <w:b/>
          <w:bCs/>
          <w:snapToGrid w:val="0"/>
          <w:sz w:val="20"/>
          <w:szCs w:val="16"/>
          <w:lang w:eastAsia="en-US"/>
        </w:rPr>
      </w:pPr>
      <w:bookmarkStart w:id="26" w:name="_Toc399251127"/>
      <w:r w:rsidRPr="00783676">
        <w:rPr>
          <w:rFonts w:ascii="Arial Narrow" w:hAnsi="Arial Narrow" w:cs="Tahoma"/>
          <w:b/>
          <w:bCs/>
          <w:sz w:val="20"/>
          <w:szCs w:val="22"/>
        </w:rPr>
        <w:t xml:space="preserve">Table </w:t>
      </w:r>
      <w:r w:rsidRPr="00783676">
        <w:rPr>
          <w:rFonts w:ascii="Arial Narrow" w:hAnsi="Arial Narrow" w:cs="Tahoma"/>
          <w:b/>
          <w:bCs/>
          <w:sz w:val="20"/>
          <w:szCs w:val="22"/>
        </w:rPr>
        <w:fldChar w:fldCharType="begin"/>
      </w:r>
      <w:r w:rsidRPr="00783676">
        <w:rPr>
          <w:rFonts w:ascii="Arial Narrow" w:hAnsi="Arial Narrow" w:cs="Tahoma"/>
          <w:b/>
          <w:bCs/>
          <w:sz w:val="20"/>
          <w:szCs w:val="22"/>
        </w:rPr>
        <w:instrText xml:space="preserve"> SEQ Table \* ARABIC </w:instrText>
      </w:r>
      <w:r w:rsidRPr="00783676">
        <w:rPr>
          <w:rFonts w:ascii="Arial Narrow" w:hAnsi="Arial Narrow" w:cs="Tahoma"/>
          <w:b/>
          <w:bCs/>
          <w:sz w:val="20"/>
          <w:szCs w:val="22"/>
        </w:rPr>
        <w:fldChar w:fldCharType="separate"/>
      </w:r>
      <w:r w:rsidR="008407AE">
        <w:rPr>
          <w:rFonts w:ascii="Arial Narrow" w:hAnsi="Arial Narrow" w:cs="Tahoma"/>
          <w:b/>
          <w:bCs/>
          <w:noProof/>
          <w:sz w:val="20"/>
          <w:szCs w:val="22"/>
        </w:rPr>
        <w:t>11</w:t>
      </w:r>
      <w:r w:rsidRPr="00783676">
        <w:rPr>
          <w:rFonts w:ascii="Arial Narrow" w:hAnsi="Arial Narrow" w:cs="Tahoma"/>
          <w:b/>
          <w:bCs/>
          <w:noProof/>
          <w:sz w:val="20"/>
          <w:szCs w:val="22"/>
        </w:rPr>
        <w:fldChar w:fldCharType="end"/>
      </w:r>
      <w:r w:rsidR="0034138C">
        <w:rPr>
          <w:rFonts w:ascii="Arial Narrow" w:hAnsi="Arial Narrow" w:cs="Tahoma"/>
          <w:b/>
          <w:bCs/>
          <w:noProof/>
          <w:sz w:val="20"/>
          <w:szCs w:val="22"/>
        </w:rPr>
        <w:t xml:space="preserve">: </w:t>
      </w:r>
      <w:r w:rsidRPr="00783676">
        <w:rPr>
          <w:rFonts w:ascii="Arial Narrow" w:hAnsi="Arial Narrow" w:cs="Arial"/>
          <w:b/>
          <w:bCs/>
          <w:snapToGrid w:val="0"/>
          <w:sz w:val="20"/>
          <w:szCs w:val="16"/>
          <w:lang w:eastAsia="en-US"/>
        </w:rPr>
        <w:t>Key drivers of the economic model</w:t>
      </w:r>
      <w:bookmarkEnd w:id="26"/>
    </w:p>
    <w:tbl>
      <w:tblPr>
        <w:tblStyle w:val="OPTUMTableNormal"/>
        <w:tblW w:w="5000" w:type="pct"/>
        <w:tblLook w:val="04A0" w:firstRow="1" w:lastRow="0" w:firstColumn="1" w:lastColumn="0" w:noHBand="0" w:noVBand="1"/>
        <w:tblCaption w:val="Table 8 Key drivers of the economic model"/>
        <w:tblDescription w:val="This table describes what factors and assumptions in the economic model affect the incremental cost-effectiveness to the greatest extent."/>
      </w:tblPr>
      <w:tblGrid>
        <w:gridCol w:w="3823"/>
        <w:gridCol w:w="3260"/>
        <w:gridCol w:w="1933"/>
      </w:tblGrid>
      <w:tr w:rsidR="00783676" w:rsidRPr="00783676" w14:paraId="58CBDF7A" w14:textId="77777777" w:rsidTr="002D4F5D">
        <w:trPr>
          <w:cnfStyle w:val="100000000000" w:firstRow="1" w:lastRow="0" w:firstColumn="0" w:lastColumn="0" w:oddVBand="0" w:evenVBand="0" w:oddHBand="0" w:evenHBand="0" w:firstRowFirstColumn="0" w:firstRowLastColumn="0" w:lastRowFirstColumn="0" w:lastRowLastColumn="0"/>
        </w:trPr>
        <w:tc>
          <w:tcPr>
            <w:tcW w:w="2120" w:type="pct"/>
          </w:tcPr>
          <w:p w14:paraId="7D9F284D" w14:textId="77777777" w:rsidR="00783676" w:rsidRPr="00783676" w:rsidRDefault="00783676" w:rsidP="00783676">
            <w:pPr>
              <w:keepNext/>
              <w:spacing w:after="40"/>
              <w:rPr>
                <w:rFonts w:ascii="Arial Narrow" w:hAnsi="Arial Narrow" w:cs="Tahoma"/>
                <w:b/>
                <w:snapToGrid w:val="0"/>
                <w:sz w:val="20"/>
                <w:lang w:eastAsia="en-US"/>
              </w:rPr>
            </w:pPr>
            <w:r w:rsidRPr="00783676">
              <w:rPr>
                <w:rFonts w:ascii="Arial Narrow" w:hAnsi="Arial Narrow" w:cs="Tahoma"/>
                <w:b/>
                <w:snapToGrid w:val="0"/>
                <w:sz w:val="20"/>
                <w:lang w:eastAsia="en-US"/>
              </w:rPr>
              <w:t>Description</w:t>
            </w:r>
          </w:p>
        </w:tc>
        <w:tc>
          <w:tcPr>
            <w:tcW w:w="1808" w:type="pct"/>
          </w:tcPr>
          <w:p w14:paraId="5DDA06EF" w14:textId="77777777" w:rsidR="00783676" w:rsidRPr="00783676" w:rsidRDefault="00783676" w:rsidP="00783676">
            <w:pPr>
              <w:keepNext/>
              <w:spacing w:after="40"/>
              <w:jc w:val="center"/>
              <w:rPr>
                <w:rFonts w:ascii="Arial Narrow" w:hAnsi="Arial Narrow" w:cs="Tahoma"/>
                <w:b/>
                <w:snapToGrid w:val="0"/>
                <w:sz w:val="20"/>
                <w:lang w:eastAsia="en-US"/>
              </w:rPr>
            </w:pPr>
            <w:r w:rsidRPr="00783676">
              <w:rPr>
                <w:rFonts w:ascii="Arial Narrow" w:hAnsi="Arial Narrow" w:cs="Tahoma"/>
                <w:b/>
                <w:snapToGrid w:val="0"/>
                <w:sz w:val="20"/>
                <w:lang w:eastAsia="en-US"/>
              </w:rPr>
              <w:t>Method/Value</w:t>
            </w:r>
          </w:p>
        </w:tc>
        <w:tc>
          <w:tcPr>
            <w:tcW w:w="1072" w:type="pct"/>
          </w:tcPr>
          <w:p w14:paraId="1048ED7F" w14:textId="77777777" w:rsidR="00783676" w:rsidRPr="00783676" w:rsidRDefault="00783676" w:rsidP="00783676">
            <w:pPr>
              <w:keepNext/>
              <w:spacing w:after="40"/>
              <w:jc w:val="center"/>
              <w:rPr>
                <w:rFonts w:ascii="Arial Narrow" w:hAnsi="Arial Narrow" w:cs="Tahoma"/>
                <w:b/>
                <w:snapToGrid w:val="0"/>
                <w:sz w:val="20"/>
                <w:lang w:eastAsia="en-US"/>
              </w:rPr>
            </w:pPr>
            <w:r w:rsidRPr="00783676">
              <w:rPr>
                <w:rFonts w:ascii="Arial Narrow" w:hAnsi="Arial Narrow" w:cs="Tahoma"/>
                <w:b/>
                <w:snapToGrid w:val="0"/>
                <w:sz w:val="20"/>
                <w:lang w:eastAsia="en-US"/>
              </w:rPr>
              <w:t>Impact</w:t>
            </w:r>
          </w:p>
        </w:tc>
      </w:tr>
      <w:tr w:rsidR="00783676" w:rsidRPr="00783676" w14:paraId="7C820A60" w14:textId="77777777" w:rsidTr="002D4F5D">
        <w:tc>
          <w:tcPr>
            <w:tcW w:w="2120" w:type="pct"/>
          </w:tcPr>
          <w:p w14:paraId="204929F5" w14:textId="77777777" w:rsidR="00783676" w:rsidRPr="009A24D8" w:rsidRDefault="00783676" w:rsidP="00783676">
            <w:pPr>
              <w:keepNext/>
              <w:spacing w:after="40"/>
              <w:rPr>
                <w:rFonts w:ascii="Arial Narrow" w:hAnsi="Arial Narrow" w:cs="Tahoma"/>
                <w:snapToGrid w:val="0"/>
                <w:vanish/>
                <w:sz w:val="20"/>
                <w:lang w:eastAsia="en-US"/>
              </w:rPr>
            </w:pPr>
            <w:r w:rsidRPr="009A24D8">
              <w:rPr>
                <w:rFonts w:ascii="Arial Narrow" w:hAnsi="Arial Narrow" w:cs="Tahoma"/>
                <w:iCs/>
                <w:sz w:val="20"/>
              </w:rPr>
              <w:t>Removing IVIg from disease management costs of progressed patients</w:t>
            </w:r>
          </w:p>
        </w:tc>
        <w:tc>
          <w:tcPr>
            <w:tcW w:w="1808" w:type="pct"/>
          </w:tcPr>
          <w:p w14:paraId="31DB5F4A" w14:textId="77777777" w:rsidR="00783676" w:rsidRPr="009A24D8" w:rsidRDefault="00783676" w:rsidP="00783676">
            <w:pPr>
              <w:keepNext/>
              <w:rPr>
                <w:rFonts w:ascii="Arial Narrow" w:hAnsi="Arial Narrow" w:cs="Tahoma"/>
                <w:snapToGrid w:val="0"/>
                <w:sz w:val="20"/>
                <w:lang w:eastAsia="en-US"/>
              </w:rPr>
            </w:pPr>
            <w:r w:rsidRPr="009A24D8">
              <w:rPr>
                <w:rFonts w:ascii="Arial Narrow" w:hAnsi="Arial Narrow" w:cs="Tahoma"/>
                <w:snapToGrid w:val="0"/>
                <w:sz w:val="20"/>
                <w:lang w:eastAsia="en-US"/>
              </w:rPr>
              <w:t>Cost of IVIg is $5,535 in the base case</w:t>
            </w:r>
          </w:p>
        </w:tc>
        <w:tc>
          <w:tcPr>
            <w:tcW w:w="1072" w:type="pct"/>
          </w:tcPr>
          <w:p w14:paraId="47E37811" w14:textId="77777777" w:rsidR="00783676" w:rsidRPr="009A24D8" w:rsidRDefault="00783676" w:rsidP="00783676">
            <w:pPr>
              <w:keepNext/>
              <w:rPr>
                <w:rFonts w:ascii="Arial Narrow" w:hAnsi="Arial Narrow" w:cs="Tahoma"/>
                <w:snapToGrid w:val="0"/>
                <w:sz w:val="20"/>
                <w:lang w:eastAsia="en-US"/>
              </w:rPr>
            </w:pPr>
            <w:r w:rsidRPr="009A24D8">
              <w:rPr>
                <w:rFonts w:ascii="Arial Narrow" w:hAnsi="Arial Narrow" w:cs="Tahoma"/>
                <w:snapToGrid w:val="0"/>
                <w:sz w:val="20"/>
                <w:lang w:eastAsia="en-US"/>
              </w:rPr>
              <w:t>High, favours intervention</w:t>
            </w:r>
          </w:p>
        </w:tc>
      </w:tr>
      <w:tr w:rsidR="00783676" w:rsidRPr="00783676" w14:paraId="6A1985BC" w14:textId="77777777" w:rsidTr="002D4F5D">
        <w:tc>
          <w:tcPr>
            <w:tcW w:w="2120" w:type="pct"/>
          </w:tcPr>
          <w:p w14:paraId="23D4FBCA" w14:textId="77777777" w:rsidR="00783676" w:rsidRPr="009A24D8" w:rsidRDefault="00783676" w:rsidP="00783676">
            <w:pPr>
              <w:keepNext/>
              <w:spacing w:after="40"/>
              <w:rPr>
                <w:rFonts w:ascii="Arial Narrow" w:hAnsi="Arial Narrow" w:cs="Tahoma"/>
                <w:snapToGrid w:val="0"/>
                <w:vanish/>
                <w:sz w:val="20"/>
                <w:lang w:eastAsia="en-US"/>
              </w:rPr>
            </w:pPr>
            <w:r w:rsidRPr="009A24D8">
              <w:rPr>
                <w:rFonts w:ascii="Arial Narrow" w:hAnsi="Arial Narrow" w:cs="Tahoma"/>
                <w:iCs/>
                <w:sz w:val="20"/>
              </w:rPr>
              <w:t>Excluding rituximab as third-line therapy</w:t>
            </w:r>
          </w:p>
        </w:tc>
        <w:tc>
          <w:tcPr>
            <w:tcW w:w="1808" w:type="pct"/>
          </w:tcPr>
          <w:p w14:paraId="3CCC320D" w14:textId="77777777" w:rsidR="00783676" w:rsidRPr="009A24D8" w:rsidRDefault="00783676" w:rsidP="00783676">
            <w:pPr>
              <w:keepNext/>
              <w:rPr>
                <w:rFonts w:ascii="Arial Narrow" w:hAnsi="Arial Narrow" w:cs="Tahoma"/>
                <w:snapToGrid w:val="0"/>
                <w:sz w:val="20"/>
                <w:lang w:eastAsia="en-US"/>
              </w:rPr>
            </w:pPr>
            <w:r w:rsidRPr="009A24D8">
              <w:rPr>
                <w:rFonts w:ascii="Arial Narrow" w:hAnsi="Arial Narrow" w:cs="Tahoma"/>
                <w:snapToGrid w:val="0"/>
                <w:sz w:val="20"/>
                <w:lang w:eastAsia="en-US"/>
              </w:rPr>
              <w:t>Cost of rituximab = $11,879.67 in the base case</w:t>
            </w:r>
          </w:p>
        </w:tc>
        <w:tc>
          <w:tcPr>
            <w:tcW w:w="1072" w:type="pct"/>
          </w:tcPr>
          <w:p w14:paraId="00A8E302" w14:textId="77777777" w:rsidR="00783676" w:rsidRPr="009A24D8" w:rsidRDefault="00783676" w:rsidP="00783676">
            <w:pPr>
              <w:keepNext/>
              <w:rPr>
                <w:rFonts w:ascii="Arial Narrow" w:hAnsi="Arial Narrow" w:cs="Tahoma"/>
                <w:snapToGrid w:val="0"/>
                <w:sz w:val="20"/>
                <w:lang w:eastAsia="en-US"/>
              </w:rPr>
            </w:pPr>
            <w:r w:rsidRPr="009A24D8">
              <w:rPr>
                <w:rFonts w:ascii="Arial Narrow" w:hAnsi="Arial Narrow" w:cs="Tahoma"/>
                <w:snapToGrid w:val="0"/>
                <w:sz w:val="20"/>
                <w:lang w:eastAsia="en-US"/>
              </w:rPr>
              <w:t>High; favours intervention</w:t>
            </w:r>
          </w:p>
        </w:tc>
      </w:tr>
      <w:tr w:rsidR="00783676" w:rsidRPr="00783676" w14:paraId="4C8D0B15" w14:textId="77777777" w:rsidTr="002D4F5D">
        <w:tc>
          <w:tcPr>
            <w:tcW w:w="2120" w:type="pct"/>
          </w:tcPr>
          <w:p w14:paraId="702C7E79" w14:textId="77777777" w:rsidR="00783676" w:rsidRPr="009A24D8" w:rsidRDefault="00783676" w:rsidP="00783676">
            <w:pPr>
              <w:keepNext/>
              <w:spacing w:after="40"/>
              <w:rPr>
                <w:rFonts w:ascii="Arial Narrow" w:hAnsi="Arial Narrow" w:cs="Tahoma"/>
                <w:snapToGrid w:val="0"/>
                <w:vanish/>
                <w:sz w:val="20"/>
                <w:lang w:eastAsia="en-US"/>
              </w:rPr>
            </w:pPr>
            <w:r w:rsidRPr="009A24D8">
              <w:rPr>
                <w:rFonts w:ascii="Arial Narrow" w:hAnsi="Arial Narrow" w:cs="Tahoma"/>
                <w:iCs/>
                <w:sz w:val="20"/>
              </w:rPr>
              <w:t>ECP week 12 response 40% (as per Flowers 2008)</w:t>
            </w:r>
          </w:p>
        </w:tc>
        <w:tc>
          <w:tcPr>
            <w:tcW w:w="1808" w:type="pct"/>
          </w:tcPr>
          <w:p w14:paraId="75FCD2F4" w14:textId="77777777" w:rsidR="00783676" w:rsidRPr="009A24D8" w:rsidRDefault="00783676" w:rsidP="00783676">
            <w:pPr>
              <w:keepNext/>
              <w:rPr>
                <w:rFonts w:ascii="Arial Narrow" w:hAnsi="Arial Narrow" w:cs="Tahoma"/>
                <w:snapToGrid w:val="0"/>
                <w:sz w:val="20"/>
                <w:lang w:eastAsia="en-US"/>
              </w:rPr>
            </w:pPr>
            <w:r w:rsidRPr="009A24D8">
              <w:rPr>
                <w:rFonts w:ascii="Arial Narrow" w:hAnsi="Arial Narrow" w:cs="Tahoma"/>
                <w:snapToGrid w:val="0"/>
                <w:sz w:val="20"/>
                <w:lang w:eastAsia="en-US"/>
              </w:rPr>
              <w:t>Response = 80.2% in the base case</w:t>
            </w:r>
          </w:p>
        </w:tc>
        <w:tc>
          <w:tcPr>
            <w:tcW w:w="1072" w:type="pct"/>
          </w:tcPr>
          <w:p w14:paraId="7F35C329" w14:textId="77777777" w:rsidR="00783676" w:rsidRPr="009A24D8" w:rsidRDefault="00783676" w:rsidP="00783676">
            <w:pPr>
              <w:keepNext/>
              <w:rPr>
                <w:rFonts w:ascii="Arial Narrow" w:hAnsi="Arial Narrow" w:cs="Tahoma"/>
                <w:snapToGrid w:val="0"/>
                <w:sz w:val="20"/>
                <w:lang w:eastAsia="en-US"/>
              </w:rPr>
            </w:pPr>
            <w:r w:rsidRPr="009A24D8">
              <w:rPr>
                <w:rFonts w:ascii="Arial Narrow" w:hAnsi="Arial Narrow" w:cs="Tahoma"/>
                <w:snapToGrid w:val="0"/>
                <w:sz w:val="20"/>
                <w:lang w:eastAsia="en-US"/>
              </w:rPr>
              <w:t>High, favours intervention</w:t>
            </w:r>
          </w:p>
        </w:tc>
      </w:tr>
    </w:tbl>
    <w:p w14:paraId="59EF02F6" w14:textId="74BE0AC8" w:rsidR="00783676" w:rsidRDefault="00AF2357" w:rsidP="00783676">
      <w:pPr>
        <w:rPr>
          <w:rFonts w:ascii="Arial Narrow" w:hAnsi="Arial Narrow" w:cs="Arial"/>
          <w:snapToGrid w:val="0"/>
          <w:sz w:val="18"/>
          <w:lang w:eastAsia="en-US"/>
        </w:rPr>
      </w:pPr>
      <w:r w:rsidRPr="00783676">
        <w:rPr>
          <w:rFonts w:ascii="Arial Narrow" w:hAnsi="Arial Narrow" w:cs="Arial"/>
          <w:snapToGrid w:val="0"/>
          <w:sz w:val="18"/>
          <w:lang w:eastAsia="en-US"/>
        </w:rPr>
        <w:t>Source:</w:t>
      </w:r>
      <w:r>
        <w:rPr>
          <w:rFonts w:ascii="Arial Narrow" w:hAnsi="Arial Narrow" w:cs="Arial"/>
          <w:snapToGrid w:val="0"/>
          <w:sz w:val="18"/>
          <w:lang w:eastAsia="en-US"/>
        </w:rPr>
        <w:t xml:space="preserve"> Table 12, pxxv of the </w:t>
      </w:r>
      <w:r w:rsidR="004E0244">
        <w:rPr>
          <w:rFonts w:ascii="Arial Narrow" w:hAnsi="Arial Narrow" w:cs="Arial"/>
          <w:snapToGrid w:val="0"/>
          <w:sz w:val="18"/>
          <w:lang w:eastAsia="en-US"/>
        </w:rPr>
        <w:t>C</w:t>
      </w:r>
      <w:r>
        <w:rPr>
          <w:rFonts w:ascii="Arial Narrow" w:hAnsi="Arial Narrow" w:cs="Arial"/>
          <w:snapToGrid w:val="0"/>
          <w:sz w:val="18"/>
          <w:lang w:eastAsia="en-US"/>
        </w:rPr>
        <w:t>ommentary</w:t>
      </w:r>
    </w:p>
    <w:p w14:paraId="157C1306" w14:textId="4E0A89AB" w:rsidR="00430BAB" w:rsidRDefault="00430BAB" w:rsidP="00783676">
      <w:r w:rsidRPr="00783676">
        <w:rPr>
          <w:rFonts w:ascii="Arial Narrow" w:hAnsi="Arial Narrow" w:cs="Arial"/>
          <w:snapToGrid w:val="0"/>
          <w:sz w:val="18"/>
          <w:lang w:eastAsia="en-US"/>
        </w:rPr>
        <w:t>ECP, extracorporal photopheresis;</w:t>
      </w:r>
      <w:r>
        <w:rPr>
          <w:rFonts w:ascii="Arial Narrow" w:hAnsi="Arial Narrow" w:cs="Arial"/>
          <w:snapToGrid w:val="0"/>
          <w:sz w:val="18"/>
          <w:lang w:eastAsia="en-US"/>
        </w:rPr>
        <w:t xml:space="preserve"> IVIg, </w:t>
      </w:r>
      <w:r w:rsidRPr="00430BAB">
        <w:rPr>
          <w:rFonts w:ascii="Arial Narrow" w:hAnsi="Arial Narrow" w:cs="Arial"/>
          <w:snapToGrid w:val="0"/>
          <w:sz w:val="18"/>
          <w:lang w:eastAsia="en-US"/>
        </w:rPr>
        <w:t>intravenous immunoglobulin</w:t>
      </w:r>
    </w:p>
    <w:p w14:paraId="41518B82" w14:textId="3C94C328" w:rsidR="00783676" w:rsidRDefault="00783676" w:rsidP="00B853FB">
      <w:pPr>
        <w:spacing w:before="240"/>
      </w:pPr>
      <w:r w:rsidRPr="00783676">
        <w:t>On the basis that the inclusion of rituximab as a third-line treatment option is inappropriate and that a 10</w:t>
      </w:r>
      <w:r w:rsidR="00B56C0A">
        <w:t>-</w:t>
      </w:r>
      <w:r w:rsidRPr="00783676">
        <w:t xml:space="preserve">year time horizon for the stepped economic evaluation is excessive based on 12 weeks of randomised data, </w:t>
      </w:r>
      <w:r>
        <w:t xml:space="preserve">the Commentary </w:t>
      </w:r>
      <w:r w:rsidR="00AC1D7D">
        <w:rPr>
          <w:iCs/>
        </w:rPr>
        <w:t>suggested that</w:t>
      </w:r>
      <w:r>
        <w:t xml:space="preserve"> </w:t>
      </w:r>
      <w:r w:rsidRPr="00783676">
        <w:t xml:space="preserve">the MSAC may wish to consider a respecified base case. The results of a respecified base case, where the costs of rituximab are removed and the time horizon is reduced to 5 years are presented in </w:t>
      </w:r>
      <w:r w:rsidRPr="00783676">
        <w:fldChar w:fldCharType="begin"/>
      </w:r>
      <w:r w:rsidRPr="00783676">
        <w:instrText xml:space="preserve"> REF _Ref71161316 \h </w:instrText>
      </w:r>
      <w:r>
        <w:instrText xml:space="preserve"> \* MERGEFORMAT </w:instrText>
      </w:r>
      <w:r w:rsidRPr="00783676">
        <w:fldChar w:fldCharType="separate"/>
      </w:r>
      <w:r w:rsidR="008407AE" w:rsidRPr="008407AE">
        <w:t xml:space="preserve">Table </w:t>
      </w:r>
      <w:r w:rsidR="008407AE" w:rsidRPr="008407AE">
        <w:rPr>
          <w:noProof/>
        </w:rPr>
        <w:t>12</w:t>
      </w:r>
      <w:r w:rsidRPr="00783676">
        <w:fldChar w:fldCharType="end"/>
      </w:r>
      <w:r w:rsidRPr="00783676">
        <w:t xml:space="preserve">, along with </w:t>
      </w:r>
      <w:r w:rsidR="00B56C0A">
        <w:t xml:space="preserve">accompanying </w:t>
      </w:r>
      <w:r w:rsidRPr="00783676">
        <w:t>sensitivity analyses.</w:t>
      </w:r>
    </w:p>
    <w:p w14:paraId="7061C288" w14:textId="3DFAD304" w:rsidR="00783676" w:rsidRPr="00783676" w:rsidRDefault="00783676" w:rsidP="00B853FB">
      <w:pPr>
        <w:keepNext/>
        <w:spacing w:before="240" w:after="120"/>
        <w:rPr>
          <w:rFonts w:ascii="Arial Narrow" w:hAnsi="Arial Narrow" w:cs="Calibri"/>
          <w:b/>
          <w:bCs/>
          <w:iCs/>
          <w:sz w:val="20"/>
          <w:szCs w:val="22"/>
        </w:rPr>
      </w:pPr>
      <w:bookmarkStart w:id="27" w:name="_Ref71161316"/>
      <w:r w:rsidRPr="00783676">
        <w:rPr>
          <w:rFonts w:ascii="Arial Narrow" w:hAnsi="Arial Narrow" w:cs="Tahoma"/>
          <w:b/>
          <w:bCs/>
          <w:iCs/>
          <w:sz w:val="20"/>
          <w:szCs w:val="22"/>
        </w:rPr>
        <w:t xml:space="preserve">Table </w:t>
      </w:r>
      <w:r w:rsidRPr="00783676">
        <w:rPr>
          <w:rFonts w:ascii="Arial Narrow" w:hAnsi="Arial Narrow" w:cs="Tahoma"/>
          <w:b/>
          <w:bCs/>
          <w:iCs/>
          <w:sz w:val="20"/>
          <w:szCs w:val="22"/>
        </w:rPr>
        <w:fldChar w:fldCharType="begin"/>
      </w:r>
      <w:r w:rsidRPr="00783676">
        <w:rPr>
          <w:rFonts w:ascii="Arial Narrow" w:hAnsi="Arial Narrow" w:cs="Tahoma"/>
          <w:b/>
          <w:bCs/>
          <w:iCs/>
          <w:sz w:val="20"/>
          <w:szCs w:val="22"/>
        </w:rPr>
        <w:instrText xml:space="preserve"> SEQ Table \* ARABIC </w:instrText>
      </w:r>
      <w:r w:rsidRPr="00783676">
        <w:rPr>
          <w:rFonts w:ascii="Arial Narrow" w:hAnsi="Arial Narrow" w:cs="Tahoma"/>
          <w:b/>
          <w:bCs/>
          <w:iCs/>
          <w:sz w:val="20"/>
          <w:szCs w:val="22"/>
        </w:rPr>
        <w:fldChar w:fldCharType="separate"/>
      </w:r>
      <w:r w:rsidR="008407AE">
        <w:rPr>
          <w:rFonts w:ascii="Arial Narrow" w:hAnsi="Arial Narrow" w:cs="Tahoma"/>
          <w:b/>
          <w:bCs/>
          <w:iCs/>
          <w:noProof/>
          <w:sz w:val="20"/>
          <w:szCs w:val="22"/>
        </w:rPr>
        <w:t>12</w:t>
      </w:r>
      <w:r w:rsidRPr="00783676">
        <w:rPr>
          <w:rFonts w:ascii="Arial Narrow" w:hAnsi="Arial Narrow" w:cs="Tahoma"/>
          <w:b/>
          <w:bCs/>
          <w:iCs/>
          <w:sz w:val="20"/>
          <w:szCs w:val="22"/>
        </w:rPr>
        <w:fldChar w:fldCharType="end"/>
      </w:r>
      <w:bookmarkEnd w:id="27"/>
      <w:r w:rsidR="0034138C">
        <w:rPr>
          <w:rFonts w:ascii="Arial Narrow" w:hAnsi="Arial Narrow" w:cs="Tahoma"/>
          <w:b/>
          <w:bCs/>
          <w:iCs/>
          <w:sz w:val="20"/>
          <w:szCs w:val="22"/>
        </w:rPr>
        <w:t xml:space="preserve">: </w:t>
      </w:r>
      <w:r w:rsidRPr="00783676">
        <w:rPr>
          <w:rFonts w:ascii="Arial Narrow" w:hAnsi="Arial Narrow" w:cs="Arial"/>
          <w:b/>
          <w:bCs/>
          <w:iCs/>
          <w:snapToGrid w:val="0"/>
          <w:sz w:val="20"/>
          <w:szCs w:val="18"/>
        </w:rPr>
        <w:t>Alternative base case (5</w:t>
      </w:r>
      <w:r w:rsidR="00BD4B1A">
        <w:rPr>
          <w:rFonts w:ascii="Arial Narrow" w:hAnsi="Arial Narrow" w:cs="Arial"/>
          <w:b/>
          <w:bCs/>
          <w:iCs/>
          <w:snapToGrid w:val="0"/>
          <w:sz w:val="20"/>
          <w:szCs w:val="18"/>
        </w:rPr>
        <w:t>-</w:t>
      </w:r>
      <w:r w:rsidRPr="00783676">
        <w:rPr>
          <w:rFonts w:ascii="Arial Narrow" w:hAnsi="Arial Narrow" w:cs="Arial"/>
          <w:b/>
          <w:bCs/>
          <w:iCs/>
          <w:snapToGrid w:val="0"/>
          <w:sz w:val="20"/>
          <w:szCs w:val="18"/>
        </w:rPr>
        <w:t>year duration and rituximab costs removed*)</w:t>
      </w:r>
      <w:r w:rsidR="008F07F1">
        <w:rPr>
          <w:rFonts w:ascii="Arial Narrow" w:hAnsi="Arial Narrow" w:cs="Arial"/>
          <w:b/>
          <w:bCs/>
          <w:iCs/>
          <w:snapToGrid w:val="0"/>
          <w:sz w:val="20"/>
          <w:szCs w:val="18"/>
        </w:rPr>
        <w:t xml:space="preserve"> and associated sensitivity analyses</w:t>
      </w:r>
    </w:p>
    <w:tbl>
      <w:tblPr>
        <w:tblStyle w:val="TableGrid401"/>
        <w:tblW w:w="9067" w:type="dxa"/>
        <w:tblCellMar>
          <w:left w:w="29" w:type="dxa"/>
          <w:right w:w="29" w:type="dxa"/>
        </w:tblCellMar>
        <w:tblLook w:val="04A0" w:firstRow="1" w:lastRow="0" w:firstColumn="1" w:lastColumn="0" w:noHBand="0" w:noVBand="1"/>
        <w:tblCaption w:val="Key drivers of the economic model"/>
        <w:tblDescription w:val="Key drivers of the economic model"/>
      </w:tblPr>
      <w:tblGrid>
        <w:gridCol w:w="3400"/>
        <w:gridCol w:w="2549"/>
        <w:gridCol w:w="1134"/>
        <w:gridCol w:w="1134"/>
        <w:gridCol w:w="850"/>
      </w:tblGrid>
      <w:tr w:rsidR="00783676" w:rsidRPr="00430BAB" w14:paraId="75050686" w14:textId="77777777" w:rsidTr="009F416C">
        <w:trPr>
          <w:tblHeader/>
        </w:trPr>
        <w:tc>
          <w:tcPr>
            <w:tcW w:w="5949" w:type="dxa"/>
            <w:gridSpan w:val="2"/>
            <w:tcBorders>
              <w:top w:val="single" w:sz="4" w:space="0" w:color="auto"/>
              <w:left w:val="single" w:sz="4" w:space="0" w:color="auto"/>
              <w:bottom w:val="single" w:sz="4" w:space="0" w:color="auto"/>
              <w:right w:val="single" w:sz="4" w:space="0" w:color="auto"/>
            </w:tcBorders>
            <w:hideMark/>
          </w:tcPr>
          <w:p w14:paraId="7170C01B" w14:textId="77777777" w:rsidR="00783676" w:rsidRPr="00B56C0A" w:rsidRDefault="00783676" w:rsidP="00783676">
            <w:pPr>
              <w:keepNext/>
              <w:spacing w:before="40" w:after="40"/>
              <w:rPr>
                <w:rFonts w:ascii="Arial Narrow" w:eastAsiaTheme="minorHAnsi" w:hAnsi="Arial Narrow" w:cs="Tahoma"/>
                <w:iCs/>
                <w:sz w:val="20"/>
                <w:lang w:eastAsia="en-US"/>
              </w:rPr>
            </w:pPr>
            <w:r w:rsidRPr="00B56C0A">
              <w:rPr>
                <w:rFonts w:ascii="Arial Narrow" w:eastAsiaTheme="minorHAnsi" w:hAnsi="Arial Narrow" w:cs="Tahoma"/>
                <w:b/>
                <w:bCs/>
                <w:iCs/>
                <w:sz w:val="20"/>
                <w:lang w:eastAsia="en-US"/>
              </w:rPr>
              <w:t>Description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86D0CF" w14:textId="77777777" w:rsidR="00783676" w:rsidRPr="00B56C0A" w:rsidRDefault="00783676" w:rsidP="00B56C0A">
            <w:pPr>
              <w:keepNext/>
              <w:spacing w:before="40" w:after="40"/>
              <w:jc w:val="center"/>
              <w:rPr>
                <w:rFonts w:ascii="Arial Narrow" w:eastAsiaTheme="minorHAnsi" w:hAnsi="Arial Narrow" w:cs="Tahoma"/>
                <w:iCs/>
                <w:sz w:val="20"/>
                <w:lang w:eastAsia="en-US"/>
              </w:rPr>
            </w:pPr>
            <w:r w:rsidRPr="00B56C0A">
              <w:rPr>
                <w:rFonts w:ascii="Arial Narrow" w:eastAsiaTheme="minorHAnsi" w:hAnsi="Arial Narrow" w:cs="Tahoma"/>
                <w:b/>
                <w:bCs/>
                <w:iCs/>
                <w:sz w:val="20"/>
                <w:lang w:eastAsia="en-US"/>
              </w:rPr>
              <w:t>Incremental cost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055890" w14:textId="77777777" w:rsidR="00783676" w:rsidRPr="00B56C0A" w:rsidRDefault="00783676" w:rsidP="00B56C0A">
            <w:pPr>
              <w:keepNext/>
              <w:spacing w:before="40" w:after="40"/>
              <w:jc w:val="center"/>
              <w:rPr>
                <w:rFonts w:ascii="Arial Narrow" w:eastAsiaTheme="minorHAnsi" w:hAnsi="Arial Narrow" w:cs="Tahoma"/>
                <w:iCs/>
                <w:sz w:val="20"/>
                <w:lang w:eastAsia="en-US"/>
              </w:rPr>
            </w:pPr>
            <w:r w:rsidRPr="00B56C0A">
              <w:rPr>
                <w:rFonts w:ascii="Arial Narrow" w:eastAsiaTheme="minorHAnsi" w:hAnsi="Arial Narrow" w:cs="Tahoma"/>
                <w:b/>
                <w:bCs/>
                <w:iCs/>
                <w:sz w:val="20"/>
                <w:lang w:eastAsia="en-US"/>
              </w:rPr>
              <w:t>Incremental QALY</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234B1A" w14:textId="77777777" w:rsidR="00783676" w:rsidRPr="00B56C0A" w:rsidRDefault="00783676" w:rsidP="00B56C0A">
            <w:pPr>
              <w:keepNext/>
              <w:spacing w:before="40" w:after="40"/>
              <w:jc w:val="center"/>
              <w:rPr>
                <w:rFonts w:ascii="Arial Narrow" w:eastAsiaTheme="minorHAnsi" w:hAnsi="Arial Narrow" w:cs="Tahoma"/>
                <w:iCs/>
                <w:sz w:val="20"/>
                <w:lang w:eastAsia="en-US"/>
              </w:rPr>
            </w:pPr>
            <w:r w:rsidRPr="00B56C0A">
              <w:rPr>
                <w:rFonts w:ascii="Arial Narrow" w:eastAsiaTheme="minorHAnsi" w:hAnsi="Arial Narrow" w:cs="Tahoma"/>
                <w:b/>
                <w:bCs/>
                <w:iCs/>
                <w:sz w:val="20"/>
                <w:lang w:eastAsia="en-US"/>
              </w:rPr>
              <w:t>ICER</w:t>
            </w:r>
          </w:p>
        </w:tc>
      </w:tr>
      <w:tr w:rsidR="00783676" w:rsidRPr="00430BAB" w14:paraId="584D7A1C" w14:textId="77777777" w:rsidTr="00BD4B1A">
        <w:tc>
          <w:tcPr>
            <w:tcW w:w="5949" w:type="dxa"/>
            <w:gridSpan w:val="2"/>
            <w:tcBorders>
              <w:top w:val="single" w:sz="4" w:space="0" w:color="auto"/>
              <w:left w:val="single" w:sz="4" w:space="0" w:color="auto"/>
              <w:bottom w:val="single" w:sz="4" w:space="0" w:color="auto"/>
              <w:right w:val="single" w:sz="4" w:space="0" w:color="auto"/>
            </w:tcBorders>
            <w:hideMark/>
          </w:tcPr>
          <w:p w14:paraId="5CD839F7" w14:textId="22AEDB33" w:rsidR="00783676" w:rsidRPr="00B56C0A" w:rsidRDefault="00783676" w:rsidP="00783676">
            <w:pPr>
              <w:keepNext/>
              <w:spacing w:before="40" w:after="40"/>
              <w:rPr>
                <w:rFonts w:ascii="Arial Narrow" w:eastAsiaTheme="minorHAnsi" w:hAnsi="Arial Narrow" w:cs="Tahoma"/>
                <w:iCs/>
                <w:sz w:val="20"/>
                <w:lang w:eastAsia="en-US"/>
              </w:rPr>
            </w:pPr>
            <w:r w:rsidRPr="00B56C0A">
              <w:rPr>
                <w:rFonts w:ascii="Arial Narrow" w:eastAsiaTheme="minorHAnsi" w:hAnsi="Arial Narrow" w:cs="Tahoma"/>
                <w:b/>
                <w:bCs/>
                <w:iCs/>
                <w:sz w:val="20"/>
                <w:lang w:eastAsia="en-US"/>
              </w:rPr>
              <w:t>Alternative base case: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349929" w14:textId="77777777" w:rsidR="00783676" w:rsidRPr="00B56C0A" w:rsidRDefault="00783676" w:rsidP="00B56C0A">
            <w:pPr>
              <w:keepNext/>
              <w:spacing w:before="40" w:after="40"/>
              <w:jc w:val="center"/>
              <w:rPr>
                <w:rFonts w:ascii="Arial Narrow" w:eastAsiaTheme="minorHAnsi" w:hAnsi="Arial Narrow" w:cs="Tahoma"/>
                <w:iCs/>
                <w:sz w:val="20"/>
                <w:lang w:eastAsia="en-US"/>
              </w:rPr>
            </w:pPr>
            <w:r w:rsidRPr="00B56C0A">
              <w:rPr>
                <w:rFonts w:ascii="Arial Narrow" w:eastAsiaTheme="minorHAnsi" w:hAnsi="Arial Narrow" w:cs="Tahoma"/>
                <w:iCs/>
                <w:sz w:val="20"/>
                <w:lang w:eastAsia="en-US"/>
              </w:rPr>
              <w:t>$25,256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E4B154" w14:textId="77777777" w:rsidR="00783676" w:rsidRPr="00B56C0A" w:rsidRDefault="00783676" w:rsidP="00B56C0A">
            <w:pPr>
              <w:keepNext/>
              <w:spacing w:before="40" w:after="40"/>
              <w:jc w:val="center"/>
              <w:rPr>
                <w:rFonts w:ascii="Arial Narrow" w:eastAsiaTheme="minorHAnsi" w:hAnsi="Arial Narrow" w:cs="Tahoma"/>
                <w:iCs/>
                <w:sz w:val="20"/>
                <w:lang w:eastAsia="en-US"/>
              </w:rPr>
            </w:pPr>
            <w:r w:rsidRPr="00B56C0A">
              <w:rPr>
                <w:rFonts w:ascii="Arial Narrow" w:eastAsiaTheme="minorHAnsi" w:hAnsi="Arial Narrow" w:cs="Tahoma"/>
                <w:iCs/>
                <w:sz w:val="20"/>
                <w:lang w:eastAsia="en-US"/>
              </w:rPr>
              <w:t>0.52</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73D209" w14:textId="77777777" w:rsidR="00783676" w:rsidRPr="00B56C0A" w:rsidRDefault="00783676" w:rsidP="00B56C0A">
            <w:pPr>
              <w:keepNext/>
              <w:spacing w:before="40" w:after="40"/>
              <w:jc w:val="center"/>
              <w:rPr>
                <w:rFonts w:ascii="Arial Narrow" w:eastAsiaTheme="minorHAnsi" w:hAnsi="Arial Narrow" w:cs="Tahoma"/>
                <w:iCs/>
                <w:sz w:val="20"/>
                <w:lang w:eastAsia="en-US"/>
              </w:rPr>
            </w:pPr>
            <w:r w:rsidRPr="00B56C0A">
              <w:rPr>
                <w:rFonts w:ascii="Arial Narrow" w:eastAsiaTheme="minorHAnsi" w:hAnsi="Arial Narrow" w:cs="Tahoma"/>
                <w:iCs/>
                <w:sz w:val="20"/>
                <w:lang w:eastAsia="en-US"/>
              </w:rPr>
              <w:t>$48,754</w:t>
            </w:r>
          </w:p>
        </w:tc>
      </w:tr>
      <w:tr w:rsidR="00783676" w:rsidRPr="00430BAB" w14:paraId="5558F9CD" w14:textId="77777777" w:rsidTr="00BD4B1A">
        <w:tc>
          <w:tcPr>
            <w:tcW w:w="3400" w:type="dxa"/>
            <w:tcBorders>
              <w:top w:val="single" w:sz="4" w:space="0" w:color="auto"/>
              <w:left w:val="single" w:sz="4" w:space="0" w:color="auto"/>
              <w:bottom w:val="single" w:sz="4" w:space="0" w:color="auto"/>
              <w:right w:val="single" w:sz="4" w:space="0" w:color="auto"/>
            </w:tcBorders>
            <w:hideMark/>
          </w:tcPr>
          <w:p w14:paraId="2F527205" w14:textId="77777777" w:rsidR="00783676" w:rsidRPr="00B56C0A" w:rsidRDefault="00783676" w:rsidP="00783676">
            <w:pPr>
              <w:keepNext/>
              <w:spacing w:before="40" w:after="40"/>
              <w:rPr>
                <w:rFonts w:ascii="Arial Narrow" w:eastAsiaTheme="minorHAnsi" w:hAnsi="Arial Narrow" w:cs="Tahoma"/>
                <w:iCs/>
                <w:sz w:val="20"/>
                <w:lang w:eastAsia="en-US"/>
              </w:rPr>
            </w:pPr>
            <w:r w:rsidRPr="00B56C0A">
              <w:rPr>
                <w:rFonts w:ascii="Arial Narrow" w:eastAsiaTheme="minorHAnsi" w:hAnsi="Arial Narrow" w:cs="Tahoma"/>
                <w:iCs/>
                <w:sz w:val="20"/>
                <w:lang w:eastAsia="en-US"/>
              </w:rPr>
              <w:t>Response of ECP at week 12 (BC=80.2%)</w:t>
            </w:r>
          </w:p>
        </w:tc>
        <w:tc>
          <w:tcPr>
            <w:tcW w:w="2549" w:type="dxa"/>
            <w:tcBorders>
              <w:top w:val="single" w:sz="4" w:space="0" w:color="auto"/>
              <w:left w:val="single" w:sz="4" w:space="0" w:color="auto"/>
              <w:bottom w:val="single" w:sz="4" w:space="0" w:color="auto"/>
              <w:right w:val="single" w:sz="4" w:space="0" w:color="auto"/>
            </w:tcBorders>
            <w:vAlign w:val="center"/>
            <w:hideMark/>
          </w:tcPr>
          <w:p w14:paraId="08ECE83C" w14:textId="77777777" w:rsidR="00783676" w:rsidRPr="00B56C0A" w:rsidRDefault="00783676" w:rsidP="00783676">
            <w:pPr>
              <w:keepNext/>
              <w:spacing w:before="40" w:after="40"/>
              <w:rPr>
                <w:rFonts w:ascii="Arial Narrow" w:eastAsiaTheme="minorHAnsi" w:hAnsi="Arial Narrow" w:cs="Tahoma"/>
                <w:iCs/>
                <w:sz w:val="20"/>
                <w:lang w:eastAsia="en-US"/>
              </w:rPr>
            </w:pPr>
            <w:r w:rsidRPr="00B56C0A">
              <w:rPr>
                <w:rFonts w:ascii="Arial Narrow" w:eastAsiaTheme="minorHAnsi" w:hAnsi="Arial Narrow" w:cs="Tahoma"/>
                <w:iCs/>
                <w:sz w:val="20"/>
                <w:lang w:eastAsia="en-US"/>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96050A" w14:textId="77777777" w:rsidR="00783676" w:rsidRPr="00B56C0A" w:rsidRDefault="00783676" w:rsidP="00B56C0A">
            <w:pPr>
              <w:keepNext/>
              <w:spacing w:before="40" w:after="40"/>
              <w:jc w:val="center"/>
              <w:rPr>
                <w:rFonts w:ascii="Arial Narrow" w:eastAsiaTheme="minorHAnsi" w:hAnsi="Arial Narrow" w:cs="Tahoma"/>
                <w:iCs/>
                <w:sz w:val="20"/>
                <w:lang w:eastAsia="en-US"/>
              </w:rPr>
            </w:pPr>
            <w:r w:rsidRPr="00B56C0A">
              <w:rPr>
                <w:rFonts w:ascii="Arial Narrow" w:eastAsiaTheme="minorHAnsi" w:hAnsi="Arial Narrow" w:cs="Tahoma"/>
                <w:iCs/>
                <w:sz w:val="20"/>
                <w:lang w:eastAsia="en-US"/>
              </w:rPr>
              <w:t>$38,091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4C0FCD" w14:textId="77777777" w:rsidR="00783676" w:rsidRPr="00B56C0A" w:rsidRDefault="00783676" w:rsidP="00B56C0A">
            <w:pPr>
              <w:keepNext/>
              <w:spacing w:before="40" w:after="40"/>
              <w:jc w:val="center"/>
              <w:rPr>
                <w:rFonts w:ascii="Arial Narrow" w:eastAsiaTheme="minorHAnsi" w:hAnsi="Arial Narrow" w:cs="Tahoma"/>
                <w:iCs/>
                <w:sz w:val="20"/>
                <w:lang w:eastAsia="en-US"/>
              </w:rPr>
            </w:pPr>
            <w:r w:rsidRPr="00B56C0A">
              <w:rPr>
                <w:rFonts w:ascii="Arial Narrow" w:eastAsiaTheme="minorHAnsi" w:hAnsi="Arial Narrow" w:cs="Tahoma"/>
                <w:iCs/>
                <w:sz w:val="20"/>
                <w:lang w:eastAsia="en-US"/>
              </w:rPr>
              <w:t>0.26</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06E3AB" w14:textId="77777777" w:rsidR="00783676" w:rsidRPr="00B56C0A" w:rsidRDefault="00783676" w:rsidP="00B56C0A">
            <w:pPr>
              <w:keepNext/>
              <w:spacing w:before="40" w:after="40"/>
              <w:jc w:val="center"/>
              <w:rPr>
                <w:rFonts w:ascii="Arial Narrow" w:eastAsiaTheme="minorHAnsi" w:hAnsi="Arial Narrow" w:cs="Tahoma"/>
                <w:iCs/>
                <w:sz w:val="20"/>
                <w:lang w:eastAsia="en-US"/>
              </w:rPr>
            </w:pPr>
            <w:r w:rsidRPr="00B56C0A">
              <w:rPr>
                <w:rFonts w:ascii="Arial Narrow" w:eastAsiaTheme="minorHAnsi" w:hAnsi="Arial Narrow" w:cs="Tahoma"/>
                <w:iCs/>
                <w:sz w:val="20"/>
                <w:lang w:eastAsia="en-US"/>
              </w:rPr>
              <w:t>$147,306</w:t>
            </w:r>
          </w:p>
        </w:tc>
      </w:tr>
      <w:tr w:rsidR="00783676" w:rsidRPr="00430BAB" w14:paraId="4E044773" w14:textId="77777777" w:rsidTr="00BD4B1A">
        <w:tc>
          <w:tcPr>
            <w:tcW w:w="5949" w:type="dxa"/>
            <w:gridSpan w:val="2"/>
            <w:tcBorders>
              <w:top w:val="single" w:sz="4" w:space="0" w:color="auto"/>
              <w:left w:val="single" w:sz="4" w:space="0" w:color="auto"/>
              <w:bottom w:val="single" w:sz="4" w:space="0" w:color="auto"/>
              <w:right w:val="single" w:sz="4" w:space="0" w:color="auto"/>
            </w:tcBorders>
          </w:tcPr>
          <w:p w14:paraId="51740FC7" w14:textId="77777777" w:rsidR="00783676" w:rsidRPr="00B56C0A" w:rsidRDefault="00783676" w:rsidP="00783676">
            <w:pPr>
              <w:keepNext/>
              <w:spacing w:before="40" w:after="40"/>
              <w:rPr>
                <w:rFonts w:ascii="Arial Narrow" w:eastAsiaTheme="minorHAnsi" w:hAnsi="Arial Narrow" w:cs="Tahoma"/>
                <w:iCs/>
                <w:sz w:val="20"/>
                <w:lang w:eastAsia="en-US"/>
              </w:rPr>
            </w:pPr>
            <w:r w:rsidRPr="00B56C0A">
              <w:rPr>
                <w:rFonts w:ascii="Arial Narrow" w:eastAsiaTheme="minorHAnsi" w:hAnsi="Arial Narrow" w:cs="Tahoma"/>
                <w:iCs/>
                <w:sz w:val="20"/>
                <w:lang w:eastAsia="en-US"/>
              </w:rPr>
              <w:t>Per cycle probability of death equal for responders and non-responders (0.018)</w:t>
            </w:r>
          </w:p>
        </w:tc>
        <w:tc>
          <w:tcPr>
            <w:tcW w:w="1134" w:type="dxa"/>
            <w:tcBorders>
              <w:top w:val="single" w:sz="4" w:space="0" w:color="auto"/>
              <w:left w:val="single" w:sz="4" w:space="0" w:color="auto"/>
              <w:bottom w:val="single" w:sz="4" w:space="0" w:color="auto"/>
              <w:right w:val="single" w:sz="4" w:space="0" w:color="auto"/>
            </w:tcBorders>
            <w:vAlign w:val="center"/>
          </w:tcPr>
          <w:p w14:paraId="6C8E2B1E" w14:textId="77777777" w:rsidR="00783676" w:rsidRPr="00B56C0A" w:rsidRDefault="00783676" w:rsidP="00B56C0A">
            <w:pPr>
              <w:keepNext/>
              <w:spacing w:before="40" w:after="40"/>
              <w:jc w:val="center"/>
              <w:rPr>
                <w:rFonts w:ascii="Arial Narrow" w:eastAsiaTheme="minorHAnsi" w:hAnsi="Arial Narrow" w:cs="Tahoma"/>
                <w:iCs/>
                <w:sz w:val="20"/>
                <w:lang w:eastAsia="en-US"/>
              </w:rPr>
            </w:pPr>
            <w:r w:rsidRPr="00B56C0A">
              <w:rPr>
                <w:rFonts w:ascii="Arial Narrow" w:eastAsiaTheme="minorHAnsi" w:hAnsi="Arial Narrow" w:cs="Tahoma"/>
                <w:iCs/>
                <w:sz w:val="20"/>
                <w:lang w:eastAsia="en-US"/>
              </w:rPr>
              <w:t>$10,398</w:t>
            </w:r>
          </w:p>
        </w:tc>
        <w:tc>
          <w:tcPr>
            <w:tcW w:w="1134" w:type="dxa"/>
            <w:tcBorders>
              <w:top w:val="single" w:sz="4" w:space="0" w:color="auto"/>
              <w:left w:val="single" w:sz="4" w:space="0" w:color="auto"/>
              <w:bottom w:val="single" w:sz="4" w:space="0" w:color="auto"/>
              <w:right w:val="single" w:sz="4" w:space="0" w:color="auto"/>
            </w:tcBorders>
            <w:vAlign w:val="center"/>
          </w:tcPr>
          <w:p w14:paraId="25191855" w14:textId="77777777" w:rsidR="00783676" w:rsidRPr="00B56C0A" w:rsidRDefault="00783676" w:rsidP="00B56C0A">
            <w:pPr>
              <w:keepNext/>
              <w:spacing w:before="40" w:after="40"/>
              <w:jc w:val="center"/>
              <w:rPr>
                <w:rFonts w:ascii="Arial Narrow" w:eastAsiaTheme="minorHAnsi" w:hAnsi="Arial Narrow" w:cs="Tahoma"/>
                <w:iCs/>
                <w:sz w:val="20"/>
                <w:lang w:eastAsia="en-US"/>
              </w:rPr>
            </w:pPr>
            <w:r w:rsidRPr="00B56C0A">
              <w:rPr>
                <w:rFonts w:ascii="Arial Narrow" w:eastAsiaTheme="minorHAnsi" w:hAnsi="Arial Narrow" w:cs="Tahoma"/>
                <w:iCs/>
                <w:sz w:val="20"/>
                <w:lang w:eastAsia="en-US"/>
              </w:rPr>
              <w:t>0.18</w:t>
            </w:r>
          </w:p>
        </w:tc>
        <w:tc>
          <w:tcPr>
            <w:tcW w:w="850" w:type="dxa"/>
            <w:tcBorders>
              <w:top w:val="single" w:sz="4" w:space="0" w:color="auto"/>
              <w:left w:val="single" w:sz="4" w:space="0" w:color="auto"/>
              <w:bottom w:val="single" w:sz="4" w:space="0" w:color="auto"/>
              <w:right w:val="single" w:sz="4" w:space="0" w:color="auto"/>
            </w:tcBorders>
            <w:vAlign w:val="center"/>
          </w:tcPr>
          <w:p w14:paraId="4EC74739" w14:textId="77777777" w:rsidR="00783676" w:rsidRPr="00B56C0A" w:rsidRDefault="00783676" w:rsidP="00B56C0A">
            <w:pPr>
              <w:keepNext/>
              <w:spacing w:before="40" w:after="40"/>
              <w:jc w:val="center"/>
              <w:rPr>
                <w:rFonts w:ascii="Arial Narrow" w:eastAsiaTheme="minorHAnsi" w:hAnsi="Arial Narrow" w:cs="Tahoma"/>
                <w:iCs/>
                <w:sz w:val="20"/>
                <w:lang w:eastAsia="en-US"/>
              </w:rPr>
            </w:pPr>
            <w:r w:rsidRPr="00B56C0A">
              <w:rPr>
                <w:rFonts w:ascii="Arial Narrow" w:eastAsiaTheme="minorHAnsi" w:hAnsi="Arial Narrow" w:cs="Tahoma"/>
                <w:iCs/>
                <w:sz w:val="20"/>
                <w:lang w:eastAsia="en-US"/>
              </w:rPr>
              <w:t>$58,813</w:t>
            </w:r>
          </w:p>
        </w:tc>
      </w:tr>
      <w:tr w:rsidR="00783676" w:rsidRPr="00430BAB" w14:paraId="3EBC28EB" w14:textId="77777777" w:rsidTr="00BD4B1A">
        <w:tc>
          <w:tcPr>
            <w:tcW w:w="5949" w:type="dxa"/>
            <w:gridSpan w:val="2"/>
            <w:tcBorders>
              <w:top w:val="single" w:sz="4" w:space="0" w:color="auto"/>
              <w:left w:val="single" w:sz="4" w:space="0" w:color="auto"/>
              <w:bottom w:val="single" w:sz="4" w:space="0" w:color="auto"/>
              <w:right w:val="single" w:sz="4" w:space="0" w:color="auto"/>
            </w:tcBorders>
            <w:hideMark/>
          </w:tcPr>
          <w:p w14:paraId="1535D647" w14:textId="77777777" w:rsidR="00783676" w:rsidRPr="00B56C0A" w:rsidRDefault="00783676" w:rsidP="00783676">
            <w:pPr>
              <w:keepNext/>
              <w:spacing w:before="40" w:after="40"/>
              <w:rPr>
                <w:rFonts w:ascii="Arial Narrow" w:eastAsiaTheme="minorHAnsi" w:hAnsi="Arial Narrow" w:cs="Tahoma"/>
                <w:iCs/>
                <w:sz w:val="20"/>
                <w:lang w:eastAsia="en-US"/>
              </w:rPr>
            </w:pPr>
            <w:r w:rsidRPr="00B56C0A">
              <w:rPr>
                <w:rFonts w:ascii="Arial Narrow" w:eastAsiaTheme="minorHAnsi" w:hAnsi="Arial Narrow" w:cs="Tahoma"/>
                <w:iCs/>
                <w:sz w:val="20"/>
                <w:lang w:eastAsia="en-US"/>
              </w:rPr>
              <w:t>Remove IVIg costs from progressed disease management cost**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6A30EB" w14:textId="77777777" w:rsidR="00783676" w:rsidRPr="00B56C0A" w:rsidRDefault="00783676" w:rsidP="00B56C0A">
            <w:pPr>
              <w:keepNext/>
              <w:spacing w:before="40" w:after="40"/>
              <w:jc w:val="center"/>
              <w:rPr>
                <w:rFonts w:ascii="Arial Narrow" w:eastAsiaTheme="minorHAnsi" w:hAnsi="Arial Narrow" w:cs="Tahoma"/>
                <w:iCs/>
                <w:sz w:val="20"/>
                <w:lang w:eastAsia="en-US"/>
              </w:rPr>
            </w:pPr>
            <w:r w:rsidRPr="00B56C0A">
              <w:rPr>
                <w:rFonts w:ascii="Arial Narrow" w:eastAsiaTheme="minorHAnsi" w:hAnsi="Arial Narrow" w:cs="Tahoma"/>
                <w:iCs/>
                <w:sz w:val="20"/>
                <w:lang w:eastAsia="en-US"/>
              </w:rPr>
              <w:t>$63,429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E37A03" w14:textId="77777777" w:rsidR="00783676" w:rsidRPr="00B56C0A" w:rsidRDefault="00783676" w:rsidP="00B56C0A">
            <w:pPr>
              <w:keepNext/>
              <w:spacing w:before="40" w:after="40"/>
              <w:jc w:val="center"/>
              <w:rPr>
                <w:rFonts w:ascii="Arial Narrow" w:eastAsiaTheme="minorHAnsi" w:hAnsi="Arial Narrow" w:cs="Tahoma"/>
                <w:iCs/>
                <w:sz w:val="20"/>
                <w:lang w:eastAsia="en-US"/>
              </w:rPr>
            </w:pPr>
            <w:r w:rsidRPr="00B56C0A">
              <w:rPr>
                <w:rFonts w:ascii="Arial Narrow" w:eastAsiaTheme="minorHAnsi" w:hAnsi="Arial Narrow" w:cs="Tahoma"/>
                <w:iCs/>
                <w:sz w:val="20"/>
                <w:lang w:eastAsia="en-US"/>
              </w:rPr>
              <w:t>0.52</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CCD2B5" w14:textId="77777777" w:rsidR="00783676" w:rsidRPr="00B56C0A" w:rsidRDefault="00783676" w:rsidP="00B56C0A">
            <w:pPr>
              <w:keepNext/>
              <w:spacing w:before="40" w:after="40"/>
              <w:jc w:val="center"/>
              <w:rPr>
                <w:rFonts w:ascii="Arial Narrow" w:eastAsiaTheme="minorHAnsi" w:hAnsi="Arial Narrow" w:cs="Tahoma"/>
                <w:iCs/>
                <w:sz w:val="20"/>
                <w:lang w:eastAsia="en-US"/>
              </w:rPr>
            </w:pPr>
            <w:r w:rsidRPr="00B56C0A">
              <w:rPr>
                <w:rFonts w:ascii="Arial Narrow" w:eastAsiaTheme="minorHAnsi" w:hAnsi="Arial Narrow" w:cs="Tahoma"/>
                <w:iCs/>
                <w:sz w:val="20"/>
                <w:lang w:eastAsia="en-US"/>
              </w:rPr>
              <w:t>$122,442</w:t>
            </w:r>
          </w:p>
        </w:tc>
      </w:tr>
      <w:tr w:rsidR="00783676" w:rsidRPr="00430BAB" w14:paraId="0E651E09" w14:textId="77777777" w:rsidTr="00BD4B1A">
        <w:tc>
          <w:tcPr>
            <w:tcW w:w="5949" w:type="dxa"/>
            <w:gridSpan w:val="2"/>
            <w:tcBorders>
              <w:top w:val="single" w:sz="4" w:space="0" w:color="auto"/>
              <w:left w:val="single" w:sz="4" w:space="0" w:color="auto"/>
              <w:bottom w:val="single" w:sz="4" w:space="0" w:color="auto"/>
              <w:right w:val="single" w:sz="4" w:space="0" w:color="auto"/>
            </w:tcBorders>
            <w:hideMark/>
          </w:tcPr>
          <w:p w14:paraId="537A9DEE" w14:textId="03790621" w:rsidR="00783676" w:rsidRPr="00B56C0A" w:rsidRDefault="00783676" w:rsidP="00783676">
            <w:pPr>
              <w:keepNext/>
              <w:spacing w:before="40" w:after="40"/>
              <w:rPr>
                <w:rFonts w:ascii="Arial Narrow" w:eastAsiaTheme="minorHAnsi" w:hAnsi="Arial Narrow" w:cs="Tahoma"/>
                <w:sz w:val="20"/>
                <w:lang w:eastAsia="en-US"/>
              </w:rPr>
            </w:pPr>
            <w:r w:rsidRPr="00B56C0A">
              <w:rPr>
                <w:rFonts w:ascii="Arial Narrow" w:eastAsiaTheme="minorHAnsi" w:hAnsi="Arial Narrow" w:cs="Tahoma"/>
                <w:iCs/>
                <w:sz w:val="20"/>
                <w:lang w:eastAsia="en-US"/>
              </w:rPr>
              <w:t>Cost of second-line SOC added to ECP (additional $2,017.52 per cycle)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099625" w14:textId="77777777" w:rsidR="00783676" w:rsidRPr="00B56C0A" w:rsidRDefault="00783676" w:rsidP="00B56C0A">
            <w:pPr>
              <w:keepNext/>
              <w:spacing w:before="40" w:after="40"/>
              <w:jc w:val="center"/>
              <w:rPr>
                <w:rFonts w:ascii="Arial Narrow" w:eastAsiaTheme="minorHAnsi" w:hAnsi="Arial Narrow" w:cs="Tahoma"/>
                <w:iCs/>
                <w:sz w:val="20"/>
                <w:lang w:eastAsia="en-US"/>
              </w:rPr>
            </w:pPr>
            <w:r w:rsidRPr="00B56C0A">
              <w:rPr>
                <w:rFonts w:ascii="Arial Narrow" w:eastAsiaTheme="minorHAnsi" w:hAnsi="Arial Narrow" w:cs="Tahoma"/>
                <w:iCs/>
                <w:sz w:val="20"/>
                <w:lang w:eastAsia="en-US"/>
              </w:rPr>
              <w:t>$34,192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D1C562" w14:textId="77777777" w:rsidR="00783676" w:rsidRPr="00B56C0A" w:rsidRDefault="00783676" w:rsidP="00B56C0A">
            <w:pPr>
              <w:keepNext/>
              <w:spacing w:before="40" w:after="40"/>
              <w:jc w:val="center"/>
              <w:rPr>
                <w:rFonts w:ascii="Arial Narrow" w:eastAsiaTheme="minorHAnsi" w:hAnsi="Arial Narrow" w:cs="Tahoma"/>
                <w:iCs/>
                <w:sz w:val="20"/>
                <w:lang w:eastAsia="en-US"/>
              </w:rPr>
            </w:pPr>
            <w:r w:rsidRPr="00B56C0A">
              <w:rPr>
                <w:rFonts w:ascii="Arial Narrow" w:eastAsiaTheme="minorHAnsi" w:hAnsi="Arial Narrow" w:cs="Tahoma"/>
                <w:iCs/>
                <w:sz w:val="20"/>
                <w:lang w:eastAsia="en-US"/>
              </w:rPr>
              <w:t>0.52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8E266D" w14:textId="77777777" w:rsidR="00783676" w:rsidRPr="00B56C0A" w:rsidRDefault="00783676" w:rsidP="00B56C0A">
            <w:pPr>
              <w:keepNext/>
              <w:spacing w:before="40" w:after="40"/>
              <w:jc w:val="center"/>
              <w:rPr>
                <w:rFonts w:ascii="Arial Narrow" w:eastAsiaTheme="minorHAnsi" w:hAnsi="Arial Narrow" w:cs="Tahoma"/>
                <w:iCs/>
                <w:sz w:val="20"/>
                <w:lang w:eastAsia="en-US"/>
              </w:rPr>
            </w:pPr>
            <w:r w:rsidRPr="00B56C0A">
              <w:rPr>
                <w:rFonts w:ascii="Arial Narrow" w:eastAsiaTheme="minorHAnsi" w:hAnsi="Arial Narrow" w:cs="Tahoma"/>
                <w:iCs/>
                <w:sz w:val="20"/>
                <w:lang w:eastAsia="en-US"/>
              </w:rPr>
              <w:t>$66,003</w:t>
            </w:r>
          </w:p>
        </w:tc>
      </w:tr>
      <w:tr w:rsidR="00783676" w:rsidRPr="00430BAB" w14:paraId="12DC85FF" w14:textId="77777777" w:rsidTr="00BD4B1A">
        <w:tc>
          <w:tcPr>
            <w:tcW w:w="5949" w:type="dxa"/>
            <w:gridSpan w:val="2"/>
            <w:tcBorders>
              <w:top w:val="single" w:sz="4" w:space="0" w:color="auto"/>
              <w:left w:val="single" w:sz="4" w:space="0" w:color="auto"/>
              <w:bottom w:val="single" w:sz="4" w:space="0" w:color="auto"/>
              <w:right w:val="single" w:sz="4" w:space="0" w:color="auto"/>
            </w:tcBorders>
            <w:hideMark/>
          </w:tcPr>
          <w:p w14:paraId="583DEB1A" w14:textId="77777777" w:rsidR="00783676" w:rsidRPr="00B56C0A" w:rsidRDefault="00783676" w:rsidP="00783676">
            <w:pPr>
              <w:keepNext/>
              <w:spacing w:before="40" w:after="40"/>
              <w:rPr>
                <w:rFonts w:ascii="Arial Narrow" w:eastAsiaTheme="minorHAnsi" w:hAnsi="Arial Narrow" w:cs="Tahoma"/>
                <w:iCs/>
                <w:sz w:val="20"/>
                <w:lang w:eastAsia="en-US"/>
              </w:rPr>
            </w:pPr>
            <w:r w:rsidRPr="00B56C0A">
              <w:rPr>
                <w:rFonts w:ascii="Arial Narrow" w:eastAsiaTheme="minorHAnsi" w:hAnsi="Arial Narrow" w:cs="Tahoma"/>
                <w:iCs/>
                <w:sz w:val="20"/>
                <w:lang w:eastAsia="en-US"/>
              </w:rPr>
              <w:t>Cost of second-line SOC added to ECP and remove IVIg costs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712840" w14:textId="77777777" w:rsidR="00783676" w:rsidRPr="00B56C0A" w:rsidRDefault="00783676" w:rsidP="00B56C0A">
            <w:pPr>
              <w:keepNext/>
              <w:spacing w:before="40" w:after="40"/>
              <w:jc w:val="center"/>
              <w:rPr>
                <w:rFonts w:ascii="Arial Narrow" w:eastAsiaTheme="minorHAnsi" w:hAnsi="Arial Narrow" w:cs="Tahoma"/>
                <w:iCs/>
                <w:sz w:val="20"/>
                <w:lang w:eastAsia="en-US"/>
              </w:rPr>
            </w:pPr>
            <w:r w:rsidRPr="00B56C0A">
              <w:rPr>
                <w:rFonts w:ascii="Arial Narrow" w:eastAsiaTheme="minorHAnsi" w:hAnsi="Arial Narrow" w:cs="Tahoma"/>
                <w:iCs/>
                <w:sz w:val="20"/>
                <w:lang w:eastAsia="en-US"/>
              </w:rPr>
              <w:t>$72,365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21F6FE" w14:textId="77777777" w:rsidR="00783676" w:rsidRPr="00B56C0A" w:rsidRDefault="00783676" w:rsidP="00B56C0A">
            <w:pPr>
              <w:keepNext/>
              <w:spacing w:before="40" w:after="40"/>
              <w:jc w:val="center"/>
              <w:rPr>
                <w:rFonts w:ascii="Arial Narrow" w:eastAsiaTheme="minorHAnsi" w:hAnsi="Arial Narrow" w:cs="Tahoma"/>
                <w:iCs/>
                <w:sz w:val="20"/>
                <w:lang w:eastAsia="en-US"/>
              </w:rPr>
            </w:pPr>
            <w:r w:rsidRPr="00B56C0A">
              <w:rPr>
                <w:rFonts w:ascii="Arial Narrow" w:eastAsiaTheme="minorHAnsi" w:hAnsi="Arial Narrow" w:cs="Tahoma"/>
                <w:iCs/>
                <w:sz w:val="20"/>
                <w:lang w:eastAsia="en-US"/>
              </w:rPr>
              <w:t>0.52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0D3CA6" w14:textId="77777777" w:rsidR="00783676" w:rsidRPr="00B56C0A" w:rsidRDefault="00783676" w:rsidP="00B56C0A">
            <w:pPr>
              <w:keepNext/>
              <w:spacing w:before="40" w:after="40"/>
              <w:jc w:val="center"/>
              <w:rPr>
                <w:rFonts w:ascii="Arial Narrow" w:eastAsiaTheme="minorHAnsi" w:hAnsi="Arial Narrow" w:cs="Tahoma"/>
                <w:iCs/>
                <w:sz w:val="20"/>
                <w:lang w:eastAsia="en-US"/>
              </w:rPr>
            </w:pPr>
            <w:r w:rsidRPr="00B56C0A">
              <w:rPr>
                <w:rFonts w:ascii="Arial Narrow" w:eastAsiaTheme="minorHAnsi" w:hAnsi="Arial Narrow" w:cs="Tahoma"/>
                <w:iCs/>
                <w:sz w:val="20"/>
                <w:lang w:eastAsia="en-US"/>
              </w:rPr>
              <w:t>$139,692</w:t>
            </w:r>
          </w:p>
        </w:tc>
      </w:tr>
    </w:tbl>
    <w:p w14:paraId="310D4B60" w14:textId="77777777" w:rsidR="00783676" w:rsidRPr="00783676" w:rsidRDefault="00783676" w:rsidP="00783676">
      <w:pPr>
        <w:keepNext/>
        <w:widowControl w:val="0"/>
        <w:jc w:val="both"/>
        <w:rPr>
          <w:rFonts w:ascii="Arial Narrow" w:hAnsi="Arial Narrow" w:cs="Arial"/>
          <w:iCs/>
          <w:snapToGrid w:val="0"/>
          <w:sz w:val="18"/>
          <w:lang w:eastAsia="en-US"/>
        </w:rPr>
      </w:pPr>
      <w:r w:rsidRPr="00783676">
        <w:rPr>
          <w:rFonts w:ascii="Arial Narrow" w:hAnsi="Arial Narrow" w:cs="Arial"/>
          <w:iCs/>
          <w:snapToGrid w:val="0"/>
          <w:sz w:val="18"/>
          <w:lang w:eastAsia="en-US"/>
        </w:rPr>
        <w:t xml:space="preserve">Source: Analyses conducted during evaluation using Treeage file and clinical inputs attachment </w:t>
      </w:r>
    </w:p>
    <w:p w14:paraId="66115D24" w14:textId="38A999D6" w:rsidR="00783676" w:rsidRPr="00783676" w:rsidRDefault="00783676" w:rsidP="00783676">
      <w:pPr>
        <w:keepNext/>
        <w:widowControl w:val="0"/>
        <w:jc w:val="both"/>
        <w:rPr>
          <w:rFonts w:ascii="Arial Narrow" w:hAnsi="Arial Narrow" w:cs="Arial"/>
          <w:iCs/>
          <w:snapToGrid w:val="0"/>
          <w:sz w:val="18"/>
          <w:lang w:eastAsia="en-US"/>
        </w:rPr>
      </w:pPr>
      <w:r w:rsidRPr="00783676">
        <w:rPr>
          <w:rFonts w:ascii="Arial Narrow" w:hAnsi="Arial Narrow" w:cs="Arial"/>
          <w:iCs/>
          <w:snapToGrid w:val="0"/>
          <w:sz w:val="18"/>
          <w:lang w:eastAsia="en-US"/>
        </w:rPr>
        <w:t xml:space="preserve">ECP = </w:t>
      </w:r>
      <w:r w:rsidR="000D2B0D" w:rsidRPr="00783676">
        <w:rPr>
          <w:rFonts w:ascii="Arial Narrow" w:hAnsi="Arial Narrow" w:cs="Arial"/>
          <w:iCs/>
          <w:snapToGrid w:val="0"/>
          <w:sz w:val="18"/>
          <w:lang w:eastAsia="en-US"/>
        </w:rPr>
        <w:t>extracorporeal</w:t>
      </w:r>
      <w:r w:rsidRPr="00783676">
        <w:rPr>
          <w:rFonts w:ascii="Arial Narrow" w:hAnsi="Arial Narrow" w:cs="Arial"/>
          <w:iCs/>
          <w:snapToGrid w:val="0"/>
          <w:sz w:val="18"/>
          <w:lang w:eastAsia="en-US"/>
        </w:rPr>
        <w:t xml:space="preserve"> photopheresis; ICER = incremental cost-effectiveness ratio; QALY = Quality-adjusted life year.</w:t>
      </w:r>
    </w:p>
    <w:p w14:paraId="432F21EB" w14:textId="77777777" w:rsidR="00783676" w:rsidRPr="00783676" w:rsidRDefault="00783676" w:rsidP="00783676">
      <w:pPr>
        <w:keepNext/>
        <w:widowControl w:val="0"/>
        <w:tabs>
          <w:tab w:val="left" w:pos="284"/>
        </w:tabs>
        <w:ind w:left="284" w:hanging="284"/>
        <w:jc w:val="both"/>
        <w:rPr>
          <w:rFonts w:ascii="Arial Narrow" w:hAnsi="Arial Narrow" w:cs="Arial"/>
          <w:iCs/>
          <w:snapToGrid w:val="0"/>
          <w:sz w:val="18"/>
          <w:lang w:eastAsia="en-US"/>
        </w:rPr>
      </w:pPr>
      <w:r w:rsidRPr="00783676">
        <w:rPr>
          <w:rFonts w:ascii="Arial Narrow" w:hAnsi="Arial Narrow" w:cs="Arial"/>
          <w:iCs/>
          <w:snapToGrid w:val="0"/>
          <w:sz w:val="18"/>
          <w:lang w:eastAsia="en-US"/>
        </w:rPr>
        <w:t>*</w:t>
      </w:r>
      <w:r w:rsidRPr="00783676">
        <w:rPr>
          <w:rFonts w:ascii="Arial Narrow" w:hAnsi="Arial Narrow" w:cs="Arial"/>
          <w:iCs/>
          <w:snapToGrid w:val="0"/>
          <w:sz w:val="18"/>
          <w:lang w:eastAsia="en-US"/>
        </w:rPr>
        <w:tab/>
        <w:t>$1,558.78 total third line therapy cost after removing rituximab costs and adjusting relative weight of other therapies in “Attachment D1_economic model inputs”</w:t>
      </w:r>
    </w:p>
    <w:p w14:paraId="0235072C" w14:textId="77777777" w:rsidR="00783676" w:rsidRPr="00783676" w:rsidRDefault="00783676" w:rsidP="00783676">
      <w:pPr>
        <w:keepNext/>
        <w:widowControl w:val="0"/>
        <w:tabs>
          <w:tab w:val="left" w:pos="284"/>
        </w:tabs>
        <w:jc w:val="both"/>
        <w:rPr>
          <w:rFonts w:ascii="Arial Narrow" w:hAnsi="Arial Narrow" w:cs="Arial"/>
          <w:iCs/>
          <w:snapToGrid w:val="0"/>
          <w:sz w:val="18"/>
          <w:lang w:eastAsia="en-US"/>
        </w:rPr>
      </w:pPr>
      <w:r w:rsidRPr="00783676">
        <w:rPr>
          <w:rFonts w:ascii="Arial Narrow" w:hAnsi="Arial Narrow" w:cs="Arial"/>
          <w:iCs/>
          <w:snapToGrid w:val="0"/>
          <w:sz w:val="18"/>
          <w:lang w:eastAsia="en-US"/>
        </w:rPr>
        <w:t>**</w:t>
      </w:r>
      <w:r w:rsidRPr="00783676">
        <w:rPr>
          <w:rFonts w:ascii="Arial Narrow" w:hAnsi="Arial Narrow" w:cs="Arial"/>
          <w:iCs/>
          <w:snapToGrid w:val="0"/>
          <w:sz w:val="18"/>
          <w:lang w:eastAsia="en-US"/>
        </w:rPr>
        <w:tab/>
        <w:t>$1,612.25 progressed state disease costs after setting IVIg use to 0.</w:t>
      </w:r>
    </w:p>
    <w:p w14:paraId="4760CB72" w14:textId="77777777" w:rsidR="00783676" w:rsidRPr="00783676" w:rsidRDefault="00783676" w:rsidP="00783676">
      <w:pPr>
        <w:keepNext/>
        <w:widowControl w:val="0"/>
        <w:tabs>
          <w:tab w:val="left" w:pos="284"/>
        </w:tabs>
        <w:spacing w:after="240"/>
        <w:ind w:left="284" w:hanging="284"/>
        <w:jc w:val="both"/>
        <w:rPr>
          <w:rFonts w:ascii="Arial Narrow" w:hAnsi="Arial Narrow" w:cs="Arial"/>
          <w:iCs/>
          <w:snapToGrid w:val="0"/>
          <w:sz w:val="18"/>
          <w:lang w:eastAsia="en-US"/>
        </w:rPr>
      </w:pPr>
      <w:r w:rsidRPr="00783676">
        <w:rPr>
          <w:rFonts w:ascii="Arial Narrow" w:hAnsi="Arial Narrow" w:cs="Arial"/>
          <w:iCs/>
          <w:snapToGrid w:val="0"/>
          <w:sz w:val="18"/>
          <w:lang w:eastAsia="en-US"/>
        </w:rPr>
        <w:t>***</w:t>
      </w:r>
      <w:r w:rsidRPr="00783676">
        <w:rPr>
          <w:rFonts w:ascii="Arial Narrow" w:hAnsi="Arial Narrow" w:cs="Arial"/>
          <w:snapToGrid w:val="0"/>
          <w:sz w:val="18"/>
          <w:lang w:eastAsia="en-US"/>
        </w:rPr>
        <w:t xml:space="preserve"> </w:t>
      </w:r>
      <w:r w:rsidRPr="00783676">
        <w:rPr>
          <w:rFonts w:ascii="Arial Narrow" w:hAnsi="Arial Narrow" w:cs="Arial"/>
          <w:iCs/>
          <w:snapToGrid w:val="0"/>
          <w:sz w:val="18"/>
          <w:lang w:eastAsia="en-US"/>
        </w:rPr>
        <w:tab/>
      </w:r>
      <w:r w:rsidRPr="00783676">
        <w:rPr>
          <w:rFonts w:ascii="Arial Narrow" w:hAnsi="Arial Narrow" w:cs="Arial"/>
          <w:snapToGrid w:val="0"/>
          <w:sz w:val="18"/>
          <w:lang w:eastAsia="en-US"/>
        </w:rPr>
        <w:t>The model applies a risk ratio of 3.95 to ECP response at 12 weeks, estimating an SOC response of 10.13% in the alternative base case.</w:t>
      </w:r>
    </w:p>
    <w:p w14:paraId="6769B18D" w14:textId="291BEDF9" w:rsidR="00783676" w:rsidRDefault="00783676" w:rsidP="00783676">
      <w:r w:rsidRPr="00783676">
        <w:t xml:space="preserve">The ICER for the respecified base case is $48,754/QALY. </w:t>
      </w:r>
      <w:r>
        <w:t>The Commentary highlighted that t</w:t>
      </w:r>
      <w:r w:rsidRPr="00783676">
        <w:t>his ICER increases substantially with the addition of further reasonable changes to inputs such as treatment effect (40% response in ECP arm = $147,306/QALY), omission of IVIg costs ($122,442/QALY) and adding immunosuppressant costs to second-line treatment with ECP ($66,003/QALY).</w:t>
      </w:r>
    </w:p>
    <w:p w14:paraId="31B72A22" w14:textId="7AA9DB3A" w:rsidR="00783676" w:rsidRDefault="00783676" w:rsidP="00B853FB">
      <w:pPr>
        <w:spacing w:before="240"/>
      </w:pPr>
      <w:r w:rsidRPr="00783676">
        <w:t xml:space="preserve">The </w:t>
      </w:r>
      <w:r>
        <w:t xml:space="preserve">Commentary noted that the </w:t>
      </w:r>
      <w:r w:rsidRPr="00783676">
        <w:t xml:space="preserve">response rate (40% for ECP) from Flowers (2008) might not capture potential benefits from reduction in corticosteroids or improvement in extracutaneous </w:t>
      </w:r>
      <w:r w:rsidRPr="00783676">
        <w:lastRenderedPageBreak/>
        <w:t>GVHD. The results from Flowers (2008) suggested many patients were able to reduce their corticosteroid dose (&gt;50%) without experiencing a &gt;25% improvement in their TSS.</w:t>
      </w:r>
    </w:p>
    <w:p w14:paraId="54B92BDF" w14:textId="63F25EE4" w:rsidR="00B411FE" w:rsidRPr="009E7AB6" w:rsidRDefault="00783676" w:rsidP="009E7AB6">
      <w:r w:rsidRPr="00783676">
        <w:t xml:space="preserve">Overall, the </w:t>
      </w:r>
      <w:r>
        <w:t xml:space="preserve">Commentary considered that the </w:t>
      </w:r>
      <w:r w:rsidRPr="00783676">
        <w:t>ADAR’s base case analysis substantially underestimate</w:t>
      </w:r>
      <w:r w:rsidR="002E24D0">
        <w:t>d</w:t>
      </w:r>
      <w:r w:rsidRPr="00783676">
        <w:t xml:space="preserve"> the ICER. This </w:t>
      </w:r>
      <w:r w:rsidR="002E24D0">
        <w:t>wa</w:t>
      </w:r>
      <w:r w:rsidRPr="00783676">
        <w:t>s largely due to favourable estimates of response, unrealistic long</w:t>
      </w:r>
      <w:r w:rsidR="00BD4B1A">
        <w:t>-</w:t>
      </w:r>
      <w:r w:rsidRPr="00783676">
        <w:t xml:space="preserve">term modelling of health states, as well as inappropriate costing. </w:t>
      </w:r>
      <w:r>
        <w:t>The Commentary considered that i</w:t>
      </w:r>
      <w:r w:rsidRPr="00783676">
        <w:t xml:space="preserve">t </w:t>
      </w:r>
      <w:r w:rsidR="002E24D0">
        <w:t>wa</w:t>
      </w:r>
      <w:r w:rsidRPr="00783676">
        <w:t xml:space="preserve">s extremely unlikely that ECP would be a cost-saving therapy. However, </w:t>
      </w:r>
      <w:r>
        <w:t xml:space="preserve">the Commentary highlighted that </w:t>
      </w:r>
      <w:r w:rsidRPr="00783676">
        <w:t>ECP could potentially be considered cost-effective with adequate justification for modelling higher response rates than those found in Flowers (2008).</w:t>
      </w:r>
    </w:p>
    <w:p w14:paraId="6B45A01E" w14:textId="7172C874" w:rsidR="00BB6CCC" w:rsidRPr="009E7AB6" w:rsidRDefault="00065623" w:rsidP="00BB6CCC">
      <w:pPr>
        <w:pStyle w:val="Heading1"/>
        <w:numPr>
          <w:ilvl w:val="0"/>
          <w:numId w:val="13"/>
        </w:numPr>
        <w:spacing w:before="240" w:after="240"/>
        <w:ind w:hanging="720"/>
        <w:rPr>
          <w:rFonts w:ascii="Arial" w:eastAsia="Times New Roman" w:hAnsi="Arial" w:cs="Times New Roman"/>
        </w:rPr>
      </w:pPr>
      <w:r w:rsidRPr="009E7AB6">
        <w:rPr>
          <w:rFonts w:ascii="Arial" w:eastAsia="Times New Roman" w:hAnsi="Arial" w:cs="Times New Roman"/>
        </w:rPr>
        <w:t>Financial/budgetary impacts</w:t>
      </w:r>
    </w:p>
    <w:p w14:paraId="3E4DC0F7" w14:textId="6901F307" w:rsidR="00BB6CCC" w:rsidRDefault="00BB6CCC" w:rsidP="00BB6CCC">
      <w:pPr>
        <w:rPr>
          <w:iCs/>
        </w:rPr>
      </w:pPr>
      <w:r w:rsidRPr="00BB6CCC">
        <w:t xml:space="preserve">An epidemiological approach </w:t>
      </w:r>
      <w:r w:rsidR="002E24D0">
        <w:t>w</w:t>
      </w:r>
      <w:r w:rsidRPr="00BB6CCC">
        <w:t xml:space="preserve">as used to estimate the financial implications of the introduction of ECP treatment for </w:t>
      </w:r>
      <w:r w:rsidR="00042672">
        <w:t xml:space="preserve">patients with </w:t>
      </w:r>
      <w:r w:rsidRPr="00BB6CCC">
        <w:t>cGVHD who are steroid</w:t>
      </w:r>
      <w:r w:rsidR="00042672">
        <w:noBreakHyphen/>
      </w:r>
      <w:r w:rsidRPr="00BB6CCC">
        <w:t>refractory</w:t>
      </w:r>
      <w:r w:rsidR="00042672">
        <w:t xml:space="preserve">, </w:t>
      </w:r>
      <w:r w:rsidRPr="00BB6CCC">
        <w:t>steroid</w:t>
      </w:r>
      <w:r w:rsidR="00042672">
        <w:noBreakHyphen/>
      </w:r>
      <w:r w:rsidRPr="00BB6CCC">
        <w:t>dependent</w:t>
      </w:r>
      <w:r w:rsidR="00042672">
        <w:t xml:space="preserve">, or </w:t>
      </w:r>
      <w:r w:rsidRPr="00BB6CCC">
        <w:t>steroid-intolerant. The Commentary noted that</w:t>
      </w:r>
      <w:r w:rsidR="008F07F1">
        <w:t>,</w:t>
      </w:r>
      <w:r w:rsidRPr="00BB6CCC">
        <w:t xml:space="preserve"> a</w:t>
      </w:r>
      <w:r w:rsidRPr="00BB6CCC">
        <w:rPr>
          <w:iCs/>
        </w:rPr>
        <w:t>lthough concern was raised in the PICO Confirmation with respect to use beyond cGVHD patients in patients with aGVHD, PASC confirmed that the population is those with cGVHD and considered that the “chronic” aspect is sufficiently well defined acknowledging the wider consensus amongst treating clinicians in recent times based on the NIH criteria.</w:t>
      </w:r>
    </w:p>
    <w:p w14:paraId="47F0A609" w14:textId="0AD545F6" w:rsidR="00BB6CCC" w:rsidRDefault="00BB6CCC" w:rsidP="00B853FB">
      <w:pPr>
        <w:spacing w:before="240"/>
      </w:pPr>
      <w:r w:rsidRPr="00BB6CCC">
        <w:t xml:space="preserve">The financial implications to the MBS resulting from the proposed listing are summarised in </w:t>
      </w:r>
      <w:r w:rsidRPr="00BB6CCC">
        <w:rPr>
          <w:highlight w:val="cyan"/>
        </w:rPr>
        <w:fldChar w:fldCharType="begin"/>
      </w:r>
      <w:r w:rsidRPr="00BB6CCC">
        <w:instrText xml:space="preserve"> REF _Ref404372077 \h </w:instrText>
      </w:r>
      <w:r w:rsidRPr="00BB6CCC">
        <w:rPr>
          <w:highlight w:val="cyan"/>
        </w:rPr>
        <w:instrText xml:space="preserve"> \* MERGEFORMAT </w:instrText>
      </w:r>
      <w:r w:rsidRPr="00BB6CCC">
        <w:rPr>
          <w:highlight w:val="cyan"/>
        </w:rPr>
      </w:r>
      <w:r w:rsidRPr="00BB6CCC">
        <w:rPr>
          <w:highlight w:val="cyan"/>
        </w:rPr>
        <w:fldChar w:fldCharType="separate"/>
      </w:r>
      <w:r w:rsidR="008407AE" w:rsidRPr="008407AE">
        <w:t xml:space="preserve">Table </w:t>
      </w:r>
      <w:r w:rsidR="008407AE" w:rsidRPr="008407AE">
        <w:rPr>
          <w:noProof/>
        </w:rPr>
        <w:t>13</w:t>
      </w:r>
      <w:r w:rsidRPr="00BB6CCC">
        <w:rPr>
          <w:highlight w:val="cyan"/>
        </w:rPr>
        <w:fldChar w:fldCharType="end"/>
      </w:r>
      <w:r w:rsidRPr="00BB6CCC">
        <w:t>.</w:t>
      </w:r>
    </w:p>
    <w:p w14:paraId="761E8D18" w14:textId="33087DD1" w:rsidR="00BB6CCC" w:rsidRPr="00BB6CCC" w:rsidRDefault="00BB6CCC" w:rsidP="00B853FB">
      <w:pPr>
        <w:keepNext/>
        <w:spacing w:before="240" w:after="120"/>
        <w:rPr>
          <w:rFonts w:ascii="Arial Narrow" w:hAnsi="Arial Narrow" w:cs="Tahoma"/>
          <w:b/>
          <w:bCs/>
          <w:sz w:val="20"/>
          <w:szCs w:val="22"/>
        </w:rPr>
      </w:pPr>
      <w:bookmarkStart w:id="28" w:name="_Ref404372077"/>
      <w:bookmarkStart w:id="29" w:name="_Toc393197779"/>
      <w:bookmarkStart w:id="30" w:name="_Toc393378192"/>
      <w:bookmarkStart w:id="31" w:name="_Toc399251128"/>
      <w:r w:rsidRPr="00BB6CCC">
        <w:rPr>
          <w:rFonts w:ascii="Arial Narrow" w:hAnsi="Arial Narrow" w:cs="Tahoma"/>
          <w:b/>
          <w:bCs/>
          <w:sz w:val="20"/>
          <w:szCs w:val="22"/>
        </w:rPr>
        <w:t xml:space="preserve">Table </w:t>
      </w:r>
      <w:r w:rsidRPr="00BB6CCC">
        <w:rPr>
          <w:rFonts w:ascii="Arial Narrow" w:hAnsi="Arial Narrow" w:cs="Tahoma"/>
          <w:b/>
          <w:bCs/>
          <w:sz w:val="20"/>
          <w:szCs w:val="22"/>
        </w:rPr>
        <w:fldChar w:fldCharType="begin"/>
      </w:r>
      <w:r w:rsidRPr="00BB6CCC">
        <w:rPr>
          <w:rFonts w:ascii="Arial Narrow" w:hAnsi="Arial Narrow" w:cs="Tahoma"/>
          <w:b/>
          <w:bCs/>
          <w:sz w:val="20"/>
          <w:szCs w:val="22"/>
        </w:rPr>
        <w:instrText xml:space="preserve"> SEQ Table \* ARABIC </w:instrText>
      </w:r>
      <w:r w:rsidRPr="00BB6CCC">
        <w:rPr>
          <w:rFonts w:ascii="Arial Narrow" w:hAnsi="Arial Narrow" w:cs="Tahoma"/>
          <w:b/>
          <w:bCs/>
          <w:sz w:val="20"/>
          <w:szCs w:val="22"/>
        </w:rPr>
        <w:fldChar w:fldCharType="separate"/>
      </w:r>
      <w:r w:rsidR="008407AE">
        <w:rPr>
          <w:rFonts w:ascii="Arial Narrow" w:hAnsi="Arial Narrow" w:cs="Tahoma"/>
          <w:b/>
          <w:bCs/>
          <w:noProof/>
          <w:sz w:val="20"/>
          <w:szCs w:val="22"/>
        </w:rPr>
        <w:t>13</w:t>
      </w:r>
      <w:r w:rsidRPr="00BB6CCC">
        <w:rPr>
          <w:rFonts w:ascii="Arial Narrow" w:hAnsi="Arial Narrow" w:cs="Tahoma"/>
          <w:b/>
          <w:bCs/>
          <w:noProof/>
          <w:sz w:val="20"/>
          <w:szCs w:val="22"/>
        </w:rPr>
        <w:fldChar w:fldCharType="end"/>
      </w:r>
      <w:bookmarkEnd w:id="28"/>
      <w:r w:rsidR="0034138C">
        <w:rPr>
          <w:rFonts w:ascii="Arial Narrow" w:hAnsi="Arial Narrow" w:cs="Tahoma"/>
          <w:b/>
          <w:bCs/>
          <w:noProof/>
          <w:sz w:val="20"/>
          <w:szCs w:val="22"/>
        </w:rPr>
        <w:t xml:space="preserve">: </w:t>
      </w:r>
      <w:r w:rsidRPr="00BB6CCC">
        <w:rPr>
          <w:rFonts w:ascii="Arial Narrow" w:hAnsi="Arial Narrow" w:cs="Tahoma"/>
          <w:b/>
          <w:bCs/>
          <w:sz w:val="20"/>
          <w:szCs w:val="22"/>
        </w:rPr>
        <w:t xml:space="preserve">Total costs to the MBS associated with </w:t>
      </w:r>
      <w:bookmarkEnd w:id="29"/>
      <w:bookmarkEnd w:id="30"/>
      <w:bookmarkEnd w:id="31"/>
      <w:r w:rsidRPr="00BB6CCC">
        <w:rPr>
          <w:rFonts w:ascii="Arial Narrow" w:hAnsi="Arial Narrow" w:cs="Tahoma"/>
          <w:b/>
          <w:bCs/>
          <w:sz w:val="20"/>
          <w:szCs w:val="22"/>
        </w:rPr>
        <w:t>ECP treatment in cGVHD</w:t>
      </w:r>
    </w:p>
    <w:tbl>
      <w:tblPr>
        <w:tblStyle w:val="TableGrid21"/>
        <w:tblW w:w="5000" w:type="pct"/>
        <w:tblCellMar>
          <w:left w:w="28" w:type="dxa"/>
          <w:right w:w="28" w:type="dxa"/>
        </w:tblCellMar>
        <w:tblLook w:val="04A0" w:firstRow="1" w:lastRow="0" w:firstColumn="1" w:lastColumn="0" w:noHBand="0" w:noVBand="1"/>
        <w:tblCaption w:val="Table 9 Total costs to the MBS associated with XXX"/>
        <w:tblDescription w:val="This table provides a summary of the financial impact of the proposed new medical service over the next five years."/>
      </w:tblPr>
      <w:tblGrid>
        <w:gridCol w:w="1775"/>
        <w:gridCol w:w="1178"/>
        <w:gridCol w:w="1178"/>
        <w:gridCol w:w="1177"/>
        <w:gridCol w:w="1177"/>
        <w:gridCol w:w="1177"/>
        <w:gridCol w:w="1354"/>
      </w:tblGrid>
      <w:tr w:rsidR="00BB6CCC" w:rsidRPr="00BB6CCC" w14:paraId="6B1EB6FE" w14:textId="77777777" w:rsidTr="003E440B">
        <w:trPr>
          <w:cnfStyle w:val="100000000000" w:firstRow="1" w:lastRow="0" w:firstColumn="0" w:lastColumn="0" w:oddVBand="0" w:evenVBand="0" w:oddHBand="0" w:evenHBand="0" w:firstRowFirstColumn="0" w:firstRowLastColumn="0" w:lastRowFirstColumn="0" w:lastRowLastColumn="0"/>
          <w:trHeight w:val="300"/>
          <w:tblHeader/>
        </w:trPr>
        <w:tc>
          <w:tcPr>
            <w:tcW w:w="984" w:type="pct"/>
            <w:vAlign w:val="center"/>
          </w:tcPr>
          <w:p w14:paraId="0D17CC28" w14:textId="66118923" w:rsidR="00BB6CCC" w:rsidRPr="00BB6CCC" w:rsidRDefault="009F416C" w:rsidP="00BB6CCC">
            <w:pPr>
              <w:keepNext/>
              <w:tabs>
                <w:tab w:val="left" w:pos="851"/>
              </w:tabs>
              <w:spacing w:after="40"/>
              <w:rPr>
                <w:rFonts w:cs="Tahoma"/>
                <w:b/>
              </w:rPr>
            </w:pPr>
            <w:r>
              <w:rPr>
                <w:rFonts w:cs="Tahoma"/>
                <w:b/>
                <w:color w:val="FFFFFF" w:themeColor="background1"/>
              </w:rPr>
              <w:t>Parameter</w:t>
            </w:r>
          </w:p>
        </w:tc>
        <w:tc>
          <w:tcPr>
            <w:tcW w:w="653" w:type="pct"/>
            <w:vAlign w:val="center"/>
          </w:tcPr>
          <w:p w14:paraId="64FFC683" w14:textId="77777777" w:rsidR="00BB6CCC" w:rsidRPr="00BB6CCC" w:rsidRDefault="00BB6CCC" w:rsidP="00BB6CCC">
            <w:pPr>
              <w:keepNext/>
              <w:tabs>
                <w:tab w:val="left" w:pos="851"/>
              </w:tabs>
              <w:spacing w:after="40"/>
              <w:jc w:val="center"/>
              <w:rPr>
                <w:rFonts w:cs="Tahoma"/>
                <w:b/>
              </w:rPr>
            </w:pPr>
            <w:r w:rsidRPr="00BB6CCC">
              <w:rPr>
                <w:rFonts w:cs="Tahoma"/>
                <w:b/>
              </w:rPr>
              <w:t>2022</w:t>
            </w:r>
          </w:p>
        </w:tc>
        <w:tc>
          <w:tcPr>
            <w:tcW w:w="653" w:type="pct"/>
            <w:vAlign w:val="center"/>
          </w:tcPr>
          <w:p w14:paraId="436F8155" w14:textId="77777777" w:rsidR="00BB6CCC" w:rsidRPr="00BB6CCC" w:rsidRDefault="00BB6CCC" w:rsidP="00BB6CCC">
            <w:pPr>
              <w:keepNext/>
              <w:tabs>
                <w:tab w:val="left" w:pos="851"/>
              </w:tabs>
              <w:spacing w:after="40"/>
              <w:jc w:val="center"/>
              <w:rPr>
                <w:rFonts w:cs="Tahoma"/>
                <w:b/>
              </w:rPr>
            </w:pPr>
            <w:r w:rsidRPr="00BB6CCC">
              <w:rPr>
                <w:rFonts w:cs="Tahoma"/>
                <w:b/>
              </w:rPr>
              <w:t>2023</w:t>
            </w:r>
          </w:p>
        </w:tc>
        <w:tc>
          <w:tcPr>
            <w:tcW w:w="653" w:type="pct"/>
            <w:vAlign w:val="center"/>
          </w:tcPr>
          <w:p w14:paraId="27C16961" w14:textId="77777777" w:rsidR="00BB6CCC" w:rsidRPr="00BB6CCC" w:rsidRDefault="00BB6CCC" w:rsidP="00BB6CCC">
            <w:pPr>
              <w:keepNext/>
              <w:tabs>
                <w:tab w:val="left" w:pos="851"/>
              </w:tabs>
              <w:spacing w:after="40"/>
              <w:jc w:val="center"/>
              <w:rPr>
                <w:rFonts w:cs="Tahoma"/>
                <w:b/>
              </w:rPr>
            </w:pPr>
            <w:r w:rsidRPr="00BB6CCC">
              <w:rPr>
                <w:rFonts w:cs="Tahoma"/>
                <w:b/>
              </w:rPr>
              <w:t>2024</w:t>
            </w:r>
          </w:p>
        </w:tc>
        <w:tc>
          <w:tcPr>
            <w:tcW w:w="653" w:type="pct"/>
            <w:vAlign w:val="center"/>
          </w:tcPr>
          <w:p w14:paraId="41F47D5D" w14:textId="77777777" w:rsidR="00BB6CCC" w:rsidRPr="00BB6CCC" w:rsidRDefault="00BB6CCC" w:rsidP="00BB6CCC">
            <w:pPr>
              <w:keepNext/>
              <w:tabs>
                <w:tab w:val="left" w:pos="851"/>
              </w:tabs>
              <w:spacing w:after="40"/>
              <w:jc w:val="center"/>
              <w:rPr>
                <w:rFonts w:cs="Tahoma"/>
                <w:b/>
              </w:rPr>
            </w:pPr>
            <w:r w:rsidRPr="00BB6CCC">
              <w:rPr>
                <w:rFonts w:cs="Tahoma"/>
                <w:b/>
              </w:rPr>
              <w:t>2025</w:t>
            </w:r>
          </w:p>
        </w:tc>
        <w:tc>
          <w:tcPr>
            <w:tcW w:w="653" w:type="pct"/>
            <w:vAlign w:val="center"/>
          </w:tcPr>
          <w:p w14:paraId="5B7A2B6E" w14:textId="77777777" w:rsidR="00BB6CCC" w:rsidRPr="00BB6CCC" w:rsidRDefault="00BB6CCC" w:rsidP="00BB6CCC">
            <w:pPr>
              <w:keepNext/>
              <w:tabs>
                <w:tab w:val="left" w:pos="851"/>
              </w:tabs>
              <w:spacing w:after="40"/>
              <w:jc w:val="center"/>
              <w:rPr>
                <w:rFonts w:cs="Tahoma"/>
                <w:b/>
              </w:rPr>
            </w:pPr>
            <w:r w:rsidRPr="00BB6CCC">
              <w:rPr>
                <w:rFonts w:cs="Tahoma"/>
                <w:b/>
              </w:rPr>
              <w:t>2026</w:t>
            </w:r>
          </w:p>
        </w:tc>
        <w:tc>
          <w:tcPr>
            <w:tcW w:w="751" w:type="pct"/>
            <w:vAlign w:val="center"/>
          </w:tcPr>
          <w:p w14:paraId="78E10235" w14:textId="77777777" w:rsidR="00BB6CCC" w:rsidRPr="00BB6CCC" w:rsidRDefault="00BB6CCC" w:rsidP="00BB6CCC">
            <w:pPr>
              <w:keepNext/>
              <w:tabs>
                <w:tab w:val="left" w:pos="851"/>
              </w:tabs>
              <w:spacing w:after="40"/>
              <w:jc w:val="center"/>
              <w:rPr>
                <w:rFonts w:cs="Tahoma"/>
                <w:b/>
              </w:rPr>
            </w:pPr>
            <w:r w:rsidRPr="00BB6CCC">
              <w:rPr>
                <w:rFonts w:cs="Tahoma"/>
                <w:b/>
              </w:rPr>
              <w:t>2027</w:t>
            </w:r>
          </w:p>
        </w:tc>
      </w:tr>
      <w:tr w:rsidR="00BB6CCC" w:rsidRPr="00BB6CCC" w14:paraId="21281FD9" w14:textId="77777777" w:rsidTr="00042672">
        <w:trPr>
          <w:trHeight w:val="300"/>
        </w:trPr>
        <w:tc>
          <w:tcPr>
            <w:tcW w:w="5000" w:type="pct"/>
            <w:gridSpan w:val="7"/>
            <w:vAlign w:val="center"/>
          </w:tcPr>
          <w:p w14:paraId="145F2556" w14:textId="41F6AAF8" w:rsidR="00BB6CCC" w:rsidRPr="00BB6CCC" w:rsidRDefault="00BB6CCC" w:rsidP="00430BAB">
            <w:pPr>
              <w:keepNext/>
              <w:widowControl w:val="0"/>
              <w:tabs>
                <w:tab w:val="left" w:pos="851"/>
              </w:tabs>
              <w:spacing w:after="40"/>
              <w:rPr>
                <w:rFonts w:cs="Tahoma"/>
                <w:b/>
                <w:color w:val="FFFFFF" w:themeColor="background1"/>
              </w:rPr>
            </w:pPr>
            <w:r w:rsidRPr="00BB6CCC">
              <w:rPr>
                <w:rFonts w:cs="Tahoma"/>
                <w:b/>
              </w:rPr>
              <w:t xml:space="preserve">ECP for </w:t>
            </w:r>
            <w:r w:rsidR="00430BAB">
              <w:rPr>
                <w:rFonts w:cs="Tahoma"/>
                <w:b/>
              </w:rPr>
              <w:t>c</w:t>
            </w:r>
            <w:r w:rsidR="00430BAB" w:rsidRPr="00BB6CCC">
              <w:rPr>
                <w:rFonts w:cs="Tahoma"/>
                <w:b/>
              </w:rPr>
              <w:t>GVHD</w:t>
            </w:r>
            <w:r w:rsidRPr="00BB6CCC">
              <w:rPr>
                <w:rFonts w:cs="Tahoma"/>
                <w:b/>
                <w:color w:val="FFFFFF" w:themeColor="background1"/>
              </w:rPr>
              <w:t>-</w:t>
            </w:r>
          </w:p>
        </w:tc>
      </w:tr>
      <w:tr w:rsidR="00BB6CCC" w:rsidRPr="00BB6CCC" w14:paraId="37D078A7" w14:textId="77777777" w:rsidTr="003E440B">
        <w:trPr>
          <w:trHeight w:val="300"/>
        </w:trPr>
        <w:tc>
          <w:tcPr>
            <w:tcW w:w="984" w:type="pct"/>
            <w:vAlign w:val="center"/>
          </w:tcPr>
          <w:p w14:paraId="1B5A85E0" w14:textId="3D1463B8" w:rsidR="00BB6CCC" w:rsidRPr="00BB6CCC" w:rsidRDefault="00BB6CCC" w:rsidP="00BB6CCC">
            <w:pPr>
              <w:keepNext/>
              <w:widowControl w:val="0"/>
              <w:tabs>
                <w:tab w:val="left" w:pos="851"/>
              </w:tabs>
              <w:spacing w:after="40"/>
              <w:rPr>
                <w:rFonts w:cs="Tahoma"/>
              </w:rPr>
            </w:pPr>
            <w:r w:rsidRPr="00BB6CCC">
              <w:rPr>
                <w:rFonts w:cs="Tahoma"/>
              </w:rPr>
              <w:t xml:space="preserve">Number of </w:t>
            </w:r>
            <w:r w:rsidR="00AB0F4A">
              <w:rPr>
                <w:rFonts w:cs="Tahoma"/>
              </w:rPr>
              <w:t xml:space="preserve">MBS </w:t>
            </w:r>
            <w:r w:rsidRPr="00BB6CCC">
              <w:rPr>
                <w:rFonts w:cs="Tahoma"/>
              </w:rPr>
              <w:t>services</w:t>
            </w:r>
          </w:p>
        </w:tc>
        <w:tc>
          <w:tcPr>
            <w:tcW w:w="653" w:type="pct"/>
            <w:vAlign w:val="center"/>
          </w:tcPr>
          <w:p w14:paraId="7ACEA522" w14:textId="77777777" w:rsidR="00BB6CCC" w:rsidRPr="00BB6CCC" w:rsidRDefault="00BB6CCC" w:rsidP="00BB6CCC">
            <w:pPr>
              <w:keepNext/>
              <w:widowControl w:val="0"/>
              <w:spacing w:after="40"/>
              <w:jc w:val="center"/>
              <w:rPr>
                <w:rFonts w:cs="Tahoma"/>
              </w:rPr>
            </w:pPr>
            <w:r w:rsidRPr="00BB6CCC">
              <w:rPr>
                <w:rFonts w:cs="Tahoma"/>
              </w:rPr>
              <w:t>5,037</w:t>
            </w:r>
          </w:p>
        </w:tc>
        <w:tc>
          <w:tcPr>
            <w:tcW w:w="653" w:type="pct"/>
            <w:vAlign w:val="center"/>
          </w:tcPr>
          <w:p w14:paraId="64A2037C" w14:textId="77777777" w:rsidR="00BB6CCC" w:rsidRPr="00BB6CCC" w:rsidRDefault="00BB6CCC" w:rsidP="00BB6CCC">
            <w:pPr>
              <w:keepNext/>
              <w:widowControl w:val="0"/>
              <w:spacing w:after="40"/>
              <w:jc w:val="center"/>
              <w:rPr>
                <w:rFonts w:cs="Tahoma"/>
              </w:rPr>
            </w:pPr>
            <w:r w:rsidRPr="00BB6CCC">
              <w:rPr>
                <w:rFonts w:cs="Tahoma"/>
              </w:rPr>
              <w:t>7,354</w:t>
            </w:r>
          </w:p>
        </w:tc>
        <w:tc>
          <w:tcPr>
            <w:tcW w:w="653" w:type="pct"/>
            <w:vAlign w:val="center"/>
          </w:tcPr>
          <w:p w14:paraId="366C88E2" w14:textId="77777777" w:rsidR="00BB6CCC" w:rsidRPr="00BB6CCC" w:rsidRDefault="00BB6CCC" w:rsidP="00BB6CCC">
            <w:pPr>
              <w:keepNext/>
              <w:widowControl w:val="0"/>
              <w:spacing w:after="40"/>
              <w:jc w:val="center"/>
              <w:rPr>
                <w:rFonts w:cs="Tahoma"/>
              </w:rPr>
            </w:pPr>
            <w:r w:rsidRPr="00BB6CCC">
              <w:rPr>
                <w:rFonts w:cs="Tahoma"/>
              </w:rPr>
              <w:t>8,660</w:t>
            </w:r>
          </w:p>
        </w:tc>
        <w:tc>
          <w:tcPr>
            <w:tcW w:w="653" w:type="pct"/>
            <w:vAlign w:val="center"/>
          </w:tcPr>
          <w:p w14:paraId="7CCC21F6" w14:textId="77777777" w:rsidR="00BB6CCC" w:rsidRPr="00BB6CCC" w:rsidRDefault="00BB6CCC" w:rsidP="00BB6CCC">
            <w:pPr>
              <w:keepNext/>
              <w:widowControl w:val="0"/>
              <w:spacing w:after="40"/>
              <w:jc w:val="center"/>
              <w:rPr>
                <w:rFonts w:cs="Tahoma"/>
              </w:rPr>
            </w:pPr>
            <w:r w:rsidRPr="00BB6CCC">
              <w:rPr>
                <w:rFonts w:cs="Tahoma"/>
              </w:rPr>
              <w:t>8,801</w:t>
            </w:r>
          </w:p>
        </w:tc>
        <w:tc>
          <w:tcPr>
            <w:tcW w:w="653" w:type="pct"/>
            <w:vAlign w:val="center"/>
          </w:tcPr>
          <w:p w14:paraId="3E3FCEBB" w14:textId="77777777" w:rsidR="00BB6CCC" w:rsidRPr="00BB6CCC" w:rsidRDefault="00BB6CCC" w:rsidP="00BB6CCC">
            <w:pPr>
              <w:keepNext/>
              <w:widowControl w:val="0"/>
              <w:spacing w:after="40"/>
              <w:jc w:val="center"/>
              <w:rPr>
                <w:rFonts w:cs="Tahoma"/>
              </w:rPr>
            </w:pPr>
            <w:r w:rsidRPr="00BB6CCC">
              <w:rPr>
                <w:rFonts w:cs="Tahoma"/>
              </w:rPr>
              <w:t>8,119</w:t>
            </w:r>
          </w:p>
        </w:tc>
        <w:tc>
          <w:tcPr>
            <w:tcW w:w="751" w:type="pct"/>
            <w:vAlign w:val="center"/>
          </w:tcPr>
          <w:p w14:paraId="30EAB938" w14:textId="77777777" w:rsidR="00BB6CCC" w:rsidRPr="00BB6CCC" w:rsidRDefault="00BB6CCC" w:rsidP="00BB6CCC">
            <w:pPr>
              <w:keepNext/>
              <w:widowControl w:val="0"/>
              <w:spacing w:after="40"/>
              <w:jc w:val="center"/>
              <w:rPr>
                <w:rFonts w:cs="Tahoma"/>
              </w:rPr>
            </w:pPr>
            <w:r w:rsidRPr="00BB6CCC">
              <w:rPr>
                <w:rFonts w:cs="Tahoma"/>
              </w:rPr>
              <w:t>6,157</w:t>
            </w:r>
          </w:p>
        </w:tc>
      </w:tr>
      <w:tr w:rsidR="003E440B" w:rsidRPr="00BB6CCC" w14:paraId="054D6C9F" w14:textId="77777777" w:rsidTr="00CB26FD">
        <w:trPr>
          <w:trHeight w:val="315"/>
        </w:trPr>
        <w:tc>
          <w:tcPr>
            <w:tcW w:w="984" w:type="pct"/>
            <w:vAlign w:val="center"/>
          </w:tcPr>
          <w:p w14:paraId="16C99D1D" w14:textId="77777777" w:rsidR="003E440B" w:rsidRPr="00BB6CCC" w:rsidRDefault="003E440B" w:rsidP="003E440B">
            <w:pPr>
              <w:keepNext/>
              <w:widowControl w:val="0"/>
              <w:spacing w:after="40"/>
              <w:rPr>
                <w:rFonts w:cs="Tahoma"/>
              </w:rPr>
            </w:pPr>
            <w:r w:rsidRPr="00BB6CCC">
              <w:rPr>
                <w:rFonts w:cs="Tahoma"/>
              </w:rPr>
              <w:t>Co-payment (80%)</w:t>
            </w:r>
          </w:p>
        </w:tc>
        <w:tc>
          <w:tcPr>
            <w:tcW w:w="653" w:type="pct"/>
            <w:vAlign w:val="center"/>
          </w:tcPr>
          <w:p w14:paraId="4F9D27F8" w14:textId="4EBDD0EF" w:rsidR="003E440B" w:rsidRPr="00CB26FD" w:rsidRDefault="003E440B" w:rsidP="003E440B">
            <w:pPr>
              <w:keepNext/>
              <w:widowControl w:val="0"/>
              <w:spacing w:after="40"/>
              <w:jc w:val="center"/>
              <w:rPr>
                <w:rFonts w:cs="Tahoma"/>
                <w:b/>
                <w:bCs/>
              </w:rPr>
            </w:pPr>
            <w:r w:rsidRPr="00CB26FD">
              <w:rPr>
                <w:rFonts w:cs="Tahoma"/>
                <w:b/>
                <w:bCs/>
              </w:rPr>
              <w:t>$ redacted</w:t>
            </w:r>
            <w:r w:rsidRPr="00CB26FD" w:rsidDel="003E440B">
              <w:rPr>
                <w:rFonts w:cs="Tahoma"/>
                <w:b/>
                <w:bCs/>
              </w:rPr>
              <w:t xml:space="preserve"> </w:t>
            </w:r>
          </w:p>
        </w:tc>
        <w:tc>
          <w:tcPr>
            <w:tcW w:w="653" w:type="pct"/>
          </w:tcPr>
          <w:p w14:paraId="5B13250A" w14:textId="630542FA" w:rsidR="003E440B" w:rsidRPr="00CB26FD" w:rsidRDefault="003E440B" w:rsidP="003E440B">
            <w:pPr>
              <w:keepNext/>
              <w:widowControl w:val="0"/>
              <w:spacing w:after="40"/>
              <w:jc w:val="center"/>
              <w:rPr>
                <w:rFonts w:cs="Tahoma"/>
                <w:b/>
                <w:bCs/>
              </w:rPr>
            </w:pPr>
            <w:r w:rsidRPr="00CB26FD">
              <w:rPr>
                <w:rFonts w:cs="Tahoma"/>
                <w:b/>
                <w:bCs/>
              </w:rPr>
              <w:t>$ redacted</w:t>
            </w:r>
            <w:r w:rsidRPr="00CB26FD" w:rsidDel="003E440B">
              <w:rPr>
                <w:rFonts w:cs="Tahoma"/>
                <w:b/>
                <w:bCs/>
              </w:rPr>
              <w:t xml:space="preserve"> </w:t>
            </w:r>
          </w:p>
        </w:tc>
        <w:tc>
          <w:tcPr>
            <w:tcW w:w="653" w:type="pct"/>
          </w:tcPr>
          <w:p w14:paraId="0880E992" w14:textId="5BE76F13" w:rsidR="003E440B" w:rsidRPr="00CB26FD" w:rsidRDefault="003E440B" w:rsidP="003E440B">
            <w:pPr>
              <w:keepNext/>
              <w:widowControl w:val="0"/>
              <w:spacing w:after="40"/>
              <w:jc w:val="center"/>
              <w:rPr>
                <w:rFonts w:cs="Tahoma"/>
                <w:b/>
                <w:bCs/>
              </w:rPr>
            </w:pPr>
            <w:r w:rsidRPr="00CB26FD">
              <w:rPr>
                <w:rFonts w:cs="Tahoma"/>
                <w:b/>
                <w:bCs/>
              </w:rPr>
              <w:t>$ redacted</w:t>
            </w:r>
            <w:r w:rsidRPr="00CB26FD" w:rsidDel="003E440B">
              <w:rPr>
                <w:rFonts w:cs="Tahoma"/>
                <w:b/>
                <w:bCs/>
              </w:rPr>
              <w:t xml:space="preserve"> </w:t>
            </w:r>
          </w:p>
        </w:tc>
        <w:tc>
          <w:tcPr>
            <w:tcW w:w="653" w:type="pct"/>
          </w:tcPr>
          <w:p w14:paraId="548D3FF5" w14:textId="589D0836" w:rsidR="003E440B" w:rsidRPr="00CB26FD" w:rsidRDefault="003E440B" w:rsidP="003E440B">
            <w:pPr>
              <w:keepNext/>
              <w:widowControl w:val="0"/>
              <w:spacing w:after="40"/>
              <w:jc w:val="center"/>
              <w:rPr>
                <w:rFonts w:cs="Tahoma"/>
                <w:b/>
                <w:bCs/>
              </w:rPr>
            </w:pPr>
            <w:r w:rsidRPr="00CB26FD">
              <w:rPr>
                <w:rFonts w:cs="Tahoma"/>
                <w:b/>
                <w:bCs/>
              </w:rPr>
              <w:t>$ redacted</w:t>
            </w:r>
            <w:r w:rsidRPr="00CB26FD" w:rsidDel="003E440B">
              <w:rPr>
                <w:rFonts w:cs="Tahoma"/>
                <w:b/>
                <w:bCs/>
              </w:rPr>
              <w:t xml:space="preserve"> </w:t>
            </w:r>
          </w:p>
        </w:tc>
        <w:tc>
          <w:tcPr>
            <w:tcW w:w="653" w:type="pct"/>
          </w:tcPr>
          <w:p w14:paraId="49DB8381" w14:textId="1B50F76E" w:rsidR="003E440B" w:rsidRPr="00CB26FD" w:rsidRDefault="003E440B" w:rsidP="003E440B">
            <w:pPr>
              <w:keepNext/>
              <w:widowControl w:val="0"/>
              <w:spacing w:after="40"/>
              <w:jc w:val="center"/>
              <w:rPr>
                <w:rFonts w:cs="Tahoma"/>
                <w:b/>
                <w:bCs/>
              </w:rPr>
            </w:pPr>
            <w:r w:rsidRPr="00CB26FD">
              <w:rPr>
                <w:rFonts w:cs="Tahoma"/>
                <w:b/>
                <w:bCs/>
              </w:rPr>
              <w:t>$ redacted</w:t>
            </w:r>
            <w:r w:rsidRPr="00CB26FD" w:rsidDel="003E440B">
              <w:rPr>
                <w:rFonts w:cs="Tahoma"/>
                <w:b/>
                <w:bCs/>
              </w:rPr>
              <w:t xml:space="preserve"> </w:t>
            </w:r>
          </w:p>
        </w:tc>
        <w:tc>
          <w:tcPr>
            <w:tcW w:w="751" w:type="pct"/>
          </w:tcPr>
          <w:p w14:paraId="0550BC1E" w14:textId="4E2B1F00" w:rsidR="003E440B" w:rsidRPr="00CB26FD" w:rsidRDefault="003E440B" w:rsidP="003E440B">
            <w:pPr>
              <w:keepNext/>
              <w:widowControl w:val="0"/>
              <w:spacing w:after="40"/>
              <w:jc w:val="center"/>
              <w:rPr>
                <w:rFonts w:cs="Tahoma"/>
                <w:b/>
                <w:bCs/>
              </w:rPr>
            </w:pPr>
            <w:r w:rsidRPr="00CB26FD">
              <w:rPr>
                <w:rFonts w:cs="Tahoma"/>
                <w:b/>
                <w:bCs/>
              </w:rPr>
              <w:t>$ redacted</w:t>
            </w:r>
            <w:r w:rsidRPr="00CB26FD" w:rsidDel="003E440B">
              <w:rPr>
                <w:rFonts w:cs="Tahoma"/>
                <w:b/>
                <w:bCs/>
              </w:rPr>
              <w:t xml:space="preserve"> </w:t>
            </w:r>
          </w:p>
        </w:tc>
      </w:tr>
      <w:tr w:rsidR="003E440B" w:rsidRPr="00BB6CCC" w14:paraId="2E6647E4" w14:textId="77777777" w:rsidTr="00CB26FD">
        <w:trPr>
          <w:trHeight w:val="315"/>
        </w:trPr>
        <w:tc>
          <w:tcPr>
            <w:tcW w:w="984" w:type="pct"/>
            <w:vAlign w:val="center"/>
          </w:tcPr>
          <w:p w14:paraId="121E07D4" w14:textId="773C0FF4" w:rsidR="003E440B" w:rsidRPr="00BB6CCC" w:rsidRDefault="003E440B" w:rsidP="003E440B">
            <w:pPr>
              <w:keepNext/>
              <w:widowControl w:val="0"/>
              <w:spacing w:after="40"/>
              <w:rPr>
                <w:rFonts w:cs="Tahoma"/>
                <w:i/>
                <w:iCs/>
                <w:vertAlign w:val="superscript"/>
              </w:rPr>
            </w:pPr>
            <w:r>
              <w:rPr>
                <w:rFonts w:cs="Tahoma"/>
                <w:i/>
                <w:iCs/>
              </w:rPr>
              <w:t xml:space="preserve">Net cost to MBS with corrected co-payment GPG + OMSN </w:t>
            </w:r>
            <w:r>
              <w:rPr>
                <w:rFonts w:cs="Tahoma"/>
                <w:i/>
                <w:iCs/>
                <w:vertAlign w:val="superscript"/>
              </w:rPr>
              <w:t>a</w:t>
            </w:r>
          </w:p>
        </w:tc>
        <w:tc>
          <w:tcPr>
            <w:tcW w:w="653" w:type="pct"/>
          </w:tcPr>
          <w:p w14:paraId="251F1720" w14:textId="06CE4122" w:rsidR="003E440B" w:rsidRPr="00CB26FD" w:rsidRDefault="003E440B" w:rsidP="003E440B">
            <w:pPr>
              <w:keepNext/>
              <w:widowControl w:val="0"/>
              <w:spacing w:after="40"/>
              <w:jc w:val="center"/>
              <w:rPr>
                <w:rFonts w:cs="Tahoma"/>
                <w:b/>
                <w:bCs/>
                <w:i/>
                <w:iCs/>
              </w:rPr>
            </w:pPr>
            <w:r w:rsidRPr="00CB26FD">
              <w:rPr>
                <w:rFonts w:cs="Tahoma"/>
                <w:b/>
                <w:bCs/>
              </w:rPr>
              <w:t>$ redacted</w:t>
            </w:r>
            <w:r w:rsidRPr="00CB26FD" w:rsidDel="003E440B">
              <w:rPr>
                <w:rFonts w:cs="Tahoma"/>
                <w:b/>
                <w:bCs/>
              </w:rPr>
              <w:t xml:space="preserve"> </w:t>
            </w:r>
          </w:p>
        </w:tc>
        <w:tc>
          <w:tcPr>
            <w:tcW w:w="653" w:type="pct"/>
          </w:tcPr>
          <w:p w14:paraId="34C6E890" w14:textId="31A5744B" w:rsidR="003E440B" w:rsidRPr="00CB26FD" w:rsidRDefault="003E440B" w:rsidP="003E440B">
            <w:pPr>
              <w:keepNext/>
              <w:widowControl w:val="0"/>
              <w:spacing w:after="40"/>
              <w:jc w:val="center"/>
              <w:rPr>
                <w:rFonts w:cs="Tahoma"/>
                <w:b/>
                <w:bCs/>
                <w:i/>
                <w:iCs/>
              </w:rPr>
            </w:pPr>
            <w:r w:rsidRPr="00CB26FD">
              <w:rPr>
                <w:rFonts w:cs="Tahoma"/>
                <w:b/>
                <w:bCs/>
              </w:rPr>
              <w:t>$ redacted</w:t>
            </w:r>
            <w:r w:rsidRPr="00CB26FD" w:rsidDel="003E440B">
              <w:rPr>
                <w:rFonts w:cs="Tahoma"/>
                <w:b/>
                <w:bCs/>
              </w:rPr>
              <w:t xml:space="preserve"> </w:t>
            </w:r>
          </w:p>
        </w:tc>
        <w:tc>
          <w:tcPr>
            <w:tcW w:w="653" w:type="pct"/>
          </w:tcPr>
          <w:p w14:paraId="4DD4B028" w14:textId="336B2AE7" w:rsidR="003E440B" w:rsidRPr="00CB26FD" w:rsidRDefault="003E440B" w:rsidP="003E440B">
            <w:pPr>
              <w:keepNext/>
              <w:widowControl w:val="0"/>
              <w:spacing w:after="40"/>
              <w:jc w:val="center"/>
              <w:rPr>
                <w:rFonts w:cs="Tahoma"/>
                <w:b/>
                <w:bCs/>
                <w:i/>
                <w:iCs/>
              </w:rPr>
            </w:pPr>
            <w:r w:rsidRPr="00CB26FD">
              <w:rPr>
                <w:rFonts w:cs="Tahoma"/>
                <w:b/>
                <w:bCs/>
              </w:rPr>
              <w:t>$ redacted</w:t>
            </w:r>
            <w:r w:rsidRPr="00CB26FD" w:rsidDel="003E440B">
              <w:rPr>
                <w:rFonts w:cs="Tahoma"/>
                <w:b/>
                <w:bCs/>
              </w:rPr>
              <w:t xml:space="preserve"> </w:t>
            </w:r>
          </w:p>
        </w:tc>
        <w:tc>
          <w:tcPr>
            <w:tcW w:w="653" w:type="pct"/>
          </w:tcPr>
          <w:p w14:paraId="7376D22F" w14:textId="3159A89A" w:rsidR="003E440B" w:rsidRPr="00CB26FD" w:rsidRDefault="003E440B" w:rsidP="003E440B">
            <w:pPr>
              <w:keepNext/>
              <w:widowControl w:val="0"/>
              <w:spacing w:after="40"/>
              <w:jc w:val="center"/>
              <w:rPr>
                <w:rFonts w:cs="Tahoma"/>
                <w:b/>
                <w:bCs/>
                <w:i/>
                <w:iCs/>
              </w:rPr>
            </w:pPr>
            <w:r w:rsidRPr="00CB26FD">
              <w:rPr>
                <w:rFonts w:cs="Tahoma"/>
                <w:b/>
                <w:bCs/>
              </w:rPr>
              <w:t>$ redacted</w:t>
            </w:r>
            <w:r w:rsidRPr="00CB26FD" w:rsidDel="003E440B">
              <w:rPr>
                <w:rFonts w:cs="Tahoma"/>
                <w:b/>
                <w:bCs/>
              </w:rPr>
              <w:t xml:space="preserve"> </w:t>
            </w:r>
          </w:p>
        </w:tc>
        <w:tc>
          <w:tcPr>
            <w:tcW w:w="653" w:type="pct"/>
          </w:tcPr>
          <w:p w14:paraId="306A453E" w14:textId="57A5D6C3" w:rsidR="003E440B" w:rsidRPr="00CB26FD" w:rsidRDefault="003E440B" w:rsidP="003E440B">
            <w:pPr>
              <w:keepNext/>
              <w:widowControl w:val="0"/>
              <w:spacing w:after="40"/>
              <w:jc w:val="center"/>
              <w:rPr>
                <w:rFonts w:cs="Tahoma"/>
                <w:b/>
                <w:bCs/>
                <w:i/>
                <w:iCs/>
              </w:rPr>
            </w:pPr>
            <w:r w:rsidRPr="00CB26FD">
              <w:rPr>
                <w:rFonts w:cs="Tahoma"/>
                <w:b/>
                <w:bCs/>
              </w:rPr>
              <w:t>$ redacted</w:t>
            </w:r>
            <w:r w:rsidRPr="00CB26FD" w:rsidDel="003E440B">
              <w:rPr>
                <w:rFonts w:cs="Tahoma"/>
                <w:b/>
                <w:bCs/>
              </w:rPr>
              <w:t xml:space="preserve"> </w:t>
            </w:r>
          </w:p>
        </w:tc>
        <w:tc>
          <w:tcPr>
            <w:tcW w:w="751" w:type="pct"/>
          </w:tcPr>
          <w:p w14:paraId="77EF3236" w14:textId="25AFADF5" w:rsidR="003E440B" w:rsidRPr="00CB26FD" w:rsidRDefault="003E440B" w:rsidP="003E440B">
            <w:pPr>
              <w:keepNext/>
              <w:widowControl w:val="0"/>
              <w:spacing w:after="40"/>
              <w:jc w:val="center"/>
              <w:rPr>
                <w:rFonts w:cs="Tahoma"/>
                <w:b/>
                <w:bCs/>
                <w:i/>
                <w:iCs/>
              </w:rPr>
            </w:pPr>
            <w:r w:rsidRPr="00CB26FD">
              <w:rPr>
                <w:rFonts w:cs="Tahoma"/>
                <w:b/>
                <w:bCs/>
              </w:rPr>
              <w:t>$ redacted</w:t>
            </w:r>
            <w:r w:rsidRPr="00CB26FD" w:rsidDel="003E440B">
              <w:rPr>
                <w:rFonts w:cs="Tahoma"/>
                <w:b/>
                <w:bCs/>
              </w:rPr>
              <w:t xml:space="preserve"> </w:t>
            </w:r>
          </w:p>
        </w:tc>
      </w:tr>
      <w:tr w:rsidR="00BB6CCC" w:rsidRPr="00BB6CCC" w14:paraId="00C50155" w14:textId="77777777" w:rsidTr="00042672">
        <w:trPr>
          <w:trHeight w:val="70"/>
        </w:trPr>
        <w:tc>
          <w:tcPr>
            <w:tcW w:w="5000" w:type="pct"/>
            <w:gridSpan w:val="7"/>
            <w:vAlign w:val="center"/>
          </w:tcPr>
          <w:p w14:paraId="1D3476F9" w14:textId="77777777" w:rsidR="00BB6CCC" w:rsidRPr="00BB6CCC" w:rsidRDefault="00BB6CCC" w:rsidP="00BB6CCC">
            <w:pPr>
              <w:keepNext/>
              <w:widowControl w:val="0"/>
              <w:spacing w:after="40"/>
              <w:rPr>
                <w:rFonts w:cs="Tahoma"/>
              </w:rPr>
            </w:pPr>
            <w:r w:rsidRPr="00BB6CCC">
              <w:rPr>
                <w:rFonts w:cs="Tahoma"/>
                <w:b/>
              </w:rPr>
              <w:t>Methoxsalen 1 vial per ECP session</w:t>
            </w:r>
          </w:p>
        </w:tc>
      </w:tr>
      <w:tr w:rsidR="00BB6CCC" w:rsidRPr="00BB6CCC" w14:paraId="7EDF5126" w14:textId="77777777" w:rsidTr="003E440B">
        <w:trPr>
          <w:trHeight w:val="300"/>
        </w:trPr>
        <w:tc>
          <w:tcPr>
            <w:tcW w:w="984" w:type="pct"/>
            <w:vAlign w:val="center"/>
          </w:tcPr>
          <w:p w14:paraId="20D0C950" w14:textId="77777777" w:rsidR="00BB6CCC" w:rsidRPr="00BB6CCC" w:rsidRDefault="00BB6CCC" w:rsidP="00BB6CCC">
            <w:pPr>
              <w:keepNext/>
              <w:widowControl w:val="0"/>
              <w:tabs>
                <w:tab w:val="left" w:pos="851"/>
              </w:tabs>
              <w:spacing w:after="40"/>
              <w:rPr>
                <w:rFonts w:cs="Tahoma"/>
              </w:rPr>
            </w:pPr>
            <w:r w:rsidRPr="00BB6CCC">
              <w:rPr>
                <w:rFonts w:cs="Tahoma"/>
              </w:rPr>
              <w:t>Number of scripts</w:t>
            </w:r>
          </w:p>
        </w:tc>
        <w:tc>
          <w:tcPr>
            <w:tcW w:w="653" w:type="pct"/>
            <w:vAlign w:val="center"/>
          </w:tcPr>
          <w:p w14:paraId="04C7B4B8" w14:textId="77777777" w:rsidR="00BB6CCC" w:rsidRPr="00BB6CCC" w:rsidRDefault="00BB6CCC" w:rsidP="00BB6CCC">
            <w:pPr>
              <w:keepNext/>
              <w:widowControl w:val="0"/>
              <w:spacing w:after="40"/>
              <w:jc w:val="center"/>
              <w:rPr>
                <w:rFonts w:cs="Tahoma"/>
              </w:rPr>
            </w:pPr>
            <w:r w:rsidRPr="00BB6CCC">
              <w:rPr>
                <w:rFonts w:cs="Tahoma"/>
              </w:rPr>
              <w:t>5,037</w:t>
            </w:r>
          </w:p>
        </w:tc>
        <w:tc>
          <w:tcPr>
            <w:tcW w:w="653" w:type="pct"/>
            <w:vAlign w:val="center"/>
          </w:tcPr>
          <w:p w14:paraId="7C6CADBA" w14:textId="77777777" w:rsidR="00BB6CCC" w:rsidRPr="00BB6CCC" w:rsidRDefault="00BB6CCC" w:rsidP="00BB6CCC">
            <w:pPr>
              <w:keepNext/>
              <w:widowControl w:val="0"/>
              <w:spacing w:after="40"/>
              <w:jc w:val="center"/>
              <w:rPr>
                <w:rFonts w:cs="Tahoma"/>
              </w:rPr>
            </w:pPr>
            <w:r w:rsidRPr="00BB6CCC">
              <w:rPr>
                <w:rFonts w:cs="Tahoma"/>
              </w:rPr>
              <w:t>7,354</w:t>
            </w:r>
          </w:p>
        </w:tc>
        <w:tc>
          <w:tcPr>
            <w:tcW w:w="653" w:type="pct"/>
            <w:vAlign w:val="center"/>
          </w:tcPr>
          <w:p w14:paraId="7051A793" w14:textId="77777777" w:rsidR="00BB6CCC" w:rsidRPr="00BB6CCC" w:rsidRDefault="00BB6CCC" w:rsidP="00BB6CCC">
            <w:pPr>
              <w:keepNext/>
              <w:widowControl w:val="0"/>
              <w:spacing w:after="40"/>
              <w:jc w:val="center"/>
              <w:rPr>
                <w:rFonts w:cs="Tahoma"/>
              </w:rPr>
            </w:pPr>
            <w:r w:rsidRPr="00BB6CCC">
              <w:rPr>
                <w:rFonts w:cs="Tahoma"/>
              </w:rPr>
              <w:t>8,660</w:t>
            </w:r>
          </w:p>
        </w:tc>
        <w:tc>
          <w:tcPr>
            <w:tcW w:w="653" w:type="pct"/>
            <w:vAlign w:val="center"/>
          </w:tcPr>
          <w:p w14:paraId="0796A353" w14:textId="77777777" w:rsidR="00BB6CCC" w:rsidRPr="00BB6CCC" w:rsidRDefault="00BB6CCC" w:rsidP="00BB6CCC">
            <w:pPr>
              <w:keepNext/>
              <w:widowControl w:val="0"/>
              <w:spacing w:after="40"/>
              <w:jc w:val="center"/>
              <w:rPr>
                <w:rFonts w:cs="Tahoma"/>
              </w:rPr>
            </w:pPr>
            <w:r w:rsidRPr="00BB6CCC">
              <w:rPr>
                <w:rFonts w:cs="Tahoma"/>
              </w:rPr>
              <w:t>8,801</w:t>
            </w:r>
          </w:p>
        </w:tc>
        <w:tc>
          <w:tcPr>
            <w:tcW w:w="653" w:type="pct"/>
            <w:vAlign w:val="center"/>
          </w:tcPr>
          <w:p w14:paraId="39045070" w14:textId="77777777" w:rsidR="00BB6CCC" w:rsidRPr="00BB6CCC" w:rsidRDefault="00BB6CCC" w:rsidP="00BB6CCC">
            <w:pPr>
              <w:keepNext/>
              <w:widowControl w:val="0"/>
              <w:spacing w:after="40"/>
              <w:jc w:val="center"/>
              <w:rPr>
                <w:rFonts w:cs="Tahoma"/>
              </w:rPr>
            </w:pPr>
            <w:r w:rsidRPr="00BB6CCC">
              <w:rPr>
                <w:rFonts w:cs="Tahoma"/>
              </w:rPr>
              <w:t>8,119</w:t>
            </w:r>
          </w:p>
        </w:tc>
        <w:tc>
          <w:tcPr>
            <w:tcW w:w="751" w:type="pct"/>
            <w:vAlign w:val="center"/>
          </w:tcPr>
          <w:p w14:paraId="758EB5BF" w14:textId="77777777" w:rsidR="00BB6CCC" w:rsidRPr="00BB6CCC" w:rsidRDefault="00BB6CCC" w:rsidP="00BB6CCC">
            <w:pPr>
              <w:keepNext/>
              <w:widowControl w:val="0"/>
              <w:spacing w:after="40"/>
              <w:jc w:val="center"/>
              <w:rPr>
                <w:rFonts w:cs="Tahoma"/>
              </w:rPr>
            </w:pPr>
            <w:r w:rsidRPr="00BB6CCC">
              <w:rPr>
                <w:rFonts w:cs="Tahoma"/>
              </w:rPr>
              <w:t>6,157</w:t>
            </w:r>
          </w:p>
        </w:tc>
      </w:tr>
      <w:tr w:rsidR="003E440B" w:rsidRPr="00BB6CCC" w14:paraId="7956DB90" w14:textId="77777777" w:rsidTr="00CB26FD">
        <w:trPr>
          <w:trHeight w:val="300"/>
        </w:trPr>
        <w:tc>
          <w:tcPr>
            <w:tcW w:w="984" w:type="pct"/>
            <w:vAlign w:val="center"/>
          </w:tcPr>
          <w:p w14:paraId="01D52F32" w14:textId="5C99B118" w:rsidR="003E440B" w:rsidRPr="00BB6CCC" w:rsidRDefault="003E440B" w:rsidP="003E440B">
            <w:pPr>
              <w:keepNext/>
              <w:widowControl w:val="0"/>
              <w:spacing w:after="40"/>
              <w:rPr>
                <w:rFonts w:cs="Tahoma"/>
              </w:rPr>
            </w:pPr>
            <w:r w:rsidRPr="00BB6CCC">
              <w:rPr>
                <w:rFonts w:cs="Tahoma"/>
              </w:rPr>
              <w:t xml:space="preserve">Net </w:t>
            </w:r>
            <w:r>
              <w:rPr>
                <w:rFonts w:cs="Tahoma"/>
              </w:rPr>
              <w:t xml:space="preserve">cost </w:t>
            </w:r>
            <w:r w:rsidRPr="00BB6CCC">
              <w:rPr>
                <w:rFonts w:cs="Tahoma"/>
              </w:rPr>
              <w:t xml:space="preserve">PBS </w:t>
            </w:r>
            <w:r>
              <w:rPr>
                <w:rFonts w:cs="Tahoma"/>
              </w:rPr>
              <w:t>and RPBS</w:t>
            </w:r>
          </w:p>
        </w:tc>
        <w:tc>
          <w:tcPr>
            <w:tcW w:w="653" w:type="pct"/>
          </w:tcPr>
          <w:p w14:paraId="6A8050C7" w14:textId="5FB15C94" w:rsidR="003E440B" w:rsidRPr="00CB26FD" w:rsidRDefault="003E440B" w:rsidP="003E440B">
            <w:pPr>
              <w:keepNext/>
              <w:widowControl w:val="0"/>
              <w:spacing w:after="40"/>
              <w:jc w:val="center"/>
              <w:rPr>
                <w:rFonts w:cs="Tahoma"/>
                <w:b/>
                <w:bCs/>
              </w:rPr>
            </w:pPr>
            <w:r w:rsidRPr="00CB26FD">
              <w:rPr>
                <w:rFonts w:cs="Tahoma"/>
                <w:b/>
                <w:bCs/>
              </w:rPr>
              <w:t>$ redacted</w:t>
            </w:r>
            <w:r w:rsidRPr="00CB26FD" w:rsidDel="003E440B">
              <w:rPr>
                <w:rFonts w:cs="Tahoma"/>
                <w:b/>
                <w:bCs/>
              </w:rPr>
              <w:t xml:space="preserve"> </w:t>
            </w:r>
          </w:p>
        </w:tc>
        <w:tc>
          <w:tcPr>
            <w:tcW w:w="653" w:type="pct"/>
          </w:tcPr>
          <w:p w14:paraId="57A7C44D" w14:textId="32398C08" w:rsidR="003E440B" w:rsidRPr="00CB26FD" w:rsidRDefault="003E440B" w:rsidP="003E440B">
            <w:pPr>
              <w:keepNext/>
              <w:widowControl w:val="0"/>
              <w:spacing w:after="40"/>
              <w:jc w:val="center"/>
              <w:rPr>
                <w:rFonts w:cs="Tahoma"/>
                <w:b/>
                <w:bCs/>
              </w:rPr>
            </w:pPr>
            <w:r w:rsidRPr="00CB26FD">
              <w:rPr>
                <w:rFonts w:cs="Tahoma"/>
                <w:b/>
                <w:bCs/>
              </w:rPr>
              <w:t>$ redacted</w:t>
            </w:r>
            <w:r w:rsidRPr="00CB26FD" w:rsidDel="003E440B">
              <w:rPr>
                <w:rFonts w:cs="Tahoma"/>
                <w:b/>
                <w:bCs/>
              </w:rPr>
              <w:t xml:space="preserve"> </w:t>
            </w:r>
          </w:p>
        </w:tc>
        <w:tc>
          <w:tcPr>
            <w:tcW w:w="653" w:type="pct"/>
          </w:tcPr>
          <w:p w14:paraId="5A229EEE" w14:textId="64BDE8D1" w:rsidR="003E440B" w:rsidRPr="00CB26FD" w:rsidRDefault="003E440B" w:rsidP="003E440B">
            <w:pPr>
              <w:keepNext/>
              <w:widowControl w:val="0"/>
              <w:spacing w:after="40"/>
              <w:jc w:val="center"/>
              <w:rPr>
                <w:rFonts w:cs="Tahoma"/>
                <w:b/>
                <w:bCs/>
              </w:rPr>
            </w:pPr>
            <w:r w:rsidRPr="00CB26FD">
              <w:rPr>
                <w:rFonts w:cs="Tahoma"/>
                <w:b/>
                <w:bCs/>
              </w:rPr>
              <w:t>$ redacted</w:t>
            </w:r>
            <w:r w:rsidRPr="00CB26FD" w:rsidDel="003E440B">
              <w:rPr>
                <w:rFonts w:cs="Tahoma"/>
                <w:b/>
                <w:bCs/>
              </w:rPr>
              <w:t xml:space="preserve"> </w:t>
            </w:r>
          </w:p>
        </w:tc>
        <w:tc>
          <w:tcPr>
            <w:tcW w:w="653" w:type="pct"/>
          </w:tcPr>
          <w:p w14:paraId="7D37EBF2" w14:textId="649998ED" w:rsidR="003E440B" w:rsidRPr="00CB26FD" w:rsidRDefault="003E440B" w:rsidP="003E440B">
            <w:pPr>
              <w:keepNext/>
              <w:widowControl w:val="0"/>
              <w:spacing w:after="40"/>
              <w:jc w:val="center"/>
              <w:rPr>
                <w:rFonts w:cs="Tahoma"/>
                <w:b/>
                <w:bCs/>
              </w:rPr>
            </w:pPr>
            <w:r w:rsidRPr="00CB26FD">
              <w:rPr>
                <w:rFonts w:cs="Tahoma"/>
                <w:b/>
                <w:bCs/>
              </w:rPr>
              <w:t>$ redacted</w:t>
            </w:r>
            <w:r w:rsidRPr="00CB26FD" w:rsidDel="003E440B">
              <w:rPr>
                <w:rFonts w:cs="Tahoma"/>
                <w:b/>
                <w:bCs/>
              </w:rPr>
              <w:t xml:space="preserve"> </w:t>
            </w:r>
          </w:p>
        </w:tc>
        <w:tc>
          <w:tcPr>
            <w:tcW w:w="653" w:type="pct"/>
          </w:tcPr>
          <w:p w14:paraId="65639ACC" w14:textId="738CB7BA" w:rsidR="003E440B" w:rsidRPr="00CB26FD" w:rsidRDefault="003E440B" w:rsidP="003E440B">
            <w:pPr>
              <w:keepNext/>
              <w:widowControl w:val="0"/>
              <w:spacing w:after="40"/>
              <w:jc w:val="center"/>
              <w:rPr>
                <w:rFonts w:cs="Tahoma"/>
                <w:b/>
                <w:bCs/>
              </w:rPr>
            </w:pPr>
            <w:r w:rsidRPr="00CB26FD">
              <w:rPr>
                <w:rFonts w:cs="Tahoma"/>
                <w:b/>
                <w:bCs/>
              </w:rPr>
              <w:t>$ redacted</w:t>
            </w:r>
            <w:r w:rsidRPr="00CB26FD" w:rsidDel="003E440B">
              <w:rPr>
                <w:rFonts w:cs="Tahoma"/>
                <w:b/>
                <w:bCs/>
              </w:rPr>
              <w:t xml:space="preserve"> </w:t>
            </w:r>
          </w:p>
        </w:tc>
        <w:tc>
          <w:tcPr>
            <w:tcW w:w="751" w:type="pct"/>
          </w:tcPr>
          <w:p w14:paraId="393675ED" w14:textId="2E050314" w:rsidR="003E440B" w:rsidRPr="00CB26FD" w:rsidRDefault="003E440B" w:rsidP="003E440B">
            <w:pPr>
              <w:keepNext/>
              <w:widowControl w:val="0"/>
              <w:spacing w:after="40"/>
              <w:jc w:val="center"/>
              <w:rPr>
                <w:rFonts w:cs="Tahoma"/>
                <w:b/>
                <w:bCs/>
              </w:rPr>
            </w:pPr>
            <w:r w:rsidRPr="00CB26FD">
              <w:rPr>
                <w:rFonts w:cs="Tahoma"/>
                <w:b/>
                <w:bCs/>
              </w:rPr>
              <w:t>$ redacted</w:t>
            </w:r>
            <w:r w:rsidRPr="00CB26FD" w:rsidDel="003E440B">
              <w:rPr>
                <w:rFonts w:cs="Tahoma"/>
                <w:b/>
                <w:bCs/>
              </w:rPr>
              <w:t xml:space="preserve"> </w:t>
            </w:r>
          </w:p>
        </w:tc>
      </w:tr>
      <w:tr w:rsidR="00430BAB" w:rsidRPr="00BB6CCC" w14:paraId="30D4AA0E" w14:textId="77777777" w:rsidTr="003E440B">
        <w:trPr>
          <w:trHeight w:val="315"/>
        </w:trPr>
        <w:tc>
          <w:tcPr>
            <w:tcW w:w="984" w:type="pct"/>
            <w:tcBorders>
              <w:right w:val="nil"/>
            </w:tcBorders>
            <w:vAlign w:val="center"/>
          </w:tcPr>
          <w:p w14:paraId="3CC3346A" w14:textId="52ADA977" w:rsidR="00430BAB" w:rsidRPr="002D1506" w:rsidRDefault="002D1506" w:rsidP="00AB0F4A">
            <w:pPr>
              <w:keepNext/>
              <w:widowControl w:val="0"/>
              <w:spacing w:after="40"/>
              <w:rPr>
                <w:rFonts w:cs="Tahoma"/>
                <w:b/>
              </w:rPr>
            </w:pPr>
            <w:r>
              <w:rPr>
                <w:rFonts w:cs="Tahoma"/>
                <w:b/>
              </w:rPr>
              <w:t xml:space="preserve">Total </w:t>
            </w:r>
            <w:r w:rsidRPr="002D1506">
              <w:rPr>
                <w:rFonts w:cs="Tahoma"/>
                <w:b/>
              </w:rPr>
              <w:t>n</w:t>
            </w:r>
            <w:r w:rsidR="00430BAB" w:rsidRPr="002D1506">
              <w:rPr>
                <w:rFonts w:cs="Tahoma"/>
                <w:b/>
              </w:rPr>
              <w:t>et costs</w:t>
            </w:r>
          </w:p>
        </w:tc>
        <w:tc>
          <w:tcPr>
            <w:tcW w:w="653" w:type="pct"/>
            <w:tcBorders>
              <w:left w:val="nil"/>
              <w:right w:val="nil"/>
            </w:tcBorders>
            <w:vAlign w:val="center"/>
          </w:tcPr>
          <w:p w14:paraId="27BE9FF9" w14:textId="77777777" w:rsidR="00430BAB" w:rsidRPr="00CB26FD" w:rsidRDefault="00430BAB" w:rsidP="00BB6CCC">
            <w:pPr>
              <w:keepNext/>
              <w:widowControl w:val="0"/>
              <w:spacing w:after="40"/>
              <w:jc w:val="center"/>
              <w:rPr>
                <w:rFonts w:cs="Tahoma"/>
                <w:b/>
                <w:bCs/>
              </w:rPr>
            </w:pPr>
          </w:p>
        </w:tc>
        <w:tc>
          <w:tcPr>
            <w:tcW w:w="653" w:type="pct"/>
            <w:tcBorders>
              <w:left w:val="nil"/>
              <w:right w:val="nil"/>
            </w:tcBorders>
            <w:vAlign w:val="center"/>
          </w:tcPr>
          <w:p w14:paraId="570BE8A6" w14:textId="77777777" w:rsidR="00430BAB" w:rsidRPr="00CB26FD" w:rsidRDefault="00430BAB" w:rsidP="00BB6CCC">
            <w:pPr>
              <w:keepNext/>
              <w:widowControl w:val="0"/>
              <w:spacing w:after="40"/>
              <w:jc w:val="center"/>
              <w:rPr>
                <w:rFonts w:cs="Tahoma"/>
                <w:b/>
                <w:bCs/>
              </w:rPr>
            </w:pPr>
          </w:p>
        </w:tc>
        <w:tc>
          <w:tcPr>
            <w:tcW w:w="653" w:type="pct"/>
            <w:tcBorders>
              <w:left w:val="nil"/>
              <w:right w:val="nil"/>
            </w:tcBorders>
            <w:vAlign w:val="center"/>
          </w:tcPr>
          <w:p w14:paraId="7EE9164C" w14:textId="77777777" w:rsidR="00430BAB" w:rsidRPr="00CB26FD" w:rsidRDefault="00430BAB" w:rsidP="00BB6CCC">
            <w:pPr>
              <w:keepNext/>
              <w:widowControl w:val="0"/>
              <w:spacing w:after="40"/>
              <w:jc w:val="center"/>
              <w:rPr>
                <w:rFonts w:cs="Tahoma"/>
                <w:b/>
                <w:bCs/>
              </w:rPr>
            </w:pPr>
          </w:p>
        </w:tc>
        <w:tc>
          <w:tcPr>
            <w:tcW w:w="653" w:type="pct"/>
            <w:tcBorders>
              <w:left w:val="nil"/>
              <w:right w:val="nil"/>
            </w:tcBorders>
            <w:vAlign w:val="center"/>
          </w:tcPr>
          <w:p w14:paraId="4F095453" w14:textId="77777777" w:rsidR="00430BAB" w:rsidRPr="00CB26FD" w:rsidRDefault="00430BAB" w:rsidP="00BB6CCC">
            <w:pPr>
              <w:keepNext/>
              <w:widowControl w:val="0"/>
              <w:spacing w:after="40"/>
              <w:jc w:val="center"/>
              <w:rPr>
                <w:rFonts w:cs="Tahoma"/>
                <w:b/>
                <w:bCs/>
              </w:rPr>
            </w:pPr>
          </w:p>
        </w:tc>
        <w:tc>
          <w:tcPr>
            <w:tcW w:w="653" w:type="pct"/>
            <w:tcBorders>
              <w:left w:val="nil"/>
              <w:right w:val="nil"/>
            </w:tcBorders>
            <w:vAlign w:val="center"/>
          </w:tcPr>
          <w:p w14:paraId="33F4D197" w14:textId="77777777" w:rsidR="00430BAB" w:rsidRPr="00CB26FD" w:rsidRDefault="00430BAB" w:rsidP="00BB6CCC">
            <w:pPr>
              <w:keepNext/>
              <w:widowControl w:val="0"/>
              <w:spacing w:after="40"/>
              <w:jc w:val="center"/>
              <w:rPr>
                <w:rFonts w:cs="Tahoma"/>
                <w:b/>
                <w:bCs/>
              </w:rPr>
            </w:pPr>
          </w:p>
        </w:tc>
        <w:tc>
          <w:tcPr>
            <w:tcW w:w="751" w:type="pct"/>
            <w:tcBorders>
              <w:left w:val="nil"/>
            </w:tcBorders>
            <w:vAlign w:val="center"/>
          </w:tcPr>
          <w:p w14:paraId="521954BD" w14:textId="77777777" w:rsidR="00430BAB" w:rsidRPr="00CB26FD" w:rsidRDefault="00430BAB" w:rsidP="00BB6CCC">
            <w:pPr>
              <w:keepNext/>
              <w:widowControl w:val="0"/>
              <w:spacing w:after="40"/>
              <w:jc w:val="center"/>
              <w:rPr>
                <w:rFonts w:cs="Tahoma"/>
                <w:b/>
                <w:bCs/>
              </w:rPr>
            </w:pPr>
          </w:p>
        </w:tc>
      </w:tr>
      <w:tr w:rsidR="003E440B" w:rsidRPr="00BB6CCC" w14:paraId="4C8F67DC" w14:textId="77777777" w:rsidTr="00CB26FD">
        <w:trPr>
          <w:trHeight w:val="315"/>
        </w:trPr>
        <w:tc>
          <w:tcPr>
            <w:tcW w:w="984" w:type="pct"/>
            <w:vAlign w:val="center"/>
          </w:tcPr>
          <w:p w14:paraId="3E4542C3" w14:textId="567D8EAA" w:rsidR="003E440B" w:rsidRPr="002D1506" w:rsidRDefault="003E440B" w:rsidP="003E440B">
            <w:pPr>
              <w:keepNext/>
              <w:widowControl w:val="0"/>
              <w:spacing w:after="40"/>
              <w:rPr>
                <w:rFonts w:cs="Tahoma"/>
              </w:rPr>
            </w:pPr>
            <w:r w:rsidRPr="002D1506">
              <w:rPr>
                <w:rFonts w:cs="Tahoma"/>
              </w:rPr>
              <w:t xml:space="preserve">Total </w:t>
            </w:r>
            <w:r>
              <w:rPr>
                <w:rFonts w:cs="Tahoma"/>
              </w:rPr>
              <w:t xml:space="preserve">net </w:t>
            </w:r>
            <w:r w:rsidRPr="002D1506">
              <w:rPr>
                <w:rFonts w:cs="Tahoma"/>
              </w:rPr>
              <w:t>cost</w:t>
            </w:r>
            <w:r>
              <w:rPr>
                <w:rFonts w:cs="Tahoma"/>
              </w:rPr>
              <w:t>s</w:t>
            </w:r>
            <w:r w:rsidRPr="002D1506">
              <w:rPr>
                <w:rFonts w:cs="Tahoma"/>
              </w:rPr>
              <w:t xml:space="preserve"> to MBS, PBS and RPBS (ADAR)</w:t>
            </w:r>
          </w:p>
        </w:tc>
        <w:tc>
          <w:tcPr>
            <w:tcW w:w="653" w:type="pct"/>
          </w:tcPr>
          <w:p w14:paraId="021F0EB5" w14:textId="338C59EB" w:rsidR="003E440B" w:rsidRPr="00CB26FD" w:rsidRDefault="003E440B" w:rsidP="003E440B">
            <w:pPr>
              <w:keepNext/>
              <w:widowControl w:val="0"/>
              <w:spacing w:after="40"/>
              <w:jc w:val="center"/>
              <w:rPr>
                <w:rFonts w:cs="Tahoma"/>
                <w:b/>
                <w:bCs/>
              </w:rPr>
            </w:pPr>
            <w:r w:rsidRPr="00CB26FD">
              <w:rPr>
                <w:rFonts w:cs="Tahoma"/>
                <w:b/>
                <w:bCs/>
              </w:rPr>
              <w:t>$ redacted</w:t>
            </w:r>
            <w:r w:rsidRPr="00CB26FD" w:rsidDel="003E440B">
              <w:rPr>
                <w:rFonts w:cs="Tahoma"/>
                <w:b/>
                <w:bCs/>
              </w:rPr>
              <w:t xml:space="preserve"> </w:t>
            </w:r>
          </w:p>
        </w:tc>
        <w:tc>
          <w:tcPr>
            <w:tcW w:w="653" w:type="pct"/>
          </w:tcPr>
          <w:p w14:paraId="7C83DD63" w14:textId="2A6248D7" w:rsidR="003E440B" w:rsidRPr="00CB26FD" w:rsidRDefault="003E440B" w:rsidP="003E440B">
            <w:pPr>
              <w:keepNext/>
              <w:widowControl w:val="0"/>
              <w:spacing w:after="40"/>
              <w:jc w:val="center"/>
              <w:rPr>
                <w:rFonts w:cs="Tahoma"/>
                <w:b/>
                <w:bCs/>
              </w:rPr>
            </w:pPr>
            <w:r w:rsidRPr="00CB26FD">
              <w:rPr>
                <w:rFonts w:cs="Tahoma"/>
                <w:b/>
                <w:bCs/>
              </w:rPr>
              <w:t>$ redacted</w:t>
            </w:r>
            <w:r w:rsidRPr="00CB26FD" w:rsidDel="003E440B">
              <w:rPr>
                <w:rFonts w:cs="Tahoma"/>
                <w:b/>
                <w:bCs/>
              </w:rPr>
              <w:t xml:space="preserve"> </w:t>
            </w:r>
          </w:p>
        </w:tc>
        <w:tc>
          <w:tcPr>
            <w:tcW w:w="653" w:type="pct"/>
          </w:tcPr>
          <w:p w14:paraId="69D1228A" w14:textId="179129FD" w:rsidR="003E440B" w:rsidRPr="00CB26FD" w:rsidRDefault="003E440B" w:rsidP="003E440B">
            <w:pPr>
              <w:keepNext/>
              <w:widowControl w:val="0"/>
              <w:spacing w:after="40"/>
              <w:jc w:val="center"/>
              <w:rPr>
                <w:rFonts w:cs="Tahoma"/>
                <w:b/>
                <w:bCs/>
              </w:rPr>
            </w:pPr>
            <w:r w:rsidRPr="00CB26FD">
              <w:rPr>
                <w:rFonts w:cs="Tahoma"/>
                <w:b/>
                <w:bCs/>
              </w:rPr>
              <w:t>$ redacted</w:t>
            </w:r>
            <w:r w:rsidRPr="00CB26FD" w:rsidDel="003E440B">
              <w:rPr>
                <w:rFonts w:cs="Tahoma"/>
                <w:b/>
                <w:bCs/>
              </w:rPr>
              <w:t xml:space="preserve"> </w:t>
            </w:r>
          </w:p>
        </w:tc>
        <w:tc>
          <w:tcPr>
            <w:tcW w:w="653" w:type="pct"/>
          </w:tcPr>
          <w:p w14:paraId="1726F78E" w14:textId="37048622" w:rsidR="003E440B" w:rsidRPr="00CB26FD" w:rsidRDefault="003E440B" w:rsidP="003E440B">
            <w:pPr>
              <w:keepNext/>
              <w:widowControl w:val="0"/>
              <w:spacing w:after="40"/>
              <w:jc w:val="center"/>
              <w:rPr>
                <w:rFonts w:cs="Tahoma"/>
                <w:b/>
                <w:bCs/>
              </w:rPr>
            </w:pPr>
            <w:r w:rsidRPr="00CB26FD">
              <w:rPr>
                <w:rFonts w:cs="Tahoma"/>
                <w:b/>
                <w:bCs/>
              </w:rPr>
              <w:t>$ redacted</w:t>
            </w:r>
            <w:r w:rsidRPr="00CB26FD" w:rsidDel="003E440B">
              <w:rPr>
                <w:rFonts w:cs="Tahoma"/>
                <w:b/>
                <w:bCs/>
              </w:rPr>
              <w:t xml:space="preserve"> </w:t>
            </w:r>
          </w:p>
        </w:tc>
        <w:tc>
          <w:tcPr>
            <w:tcW w:w="653" w:type="pct"/>
          </w:tcPr>
          <w:p w14:paraId="4CF3B9E2" w14:textId="439A9B2C" w:rsidR="003E440B" w:rsidRPr="00CB26FD" w:rsidRDefault="003E440B" w:rsidP="003E440B">
            <w:pPr>
              <w:keepNext/>
              <w:widowControl w:val="0"/>
              <w:spacing w:after="40"/>
              <w:jc w:val="center"/>
              <w:rPr>
                <w:rFonts w:cs="Tahoma"/>
                <w:b/>
                <w:bCs/>
              </w:rPr>
            </w:pPr>
            <w:r w:rsidRPr="00CB26FD">
              <w:rPr>
                <w:rFonts w:cs="Tahoma"/>
                <w:b/>
                <w:bCs/>
              </w:rPr>
              <w:t>$ redacted</w:t>
            </w:r>
            <w:r w:rsidRPr="00CB26FD" w:rsidDel="003E440B">
              <w:rPr>
                <w:rFonts w:cs="Tahoma"/>
                <w:b/>
                <w:bCs/>
              </w:rPr>
              <w:t xml:space="preserve"> </w:t>
            </w:r>
          </w:p>
        </w:tc>
        <w:tc>
          <w:tcPr>
            <w:tcW w:w="751" w:type="pct"/>
          </w:tcPr>
          <w:p w14:paraId="3D2EEEE4" w14:textId="2FA1C9AC" w:rsidR="003E440B" w:rsidRPr="00CB26FD" w:rsidRDefault="003E440B" w:rsidP="003E440B">
            <w:pPr>
              <w:keepNext/>
              <w:widowControl w:val="0"/>
              <w:spacing w:after="40"/>
              <w:jc w:val="center"/>
              <w:rPr>
                <w:rFonts w:cs="Tahoma"/>
                <w:b/>
                <w:bCs/>
              </w:rPr>
            </w:pPr>
            <w:r w:rsidRPr="00CB26FD">
              <w:rPr>
                <w:rFonts w:cs="Tahoma"/>
                <w:b/>
                <w:bCs/>
              </w:rPr>
              <w:t>$ redacted</w:t>
            </w:r>
            <w:r w:rsidRPr="00CB26FD" w:rsidDel="003E440B">
              <w:rPr>
                <w:rFonts w:cs="Tahoma"/>
                <w:b/>
                <w:bCs/>
              </w:rPr>
              <w:t xml:space="preserve"> </w:t>
            </w:r>
          </w:p>
        </w:tc>
      </w:tr>
      <w:tr w:rsidR="003E440B" w:rsidRPr="00BB6CCC" w14:paraId="51153123" w14:textId="77777777" w:rsidTr="00CB26FD">
        <w:trPr>
          <w:trHeight w:val="315"/>
        </w:trPr>
        <w:tc>
          <w:tcPr>
            <w:tcW w:w="984" w:type="pct"/>
            <w:vAlign w:val="center"/>
          </w:tcPr>
          <w:p w14:paraId="56F2C891" w14:textId="5D97B77F" w:rsidR="003E440B" w:rsidRPr="002D1506" w:rsidRDefault="003E440B" w:rsidP="003E440B">
            <w:pPr>
              <w:keepNext/>
              <w:widowControl w:val="0"/>
              <w:spacing w:after="40"/>
              <w:rPr>
                <w:rFonts w:cs="Tahoma"/>
                <w:b/>
                <w:i/>
                <w:iCs/>
                <w:vertAlign w:val="superscript"/>
              </w:rPr>
            </w:pPr>
            <w:r w:rsidRPr="00916610">
              <w:rPr>
                <w:rFonts w:cs="Tahoma"/>
                <w:b/>
                <w:i/>
                <w:iCs/>
              </w:rPr>
              <w:t>Total net costs to Government corrected for co-payment, GPG and OMSN</w:t>
            </w:r>
            <w:r>
              <w:rPr>
                <w:rFonts w:cs="Tahoma"/>
                <w:b/>
                <w:i/>
                <w:iCs/>
              </w:rPr>
              <w:t xml:space="preserve"> </w:t>
            </w:r>
            <w:r>
              <w:rPr>
                <w:rFonts w:cs="Tahoma"/>
                <w:b/>
                <w:i/>
                <w:iCs/>
                <w:vertAlign w:val="superscript"/>
              </w:rPr>
              <w:t>a</w:t>
            </w:r>
          </w:p>
        </w:tc>
        <w:tc>
          <w:tcPr>
            <w:tcW w:w="653" w:type="pct"/>
          </w:tcPr>
          <w:p w14:paraId="3B053C84" w14:textId="6CC2A6F8" w:rsidR="003E440B" w:rsidRPr="00CB26FD" w:rsidRDefault="003E440B" w:rsidP="003E440B">
            <w:pPr>
              <w:keepNext/>
              <w:widowControl w:val="0"/>
              <w:spacing w:after="40"/>
              <w:jc w:val="center"/>
              <w:rPr>
                <w:rFonts w:cs="Tahoma"/>
                <w:b/>
                <w:bCs/>
                <w:i/>
                <w:iCs/>
              </w:rPr>
            </w:pPr>
            <w:r w:rsidRPr="00CB26FD">
              <w:rPr>
                <w:rFonts w:cs="Tahoma"/>
                <w:b/>
                <w:bCs/>
              </w:rPr>
              <w:t>$ redacted</w:t>
            </w:r>
            <w:r w:rsidRPr="00CB26FD" w:rsidDel="003E440B">
              <w:rPr>
                <w:rFonts w:cs="Tahoma"/>
                <w:b/>
                <w:bCs/>
              </w:rPr>
              <w:t xml:space="preserve"> </w:t>
            </w:r>
          </w:p>
        </w:tc>
        <w:tc>
          <w:tcPr>
            <w:tcW w:w="653" w:type="pct"/>
          </w:tcPr>
          <w:p w14:paraId="52EF65A0" w14:textId="028C6FFC" w:rsidR="003E440B" w:rsidRPr="00CB26FD" w:rsidRDefault="003E440B" w:rsidP="003E440B">
            <w:pPr>
              <w:keepNext/>
              <w:widowControl w:val="0"/>
              <w:spacing w:after="40"/>
              <w:jc w:val="center"/>
              <w:rPr>
                <w:rFonts w:cs="Tahoma"/>
                <w:b/>
                <w:bCs/>
                <w:i/>
                <w:iCs/>
              </w:rPr>
            </w:pPr>
            <w:r w:rsidRPr="00CB26FD">
              <w:rPr>
                <w:rFonts w:cs="Tahoma"/>
                <w:b/>
                <w:bCs/>
              </w:rPr>
              <w:t>$ redacted</w:t>
            </w:r>
            <w:r w:rsidRPr="00CB26FD" w:rsidDel="003E440B">
              <w:rPr>
                <w:rFonts w:cs="Tahoma"/>
                <w:b/>
                <w:bCs/>
              </w:rPr>
              <w:t xml:space="preserve"> </w:t>
            </w:r>
          </w:p>
        </w:tc>
        <w:tc>
          <w:tcPr>
            <w:tcW w:w="653" w:type="pct"/>
          </w:tcPr>
          <w:p w14:paraId="451A8484" w14:textId="60B0BBA2" w:rsidR="003E440B" w:rsidRPr="00CB26FD" w:rsidRDefault="003E440B" w:rsidP="003E440B">
            <w:pPr>
              <w:keepNext/>
              <w:widowControl w:val="0"/>
              <w:spacing w:after="40"/>
              <w:jc w:val="center"/>
              <w:rPr>
                <w:rFonts w:cs="Tahoma"/>
                <w:b/>
                <w:bCs/>
                <w:i/>
                <w:iCs/>
              </w:rPr>
            </w:pPr>
            <w:r w:rsidRPr="00CB26FD">
              <w:rPr>
                <w:rFonts w:cs="Tahoma"/>
                <w:b/>
                <w:bCs/>
              </w:rPr>
              <w:t>$ redacted</w:t>
            </w:r>
            <w:r w:rsidRPr="00CB26FD" w:rsidDel="003E440B">
              <w:rPr>
                <w:rFonts w:cs="Tahoma"/>
                <w:b/>
                <w:bCs/>
              </w:rPr>
              <w:t xml:space="preserve"> </w:t>
            </w:r>
          </w:p>
        </w:tc>
        <w:tc>
          <w:tcPr>
            <w:tcW w:w="653" w:type="pct"/>
          </w:tcPr>
          <w:p w14:paraId="255A8A2E" w14:textId="771B32AE" w:rsidR="003E440B" w:rsidRPr="00CB26FD" w:rsidRDefault="003E440B" w:rsidP="003E440B">
            <w:pPr>
              <w:keepNext/>
              <w:widowControl w:val="0"/>
              <w:spacing w:after="40"/>
              <w:jc w:val="center"/>
              <w:rPr>
                <w:rFonts w:cs="Tahoma"/>
                <w:b/>
                <w:bCs/>
                <w:i/>
                <w:iCs/>
              </w:rPr>
            </w:pPr>
            <w:r w:rsidRPr="00CB26FD">
              <w:rPr>
                <w:rFonts w:cs="Tahoma"/>
                <w:b/>
                <w:bCs/>
              </w:rPr>
              <w:t>$ redacted</w:t>
            </w:r>
            <w:r w:rsidRPr="00CB26FD" w:rsidDel="003E440B">
              <w:rPr>
                <w:rFonts w:cs="Tahoma"/>
                <w:b/>
                <w:bCs/>
              </w:rPr>
              <w:t xml:space="preserve"> </w:t>
            </w:r>
          </w:p>
        </w:tc>
        <w:tc>
          <w:tcPr>
            <w:tcW w:w="653" w:type="pct"/>
          </w:tcPr>
          <w:p w14:paraId="1D73D277" w14:textId="69744594" w:rsidR="003E440B" w:rsidRPr="00CB26FD" w:rsidRDefault="003E440B" w:rsidP="003E440B">
            <w:pPr>
              <w:keepNext/>
              <w:widowControl w:val="0"/>
              <w:spacing w:after="40"/>
              <w:jc w:val="center"/>
              <w:rPr>
                <w:rFonts w:cs="Tahoma"/>
                <w:b/>
                <w:bCs/>
                <w:i/>
                <w:iCs/>
              </w:rPr>
            </w:pPr>
            <w:r w:rsidRPr="00CB26FD">
              <w:rPr>
                <w:rFonts w:cs="Tahoma"/>
                <w:b/>
                <w:bCs/>
              </w:rPr>
              <w:t>$ redacted</w:t>
            </w:r>
            <w:r w:rsidRPr="00CB26FD" w:rsidDel="003E440B">
              <w:rPr>
                <w:rFonts w:cs="Tahoma"/>
                <w:b/>
                <w:bCs/>
              </w:rPr>
              <w:t xml:space="preserve"> </w:t>
            </w:r>
          </w:p>
        </w:tc>
        <w:tc>
          <w:tcPr>
            <w:tcW w:w="751" w:type="pct"/>
          </w:tcPr>
          <w:p w14:paraId="7F5DEB34" w14:textId="4B811D2F" w:rsidR="003E440B" w:rsidRPr="003E440B" w:rsidRDefault="003E440B" w:rsidP="003E440B">
            <w:pPr>
              <w:keepNext/>
              <w:widowControl w:val="0"/>
              <w:spacing w:after="40"/>
              <w:jc w:val="center"/>
              <w:rPr>
                <w:rFonts w:cs="Tahoma"/>
                <w:b/>
                <w:bCs/>
                <w:i/>
                <w:iCs/>
              </w:rPr>
            </w:pPr>
            <w:r w:rsidRPr="00CB26FD">
              <w:rPr>
                <w:rFonts w:cs="Tahoma"/>
                <w:b/>
                <w:bCs/>
              </w:rPr>
              <w:t>$ redacted</w:t>
            </w:r>
            <w:r w:rsidRPr="00CB26FD" w:rsidDel="003E440B">
              <w:rPr>
                <w:rFonts w:cs="Tahoma"/>
                <w:b/>
                <w:bCs/>
              </w:rPr>
              <w:t xml:space="preserve"> </w:t>
            </w:r>
          </w:p>
        </w:tc>
      </w:tr>
    </w:tbl>
    <w:p w14:paraId="7914B4E5" w14:textId="05A09818" w:rsidR="00430BAB" w:rsidRDefault="00430BAB" w:rsidP="002D1506">
      <w:pPr>
        <w:pStyle w:val="Tablecaption"/>
        <w:rPr>
          <w:i/>
        </w:rPr>
      </w:pPr>
      <w:r>
        <w:t xml:space="preserve">Source: Table 14, pxxvii of the commentary </w:t>
      </w:r>
      <w:r w:rsidRPr="002D1506">
        <w:rPr>
          <w:i/>
        </w:rPr>
        <w:t>and calculated by the Department</w:t>
      </w:r>
    </w:p>
    <w:p w14:paraId="7CF776EE" w14:textId="7FCAE24F" w:rsidR="00430BAB" w:rsidRPr="002D1506" w:rsidRDefault="00430BAB" w:rsidP="002D1506">
      <w:pPr>
        <w:pStyle w:val="Tablecaption"/>
      </w:pPr>
      <w:r>
        <w:rPr>
          <w:iCs/>
          <w:snapToGrid w:val="0"/>
          <w:sz w:val="18"/>
        </w:rPr>
        <w:t xml:space="preserve">cGVHD = chronic graft-versus-host disease; </w:t>
      </w:r>
      <w:r w:rsidRPr="00783676">
        <w:rPr>
          <w:iCs/>
          <w:snapToGrid w:val="0"/>
          <w:sz w:val="18"/>
        </w:rPr>
        <w:t xml:space="preserve">ECP = </w:t>
      </w:r>
      <w:r w:rsidR="000D2B0D" w:rsidRPr="00783676">
        <w:rPr>
          <w:iCs/>
          <w:snapToGrid w:val="0"/>
          <w:sz w:val="18"/>
        </w:rPr>
        <w:t>extracorporeal</w:t>
      </w:r>
      <w:r w:rsidRPr="00783676">
        <w:rPr>
          <w:iCs/>
          <w:snapToGrid w:val="0"/>
          <w:sz w:val="18"/>
        </w:rPr>
        <w:t xml:space="preserve"> photopheresis;</w:t>
      </w:r>
      <w:r>
        <w:rPr>
          <w:iCs/>
          <w:snapToGrid w:val="0"/>
          <w:sz w:val="18"/>
        </w:rPr>
        <w:t xml:space="preserve"> GPG, Greatest Permissible Gap; OMSN, Original Medicare Safety Net</w:t>
      </w:r>
    </w:p>
    <w:p w14:paraId="597A1E04" w14:textId="77777777" w:rsidR="00430BAB" w:rsidRDefault="00BB6CCC" w:rsidP="002D1506">
      <w:pPr>
        <w:pStyle w:val="Tablecaption"/>
      </w:pPr>
      <w:r>
        <w:rPr>
          <w:vertAlign w:val="superscript"/>
        </w:rPr>
        <w:t xml:space="preserve">a </w:t>
      </w:r>
      <w:r w:rsidR="00AB0F4A">
        <w:t xml:space="preserve">Recalculated based on a GPG of </w:t>
      </w:r>
      <w:r w:rsidR="00AB0F4A" w:rsidRPr="00AB0F4A">
        <w:t>$84.70</w:t>
      </w:r>
      <w:r w:rsidR="00AB0F4A">
        <w:t xml:space="preserve"> and patients exceeding the OMSN ($477.90) after 6 ECP services.</w:t>
      </w:r>
    </w:p>
    <w:p w14:paraId="1A19E8CD" w14:textId="34306047" w:rsidR="00BB6CCC" w:rsidRDefault="00BB6CCC" w:rsidP="00B853FB">
      <w:pPr>
        <w:spacing w:before="240"/>
      </w:pPr>
      <w:r>
        <w:t>The Commentary considered that t</w:t>
      </w:r>
      <w:r w:rsidRPr="00BB6CCC">
        <w:t xml:space="preserve">here </w:t>
      </w:r>
      <w:r w:rsidR="002D1506">
        <w:t>wa</w:t>
      </w:r>
      <w:r w:rsidRPr="00BB6CCC">
        <w:t xml:space="preserve">s potential for the net cost/year to the MBS to be greater than estimated in the </w:t>
      </w:r>
      <w:r>
        <w:t xml:space="preserve">ADAR. The </w:t>
      </w:r>
      <w:r w:rsidRPr="00BB6CCC">
        <w:t>ADAR assume</w:t>
      </w:r>
      <w:r>
        <w:t>d</w:t>
      </w:r>
      <w:r w:rsidRPr="00BB6CCC">
        <w:t xml:space="preserve"> a gradual increase in uptake of </w:t>
      </w:r>
      <w:r w:rsidRPr="00BB6CCC">
        <w:lastRenderedPageBreak/>
        <w:t>ECP (20%-60%) over the next 6 years. However, the severity of this condition and unmet demand would more likely result in a swifter uptake (depending on specialist staff and device availability). This w</w:t>
      </w:r>
      <w:r w:rsidR="002D1506">
        <w:t>ould</w:t>
      </w:r>
      <w:r w:rsidRPr="00BB6CCC">
        <w:t xml:space="preserve"> increase the net costs for the MBS.</w:t>
      </w:r>
      <w:r w:rsidR="008C0568">
        <w:t xml:space="preserve"> The pre-ESC response considered that the </w:t>
      </w:r>
      <w:r w:rsidR="008C0568" w:rsidRPr="008C0568">
        <w:t>uptake rate would likely be limited by the number of closed, integrated ECP machines currently in operation in the two hospitals in Australia.</w:t>
      </w:r>
    </w:p>
    <w:p w14:paraId="29FE8732" w14:textId="2E1B2D6B" w:rsidR="00BB6CCC" w:rsidRPr="00BB6CCC" w:rsidRDefault="00BB6CCC" w:rsidP="00B853FB">
      <w:pPr>
        <w:spacing w:before="240"/>
      </w:pPr>
      <w:r>
        <w:t xml:space="preserve">The ADAR did not consider the </w:t>
      </w:r>
      <w:hyperlink r:id="rId20" w:history="1">
        <w:r w:rsidRPr="00916610">
          <w:rPr>
            <w:rStyle w:val="Hyperlink"/>
          </w:rPr>
          <w:t>Greatest Permissible Gap</w:t>
        </w:r>
      </w:hyperlink>
      <w:r>
        <w:t xml:space="preserve"> which would </w:t>
      </w:r>
      <w:r w:rsidR="00AB0F4A">
        <w:t xml:space="preserve">increase the Medicare benefit to </w:t>
      </w:r>
      <w:r w:rsidR="00AB0F4A" w:rsidRPr="00AB0F4A">
        <w:t>$1,823.65</w:t>
      </w:r>
      <w:r w:rsidR="00AB0F4A">
        <w:t xml:space="preserve">. Patients would also be eligible for </w:t>
      </w:r>
      <w:hyperlink r:id="rId21" w:history="1">
        <w:r w:rsidR="00AB0F4A" w:rsidRPr="00916610">
          <w:rPr>
            <w:rStyle w:val="Hyperlink"/>
          </w:rPr>
          <w:t>the Original Medicare Safety Net (OMSN)</w:t>
        </w:r>
      </w:hyperlink>
      <w:r w:rsidR="00AB0F4A">
        <w:t xml:space="preserve"> after six ECP services.</w:t>
      </w:r>
    </w:p>
    <w:p w14:paraId="6C169E40" w14:textId="668DC918" w:rsidR="009E7AB6" w:rsidRDefault="00BB6CCC" w:rsidP="00B853FB">
      <w:pPr>
        <w:spacing w:before="240"/>
      </w:pPr>
      <w:r>
        <w:t>The Commentary highlighted that</w:t>
      </w:r>
      <w:r w:rsidR="002E24D0">
        <w:t>,</w:t>
      </w:r>
      <w:r>
        <w:t xml:space="preserve"> a</w:t>
      </w:r>
      <w:r w:rsidRPr="00BB6CCC">
        <w:t xml:space="preserve">lthough estimating the costs to the PBS as a result of methoxsalen being listed for the requested population, the ADAR </w:t>
      </w:r>
      <w:r w:rsidR="002D1506">
        <w:t xml:space="preserve">did </w:t>
      </w:r>
      <w:r w:rsidRPr="00BB6CCC">
        <w:t>not estimate the potential cost savings as a result of the apparent reduction in the use of other immunosuppressants associated with treatment with ECP.</w:t>
      </w:r>
    </w:p>
    <w:p w14:paraId="57763933" w14:textId="41090969" w:rsidR="009E7AB6" w:rsidRPr="009E7AB6" w:rsidRDefault="009E7AB6" w:rsidP="009E7AB6">
      <w:pPr>
        <w:pStyle w:val="Heading1"/>
        <w:numPr>
          <w:ilvl w:val="0"/>
          <w:numId w:val="13"/>
        </w:numPr>
        <w:spacing w:before="240" w:after="240"/>
        <w:ind w:hanging="720"/>
        <w:rPr>
          <w:rFonts w:ascii="Arial" w:eastAsia="Times New Roman" w:hAnsi="Arial" w:cs="Times New Roman"/>
        </w:rPr>
      </w:pPr>
      <w:r w:rsidRPr="009E7AB6">
        <w:rPr>
          <w:rFonts w:ascii="Arial" w:eastAsia="Times New Roman" w:hAnsi="Arial" w:cs="Times New Roman"/>
        </w:rPr>
        <w:t xml:space="preserve">Key issues from ESC </w:t>
      </w:r>
      <w:r>
        <w:rPr>
          <w:rFonts w:ascii="Arial" w:eastAsia="Times New Roman" w:hAnsi="Arial" w:cs="Times New Roman"/>
        </w:rPr>
        <w:t>for</w:t>
      </w:r>
      <w:r w:rsidRPr="009E7AB6">
        <w:rPr>
          <w:rFonts w:ascii="Arial" w:eastAsia="Times New Roman" w:hAnsi="Arial" w:cs="Times New Roman"/>
        </w:rPr>
        <w:t xml:space="preserve"> MSAC</w:t>
      </w:r>
    </w:p>
    <w:tbl>
      <w:tblPr>
        <w:tblStyle w:val="TableGrid"/>
        <w:tblpPr w:leftFromText="180" w:rightFromText="180" w:vertAnchor="text" w:tblpY="1"/>
        <w:tblOverlap w:val="never"/>
        <w:tblW w:w="0" w:type="auto"/>
        <w:tblLook w:val="04A0" w:firstRow="1" w:lastRow="0" w:firstColumn="1" w:lastColumn="0" w:noHBand="0" w:noVBand="1"/>
        <w:tblCaption w:val="Table of Key issues from ESC for MSAC"/>
      </w:tblPr>
      <w:tblGrid>
        <w:gridCol w:w="2830"/>
        <w:gridCol w:w="6186"/>
      </w:tblGrid>
      <w:tr w:rsidR="009E7AB6" w:rsidRPr="00B33978" w14:paraId="50F43BF8" w14:textId="77777777" w:rsidTr="00C13C95">
        <w:trPr>
          <w:cantSplit/>
          <w:tblHeader/>
        </w:trPr>
        <w:tc>
          <w:tcPr>
            <w:tcW w:w="2830" w:type="dxa"/>
          </w:tcPr>
          <w:p w14:paraId="6D7D4918" w14:textId="77777777" w:rsidR="009E7AB6" w:rsidRPr="00B33978" w:rsidRDefault="009E7AB6" w:rsidP="00CC78F9">
            <w:pPr>
              <w:pStyle w:val="TableHeading"/>
              <w:rPr>
                <w:rFonts w:ascii="Times New Roman" w:hAnsi="Times New Roman" w:cs="Times New Roman"/>
                <w:sz w:val="22"/>
                <w:szCs w:val="22"/>
              </w:rPr>
            </w:pPr>
            <w:r w:rsidRPr="00B33978">
              <w:rPr>
                <w:rFonts w:ascii="Times New Roman" w:hAnsi="Times New Roman" w:cs="Times New Roman"/>
                <w:sz w:val="22"/>
                <w:szCs w:val="22"/>
              </w:rPr>
              <w:t>ESC key issue</w:t>
            </w:r>
          </w:p>
        </w:tc>
        <w:tc>
          <w:tcPr>
            <w:tcW w:w="6186" w:type="dxa"/>
          </w:tcPr>
          <w:p w14:paraId="7A6A0950" w14:textId="77777777" w:rsidR="009E7AB6" w:rsidRPr="00B33978" w:rsidRDefault="009E7AB6" w:rsidP="00CC78F9">
            <w:pPr>
              <w:pStyle w:val="TableHeading"/>
              <w:rPr>
                <w:rFonts w:ascii="Times New Roman" w:hAnsi="Times New Roman" w:cs="Times New Roman"/>
                <w:sz w:val="22"/>
                <w:szCs w:val="22"/>
              </w:rPr>
            </w:pPr>
            <w:r w:rsidRPr="00B33978">
              <w:rPr>
                <w:rFonts w:ascii="Times New Roman" w:hAnsi="Times New Roman" w:cs="Times New Roman"/>
                <w:sz w:val="22"/>
                <w:szCs w:val="22"/>
              </w:rPr>
              <w:t>ESC advice to MSAC</w:t>
            </w:r>
          </w:p>
        </w:tc>
      </w:tr>
      <w:tr w:rsidR="009E7AB6" w:rsidRPr="00B33978" w14:paraId="65FFBFC9" w14:textId="77777777" w:rsidTr="00C13C95">
        <w:trPr>
          <w:cantSplit/>
        </w:trPr>
        <w:tc>
          <w:tcPr>
            <w:tcW w:w="2830" w:type="dxa"/>
          </w:tcPr>
          <w:p w14:paraId="44AD8750" w14:textId="77777777" w:rsidR="009E7AB6" w:rsidRPr="00B33978" w:rsidRDefault="009E7AB6" w:rsidP="00CC78F9">
            <w:pPr>
              <w:pStyle w:val="TableText0"/>
              <w:rPr>
                <w:rFonts w:ascii="Times New Roman" w:hAnsi="Times New Roman"/>
                <w:sz w:val="22"/>
                <w:szCs w:val="22"/>
              </w:rPr>
            </w:pPr>
            <w:r w:rsidRPr="00B33978">
              <w:rPr>
                <w:rFonts w:ascii="Times New Roman" w:hAnsi="Times New Roman"/>
                <w:sz w:val="22"/>
                <w:szCs w:val="22"/>
              </w:rPr>
              <w:t>Item descriptors restrict the service to adults</w:t>
            </w:r>
          </w:p>
        </w:tc>
        <w:tc>
          <w:tcPr>
            <w:tcW w:w="6186" w:type="dxa"/>
          </w:tcPr>
          <w:p w14:paraId="502CE952" w14:textId="77777777" w:rsidR="009E7AB6" w:rsidRPr="00B33978" w:rsidRDefault="009E7AB6" w:rsidP="00CC78F9">
            <w:pPr>
              <w:pStyle w:val="TableText0"/>
              <w:rPr>
                <w:rFonts w:ascii="Times New Roman" w:hAnsi="Times New Roman"/>
                <w:sz w:val="22"/>
                <w:szCs w:val="22"/>
              </w:rPr>
            </w:pPr>
            <w:r>
              <w:rPr>
                <w:rFonts w:ascii="Times New Roman" w:hAnsi="Times New Roman"/>
                <w:sz w:val="22"/>
                <w:szCs w:val="22"/>
              </w:rPr>
              <w:t>ECP</w:t>
            </w:r>
            <w:r w:rsidRPr="00B33978">
              <w:rPr>
                <w:rFonts w:ascii="Times New Roman" w:hAnsi="Times New Roman"/>
                <w:sz w:val="22"/>
                <w:szCs w:val="22"/>
              </w:rPr>
              <w:t xml:space="preserve"> is currently used in children in Australia. </w:t>
            </w:r>
            <w:r>
              <w:rPr>
                <w:rFonts w:ascii="Times New Roman" w:hAnsi="Times New Roman"/>
                <w:sz w:val="22"/>
                <w:szCs w:val="22"/>
              </w:rPr>
              <w:t xml:space="preserve">ESC noted that there is a high clinical need for effective therapies to manage chronic graft-versus-host disease (cGVHD) in children. </w:t>
            </w:r>
            <w:r w:rsidRPr="00B33978">
              <w:rPr>
                <w:rFonts w:ascii="Times New Roman" w:hAnsi="Times New Roman"/>
                <w:sz w:val="22"/>
                <w:szCs w:val="22"/>
              </w:rPr>
              <w:t>PASC advised that age should not be specified. Additional data would support use in paediatric populations, including another literature search and inclusion of paediatric data from registry reports.</w:t>
            </w:r>
          </w:p>
        </w:tc>
      </w:tr>
      <w:tr w:rsidR="009E7AB6" w:rsidRPr="00B33978" w14:paraId="0C6FF6D2" w14:textId="77777777" w:rsidTr="00C13C95">
        <w:trPr>
          <w:cantSplit/>
        </w:trPr>
        <w:tc>
          <w:tcPr>
            <w:tcW w:w="2830" w:type="dxa"/>
          </w:tcPr>
          <w:p w14:paraId="1F6D696C" w14:textId="77777777" w:rsidR="009E7AB6" w:rsidRPr="00B33978" w:rsidRDefault="009E7AB6" w:rsidP="00CC78F9">
            <w:pPr>
              <w:pStyle w:val="TableText0"/>
              <w:rPr>
                <w:rFonts w:ascii="Times New Roman" w:hAnsi="Times New Roman"/>
                <w:sz w:val="22"/>
                <w:szCs w:val="22"/>
              </w:rPr>
            </w:pPr>
            <w:r w:rsidRPr="00B33978">
              <w:rPr>
                <w:rFonts w:ascii="Times New Roman" w:hAnsi="Times New Roman"/>
                <w:sz w:val="22"/>
                <w:szCs w:val="22"/>
              </w:rPr>
              <w:t>Unsatisfactory literature search and paucity of high-quality evidence</w:t>
            </w:r>
          </w:p>
        </w:tc>
        <w:tc>
          <w:tcPr>
            <w:tcW w:w="6186" w:type="dxa"/>
          </w:tcPr>
          <w:p w14:paraId="43722130" w14:textId="77777777" w:rsidR="009E7AB6" w:rsidRPr="00B33978" w:rsidRDefault="009E7AB6" w:rsidP="00CC78F9">
            <w:pPr>
              <w:pStyle w:val="TableText0"/>
              <w:rPr>
                <w:rFonts w:ascii="Times New Roman" w:hAnsi="Times New Roman"/>
                <w:sz w:val="22"/>
                <w:szCs w:val="22"/>
              </w:rPr>
            </w:pPr>
            <w:r w:rsidRPr="00B33978">
              <w:rPr>
                <w:rFonts w:ascii="Times New Roman" w:hAnsi="Times New Roman"/>
                <w:sz w:val="22"/>
                <w:szCs w:val="22"/>
              </w:rPr>
              <w:t>The literature search was inadequate. Several recent and relevant studies were not included</w:t>
            </w:r>
            <w:r>
              <w:rPr>
                <w:rFonts w:ascii="Times New Roman" w:hAnsi="Times New Roman"/>
                <w:sz w:val="22"/>
                <w:szCs w:val="22"/>
              </w:rPr>
              <w:t xml:space="preserve"> including studies in children.</w:t>
            </w:r>
            <w:r w:rsidRPr="00B33978">
              <w:rPr>
                <w:rFonts w:ascii="Times New Roman" w:hAnsi="Times New Roman"/>
                <w:sz w:val="22"/>
                <w:szCs w:val="22"/>
              </w:rPr>
              <w:t xml:space="preserve"> </w:t>
            </w:r>
            <w:r>
              <w:rPr>
                <w:rFonts w:ascii="Times New Roman" w:hAnsi="Times New Roman"/>
                <w:sz w:val="22"/>
                <w:szCs w:val="22"/>
              </w:rPr>
              <w:t>The</w:t>
            </w:r>
            <w:r w:rsidRPr="00B33978">
              <w:rPr>
                <w:rFonts w:ascii="Times New Roman" w:hAnsi="Times New Roman"/>
                <w:sz w:val="22"/>
                <w:szCs w:val="22"/>
              </w:rPr>
              <w:t xml:space="preserve"> steroid-sparing effect of ECP was not adequately captured. This result</w:t>
            </w:r>
            <w:r>
              <w:rPr>
                <w:rFonts w:ascii="Times New Roman" w:hAnsi="Times New Roman"/>
                <w:sz w:val="22"/>
                <w:szCs w:val="22"/>
              </w:rPr>
              <w:t>ed</w:t>
            </w:r>
            <w:r w:rsidRPr="00B33978">
              <w:rPr>
                <w:rFonts w:ascii="Times New Roman" w:hAnsi="Times New Roman"/>
                <w:sz w:val="22"/>
                <w:szCs w:val="22"/>
              </w:rPr>
              <w:t xml:space="preserve"> in uncertainties throughout the application. MSAC may want to consider requesting the applicant to conduct another literature search.</w:t>
            </w:r>
          </w:p>
        </w:tc>
      </w:tr>
      <w:tr w:rsidR="009E7AB6" w:rsidRPr="00B33978" w14:paraId="40E4DDBE" w14:textId="77777777" w:rsidTr="00C13C95">
        <w:trPr>
          <w:cantSplit/>
        </w:trPr>
        <w:tc>
          <w:tcPr>
            <w:tcW w:w="2830" w:type="dxa"/>
          </w:tcPr>
          <w:p w14:paraId="3E5C9B99" w14:textId="77777777" w:rsidR="009E7AB6" w:rsidRPr="00B33978" w:rsidRDefault="009E7AB6" w:rsidP="00CC78F9">
            <w:pPr>
              <w:pStyle w:val="TableText0"/>
              <w:rPr>
                <w:rFonts w:ascii="Times New Roman" w:hAnsi="Times New Roman"/>
                <w:sz w:val="22"/>
                <w:szCs w:val="22"/>
              </w:rPr>
            </w:pPr>
            <w:r w:rsidRPr="00B33978">
              <w:rPr>
                <w:rFonts w:ascii="Times New Roman" w:hAnsi="Times New Roman"/>
                <w:sz w:val="22"/>
                <w:szCs w:val="22"/>
              </w:rPr>
              <w:t>Uncertain safety and effectiveness</w:t>
            </w:r>
          </w:p>
        </w:tc>
        <w:tc>
          <w:tcPr>
            <w:tcW w:w="6186" w:type="dxa"/>
          </w:tcPr>
          <w:p w14:paraId="01CA1719" w14:textId="77777777" w:rsidR="009E7AB6" w:rsidRPr="00B33978" w:rsidRDefault="009E7AB6" w:rsidP="00CC78F9">
            <w:pPr>
              <w:pStyle w:val="TableText0"/>
              <w:rPr>
                <w:rFonts w:ascii="Times New Roman" w:hAnsi="Times New Roman"/>
                <w:sz w:val="22"/>
                <w:szCs w:val="22"/>
              </w:rPr>
            </w:pPr>
            <w:r w:rsidRPr="00B33978">
              <w:rPr>
                <w:rFonts w:ascii="Times New Roman" w:hAnsi="Times New Roman"/>
                <w:sz w:val="22"/>
                <w:szCs w:val="22"/>
              </w:rPr>
              <w:t>ESC considered that the claim of non-inferior safety and superior effectiveness were uncertain due to small patient numbers</w:t>
            </w:r>
            <w:r>
              <w:rPr>
                <w:rFonts w:ascii="Times New Roman" w:hAnsi="Times New Roman"/>
                <w:sz w:val="22"/>
                <w:szCs w:val="22"/>
              </w:rPr>
              <w:t xml:space="preserve">, </w:t>
            </w:r>
            <w:r w:rsidRPr="00B33978">
              <w:rPr>
                <w:rFonts w:ascii="Times New Roman" w:hAnsi="Times New Roman"/>
                <w:sz w:val="22"/>
                <w:szCs w:val="22"/>
              </w:rPr>
              <w:t>short timeframes</w:t>
            </w:r>
            <w:r>
              <w:rPr>
                <w:rFonts w:ascii="Times New Roman" w:hAnsi="Times New Roman"/>
                <w:sz w:val="22"/>
                <w:szCs w:val="22"/>
              </w:rPr>
              <w:t>, lack of long-term outcomes</w:t>
            </w:r>
            <w:r w:rsidRPr="00B33978">
              <w:rPr>
                <w:rFonts w:ascii="Times New Roman" w:hAnsi="Times New Roman"/>
                <w:sz w:val="22"/>
                <w:szCs w:val="22"/>
              </w:rPr>
              <w:t xml:space="preserve"> and high risk of bias in included studies.</w:t>
            </w:r>
          </w:p>
        </w:tc>
      </w:tr>
      <w:tr w:rsidR="009E7AB6" w:rsidRPr="00B33978" w14:paraId="47F01B7D" w14:textId="77777777" w:rsidTr="00C13C95">
        <w:trPr>
          <w:cantSplit/>
        </w:trPr>
        <w:tc>
          <w:tcPr>
            <w:tcW w:w="2830" w:type="dxa"/>
          </w:tcPr>
          <w:p w14:paraId="271B9CB1" w14:textId="77777777" w:rsidR="009E7AB6" w:rsidRPr="00B33978" w:rsidRDefault="009E7AB6" w:rsidP="00CC78F9">
            <w:pPr>
              <w:pStyle w:val="TableText0"/>
              <w:rPr>
                <w:sz w:val="22"/>
                <w:szCs w:val="22"/>
              </w:rPr>
            </w:pPr>
            <w:r>
              <w:rPr>
                <w:rFonts w:ascii="Times New Roman" w:hAnsi="Times New Roman"/>
                <w:sz w:val="22"/>
                <w:szCs w:val="22"/>
              </w:rPr>
              <w:t>Response rate in the economic model</w:t>
            </w:r>
          </w:p>
        </w:tc>
        <w:tc>
          <w:tcPr>
            <w:tcW w:w="6186" w:type="dxa"/>
          </w:tcPr>
          <w:p w14:paraId="6956F489" w14:textId="77777777" w:rsidR="009E7AB6" w:rsidRPr="00B33978" w:rsidRDefault="009E7AB6" w:rsidP="00CC78F9">
            <w:pPr>
              <w:pStyle w:val="TableText0"/>
              <w:rPr>
                <w:sz w:val="22"/>
                <w:szCs w:val="22"/>
              </w:rPr>
            </w:pPr>
            <w:r>
              <w:rPr>
                <w:rFonts w:ascii="Times New Roman" w:hAnsi="Times New Roman"/>
                <w:sz w:val="22"/>
                <w:szCs w:val="22"/>
              </w:rPr>
              <w:t>The</w:t>
            </w:r>
            <w:r w:rsidRPr="00B33978">
              <w:rPr>
                <w:rFonts w:ascii="Times New Roman" w:hAnsi="Times New Roman"/>
                <w:sz w:val="22"/>
                <w:szCs w:val="22"/>
              </w:rPr>
              <w:t xml:space="preserve"> </w:t>
            </w:r>
            <w:r>
              <w:rPr>
                <w:rFonts w:ascii="Times New Roman" w:hAnsi="Times New Roman"/>
                <w:sz w:val="22"/>
                <w:szCs w:val="22"/>
              </w:rPr>
              <w:t xml:space="preserve">incremental </w:t>
            </w:r>
            <w:r w:rsidRPr="00B33978">
              <w:rPr>
                <w:rFonts w:ascii="Times New Roman" w:hAnsi="Times New Roman"/>
                <w:sz w:val="22"/>
                <w:szCs w:val="22"/>
              </w:rPr>
              <w:t>response rate</w:t>
            </w:r>
            <w:r>
              <w:rPr>
                <w:rFonts w:ascii="Times New Roman" w:hAnsi="Times New Roman"/>
                <w:sz w:val="22"/>
                <w:szCs w:val="22"/>
              </w:rPr>
              <w:t xml:space="preserve"> used in the economic model (60%) was higher than that from the key trial (30%)</w:t>
            </w:r>
            <w:r w:rsidRPr="00B33978">
              <w:rPr>
                <w:rFonts w:ascii="Times New Roman" w:hAnsi="Times New Roman"/>
                <w:sz w:val="22"/>
                <w:szCs w:val="22"/>
              </w:rPr>
              <w:t>.</w:t>
            </w:r>
            <w:r>
              <w:rPr>
                <w:rFonts w:ascii="Times New Roman" w:hAnsi="Times New Roman"/>
                <w:sz w:val="22"/>
                <w:szCs w:val="22"/>
              </w:rPr>
              <w:t xml:space="preserve"> The pre-ESC response argued the response rate without ECP was based on global response as reported in Australia studies. The incremental cost</w:t>
            </w:r>
            <w:r>
              <w:rPr>
                <w:rFonts w:ascii="Times New Roman" w:hAnsi="Times New Roman"/>
                <w:sz w:val="22"/>
                <w:szCs w:val="22"/>
              </w:rPr>
              <w:noBreakHyphen/>
              <w:t xml:space="preserve">effectiveness ratio was sensitive to response rate, increasing from </w:t>
            </w:r>
            <w:r w:rsidRPr="0076139D">
              <w:rPr>
                <w:rFonts w:ascii="Times New Roman" w:hAnsi="Times New Roman"/>
                <w:sz w:val="22"/>
                <w:szCs w:val="22"/>
              </w:rPr>
              <w:t>$48,754</w:t>
            </w:r>
            <w:r>
              <w:rPr>
                <w:rFonts w:ascii="Times New Roman" w:hAnsi="Times New Roman"/>
                <w:sz w:val="22"/>
                <w:szCs w:val="22"/>
              </w:rPr>
              <w:t xml:space="preserve"> per quality-adjusted life year (QALY) in the revised base case to </w:t>
            </w:r>
            <w:r w:rsidRPr="0076139D">
              <w:rPr>
                <w:rFonts w:ascii="Times New Roman" w:hAnsi="Times New Roman"/>
                <w:sz w:val="22"/>
                <w:szCs w:val="22"/>
              </w:rPr>
              <w:t>$147,306</w:t>
            </w:r>
            <w:r>
              <w:rPr>
                <w:rFonts w:ascii="Times New Roman" w:hAnsi="Times New Roman"/>
                <w:sz w:val="22"/>
                <w:szCs w:val="22"/>
              </w:rPr>
              <w:t xml:space="preserve"> per QALY.</w:t>
            </w:r>
          </w:p>
        </w:tc>
      </w:tr>
      <w:tr w:rsidR="009E7AB6" w:rsidRPr="00B33978" w14:paraId="74DEB2DA" w14:textId="77777777" w:rsidTr="00C13C95">
        <w:trPr>
          <w:cantSplit/>
        </w:trPr>
        <w:tc>
          <w:tcPr>
            <w:tcW w:w="2830" w:type="dxa"/>
          </w:tcPr>
          <w:p w14:paraId="615B5D94" w14:textId="77777777" w:rsidR="009E7AB6" w:rsidRPr="00B33978" w:rsidRDefault="009E7AB6" w:rsidP="00CC78F9">
            <w:pPr>
              <w:pStyle w:val="TableText0"/>
              <w:rPr>
                <w:rFonts w:ascii="Times New Roman" w:hAnsi="Times New Roman"/>
                <w:sz w:val="22"/>
                <w:szCs w:val="22"/>
              </w:rPr>
            </w:pPr>
            <w:r w:rsidRPr="00B33978">
              <w:rPr>
                <w:rFonts w:ascii="Times New Roman" w:hAnsi="Times New Roman"/>
                <w:sz w:val="22"/>
                <w:szCs w:val="22"/>
              </w:rPr>
              <w:t xml:space="preserve">Issues with </w:t>
            </w:r>
            <w:r>
              <w:rPr>
                <w:rFonts w:ascii="Times New Roman" w:hAnsi="Times New Roman"/>
                <w:sz w:val="22"/>
                <w:szCs w:val="22"/>
              </w:rPr>
              <w:t xml:space="preserve">the time horizon, </w:t>
            </w:r>
            <w:r w:rsidRPr="00B33978">
              <w:rPr>
                <w:rFonts w:ascii="Times New Roman" w:hAnsi="Times New Roman"/>
                <w:sz w:val="22"/>
                <w:szCs w:val="22"/>
              </w:rPr>
              <w:t>structure and inputs of economic model</w:t>
            </w:r>
          </w:p>
        </w:tc>
        <w:tc>
          <w:tcPr>
            <w:tcW w:w="6186" w:type="dxa"/>
          </w:tcPr>
          <w:p w14:paraId="0921E86F" w14:textId="77777777" w:rsidR="009E7AB6" w:rsidRPr="00B33978" w:rsidRDefault="009E7AB6" w:rsidP="00CC78F9">
            <w:pPr>
              <w:pStyle w:val="TableText0"/>
              <w:rPr>
                <w:rFonts w:ascii="Times New Roman" w:hAnsi="Times New Roman"/>
                <w:sz w:val="22"/>
                <w:szCs w:val="22"/>
              </w:rPr>
            </w:pPr>
            <w:r>
              <w:rPr>
                <w:rFonts w:ascii="Times New Roman" w:hAnsi="Times New Roman"/>
                <w:sz w:val="22"/>
                <w:szCs w:val="22"/>
              </w:rPr>
              <w:t xml:space="preserve">ESC considered the 10-year time horizon was too long due to the short-term clinical data and considered the 5-year time horizon in the published model may be more appropriate. This is important because the response rates at the end of the initial 12-week cycle of the model were assumed to remain unchanged despite including the use and cost offsets of reduced expensive third-line treatments. </w:t>
            </w:r>
            <w:r w:rsidRPr="00B33978">
              <w:rPr>
                <w:rFonts w:ascii="Times New Roman" w:hAnsi="Times New Roman"/>
                <w:sz w:val="22"/>
                <w:szCs w:val="22"/>
              </w:rPr>
              <w:t xml:space="preserve">ESC considered that </w:t>
            </w:r>
            <w:r>
              <w:rPr>
                <w:rFonts w:ascii="Times New Roman" w:hAnsi="Times New Roman"/>
                <w:sz w:val="22"/>
                <w:szCs w:val="22"/>
              </w:rPr>
              <w:t xml:space="preserve">this </w:t>
            </w:r>
            <w:r w:rsidRPr="00B33978">
              <w:rPr>
                <w:rFonts w:ascii="Times New Roman" w:hAnsi="Times New Roman"/>
                <w:sz w:val="22"/>
                <w:szCs w:val="22"/>
              </w:rPr>
              <w:t>favoured the intervention</w:t>
            </w:r>
            <w:r>
              <w:rPr>
                <w:rFonts w:ascii="Times New Roman" w:hAnsi="Times New Roman"/>
                <w:sz w:val="22"/>
                <w:szCs w:val="22"/>
              </w:rPr>
              <w:t xml:space="preserve"> by overestimating both the survival and quality of life gains. </w:t>
            </w:r>
            <w:r w:rsidRPr="00B33978">
              <w:rPr>
                <w:rFonts w:ascii="Times New Roman" w:hAnsi="Times New Roman"/>
                <w:sz w:val="22"/>
                <w:szCs w:val="22"/>
              </w:rPr>
              <w:t xml:space="preserve">MSAC may </w:t>
            </w:r>
            <w:r>
              <w:rPr>
                <w:rFonts w:ascii="Times New Roman" w:hAnsi="Times New Roman"/>
                <w:sz w:val="22"/>
                <w:szCs w:val="22"/>
              </w:rPr>
              <w:t xml:space="preserve">therefore </w:t>
            </w:r>
            <w:r w:rsidRPr="00B33978">
              <w:rPr>
                <w:rFonts w:ascii="Times New Roman" w:hAnsi="Times New Roman"/>
                <w:sz w:val="22"/>
                <w:szCs w:val="22"/>
              </w:rPr>
              <w:t>consider using the respecified base case with</w:t>
            </w:r>
            <w:r>
              <w:rPr>
                <w:rFonts w:ascii="Times New Roman" w:hAnsi="Times New Roman"/>
                <w:sz w:val="22"/>
                <w:szCs w:val="22"/>
              </w:rPr>
              <w:t xml:space="preserve"> the </w:t>
            </w:r>
            <w:r>
              <w:rPr>
                <w:rFonts w:ascii="Times New Roman" w:hAnsi="Times New Roman"/>
                <w:sz w:val="22"/>
                <w:szCs w:val="22"/>
              </w:rPr>
              <w:lastRenderedPageBreak/>
              <w:t xml:space="preserve">response rates from the key trial, </w:t>
            </w:r>
            <w:r w:rsidRPr="00B33978">
              <w:rPr>
                <w:rFonts w:ascii="Times New Roman" w:hAnsi="Times New Roman"/>
                <w:sz w:val="22"/>
                <w:szCs w:val="22"/>
              </w:rPr>
              <w:t>rituximab costs removed and a 5</w:t>
            </w:r>
            <w:r>
              <w:rPr>
                <w:rFonts w:ascii="Times New Roman" w:hAnsi="Times New Roman"/>
                <w:sz w:val="22"/>
                <w:szCs w:val="22"/>
              </w:rPr>
              <w:noBreakHyphen/>
            </w:r>
            <w:r w:rsidRPr="00B33978">
              <w:rPr>
                <w:rFonts w:ascii="Times New Roman" w:hAnsi="Times New Roman"/>
                <w:sz w:val="22"/>
                <w:szCs w:val="22"/>
              </w:rPr>
              <w:t>year time horizon.</w:t>
            </w:r>
          </w:p>
        </w:tc>
      </w:tr>
      <w:tr w:rsidR="009E7AB6" w:rsidRPr="00B33978" w14:paraId="548C6173" w14:textId="77777777" w:rsidTr="00C13C95">
        <w:trPr>
          <w:cantSplit/>
        </w:trPr>
        <w:tc>
          <w:tcPr>
            <w:tcW w:w="2830" w:type="dxa"/>
          </w:tcPr>
          <w:p w14:paraId="1E804ECE" w14:textId="77777777" w:rsidR="009E7AB6" w:rsidRPr="00B33978" w:rsidRDefault="009E7AB6" w:rsidP="00CC78F9">
            <w:pPr>
              <w:pStyle w:val="TableText0"/>
              <w:rPr>
                <w:rFonts w:ascii="Times New Roman" w:hAnsi="Times New Roman"/>
                <w:sz w:val="22"/>
                <w:szCs w:val="22"/>
              </w:rPr>
            </w:pPr>
            <w:r>
              <w:rPr>
                <w:rFonts w:ascii="Times New Roman" w:hAnsi="Times New Roman"/>
                <w:sz w:val="22"/>
                <w:szCs w:val="22"/>
              </w:rPr>
              <w:lastRenderedPageBreak/>
              <w:t xml:space="preserve">Another source of possible </w:t>
            </w:r>
            <w:r w:rsidRPr="00B33978">
              <w:rPr>
                <w:rFonts w:ascii="Times New Roman" w:hAnsi="Times New Roman"/>
                <w:sz w:val="22"/>
                <w:szCs w:val="22"/>
              </w:rPr>
              <w:t>underestimat</w:t>
            </w:r>
            <w:r>
              <w:rPr>
                <w:rFonts w:ascii="Times New Roman" w:hAnsi="Times New Roman"/>
                <w:sz w:val="22"/>
                <w:szCs w:val="22"/>
              </w:rPr>
              <w:t>ion of the ICER</w:t>
            </w:r>
          </w:p>
        </w:tc>
        <w:tc>
          <w:tcPr>
            <w:tcW w:w="6186" w:type="dxa"/>
          </w:tcPr>
          <w:p w14:paraId="3B5C072F" w14:textId="77777777" w:rsidR="009E7AB6" w:rsidRPr="00B33978" w:rsidRDefault="009E7AB6" w:rsidP="00CC78F9">
            <w:pPr>
              <w:pStyle w:val="TableText0"/>
              <w:rPr>
                <w:rFonts w:ascii="Times New Roman" w:hAnsi="Times New Roman"/>
                <w:sz w:val="22"/>
                <w:szCs w:val="22"/>
              </w:rPr>
            </w:pPr>
            <w:r>
              <w:rPr>
                <w:rFonts w:ascii="Times New Roman" w:hAnsi="Times New Roman"/>
                <w:sz w:val="22"/>
                <w:szCs w:val="22"/>
              </w:rPr>
              <w:t xml:space="preserve">The acceptability of the value of </w:t>
            </w:r>
            <w:r w:rsidRPr="00B33978">
              <w:rPr>
                <w:rFonts w:ascii="Times New Roman" w:hAnsi="Times New Roman"/>
                <w:sz w:val="22"/>
                <w:szCs w:val="22"/>
              </w:rPr>
              <w:t xml:space="preserve">the </w:t>
            </w:r>
            <w:r>
              <w:rPr>
                <w:rFonts w:ascii="Times New Roman" w:hAnsi="Times New Roman"/>
                <w:sz w:val="22"/>
                <w:szCs w:val="22"/>
              </w:rPr>
              <w:t xml:space="preserve">reduced </w:t>
            </w:r>
            <w:r w:rsidRPr="00B33978">
              <w:rPr>
                <w:rFonts w:ascii="Times New Roman" w:hAnsi="Times New Roman"/>
                <w:sz w:val="22"/>
                <w:szCs w:val="22"/>
              </w:rPr>
              <w:t xml:space="preserve">use of </w:t>
            </w:r>
            <w:r w:rsidRPr="00D44CE4">
              <w:rPr>
                <w:rFonts w:ascii="Times New Roman" w:hAnsi="Times New Roman"/>
                <w:sz w:val="22"/>
                <w:szCs w:val="22"/>
              </w:rPr>
              <w:t>intravenous immunoglobulin (IVIg)</w:t>
            </w:r>
            <w:r>
              <w:rPr>
                <w:rFonts w:ascii="Times New Roman" w:hAnsi="Times New Roman"/>
                <w:sz w:val="22"/>
                <w:szCs w:val="22"/>
              </w:rPr>
              <w:t xml:space="preserve"> as a source of cost offsets is unclear</w:t>
            </w:r>
            <w:r w:rsidRPr="00B33978">
              <w:rPr>
                <w:rFonts w:ascii="Times New Roman" w:hAnsi="Times New Roman"/>
                <w:sz w:val="22"/>
                <w:szCs w:val="22"/>
              </w:rPr>
              <w:t>.</w:t>
            </w:r>
          </w:p>
        </w:tc>
      </w:tr>
      <w:tr w:rsidR="009E7AB6" w:rsidRPr="00B33978" w14:paraId="6DAFC409" w14:textId="77777777" w:rsidTr="00C13C95">
        <w:trPr>
          <w:cantSplit/>
        </w:trPr>
        <w:tc>
          <w:tcPr>
            <w:tcW w:w="2830" w:type="dxa"/>
          </w:tcPr>
          <w:p w14:paraId="28836EA4" w14:textId="77777777" w:rsidR="009E7AB6" w:rsidRPr="00B33978" w:rsidRDefault="009E7AB6" w:rsidP="00CC78F9">
            <w:pPr>
              <w:pStyle w:val="TableText0"/>
              <w:rPr>
                <w:rFonts w:ascii="Times New Roman" w:hAnsi="Times New Roman"/>
                <w:sz w:val="22"/>
                <w:szCs w:val="22"/>
              </w:rPr>
            </w:pPr>
            <w:r w:rsidRPr="00B33978">
              <w:rPr>
                <w:rFonts w:ascii="Times New Roman" w:hAnsi="Times New Roman"/>
                <w:sz w:val="22"/>
                <w:szCs w:val="22"/>
              </w:rPr>
              <w:t>Uncertain uptake and financial implications</w:t>
            </w:r>
          </w:p>
        </w:tc>
        <w:tc>
          <w:tcPr>
            <w:tcW w:w="6186" w:type="dxa"/>
          </w:tcPr>
          <w:p w14:paraId="553858B4" w14:textId="77777777" w:rsidR="009E7AB6" w:rsidRPr="00B33978" w:rsidRDefault="009E7AB6" w:rsidP="00CC78F9">
            <w:pPr>
              <w:pStyle w:val="TableText0"/>
              <w:rPr>
                <w:rFonts w:ascii="Times New Roman" w:hAnsi="Times New Roman"/>
                <w:sz w:val="22"/>
                <w:szCs w:val="22"/>
              </w:rPr>
            </w:pPr>
            <w:r w:rsidRPr="00B33978">
              <w:rPr>
                <w:rFonts w:ascii="Times New Roman" w:hAnsi="Times New Roman"/>
                <w:sz w:val="22"/>
                <w:szCs w:val="22"/>
              </w:rPr>
              <w:t xml:space="preserve">The </w:t>
            </w:r>
            <w:r>
              <w:rPr>
                <w:rFonts w:ascii="Times New Roman" w:hAnsi="Times New Roman"/>
                <w:sz w:val="22"/>
                <w:szCs w:val="22"/>
              </w:rPr>
              <w:t xml:space="preserve">financial analysis also did </w:t>
            </w:r>
            <w:r w:rsidRPr="00B33978">
              <w:rPr>
                <w:rFonts w:ascii="Times New Roman" w:hAnsi="Times New Roman"/>
                <w:sz w:val="22"/>
                <w:szCs w:val="22"/>
              </w:rPr>
              <w:t xml:space="preserve">not account for potential </w:t>
            </w:r>
            <w:r>
              <w:rPr>
                <w:rFonts w:ascii="Times New Roman" w:hAnsi="Times New Roman"/>
                <w:sz w:val="22"/>
                <w:szCs w:val="22"/>
              </w:rPr>
              <w:t xml:space="preserve">financial </w:t>
            </w:r>
            <w:r w:rsidRPr="00B33978">
              <w:rPr>
                <w:rFonts w:ascii="Times New Roman" w:hAnsi="Times New Roman"/>
                <w:sz w:val="22"/>
                <w:szCs w:val="22"/>
              </w:rPr>
              <w:t xml:space="preserve">cost </w:t>
            </w:r>
            <w:r>
              <w:rPr>
                <w:rFonts w:ascii="Times New Roman" w:hAnsi="Times New Roman"/>
                <w:sz w:val="22"/>
                <w:szCs w:val="22"/>
              </w:rPr>
              <w:t>offsets</w:t>
            </w:r>
            <w:r w:rsidRPr="00B33978">
              <w:rPr>
                <w:rFonts w:ascii="Times New Roman" w:hAnsi="Times New Roman"/>
                <w:sz w:val="22"/>
                <w:szCs w:val="22"/>
              </w:rPr>
              <w:t xml:space="preserve"> of reduced immunosuppressants</w:t>
            </w:r>
            <w:r>
              <w:rPr>
                <w:rFonts w:ascii="Times New Roman" w:hAnsi="Times New Roman"/>
                <w:sz w:val="22"/>
                <w:szCs w:val="22"/>
              </w:rPr>
              <w:t xml:space="preserve"> which would accrue beyond the MBS</w:t>
            </w:r>
            <w:r w:rsidRPr="00B33978">
              <w:rPr>
                <w:rFonts w:ascii="Times New Roman" w:hAnsi="Times New Roman"/>
                <w:sz w:val="22"/>
                <w:szCs w:val="22"/>
              </w:rPr>
              <w:t>.</w:t>
            </w:r>
          </w:p>
        </w:tc>
      </w:tr>
    </w:tbl>
    <w:p w14:paraId="2B82F7D9" w14:textId="77777777" w:rsidR="009E7AB6" w:rsidRPr="00B33978" w:rsidRDefault="009E7AB6" w:rsidP="00B853FB">
      <w:pPr>
        <w:tabs>
          <w:tab w:val="left" w:pos="2265"/>
          <w:tab w:val="left" w:pos="3420"/>
          <w:tab w:val="left" w:pos="4320"/>
        </w:tabs>
        <w:spacing w:before="240" w:after="120"/>
        <w:rPr>
          <w:b/>
        </w:rPr>
      </w:pPr>
      <w:r w:rsidRPr="00B33978">
        <w:rPr>
          <w:b/>
        </w:rPr>
        <w:t>ESC discussion</w:t>
      </w:r>
    </w:p>
    <w:p w14:paraId="5A6AF807" w14:textId="77777777" w:rsidR="009E7AB6" w:rsidRDefault="009E7AB6" w:rsidP="009E7AB6">
      <w:r>
        <w:t>ESC noted the purpose of the application to request a new Medicare Benefits Schedule (MBS) listing of an integrated extracorporeal photopheresis (ECP) system, to be used in combination with the drug methoxsalen, to treat patients with chronic graft-versus-host disease (cGVHD) after haematopoietic stem cell transplant who are steroid dependent, intolerant or refractory. This was a codependent submission, with the Pharmaceutical Benefits Advisory Committee (PBAC) consideration to follow MSAC. The technology and drug combination are currently listed on the MBS/Pharmaceutical Benefits Scheme (PBS) for the treatment of end-stage cutaneous T- cell lymphoma.</w:t>
      </w:r>
    </w:p>
    <w:p w14:paraId="7FB3F802" w14:textId="77777777" w:rsidR="009E7AB6" w:rsidRDefault="009E7AB6" w:rsidP="00B853FB">
      <w:pPr>
        <w:spacing w:before="240"/>
      </w:pPr>
      <w:r>
        <w:t>ESC noted that a treatment session of ECP takes approximately three hours and requires specialised nursing care.</w:t>
      </w:r>
    </w:p>
    <w:p w14:paraId="147EBB85" w14:textId="77777777" w:rsidR="009E7AB6" w:rsidRDefault="009E7AB6" w:rsidP="00B853FB">
      <w:pPr>
        <w:spacing w:before="240"/>
      </w:pPr>
      <w:r>
        <w:t xml:space="preserve">ESC noted the proposed MBS item descriptors for initial and continuing treatment, which restrict the population to adults only, despite advice from PASC that age should not be specified. The proposed technology is currently used in children in Australia, and Australian paediatric clinicians support the use of ECP in children. ESC noted that approximately 20% of allogenic </w:t>
      </w:r>
      <w:r w:rsidRPr="00EB3F44">
        <w:t>haematopoietic stem cell transplant</w:t>
      </w:r>
      <w:r>
        <w:t xml:space="preserve"> recipients are aged less than 16 years.</w:t>
      </w:r>
      <w:r>
        <w:rPr>
          <w:rStyle w:val="FootnoteReference"/>
        </w:rPr>
        <w:footnoteReference w:id="5"/>
      </w:r>
      <w:r>
        <w:t xml:space="preserve"> ESC further noted that the requested adult age restriction was based on the Therapeutic Goods Administration– (TGA) approved indication, but PASC had advised the removal of “in adults” from the item descriptor for MSAC consideration. ESC considered that additional data would support use in paediatric populations, including another search of the literature to include paediatric studies that were previously excluded. </w:t>
      </w:r>
      <w:r w:rsidRPr="006B009D">
        <w:t>ESC noted that the</w:t>
      </w:r>
      <w:r>
        <w:t xml:space="preserve"> ADAR included data from the </w:t>
      </w:r>
      <w:r w:rsidRPr="006B009D">
        <w:t xml:space="preserve">Victorian Comprehensive Cancer Centre (VCCC) </w:t>
      </w:r>
      <w:r>
        <w:t xml:space="preserve">for a </w:t>
      </w:r>
      <w:r w:rsidRPr="006B009D">
        <w:t xml:space="preserve">small number of children who received ECP until 2018. </w:t>
      </w:r>
      <w:r>
        <w:t>Paediatric data reported in the systematic review and meta</w:t>
      </w:r>
      <w:r>
        <w:noBreakHyphen/>
        <w:t>analysis by Malik (2014)</w:t>
      </w:r>
      <w:r>
        <w:rPr>
          <w:rStyle w:val="FootnoteReference"/>
        </w:rPr>
        <w:footnoteReference w:id="6"/>
      </w:r>
      <w:r>
        <w:t xml:space="preserve"> and the study by Flinn (2020) were extracted for inclusion in the ESC Report. If MSAC was to consider retaining the restriction to adults, ESC advised that the population in the Flowers (2008) trial would support a MBS subsidy limited to patients 13 years and older.</w:t>
      </w:r>
    </w:p>
    <w:p w14:paraId="1073623F" w14:textId="0A5EA0AB" w:rsidR="009E7AB6" w:rsidRDefault="009E7AB6" w:rsidP="00B853FB">
      <w:pPr>
        <w:spacing w:before="240" w:after="240"/>
      </w:pPr>
      <w:r>
        <w:t>ESC advised that it may be reasonable to limit co-claiming with the specialist MBS item for supervision as this is already included in the proposed fee. ESC confirmed that this would be a Category A procedure, and that both initial and continuing treatment items are required. ESC also agreed with the Department to include “applicable once per treatment cycle” in the item descriptor to align with the existing MBS listing for lymphoma. ESC also noted and supported the Department’s suggested clarifications to the proposed item descriptors</w:t>
      </w:r>
      <w:r w:rsidR="00B853FB">
        <w:t>.</w:t>
      </w:r>
    </w:p>
    <w:p w14:paraId="358CD5BE" w14:textId="77777777" w:rsidR="009E7AB6" w:rsidRDefault="009E7AB6" w:rsidP="009E7AB6">
      <w:r>
        <w:lastRenderedPageBreak/>
        <w:t>ESC noted a potential equity issue in that ECP plus methoxsalen is currently only available in two metropolitan centres. The applicant claimed that MBS listing would increase equity, but did not provide supporting information. ESC noted that MBS listing may provide an incentive for highly specialised centres to offer ECP, however it was unclear whether this would be sufficient to widen the provision of ECP.</w:t>
      </w:r>
    </w:p>
    <w:p w14:paraId="0814BAC9" w14:textId="77777777" w:rsidR="009E7AB6" w:rsidRDefault="009E7AB6" w:rsidP="00B853FB">
      <w:pPr>
        <w:spacing w:before="240"/>
      </w:pPr>
      <w:r>
        <w:t>ESC accepted the comparator (standard of care) and clinical management algorithms in the application, but queried the appropriate standard of care for steroid-intolerant patients.</w:t>
      </w:r>
    </w:p>
    <w:p w14:paraId="3EFC7E9F" w14:textId="77777777" w:rsidR="009E7AB6" w:rsidRDefault="009E7AB6" w:rsidP="00B853FB">
      <w:pPr>
        <w:spacing w:before="240"/>
      </w:pPr>
      <w:r>
        <w:t>ESC noted that for people with cGVHD, improvements in mobility from a reduction in skin tightness can be meaningful and provide greater autonomy and dignity. ESC noted that cGVHD can cause significant disability and disfigurement.</w:t>
      </w:r>
    </w:p>
    <w:p w14:paraId="4824AFB9" w14:textId="77777777" w:rsidR="009E7AB6" w:rsidRDefault="009E7AB6" w:rsidP="00B853FB">
      <w:pPr>
        <w:spacing w:before="240"/>
      </w:pPr>
      <w:r>
        <w:t xml:space="preserve">ESC noted the Commentary’s assessment that the literature search was unsatisfactory. Several apparently relevant studies (including three systematic reviews) were not included, likely because the search and inclusion criteria were overly restrictive. ESC considered all included studies had a high risk of bias, and many had small patient numbers and short timeframes. Studies included one randomised controlled trial (Flowers (2008), a multicentre trial including Australia), Australian registry reports and several prospective observational studies. ESC considered that the included studies were relevant to the proposed listing, but that the literature search was inadequate and results in uncertainties throughout the rest of the application. </w:t>
      </w:r>
    </w:p>
    <w:p w14:paraId="4726087C" w14:textId="77777777" w:rsidR="009E7AB6" w:rsidRDefault="009E7AB6" w:rsidP="00B853FB">
      <w:pPr>
        <w:spacing w:before="240"/>
      </w:pPr>
      <w:r>
        <w:t>ESC noted the claim of non-inferior safety of ECP plus methoxsalen compared with standard of care. The Flowers (2008) study had fewer deaths and similar adverse events to the control arm (except for anaemia being more frequent in the treatment arm), and other studies showed no deaths and a low rate of discontinuation. However, ESC considered that the small patient numbers in the studies and the high risk of bias make this claim uncertain. ESC considered that the evidence presented in the ADAR did not capture the adverse events from long</w:t>
      </w:r>
      <w:r>
        <w:noBreakHyphen/>
        <w:t>term high dose corticosteroid use or from other immunosuppressants.</w:t>
      </w:r>
    </w:p>
    <w:p w14:paraId="06846D3B" w14:textId="77777777" w:rsidR="009E7AB6" w:rsidRDefault="009E7AB6" w:rsidP="00B853FB">
      <w:pPr>
        <w:spacing w:before="240"/>
      </w:pPr>
      <w:r>
        <w:t xml:space="preserve">ESC noted the clinical claim of superior effectiveness of ECP plus methoxsalen compared with standard of care. ESC noted that no data were provided for important outcomes such as survival, </w:t>
      </w:r>
      <w:r w:rsidRPr="002E21FC">
        <w:t xml:space="preserve">National Institutes of Health </w:t>
      </w:r>
      <w:r>
        <w:t>(NIH) score and time-to-event information (e.g. failure-free survival). The key positive results were skin and ocular responses, and reduction in steroid use. The Flowers (2008) study defined its primary endpoint as the median percentage change in total skin score (TTS) after 12 weeks, but found no significant difference between the treatment and control arms. However, in terms of its secondary outcomes, Flowers (2008) reported statistically significant skin response rates and reduction in corticosteroid dose with ECP. ESC considered that interpreting the statistical significance of secondary outcomes was problematic when the primary outcome did not demonstrate superiority. ESC considered that the included studies consistently reported reductions in steroid requirements and increases in quality of life. Overall, ESC considered there was substantial uncertainty regarding the claim for superior effectiveness, given the small patient numbers and high risk of bias in the presented clinical studies.</w:t>
      </w:r>
    </w:p>
    <w:p w14:paraId="58F47EB2" w14:textId="77777777" w:rsidR="009E7AB6" w:rsidRDefault="009E7AB6" w:rsidP="00B853FB">
      <w:pPr>
        <w:spacing w:before="240"/>
      </w:pPr>
      <w:r>
        <w:t xml:space="preserve">ESC noted the stepped economic evaluation, which was presented as a cost per responder over 12 weeks, then a cost-utility analysis over 10 years (base case). ESC considered that the 10-year time horizon was too long as it was based on 12 weeks of clinical data and suggested that 5 years may be more appropriate. ESC noted that this would be more consistent with </w:t>
      </w:r>
      <w:r>
        <w:lastRenderedPageBreak/>
        <w:t>published models by Crespo (2012)</w:t>
      </w:r>
      <w:r>
        <w:rPr>
          <w:rStyle w:val="FootnoteReference"/>
        </w:rPr>
        <w:footnoteReference w:id="7"/>
      </w:r>
      <w:r>
        <w:t xml:space="preserve"> and de Waure (2015)</w:t>
      </w:r>
      <w:r>
        <w:rPr>
          <w:rStyle w:val="FootnoteReference"/>
        </w:rPr>
        <w:footnoteReference w:id="8"/>
      </w:r>
      <w:r>
        <w:t xml:space="preserve"> that used 5-year and 7-year time horizons, respectively. ESC noted the ADAR did not model the three populations (steroid dependent/refractory/intolerant) separately, and the focus was on steroid-refractory patients. ESC considered that the effect of this on the analysis was uncertain. The model structure did not account for steroid-dependent patients who may already be responding to treatment and thus may not necessarily experience an improvement from ECP treatment.</w:t>
      </w:r>
    </w:p>
    <w:p w14:paraId="33E6654F" w14:textId="77777777" w:rsidR="009E7AB6" w:rsidRDefault="009E7AB6" w:rsidP="00B853FB">
      <w:pPr>
        <w:spacing w:before="240"/>
      </w:pPr>
      <w:r>
        <w:t>ESC noted several issues with the model inputs. Response rate is a key input to the model, and the ADAR selected the most favourable input for ECP response at 12 weeks, assuming an 80.2% response rate (average of the global complete and partial clinical response from Australian registry data). However, the Flowers (2008) study showed a response rate of 40% in the ECP arm, and 10% in the standard of care arm based on skin response alone. The ADAR estimated the response rate in the standard of care arm at 20.3% by applying a relative risk of 3.95 based on complete and partial cutaneous response rates for ECP and standard of care at 12 weeks from the Flowers (2008) study. ESC considered that these estimates substantially favoured ECP in the ADAR. The pre-ESC response provided some justification for this, highlighting that 80.2% reflects a global response reflecting criteria used in Australian practice and that the 40% only reflects skin response rather than global response. ESC considered the appropriate response rate may be as low as 40%, reflecting skin response only, and up to 80.2% from Australian registry data.</w:t>
      </w:r>
    </w:p>
    <w:p w14:paraId="4F064FF2" w14:textId="77777777" w:rsidR="009E7AB6" w:rsidRDefault="009E7AB6" w:rsidP="00B853FB">
      <w:pPr>
        <w:spacing w:before="240"/>
      </w:pPr>
      <w:r>
        <w:t>ESC noted an issue with the model structure, in which the response at the end of the first cycle governs the response for the rest of the model. ESC considered that this was not reasonable. Patients who respond to the current line of therapy may later relapse and patients who do not respond may respond to later-line therapies. ESC considered options for correction could include restructuring the model, or using a 40% response rate (from the Flowers (2008) study) and reducing the time horizon to 5 years to adjust for this indirectly. This indirect adjustment had been done in the Commentary, resulting in an ICER of $147,306 per QALY gained.</w:t>
      </w:r>
    </w:p>
    <w:p w14:paraId="6AEF9549" w14:textId="77777777" w:rsidR="009E7AB6" w:rsidRDefault="009E7AB6" w:rsidP="00B853FB">
      <w:pPr>
        <w:spacing w:before="240"/>
      </w:pPr>
      <w:r>
        <w:t>ESC considered that the mortality probabilities were substantially overestimated in the standard of care arm. The model included the costs (but not the health outcomes) of rituximab as a third</w:t>
      </w:r>
      <w:r>
        <w:noBreakHyphen/>
        <w:t>line therapy and intravenous immunoglobulin (IVIg) use in the “progressed” health state, and excluded the cost of immunosuppressants in second-line therapy in the ECP arm, which contradicted the clinical management algorithm and the PICO. ESC noted the clinical advice provided in the pre-ESC response that it is “quite common” for patients to</w:t>
      </w:r>
      <w:r w:rsidRPr="00144C42">
        <w:t xml:space="preserve"> develop hypogammaglobulinaemia and therefore require </w:t>
      </w:r>
      <w:r>
        <w:t xml:space="preserve">IVIg and </w:t>
      </w:r>
      <w:r w:rsidRPr="00144C42">
        <w:t>qualify for</w:t>
      </w:r>
      <w:r>
        <w:t xml:space="preserve"> its funded availability through the national blood arrangements. ESC suggested that a basis needed to be found to estimate the extent of reduction in the use of IVIg as a result of using ECP. ESC also noted that MSAC’s judgement of the cost-effectiveness of this use of IVIg would be influenced by the concurrent IVIg review.</w:t>
      </w:r>
      <w:r w:rsidRPr="0076139D">
        <w:t xml:space="preserve"> </w:t>
      </w:r>
      <w:r>
        <w:t xml:space="preserve">At its November 2019 meeting, MSAC advised that immunoglobulin (Ig) is not a cost-effective therapy to manage infections in all patients who have acquired hypogammaglobulinaemia secondary to haematological malignancies or post-haemopoietic stem cell transplantation at the current price (p1, </w:t>
      </w:r>
      <w:hyperlink r:id="rId22" w:history="1">
        <w:r w:rsidRPr="00142109">
          <w:rPr>
            <w:rStyle w:val="Hyperlink"/>
          </w:rPr>
          <w:t>Public Summary Document [PSD] Application 1565</w:t>
        </w:r>
      </w:hyperlink>
      <w:r>
        <w:t>). ESC considered that the reduction the use of IVIg should be explored in sensitivity analyses of the economic evaluation.</w:t>
      </w:r>
    </w:p>
    <w:p w14:paraId="7E19EBAE" w14:textId="150C7013" w:rsidR="009E7AB6" w:rsidRDefault="009E7AB6" w:rsidP="009E7AB6">
      <w:r>
        <w:lastRenderedPageBreak/>
        <w:t xml:space="preserve">ESC considered that the ICER in the base case was likely to be substantially underestimated. Model results were most sensitive to changes to ECP response at 12 weeks (changing the ICER from dominant to $24,651 per QALY gained using the response rates directly from the Flowers study), excluding rituximab as third-line therapy consistent with the PICO </w:t>
      </w:r>
      <w:r w:rsidR="0034138C">
        <w:t>C</w:t>
      </w:r>
      <w:r>
        <w:t>onfirmation (ICER of $10,632 per QALY gained) and removing IVIg from the costs ($20,588 per QALY gained). The Commentary used a respecified base case, where costs of rituximab were removed and the time horizon was reduced to 5 years, resulting in an ICER of $48,754. Changing the response rate to ECP to 40% at 12 weeks results in an ICER of $147,306 per QALY gained; however, the Commentary noted that this may not capture the benefits of reduction of steroids or improvement in extracutaneous GVHD.</w:t>
      </w:r>
    </w:p>
    <w:p w14:paraId="3FC53526" w14:textId="77777777" w:rsidR="009E7AB6" w:rsidRDefault="009E7AB6" w:rsidP="00B853FB">
      <w:pPr>
        <w:tabs>
          <w:tab w:val="left" w:pos="2265"/>
          <w:tab w:val="left" w:pos="3420"/>
          <w:tab w:val="left" w:pos="4320"/>
        </w:tabs>
        <w:spacing w:before="240"/>
      </w:pPr>
      <w:r>
        <w:t>ESC noted that the ADAR assumed a gradual increase in uptake of ECP over the next 6 years in its financial analyses, but noted the Commentary’s assessment that this was highly uncertain. The Commentary also noted that not all potential cost offsets to all government health budgets had been captured in the financial estimates. ESC noted the revised financial estimates from the Department to account for an 85% benefit for the proposed fee, the Greatest Permissible Gap, and the fact that patients will qualify for the Original Medicare Safety Net after six treatment sessions. ESC considered these revised estimates would be more reflective of the true financial implications of the proposed MBS listing, but noted that the financial cost offsets from the claimed reduction in immunosuppressants and IVIg use were not included.</w:t>
      </w:r>
    </w:p>
    <w:p w14:paraId="08F6BBAF" w14:textId="77777777" w:rsidR="009E7AB6" w:rsidRPr="009E7AB6" w:rsidRDefault="009E7AB6" w:rsidP="009E7AB6">
      <w:pPr>
        <w:pStyle w:val="Heading1"/>
        <w:numPr>
          <w:ilvl w:val="0"/>
          <w:numId w:val="13"/>
        </w:numPr>
        <w:spacing w:before="240" w:after="240"/>
        <w:ind w:hanging="720"/>
        <w:rPr>
          <w:rFonts w:ascii="Arial" w:eastAsia="Times New Roman" w:hAnsi="Arial" w:cs="Times New Roman"/>
        </w:rPr>
      </w:pPr>
      <w:r w:rsidRPr="009E7AB6">
        <w:rPr>
          <w:rFonts w:ascii="Arial" w:eastAsia="Times New Roman" w:hAnsi="Arial" w:cs="Times New Roman"/>
        </w:rPr>
        <w:t>Other significant factors</w:t>
      </w:r>
    </w:p>
    <w:p w14:paraId="7C8AEC3B" w14:textId="087F657C" w:rsidR="009E7AB6" w:rsidRPr="009E7AB6" w:rsidRDefault="009E7AB6" w:rsidP="009E7AB6">
      <w:pPr>
        <w:spacing w:after="240"/>
        <w:rPr>
          <w:iCs/>
          <w:szCs w:val="24"/>
        </w:rPr>
      </w:pPr>
      <w:r w:rsidRPr="009E7AB6">
        <w:rPr>
          <w:iCs/>
          <w:szCs w:val="24"/>
        </w:rPr>
        <w:t>Nil</w:t>
      </w:r>
      <w:r w:rsidR="00C13C95">
        <w:rPr>
          <w:iCs/>
          <w:szCs w:val="24"/>
        </w:rPr>
        <w:t>.</w:t>
      </w:r>
    </w:p>
    <w:p w14:paraId="78959475" w14:textId="77777777" w:rsidR="009E7AB6" w:rsidRPr="009E7AB6" w:rsidRDefault="009E7AB6" w:rsidP="009E7AB6">
      <w:pPr>
        <w:pStyle w:val="Heading1"/>
        <w:numPr>
          <w:ilvl w:val="0"/>
          <w:numId w:val="13"/>
        </w:numPr>
        <w:spacing w:before="240" w:after="240"/>
        <w:ind w:hanging="720"/>
        <w:rPr>
          <w:rFonts w:ascii="Arial" w:eastAsia="Times New Roman" w:hAnsi="Arial" w:cs="Times New Roman"/>
        </w:rPr>
      </w:pPr>
      <w:r w:rsidRPr="009E7AB6">
        <w:rPr>
          <w:rFonts w:ascii="Arial" w:eastAsia="Times New Roman" w:hAnsi="Arial" w:cs="Times New Roman"/>
        </w:rPr>
        <w:t>Applicant comments on MSAC’s Public Summary Document</w:t>
      </w:r>
    </w:p>
    <w:p w14:paraId="5E14F868" w14:textId="3D8F7D1E" w:rsidR="006709F0" w:rsidRPr="00CB26FD" w:rsidRDefault="006709F0" w:rsidP="009E7AB6">
      <w:pPr>
        <w:spacing w:after="240"/>
        <w:rPr>
          <w:szCs w:val="24"/>
        </w:rPr>
      </w:pPr>
      <w:r w:rsidRPr="00CB26FD">
        <w:rPr>
          <w:szCs w:val="24"/>
        </w:rPr>
        <w:t xml:space="preserve">Mallinckrodt </w:t>
      </w:r>
      <w:r w:rsidR="00D06334" w:rsidRPr="00CB26FD">
        <w:rPr>
          <w:szCs w:val="24"/>
        </w:rPr>
        <w:t>p</w:t>
      </w:r>
      <w:r w:rsidRPr="00CB26FD">
        <w:rPr>
          <w:szCs w:val="24"/>
        </w:rPr>
        <w:t>harmaceuticals and T</w:t>
      </w:r>
      <w:r w:rsidR="00D06334" w:rsidRPr="00CB26FD">
        <w:rPr>
          <w:szCs w:val="24"/>
        </w:rPr>
        <w:t xml:space="preserve">erumo </w:t>
      </w:r>
      <w:r w:rsidRPr="00CB26FD">
        <w:rPr>
          <w:szCs w:val="24"/>
        </w:rPr>
        <w:t>BCT welcome the positive recommendation that will benefit patients with cGVHD is Australia</w:t>
      </w:r>
      <w:r w:rsidR="00D33420" w:rsidRPr="00CB26FD">
        <w:rPr>
          <w:szCs w:val="24"/>
        </w:rPr>
        <w:t>.</w:t>
      </w:r>
    </w:p>
    <w:p w14:paraId="03EE1B79" w14:textId="77777777" w:rsidR="009E7AB6" w:rsidRPr="009E7AB6" w:rsidRDefault="009E7AB6" w:rsidP="009E7AB6">
      <w:pPr>
        <w:pStyle w:val="Heading1"/>
        <w:numPr>
          <w:ilvl w:val="0"/>
          <w:numId w:val="13"/>
        </w:numPr>
        <w:spacing w:before="240" w:after="240"/>
        <w:ind w:hanging="720"/>
        <w:rPr>
          <w:rFonts w:ascii="Arial" w:eastAsia="Times New Roman" w:hAnsi="Arial" w:cs="Times New Roman"/>
        </w:rPr>
      </w:pPr>
      <w:r w:rsidRPr="009E7AB6">
        <w:rPr>
          <w:rFonts w:ascii="Arial" w:eastAsia="Times New Roman" w:hAnsi="Arial" w:cs="Times New Roman"/>
        </w:rPr>
        <w:t>Further information on MSAC</w:t>
      </w:r>
    </w:p>
    <w:p w14:paraId="3A653385" w14:textId="144B642E" w:rsidR="009E7AB6" w:rsidRPr="009E7AB6" w:rsidRDefault="009E7AB6" w:rsidP="009E7AB6">
      <w:pPr>
        <w:spacing w:after="240"/>
        <w:rPr>
          <w:szCs w:val="24"/>
        </w:rPr>
      </w:pPr>
      <w:r w:rsidRPr="00F715D1">
        <w:rPr>
          <w:szCs w:val="24"/>
        </w:rPr>
        <w:t xml:space="preserve">MSAC Terms of Reference and other information are available on the MSAC Website: </w:t>
      </w:r>
      <w:r>
        <w:rPr>
          <w:szCs w:val="24"/>
        </w:rPr>
        <w:br/>
      </w:r>
      <w:hyperlink r:id="rId23" w:tooltip="Link to Medical Services Advisory Committee website" w:history="1">
        <w:r w:rsidRPr="00F715D1">
          <w:rPr>
            <w:rStyle w:val="Hyperlink"/>
            <w:szCs w:val="24"/>
          </w:rPr>
          <w:t>visit the MSAC website</w:t>
        </w:r>
      </w:hyperlink>
    </w:p>
    <w:sectPr w:rsidR="009E7AB6" w:rsidRPr="009E7AB6" w:rsidSect="00342FAC">
      <w:footerReference w:type="default" r:id="rId24"/>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38757" w14:textId="77777777" w:rsidR="004E7FF6" w:rsidRDefault="004E7FF6" w:rsidP="00065623">
      <w:r>
        <w:separator/>
      </w:r>
    </w:p>
  </w:endnote>
  <w:endnote w:type="continuationSeparator" w:id="0">
    <w:p w14:paraId="7A79FCA3" w14:textId="77777777" w:rsidR="004E7FF6" w:rsidRDefault="004E7FF6"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umanist 77 7 B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773568"/>
      <w:docPartObj>
        <w:docPartGallery w:val="Page Numbers (Bottom of Page)"/>
        <w:docPartUnique/>
      </w:docPartObj>
    </w:sdtPr>
    <w:sdtEndPr>
      <w:rPr>
        <w:noProof/>
      </w:rPr>
    </w:sdtEndPr>
    <w:sdtContent>
      <w:p w14:paraId="57D6A905" w14:textId="62298A1B" w:rsidR="004E7FF6" w:rsidRDefault="004E7FF6">
        <w:pPr>
          <w:pStyle w:val="Footer"/>
          <w:jc w:val="right"/>
        </w:pPr>
        <w:r>
          <w:fldChar w:fldCharType="begin"/>
        </w:r>
        <w:r>
          <w:instrText xml:space="preserve"> PAGE   \* MERGEFORMAT </w:instrText>
        </w:r>
        <w:r>
          <w:fldChar w:fldCharType="separate"/>
        </w:r>
        <w:r>
          <w:rPr>
            <w:noProof/>
          </w:rPr>
          <w:t>24</w:t>
        </w:r>
        <w:r>
          <w:rPr>
            <w:noProof/>
          </w:rPr>
          <w:fldChar w:fldCharType="end"/>
        </w:r>
      </w:p>
    </w:sdtContent>
  </w:sdt>
  <w:p w14:paraId="611F0B18" w14:textId="77777777" w:rsidR="004E7FF6" w:rsidRDefault="004E7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D252C" w14:textId="77777777" w:rsidR="004E7FF6" w:rsidRDefault="004E7FF6" w:rsidP="00065623">
      <w:r>
        <w:separator/>
      </w:r>
    </w:p>
  </w:footnote>
  <w:footnote w:type="continuationSeparator" w:id="0">
    <w:p w14:paraId="6D6C78CF" w14:textId="77777777" w:rsidR="004E7FF6" w:rsidRDefault="004E7FF6" w:rsidP="00065623">
      <w:r>
        <w:continuationSeparator/>
      </w:r>
    </w:p>
  </w:footnote>
  <w:footnote w:id="1">
    <w:p w14:paraId="6B9092DE" w14:textId="4B0CBA05" w:rsidR="004E7FF6" w:rsidRDefault="004E7FF6">
      <w:pPr>
        <w:pStyle w:val="FootnoteText"/>
      </w:pPr>
      <w:r>
        <w:rPr>
          <w:rStyle w:val="FootnoteReference"/>
        </w:rPr>
        <w:footnoteRef/>
      </w:r>
      <w:r>
        <w:t xml:space="preserve"> </w:t>
      </w:r>
      <w:r w:rsidRPr="00B3384E">
        <w:t>Flowers ME</w:t>
      </w:r>
      <w:r>
        <w:t xml:space="preserve"> </w:t>
      </w:r>
      <w:r w:rsidRPr="00417910">
        <w:rPr>
          <w:i/>
          <w:iCs/>
        </w:rPr>
        <w:t>et al.</w:t>
      </w:r>
      <w:r w:rsidRPr="00B3384E">
        <w:t xml:space="preserve"> A multicenter prospective phase 2 randomized study of extracorporeal photopheresis for treatment of chronic graft-versus-host disease. </w:t>
      </w:r>
      <w:r w:rsidRPr="00B3384E">
        <w:rPr>
          <w:i/>
          <w:iCs/>
        </w:rPr>
        <w:t>Blood</w:t>
      </w:r>
      <w:r w:rsidRPr="00B3384E">
        <w:t>. 2008;112(7):2667-2674.</w:t>
      </w:r>
    </w:p>
  </w:footnote>
  <w:footnote w:id="2">
    <w:p w14:paraId="05655E96" w14:textId="29980EAF" w:rsidR="004E7FF6" w:rsidRDefault="004E7FF6">
      <w:pPr>
        <w:pStyle w:val="FootnoteText"/>
      </w:pPr>
      <w:r>
        <w:rPr>
          <w:rStyle w:val="FootnoteReference"/>
        </w:rPr>
        <w:footnoteRef/>
      </w:r>
      <w:r>
        <w:t xml:space="preserve"> </w:t>
      </w:r>
      <w:r w:rsidRPr="003F17A2">
        <w:t>Mohammad S</w:t>
      </w:r>
      <w:r>
        <w:t xml:space="preserve"> </w:t>
      </w:r>
      <w:r w:rsidRPr="00B743EA">
        <w:rPr>
          <w:i/>
          <w:iCs/>
        </w:rPr>
        <w:t>et al.</w:t>
      </w:r>
      <w:r>
        <w:t xml:space="preserve"> </w:t>
      </w:r>
      <w:r w:rsidRPr="003F17A2">
        <w:t>Withdrawal of immunosuppression following pediatric liver transplantation: a Markov analysis. </w:t>
      </w:r>
      <w:r w:rsidRPr="003F17A2">
        <w:rPr>
          <w:i/>
          <w:iCs/>
        </w:rPr>
        <w:t>J Pediatr Gastroenterol Nutr</w:t>
      </w:r>
      <w:r w:rsidRPr="003F17A2">
        <w:t>. 2014;59(2):182-189.</w:t>
      </w:r>
    </w:p>
  </w:footnote>
  <w:footnote w:id="3">
    <w:p w14:paraId="74D64D88" w14:textId="77777777" w:rsidR="004E7FF6" w:rsidRDefault="004E7FF6" w:rsidP="00FF3034">
      <w:pPr>
        <w:pStyle w:val="FootnoteText"/>
      </w:pPr>
      <w:r>
        <w:rPr>
          <w:rStyle w:val="FootnoteReference"/>
        </w:rPr>
        <w:footnoteRef/>
      </w:r>
      <w:r>
        <w:t xml:space="preserve"> Malik MI </w:t>
      </w:r>
      <w:r w:rsidRPr="00782E59">
        <w:t>et al. Extracorporeal photopheresis for chronic graft-versus-host disease: a systematic review and meta-analysis. </w:t>
      </w:r>
      <w:r w:rsidRPr="00782E59">
        <w:rPr>
          <w:i/>
          <w:iCs/>
        </w:rPr>
        <w:t>Blood Res</w:t>
      </w:r>
      <w:r w:rsidRPr="00782E59">
        <w:t>. 2014;49(2):100-106.</w:t>
      </w:r>
    </w:p>
  </w:footnote>
  <w:footnote w:id="4">
    <w:p w14:paraId="2BB95B95" w14:textId="579D6780" w:rsidR="004E7FF6" w:rsidRDefault="004E7FF6">
      <w:pPr>
        <w:pStyle w:val="FootnoteText"/>
      </w:pPr>
      <w:r>
        <w:rPr>
          <w:rStyle w:val="FootnoteReference"/>
        </w:rPr>
        <w:footnoteRef/>
      </w:r>
      <w:r>
        <w:t xml:space="preserve"> Malik MI </w:t>
      </w:r>
      <w:r w:rsidRPr="00782E59">
        <w:t>et al. Extracorporeal photopheresis for chronic graft-versus-host disease: a systematic review and meta-analysis. </w:t>
      </w:r>
      <w:r w:rsidRPr="00782E59">
        <w:rPr>
          <w:i/>
          <w:iCs/>
        </w:rPr>
        <w:t>Blood Res</w:t>
      </w:r>
      <w:r w:rsidRPr="00782E59">
        <w:t>. 2014;49(2):100-106.</w:t>
      </w:r>
    </w:p>
  </w:footnote>
  <w:footnote w:id="5">
    <w:p w14:paraId="0B94C215" w14:textId="77777777" w:rsidR="004E7FF6" w:rsidRPr="00EB3F44" w:rsidRDefault="004E7FF6" w:rsidP="009E7AB6">
      <w:pPr>
        <w:pStyle w:val="FootnoteText"/>
        <w:rPr>
          <w:i/>
          <w:iCs/>
        </w:rPr>
      </w:pPr>
      <w:r>
        <w:rPr>
          <w:rStyle w:val="FootnoteReference"/>
        </w:rPr>
        <w:footnoteRef/>
      </w:r>
      <w:r>
        <w:t xml:space="preserve"> </w:t>
      </w:r>
      <w:r w:rsidRPr="00EB3F44">
        <w:t xml:space="preserve">Australasian Bone Marrow Transplant Recipient Registry 2019, </w:t>
      </w:r>
      <w:r w:rsidRPr="00EB3F44">
        <w:rPr>
          <w:i/>
          <w:iCs/>
        </w:rPr>
        <w:t>Australasian Bone Marrow Transplant</w:t>
      </w:r>
    </w:p>
    <w:p w14:paraId="64E659D9" w14:textId="77777777" w:rsidR="004E7FF6" w:rsidRDefault="004E7FF6" w:rsidP="009E7AB6">
      <w:pPr>
        <w:pStyle w:val="FootnoteText"/>
      </w:pPr>
      <w:r w:rsidRPr="00EB3F44">
        <w:rPr>
          <w:i/>
          <w:iCs/>
        </w:rPr>
        <w:t>Recipient Registry: Annual Data Summary 2018</w:t>
      </w:r>
      <w:r w:rsidRPr="00EB3F44">
        <w:t>, ABMTRR, Darlinghurst, NSW, Australia</w:t>
      </w:r>
    </w:p>
  </w:footnote>
  <w:footnote w:id="6">
    <w:p w14:paraId="7411B8D7" w14:textId="77777777" w:rsidR="004E7FF6" w:rsidRDefault="004E7FF6" w:rsidP="009E7AB6">
      <w:pPr>
        <w:pStyle w:val="FootnoteText"/>
      </w:pPr>
      <w:r>
        <w:rPr>
          <w:rStyle w:val="FootnoteReference"/>
        </w:rPr>
        <w:footnoteRef/>
      </w:r>
      <w:r>
        <w:t xml:space="preserve"> Malik MI </w:t>
      </w:r>
      <w:r w:rsidRPr="000E5922">
        <w:rPr>
          <w:i/>
        </w:rPr>
        <w:t>et al.</w:t>
      </w:r>
      <w:r w:rsidRPr="00782E59">
        <w:t xml:space="preserve"> Extracorporeal photopheresis for chronic graft-versus-host disease: a systematic review and meta-analysis. </w:t>
      </w:r>
      <w:r w:rsidRPr="00782E59">
        <w:rPr>
          <w:i/>
          <w:iCs/>
        </w:rPr>
        <w:t>Blood Res</w:t>
      </w:r>
      <w:r w:rsidRPr="00782E59">
        <w:t>. 2014;49(2):100-106.</w:t>
      </w:r>
    </w:p>
  </w:footnote>
  <w:footnote w:id="7">
    <w:p w14:paraId="66ECF63B" w14:textId="77777777" w:rsidR="004E7FF6" w:rsidRDefault="004E7FF6" w:rsidP="009E7AB6">
      <w:pPr>
        <w:pStyle w:val="FootnoteText"/>
      </w:pPr>
      <w:r>
        <w:rPr>
          <w:rStyle w:val="FootnoteReference"/>
        </w:rPr>
        <w:footnoteRef/>
      </w:r>
      <w:r>
        <w:t xml:space="preserve"> Crespo C </w:t>
      </w:r>
      <w:r w:rsidRPr="000E5922">
        <w:rPr>
          <w:i/>
        </w:rPr>
        <w:t>et al</w:t>
      </w:r>
      <w:r w:rsidRPr="00052B0D">
        <w:t xml:space="preserve">. Development of a population-based cost-effectiveness model of chronic graft-versus-host disease in Spain. </w:t>
      </w:r>
      <w:r w:rsidRPr="000E5922">
        <w:rPr>
          <w:i/>
        </w:rPr>
        <w:t>Clin Ther</w:t>
      </w:r>
      <w:r w:rsidRPr="00052B0D">
        <w:t>. 2012;34(8):1774-1787.</w:t>
      </w:r>
    </w:p>
  </w:footnote>
  <w:footnote w:id="8">
    <w:p w14:paraId="2BAF2574" w14:textId="77777777" w:rsidR="004E7FF6" w:rsidRDefault="004E7FF6" w:rsidP="009E7AB6">
      <w:pPr>
        <w:pStyle w:val="FootnoteText"/>
      </w:pPr>
      <w:r>
        <w:rPr>
          <w:rStyle w:val="FootnoteReference"/>
        </w:rPr>
        <w:footnoteRef/>
      </w:r>
      <w:r>
        <w:t xml:space="preserve"> </w:t>
      </w:r>
      <w:r w:rsidRPr="00052B0D">
        <w:t>de Waure C</w:t>
      </w:r>
      <w:r>
        <w:t xml:space="preserve"> </w:t>
      </w:r>
      <w:r w:rsidRPr="00052B0D">
        <w:t>et al. Extracorporeal Photopheresis for Second-Line Treatment of Chronic Graft-versus-Host Diseases: Results from a Health Technology Assessment in Italy. </w:t>
      </w:r>
      <w:r w:rsidRPr="00052B0D">
        <w:rPr>
          <w:i/>
          <w:iCs/>
        </w:rPr>
        <w:t>Value Health</w:t>
      </w:r>
      <w:r w:rsidRPr="00052B0D">
        <w:t>. 2015;18(4):457-466.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E76"/>
    <w:multiLevelType w:val="hybridMultilevel"/>
    <w:tmpl w:val="27EC1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346D68"/>
    <w:multiLevelType w:val="hybridMultilevel"/>
    <w:tmpl w:val="132A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B0502E"/>
    <w:multiLevelType w:val="hybridMultilevel"/>
    <w:tmpl w:val="72CE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8004C"/>
    <w:multiLevelType w:val="hybridMultilevel"/>
    <w:tmpl w:val="4B8A3A36"/>
    <w:lvl w:ilvl="0" w:tplc="DBFA83DC">
      <w:start w:val="1"/>
      <w:numFmt w:val="bullet"/>
      <w:lvlText w:val=""/>
      <w:lvlJc w:val="left"/>
      <w:pPr>
        <w:tabs>
          <w:tab w:val="num" w:pos="1080"/>
        </w:tabs>
        <w:ind w:left="1080" w:hanging="360"/>
      </w:pPr>
      <w:rPr>
        <w:rFonts w:ascii="Symbol" w:hAnsi="Symbol" w:hint="default"/>
        <w:color w:val="auto"/>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4B17EB"/>
    <w:multiLevelType w:val="hybridMultilevel"/>
    <w:tmpl w:val="A6C08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E04A07"/>
    <w:multiLevelType w:val="hybridMultilevel"/>
    <w:tmpl w:val="629EE15A"/>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6" w15:restartNumberingAfterBreak="0">
    <w:nsid w:val="256E1CAB"/>
    <w:multiLevelType w:val="hybridMultilevel"/>
    <w:tmpl w:val="F3189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AE421E"/>
    <w:multiLevelType w:val="hybridMultilevel"/>
    <w:tmpl w:val="6382EA38"/>
    <w:lvl w:ilvl="0" w:tplc="FB7A37EE">
      <w:start w:val="1"/>
      <w:numFmt w:val="bullet"/>
      <w:lvlText w:val=""/>
      <w:lvlJc w:val="left"/>
      <w:pPr>
        <w:tabs>
          <w:tab w:val="num" w:pos="360"/>
        </w:tabs>
        <w:ind w:left="360" w:hanging="360"/>
      </w:pPr>
      <w:rPr>
        <w:rFonts w:ascii="Symbol" w:hAnsi="Symbol" w:hint="default"/>
        <w:color w:val="3366FF"/>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E4A79AE"/>
    <w:multiLevelType w:val="hybridMultilevel"/>
    <w:tmpl w:val="D6BCAA4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02A6E7C"/>
    <w:multiLevelType w:val="hybridMultilevel"/>
    <w:tmpl w:val="9A66C17A"/>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CE46B3"/>
    <w:multiLevelType w:val="hybridMultilevel"/>
    <w:tmpl w:val="FD3A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282F13"/>
    <w:multiLevelType w:val="hybridMultilevel"/>
    <w:tmpl w:val="66762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5" w15:restartNumberingAfterBreak="0">
    <w:nsid w:val="45F473A9"/>
    <w:multiLevelType w:val="hybridMultilevel"/>
    <w:tmpl w:val="C8FE2AF8"/>
    <w:lvl w:ilvl="0" w:tplc="57F6110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123FED"/>
    <w:multiLevelType w:val="hybridMultilevel"/>
    <w:tmpl w:val="EA3818A2"/>
    <w:lvl w:ilvl="0" w:tplc="64BE4998">
      <w:start w:val="1"/>
      <w:numFmt w:val="bullet"/>
      <w:lvlText w:val=""/>
      <w:lvlJc w:val="left"/>
      <w:pPr>
        <w:tabs>
          <w:tab w:val="num" w:pos="1080"/>
        </w:tabs>
        <w:ind w:left="1080" w:hanging="360"/>
      </w:pPr>
      <w:rPr>
        <w:rFonts w:ascii="Symbol" w:hAnsi="Symbol" w:hint="default"/>
        <w:color w:val="3366FF"/>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D387448"/>
    <w:multiLevelType w:val="multilevel"/>
    <w:tmpl w:val="B22A93B6"/>
    <w:numStyleLink w:val="Heading1a"/>
  </w:abstractNum>
  <w:abstractNum w:abstractNumId="18"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5853F9"/>
    <w:multiLevelType w:val="hybridMultilevel"/>
    <w:tmpl w:val="91784F30"/>
    <w:lvl w:ilvl="0" w:tplc="FB06DE06">
      <w:start w:val="3"/>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5A1C1B"/>
    <w:multiLevelType w:val="hybridMultilevel"/>
    <w:tmpl w:val="E744D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2D4CF0"/>
    <w:multiLevelType w:val="hybridMultilevel"/>
    <w:tmpl w:val="8E888DFA"/>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2" w15:restartNumberingAfterBreak="0">
    <w:nsid w:val="67B7229B"/>
    <w:multiLevelType w:val="hybridMultilevel"/>
    <w:tmpl w:val="A8B0F44C"/>
    <w:lvl w:ilvl="0" w:tplc="2C7E61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FBA0B51"/>
    <w:multiLevelType w:val="hybridMultilevel"/>
    <w:tmpl w:val="ECE0E56A"/>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56113F"/>
    <w:multiLevelType w:val="hybridMultilevel"/>
    <w:tmpl w:val="B1800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586823"/>
    <w:multiLevelType w:val="hybridMultilevel"/>
    <w:tmpl w:val="BF465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AA0EB0"/>
    <w:multiLevelType w:val="hybridMultilevel"/>
    <w:tmpl w:val="64941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261740"/>
    <w:multiLevelType w:val="hybridMultilevel"/>
    <w:tmpl w:val="0AC44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962F94"/>
    <w:multiLevelType w:val="hybridMultilevel"/>
    <w:tmpl w:val="74903CEE"/>
    <w:lvl w:ilvl="0" w:tplc="16D68352">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9" w15:restartNumberingAfterBreak="0">
    <w:nsid w:val="7EBC358B"/>
    <w:multiLevelType w:val="hybridMultilevel"/>
    <w:tmpl w:val="DA7C6A16"/>
    <w:lvl w:ilvl="0" w:tplc="5C548CF8">
      <w:start w:val="1"/>
      <w:numFmt w:val="bullet"/>
      <w:lvlText w:val=""/>
      <w:lvlJc w:val="left"/>
      <w:pPr>
        <w:tabs>
          <w:tab w:val="num" w:pos="360"/>
        </w:tabs>
        <w:ind w:left="360" w:hanging="360"/>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D02776"/>
    <w:multiLevelType w:val="hybridMultilevel"/>
    <w:tmpl w:val="4B8A3A36"/>
    <w:lvl w:ilvl="0" w:tplc="DBFA83DC">
      <w:start w:val="1"/>
      <w:numFmt w:val="bullet"/>
      <w:lvlText w:val=""/>
      <w:lvlJc w:val="left"/>
      <w:pPr>
        <w:tabs>
          <w:tab w:val="num" w:pos="360"/>
        </w:tabs>
        <w:ind w:left="360" w:hanging="360"/>
      </w:pPr>
      <w:rPr>
        <w:rFonts w:ascii="Symbol" w:hAnsi="Symbol" w:hint="default"/>
        <w:color w:val="auto"/>
        <w:sz w:val="22"/>
        <w:szCs w:val="22"/>
      </w:rPr>
    </w:lvl>
    <w:lvl w:ilvl="1" w:tplc="32EAB99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6"/>
  </w:num>
  <w:num w:numId="4">
    <w:abstractNumId w:val="29"/>
  </w:num>
  <w:num w:numId="5">
    <w:abstractNumId w:val="19"/>
  </w:num>
  <w:num w:numId="6">
    <w:abstractNumId w:val="18"/>
  </w:num>
  <w:num w:numId="7">
    <w:abstractNumId w:val="14"/>
  </w:num>
  <w:num w:numId="8">
    <w:abstractNumId w:val="10"/>
  </w:num>
  <w:num w:numId="9">
    <w:abstractNumId w:val="23"/>
  </w:num>
  <w:num w:numId="10">
    <w:abstractNumId w:val="28"/>
  </w:num>
  <w:num w:numId="11">
    <w:abstractNumId w:val="8"/>
  </w:num>
  <w:num w:numId="12">
    <w:abstractNumId w:val="17"/>
  </w:num>
  <w:num w:numId="13">
    <w:abstractNumId w:val="15"/>
  </w:num>
  <w:num w:numId="14">
    <w:abstractNumId w:val="30"/>
  </w:num>
  <w:num w:numId="15">
    <w:abstractNumId w:val="21"/>
  </w:num>
  <w:num w:numId="16">
    <w:abstractNumId w:val="22"/>
  </w:num>
  <w:num w:numId="17">
    <w:abstractNumId w:val="4"/>
  </w:num>
  <w:num w:numId="18">
    <w:abstractNumId w:val="13"/>
  </w:num>
  <w:num w:numId="19">
    <w:abstractNumId w:val="11"/>
  </w:num>
  <w:num w:numId="20">
    <w:abstractNumId w:val="2"/>
  </w:num>
  <w:num w:numId="21">
    <w:abstractNumId w:val="9"/>
  </w:num>
  <w:num w:numId="22">
    <w:abstractNumId w:val="27"/>
  </w:num>
  <w:num w:numId="23">
    <w:abstractNumId w:val="25"/>
  </w:num>
  <w:num w:numId="24">
    <w:abstractNumId w:val="26"/>
  </w:num>
  <w:num w:numId="25">
    <w:abstractNumId w:val="24"/>
  </w:num>
  <w:num w:numId="26">
    <w:abstractNumId w:val="0"/>
  </w:num>
  <w:num w:numId="27">
    <w:abstractNumId w:val="1"/>
  </w:num>
  <w:num w:numId="28">
    <w:abstractNumId w:val="6"/>
  </w:num>
  <w:num w:numId="29">
    <w:abstractNumId w:val="20"/>
  </w:num>
  <w:num w:numId="30">
    <w:abstractNumId w:val="5"/>
  </w:num>
  <w:num w:numId="3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23"/>
    <w:rsid w:val="00001884"/>
    <w:rsid w:val="000036AF"/>
    <w:rsid w:val="000126A9"/>
    <w:rsid w:val="00014731"/>
    <w:rsid w:val="000171A6"/>
    <w:rsid w:val="000213E9"/>
    <w:rsid w:val="00021DA2"/>
    <w:rsid w:val="000229A1"/>
    <w:rsid w:val="000268A1"/>
    <w:rsid w:val="00042672"/>
    <w:rsid w:val="000436E0"/>
    <w:rsid w:val="00044493"/>
    <w:rsid w:val="00050CEE"/>
    <w:rsid w:val="00052B0D"/>
    <w:rsid w:val="00054151"/>
    <w:rsid w:val="0006073C"/>
    <w:rsid w:val="000632EF"/>
    <w:rsid w:val="00065623"/>
    <w:rsid w:val="000827F0"/>
    <w:rsid w:val="0008767E"/>
    <w:rsid w:val="00090CFB"/>
    <w:rsid w:val="00094B99"/>
    <w:rsid w:val="000A1868"/>
    <w:rsid w:val="000A47EF"/>
    <w:rsid w:val="000A63D3"/>
    <w:rsid w:val="000A738E"/>
    <w:rsid w:val="000B1527"/>
    <w:rsid w:val="000D0ABA"/>
    <w:rsid w:val="000D2B0D"/>
    <w:rsid w:val="000D4BFC"/>
    <w:rsid w:val="000E1B76"/>
    <w:rsid w:val="000E20F2"/>
    <w:rsid w:val="000E396B"/>
    <w:rsid w:val="000E3C10"/>
    <w:rsid w:val="000E5922"/>
    <w:rsid w:val="000E6588"/>
    <w:rsid w:val="000F21FE"/>
    <w:rsid w:val="000F4761"/>
    <w:rsid w:val="001041A5"/>
    <w:rsid w:val="00104710"/>
    <w:rsid w:val="0011324C"/>
    <w:rsid w:val="00114AC3"/>
    <w:rsid w:val="00115AC5"/>
    <w:rsid w:val="0013032B"/>
    <w:rsid w:val="0013112F"/>
    <w:rsid w:val="00136257"/>
    <w:rsid w:val="00136969"/>
    <w:rsid w:val="00140D4D"/>
    <w:rsid w:val="00142109"/>
    <w:rsid w:val="0014545A"/>
    <w:rsid w:val="001525CD"/>
    <w:rsid w:val="001538CF"/>
    <w:rsid w:val="00155BF4"/>
    <w:rsid w:val="00157D30"/>
    <w:rsid w:val="00164106"/>
    <w:rsid w:val="00167C8A"/>
    <w:rsid w:val="00171759"/>
    <w:rsid w:val="0017542A"/>
    <w:rsid w:val="00177FD8"/>
    <w:rsid w:val="00190A0E"/>
    <w:rsid w:val="001921DF"/>
    <w:rsid w:val="001951EC"/>
    <w:rsid w:val="001A669F"/>
    <w:rsid w:val="001B1DFA"/>
    <w:rsid w:val="001B6882"/>
    <w:rsid w:val="001B6F05"/>
    <w:rsid w:val="001C00F1"/>
    <w:rsid w:val="001C5CCC"/>
    <w:rsid w:val="001C7004"/>
    <w:rsid w:val="001C75D8"/>
    <w:rsid w:val="001D248E"/>
    <w:rsid w:val="001D24A5"/>
    <w:rsid w:val="001D2A85"/>
    <w:rsid w:val="001D47FB"/>
    <w:rsid w:val="001E457C"/>
    <w:rsid w:val="001E79E9"/>
    <w:rsid w:val="001F11FA"/>
    <w:rsid w:val="001F3C4C"/>
    <w:rsid w:val="00206760"/>
    <w:rsid w:val="0021159F"/>
    <w:rsid w:val="00215359"/>
    <w:rsid w:val="00225AAA"/>
    <w:rsid w:val="0022638C"/>
    <w:rsid w:val="002315B2"/>
    <w:rsid w:val="00231843"/>
    <w:rsid w:val="00232377"/>
    <w:rsid w:val="00236247"/>
    <w:rsid w:val="00242AD4"/>
    <w:rsid w:val="0024491A"/>
    <w:rsid w:val="00252638"/>
    <w:rsid w:val="00253300"/>
    <w:rsid w:val="00263FEA"/>
    <w:rsid w:val="0026665D"/>
    <w:rsid w:val="00267F42"/>
    <w:rsid w:val="0027168E"/>
    <w:rsid w:val="00273BFE"/>
    <w:rsid w:val="00275C3C"/>
    <w:rsid w:val="00280998"/>
    <w:rsid w:val="00286676"/>
    <w:rsid w:val="00286687"/>
    <w:rsid w:val="0028678D"/>
    <w:rsid w:val="00286BC8"/>
    <w:rsid w:val="002920C5"/>
    <w:rsid w:val="0029265D"/>
    <w:rsid w:val="0029348E"/>
    <w:rsid w:val="002A7743"/>
    <w:rsid w:val="002B34D5"/>
    <w:rsid w:val="002D0267"/>
    <w:rsid w:val="002D08AA"/>
    <w:rsid w:val="002D1506"/>
    <w:rsid w:val="002D2973"/>
    <w:rsid w:val="002D43CE"/>
    <w:rsid w:val="002D4F5D"/>
    <w:rsid w:val="002D55D9"/>
    <w:rsid w:val="002D57BB"/>
    <w:rsid w:val="002D7970"/>
    <w:rsid w:val="002E21FC"/>
    <w:rsid w:val="002E24D0"/>
    <w:rsid w:val="002E4460"/>
    <w:rsid w:val="002F020F"/>
    <w:rsid w:val="002F3D9D"/>
    <w:rsid w:val="002F54B1"/>
    <w:rsid w:val="002F5FB7"/>
    <w:rsid w:val="002F693D"/>
    <w:rsid w:val="002F7BC4"/>
    <w:rsid w:val="0030087A"/>
    <w:rsid w:val="00301462"/>
    <w:rsid w:val="00303414"/>
    <w:rsid w:val="00303E22"/>
    <w:rsid w:val="00305823"/>
    <w:rsid w:val="00312043"/>
    <w:rsid w:val="00320A6C"/>
    <w:rsid w:val="00332E9B"/>
    <w:rsid w:val="0033458E"/>
    <w:rsid w:val="00337945"/>
    <w:rsid w:val="0034047C"/>
    <w:rsid w:val="0034138C"/>
    <w:rsid w:val="00342FAC"/>
    <w:rsid w:val="00344582"/>
    <w:rsid w:val="0034766C"/>
    <w:rsid w:val="003515D1"/>
    <w:rsid w:val="00353301"/>
    <w:rsid w:val="0035535A"/>
    <w:rsid w:val="00355B86"/>
    <w:rsid w:val="0035718D"/>
    <w:rsid w:val="00361DD2"/>
    <w:rsid w:val="003700A9"/>
    <w:rsid w:val="003840EA"/>
    <w:rsid w:val="00386D67"/>
    <w:rsid w:val="0039307D"/>
    <w:rsid w:val="003A078D"/>
    <w:rsid w:val="003A326F"/>
    <w:rsid w:val="003A373D"/>
    <w:rsid w:val="003A4F78"/>
    <w:rsid w:val="003B02B8"/>
    <w:rsid w:val="003B0CA4"/>
    <w:rsid w:val="003C0DA8"/>
    <w:rsid w:val="003D2991"/>
    <w:rsid w:val="003D4BFC"/>
    <w:rsid w:val="003D6A0F"/>
    <w:rsid w:val="003E1045"/>
    <w:rsid w:val="003E3728"/>
    <w:rsid w:val="003E440B"/>
    <w:rsid w:val="003E44A3"/>
    <w:rsid w:val="003E63C9"/>
    <w:rsid w:val="003F0834"/>
    <w:rsid w:val="003F17A2"/>
    <w:rsid w:val="003F30AD"/>
    <w:rsid w:val="003F3163"/>
    <w:rsid w:val="003F5EE6"/>
    <w:rsid w:val="0040285A"/>
    <w:rsid w:val="004031F7"/>
    <w:rsid w:val="00405820"/>
    <w:rsid w:val="00410109"/>
    <w:rsid w:val="00410178"/>
    <w:rsid w:val="00417910"/>
    <w:rsid w:val="0042114B"/>
    <w:rsid w:val="00423D46"/>
    <w:rsid w:val="00430BAB"/>
    <w:rsid w:val="00433060"/>
    <w:rsid w:val="00443F1D"/>
    <w:rsid w:val="00451310"/>
    <w:rsid w:val="004519AB"/>
    <w:rsid w:val="00452DFC"/>
    <w:rsid w:val="004541AA"/>
    <w:rsid w:val="00460AAF"/>
    <w:rsid w:val="00460DB6"/>
    <w:rsid w:val="0046745E"/>
    <w:rsid w:val="00471BF1"/>
    <w:rsid w:val="00472F68"/>
    <w:rsid w:val="00474DBE"/>
    <w:rsid w:val="004851AB"/>
    <w:rsid w:val="00493BF1"/>
    <w:rsid w:val="00495285"/>
    <w:rsid w:val="004A0487"/>
    <w:rsid w:val="004A4E41"/>
    <w:rsid w:val="004B01A4"/>
    <w:rsid w:val="004B0AE8"/>
    <w:rsid w:val="004B2358"/>
    <w:rsid w:val="004B30DB"/>
    <w:rsid w:val="004C0219"/>
    <w:rsid w:val="004C7213"/>
    <w:rsid w:val="004D02A6"/>
    <w:rsid w:val="004D166B"/>
    <w:rsid w:val="004D1800"/>
    <w:rsid w:val="004E0244"/>
    <w:rsid w:val="004E348D"/>
    <w:rsid w:val="004E432D"/>
    <w:rsid w:val="004E44CE"/>
    <w:rsid w:val="004E5C21"/>
    <w:rsid w:val="004E7FF6"/>
    <w:rsid w:val="0050188B"/>
    <w:rsid w:val="00501E34"/>
    <w:rsid w:val="00511EE0"/>
    <w:rsid w:val="00514BAF"/>
    <w:rsid w:val="00516ACE"/>
    <w:rsid w:val="00522528"/>
    <w:rsid w:val="00532CCC"/>
    <w:rsid w:val="0053479E"/>
    <w:rsid w:val="005420D3"/>
    <w:rsid w:val="00544BA0"/>
    <w:rsid w:val="00545DAC"/>
    <w:rsid w:val="0055160A"/>
    <w:rsid w:val="00552DFF"/>
    <w:rsid w:val="005573AA"/>
    <w:rsid w:val="005648D3"/>
    <w:rsid w:val="00565224"/>
    <w:rsid w:val="00566DC3"/>
    <w:rsid w:val="00567131"/>
    <w:rsid w:val="0056736C"/>
    <w:rsid w:val="0056759E"/>
    <w:rsid w:val="00573F22"/>
    <w:rsid w:val="00576ED3"/>
    <w:rsid w:val="00582B9B"/>
    <w:rsid w:val="00583D1B"/>
    <w:rsid w:val="005856E5"/>
    <w:rsid w:val="0058659C"/>
    <w:rsid w:val="00590817"/>
    <w:rsid w:val="00590A73"/>
    <w:rsid w:val="005922DB"/>
    <w:rsid w:val="005937A8"/>
    <w:rsid w:val="005938FD"/>
    <w:rsid w:val="00594478"/>
    <w:rsid w:val="005A14E4"/>
    <w:rsid w:val="005A312E"/>
    <w:rsid w:val="005A37CD"/>
    <w:rsid w:val="005B59F4"/>
    <w:rsid w:val="005D0332"/>
    <w:rsid w:val="005D637D"/>
    <w:rsid w:val="005E0F74"/>
    <w:rsid w:val="005E3645"/>
    <w:rsid w:val="005E42A8"/>
    <w:rsid w:val="005F004E"/>
    <w:rsid w:val="00603860"/>
    <w:rsid w:val="006074D3"/>
    <w:rsid w:val="00607D37"/>
    <w:rsid w:val="00611744"/>
    <w:rsid w:val="00612A11"/>
    <w:rsid w:val="0061621F"/>
    <w:rsid w:val="0062571E"/>
    <w:rsid w:val="006306DB"/>
    <w:rsid w:val="0063740F"/>
    <w:rsid w:val="00640A46"/>
    <w:rsid w:val="00641CED"/>
    <w:rsid w:val="00643130"/>
    <w:rsid w:val="00652E31"/>
    <w:rsid w:val="0065529B"/>
    <w:rsid w:val="00657E73"/>
    <w:rsid w:val="006614E2"/>
    <w:rsid w:val="006709F0"/>
    <w:rsid w:val="0067349B"/>
    <w:rsid w:val="00676A80"/>
    <w:rsid w:val="00676C49"/>
    <w:rsid w:val="0068140A"/>
    <w:rsid w:val="00685001"/>
    <w:rsid w:val="00693716"/>
    <w:rsid w:val="00694F47"/>
    <w:rsid w:val="006A27C7"/>
    <w:rsid w:val="006B009D"/>
    <w:rsid w:val="006B241A"/>
    <w:rsid w:val="006B49FD"/>
    <w:rsid w:val="006B5BE7"/>
    <w:rsid w:val="006B68C7"/>
    <w:rsid w:val="006B7A9D"/>
    <w:rsid w:val="006B7F3E"/>
    <w:rsid w:val="006C0CFD"/>
    <w:rsid w:val="006C1938"/>
    <w:rsid w:val="006C26E3"/>
    <w:rsid w:val="006C3324"/>
    <w:rsid w:val="006C5230"/>
    <w:rsid w:val="006D3B2A"/>
    <w:rsid w:val="006D7D0C"/>
    <w:rsid w:val="006E20A7"/>
    <w:rsid w:val="006E260F"/>
    <w:rsid w:val="006E2F06"/>
    <w:rsid w:val="006E379A"/>
    <w:rsid w:val="006E7A8E"/>
    <w:rsid w:val="006F2A30"/>
    <w:rsid w:val="006F47F4"/>
    <w:rsid w:val="00703892"/>
    <w:rsid w:val="007038BF"/>
    <w:rsid w:val="00704D34"/>
    <w:rsid w:val="00707FED"/>
    <w:rsid w:val="00711906"/>
    <w:rsid w:val="007135C0"/>
    <w:rsid w:val="00713D11"/>
    <w:rsid w:val="00714285"/>
    <w:rsid w:val="0071498A"/>
    <w:rsid w:val="00722408"/>
    <w:rsid w:val="00722776"/>
    <w:rsid w:val="007229D6"/>
    <w:rsid w:val="00723375"/>
    <w:rsid w:val="00731492"/>
    <w:rsid w:val="00732C4E"/>
    <w:rsid w:val="00736B3B"/>
    <w:rsid w:val="007411A5"/>
    <w:rsid w:val="00743EF8"/>
    <w:rsid w:val="00744C5D"/>
    <w:rsid w:val="00745FF2"/>
    <w:rsid w:val="007554DA"/>
    <w:rsid w:val="00756C7E"/>
    <w:rsid w:val="0076139D"/>
    <w:rsid w:val="00766D50"/>
    <w:rsid w:val="00766E36"/>
    <w:rsid w:val="00775963"/>
    <w:rsid w:val="00782E59"/>
    <w:rsid w:val="00783676"/>
    <w:rsid w:val="007849B8"/>
    <w:rsid w:val="007916C0"/>
    <w:rsid w:val="00794D30"/>
    <w:rsid w:val="007964EB"/>
    <w:rsid w:val="00797D8D"/>
    <w:rsid w:val="007A0F08"/>
    <w:rsid w:val="007A6BE5"/>
    <w:rsid w:val="007A7B08"/>
    <w:rsid w:val="007B6EA6"/>
    <w:rsid w:val="007C1F41"/>
    <w:rsid w:val="007C2D6A"/>
    <w:rsid w:val="007C4959"/>
    <w:rsid w:val="007C4CED"/>
    <w:rsid w:val="007C7D4B"/>
    <w:rsid w:val="007D1684"/>
    <w:rsid w:val="007D4A43"/>
    <w:rsid w:val="007D6C35"/>
    <w:rsid w:val="007D7ECB"/>
    <w:rsid w:val="007E0EAF"/>
    <w:rsid w:val="007E16D7"/>
    <w:rsid w:val="007F4E20"/>
    <w:rsid w:val="007F5142"/>
    <w:rsid w:val="008037A5"/>
    <w:rsid w:val="00803A4D"/>
    <w:rsid w:val="00805966"/>
    <w:rsid w:val="00806A9C"/>
    <w:rsid w:val="00814AF1"/>
    <w:rsid w:val="008227C1"/>
    <w:rsid w:val="00827C06"/>
    <w:rsid w:val="0083013B"/>
    <w:rsid w:val="0083383F"/>
    <w:rsid w:val="008407AE"/>
    <w:rsid w:val="00842DFF"/>
    <w:rsid w:val="0084645A"/>
    <w:rsid w:val="008505A9"/>
    <w:rsid w:val="00850724"/>
    <w:rsid w:val="00853296"/>
    <w:rsid w:val="008602E6"/>
    <w:rsid w:val="0086104A"/>
    <w:rsid w:val="00864640"/>
    <w:rsid w:val="00865820"/>
    <w:rsid w:val="00871110"/>
    <w:rsid w:val="008719E3"/>
    <w:rsid w:val="0088197A"/>
    <w:rsid w:val="00896E79"/>
    <w:rsid w:val="008A0363"/>
    <w:rsid w:val="008A0D74"/>
    <w:rsid w:val="008A5C67"/>
    <w:rsid w:val="008A6C0C"/>
    <w:rsid w:val="008A7405"/>
    <w:rsid w:val="008B21B6"/>
    <w:rsid w:val="008B5021"/>
    <w:rsid w:val="008C0568"/>
    <w:rsid w:val="008C6DE4"/>
    <w:rsid w:val="008D1D2F"/>
    <w:rsid w:val="008E2DF5"/>
    <w:rsid w:val="008F07F1"/>
    <w:rsid w:val="008F2372"/>
    <w:rsid w:val="00901821"/>
    <w:rsid w:val="00901BF4"/>
    <w:rsid w:val="009110E5"/>
    <w:rsid w:val="00912AD8"/>
    <w:rsid w:val="00916610"/>
    <w:rsid w:val="00920A83"/>
    <w:rsid w:val="00920EA8"/>
    <w:rsid w:val="00933B33"/>
    <w:rsid w:val="009351F0"/>
    <w:rsid w:val="00940F74"/>
    <w:rsid w:val="009418C0"/>
    <w:rsid w:val="00943312"/>
    <w:rsid w:val="00950C0C"/>
    <w:rsid w:val="009515DA"/>
    <w:rsid w:val="009606B7"/>
    <w:rsid w:val="00960DFA"/>
    <w:rsid w:val="00961AD6"/>
    <w:rsid w:val="00964011"/>
    <w:rsid w:val="00964755"/>
    <w:rsid w:val="00970313"/>
    <w:rsid w:val="00976279"/>
    <w:rsid w:val="00976B13"/>
    <w:rsid w:val="009805D2"/>
    <w:rsid w:val="00981B45"/>
    <w:rsid w:val="00990BF9"/>
    <w:rsid w:val="009A24D8"/>
    <w:rsid w:val="009A702B"/>
    <w:rsid w:val="009B2DD5"/>
    <w:rsid w:val="009B7E2B"/>
    <w:rsid w:val="009C34E7"/>
    <w:rsid w:val="009C4ADA"/>
    <w:rsid w:val="009C5E6A"/>
    <w:rsid w:val="009D1BAC"/>
    <w:rsid w:val="009D64AB"/>
    <w:rsid w:val="009E25BE"/>
    <w:rsid w:val="009E2FFB"/>
    <w:rsid w:val="009E7AB6"/>
    <w:rsid w:val="009F31C5"/>
    <w:rsid w:val="009F416C"/>
    <w:rsid w:val="00A00951"/>
    <w:rsid w:val="00A009C9"/>
    <w:rsid w:val="00A021B7"/>
    <w:rsid w:val="00A1370F"/>
    <w:rsid w:val="00A30752"/>
    <w:rsid w:val="00A30A85"/>
    <w:rsid w:val="00A317E6"/>
    <w:rsid w:val="00A321BE"/>
    <w:rsid w:val="00A35A4F"/>
    <w:rsid w:val="00A37B4F"/>
    <w:rsid w:val="00A37DCC"/>
    <w:rsid w:val="00A40A43"/>
    <w:rsid w:val="00A411A5"/>
    <w:rsid w:val="00A44C6E"/>
    <w:rsid w:val="00A52FEC"/>
    <w:rsid w:val="00A53010"/>
    <w:rsid w:val="00A8603E"/>
    <w:rsid w:val="00A96916"/>
    <w:rsid w:val="00AA3E4B"/>
    <w:rsid w:val="00AA502F"/>
    <w:rsid w:val="00AA689B"/>
    <w:rsid w:val="00AB0F4A"/>
    <w:rsid w:val="00AB37FD"/>
    <w:rsid w:val="00AC0916"/>
    <w:rsid w:val="00AC1D7D"/>
    <w:rsid w:val="00AC60C6"/>
    <w:rsid w:val="00AD026F"/>
    <w:rsid w:val="00AD0FD1"/>
    <w:rsid w:val="00AD2A52"/>
    <w:rsid w:val="00AD31E2"/>
    <w:rsid w:val="00AE4C2D"/>
    <w:rsid w:val="00AE76A3"/>
    <w:rsid w:val="00AF0268"/>
    <w:rsid w:val="00AF02F4"/>
    <w:rsid w:val="00AF2357"/>
    <w:rsid w:val="00AF64E7"/>
    <w:rsid w:val="00AF72BF"/>
    <w:rsid w:val="00B01452"/>
    <w:rsid w:val="00B02E35"/>
    <w:rsid w:val="00B03576"/>
    <w:rsid w:val="00B040CA"/>
    <w:rsid w:val="00B0472C"/>
    <w:rsid w:val="00B102D9"/>
    <w:rsid w:val="00B14820"/>
    <w:rsid w:val="00B1779B"/>
    <w:rsid w:val="00B3384E"/>
    <w:rsid w:val="00B33978"/>
    <w:rsid w:val="00B33D7B"/>
    <w:rsid w:val="00B360D5"/>
    <w:rsid w:val="00B37582"/>
    <w:rsid w:val="00B40410"/>
    <w:rsid w:val="00B411FE"/>
    <w:rsid w:val="00B461E2"/>
    <w:rsid w:val="00B46C7E"/>
    <w:rsid w:val="00B52FCF"/>
    <w:rsid w:val="00B56C0A"/>
    <w:rsid w:val="00B6033B"/>
    <w:rsid w:val="00B654C9"/>
    <w:rsid w:val="00B7124E"/>
    <w:rsid w:val="00B743EA"/>
    <w:rsid w:val="00B84B0B"/>
    <w:rsid w:val="00B853FB"/>
    <w:rsid w:val="00B85C52"/>
    <w:rsid w:val="00B964C4"/>
    <w:rsid w:val="00BA2C5C"/>
    <w:rsid w:val="00BA5A83"/>
    <w:rsid w:val="00BA6799"/>
    <w:rsid w:val="00BA69AE"/>
    <w:rsid w:val="00BB18CD"/>
    <w:rsid w:val="00BB26AB"/>
    <w:rsid w:val="00BB550B"/>
    <w:rsid w:val="00BB6CCC"/>
    <w:rsid w:val="00BC04A2"/>
    <w:rsid w:val="00BC40B3"/>
    <w:rsid w:val="00BC44F4"/>
    <w:rsid w:val="00BD4B1A"/>
    <w:rsid w:val="00BD6C4E"/>
    <w:rsid w:val="00BE396E"/>
    <w:rsid w:val="00BE69AC"/>
    <w:rsid w:val="00BF0479"/>
    <w:rsid w:val="00BF0DFE"/>
    <w:rsid w:val="00BF1BEE"/>
    <w:rsid w:val="00BF2302"/>
    <w:rsid w:val="00BF3109"/>
    <w:rsid w:val="00BF4914"/>
    <w:rsid w:val="00C0013C"/>
    <w:rsid w:val="00C05EDF"/>
    <w:rsid w:val="00C06FBE"/>
    <w:rsid w:val="00C1191F"/>
    <w:rsid w:val="00C13B47"/>
    <w:rsid w:val="00C13C95"/>
    <w:rsid w:val="00C13DF5"/>
    <w:rsid w:val="00C1782D"/>
    <w:rsid w:val="00C20B8A"/>
    <w:rsid w:val="00C20BEE"/>
    <w:rsid w:val="00C34180"/>
    <w:rsid w:val="00C37492"/>
    <w:rsid w:val="00C43334"/>
    <w:rsid w:val="00C45D90"/>
    <w:rsid w:val="00C47220"/>
    <w:rsid w:val="00C50B10"/>
    <w:rsid w:val="00C50F53"/>
    <w:rsid w:val="00C548AC"/>
    <w:rsid w:val="00C614AF"/>
    <w:rsid w:val="00C67123"/>
    <w:rsid w:val="00C703C1"/>
    <w:rsid w:val="00C7234E"/>
    <w:rsid w:val="00C74BEE"/>
    <w:rsid w:val="00C808E5"/>
    <w:rsid w:val="00C84EFB"/>
    <w:rsid w:val="00C86E40"/>
    <w:rsid w:val="00C90108"/>
    <w:rsid w:val="00C90EB4"/>
    <w:rsid w:val="00CA2F2F"/>
    <w:rsid w:val="00CA5D0B"/>
    <w:rsid w:val="00CB1778"/>
    <w:rsid w:val="00CB26FD"/>
    <w:rsid w:val="00CB7E7D"/>
    <w:rsid w:val="00CC038A"/>
    <w:rsid w:val="00CC23B0"/>
    <w:rsid w:val="00CC4127"/>
    <w:rsid w:val="00CC78F9"/>
    <w:rsid w:val="00CD2FD8"/>
    <w:rsid w:val="00CD5843"/>
    <w:rsid w:val="00CD712E"/>
    <w:rsid w:val="00CD7AAF"/>
    <w:rsid w:val="00CF305A"/>
    <w:rsid w:val="00CF764F"/>
    <w:rsid w:val="00D01F6E"/>
    <w:rsid w:val="00D06334"/>
    <w:rsid w:val="00D10820"/>
    <w:rsid w:val="00D118AD"/>
    <w:rsid w:val="00D15284"/>
    <w:rsid w:val="00D207B7"/>
    <w:rsid w:val="00D25849"/>
    <w:rsid w:val="00D27B27"/>
    <w:rsid w:val="00D31668"/>
    <w:rsid w:val="00D3169E"/>
    <w:rsid w:val="00D33420"/>
    <w:rsid w:val="00D44CE4"/>
    <w:rsid w:val="00D46CBC"/>
    <w:rsid w:val="00D4755A"/>
    <w:rsid w:val="00D47A2C"/>
    <w:rsid w:val="00D55D87"/>
    <w:rsid w:val="00D55F83"/>
    <w:rsid w:val="00D56273"/>
    <w:rsid w:val="00D62E96"/>
    <w:rsid w:val="00D701CC"/>
    <w:rsid w:val="00D70C50"/>
    <w:rsid w:val="00D768C4"/>
    <w:rsid w:val="00D769FB"/>
    <w:rsid w:val="00D92F74"/>
    <w:rsid w:val="00D93418"/>
    <w:rsid w:val="00D95154"/>
    <w:rsid w:val="00DA0E4F"/>
    <w:rsid w:val="00DA2F53"/>
    <w:rsid w:val="00DA59D5"/>
    <w:rsid w:val="00DA74D3"/>
    <w:rsid w:val="00DB1E71"/>
    <w:rsid w:val="00DB4A4B"/>
    <w:rsid w:val="00DC0263"/>
    <w:rsid w:val="00DC0E3C"/>
    <w:rsid w:val="00DC3C32"/>
    <w:rsid w:val="00DC3FFD"/>
    <w:rsid w:val="00DD0AF1"/>
    <w:rsid w:val="00DD14F4"/>
    <w:rsid w:val="00DD2E26"/>
    <w:rsid w:val="00DD311A"/>
    <w:rsid w:val="00DE1748"/>
    <w:rsid w:val="00DE552A"/>
    <w:rsid w:val="00E02561"/>
    <w:rsid w:val="00E031DE"/>
    <w:rsid w:val="00E06462"/>
    <w:rsid w:val="00E13628"/>
    <w:rsid w:val="00E16CCC"/>
    <w:rsid w:val="00E264BA"/>
    <w:rsid w:val="00E31F56"/>
    <w:rsid w:val="00E345BD"/>
    <w:rsid w:val="00E36D0B"/>
    <w:rsid w:val="00E4345B"/>
    <w:rsid w:val="00E50B3E"/>
    <w:rsid w:val="00E521B1"/>
    <w:rsid w:val="00E57B85"/>
    <w:rsid w:val="00E62F27"/>
    <w:rsid w:val="00E713BF"/>
    <w:rsid w:val="00E7422C"/>
    <w:rsid w:val="00E74504"/>
    <w:rsid w:val="00E7560F"/>
    <w:rsid w:val="00E8232A"/>
    <w:rsid w:val="00E82A18"/>
    <w:rsid w:val="00E846B1"/>
    <w:rsid w:val="00E86B45"/>
    <w:rsid w:val="00E878D5"/>
    <w:rsid w:val="00E924FD"/>
    <w:rsid w:val="00E930AB"/>
    <w:rsid w:val="00E93689"/>
    <w:rsid w:val="00E936DA"/>
    <w:rsid w:val="00E97375"/>
    <w:rsid w:val="00EA1AA6"/>
    <w:rsid w:val="00EA3CBC"/>
    <w:rsid w:val="00EA6BC8"/>
    <w:rsid w:val="00EA7016"/>
    <w:rsid w:val="00EB3F44"/>
    <w:rsid w:val="00EC08FA"/>
    <w:rsid w:val="00EC1E4C"/>
    <w:rsid w:val="00EC2586"/>
    <w:rsid w:val="00EC45E6"/>
    <w:rsid w:val="00EC4DE4"/>
    <w:rsid w:val="00EC5B84"/>
    <w:rsid w:val="00ED4E80"/>
    <w:rsid w:val="00ED5C9E"/>
    <w:rsid w:val="00EE1627"/>
    <w:rsid w:val="00EE2D09"/>
    <w:rsid w:val="00EF3110"/>
    <w:rsid w:val="00EF3F4A"/>
    <w:rsid w:val="00F04F02"/>
    <w:rsid w:val="00F147A9"/>
    <w:rsid w:val="00F16E5D"/>
    <w:rsid w:val="00F2152F"/>
    <w:rsid w:val="00F23168"/>
    <w:rsid w:val="00F2353D"/>
    <w:rsid w:val="00F326F1"/>
    <w:rsid w:val="00F36A03"/>
    <w:rsid w:val="00F51E0F"/>
    <w:rsid w:val="00F530A0"/>
    <w:rsid w:val="00F53378"/>
    <w:rsid w:val="00F5496C"/>
    <w:rsid w:val="00F60744"/>
    <w:rsid w:val="00F60AAE"/>
    <w:rsid w:val="00F64B99"/>
    <w:rsid w:val="00F7360A"/>
    <w:rsid w:val="00F7484F"/>
    <w:rsid w:val="00F80591"/>
    <w:rsid w:val="00F8174C"/>
    <w:rsid w:val="00F83427"/>
    <w:rsid w:val="00F939DE"/>
    <w:rsid w:val="00F972E7"/>
    <w:rsid w:val="00FA2F59"/>
    <w:rsid w:val="00FA36DD"/>
    <w:rsid w:val="00FB1F37"/>
    <w:rsid w:val="00FB6B3A"/>
    <w:rsid w:val="00FB7083"/>
    <w:rsid w:val="00FC13AA"/>
    <w:rsid w:val="00FC2897"/>
    <w:rsid w:val="00FD5C6C"/>
    <w:rsid w:val="00FD60FF"/>
    <w:rsid w:val="00FE0511"/>
    <w:rsid w:val="00FE1A4B"/>
    <w:rsid w:val="00FE5F2A"/>
    <w:rsid w:val="00FF30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66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23"/>
    <w:pPr>
      <w:spacing w:after="0" w:line="240" w:lineRule="auto"/>
    </w:pPr>
    <w:rPr>
      <w:rFonts w:eastAsia="Times New Roman" w:cs="Times New Roman"/>
      <w:szCs w:val="20"/>
      <w:lang w:eastAsia="en-AU"/>
    </w:rPr>
  </w:style>
  <w:style w:type="paragraph" w:styleId="Heading1">
    <w:name w:val="heading 1"/>
    <w:basedOn w:val="Normal"/>
    <w:link w:val="Heading1Char"/>
    <w:uiPriority w:val="99"/>
    <w:qFormat/>
    <w:rsid w:val="00AF64E7"/>
    <w:pPr>
      <w:keepNext/>
      <w:keepLines/>
      <w:outlineLvl w:val="0"/>
    </w:pPr>
    <w:rPr>
      <w:rFonts w:eastAsiaTheme="majorEastAsia" w:cstheme="majorBidi"/>
      <w:b/>
      <w:bCs/>
      <w:szCs w:val="28"/>
    </w:rPr>
  </w:style>
  <w:style w:type="paragraph" w:styleId="Heading2">
    <w:name w:val="heading 2"/>
    <w:basedOn w:val="Normal"/>
    <w:link w:val="Heading2Char"/>
    <w:uiPriority w:val="9"/>
    <w:unhideWhenUsed/>
    <w:qFormat/>
    <w:rsid w:val="00451310"/>
    <w:pPr>
      <w:keepNext/>
      <w:keepLines/>
      <w:outlineLvl w:val="1"/>
    </w:pPr>
    <w:rPr>
      <w:rFonts w:eastAsiaTheme="majorEastAsia" w:cstheme="majorBidi"/>
      <w:bCs/>
      <w:i/>
      <w:szCs w:val="26"/>
    </w:rPr>
  </w:style>
  <w:style w:type="paragraph" w:styleId="Heading3">
    <w:name w:val="heading 3"/>
    <w:basedOn w:val="Normal"/>
    <w:next w:val="Normal"/>
    <w:link w:val="Heading3Char"/>
    <w:uiPriority w:val="9"/>
    <w:semiHidden/>
    <w:unhideWhenUsed/>
    <w:qFormat/>
    <w:rsid w:val="00301462"/>
    <w:pPr>
      <w:keepNext/>
      <w:keepLines/>
      <w:spacing w:before="40"/>
      <w:outlineLvl w:val="2"/>
    </w:pPr>
    <w:rPr>
      <w:rFonts w:eastAsiaTheme="majorEastAsia" w:cstheme="majorBidi"/>
      <w:szCs w:val="24"/>
      <w:u w:val="single"/>
    </w:rPr>
  </w:style>
  <w:style w:type="paragraph" w:styleId="Heading4">
    <w:name w:val="heading 4"/>
    <w:basedOn w:val="Normal"/>
    <w:next w:val="Normal"/>
    <w:link w:val="Heading4Char"/>
    <w:uiPriority w:val="9"/>
    <w:semiHidden/>
    <w:unhideWhenUsed/>
    <w:qFormat/>
    <w:rsid w:val="007C2D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5623"/>
    <w:rPr>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unhideWhenUsed/>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rsid w:val="00065623"/>
    <w:rPr>
      <w:rFonts w:ascii="Tahoma" w:eastAsia="Times New Roman" w:hAnsi="Tahoma" w:cs="Tahoma"/>
      <w:sz w:val="16"/>
      <w:szCs w:val="16"/>
      <w:lang w:eastAsia="en-AU"/>
    </w:rPr>
  </w:style>
  <w:style w:type="paragraph" w:styleId="Header">
    <w:name w:val="header"/>
    <w:basedOn w:val="Normal"/>
    <w:link w:val="HeaderChar"/>
    <w:uiPriority w:val="99"/>
    <w:unhideWhenUsed/>
    <w:rsid w:val="008227C1"/>
    <w:pPr>
      <w:tabs>
        <w:tab w:val="center" w:pos="4513"/>
        <w:tab w:val="right" w:pos="9026"/>
      </w:tabs>
    </w:pPr>
  </w:style>
  <w:style w:type="character" w:customStyle="1" w:styleId="HeaderChar">
    <w:name w:val="Header Char"/>
    <w:basedOn w:val="DefaultParagraphFont"/>
    <w:link w:val="Header"/>
    <w:uiPriority w:val="99"/>
    <w:rsid w:val="008227C1"/>
    <w:rPr>
      <w:rFonts w:eastAsia="Times New Roman" w:cs="Times New Roman"/>
      <w:szCs w:val="20"/>
      <w:lang w:eastAsia="en-AU"/>
    </w:rPr>
  </w:style>
  <w:style w:type="paragraph" w:styleId="Footer">
    <w:name w:val="footer"/>
    <w:basedOn w:val="Normal"/>
    <w:link w:val="FooterChar"/>
    <w:uiPriority w:val="99"/>
    <w:unhideWhenUsed/>
    <w:rsid w:val="008227C1"/>
    <w:pPr>
      <w:tabs>
        <w:tab w:val="center" w:pos="4513"/>
        <w:tab w:val="right" w:pos="9026"/>
      </w:tabs>
    </w:pPr>
  </w:style>
  <w:style w:type="character" w:customStyle="1" w:styleId="FooterChar">
    <w:name w:val="Footer Char"/>
    <w:basedOn w:val="DefaultParagraphFont"/>
    <w:link w:val="Footer"/>
    <w:uiPriority w:val="99"/>
    <w:rsid w:val="008227C1"/>
    <w:rPr>
      <w:rFonts w:eastAsia="Times New Roman" w:cs="Times New Roman"/>
      <w:szCs w:val="20"/>
      <w:lang w:eastAsia="en-AU"/>
    </w:rPr>
  </w:style>
  <w:style w:type="paragraph" w:customStyle="1" w:styleId="Table">
    <w:name w:val="Table"/>
    <w:basedOn w:val="Normal"/>
    <w:link w:val="TableChar"/>
    <w:qFormat/>
    <w:rsid w:val="00C20B8A"/>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C20B8A"/>
    <w:rPr>
      <w:rFonts w:ascii="Candara" w:eastAsiaTheme="majorEastAsia" w:hAnsi="Candara" w:cstheme="majorBidi"/>
      <w:sz w:val="20"/>
      <w:lang w:bidi="en-US"/>
    </w:rPr>
  </w:style>
  <w:style w:type="paragraph" w:customStyle="1" w:styleId="TableCentre">
    <w:name w:val="Table Centre"/>
    <w:basedOn w:val="Table"/>
    <w:uiPriority w:val="99"/>
    <w:qFormat/>
    <w:rsid w:val="00C20B8A"/>
    <w:pPr>
      <w:jc w:val="center"/>
    </w:pPr>
  </w:style>
  <w:style w:type="table" w:styleId="TableGrid">
    <w:name w:val="Table Grid"/>
    <w:basedOn w:val="TableNormal"/>
    <w:rsid w:val="00C20B8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136969"/>
    <w:pPr>
      <w:spacing w:before="40" w:after="40"/>
    </w:pPr>
    <w:rPr>
      <w:rFonts w:ascii="Arial Narrow" w:hAnsi="Arial Narrow"/>
      <w:sz w:val="20"/>
      <w:szCs w:val="24"/>
      <w:lang w:eastAsia="en-US"/>
    </w:rPr>
  </w:style>
  <w:style w:type="paragraph" w:customStyle="1" w:styleId="Tabletextbold">
    <w:name w:val="Table text bold"/>
    <w:basedOn w:val="Normal"/>
    <w:link w:val="TabletextboldChar"/>
    <w:rsid w:val="00C20B8A"/>
    <w:pPr>
      <w:keepNext/>
      <w:jc w:val="center"/>
    </w:pPr>
    <w:rPr>
      <w:rFonts w:ascii="Arial Narrow" w:hAnsi="Arial Narrow" w:cs="Arial"/>
      <w:b/>
      <w:sz w:val="20"/>
      <w:lang w:eastAsia="en-US"/>
    </w:rPr>
  </w:style>
  <w:style w:type="character" w:customStyle="1" w:styleId="TabletextChar">
    <w:name w:val="Table text Char"/>
    <w:basedOn w:val="DefaultParagraphFont"/>
    <w:link w:val="Tabletext"/>
    <w:rsid w:val="00136969"/>
    <w:rPr>
      <w:rFonts w:ascii="Arial Narrow" w:eastAsia="Times New Roman" w:hAnsi="Arial Narrow" w:cs="Times New Roman"/>
      <w:sz w:val="20"/>
      <w:szCs w:val="24"/>
    </w:rPr>
  </w:style>
  <w:style w:type="character" w:customStyle="1" w:styleId="TabletextboldChar">
    <w:name w:val="Table text bold Char"/>
    <w:basedOn w:val="DefaultParagraphFont"/>
    <w:link w:val="Tabletextbold"/>
    <w:rsid w:val="00C20B8A"/>
    <w:rPr>
      <w:rFonts w:ascii="Arial Narrow" w:eastAsia="Times New Roman" w:hAnsi="Arial Narrow" w:cs="Arial"/>
      <w:b/>
      <w:sz w:val="20"/>
      <w:szCs w:val="20"/>
    </w:rPr>
  </w:style>
  <w:style w:type="paragraph" w:customStyle="1" w:styleId="ESHeading2">
    <w:name w:val="ES Heading 2"/>
    <w:basedOn w:val="Heading2"/>
    <w:link w:val="ESHeading2Char"/>
    <w:rsid w:val="00C20B8A"/>
    <w:pPr>
      <w:keepLines w:val="0"/>
      <w:ind w:left="576" w:hanging="576"/>
      <w:jc w:val="both"/>
    </w:pPr>
    <w:rPr>
      <w:rFonts w:ascii="Garamond" w:eastAsia="Times New Roman" w:hAnsi="Garamond" w:cs="Times New Roman"/>
      <w:iCs/>
      <w:szCs w:val="28"/>
    </w:rPr>
  </w:style>
  <w:style w:type="character" w:customStyle="1" w:styleId="ESHeading2Char">
    <w:name w:val="ES Heading 2 Char"/>
    <w:basedOn w:val="Heading2Char"/>
    <w:link w:val="ESHeading2"/>
    <w:rsid w:val="00C20B8A"/>
    <w:rPr>
      <w:rFonts w:ascii="Garamond" w:eastAsia="Times New Roman" w:hAnsi="Garamond" w:cs="Times New Roman"/>
      <w:b w:val="0"/>
      <w:bCs/>
      <w:i/>
      <w:iCs/>
      <w:color w:val="4F81BD" w:themeColor="accent1"/>
      <w:sz w:val="26"/>
      <w:szCs w:val="28"/>
      <w:lang w:eastAsia="en-AU"/>
    </w:rPr>
  </w:style>
  <w:style w:type="table" w:customStyle="1" w:styleId="Submissiontemplate2">
    <w:name w:val="Submission template2"/>
    <w:basedOn w:val="TableNormal"/>
    <w:uiPriority w:val="99"/>
    <w:rsid w:val="00C20B8A"/>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451310"/>
    <w:rPr>
      <w:rFonts w:eastAsiaTheme="majorEastAsia" w:cstheme="majorBidi"/>
      <w:bCs/>
      <w:i/>
      <w:szCs w:val="26"/>
      <w:lang w:eastAsia="en-AU"/>
    </w:rPr>
  </w:style>
  <w:style w:type="character" w:styleId="Emphasis">
    <w:name w:val="Emphasis"/>
    <w:uiPriority w:val="20"/>
    <w:qFormat/>
    <w:rsid w:val="00C84EFB"/>
    <w:rPr>
      <w:rFonts w:ascii="Garamond" w:eastAsia="Times New Roman" w:hAnsi="Garamond" w:cs="Times New Roman"/>
      <w:i/>
      <w:sz w:val="24"/>
      <w:szCs w:val="24"/>
    </w:rPr>
  </w:style>
  <w:style w:type="paragraph" w:customStyle="1" w:styleId="Tabletextboldleft">
    <w:name w:val="Table text bold left"/>
    <w:basedOn w:val="Tabletextbold"/>
    <w:link w:val="TabletextboldleftChar"/>
    <w:qFormat/>
    <w:rsid w:val="00C84EFB"/>
    <w:pPr>
      <w:jc w:val="left"/>
    </w:pPr>
  </w:style>
  <w:style w:type="character" w:customStyle="1" w:styleId="TabletextboldleftChar">
    <w:name w:val="Table text bold left Char"/>
    <w:basedOn w:val="TabletextboldChar"/>
    <w:link w:val="Tabletextboldleft"/>
    <w:rsid w:val="00C84EFB"/>
    <w:rPr>
      <w:rFonts w:ascii="Arial Narrow" w:eastAsia="Times New Roman" w:hAnsi="Arial Narrow" w:cs="Arial"/>
      <w:b/>
      <w:sz w:val="20"/>
      <w:szCs w:val="20"/>
    </w:rPr>
  </w:style>
  <w:style w:type="table" w:customStyle="1" w:styleId="Submissiontemplate7">
    <w:name w:val="Submission template7"/>
    <w:basedOn w:val="TableNormal"/>
    <w:uiPriority w:val="99"/>
    <w:rsid w:val="00C84EFB"/>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Tablecaption">
    <w:name w:val="Table caption"/>
    <w:basedOn w:val="Normal"/>
    <w:link w:val="TablecaptionChar"/>
    <w:qFormat/>
    <w:rsid w:val="000E396B"/>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0E396B"/>
    <w:rPr>
      <w:rFonts w:ascii="Arial Narrow" w:eastAsia="Times New Roman" w:hAnsi="Arial Narrow" w:cs="Arial"/>
      <w:sz w:val="20"/>
      <w:szCs w:val="20"/>
    </w:rPr>
  </w:style>
  <w:style w:type="paragraph" w:customStyle="1" w:styleId="Tabletextcentred">
    <w:name w:val="Table text centred"/>
    <w:basedOn w:val="Tabletext"/>
    <w:link w:val="TabletextcentredChar"/>
    <w:qFormat/>
    <w:rsid w:val="000E396B"/>
    <w:pPr>
      <w:jc w:val="center"/>
    </w:pPr>
  </w:style>
  <w:style w:type="character" w:customStyle="1" w:styleId="TabletextcentredChar">
    <w:name w:val="Table text centred Char"/>
    <w:basedOn w:val="TabletextChar"/>
    <w:link w:val="Tabletextcentred"/>
    <w:rsid w:val="000E396B"/>
    <w:rPr>
      <w:rFonts w:ascii="Arial Narrow" w:eastAsia="Times New Roman" w:hAnsi="Arial Narrow" w:cs="Times New Roman"/>
      <w:sz w:val="20"/>
      <w:szCs w:val="24"/>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rsid w:val="00C67123"/>
    <w:pPr>
      <w:keepNext/>
      <w:spacing w:after="40"/>
      <w:jc w:val="both"/>
      <w:outlineLvl w:val="4"/>
    </w:pPr>
    <w:rPr>
      <w:rFonts w:ascii="Arial Narrow" w:hAnsi="Arial Narrow" w:cs="Arial"/>
      <w:b/>
      <w:bCs/>
      <w:iCs/>
      <w:sz w:val="20"/>
      <w:lang w:eastAsia="en-US"/>
    </w:rPr>
  </w:style>
  <w:style w:type="character" w:customStyle="1" w:styleId="TableBold">
    <w:name w:val="Table Bold"/>
    <w:uiPriority w:val="4"/>
    <w:qFormat/>
    <w:rsid w:val="005856E5"/>
    <w:rPr>
      <w:rFonts w:ascii="Calibri" w:hAnsi="Calibri" w:hint="default"/>
      <w:b/>
      <w:bCs w:val="0"/>
      <w:sz w:val="20"/>
      <w:lang w:val="en-AU"/>
    </w:rPr>
  </w:style>
  <w:style w:type="table" w:customStyle="1" w:styleId="TableGrid12">
    <w:name w:val="Table Grid12"/>
    <w:basedOn w:val="TableNormal"/>
    <w:next w:val="TableGrid"/>
    <w:uiPriority w:val="59"/>
    <w:rsid w:val="005856E5"/>
    <w:pPr>
      <w:spacing w:after="0" w:line="240" w:lineRule="auto"/>
    </w:pPr>
    <w:rPr>
      <w:rFonts w:ascii="Candara" w:eastAsia="Times New Roman" w:hAnsi="Candara" w:cstheme="majorBidi"/>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Style2">
    <w:name w:val="Style2"/>
    <w:basedOn w:val="Normal"/>
    <w:link w:val="Style2Char"/>
    <w:qFormat/>
    <w:rsid w:val="00303414"/>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303414"/>
    <w:rPr>
      <w:rFonts w:ascii="Arial" w:eastAsia="Times New Roman" w:hAnsi="Arial" w:cs="Arial"/>
      <w:color w:val="3366FF"/>
      <w:szCs w:val="24"/>
      <w:lang w:eastAsia="en-AU"/>
    </w:rPr>
  </w:style>
  <w:style w:type="paragraph" w:styleId="NoSpacing">
    <w:name w:val="No Spacing"/>
    <w:uiPriority w:val="1"/>
    <w:qFormat/>
    <w:rsid w:val="00303414"/>
    <w:pPr>
      <w:spacing w:after="0" w:line="240" w:lineRule="auto"/>
    </w:pPr>
    <w:rPr>
      <w:rFonts w:asciiTheme="minorHAnsi" w:hAnsiTheme="minorHAnsi"/>
      <w:sz w:val="22"/>
    </w:rPr>
  </w:style>
  <w:style w:type="paragraph" w:customStyle="1" w:styleId="NormalBulletList">
    <w:name w:val="Normal Bullet List"/>
    <w:basedOn w:val="Normal"/>
    <w:uiPriority w:val="3"/>
    <w:qFormat/>
    <w:rsid w:val="00950C0C"/>
    <w:pPr>
      <w:numPr>
        <w:numId w:val="7"/>
      </w:numPr>
      <w:spacing w:after="240" w:line="276" w:lineRule="auto"/>
      <w:contextualSpacing/>
      <w:jc w:val="both"/>
    </w:pPr>
    <w:rPr>
      <w:rFonts w:ascii="Candara" w:eastAsiaTheme="majorEastAsia" w:hAnsi="Candara" w:cstheme="majorBidi"/>
      <w:szCs w:val="22"/>
      <w:lang w:eastAsia="en-US" w:bidi="en-US"/>
    </w:rPr>
  </w:style>
  <w:style w:type="paragraph" w:styleId="EndnoteText">
    <w:name w:val="endnote text"/>
    <w:basedOn w:val="Normal"/>
    <w:link w:val="EndnoteTextChar"/>
    <w:rsid w:val="00CD7AAF"/>
    <w:pPr>
      <w:widowControl w:val="0"/>
    </w:pPr>
    <w:rPr>
      <w:snapToGrid w:val="0"/>
      <w:sz w:val="20"/>
      <w:lang w:val="en-US" w:eastAsia="en-US"/>
    </w:rPr>
  </w:style>
  <w:style w:type="character" w:customStyle="1" w:styleId="EndnoteTextChar">
    <w:name w:val="Endnote Text Char"/>
    <w:basedOn w:val="DefaultParagraphFont"/>
    <w:link w:val="EndnoteText"/>
    <w:rsid w:val="00CD7AAF"/>
    <w:rPr>
      <w:rFonts w:eastAsia="Times New Roman" w:cs="Times New Roman"/>
      <w:snapToGrid w:val="0"/>
      <w:sz w:val="20"/>
      <w:szCs w:val="20"/>
      <w:lang w:val="en-US"/>
    </w:rPr>
  </w:style>
  <w:style w:type="character" w:styleId="EndnoteReference">
    <w:name w:val="endnote reference"/>
    <w:basedOn w:val="DefaultParagraphFont"/>
    <w:rsid w:val="00CD7AAF"/>
    <w:rPr>
      <w:vertAlign w:val="superscript"/>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C67123"/>
    <w:rPr>
      <w:rFonts w:ascii="Arial Narrow" w:eastAsia="Times New Roman" w:hAnsi="Arial Narrow" w:cs="Arial"/>
      <w:b/>
      <w:bCs/>
      <w:iCs/>
      <w:sz w:val="20"/>
      <w:szCs w:val="20"/>
    </w:rPr>
  </w:style>
  <w:style w:type="character" w:customStyle="1" w:styleId="SmallBold">
    <w:name w:val="Small Bold"/>
    <w:basedOn w:val="DefaultParagraphFont"/>
    <w:uiPriority w:val="4"/>
    <w:qFormat/>
    <w:rsid w:val="00FB7083"/>
    <w:rPr>
      <w:rFonts w:ascii="Candara" w:hAnsi="Candara"/>
      <w:b/>
      <w:sz w:val="20"/>
      <w:lang w:val="en-AU"/>
    </w:rPr>
  </w:style>
  <w:style w:type="table" w:customStyle="1" w:styleId="Submissiontemplate">
    <w:name w:val="Submission template"/>
    <w:basedOn w:val="TableNormal"/>
    <w:uiPriority w:val="99"/>
    <w:rsid w:val="00FB7083"/>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styleId="CommentReference">
    <w:name w:val="annotation reference"/>
    <w:basedOn w:val="DefaultParagraphFont"/>
    <w:uiPriority w:val="99"/>
    <w:semiHidden/>
    <w:unhideWhenUsed/>
    <w:rsid w:val="00C90EB4"/>
    <w:rPr>
      <w:sz w:val="16"/>
      <w:szCs w:val="16"/>
    </w:rPr>
  </w:style>
  <w:style w:type="paragraph" w:styleId="CommentText">
    <w:name w:val="annotation text"/>
    <w:basedOn w:val="Normal"/>
    <w:link w:val="CommentTextChar"/>
    <w:uiPriority w:val="99"/>
    <w:unhideWhenUsed/>
    <w:rsid w:val="00C90EB4"/>
    <w:rPr>
      <w:sz w:val="20"/>
    </w:rPr>
  </w:style>
  <w:style w:type="character" w:customStyle="1" w:styleId="CommentTextChar">
    <w:name w:val="Comment Text Char"/>
    <w:basedOn w:val="DefaultParagraphFont"/>
    <w:link w:val="CommentText"/>
    <w:uiPriority w:val="99"/>
    <w:rsid w:val="00C90EB4"/>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90EB4"/>
    <w:rPr>
      <w:b/>
      <w:bCs/>
    </w:rPr>
  </w:style>
  <w:style w:type="character" w:customStyle="1" w:styleId="CommentSubjectChar">
    <w:name w:val="Comment Subject Char"/>
    <w:basedOn w:val="CommentTextChar"/>
    <w:link w:val="CommentSubject"/>
    <w:uiPriority w:val="99"/>
    <w:semiHidden/>
    <w:rsid w:val="00C90EB4"/>
    <w:rPr>
      <w:rFonts w:eastAsia="Times New Roman" w:cs="Times New Roman"/>
      <w:b/>
      <w:bCs/>
      <w:sz w:val="20"/>
      <w:szCs w:val="20"/>
      <w:lang w:eastAsia="en-AU"/>
    </w:rPr>
  </w:style>
  <w:style w:type="paragraph" w:customStyle="1" w:styleId="TableHeading">
    <w:name w:val="TableHeading"/>
    <w:basedOn w:val="Normal"/>
    <w:link w:val="TableHeadingChar"/>
    <w:qFormat/>
    <w:rsid w:val="00054151"/>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054151"/>
    <w:rPr>
      <w:rFonts w:ascii="Arial Narrow" w:eastAsia="Times New Roman" w:hAnsi="Arial Narrow" w:cs="Tahoma"/>
      <w:b/>
      <w:noProof/>
      <w:sz w:val="20"/>
      <w:szCs w:val="20"/>
      <w:lang w:eastAsia="en-AU"/>
    </w:rPr>
  </w:style>
  <w:style w:type="paragraph" w:customStyle="1" w:styleId="Tablenotes">
    <w:name w:val="Tablenotes"/>
    <w:basedOn w:val="Normal"/>
    <w:link w:val="TablenotesChar"/>
    <w:autoRedefine/>
    <w:qFormat/>
    <w:rsid w:val="009110E5"/>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9110E5"/>
    <w:rPr>
      <w:rFonts w:ascii="Arial Narrow" w:eastAsia="Times New Roman" w:hAnsi="Arial Narrow" w:cs="Arial"/>
      <w:snapToGrid w:val="0"/>
      <w:sz w:val="18"/>
      <w:szCs w:val="20"/>
    </w:rPr>
  </w:style>
  <w:style w:type="character" w:customStyle="1" w:styleId="Heading4Char">
    <w:name w:val="Heading 4 Char"/>
    <w:basedOn w:val="DefaultParagraphFont"/>
    <w:link w:val="Heading4"/>
    <w:uiPriority w:val="9"/>
    <w:semiHidden/>
    <w:rsid w:val="007C2D6A"/>
    <w:rPr>
      <w:rFonts w:asciiTheme="majorHAnsi" w:eastAsiaTheme="majorEastAsia" w:hAnsiTheme="majorHAnsi" w:cstheme="majorBidi"/>
      <w:b/>
      <w:bCs/>
      <w:i/>
      <w:iCs/>
      <w:color w:val="4F81BD" w:themeColor="accent1"/>
      <w:szCs w:val="20"/>
      <w:lang w:eastAsia="en-AU"/>
    </w:rPr>
  </w:style>
  <w:style w:type="table" w:customStyle="1" w:styleId="TableGrid2">
    <w:name w:val="Table Grid2"/>
    <w:basedOn w:val="TableNormal"/>
    <w:next w:val="TableGrid"/>
    <w:rsid w:val="000E6588"/>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character" w:customStyle="1" w:styleId="Heading1Char">
    <w:name w:val="Heading 1 Char"/>
    <w:basedOn w:val="DefaultParagraphFont"/>
    <w:link w:val="Heading1"/>
    <w:uiPriority w:val="99"/>
    <w:rsid w:val="00AF64E7"/>
    <w:rPr>
      <w:rFonts w:eastAsiaTheme="majorEastAsia" w:cstheme="majorBidi"/>
      <w:b/>
      <w:bCs/>
      <w:szCs w:val="28"/>
      <w:lang w:eastAsia="en-AU"/>
    </w:rPr>
  </w:style>
  <w:style w:type="character" w:customStyle="1" w:styleId="Heading3Char">
    <w:name w:val="Heading 3 Char"/>
    <w:basedOn w:val="DefaultParagraphFont"/>
    <w:link w:val="Heading3"/>
    <w:uiPriority w:val="9"/>
    <w:semiHidden/>
    <w:rsid w:val="00301462"/>
    <w:rPr>
      <w:rFonts w:eastAsiaTheme="majorEastAsia" w:cstheme="majorBidi"/>
      <w:szCs w:val="24"/>
      <w:u w:val="single"/>
      <w:lang w:eastAsia="en-AU"/>
    </w:rPr>
  </w:style>
  <w:style w:type="character" w:customStyle="1" w:styleId="ListParagraphChar">
    <w:name w:val="List Paragraph Char"/>
    <w:aliases w:val="Styl moj Char,Akapit z listą1 Char,Akapit z listą11 Char"/>
    <w:link w:val="ListParagraph"/>
    <w:uiPriority w:val="34"/>
    <w:rsid w:val="00F51E0F"/>
    <w:rPr>
      <w:rFonts w:eastAsia="Times New Roman" w:cs="Times New Roman"/>
      <w:szCs w:val="20"/>
      <w:lang w:eastAsia="en-AU"/>
    </w:rPr>
  </w:style>
  <w:style w:type="paragraph" w:customStyle="1" w:styleId="Tablenotes1">
    <w:name w:val="Tablenotes 1"/>
    <w:basedOn w:val="Normal"/>
    <w:link w:val="Tablenotes1Char"/>
    <w:qFormat/>
    <w:rsid w:val="00206760"/>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206760"/>
    <w:rPr>
      <w:rFonts w:ascii="Arial Narrow" w:eastAsia="Times New Roman" w:hAnsi="Arial Narrow" w:cs="Arial"/>
      <w:snapToGrid w:val="0"/>
      <w:sz w:val="18"/>
      <w:szCs w:val="20"/>
    </w:rPr>
  </w:style>
  <w:style w:type="numbering" w:customStyle="1" w:styleId="Heading1a">
    <w:name w:val="Heading 1a"/>
    <w:basedOn w:val="NoList"/>
    <w:uiPriority w:val="99"/>
    <w:rsid w:val="00B0472C"/>
    <w:pPr>
      <w:numPr>
        <w:numId w:val="11"/>
      </w:numPr>
    </w:pPr>
  </w:style>
  <w:style w:type="paragraph" w:customStyle="1" w:styleId="Tabletext-left">
    <w:name w:val="Table text - left"/>
    <w:basedOn w:val="Normal"/>
    <w:link w:val="Tabletext-leftChar"/>
    <w:rsid w:val="00CB1778"/>
    <w:pPr>
      <w:keepNext/>
      <w:tabs>
        <w:tab w:val="left" w:pos="2835"/>
      </w:tabs>
      <w:spacing w:before="120" w:after="120" w:line="312" w:lineRule="auto"/>
      <w:jc w:val="both"/>
    </w:pPr>
    <w:rPr>
      <w:rFonts w:asciiTheme="minorHAnsi" w:hAnsiTheme="minorHAnsi" w:cs="Arial"/>
      <w:sz w:val="20"/>
      <w:lang w:eastAsia="en-US"/>
    </w:rPr>
  </w:style>
  <w:style w:type="character" w:customStyle="1" w:styleId="Tabletext-leftChar">
    <w:name w:val="Table text - left Char"/>
    <w:basedOn w:val="DefaultParagraphFont"/>
    <w:link w:val="Tabletext-left"/>
    <w:rsid w:val="00CB1778"/>
    <w:rPr>
      <w:rFonts w:asciiTheme="minorHAnsi" w:eastAsia="Times New Roman" w:hAnsiTheme="minorHAnsi" w:cs="Arial"/>
      <w:sz w:val="20"/>
      <w:szCs w:val="20"/>
    </w:rPr>
  </w:style>
  <w:style w:type="table" w:customStyle="1" w:styleId="TableGrid9">
    <w:name w:val="Table Grid9"/>
    <w:basedOn w:val="TableNormal"/>
    <w:next w:val="TableGrid"/>
    <w:uiPriority w:val="39"/>
    <w:rsid w:val="00136969"/>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3DF5"/>
    <w:pPr>
      <w:spacing w:after="0" w:line="240" w:lineRule="auto"/>
    </w:pPr>
    <w:rPr>
      <w:rFonts w:eastAsia="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14AC3"/>
  </w:style>
  <w:style w:type="character" w:customStyle="1" w:styleId="eop">
    <w:name w:val="eop"/>
    <w:basedOn w:val="DefaultParagraphFont"/>
    <w:rsid w:val="00114AC3"/>
  </w:style>
  <w:style w:type="table" w:customStyle="1" w:styleId="TableGrid1">
    <w:name w:val="Table Grid1"/>
    <w:basedOn w:val="TableNormal"/>
    <w:next w:val="TableGrid"/>
    <w:rsid w:val="00865820"/>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table" w:customStyle="1" w:styleId="OPTUMTableNormal">
    <w:name w:val="OPTUM Table Normal"/>
    <w:basedOn w:val="TableNormal"/>
    <w:rsid w:val="00704D34"/>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newstyle1">
    <w:name w:val="new style1"/>
    <w:basedOn w:val="TableNormal"/>
    <w:next w:val="TableGrid"/>
    <w:uiPriority w:val="39"/>
    <w:rsid w:val="00704D3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59"/>
    <w:rsid w:val="0078367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B6CCC"/>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paragraph" w:customStyle="1" w:styleId="TableText0">
    <w:name w:val="TableText"/>
    <w:basedOn w:val="Normal"/>
    <w:rsid w:val="00B33978"/>
    <w:pPr>
      <w:keepNext/>
      <w:spacing w:before="60" w:after="60"/>
    </w:pPr>
    <w:rPr>
      <w:color w:val="000000"/>
      <w:sz w:val="21"/>
      <w:szCs w:val="21"/>
    </w:rPr>
  </w:style>
  <w:style w:type="paragraph" w:styleId="Title">
    <w:name w:val="Title"/>
    <w:basedOn w:val="Normal"/>
    <w:next w:val="Normal"/>
    <w:link w:val="TitleChar"/>
    <w:qFormat/>
    <w:rsid w:val="009E7AB6"/>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9E7AB6"/>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9E7AB6"/>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9E7AB6"/>
    <w:rPr>
      <w:rFonts w:ascii="Arial" w:eastAsia="Times New Roman" w:hAnsi="Arial" w:cs="Arial"/>
      <w:b/>
      <w:bCs/>
      <w:i/>
      <w:color w:val="000080"/>
      <w:sz w:val="28"/>
      <w:szCs w:val="28"/>
      <w:lang w:eastAsia="en-AU"/>
    </w:rPr>
  </w:style>
  <w:style w:type="paragraph" w:customStyle="1" w:styleId="Default">
    <w:name w:val="Default"/>
    <w:rsid w:val="009E7AB6"/>
    <w:pPr>
      <w:autoSpaceDE w:val="0"/>
      <w:autoSpaceDN w:val="0"/>
      <w:adjustRightInd w:val="0"/>
      <w:spacing w:after="0" w:line="240" w:lineRule="auto"/>
    </w:pPr>
    <w:rPr>
      <w:rFonts w:eastAsia="Calibri" w:cs="Times New Roman"/>
      <w:color w:val="000000"/>
      <w:szCs w:val="24"/>
    </w:rPr>
  </w:style>
  <w:style w:type="character" w:styleId="UnresolvedMention">
    <w:name w:val="Unresolved Mention"/>
    <w:basedOn w:val="DefaultParagraphFont"/>
    <w:uiPriority w:val="99"/>
    <w:semiHidden/>
    <w:unhideWhenUsed/>
    <w:rsid w:val="00714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008561">
      <w:bodyDiv w:val="1"/>
      <w:marLeft w:val="0"/>
      <w:marRight w:val="0"/>
      <w:marTop w:val="0"/>
      <w:marBottom w:val="0"/>
      <w:divBdr>
        <w:top w:val="none" w:sz="0" w:space="0" w:color="auto"/>
        <w:left w:val="none" w:sz="0" w:space="0" w:color="auto"/>
        <w:bottom w:val="none" w:sz="0" w:space="0" w:color="auto"/>
        <w:right w:val="none" w:sz="0" w:space="0" w:color="auto"/>
      </w:divBdr>
    </w:div>
    <w:div w:id="1209880183">
      <w:bodyDiv w:val="1"/>
      <w:marLeft w:val="0"/>
      <w:marRight w:val="0"/>
      <w:marTop w:val="0"/>
      <w:marBottom w:val="0"/>
      <w:divBdr>
        <w:top w:val="none" w:sz="0" w:space="0" w:color="auto"/>
        <w:left w:val="none" w:sz="0" w:space="0" w:color="auto"/>
        <w:bottom w:val="none" w:sz="0" w:space="0" w:color="auto"/>
        <w:right w:val="none" w:sz="0" w:space="0" w:color="auto"/>
      </w:divBdr>
      <w:divsChild>
        <w:div w:id="2018075833">
          <w:marLeft w:val="288"/>
          <w:marRight w:val="0"/>
          <w:marTop w:val="115"/>
          <w:marBottom w:val="0"/>
          <w:divBdr>
            <w:top w:val="none" w:sz="0" w:space="0" w:color="auto"/>
            <w:left w:val="none" w:sz="0" w:space="0" w:color="auto"/>
            <w:bottom w:val="none" w:sz="0" w:space="0" w:color="auto"/>
            <w:right w:val="none" w:sz="0" w:space="0" w:color="auto"/>
          </w:divBdr>
        </w:div>
        <w:div w:id="1025593109">
          <w:marLeft w:val="288"/>
          <w:marRight w:val="0"/>
          <w:marTop w:val="115"/>
          <w:marBottom w:val="0"/>
          <w:divBdr>
            <w:top w:val="none" w:sz="0" w:space="0" w:color="auto"/>
            <w:left w:val="none" w:sz="0" w:space="0" w:color="auto"/>
            <w:bottom w:val="none" w:sz="0" w:space="0" w:color="auto"/>
            <w:right w:val="none" w:sz="0" w:space="0" w:color="auto"/>
          </w:divBdr>
        </w:div>
        <w:div w:id="849488156">
          <w:marLeft w:val="720"/>
          <w:marRight w:val="0"/>
          <w:marTop w:val="96"/>
          <w:marBottom w:val="0"/>
          <w:divBdr>
            <w:top w:val="none" w:sz="0" w:space="0" w:color="auto"/>
            <w:left w:val="none" w:sz="0" w:space="0" w:color="auto"/>
            <w:bottom w:val="none" w:sz="0" w:space="0" w:color="auto"/>
            <w:right w:val="none" w:sz="0" w:space="0" w:color="auto"/>
          </w:divBdr>
        </w:div>
        <w:div w:id="602231550">
          <w:marLeft w:val="720"/>
          <w:marRight w:val="0"/>
          <w:marTop w:val="96"/>
          <w:marBottom w:val="0"/>
          <w:divBdr>
            <w:top w:val="none" w:sz="0" w:space="0" w:color="auto"/>
            <w:left w:val="none" w:sz="0" w:space="0" w:color="auto"/>
            <w:bottom w:val="none" w:sz="0" w:space="0" w:color="auto"/>
            <w:right w:val="none" w:sz="0" w:space="0" w:color="auto"/>
          </w:divBdr>
        </w:div>
        <w:div w:id="1425762532">
          <w:marLeft w:val="720"/>
          <w:marRight w:val="0"/>
          <w:marTop w:val="96"/>
          <w:marBottom w:val="0"/>
          <w:divBdr>
            <w:top w:val="none" w:sz="0" w:space="0" w:color="auto"/>
            <w:left w:val="none" w:sz="0" w:space="0" w:color="auto"/>
            <w:bottom w:val="none" w:sz="0" w:space="0" w:color="auto"/>
            <w:right w:val="none" w:sz="0" w:space="0" w:color="auto"/>
          </w:divBdr>
        </w:div>
        <w:div w:id="2022856094">
          <w:marLeft w:val="720"/>
          <w:marRight w:val="0"/>
          <w:marTop w:val="96"/>
          <w:marBottom w:val="0"/>
          <w:divBdr>
            <w:top w:val="none" w:sz="0" w:space="0" w:color="auto"/>
            <w:left w:val="none" w:sz="0" w:space="0" w:color="auto"/>
            <w:bottom w:val="none" w:sz="0" w:space="0" w:color="auto"/>
            <w:right w:val="none" w:sz="0" w:space="0" w:color="auto"/>
          </w:divBdr>
        </w:div>
        <w:div w:id="1212351607">
          <w:marLeft w:val="720"/>
          <w:marRight w:val="0"/>
          <w:marTop w:val="96"/>
          <w:marBottom w:val="0"/>
          <w:divBdr>
            <w:top w:val="none" w:sz="0" w:space="0" w:color="auto"/>
            <w:left w:val="none" w:sz="0" w:space="0" w:color="auto"/>
            <w:bottom w:val="none" w:sz="0" w:space="0" w:color="auto"/>
            <w:right w:val="none" w:sz="0" w:space="0" w:color="auto"/>
          </w:divBdr>
        </w:div>
        <w:div w:id="1886022654">
          <w:marLeft w:val="288"/>
          <w:marRight w:val="0"/>
          <w:marTop w:val="115"/>
          <w:marBottom w:val="0"/>
          <w:divBdr>
            <w:top w:val="none" w:sz="0" w:space="0" w:color="auto"/>
            <w:left w:val="none" w:sz="0" w:space="0" w:color="auto"/>
            <w:bottom w:val="none" w:sz="0" w:space="0" w:color="auto"/>
            <w:right w:val="none" w:sz="0" w:space="0" w:color="auto"/>
          </w:divBdr>
        </w:div>
        <w:div w:id="767233440">
          <w:marLeft w:val="720"/>
          <w:marRight w:val="0"/>
          <w:marTop w:val="96"/>
          <w:marBottom w:val="0"/>
          <w:divBdr>
            <w:top w:val="none" w:sz="0" w:space="0" w:color="auto"/>
            <w:left w:val="none" w:sz="0" w:space="0" w:color="auto"/>
            <w:bottom w:val="none" w:sz="0" w:space="0" w:color="auto"/>
            <w:right w:val="none" w:sz="0" w:space="0" w:color="auto"/>
          </w:divBdr>
        </w:div>
        <w:div w:id="1368337606">
          <w:marLeft w:val="288"/>
          <w:marRight w:val="0"/>
          <w:marTop w:val="115"/>
          <w:marBottom w:val="0"/>
          <w:divBdr>
            <w:top w:val="none" w:sz="0" w:space="0" w:color="auto"/>
            <w:left w:val="none" w:sz="0" w:space="0" w:color="auto"/>
            <w:bottom w:val="none" w:sz="0" w:space="0" w:color="auto"/>
            <w:right w:val="none" w:sz="0" w:space="0" w:color="auto"/>
          </w:divBdr>
        </w:div>
        <w:div w:id="1661419370">
          <w:marLeft w:val="720"/>
          <w:marRight w:val="0"/>
          <w:marTop w:val="96"/>
          <w:marBottom w:val="0"/>
          <w:divBdr>
            <w:top w:val="none" w:sz="0" w:space="0" w:color="auto"/>
            <w:left w:val="none" w:sz="0" w:space="0" w:color="auto"/>
            <w:bottom w:val="none" w:sz="0" w:space="0" w:color="auto"/>
            <w:right w:val="none" w:sz="0" w:space="0" w:color="auto"/>
          </w:divBdr>
        </w:div>
        <w:div w:id="874275967">
          <w:marLeft w:val="720"/>
          <w:marRight w:val="0"/>
          <w:marTop w:val="96"/>
          <w:marBottom w:val="0"/>
          <w:divBdr>
            <w:top w:val="none" w:sz="0" w:space="0" w:color="auto"/>
            <w:left w:val="none" w:sz="0" w:space="0" w:color="auto"/>
            <w:bottom w:val="none" w:sz="0" w:space="0" w:color="auto"/>
            <w:right w:val="none" w:sz="0" w:space="0" w:color="auto"/>
          </w:divBdr>
        </w:div>
        <w:div w:id="629744127">
          <w:marLeft w:val="288"/>
          <w:marRight w:val="0"/>
          <w:marTop w:val="115"/>
          <w:marBottom w:val="0"/>
          <w:divBdr>
            <w:top w:val="none" w:sz="0" w:space="0" w:color="auto"/>
            <w:left w:val="none" w:sz="0" w:space="0" w:color="auto"/>
            <w:bottom w:val="none" w:sz="0" w:space="0" w:color="auto"/>
            <w:right w:val="none" w:sz="0" w:space="0" w:color="auto"/>
          </w:divBdr>
        </w:div>
        <w:div w:id="747309560">
          <w:marLeft w:val="720"/>
          <w:marRight w:val="0"/>
          <w:marTop w:val="96"/>
          <w:marBottom w:val="0"/>
          <w:divBdr>
            <w:top w:val="none" w:sz="0" w:space="0" w:color="auto"/>
            <w:left w:val="none" w:sz="0" w:space="0" w:color="auto"/>
            <w:bottom w:val="none" w:sz="0" w:space="0" w:color="auto"/>
            <w:right w:val="none" w:sz="0" w:space="0" w:color="auto"/>
          </w:divBdr>
        </w:div>
        <w:div w:id="1658532416">
          <w:marLeft w:val="720"/>
          <w:marRight w:val="0"/>
          <w:marTop w:val="96"/>
          <w:marBottom w:val="0"/>
          <w:divBdr>
            <w:top w:val="none" w:sz="0" w:space="0" w:color="auto"/>
            <w:left w:val="none" w:sz="0" w:space="0" w:color="auto"/>
            <w:bottom w:val="none" w:sz="0" w:space="0" w:color="auto"/>
            <w:right w:val="none" w:sz="0" w:space="0" w:color="auto"/>
          </w:divBdr>
        </w:div>
      </w:divsChild>
    </w:div>
    <w:div w:id="1649167214">
      <w:bodyDiv w:val="1"/>
      <w:marLeft w:val="0"/>
      <w:marRight w:val="0"/>
      <w:marTop w:val="0"/>
      <w:marBottom w:val="0"/>
      <w:divBdr>
        <w:top w:val="none" w:sz="0" w:space="0" w:color="auto"/>
        <w:left w:val="none" w:sz="0" w:space="0" w:color="auto"/>
        <w:bottom w:val="none" w:sz="0" w:space="0" w:color="auto"/>
        <w:right w:val="none" w:sz="0" w:space="0" w:color="auto"/>
      </w:divBdr>
    </w:div>
    <w:div w:id="2082940088">
      <w:bodyDiv w:val="1"/>
      <w:marLeft w:val="0"/>
      <w:marRight w:val="0"/>
      <w:marTop w:val="0"/>
      <w:marBottom w:val="0"/>
      <w:divBdr>
        <w:top w:val="none" w:sz="0" w:space="0" w:color="auto"/>
        <w:left w:val="none" w:sz="0" w:space="0" w:color="auto"/>
        <w:bottom w:val="none" w:sz="0" w:space="0" w:color="auto"/>
        <w:right w:val="none" w:sz="0" w:space="0" w:color="auto"/>
      </w:divBdr>
    </w:div>
    <w:div w:id="208622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entral.health\DFSApps\ServerApps\Staging\MSAC%20Reform%20Products\Documents\2.%20ESC\ESC.%20-%20June%202021\Draft%20ESC%20Reports\msac.gov.au\internet\msac\publishing.nsf\Content\92355BB07C8CB6DECA25837E000A3631\$File\1565%20-%20Final%20PSD.pdf"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1.health.gov.au/internet/main/publishing.nsf/Content/EMSN-original-medicare-safety-net" TargetMode="External"/><Relationship Id="rId7" Type="http://schemas.openxmlformats.org/officeDocument/2006/relationships/endnotes" Target="endnotes.xml"/><Relationship Id="rId12" Type="http://schemas.openxmlformats.org/officeDocument/2006/relationships/hyperlink" Target="http://www.msac.gov.au/internet/msac/publishing.nsf/Content/91FE1B55FB6A77E9CA2584EE008194C0/$File/1420.1%20Final%20PSD_Apr2020_redacted.pdf" TargetMode="External"/><Relationship Id="rId17" Type="http://schemas.openxmlformats.org/officeDocument/2006/relationships/package" Target="embeddings/Microsoft_Visio_Drawing1.vsd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www1.health.gov.au/internet/main/publishing.nsf/Content/EMSN-greatest-permissible-g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entral.health\DFSApps\ServerApps\Staging\MSAC%20Reform%20Products\Documents\2.%20ESC\ESC.%20-%20June%202021\Draft%20ESC%20Reports\msac.gov.au\internet\msac\publishing.nsf\Content\92355BB07C8CB6DECA25837E000A3631\$File\1565%20-%20Final%20PSD.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sac.gov.au/internet/msac/publishing.nsf/Content/45C3F879C0D72A0ACA2585E400046E4C/$File/1651%20Ratified%20PICO.pdf" TargetMode="External"/><Relationship Id="rId23" Type="http://schemas.openxmlformats.org/officeDocument/2006/relationships/hyperlink" Target="http://www.msac.gov.au/" TargetMode="External"/><Relationship Id="rId10" Type="http://schemas.openxmlformats.org/officeDocument/2006/relationships/hyperlink" Target="http://www.msac.gov.au/internet/msac/publishing.nsf/Content/91FE1B55FB6A77E9CA2584EE008194C0/$File/1420.1%20Final%20PSD_Apr2020_redacted.pdf" TargetMode="External"/><Relationship Id="rId19" Type="http://schemas.openxmlformats.org/officeDocument/2006/relationships/package" Target="embeddings/Microsoft_Visio_Drawing2.vsdx"/><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internet/msac/publishing.nsf/Content/45C3F879C0D72A0ACA2585E400046E4C/$File/1651%20Ratified%20PICO.pdf" TargetMode="External"/><Relationship Id="rId22" Type="http://schemas.openxmlformats.org/officeDocument/2006/relationships/hyperlink" Target="file:///\\central.health\DFSApps\ServerApps\Staging\MSAC%20Reform%20Products\Documents\2.%20ESC\ESC.%20-%20June%202021\Draft%20ESC%20Reports\msac.gov.au\internet\msac\publishing.nsf\Content\92355BB07C8CB6DECA25837E000A3631\$File\1565%20-%20Final%20PS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0B80C-1B54-426F-AC61-34825CD66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12860</Words>
  <Characters>70988</Characters>
  <Application>Microsoft Office Word</Application>
  <DocSecurity>0</DocSecurity>
  <Lines>1820</Lines>
  <Paragraphs>1133</Paragraphs>
  <ScaleCrop>false</ScaleCrop>
  <Company/>
  <LinksUpToDate>false</LinksUpToDate>
  <CharactersWithSpaces>82715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2021-10-01T05:58:00Z</dcterms:created>
  <dcterms:modified xsi:type="dcterms:W3CDTF">2021-10-01T06:01:00Z</dcterms:modified>
</cp:coreProperties>
</file>