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0B4921" w:rsidRDefault="000B4921" w:rsidP="000B4921">
      <w:pPr>
        <w:pStyle w:val="Title"/>
        <w:rPr>
          <w:rFonts w:asciiTheme="minorHAnsi" w:hAnsiTheme="minorHAnsi"/>
          <w:b w:val="0"/>
          <w:sz w:val="40"/>
          <w:szCs w:val="40"/>
        </w:rPr>
      </w:pPr>
      <w:r w:rsidRPr="000B4921">
        <w:rPr>
          <w:rFonts w:asciiTheme="minorHAnsi" w:hAnsiTheme="minorHAnsi"/>
          <w:b w:val="0"/>
          <w:sz w:val="40"/>
          <w:szCs w:val="40"/>
        </w:rPr>
        <w:t>Medical Services Advisory Committee (MSAC) Application 1347.1: Transcatheter occlusion of the left atrial appendage (LAA) for patients with non-valvular atrial fibrillation (NVAF)</w:t>
      </w:r>
    </w:p>
    <w:p w:rsidR="000B4921" w:rsidRDefault="000B4921" w:rsidP="002F3AE3"/>
    <w:p w:rsidR="000B4921" w:rsidRDefault="000B4921" w:rsidP="000B4921">
      <w:pPr>
        <w:pStyle w:val="Heading1"/>
        <w:rPr>
          <w:lang w:eastAsia="en-AU"/>
        </w:rPr>
      </w:pPr>
      <w:r>
        <w:rPr>
          <w:lang w:eastAsia="en-AU"/>
        </w:rPr>
        <w:t>What is Transcatheter LAA occlusion?</w:t>
      </w:r>
    </w:p>
    <w:p w:rsidR="000B4921" w:rsidRDefault="000B4921" w:rsidP="000B4921">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Non-valvular atrial fibrillation is an abnormal and irregular heartbeat in patients without </w:t>
      </w:r>
      <w:r w:rsidR="00A73B07">
        <w:rPr>
          <w:rFonts w:ascii="Calibri" w:hAnsi="Calibri" w:cs="Calibri"/>
          <w:color w:val="000000"/>
          <w:sz w:val="26"/>
          <w:szCs w:val="26"/>
          <w:lang w:eastAsia="en-AU"/>
        </w:rPr>
        <w:t xml:space="preserve">cardiac </w:t>
      </w:r>
      <w:r>
        <w:rPr>
          <w:rFonts w:ascii="Calibri" w:hAnsi="Calibri" w:cs="Calibri"/>
          <w:color w:val="000000"/>
          <w:sz w:val="26"/>
          <w:szCs w:val="26"/>
          <w:lang w:eastAsia="en-AU"/>
        </w:rPr>
        <w:t xml:space="preserve">valve disease. A blood clot can form when blood becomes </w:t>
      </w:r>
      <w:r w:rsidR="00A73B07">
        <w:rPr>
          <w:rFonts w:ascii="Calibri" w:hAnsi="Calibri" w:cs="Calibri"/>
          <w:color w:val="000000"/>
          <w:sz w:val="26"/>
          <w:szCs w:val="26"/>
          <w:lang w:eastAsia="en-AU"/>
        </w:rPr>
        <w:t>pooled</w:t>
      </w:r>
      <w:r>
        <w:rPr>
          <w:rFonts w:ascii="Calibri" w:hAnsi="Calibri" w:cs="Calibri"/>
          <w:color w:val="000000"/>
          <w:sz w:val="26"/>
          <w:szCs w:val="26"/>
          <w:lang w:eastAsia="en-AU"/>
        </w:rPr>
        <w:t xml:space="preserve"> due to </w:t>
      </w:r>
      <w:r w:rsidR="00A73B07">
        <w:rPr>
          <w:rFonts w:ascii="Calibri" w:hAnsi="Calibri" w:cs="Calibri"/>
          <w:color w:val="000000"/>
          <w:sz w:val="26"/>
          <w:szCs w:val="26"/>
          <w:lang w:eastAsia="en-AU"/>
        </w:rPr>
        <w:t xml:space="preserve">the </w:t>
      </w:r>
      <w:r>
        <w:rPr>
          <w:rFonts w:ascii="Calibri" w:hAnsi="Calibri" w:cs="Calibri"/>
          <w:color w:val="000000"/>
          <w:sz w:val="26"/>
          <w:szCs w:val="26"/>
          <w:lang w:eastAsia="en-AU"/>
        </w:rPr>
        <w:t>irregular heartbeat. The left atrial appendage is the part of the heart where most clots come from in these patients. If clots dislodge from the heart they can travel through arteries and may become stuck, blocking blood supply resulting in problems such as stroke. Transcatheter occlusion is a procedure where a device is placed in the left atrial appendage to close it so that clots can no longer form and dislodge. A catheter (thin tube) with the device inside is inserted in the groin and guided through a vein into the heart where the device</w:t>
      </w:r>
      <w:r w:rsidR="00E045B1">
        <w:rPr>
          <w:rFonts w:ascii="Calibri" w:hAnsi="Calibri" w:cs="Calibri"/>
          <w:color w:val="000000"/>
          <w:sz w:val="26"/>
          <w:szCs w:val="26"/>
          <w:lang w:eastAsia="en-AU"/>
        </w:rPr>
        <w:t xml:space="preserve"> is placed, closing off the LAA.</w:t>
      </w:r>
    </w:p>
    <w:p w:rsidR="000B4921" w:rsidRDefault="000B4921" w:rsidP="002F3AE3"/>
    <w:p w:rsidR="000B4921" w:rsidRDefault="000B4921" w:rsidP="000B4921">
      <w:pPr>
        <w:pStyle w:val="Heading1"/>
        <w:rPr>
          <w:lang w:eastAsia="en-AU"/>
        </w:rPr>
      </w:pPr>
      <w:r>
        <w:rPr>
          <w:lang w:eastAsia="en-AU"/>
        </w:rPr>
        <w:t>Why was the application for MBS funding supported?</w:t>
      </w:r>
    </w:p>
    <w:p w:rsidR="000B4921" w:rsidRDefault="000B4921" w:rsidP="000B4921">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procedure on the Medicare Benefits Schedule (MBS). The committee recommended that the procedure be listed because: </w:t>
      </w:r>
    </w:p>
    <w:p w:rsidR="000B4921" w:rsidRDefault="000B4921" w:rsidP="000B4921">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the procedure is considered reasonably safe, clinically </w:t>
      </w:r>
      <w:r w:rsidR="00A73B07">
        <w:rPr>
          <w:rFonts w:ascii="Calibri" w:hAnsi="Calibri" w:cs="Calibri"/>
          <w:color w:val="000000"/>
          <w:sz w:val="26"/>
          <w:szCs w:val="26"/>
          <w:lang w:eastAsia="en-AU"/>
        </w:rPr>
        <w:t xml:space="preserve">effective </w:t>
      </w:r>
      <w:r>
        <w:rPr>
          <w:rFonts w:ascii="Calibri" w:hAnsi="Calibri" w:cs="Calibri"/>
          <w:color w:val="000000"/>
          <w:sz w:val="26"/>
          <w:szCs w:val="26"/>
          <w:lang w:eastAsia="en-AU"/>
        </w:rPr>
        <w:t>and cost effective; and</w:t>
      </w:r>
    </w:p>
    <w:p w:rsidR="000B4921" w:rsidRDefault="006F6291" w:rsidP="000B4921">
      <w:pPr>
        <w:numPr>
          <w:ilvl w:val="0"/>
          <w:numId w:val="1"/>
        </w:numPr>
        <w:autoSpaceDE w:val="0"/>
        <w:autoSpaceDN w:val="0"/>
        <w:adjustRightInd w:val="0"/>
        <w:spacing w:line="288" w:lineRule="auto"/>
        <w:ind w:left="360" w:hanging="360"/>
        <w:rPr>
          <w:rFonts w:ascii="Calibri" w:hAnsi="Calibri" w:cs="Calibri"/>
          <w:color w:val="000000"/>
          <w:sz w:val="26"/>
          <w:szCs w:val="26"/>
          <w:lang w:val="en-US" w:eastAsia="en-AU"/>
        </w:rPr>
      </w:pPr>
      <w:proofErr w:type="gramStart"/>
      <w:r>
        <w:rPr>
          <w:rFonts w:ascii="Calibri" w:hAnsi="Calibri" w:cs="Calibri"/>
          <w:color w:val="000000"/>
          <w:sz w:val="26"/>
          <w:szCs w:val="26"/>
          <w:lang w:eastAsia="en-AU"/>
        </w:rPr>
        <w:t>for</w:t>
      </w:r>
      <w:proofErr w:type="gramEnd"/>
      <w:r>
        <w:rPr>
          <w:rFonts w:ascii="Calibri" w:hAnsi="Calibri" w:cs="Calibri"/>
          <w:color w:val="000000"/>
          <w:sz w:val="26"/>
          <w:szCs w:val="26"/>
          <w:lang w:eastAsia="en-AU"/>
        </w:rPr>
        <w:t xml:space="preserve"> some patients at risk of stroke, the procedure provides an alternative option for patients who cannot take anticoagulation medication </w:t>
      </w:r>
      <w:r w:rsidR="000B4921">
        <w:rPr>
          <w:rFonts w:ascii="Calibri" w:hAnsi="Calibri" w:cs="Calibri"/>
          <w:color w:val="000000"/>
          <w:sz w:val="26"/>
          <w:szCs w:val="26"/>
          <w:lang w:eastAsia="en-AU"/>
        </w:rPr>
        <w:t>(tablets that help prevent blood clots).</w:t>
      </w:r>
    </w:p>
    <w:p w:rsidR="000B4921" w:rsidRDefault="000B4921" w:rsidP="002F3AE3"/>
    <w:p w:rsidR="000B4921" w:rsidRDefault="000B4921" w:rsidP="000B4921">
      <w:pPr>
        <w:pStyle w:val="Heading1"/>
        <w:rPr>
          <w:lang w:eastAsia="en-AU"/>
        </w:rPr>
      </w:pPr>
      <w:r>
        <w:rPr>
          <w:lang w:eastAsia="en-AU"/>
        </w:rPr>
        <w:t>What alternatives are a</w:t>
      </w:r>
      <w:bookmarkStart w:id="0" w:name="_GoBack"/>
      <w:bookmarkEnd w:id="0"/>
      <w:r>
        <w:rPr>
          <w:lang w:eastAsia="en-AU"/>
        </w:rPr>
        <w:t>vailable?</w:t>
      </w:r>
    </w:p>
    <w:p w:rsidR="000B4921" w:rsidRDefault="000B4921" w:rsidP="002F3AE3">
      <w:pPr>
        <w:rPr>
          <w:rFonts w:ascii="Calibri" w:hAnsi="Calibri" w:cs="Calibri"/>
          <w:color w:val="000000"/>
          <w:sz w:val="26"/>
          <w:szCs w:val="26"/>
          <w:lang w:eastAsia="en-AU"/>
        </w:rPr>
      </w:pPr>
      <w:r>
        <w:rPr>
          <w:rFonts w:ascii="Calibri" w:hAnsi="Calibri" w:cs="Calibri"/>
          <w:color w:val="000000"/>
          <w:sz w:val="26"/>
          <w:szCs w:val="26"/>
          <w:lang w:eastAsia="en-AU"/>
        </w:rPr>
        <w:t xml:space="preserve">This procedure is an alternative to </w:t>
      </w:r>
      <w:r w:rsidR="006F6291">
        <w:rPr>
          <w:rFonts w:ascii="Calibri" w:hAnsi="Calibri" w:cs="Calibri"/>
          <w:color w:val="000000"/>
          <w:sz w:val="26"/>
          <w:szCs w:val="26"/>
          <w:lang w:eastAsia="en-AU"/>
        </w:rPr>
        <w:t xml:space="preserve">conventional </w:t>
      </w:r>
      <w:r>
        <w:rPr>
          <w:rFonts w:ascii="Calibri" w:hAnsi="Calibri" w:cs="Calibri"/>
          <w:color w:val="000000"/>
          <w:sz w:val="26"/>
          <w:szCs w:val="26"/>
          <w:lang w:eastAsia="en-AU"/>
        </w:rPr>
        <w:t>medical treatment for patients who cannot take any of the oral medications used to treat non-valvular atrial fibrillation.</w:t>
      </w:r>
    </w:p>
    <w:p w:rsidR="000B4921" w:rsidRDefault="000B4921" w:rsidP="000B4921">
      <w:pPr>
        <w:pStyle w:val="Heading1"/>
        <w:rPr>
          <w:lang w:eastAsia="en-AU"/>
        </w:rPr>
      </w:pPr>
      <w:r>
        <w:rPr>
          <w:lang w:eastAsia="en-AU"/>
        </w:rPr>
        <w:lastRenderedPageBreak/>
        <w:t>What happens next?</w:t>
      </w:r>
    </w:p>
    <w:p w:rsidR="000B4921" w:rsidRDefault="000B4921" w:rsidP="000B4921">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procedure is now funded by Medicare and listed as item 38276 on the MBS (www.mbsonline.gov.au).</w:t>
      </w:r>
    </w:p>
    <w:p w:rsidR="000B4921" w:rsidRDefault="000B4921" w:rsidP="002F3AE3"/>
    <w:p w:rsidR="000B4921" w:rsidRDefault="000B4921" w:rsidP="000B4921">
      <w:pPr>
        <w:pStyle w:val="Heading1"/>
        <w:rPr>
          <w:lang w:eastAsia="en-AU"/>
        </w:rPr>
      </w:pPr>
      <w:r>
        <w:rPr>
          <w:lang w:eastAsia="en-AU"/>
        </w:rPr>
        <w:t>What out-of-pockets expenses are involved?</w:t>
      </w:r>
    </w:p>
    <w:p w:rsidR="000B4921" w:rsidRDefault="000B4921" w:rsidP="000B4921">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Each </w:t>
      </w:r>
      <w:r w:rsidR="000C1237">
        <w:rPr>
          <w:rFonts w:ascii="Calibri" w:hAnsi="Calibri" w:cs="Calibri"/>
          <w:color w:val="000000"/>
          <w:sz w:val="26"/>
          <w:szCs w:val="26"/>
          <w:lang w:eastAsia="en-AU"/>
        </w:rPr>
        <w:t>service listed in the MBS has a</w:t>
      </w:r>
      <w:r>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0B4921" w:rsidRDefault="000B4921" w:rsidP="002F3AE3"/>
    <w:p w:rsidR="000B4921" w:rsidRDefault="000B4921" w:rsidP="000B4921">
      <w:pPr>
        <w:pStyle w:val="Heading1"/>
        <w:rPr>
          <w:lang w:eastAsia="en-AU"/>
        </w:rPr>
      </w:pPr>
      <w:r>
        <w:rPr>
          <w:lang w:eastAsia="en-AU"/>
        </w:rPr>
        <w:t>Where can I find out more?</w:t>
      </w:r>
    </w:p>
    <w:p w:rsidR="000B4921" w:rsidRDefault="000B4921" w:rsidP="000B4921">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0B4921" w:rsidRDefault="000B4921" w:rsidP="002F3AE3"/>
    <w:p w:rsidR="000B4921" w:rsidRDefault="000B4921" w:rsidP="000B4921">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0B4921" w:rsidRPr="002F3AE3" w:rsidRDefault="000B4921" w:rsidP="002F3AE3"/>
    <w:sectPr w:rsidR="000B4921"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A88E7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21"/>
    <w:rsid w:val="00003743"/>
    <w:rsid w:val="00067456"/>
    <w:rsid w:val="000B4921"/>
    <w:rsid w:val="000C1237"/>
    <w:rsid w:val="001B3443"/>
    <w:rsid w:val="002F3AE3"/>
    <w:rsid w:val="0030786C"/>
    <w:rsid w:val="003D17F9"/>
    <w:rsid w:val="004867E2"/>
    <w:rsid w:val="00491F04"/>
    <w:rsid w:val="006F6291"/>
    <w:rsid w:val="008264EB"/>
    <w:rsid w:val="00A4512D"/>
    <w:rsid w:val="00A705AF"/>
    <w:rsid w:val="00A73B07"/>
    <w:rsid w:val="00B42851"/>
    <w:rsid w:val="00CB5B1A"/>
    <w:rsid w:val="00E04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0B4921"/>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0B4921"/>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523</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5</cp:revision>
  <dcterms:created xsi:type="dcterms:W3CDTF">2018-05-01T01:23:00Z</dcterms:created>
  <dcterms:modified xsi:type="dcterms:W3CDTF">2018-05-25T05:23:00Z</dcterms:modified>
</cp:coreProperties>
</file>