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743DD" w14:textId="608CCA49" w:rsidR="0050188B" w:rsidRPr="00A37A18" w:rsidRDefault="00323445" w:rsidP="00A37A18">
      <w:pPr>
        <w:pStyle w:val="NormalWeb"/>
        <w:spacing w:line="210" w:lineRule="atLeast"/>
        <w:jc w:val="center"/>
        <w:rPr>
          <w:rFonts w:ascii="Arial" w:hAnsi="Arial" w:cs="Arial"/>
          <w:b/>
          <w:bCs/>
          <w:i/>
          <w:color w:val="000080"/>
          <w:sz w:val="28"/>
          <w:szCs w:val="28"/>
        </w:rPr>
      </w:pPr>
      <w:bookmarkStart w:id="0" w:name="_Hlk78872729"/>
      <w:r w:rsidRPr="00A36DE2">
        <w:rPr>
          <w:noProof/>
        </w:rPr>
        <w:drawing>
          <wp:inline distT="0" distB="0" distL="0" distR="0" wp14:anchorId="2B39D911" wp14:editId="256B64D5">
            <wp:extent cx="5731510" cy="1805940"/>
            <wp:effectExtent l="0" t="0" r="0" b="0"/>
            <wp:docPr id="3" name="Picture 3" descr="M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SA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805940"/>
                    </a:xfrm>
                    <a:prstGeom prst="rect">
                      <a:avLst/>
                    </a:prstGeom>
                    <a:noFill/>
                    <a:ln>
                      <a:noFill/>
                    </a:ln>
                  </pic:spPr>
                </pic:pic>
              </a:graphicData>
            </a:graphic>
          </wp:inline>
        </w:drawing>
      </w:r>
      <w:r w:rsidR="00413D70">
        <w:rPr>
          <w:rFonts w:ascii="Arial" w:hAnsi="Arial" w:cs="Arial"/>
          <w:b/>
          <w:bCs/>
          <w:i/>
          <w:color w:val="000080"/>
          <w:sz w:val="28"/>
          <w:szCs w:val="28"/>
        </w:rPr>
        <w:t xml:space="preserve">Application </w:t>
      </w:r>
      <w:r w:rsidR="00BB4F3E" w:rsidRPr="00323445">
        <w:rPr>
          <w:rFonts w:ascii="Arial" w:hAnsi="Arial" w:cs="Arial"/>
          <w:b/>
          <w:bCs/>
          <w:i/>
          <w:color w:val="000080"/>
          <w:sz w:val="28"/>
          <w:szCs w:val="28"/>
        </w:rPr>
        <w:t>1661 - Implantation of minimally invasive interspinous decompression spacers for moderate degenerative lumbar spinal stenosis</w:t>
      </w:r>
      <w:bookmarkEnd w:id="0"/>
    </w:p>
    <w:p w14:paraId="1F456B50" w14:textId="169E2FCD" w:rsidR="006B241A" w:rsidRPr="00B24505" w:rsidRDefault="00065623" w:rsidP="00323445">
      <w:pPr>
        <w:tabs>
          <w:tab w:val="left" w:pos="3420"/>
        </w:tabs>
        <w:spacing w:before="240"/>
        <w:rPr>
          <w:rFonts w:ascii="Arial" w:hAnsi="Arial" w:cs="Arial"/>
          <w:b/>
          <w:szCs w:val="24"/>
        </w:rPr>
      </w:pPr>
      <w:r w:rsidRPr="00B24505">
        <w:rPr>
          <w:rFonts w:ascii="Arial" w:hAnsi="Arial" w:cs="Arial"/>
          <w:b/>
          <w:szCs w:val="24"/>
        </w:rPr>
        <w:t>Applicant:</w:t>
      </w:r>
      <w:r w:rsidR="0065529B" w:rsidRPr="00B24505">
        <w:rPr>
          <w:rFonts w:ascii="Arial" w:hAnsi="Arial" w:cs="Arial"/>
          <w:b/>
          <w:szCs w:val="24"/>
        </w:rPr>
        <w:t xml:space="preserve"> </w:t>
      </w:r>
      <w:r w:rsidR="00323445" w:rsidRPr="00B24505">
        <w:rPr>
          <w:rFonts w:ascii="Arial" w:hAnsi="Arial" w:cs="Arial"/>
          <w:b/>
          <w:szCs w:val="24"/>
        </w:rPr>
        <w:tab/>
      </w:r>
      <w:r w:rsidR="00BB4F3E" w:rsidRPr="00B24505">
        <w:rPr>
          <w:rFonts w:ascii="Arial" w:hAnsi="Arial" w:cs="Arial"/>
          <w:b/>
          <w:szCs w:val="24"/>
        </w:rPr>
        <w:t>Boston Scientific Pty Ltd</w:t>
      </w:r>
    </w:p>
    <w:p w14:paraId="453299BA" w14:textId="1D0ADA3F" w:rsidR="00065623" w:rsidRPr="00B24505" w:rsidRDefault="00676C49" w:rsidP="00323445">
      <w:pPr>
        <w:tabs>
          <w:tab w:val="left" w:pos="3420"/>
        </w:tabs>
        <w:spacing w:before="240"/>
        <w:rPr>
          <w:rFonts w:ascii="Arial" w:hAnsi="Arial" w:cs="Arial"/>
          <w:b/>
          <w:szCs w:val="24"/>
        </w:rPr>
      </w:pPr>
      <w:r w:rsidRPr="00B24505">
        <w:rPr>
          <w:rFonts w:ascii="Arial" w:hAnsi="Arial" w:cs="Arial"/>
          <w:b/>
          <w:szCs w:val="24"/>
        </w:rPr>
        <w:t xml:space="preserve">Date of </w:t>
      </w:r>
      <w:r w:rsidR="00323445" w:rsidRPr="00B24505">
        <w:rPr>
          <w:rFonts w:ascii="Arial" w:hAnsi="Arial" w:cs="Arial"/>
          <w:b/>
          <w:szCs w:val="24"/>
        </w:rPr>
        <w:t>MSAC</w:t>
      </w:r>
      <w:r w:rsidRPr="00B24505">
        <w:rPr>
          <w:rFonts w:ascii="Arial" w:hAnsi="Arial" w:cs="Arial"/>
          <w:b/>
          <w:szCs w:val="24"/>
        </w:rPr>
        <w:t xml:space="preserve"> </w:t>
      </w:r>
      <w:r w:rsidR="00065623" w:rsidRPr="00B24505">
        <w:rPr>
          <w:rFonts w:ascii="Arial" w:hAnsi="Arial" w:cs="Arial"/>
          <w:b/>
          <w:szCs w:val="24"/>
        </w:rPr>
        <w:t>consideration:</w:t>
      </w:r>
      <w:r w:rsidR="00BB4F3E" w:rsidRPr="00B24505">
        <w:rPr>
          <w:rFonts w:ascii="Arial" w:hAnsi="Arial" w:cs="Arial"/>
          <w:b/>
          <w:szCs w:val="24"/>
        </w:rPr>
        <w:t xml:space="preserve"> </w:t>
      </w:r>
      <w:r w:rsidR="00323445" w:rsidRPr="00B24505">
        <w:rPr>
          <w:rFonts w:ascii="Arial" w:hAnsi="Arial" w:cs="Arial"/>
          <w:b/>
          <w:szCs w:val="24"/>
        </w:rPr>
        <w:t>83</w:t>
      </w:r>
      <w:r w:rsidR="00323445" w:rsidRPr="00B24505">
        <w:rPr>
          <w:rFonts w:ascii="Arial" w:hAnsi="Arial" w:cs="Arial"/>
          <w:b/>
          <w:szCs w:val="24"/>
          <w:vertAlign w:val="superscript"/>
        </w:rPr>
        <w:t>rd</w:t>
      </w:r>
      <w:r w:rsidR="00323445" w:rsidRPr="00B24505">
        <w:rPr>
          <w:rFonts w:ascii="Arial" w:hAnsi="Arial" w:cs="Arial"/>
          <w:b/>
          <w:szCs w:val="24"/>
        </w:rPr>
        <w:t xml:space="preserve"> MSAC Meeting, 25-26 November 2021</w:t>
      </w:r>
    </w:p>
    <w:p w14:paraId="76CECC3A" w14:textId="6E1F1198" w:rsidR="00323445" w:rsidRPr="00F257C7" w:rsidRDefault="00323445" w:rsidP="00930B23">
      <w:pPr>
        <w:spacing w:before="240" w:after="360"/>
        <w:rPr>
          <w:rStyle w:val="Hyperlink"/>
          <w:rFonts w:ascii="Franklin Gothic Book" w:eastAsiaTheme="minorHAnsi" w:hAnsi="Franklin Gothic Book" w:cstheme="minorBidi"/>
          <w:iCs/>
          <w:sz w:val="22"/>
          <w:szCs w:val="24"/>
          <w:lang w:eastAsia="en-US"/>
        </w:rPr>
      </w:pPr>
      <w:r w:rsidRPr="00F257C7">
        <w:rPr>
          <w:rFonts w:ascii="Franklin Gothic Book" w:eastAsiaTheme="minorHAnsi" w:hAnsi="Franklin Gothic Book" w:cstheme="minorBidi"/>
          <w:iCs/>
          <w:sz w:val="22"/>
          <w:szCs w:val="24"/>
          <w:lang w:eastAsia="en-US"/>
        </w:rPr>
        <w:t>Context for decision: MSAC makes its advice in accordance with its Terms of Reference,</w:t>
      </w:r>
      <w:r w:rsidRPr="00F715D1">
        <w:rPr>
          <w:szCs w:val="24"/>
        </w:rPr>
        <w:t xml:space="preserve"> </w:t>
      </w:r>
      <w:r w:rsidR="00F257C7">
        <w:rPr>
          <w:rFonts w:ascii="Franklin Gothic Book" w:eastAsiaTheme="minorHAnsi" w:hAnsi="Franklin Gothic Book" w:cstheme="minorBidi"/>
          <w:iCs/>
          <w:sz w:val="22"/>
          <w:lang w:eastAsia="en-US"/>
        </w:rPr>
        <w:fldChar w:fldCharType="begin"/>
      </w:r>
      <w:r w:rsidR="00F257C7">
        <w:rPr>
          <w:rFonts w:ascii="Franklin Gothic Book" w:eastAsiaTheme="minorHAnsi" w:hAnsi="Franklin Gothic Book" w:cstheme="minorBidi"/>
          <w:iCs/>
          <w:sz w:val="22"/>
          <w:lang w:eastAsia="en-US"/>
        </w:rPr>
        <w:instrText xml:space="preserve"> HYPERLINK "http://msac.gov.au/internet/msac/publishing.nsf/Content/Home-1" \o "Link to Medical Services Advisory Committee website" </w:instrText>
      </w:r>
      <w:r w:rsidR="00F257C7">
        <w:rPr>
          <w:rFonts w:ascii="Franklin Gothic Book" w:eastAsiaTheme="minorHAnsi" w:hAnsi="Franklin Gothic Book" w:cstheme="minorBidi"/>
          <w:iCs/>
          <w:sz w:val="22"/>
          <w:lang w:eastAsia="en-US"/>
        </w:rPr>
        <w:fldChar w:fldCharType="separate"/>
      </w:r>
      <w:r w:rsidRPr="00F257C7">
        <w:rPr>
          <w:rStyle w:val="Hyperlink"/>
          <w:rFonts w:ascii="Franklin Gothic Book" w:eastAsiaTheme="minorHAnsi" w:hAnsi="Franklin Gothic Book" w:cstheme="minorBidi"/>
          <w:iCs/>
          <w:sz w:val="22"/>
          <w:lang w:eastAsia="en-US"/>
        </w:rPr>
        <w:t>visit the MSAC website</w:t>
      </w:r>
    </w:p>
    <w:p w14:paraId="05394B80" w14:textId="0212336A" w:rsidR="00930B23" w:rsidRPr="00986EC1" w:rsidRDefault="00F257C7" w:rsidP="00BA4976">
      <w:pPr>
        <w:keepNext/>
        <w:keepLines/>
        <w:spacing w:before="360" w:after="240"/>
        <w:outlineLvl w:val="1"/>
        <w:rPr>
          <w:rFonts w:ascii="Franklin Gothic Medium" w:eastAsia="SimSun" w:hAnsi="Franklin Gothic Medium"/>
          <w:color w:val="000000"/>
          <w:sz w:val="32"/>
          <w:szCs w:val="26"/>
          <w:lang w:eastAsia="en-US"/>
        </w:rPr>
      </w:pPr>
      <w:r>
        <w:rPr>
          <w:rFonts w:ascii="Franklin Gothic Book" w:eastAsiaTheme="minorHAnsi" w:hAnsi="Franklin Gothic Book" w:cstheme="minorBidi"/>
          <w:iCs/>
          <w:sz w:val="22"/>
          <w:lang w:eastAsia="en-US"/>
        </w:rPr>
        <w:fldChar w:fldCharType="end"/>
      </w:r>
      <w:bookmarkStart w:id="1" w:name="_Toc69491415"/>
      <w:r w:rsidR="00986EC1" w:rsidRPr="00986EC1">
        <w:rPr>
          <w:rFonts w:ascii="Franklin Gothic Medium" w:eastAsia="SimSun" w:hAnsi="Franklin Gothic Medium"/>
          <w:color w:val="000000"/>
          <w:sz w:val="32"/>
          <w:szCs w:val="26"/>
          <w:lang w:eastAsia="en-US"/>
        </w:rPr>
        <w:t>1.</w:t>
      </w:r>
      <w:r w:rsidR="00930B23">
        <w:rPr>
          <w:rFonts w:ascii="Franklin Gothic Medium" w:eastAsia="SimSun" w:hAnsi="Franklin Gothic Medium"/>
          <w:color w:val="000000"/>
          <w:sz w:val="32"/>
          <w:szCs w:val="26"/>
          <w:lang w:eastAsia="en-US"/>
        </w:rPr>
        <w:tab/>
      </w:r>
      <w:r w:rsidR="00986EC1" w:rsidRPr="00986EC1">
        <w:rPr>
          <w:rFonts w:ascii="Franklin Gothic Medium" w:eastAsia="SimSun" w:hAnsi="Franklin Gothic Medium"/>
          <w:color w:val="000000"/>
          <w:sz w:val="32"/>
          <w:szCs w:val="26"/>
          <w:lang w:eastAsia="en-US"/>
        </w:rPr>
        <w:t xml:space="preserve">Purpose </w:t>
      </w:r>
      <w:r w:rsidR="00986EC1" w:rsidRPr="00BA4976">
        <w:rPr>
          <w:rFonts w:ascii="Franklin Gothic Medium" w:eastAsia="SimSun" w:hAnsi="Franklin Gothic Medium"/>
          <w:color w:val="000000"/>
          <w:sz w:val="32"/>
          <w:szCs w:val="26"/>
          <w:lang w:eastAsia="en-US"/>
        </w:rPr>
        <w:t>of</w:t>
      </w:r>
      <w:r w:rsidR="00986EC1" w:rsidRPr="00986EC1">
        <w:rPr>
          <w:rFonts w:ascii="Franklin Gothic Medium" w:eastAsia="SimSun" w:hAnsi="Franklin Gothic Medium"/>
          <w:color w:val="000000"/>
          <w:sz w:val="32"/>
          <w:szCs w:val="26"/>
          <w:lang w:eastAsia="en-US"/>
        </w:rPr>
        <w:t xml:space="preserve"> application</w:t>
      </w:r>
      <w:bookmarkEnd w:id="1"/>
    </w:p>
    <w:p w14:paraId="2EF0E6E1" w14:textId="1FB7FAE8" w:rsidR="00986EC1" w:rsidRDefault="00986EC1" w:rsidP="00986EC1">
      <w:pPr>
        <w:spacing w:before="120" w:after="240" w:line="259" w:lineRule="auto"/>
        <w:rPr>
          <w:rFonts w:ascii="Franklin Gothic Book" w:eastAsia="Calibri" w:hAnsi="Franklin Gothic Book"/>
          <w:iCs/>
          <w:sz w:val="22"/>
          <w:szCs w:val="22"/>
          <w:lang w:eastAsia="en-US"/>
        </w:rPr>
      </w:pPr>
      <w:bookmarkStart w:id="2" w:name="_Hlk69734469"/>
      <w:r w:rsidRPr="00986EC1">
        <w:rPr>
          <w:rFonts w:ascii="Franklin Gothic Book" w:eastAsia="Calibri" w:hAnsi="Franklin Gothic Book"/>
          <w:iCs/>
          <w:sz w:val="22"/>
          <w:szCs w:val="22"/>
          <w:lang w:eastAsia="en-US"/>
        </w:rPr>
        <w:t>An application requesting Medicare Benefits Schedule (MBS) listing of minimally invasive interspinous decompression spacers (IDS) for the treatment of moderate degenerative lumbar spinal stenosis (LSS) with or without low-grade spondylolisthesis was received from Boston Scientific Australia Pty Ltd by the Department of Health.</w:t>
      </w:r>
    </w:p>
    <w:p w14:paraId="08CC6464" w14:textId="0F4B08AE" w:rsidR="00930B23" w:rsidRPr="00930B23" w:rsidRDefault="00930B23" w:rsidP="00BA4976">
      <w:pPr>
        <w:keepNext/>
        <w:keepLines/>
        <w:spacing w:before="360" w:after="240"/>
        <w:outlineLvl w:val="1"/>
        <w:rPr>
          <w:rFonts w:ascii="Franklin Gothic Medium" w:eastAsia="SimSun" w:hAnsi="Franklin Gothic Medium"/>
          <w:color w:val="000000"/>
          <w:sz w:val="32"/>
          <w:szCs w:val="26"/>
          <w:lang w:eastAsia="en-US"/>
        </w:rPr>
      </w:pPr>
      <w:r w:rsidRPr="00930B23">
        <w:rPr>
          <w:rFonts w:ascii="Franklin Gothic Medium" w:eastAsia="SimSun" w:hAnsi="Franklin Gothic Medium"/>
          <w:color w:val="000000"/>
          <w:sz w:val="32"/>
          <w:szCs w:val="26"/>
          <w:lang w:eastAsia="en-US"/>
        </w:rPr>
        <w:t>2.</w:t>
      </w:r>
      <w:r w:rsidRPr="00930B23">
        <w:rPr>
          <w:rFonts w:ascii="Franklin Gothic Medium" w:eastAsia="SimSun" w:hAnsi="Franklin Gothic Medium"/>
          <w:color w:val="000000"/>
          <w:sz w:val="32"/>
          <w:szCs w:val="26"/>
          <w:lang w:eastAsia="en-US"/>
        </w:rPr>
        <w:tab/>
        <w:t>MSAC’s advice to the Minister</w:t>
      </w:r>
    </w:p>
    <w:p w14:paraId="24341530" w14:textId="32DBB729" w:rsidR="00930B23" w:rsidRDefault="00692407" w:rsidP="00930B23">
      <w:pPr>
        <w:spacing w:before="120" w:after="240" w:line="259" w:lineRule="auto"/>
        <w:rPr>
          <w:rFonts w:ascii="Franklin Gothic Book" w:eastAsia="Calibri" w:hAnsi="Franklin Gothic Book"/>
          <w:iCs/>
          <w:sz w:val="22"/>
          <w:szCs w:val="22"/>
          <w:lang w:eastAsia="en-US"/>
        </w:rPr>
      </w:pPr>
      <w:r w:rsidRPr="00692407">
        <w:rPr>
          <w:rFonts w:ascii="Franklin Gothic Book" w:eastAsia="Calibri" w:hAnsi="Franklin Gothic Book"/>
          <w:iCs/>
          <w:sz w:val="22"/>
          <w:szCs w:val="22"/>
          <w:lang w:eastAsia="en-US"/>
        </w:rPr>
        <w:t>After considering the strength of the available evidence in relation to comparative safety, clinical effectiveness and cost-effectiveness, MSAC did not support public funding for the implantation of minimally invasive IDS for moderate degenerative LSS</w:t>
      </w:r>
      <w:r w:rsidR="00BA4976">
        <w:rPr>
          <w:rFonts w:ascii="Franklin Gothic Book" w:eastAsia="Calibri" w:hAnsi="Franklin Gothic Book"/>
          <w:iCs/>
          <w:sz w:val="22"/>
          <w:szCs w:val="22"/>
          <w:lang w:eastAsia="en-US"/>
        </w:rPr>
        <w:t>,</w:t>
      </w:r>
      <w:r w:rsidRPr="00692407">
        <w:rPr>
          <w:rFonts w:ascii="Franklin Gothic Book" w:eastAsia="Calibri" w:hAnsi="Franklin Gothic Book"/>
          <w:iCs/>
          <w:sz w:val="22"/>
          <w:szCs w:val="22"/>
          <w:lang w:eastAsia="en-US"/>
        </w:rPr>
        <w:t xml:space="preserve"> because the evidence did not support the effectiveness claims compared with alternative treatment options. MSAC considered there may be a clinical place for this therapy, but noted the complexity in defining the appropriate patient population who may benefit. MSAC advised that the clinical trial evidence for the efficacy of the spacers was of low certainty, had uncertain inclusion criteria, and omitted </w:t>
      </w:r>
      <w:r w:rsidR="00645E46">
        <w:rPr>
          <w:rFonts w:ascii="Franklin Gothic Book" w:eastAsia="Calibri" w:hAnsi="Franklin Gothic Book"/>
          <w:iCs/>
          <w:sz w:val="22"/>
          <w:szCs w:val="22"/>
          <w:lang w:eastAsia="en-US"/>
        </w:rPr>
        <w:t>a</w:t>
      </w:r>
      <w:r w:rsidR="00645E46" w:rsidRPr="00692407">
        <w:rPr>
          <w:rFonts w:ascii="Franklin Gothic Book" w:eastAsia="Calibri" w:hAnsi="Franklin Gothic Book"/>
          <w:iCs/>
          <w:sz w:val="22"/>
          <w:szCs w:val="22"/>
          <w:lang w:eastAsia="en-US"/>
        </w:rPr>
        <w:t xml:space="preserve"> </w:t>
      </w:r>
      <w:r w:rsidRPr="00692407">
        <w:rPr>
          <w:rFonts w:ascii="Franklin Gothic Book" w:eastAsia="Calibri" w:hAnsi="Franklin Gothic Book"/>
          <w:iCs/>
          <w:sz w:val="22"/>
          <w:szCs w:val="22"/>
          <w:lang w:eastAsia="en-US"/>
        </w:rPr>
        <w:t>primary clinical outcome of walking ability. MSAC advised that comparative safety was also uncertain, including over the longer-term. For these reasons, MSAC also considered that the related economic evaluation was insufficiently supported</w:t>
      </w:r>
      <w:r>
        <w:rPr>
          <w:rFonts w:ascii="Franklin Gothic Book" w:eastAsia="Calibri" w:hAnsi="Franklin Gothic Book"/>
          <w:iCs/>
          <w:sz w:val="22"/>
          <w:szCs w:val="22"/>
          <w:lang w:eastAsia="en-US"/>
        </w:rPr>
        <w:t>.</w:t>
      </w:r>
    </w:p>
    <w:tbl>
      <w:tblPr>
        <w:tblStyle w:val="TableGrid"/>
        <w:tblW w:w="0" w:type="auto"/>
        <w:tblLook w:val="04A0" w:firstRow="1" w:lastRow="0" w:firstColumn="1" w:lastColumn="0" w:noHBand="0" w:noVBand="1"/>
        <w:tblDescription w:val="Consumer summary of MSAC consideration"/>
      </w:tblPr>
      <w:tblGrid>
        <w:gridCol w:w="9016"/>
      </w:tblGrid>
      <w:tr w:rsidR="00692407" w14:paraId="1DB80B0C" w14:textId="77777777" w:rsidTr="00692407">
        <w:trPr>
          <w:tblHeader/>
        </w:trPr>
        <w:tc>
          <w:tcPr>
            <w:tcW w:w="9016" w:type="dxa"/>
          </w:tcPr>
          <w:p w14:paraId="7B80F806" w14:textId="3EA5FFD2" w:rsidR="00692407" w:rsidRPr="00692407" w:rsidRDefault="00692407" w:rsidP="00692407">
            <w:pPr>
              <w:spacing w:before="120" w:after="120" w:line="259" w:lineRule="auto"/>
              <w:rPr>
                <w:rFonts w:ascii="Franklin Gothic Book" w:eastAsia="Calibri" w:hAnsi="Franklin Gothic Book"/>
                <w:b/>
                <w:bCs/>
                <w:iCs/>
                <w:szCs w:val="22"/>
                <w:lang w:eastAsia="en-US"/>
              </w:rPr>
            </w:pPr>
            <w:r w:rsidRPr="00692407">
              <w:rPr>
                <w:rFonts w:ascii="Franklin Gothic Book" w:eastAsia="Calibri" w:hAnsi="Franklin Gothic Book"/>
                <w:b/>
                <w:bCs/>
                <w:iCs/>
                <w:szCs w:val="22"/>
                <w:lang w:eastAsia="en-US"/>
              </w:rPr>
              <w:t>Consumer summary</w:t>
            </w:r>
          </w:p>
        </w:tc>
      </w:tr>
      <w:tr w:rsidR="00692407" w14:paraId="03B38958" w14:textId="77777777" w:rsidTr="00692407">
        <w:tc>
          <w:tcPr>
            <w:tcW w:w="9016" w:type="dxa"/>
          </w:tcPr>
          <w:p w14:paraId="13777763" w14:textId="4475BC87" w:rsidR="00692407" w:rsidRPr="00692407" w:rsidRDefault="00692407" w:rsidP="00692407">
            <w:pPr>
              <w:spacing w:before="120" w:after="160" w:line="259" w:lineRule="auto"/>
              <w:rPr>
                <w:rFonts w:ascii="Franklin Gothic Book" w:eastAsia="Calibri" w:hAnsi="Franklin Gothic Book"/>
                <w:iCs/>
                <w:szCs w:val="22"/>
                <w:lang w:eastAsia="en-US"/>
              </w:rPr>
            </w:pPr>
            <w:r w:rsidRPr="00692407">
              <w:rPr>
                <w:rFonts w:ascii="Franklin Gothic Book" w:eastAsia="Calibri" w:hAnsi="Franklin Gothic Book"/>
                <w:iCs/>
                <w:szCs w:val="22"/>
                <w:lang w:eastAsia="en-US"/>
              </w:rPr>
              <w:t xml:space="preserve">Boston Scientific applied for public funding via the Medical Benefits Schedule (MBS) for </w:t>
            </w:r>
            <w:r w:rsidR="00BA4976">
              <w:rPr>
                <w:rFonts w:ascii="Franklin Gothic Book" w:eastAsia="Calibri" w:hAnsi="Franklin Gothic Book"/>
                <w:iCs/>
                <w:szCs w:val="22"/>
                <w:lang w:eastAsia="en-US"/>
              </w:rPr>
              <w:t xml:space="preserve">implanting </w:t>
            </w:r>
            <w:r w:rsidRPr="00692407">
              <w:rPr>
                <w:rFonts w:ascii="Franklin Gothic Book" w:eastAsia="Calibri" w:hAnsi="Franklin Gothic Book"/>
                <w:iCs/>
                <w:szCs w:val="22"/>
                <w:lang w:eastAsia="en-US"/>
              </w:rPr>
              <w:t>minimally invasive interspinous decompression spacers for the treatment of moderate degenerative lumbar spinal stenosis with or without low grade spondylolisthesis.</w:t>
            </w:r>
            <w:r w:rsidR="006B7577" w:rsidRPr="00692407">
              <w:rPr>
                <w:rFonts w:ascii="Franklin Gothic Book" w:eastAsia="Calibri" w:hAnsi="Franklin Gothic Book"/>
                <w:iCs/>
                <w:szCs w:val="22"/>
                <w:lang w:eastAsia="en-US"/>
              </w:rPr>
              <w:t xml:space="preserve"> </w:t>
            </w:r>
          </w:p>
          <w:p w14:paraId="722BFECD" w14:textId="1A7A6462" w:rsidR="00C72BC0" w:rsidRDefault="009F1CFF" w:rsidP="004703CA">
            <w:pPr>
              <w:spacing w:before="120" w:after="160" w:line="259" w:lineRule="auto"/>
              <w:rPr>
                <w:rFonts w:ascii="Franklin Gothic Book" w:eastAsia="Calibri" w:hAnsi="Franklin Gothic Book"/>
                <w:iCs/>
                <w:szCs w:val="22"/>
                <w:lang w:eastAsia="en-US"/>
              </w:rPr>
            </w:pPr>
            <w:r>
              <w:rPr>
                <w:rFonts w:ascii="Franklin Gothic Book" w:eastAsia="Calibri" w:hAnsi="Franklin Gothic Book"/>
                <w:iCs/>
                <w:szCs w:val="22"/>
                <w:lang w:eastAsia="en-US"/>
              </w:rPr>
              <w:t xml:space="preserve">The spinal canal is the channel </w:t>
            </w:r>
            <w:r w:rsidR="00BA4976">
              <w:rPr>
                <w:rFonts w:ascii="Franklin Gothic Book" w:eastAsia="Calibri" w:hAnsi="Franklin Gothic Book"/>
                <w:iCs/>
                <w:szCs w:val="22"/>
                <w:lang w:eastAsia="en-US"/>
              </w:rPr>
              <w:t>in</w:t>
            </w:r>
            <w:r>
              <w:rPr>
                <w:rFonts w:ascii="Franklin Gothic Book" w:eastAsia="Calibri" w:hAnsi="Franklin Gothic Book"/>
                <w:iCs/>
                <w:szCs w:val="22"/>
                <w:lang w:eastAsia="en-US"/>
              </w:rPr>
              <w:t xml:space="preserve"> each vertebral bone </w:t>
            </w:r>
            <w:r w:rsidRPr="00692407">
              <w:rPr>
                <w:rFonts w:ascii="Franklin Gothic Book" w:eastAsia="Calibri" w:hAnsi="Franklin Gothic Book"/>
                <w:iCs/>
                <w:szCs w:val="22"/>
                <w:lang w:eastAsia="en-US"/>
              </w:rPr>
              <w:t xml:space="preserve">(bones of the spine) </w:t>
            </w:r>
            <w:r w:rsidR="00BA4976">
              <w:rPr>
                <w:rFonts w:ascii="Franklin Gothic Book" w:eastAsia="Calibri" w:hAnsi="Franklin Gothic Book"/>
                <w:iCs/>
                <w:szCs w:val="22"/>
                <w:lang w:eastAsia="en-US"/>
              </w:rPr>
              <w:t xml:space="preserve">through </w:t>
            </w:r>
            <w:r>
              <w:rPr>
                <w:rFonts w:ascii="Franklin Gothic Book" w:eastAsia="Calibri" w:hAnsi="Franklin Gothic Book"/>
                <w:iCs/>
                <w:szCs w:val="22"/>
                <w:lang w:eastAsia="en-US"/>
              </w:rPr>
              <w:t xml:space="preserve">which the spinal cord runs. </w:t>
            </w:r>
            <w:r w:rsidR="00692407" w:rsidRPr="00692407">
              <w:rPr>
                <w:rFonts w:ascii="Franklin Gothic Book" w:eastAsia="Calibri" w:hAnsi="Franklin Gothic Book"/>
                <w:iCs/>
                <w:szCs w:val="22"/>
                <w:lang w:eastAsia="en-US"/>
              </w:rPr>
              <w:t xml:space="preserve">Spinal canal stenosis is the narrowing of the spinal canal, which can put pressure on the spinal cord or the nerves that go from the spinal cord to the muscles. It is </w:t>
            </w:r>
            <w:r>
              <w:rPr>
                <w:rFonts w:ascii="Franklin Gothic Book" w:eastAsia="Calibri" w:hAnsi="Franklin Gothic Book"/>
                <w:iCs/>
                <w:szCs w:val="22"/>
                <w:lang w:eastAsia="en-US"/>
              </w:rPr>
              <w:t xml:space="preserve">a </w:t>
            </w:r>
            <w:r w:rsidR="00692407" w:rsidRPr="00692407">
              <w:rPr>
                <w:rFonts w:ascii="Franklin Gothic Book" w:eastAsia="Calibri" w:hAnsi="Franklin Gothic Book"/>
                <w:iCs/>
                <w:szCs w:val="22"/>
                <w:lang w:eastAsia="en-US"/>
              </w:rPr>
              <w:lastRenderedPageBreak/>
              <w:t>common</w:t>
            </w:r>
            <w:r>
              <w:rPr>
                <w:rFonts w:ascii="Franklin Gothic Book" w:eastAsia="Calibri" w:hAnsi="Franklin Gothic Book"/>
                <w:iCs/>
                <w:szCs w:val="22"/>
                <w:lang w:eastAsia="en-US"/>
              </w:rPr>
              <w:t xml:space="preserve"> condition</w:t>
            </w:r>
            <w:r w:rsidR="00692407" w:rsidRPr="00692407">
              <w:rPr>
                <w:rFonts w:ascii="Franklin Gothic Book" w:eastAsia="Calibri" w:hAnsi="Franklin Gothic Book"/>
                <w:iCs/>
                <w:szCs w:val="22"/>
                <w:lang w:eastAsia="en-US"/>
              </w:rPr>
              <w:t>, mostly occurring in the lower back (lumbar spine)</w:t>
            </w:r>
            <w:r w:rsidR="00720960">
              <w:rPr>
                <w:rFonts w:ascii="Franklin Gothic Book" w:eastAsia="Calibri" w:hAnsi="Franklin Gothic Book"/>
                <w:iCs/>
                <w:szCs w:val="22"/>
                <w:lang w:eastAsia="en-US"/>
              </w:rPr>
              <w:t>. It is caused by age-related degenerative changes</w:t>
            </w:r>
            <w:r w:rsidR="003B2EF6">
              <w:rPr>
                <w:rFonts w:ascii="Franklin Gothic Book" w:eastAsia="Calibri" w:hAnsi="Franklin Gothic Book"/>
                <w:iCs/>
                <w:szCs w:val="22"/>
                <w:lang w:eastAsia="en-US"/>
              </w:rPr>
              <w:t>.</w:t>
            </w:r>
            <w:r w:rsidR="00632D17">
              <w:rPr>
                <w:rFonts w:ascii="Franklin Gothic Book" w:eastAsia="Calibri" w:hAnsi="Franklin Gothic Book"/>
                <w:iCs/>
                <w:szCs w:val="22"/>
                <w:lang w:eastAsia="en-US"/>
              </w:rPr>
              <w:t xml:space="preserve"> It classically causes </w:t>
            </w:r>
            <w:r w:rsidR="00692407" w:rsidRPr="00692407">
              <w:rPr>
                <w:rFonts w:ascii="Franklin Gothic Book" w:eastAsia="Calibri" w:hAnsi="Franklin Gothic Book"/>
                <w:iCs/>
                <w:szCs w:val="22"/>
                <w:lang w:eastAsia="en-US"/>
              </w:rPr>
              <w:t xml:space="preserve">pain or discomfort </w:t>
            </w:r>
            <w:r w:rsidR="00632D17">
              <w:rPr>
                <w:rFonts w:ascii="Franklin Gothic Book" w:eastAsia="Calibri" w:hAnsi="Franklin Gothic Book"/>
                <w:iCs/>
                <w:szCs w:val="22"/>
                <w:lang w:eastAsia="en-US"/>
              </w:rPr>
              <w:t>in</w:t>
            </w:r>
            <w:r w:rsidR="00692407" w:rsidRPr="00692407">
              <w:rPr>
                <w:rFonts w:ascii="Franklin Gothic Book" w:eastAsia="Calibri" w:hAnsi="Franklin Gothic Book"/>
                <w:iCs/>
                <w:szCs w:val="22"/>
                <w:lang w:eastAsia="en-US"/>
              </w:rPr>
              <w:t xml:space="preserve"> the </w:t>
            </w:r>
            <w:r w:rsidR="00720960">
              <w:rPr>
                <w:rFonts w:ascii="Franklin Gothic Book" w:eastAsia="Calibri" w:hAnsi="Franklin Gothic Book"/>
                <w:iCs/>
                <w:szCs w:val="22"/>
                <w:lang w:eastAsia="en-US"/>
              </w:rPr>
              <w:t>buttocks, thighs, and or calves</w:t>
            </w:r>
            <w:r w:rsidR="00692407" w:rsidRPr="00692407">
              <w:rPr>
                <w:rFonts w:ascii="Franklin Gothic Book" w:eastAsia="Calibri" w:hAnsi="Franklin Gothic Book"/>
                <w:iCs/>
                <w:szCs w:val="22"/>
                <w:lang w:eastAsia="en-US"/>
              </w:rPr>
              <w:t xml:space="preserve"> </w:t>
            </w:r>
            <w:r w:rsidR="00632D17">
              <w:rPr>
                <w:rFonts w:ascii="Franklin Gothic Book" w:eastAsia="Calibri" w:hAnsi="Franklin Gothic Book"/>
                <w:iCs/>
                <w:szCs w:val="22"/>
                <w:lang w:eastAsia="en-US"/>
              </w:rPr>
              <w:t xml:space="preserve">brought on by standing and </w:t>
            </w:r>
            <w:r w:rsidR="00692407" w:rsidRPr="00692407">
              <w:rPr>
                <w:rFonts w:ascii="Franklin Gothic Book" w:eastAsia="Calibri" w:hAnsi="Franklin Gothic Book"/>
                <w:iCs/>
                <w:szCs w:val="22"/>
                <w:lang w:eastAsia="en-US"/>
              </w:rPr>
              <w:t>walking</w:t>
            </w:r>
            <w:r w:rsidR="00720960">
              <w:rPr>
                <w:rFonts w:ascii="Franklin Gothic Book" w:eastAsia="Calibri" w:hAnsi="Franklin Gothic Book"/>
                <w:iCs/>
                <w:szCs w:val="22"/>
                <w:lang w:eastAsia="en-US"/>
              </w:rPr>
              <w:t xml:space="preserve">, </w:t>
            </w:r>
            <w:r w:rsidR="00632D17">
              <w:rPr>
                <w:rFonts w:ascii="Franklin Gothic Book" w:eastAsia="Calibri" w:hAnsi="Franklin Gothic Book"/>
                <w:iCs/>
                <w:szCs w:val="22"/>
                <w:lang w:eastAsia="en-US"/>
              </w:rPr>
              <w:t xml:space="preserve">and this is </w:t>
            </w:r>
            <w:r w:rsidR="00720960">
              <w:rPr>
                <w:rFonts w:ascii="Franklin Gothic Book" w:eastAsia="Calibri" w:hAnsi="Franklin Gothic Book"/>
                <w:iCs/>
                <w:szCs w:val="22"/>
                <w:lang w:eastAsia="en-US"/>
              </w:rPr>
              <w:t>relieved by sitting or leaning forwards</w:t>
            </w:r>
            <w:r w:rsidR="00692407" w:rsidRPr="00692407">
              <w:rPr>
                <w:rFonts w:ascii="Franklin Gothic Book" w:eastAsia="Calibri" w:hAnsi="Franklin Gothic Book"/>
                <w:iCs/>
                <w:szCs w:val="22"/>
                <w:lang w:eastAsia="en-US"/>
              </w:rPr>
              <w:t xml:space="preserve">. </w:t>
            </w:r>
            <w:r w:rsidR="00632D17">
              <w:rPr>
                <w:rFonts w:ascii="Franklin Gothic Book" w:eastAsia="Calibri" w:hAnsi="Franklin Gothic Book"/>
                <w:iCs/>
                <w:szCs w:val="22"/>
                <w:lang w:eastAsia="en-US"/>
              </w:rPr>
              <w:t xml:space="preserve">Limited walking ability is the dominant complaint. While commonly seen on imaging in older people, </w:t>
            </w:r>
            <w:r w:rsidR="00085B61">
              <w:rPr>
                <w:rFonts w:ascii="Franklin Gothic Book" w:eastAsia="Calibri" w:hAnsi="Franklin Gothic Book"/>
                <w:iCs/>
                <w:szCs w:val="22"/>
                <w:lang w:eastAsia="en-US"/>
              </w:rPr>
              <w:t>only about one in five people</w:t>
            </w:r>
            <w:r w:rsidR="00720960">
              <w:rPr>
                <w:rFonts w:ascii="Franklin Gothic Book" w:eastAsia="Calibri" w:hAnsi="Franklin Gothic Book"/>
                <w:iCs/>
                <w:szCs w:val="22"/>
                <w:lang w:eastAsia="en-US"/>
              </w:rPr>
              <w:t xml:space="preserve"> with lumbar canal stenosis on imaging will have symptoms.</w:t>
            </w:r>
            <w:r w:rsidR="007F03DB">
              <w:rPr>
                <w:rFonts w:ascii="Franklin Gothic Book" w:eastAsia="Calibri" w:hAnsi="Franklin Gothic Book"/>
                <w:iCs/>
                <w:szCs w:val="22"/>
                <w:lang w:eastAsia="en-US"/>
              </w:rPr>
              <w:t xml:space="preserve"> </w:t>
            </w:r>
            <w:r w:rsidR="00692407" w:rsidRPr="00692407">
              <w:rPr>
                <w:rFonts w:ascii="Franklin Gothic Book" w:eastAsia="Calibri" w:hAnsi="Franklin Gothic Book"/>
                <w:iCs/>
                <w:szCs w:val="22"/>
                <w:lang w:eastAsia="en-US"/>
              </w:rPr>
              <w:t xml:space="preserve">Spondylolisthesis is a condition that occurs when one vertebra </w:t>
            </w:r>
            <w:r w:rsidR="00085B61">
              <w:rPr>
                <w:rFonts w:ascii="Franklin Gothic Book" w:eastAsia="Calibri" w:hAnsi="Franklin Gothic Book"/>
                <w:iCs/>
                <w:szCs w:val="22"/>
                <w:lang w:eastAsia="en-US"/>
              </w:rPr>
              <w:t>shifts forward on</w:t>
            </w:r>
            <w:r w:rsidR="00692407" w:rsidRPr="00692407">
              <w:rPr>
                <w:rFonts w:ascii="Franklin Gothic Book" w:eastAsia="Calibri" w:hAnsi="Franklin Gothic Book"/>
                <w:iCs/>
                <w:szCs w:val="22"/>
                <w:lang w:eastAsia="en-US"/>
              </w:rPr>
              <w:t xml:space="preserve"> the vertebra </w:t>
            </w:r>
            <w:r w:rsidR="00085B61">
              <w:rPr>
                <w:rFonts w:ascii="Franklin Gothic Book" w:eastAsia="Calibri" w:hAnsi="Franklin Gothic Book"/>
                <w:iCs/>
                <w:szCs w:val="22"/>
                <w:lang w:eastAsia="en-US"/>
              </w:rPr>
              <w:t>below</w:t>
            </w:r>
            <w:r w:rsidR="00692407" w:rsidRPr="00692407">
              <w:rPr>
                <w:rFonts w:ascii="Franklin Gothic Book" w:eastAsia="Calibri" w:hAnsi="Franklin Gothic Book"/>
                <w:iCs/>
                <w:szCs w:val="22"/>
                <w:lang w:eastAsia="en-US"/>
              </w:rPr>
              <w:t xml:space="preserve"> it.</w:t>
            </w:r>
          </w:p>
          <w:p w14:paraId="172A3F87" w14:textId="675EE96D" w:rsidR="00B52DE9" w:rsidRDefault="00567AB8" w:rsidP="004703CA">
            <w:pPr>
              <w:spacing w:before="120" w:after="160" w:line="259" w:lineRule="auto"/>
              <w:rPr>
                <w:rFonts w:ascii="Franklin Gothic Book" w:eastAsia="Calibri" w:hAnsi="Franklin Gothic Book"/>
                <w:iCs/>
                <w:szCs w:val="22"/>
                <w:lang w:eastAsia="en-US"/>
              </w:rPr>
            </w:pPr>
            <w:r>
              <w:rPr>
                <w:rFonts w:ascii="Franklin Gothic Book" w:eastAsia="Calibri" w:hAnsi="Franklin Gothic Book"/>
                <w:iCs/>
                <w:szCs w:val="22"/>
                <w:lang w:eastAsia="en-US"/>
              </w:rPr>
              <w:t xml:space="preserve">Interspinous decompression spacers </w:t>
            </w:r>
            <w:r w:rsidR="00692407" w:rsidRPr="00692407">
              <w:rPr>
                <w:rFonts w:ascii="Franklin Gothic Book" w:eastAsia="Calibri" w:hAnsi="Franklin Gothic Book"/>
                <w:iCs/>
                <w:szCs w:val="22"/>
                <w:lang w:eastAsia="en-US"/>
              </w:rPr>
              <w:t xml:space="preserve">are inserted between the </w:t>
            </w:r>
            <w:r w:rsidR="009F1CFF">
              <w:rPr>
                <w:rFonts w:ascii="Franklin Gothic Book" w:eastAsia="Calibri" w:hAnsi="Franklin Gothic Book"/>
                <w:iCs/>
                <w:szCs w:val="22"/>
                <w:lang w:eastAsia="en-US"/>
              </w:rPr>
              <w:t xml:space="preserve">part of the </w:t>
            </w:r>
            <w:r w:rsidR="00692407" w:rsidRPr="00692407">
              <w:rPr>
                <w:rFonts w:ascii="Franklin Gothic Book" w:eastAsia="Calibri" w:hAnsi="Franklin Gothic Book"/>
                <w:iCs/>
                <w:szCs w:val="22"/>
                <w:lang w:eastAsia="en-US"/>
              </w:rPr>
              <w:t xml:space="preserve">vertebrae </w:t>
            </w:r>
            <w:r w:rsidR="009F1CFF">
              <w:rPr>
                <w:rFonts w:ascii="Franklin Gothic Book" w:eastAsia="Calibri" w:hAnsi="Franklin Gothic Book"/>
                <w:iCs/>
                <w:szCs w:val="22"/>
                <w:lang w:eastAsia="en-US"/>
              </w:rPr>
              <w:t xml:space="preserve">nearest the skin </w:t>
            </w:r>
            <w:r w:rsidR="00692407" w:rsidRPr="00692407">
              <w:rPr>
                <w:rFonts w:ascii="Franklin Gothic Book" w:eastAsia="Calibri" w:hAnsi="Franklin Gothic Book"/>
                <w:iCs/>
                <w:szCs w:val="22"/>
                <w:lang w:eastAsia="en-US"/>
              </w:rPr>
              <w:t xml:space="preserve">using minimally invasive </w:t>
            </w:r>
            <w:r w:rsidR="006B7577">
              <w:rPr>
                <w:rFonts w:ascii="Franklin Gothic Book" w:eastAsia="Calibri" w:hAnsi="Franklin Gothic Book"/>
                <w:iCs/>
                <w:szCs w:val="22"/>
                <w:lang w:eastAsia="en-US"/>
              </w:rPr>
              <w:t xml:space="preserve">surgery </w:t>
            </w:r>
            <w:r w:rsidR="00692407" w:rsidRPr="00692407">
              <w:rPr>
                <w:rFonts w:ascii="Franklin Gothic Book" w:eastAsia="Calibri" w:hAnsi="Franklin Gothic Book"/>
                <w:iCs/>
                <w:szCs w:val="22"/>
                <w:lang w:eastAsia="en-US"/>
              </w:rPr>
              <w:t xml:space="preserve">methods. </w:t>
            </w:r>
            <w:r>
              <w:rPr>
                <w:rFonts w:ascii="Franklin Gothic Book" w:eastAsia="Calibri" w:hAnsi="Franklin Gothic Book"/>
                <w:iCs/>
                <w:szCs w:val="22"/>
                <w:lang w:eastAsia="en-US"/>
              </w:rPr>
              <w:t>The spacers</w:t>
            </w:r>
            <w:r w:rsidRPr="00692407">
              <w:rPr>
                <w:rFonts w:ascii="Franklin Gothic Book" w:eastAsia="Calibri" w:hAnsi="Franklin Gothic Book"/>
                <w:iCs/>
                <w:szCs w:val="22"/>
                <w:lang w:eastAsia="en-US"/>
              </w:rPr>
              <w:t xml:space="preserve"> </w:t>
            </w:r>
            <w:r w:rsidR="00692407" w:rsidRPr="00692407">
              <w:rPr>
                <w:rFonts w:ascii="Franklin Gothic Book" w:eastAsia="Calibri" w:hAnsi="Franklin Gothic Book"/>
                <w:iCs/>
                <w:szCs w:val="22"/>
                <w:lang w:eastAsia="en-US"/>
              </w:rPr>
              <w:t>stabilise</w:t>
            </w:r>
            <w:r w:rsidR="006B7577">
              <w:rPr>
                <w:rFonts w:ascii="Franklin Gothic Book" w:eastAsia="Calibri" w:hAnsi="Franklin Gothic Book"/>
                <w:iCs/>
                <w:szCs w:val="22"/>
                <w:lang w:eastAsia="en-US"/>
              </w:rPr>
              <w:t>,</w:t>
            </w:r>
            <w:r w:rsidR="00692407" w:rsidRPr="00692407">
              <w:rPr>
                <w:rFonts w:ascii="Franklin Gothic Book" w:eastAsia="Calibri" w:hAnsi="Franklin Gothic Book"/>
                <w:iCs/>
                <w:szCs w:val="22"/>
                <w:lang w:eastAsia="en-US"/>
              </w:rPr>
              <w:t xml:space="preserve"> and increase the distance between</w:t>
            </w:r>
            <w:r w:rsidR="006B7577">
              <w:rPr>
                <w:rFonts w:ascii="Franklin Gothic Book" w:eastAsia="Calibri" w:hAnsi="Franklin Gothic Book"/>
                <w:iCs/>
                <w:szCs w:val="22"/>
                <w:lang w:eastAsia="en-US"/>
              </w:rPr>
              <w:t>,</w:t>
            </w:r>
            <w:r w:rsidR="00692407" w:rsidRPr="00692407">
              <w:rPr>
                <w:rFonts w:ascii="Franklin Gothic Book" w:eastAsia="Calibri" w:hAnsi="Franklin Gothic Book"/>
                <w:iCs/>
                <w:szCs w:val="22"/>
                <w:lang w:eastAsia="en-US"/>
              </w:rPr>
              <w:t xml:space="preserve"> the vertebrae. There are several </w:t>
            </w:r>
            <w:r>
              <w:rPr>
                <w:rFonts w:ascii="Franklin Gothic Book" w:eastAsia="Calibri" w:hAnsi="Franklin Gothic Book"/>
                <w:iCs/>
                <w:szCs w:val="22"/>
                <w:lang w:eastAsia="en-US"/>
              </w:rPr>
              <w:t>interspinous decompression spacers</w:t>
            </w:r>
            <w:r w:rsidRPr="00692407">
              <w:rPr>
                <w:rFonts w:ascii="Franklin Gothic Book" w:eastAsia="Calibri" w:hAnsi="Franklin Gothic Book"/>
                <w:iCs/>
                <w:szCs w:val="22"/>
                <w:lang w:eastAsia="en-US"/>
              </w:rPr>
              <w:t xml:space="preserve"> </w:t>
            </w:r>
            <w:r w:rsidR="00692407" w:rsidRPr="00692407">
              <w:rPr>
                <w:rFonts w:ascii="Franklin Gothic Book" w:eastAsia="Calibri" w:hAnsi="Franklin Gothic Book"/>
                <w:iCs/>
                <w:szCs w:val="22"/>
                <w:lang w:eastAsia="en-US"/>
              </w:rPr>
              <w:t xml:space="preserve">registered for use in Australia, with some used along with decompression surgery (where a small portion of </w:t>
            </w:r>
            <w:r w:rsidR="006B7577">
              <w:rPr>
                <w:rFonts w:ascii="Franklin Gothic Book" w:eastAsia="Calibri" w:hAnsi="Franklin Gothic Book"/>
                <w:iCs/>
                <w:szCs w:val="22"/>
                <w:lang w:eastAsia="en-US"/>
              </w:rPr>
              <w:t xml:space="preserve">the vertebral </w:t>
            </w:r>
            <w:r w:rsidR="00692407" w:rsidRPr="00692407">
              <w:rPr>
                <w:rFonts w:ascii="Franklin Gothic Book" w:eastAsia="Calibri" w:hAnsi="Franklin Gothic Book"/>
                <w:iCs/>
                <w:szCs w:val="22"/>
                <w:lang w:eastAsia="en-US"/>
              </w:rPr>
              <w:t>bone is removed</w:t>
            </w:r>
            <w:r w:rsidR="000E0A62">
              <w:rPr>
                <w:rFonts w:ascii="Franklin Gothic Book" w:eastAsia="Calibri" w:hAnsi="Franklin Gothic Book"/>
                <w:iCs/>
                <w:szCs w:val="22"/>
                <w:lang w:eastAsia="en-US"/>
              </w:rPr>
              <w:t xml:space="preserve"> i.e. laminectomy</w:t>
            </w:r>
            <w:r w:rsidR="00692407" w:rsidRPr="00692407">
              <w:rPr>
                <w:rFonts w:ascii="Franklin Gothic Book" w:eastAsia="Calibri" w:hAnsi="Franklin Gothic Book"/>
                <w:iCs/>
                <w:szCs w:val="22"/>
                <w:lang w:eastAsia="en-US"/>
              </w:rPr>
              <w:t xml:space="preserve">). Spinal fusion may also be </w:t>
            </w:r>
            <w:r w:rsidR="006B7577">
              <w:rPr>
                <w:rFonts w:ascii="Franklin Gothic Book" w:eastAsia="Calibri" w:hAnsi="Franklin Gothic Book"/>
                <w:iCs/>
                <w:szCs w:val="22"/>
                <w:lang w:eastAsia="en-US"/>
              </w:rPr>
              <w:t>performed</w:t>
            </w:r>
            <w:r w:rsidR="00692407" w:rsidRPr="00692407">
              <w:rPr>
                <w:rFonts w:ascii="Franklin Gothic Book" w:eastAsia="Calibri" w:hAnsi="Franklin Gothic Book"/>
                <w:iCs/>
                <w:szCs w:val="22"/>
                <w:lang w:eastAsia="en-US"/>
              </w:rPr>
              <w:t xml:space="preserve"> with decompression, which is surgery to join two or more vertebrae into one single structure. This stops movement between the bones </w:t>
            </w:r>
            <w:r w:rsidR="006B7577">
              <w:rPr>
                <w:rFonts w:ascii="Franklin Gothic Book" w:eastAsia="Calibri" w:hAnsi="Franklin Gothic Book"/>
                <w:iCs/>
                <w:szCs w:val="22"/>
                <w:lang w:eastAsia="en-US"/>
              </w:rPr>
              <w:t xml:space="preserve">to </w:t>
            </w:r>
            <w:r w:rsidR="00692407" w:rsidRPr="00692407">
              <w:rPr>
                <w:rFonts w:ascii="Franklin Gothic Book" w:eastAsia="Calibri" w:hAnsi="Franklin Gothic Book"/>
                <w:iCs/>
                <w:szCs w:val="22"/>
                <w:lang w:eastAsia="en-US"/>
              </w:rPr>
              <w:t>prevent back pain.</w:t>
            </w:r>
            <w:r w:rsidR="00D67F0A">
              <w:rPr>
                <w:rFonts w:ascii="Franklin Gothic Book" w:eastAsia="Calibri" w:hAnsi="Franklin Gothic Book"/>
                <w:iCs/>
                <w:szCs w:val="22"/>
                <w:lang w:eastAsia="en-US"/>
              </w:rPr>
              <w:t xml:space="preserve"> This </w:t>
            </w:r>
            <w:r w:rsidR="009011FF">
              <w:rPr>
                <w:rFonts w:ascii="Franklin Gothic Book" w:eastAsia="Calibri" w:hAnsi="Franklin Gothic Book"/>
                <w:iCs/>
                <w:szCs w:val="22"/>
                <w:lang w:eastAsia="en-US"/>
              </w:rPr>
              <w:t>assessment</w:t>
            </w:r>
            <w:r w:rsidR="00D67F0A">
              <w:rPr>
                <w:rFonts w:ascii="Franklin Gothic Book" w:eastAsia="Calibri" w:hAnsi="Franklin Gothic Book"/>
                <w:iCs/>
                <w:szCs w:val="22"/>
                <w:lang w:eastAsia="en-US"/>
              </w:rPr>
              <w:t xml:space="preserve"> also included a comparison of interspinous decompression spacers</w:t>
            </w:r>
            <w:r w:rsidR="00D67F0A" w:rsidRPr="00692407">
              <w:rPr>
                <w:rFonts w:ascii="Franklin Gothic Book" w:eastAsia="Calibri" w:hAnsi="Franklin Gothic Book"/>
                <w:iCs/>
                <w:szCs w:val="22"/>
                <w:lang w:eastAsia="en-US"/>
              </w:rPr>
              <w:t xml:space="preserve"> </w:t>
            </w:r>
            <w:r w:rsidR="00D67F0A">
              <w:rPr>
                <w:rFonts w:ascii="Franklin Gothic Book" w:eastAsia="Calibri" w:hAnsi="Franklin Gothic Book"/>
                <w:iCs/>
                <w:szCs w:val="22"/>
                <w:lang w:eastAsia="en-US"/>
              </w:rPr>
              <w:t>against conservative care</w:t>
            </w:r>
            <w:r w:rsidR="00C72BC0">
              <w:rPr>
                <w:rFonts w:ascii="Franklin Gothic Book" w:eastAsia="Calibri" w:hAnsi="Franklin Gothic Book"/>
                <w:iCs/>
                <w:szCs w:val="22"/>
                <w:lang w:eastAsia="en-US"/>
              </w:rPr>
              <w:t>,</w:t>
            </w:r>
            <w:r w:rsidR="007948AE">
              <w:rPr>
                <w:rFonts w:ascii="Franklin Gothic Book" w:eastAsia="Calibri" w:hAnsi="Franklin Gothic Book"/>
                <w:iCs/>
                <w:szCs w:val="22"/>
                <w:lang w:eastAsia="en-US"/>
              </w:rPr>
              <w:t xml:space="preserve"> which consisted of non-surgical approaches including physical therapy, pain medications (non</w:t>
            </w:r>
            <w:r w:rsidR="00C72BC0">
              <w:rPr>
                <w:rFonts w:ascii="Franklin Gothic Book" w:eastAsia="Calibri" w:hAnsi="Franklin Gothic Book"/>
                <w:iCs/>
                <w:szCs w:val="22"/>
                <w:lang w:eastAsia="en-US"/>
              </w:rPr>
              <w:t>-</w:t>
            </w:r>
            <w:r w:rsidR="007948AE">
              <w:rPr>
                <w:rFonts w:ascii="Franklin Gothic Book" w:eastAsia="Calibri" w:hAnsi="Franklin Gothic Book"/>
                <w:iCs/>
                <w:szCs w:val="22"/>
                <w:lang w:eastAsia="en-US"/>
              </w:rPr>
              <w:t>steroidal anti</w:t>
            </w:r>
            <w:r w:rsidR="00C72BC0">
              <w:rPr>
                <w:rFonts w:ascii="Franklin Gothic Book" w:eastAsia="Calibri" w:hAnsi="Franklin Gothic Book"/>
                <w:iCs/>
                <w:szCs w:val="22"/>
                <w:lang w:eastAsia="en-US"/>
              </w:rPr>
              <w:t>-</w:t>
            </w:r>
            <w:r w:rsidR="007948AE">
              <w:rPr>
                <w:rFonts w:ascii="Franklin Gothic Book" w:eastAsia="Calibri" w:hAnsi="Franklin Gothic Book"/>
                <w:iCs/>
                <w:szCs w:val="22"/>
                <w:lang w:eastAsia="en-US"/>
              </w:rPr>
              <w:t>inflammatory drugs and mild op</w:t>
            </w:r>
            <w:r w:rsidR="00C72BC0">
              <w:rPr>
                <w:rFonts w:ascii="Franklin Gothic Book" w:eastAsia="Calibri" w:hAnsi="Franklin Gothic Book"/>
                <w:iCs/>
                <w:szCs w:val="22"/>
                <w:lang w:eastAsia="en-US"/>
              </w:rPr>
              <w:t>i</w:t>
            </w:r>
            <w:r w:rsidR="007948AE">
              <w:rPr>
                <w:rFonts w:ascii="Franklin Gothic Book" w:eastAsia="Calibri" w:hAnsi="Franklin Gothic Book"/>
                <w:iCs/>
                <w:szCs w:val="22"/>
                <w:lang w:eastAsia="en-US"/>
              </w:rPr>
              <w:t>oids) and epidural steroid injections</w:t>
            </w:r>
            <w:r w:rsidR="00C72BC0">
              <w:rPr>
                <w:rFonts w:ascii="Franklin Gothic Book" w:eastAsia="Calibri" w:hAnsi="Franklin Gothic Book"/>
                <w:iCs/>
                <w:szCs w:val="22"/>
                <w:lang w:eastAsia="en-US"/>
              </w:rPr>
              <w:t>.</w:t>
            </w:r>
          </w:p>
          <w:p w14:paraId="1DB12643" w14:textId="127B8E6B" w:rsidR="00692407" w:rsidRPr="00692407" w:rsidRDefault="00692407" w:rsidP="00692407">
            <w:pPr>
              <w:spacing w:before="120" w:after="160" w:line="259" w:lineRule="auto"/>
              <w:rPr>
                <w:rFonts w:ascii="Franklin Gothic Book" w:eastAsia="Calibri" w:hAnsi="Franklin Gothic Book"/>
                <w:iCs/>
                <w:szCs w:val="22"/>
                <w:lang w:eastAsia="en-US"/>
              </w:rPr>
            </w:pPr>
            <w:r w:rsidRPr="00692407">
              <w:rPr>
                <w:rFonts w:ascii="Franklin Gothic Book" w:eastAsia="Calibri" w:hAnsi="Franklin Gothic Book"/>
                <w:iCs/>
                <w:szCs w:val="22"/>
                <w:lang w:eastAsia="en-US"/>
              </w:rPr>
              <w:t xml:space="preserve">MSAC considered there </w:t>
            </w:r>
            <w:r w:rsidR="000E0A62">
              <w:rPr>
                <w:rFonts w:ascii="Franklin Gothic Book" w:eastAsia="Calibri" w:hAnsi="Franklin Gothic Book"/>
                <w:iCs/>
                <w:szCs w:val="22"/>
                <w:lang w:eastAsia="en-US"/>
              </w:rPr>
              <w:t>was</w:t>
            </w:r>
            <w:r w:rsidRPr="00692407">
              <w:rPr>
                <w:rFonts w:ascii="Franklin Gothic Book" w:eastAsia="Calibri" w:hAnsi="Franklin Gothic Book"/>
                <w:iCs/>
                <w:szCs w:val="22"/>
                <w:lang w:eastAsia="en-US"/>
              </w:rPr>
              <w:t xml:space="preserve"> uncertainty about </w:t>
            </w:r>
            <w:r w:rsidR="002655B5">
              <w:rPr>
                <w:rFonts w:ascii="Franklin Gothic Book" w:eastAsia="Calibri" w:hAnsi="Franklin Gothic Book"/>
                <w:iCs/>
                <w:szCs w:val="22"/>
                <w:lang w:eastAsia="en-US"/>
              </w:rPr>
              <w:t xml:space="preserve">the place of </w:t>
            </w:r>
            <w:r w:rsidR="00567AB8">
              <w:rPr>
                <w:rFonts w:ascii="Franklin Gothic Book" w:eastAsia="Calibri" w:hAnsi="Franklin Gothic Book"/>
                <w:iCs/>
                <w:szCs w:val="22"/>
                <w:lang w:eastAsia="en-US"/>
              </w:rPr>
              <w:t>interspinous decompression spacers</w:t>
            </w:r>
            <w:r w:rsidRPr="00692407">
              <w:rPr>
                <w:rFonts w:ascii="Franklin Gothic Book" w:eastAsia="Calibri" w:hAnsi="Franklin Gothic Book"/>
                <w:iCs/>
                <w:szCs w:val="22"/>
                <w:lang w:eastAsia="en-US"/>
              </w:rPr>
              <w:t xml:space="preserve"> within the clinical care pathway. MSAC acknowledged that IDSs may benefit people with specific symptoms</w:t>
            </w:r>
            <w:r w:rsidR="002655B5">
              <w:rPr>
                <w:rFonts w:ascii="Franklin Gothic Book" w:eastAsia="Calibri" w:hAnsi="Franklin Gothic Book"/>
                <w:iCs/>
                <w:szCs w:val="22"/>
                <w:lang w:eastAsia="en-US"/>
              </w:rPr>
              <w:t xml:space="preserve"> (or symptom complex)</w:t>
            </w:r>
            <w:r w:rsidRPr="00692407">
              <w:rPr>
                <w:rFonts w:ascii="Franklin Gothic Book" w:eastAsia="Calibri" w:hAnsi="Franklin Gothic Book"/>
                <w:iCs/>
                <w:szCs w:val="22"/>
                <w:lang w:eastAsia="en-US"/>
              </w:rPr>
              <w:t xml:space="preserve">, particularly when compared to non-surgical treatment. However, MSAC considered that the information provided did not demonstrate that using </w:t>
            </w:r>
            <w:r w:rsidR="00567AB8">
              <w:rPr>
                <w:rFonts w:ascii="Franklin Gothic Book" w:eastAsia="Calibri" w:hAnsi="Franklin Gothic Book"/>
                <w:iCs/>
                <w:szCs w:val="22"/>
                <w:lang w:eastAsia="en-US"/>
              </w:rPr>
              <w:t>interspinous decompression spacers</w:t>
            </w:r>
            <w:r w:rsidR="00567AB8" w:rsidRPr="00692407">
              <w:rPr>
                <w:rFonts w:ascii="Franklin Gothic Book" w:eastAsia="Calibri" w:hAnsi="Franklin Gothic Book"/>
                <w:iCs/>
                <w:szCs w:val="22"/>
                <w:lang w:eastAsia="en-US"/>
              </w:rPr>
              <w:t xml:space="preserve"> </w:t>
            </w:r>
            <w:r w:rsidRPr="00692407">
              <w:rPr>
                <w:rFonts w:ascii="Franklin Gothic Book" w:eastAsia="Calibri" w:hAnsi="Franklin Gothic Book"/>
                <w:iCs/>
                <w:szCs w:val="22"/>
                <w:lang w:eastAsia="en-US"/>
              </w:rPr>
              <w:t xml:space="preserve">is safer and more effective than other treatment options. MSAC also considered that the proposed fee for the </w:t>
            </w:r>
            <w:r w:rsidR="00BA4976">
              <w:rPr>
                <w:rFonts w:ascii="Franklin Gothic Book" w:eastAsia="Calibri" w:hAnsi="Franklin Gothic Book"/>
                <w:iCs/>
                <w:szCs w:val="22"/>
                <w:lang w:eastAsia="en-US"/>
              </w:rPr>
              <w:t>surgery</w:t>
            </w:r>
            <w:r w:rsidR="00BA4976" w:rsidRPr="00692407">
              <w:rPr>
                <w:rFonts w:ascii="Franklin Gothic Book" w:eastAsia="Calibri" w:hAnsi="Franklin Gothic Book"/>
                <w:iCs/>
                <w:szCs w:val="22"/>
                <w:lang w:eastAsia="en-US"/>
              </w:rPr>
              <w:t xml:space="preserve"> </w:t>
            </w:r>
            <w:r w:rsidR="00BA4976">
              <w:rPr>
                <w:rFonts w:ascii="Franklin Gothic Book" w:eastAsia="Calibri" w:hAnsi="Franklin Gothic Book"/>
                <w:iCs/>
                <w:szCs w:val="22"/>
                <w:lang w:eastAsia="en-US"/>
              </w:rPr>
              <w:t>was</w:t>
            </w:r>
            <w:r w:rsidR="00BA4976" w:rsidRPr="00692407">
              <w:rPr>
                <w:rFonts w:ascii="Franklin Gothic Book" w:eastAsia="Calibri" w:hAnsi="Franklin Gothic Book"/>
                <w:iCs/>
                <w:szCs w:val="22"/>
                <w:lang w:eastAsia="en-US"/>
              </w:rPr>
              <w:t xml:space="preserve"> </w:t>
            </w:r>
            <w:r w:rsidRPr="00692407">
              <w:rPr>
                <w:rFonts w:ascii="Franklin Gothic Book" w:eastAsia="Calibri" w:hAnsi="Franklin Gothic Book"/>
                <w:iCs/>
                <w:szCs w:val="22"/>
                <w:lang w:eastAsia="en-US"/>
              </w:rPr>
              <w:t xml:space="preserve">not </w:t>
            </w:r>
            <w:r w:rsidR="00C20288">
              <w:rPr>
                <w:rFonts w:ascii="Franklin Gothic Book" w:eastAsia="Calibri" w:hAnsi="Franklin Gothic Book"/>
                <w:iCs/>
                <w:szCs w:val="22"/>
                <w:lang w:eastAsia="en-US"/>
              </w:rPr>
              <w:t xml:space="preserve">sufficiently </w:t>
            </w:r>
            <w:r w:rsidR="00BA4976">
              <w:rPr>
                <w:rFonts w:ascii="Franklin Gothic Book" w:eastAsia="Calibri" w:hAnsi="Franklin Gothic Book"/>
                <w:iCs/>
                <w:szCs w:val="22"/>
                <w:lang w:eastAsia="en-US"/>
              </w:rPr>
              <w:t>justified</w:t>
            </w:r>
            <w:r w:rsidRPr="00692407">
              <w:rPr>
                <w:rFonts w:ascii="Franklin Gothic Book" w:eastAsia="Calibri" w:hAnsi="Franklin Gothic Book"/>
                <w:iCs/>
                <w:szCs w:val="22"/>
                <w:lang w:eastAsia="en-US"/>
              </w:rPr>
              <w:t>.</w:t>
            </w:r>
          </w:p>
          <w:p w14:paraId="30159F86" w14:textId="1292429A" w:rsidR="00692407" w:rsidRPr="00692407" w:rsidRDefault="00692407" w:rsidP="00692407">
            <w:pPr>
              <w:spacing w:before="120" w:after="160" w:line="259" w:lineRule="auto"/>
              <w:rPr>
                <w:rFonts w:ascii="Franklin Gothic Book" w:eastAsia="Calibri" w:hAnsi="Franklin Gothic Book"/>
                <w:b/>
                <w:bCs/>
                <w:iCs/>
                <w:szCs w:val="22"/>
                <w:lang w:eastAsia="en-US"/>
              </w:rPr>
            </w:pPr>
            <w:r w:rsidRPr="00692407">
              <w:rPr>
                <w:rFonts w:ascii="Franklin Gothic Book" w:eastAsia="Calibri" w:hAnsi="Franklin Gothic Book"/>
                <w:b/>
                <w:bCs/>
                <w:iCs/>
                <w:szCs w:val="22"/>
                <w:lang w:eastAsia="en-US"/>
              </w:rPr>
              <w:t xml:space="preserve">MSAC’s </w:t>
            </w:r>
            <w:r>
              <w:rPr>
                <w:rFonts w:ascii="Franklin Gothic Book" w:eastAsia="Calibri" w:hAnsi="Franklin Gothic Book"/>
                <w:b/>
                <w:bCs/>
                <w:iCs/>
                <w:szCs w:val="22"/>
                <w:lang w:eastAsia="en-US"/>
              </w:rPr>
              <w:t>advice</w:t>
            </w:r>
            <w:r w:rsidRPr="00692407">
              <w:rPr>
                <w:rFonts w:ascii="Franklin Gothic Book" w:eastAsia="Calibri" w:hAnsi="Franklin Gothic Book"/>
                <w:b/>
                <w:bCs/>
                <w:iCs/>
                <w:szCs w:val="22"/>
                <w:lang w:eastAsia="en-US"/>
              </w:rPr>
              <w:t xml:space="preserve"> to the Commonwealth Minister</w:t>
            </w:r>
            <w:r>
              <w:rPr>
                <w:rFonts w:ascii="Franklin Gothic Book" w:eastAsia="Calibri" w:hAnsi="Franklin Gothic Book"/>
                <w:b/>
                <w:bCs/>
                <w:iCs/>
                <w:szCs w:val="22"/>
                <w:lang w:eastAsia="en-US"/>
              </w:rPr>
              <w:t xml:space="preserve"> for Health</w:t>
            </w:r>
          </w:p>
          <w:p w14:paraId="388C916B" w14:textId="665C05B7" w:rsidR="00692407" w:rsidRDefault="00692407" w:rsidP="00692407">
            <w:pPr>
              <w:spacing w:before="120" w:after="160" w:line="259" w:lineRule="auto"/>
              <w:rPr>
                <w:rFonts w:ascii="Franklin Gothic Book" w:eastAsia="Calibri" w:hAnsi="Franklin Gothic Book"/>
                <w:iCs/>
                <w:szCs w:val="22"/>
                <w:lang w:eastAsia="en-US"/>
              </w:rPr>
            </w:pPr>
            <w:r w:rsidRPr="00692407">
              <w:rPr>
                <w:rFonts w:ascii="Franklin Gothic Book" w:eastAsia="Calibri" w:hAnsi="Franklin Gothic Book"/>
                <w:iCs/>
                <w:szCs w:val="22"/>
                <w:lang w:eastAsia="en-US"/>
              </w:rPr>
              <w:t xml:space="preserve">MSAC did not support creating new MBS items for </w:t>
            </w:r>
            <w:r w:rsidR="00BA4976">
              <w:rPr>
                <w:rFonts w:ascii="Franklin Gothic Book" w:eastAsia="Calibri" w:hAnsi="Franklin Gothic Book"/>
                <w:iCs/>
                <w:szCs w:val="22"/>
                <w:lang w:eastAsia="en-US"/>
              </w:rPr>
              <w:t xml:space="preserve">implanting </w:t>
            </w:r>
            <w:r w:rsidR="00567AB8">
              <w:rPr>
                <w:rFonts w:ascii="Franklin Gothic Book" w:eastAsia="Calibri" w:hAnsi="Franklin Gothic Book"/>
                <w:iCs/>
                <w:szCs w:val="22"/>
                <w:lang w:eastAsia="en-US"/>
              </w:rPr>
              <w:t>interspinous decompression spacers</w:t>
            </w:r>
            <w:r w:rsidRPr="00692407">
              <w:rPr>
                <w:rFonts w:ascii="Franklin Gothic Book" w:eastAsia="Calibri" w:hAnsi="Franklin Gothic Book"/>
                <w:iCs/>
                <w:szCs w:val="22"/>
                <w:lang w:eastAsia="en-US"/>
              </w:rPr>
              <w:t xml:space="preserve">. MSAC was not convinced that IDSs are as safe and effective as other lumbar spinal stenosis treatments and was uncertain about whether </w:t>
            </w:r>
            <w:r w:rsidR="00567AB8">
              <w:rPr>
                <w:rFonts w:ascii="Franklin Gothic Book" w:eastAsia="Calibri" w:hAnsi="Franklin Gothic Book"/>
                <w:iCs/>
                <w:szCs w:val="22"/>
                <w:lang w:eastAsia="en-US"/>
              </w:rPr>
              <w:t>interspinous decompression spacers</w:t>
            </w:r>
            <w:r w:rsidR="00567AB8" w:rsidRPr="00692407">
              <w:rPr>
                <w:rFonts w:ascii="Franklin Gothic Book" w:eastAsia="Calibri" w:hAnsi="Franklin Gothic Book"/>
                <w:iCs/>
                <w:szCs w:val="22"/>
                <w:lang w:eastAsia="en-US"/>
              </w:rPr>
              <w:t xml:space="preserve"> </w:t>
            </w:r>
            <w:r w:rsidRPr="00692407">
              <w:rPr>
                <w:rFonts w:ascii="Franklin Gothic Book" w:eastAsia="Calibri" w:hAnsi="Franklin Gothic Book"/>
                <w:iCs/>
                <w:szCs w:val="22"/>
                <w:lang w:eastAsia="en-US"/>
              </w:rPr>
              <w:t>were good value for money.</w:t>
            </w:r>
          </w:p>
        </w:tc>
      </w:tr>
    </w:tbl>
    <w:p w14:paraId="70216B52" w14:textId="6CE02148" w:rsidR="00930B23" w:rsidRDefault="00930B23" w:rsidP="00BA4976">
      <w:pPr>
        <w:keepNext/>
        <w:keepLines/>
        <w:spacing w:before="360" w:after="240"/>
        <w:outlineLvl w:val="1"/>
        <w:rPr>
          <w:rFonts w:ascii="Franklin Gothic Medium" w:eastAsia="SimSun" w:hAnsi="Franklin Gothic Medium"/>
          <w:color w:val="000000"/>
          <w:sz w:val="32"/>
          <w:szCs w:val="26"/>
          <w:lang w:eastAsia="en-US"/>
        </w:rPr>
      </w:pPr>
      <w:r w:rsidRPr="00930B23">
        <w:rPr>
          <w:rFonts w:ascii="Franklin Gothic Medium" w:eastAsia="SimSun" w:hAnsi="Franklin Gothic Medium"/>
          <w:color w:val="000000"/>
          <w:sz w:val="32"/>
          <w:szCs w:val="26"/>
          <w:lang w:eastAsia="en-US"/>
        </w:rPr>
        <w:lastRenderedPageBreak/>
        <w:t>3.</w:t>
      </w:r>
      <w:r w:rsidRPr="00930B23">
        <w:rPr>
          <w:rFonts w:ascii="Franklin Gothic Medium" w:eastAsia="SimSun" w:hAnsi="Franklin Gothic Medium"/>
          <w:color w:val="000000"/>
          <w:sz w:val="32"/>
          <w:szCs w:val="26"/>
          <w:lang w:eastAsia="en-US"/>
        </w:rPr>
        <w:tab/>
        <w:t>Summary of consideration and rationale for MSAC’s advice</w:t>
      </w:r>
    </w:p>
    <w:p w14:paraId="076F8AD8" w14:textId="4F098997" w:rsidR="00692407" w:rsidRPr="00692407" w:rsidRDefault="00692407" w:rsidP="00692407">
      <w:pPr>
        <w:spacing w:before="120" w:after="160" w:line="259" w:lineRule="auto"/>
        <w:rPr>
          <w:rFonts w:ascii="Franklin Gothic Book" w:eastAsia="Calibri" w:hAnsi="Franklin Gothic Book"/>
          <w:sz w:val="22"/>
          <w:szCs w:val="22"/>
          <w:lang w:eastAsia="en-US"/>
        </w:rPr>
      </w:pPr>
      <w:r w:rsidRPr="00692407">
        <w:rPr>
          <w:rFonts w:ascii="Franklin Gothic Book" w:eastAsia="Calibri" w:hAnsi="Franklin Gothic Book"/>
          <w:sz w:val="22"/>
          <w:szCs w:val="22"/>
          <w:lang w:eastAsia="en-US"/>
        </w:rPr>
        <w:t xml:space="preserve">MSAC noted this application, from Boston Scientific, requested MBS listing of minimally invasive IDSs for the treatment of moderate degenerative LSS with or without low grade spondylolisthesis. MSAC noted that the Superion IDS, which is manufactured by the applicant, is the only one </w:t>
      </w:r>
      <w:r w:rsidR="006B7577">
        <w:rPr>
          <w:rFonts w:ascii="Franklin Gothic Book" w:eastAsia="Calibri" w:hAnsi="Franklin Gothic Book"/>
          <w:sz w:val="22"/>
          <w:szCs w:val="22"/>
          <w:lang w:eastAsia="en-US"/>
        </w:rPr>
        <w:t>listed</w:t>
      </w:r>
      <w:r w:rsidRPr="00692407">
        <w:rPr>
          <w:rFonts w:ascii="Franklin Gothic Book" w:eastAsia="Calibri" w:hAnsi="Franklin Gothic Book"/>
          <w:sz w:val="22"/>
          <w:szCs w:val="22"/>
          <w:lang w:eastAsia="en-US"/>
        </w:rPr>
        <w:t xml:space="preserve"> on the Australian Register of Therapeutic Goods.</w:t>
      </w:r>
    </w:p>
    <w:p w14:paraId="5D2E47E0" w14:textId="08B39743" w:rsidR="00692407" w:rsidRDefault="00692407" w:rsidP="00692407">
      <w:pPr>
        <w:spacing w:before="120" w:after="160" w:line="259" w:lineRule="auto"/>
        <w:rPr>
          <w:rFonts w:ascii="Franklin Gothic Book" w:eastAsia="Calibri" w:hAnsi="Franklin Gothic Book"/>
          <w:sz w:val="22"/>
          <w:szCs w:val="22"/>
          <w:lang w:eastAsia="en-US"/>
        </w:rPr>
      </w:pPr>
      <w:r w:rsidRPr="00692407">
        <w:rPr>
          <w:rFonts w:ascii="Franklin Gothic Book" w:eastAsia="Calibri" w:hAnsi="Franklin Gothic Book"/>
          <w:sz w:val="22"/>
          <w:szCs w:val="22"/>
          <w:lang w:eastAsia="en-US"/>
        </w:rPr>
        <w:t>MSAC noted there have been two previous applications to MSAC for IDS devices: application 1099 in 2007 and application 1422 in 2017. Both applications were not supported by MSAC due to insufficient evidence for effectiveness. Among these proposed devices, only the X-STOP</w:t>
      </w:r>
      <w:r w:rsidRPr="00C20288">
        <w:rPr>
          <w:rFonts w:ascii="Franklin Gothic Book" w:eastAsia="Calibri" w:hAnsi="Franklin Gothic Book"/>
          <w:sz w:val="22"/>
          <w:szCs w:val="22"/>
          <w:vertAlign w:val="superscript"/>
          <w:lang w:eastAsia="en-US"/>
        </w:rPr>
        <w:t>®</w:t>
      </w:r>
      <w:r w:rsidRPr="00692407">
        <w:rPr>
          <w:rFonts w:ascii="Franklin Gothic Book" w:eastAsia="Calibri" w:hAnsi="Franklin Gothic Book"/>
          <w:sz w:val="22"/>
          <w:szCs w:val="22"/>
          <w:lang w:eastAsia="en-US"/>
        </w:rPr>
        <w:t xml:space="preserve"> was, like Superion, a minimally invasive standalone implant that does not require </w:t>
      </w:r>
      <w:r w:rsidR="003D6272">
        <w:rPr>
          <w:rFonts w:ascii="Franklin Gothic Book" w:eastAsia="Calibri" w:hAnsi="Franklin Gothic Book"/>
          <w:sz w:val="22"/>
          <w:szCs w:val="22"/>
          <w:lang w:eastAsia="en-US"/>
        </w:rPr>
        <w:t xml:space="preserve">extensive </w:t>
      </w:r>
      <w:r w:rsidRPr="00692407">
        <w:rPr>
          <w:rFonts w:ascii="Franklin Gothic Book" w:eastAsia="Calibri" w:hAnsi="Franklin Gothic Book"/>
          <w:sz w:val="22"/>
          <w:szCs w:val="22"/>
          <w:lang w:eastAsia="en-US"/>
        </w:rPr>
        <w:t xml:space="preserve">open surgery. The other devices are designed to be used in conjunction with surgical </w:t>
      </w:r>
      <w:r w:rsidR="003D6272">
        <w:rPr>
          <w:rFonts w:ascii="Franklin Gothic Book" w:eastAsia="Calibri" w:hAnsi="Franklin Gothic Book"/>
          <w:sz w:val="22"/>
          <w:szCs w:val="22"/>
          <w:lang w:eastAsia="en-US"/>
        </w:rPr>
        <w:t xml:space="preserve">spinal </w:t>
      </w:r>
      <w:r w:rsidRPr="00692407">
        <w:rPr>
          <w:rFonts w:ascii="Franklin Gothic Book" w:eastAsia="Calibri" w:hAnsi="Franklin Gothic Book"/>
          <w:sz w:val="22"/>
          <w:szCs w:val="22"/>
          <w:lang w:eastAsia="en-US"/>
        </w:rPr>
        <w:t xml:space="preserve">decompression. The nominated population for the </w:t>
      </w:r>
      <w:r w:rsidR="003D6272" w:rsidRPr="00692407">
        <w:rPr>
          <w:rFonts w:ascii="Franklin Gothic Book" w:eastAsia="Calibri" w:hAnsi="Franklin Gothic Book"/>
          <w:sz w:val="22"/>
          <w:szCs w:val="22"/>
          <w:lang w:eastAsia="en-US"/>
        </w:rPr>
        <w:t xml:space="preserve">current application </w:t>
      </w:r>
      <w:r w:rsidRPr="00692407">
        <w:rPr>
          <w:rFonts w:ascii="Franklin Gothic Book" w:eastAsia="Calibri" w:hAnsi="Franklin Gothic Book"/>
          <w:sz w:val="22"/>
          <w:szCs w:val="22"/>
          <w:lang w:eastAsia="en-US"/>
        </w:rPr>
        <w:t>is similar to that for the</w:t>
      </w:r>
      <w:r w:rsidR="003D6272">
        <w:rPr>
          <w:rFonts w:ascii="Franklin Gothic Book" w:eastAsia="Calibri" w:hAnsi="Franklin Gothic Book"/>
          <w:sz w:val="22"/>
          <w:szCs w:val="22"/>
          <w:lang w:eastAsia="en-US"/>
        </w:rPr>
        <w:t xml:space="preserve"> </w:t>
      </w:r>
      <w:r w:rsidR="003D6272" w:rsidRPr="00692407">
        <w:rPr>
          <w:rFonts w:ascii="Franklin Gothic Book" w:eastAsia="Calibri" w:hAnsi="Franklin Gothic Book"/>
          <w:sz w:val="22"/>
          <w:szCs w:val="22"/>
          <w:lang w:eastAsia="en-US"/>
        </w:rPr>
        <w:t xml:space="preserve">X-STOP device </w:t>
      </w:r>
      <w:r w:rsidRPr="00692407">
        <w:rPr>
          <w:rFonts w:ascii="Franklin Gothic Book" w:eastAsia="Calibri" w:hAnsi="Franklin Gothic Book"/>
          <w:sz w:val="22"/>
          <w:szCs w:val="22"/>
          <w:lang w:eastAsia="en-US"/>
        </w:rPr>
        <w:t xml:space="preserve">: skeletally mature patients with neurogenic intermittent claudication secondary to a diagnosis of moderate degenerative </w:t>
      </w:r>
      <w:r w:rsidR="000E0A62">
        <w:rPr>
          <w:rFonts w:ascii="Franklin Gothic Book" w:eastAsia="Calibri" w:hAnsi="Franklin Gothic Book"/>
          <w:sz w:val="22"/>
          <w:szCs w:val="22"/>
          <w:lang w:eastAsia="en-US"/>
        </w:rPr>
        <w:t>LSS</w:t>
      </w:r>
      <w:r w:rsidRPr="00692407">
        <w:rPr>
          <w:rFonts w:ascii="Franklin Gothic Book" w:eastAsia="Calibri" w:hAnsi="Franklin Gothic Book"/>
          <w:sz w:val="22"/>
          <w:szCs w:val="22"/>
          <w:lang w:eastAsia="en-US"/>
        </w:rPr>
        <w:t>, with or without grade 1 spondylolisthesis (on a scale of 1 to 4), whose impaired physical function or pain are relieved in flexion. Patients must have undergone at least 6 months of non-operative treatment.</w:t>
      </w:r>
    </w:p>
    <w:p w14:paraId="7CED0008" w14:textId="30C5188F" w:rsidR="00FE71A9" w:rsidRPr="00692407" w:rsidRDefault="00FE71A9" w:rsidP="00FE71A9">
      <w:pPr>
        <w:spacing w:before="120" w:line="259" w:lineRule="auto"/>
        <w:rPr>
          <w:rFonts w:ascii="Franklin Gothic Book" w:eastAsia="Calibri" w:hAnsi="Franklin Gothic Book"/>
          <w:sz w:val="22"/>
          <w:szCs w:val="22"/>
          <w:lang w:eastAsia="en-US"/>
        </w:rPr>
      </w:pPr>
      <w:r w:rsidRPr="00C82EA5">
        <w:rPr>
          <w:rFonts w:ascii="Franklin Gothic Book" w:eastAsia="Calibri" w:hAnsi="Franklin Gothic Book"/>
          <w:sz w:val="22"/>
          <w:szCs w:val="22"/>
          <w:lang w:eastAsia="en-US"/>
        </w:rPr>
        <w:lastRenderedPageBreak/>
        <w:t xml:space="preserve">MSAC </w:t>
      </w:r>
      <w:r>
        <w:rPr>
          <w:rFonts w:ascii="Franklin Gothic Book" w:eastAsia="Calibri" w:hAnsi="Franklin Gothic Book"/>
          <w:sz w:val="22"/>
          <w:szCs w:val="22"/>
          <w:lang w:eastAsia="en-US"/>
        </w:rPr>
        <w:t>recalled in assessing Application 1422 in 2017, it had</w:t>
      </w:r>
      <w:r w:rsidR="007D3FEC">
        <w:rPr>
          <w:rFonts w:ascii="Franklin Gothic Book" w:eastAsia="Calibri" w:hAnsi="Franklin Gothic Book"/>
          <w:sz w:val="22"/>
          <w:szCs w:val="22"/>
          <w:lang w:eastAsia="en-US"/>
        </w:rPr>
        <w:t xml:space="preserve"> concerns as to whether decompression and fusion was any better than decompression alone</w:t>
      </w:r>
      <w:r w:rsidR="00960E71">
        <w:rPr>
          <w:rFonts w:ascii="Franklin Gothic Book" w:eastAsia="Calibri" w:hAnsi="Franklin Gothic Book"/>
          <w:sz w:val="22"/>
          <w:szCs w:val="22"/>
          <w:lang w:eastAsia="en-US"/>
        </w:rPr>
        <w:t>,</w:t>
      </w:r>
      <w:r w:rsidR="007D3FEC">
        <w:rPr>
          <w:rFonts w:ascii="Franklin Gothic Book" w:eastAsia="Calibri" w:hAnsi="Franklin Gothic Book"/>
          <w:sz w:val="22"/>
          <w:szCs w:val="22"/>
          <w:lang w:eastAsia="en-US"/>
        </w:rPr>
        <w:t xml:space="preserve"> and</w:t>
      </w:r>
      <w:r w:rsidR="00960E71">
        <w:rPr>
          <w:rFonts w:ascii="Franklin Gothic Book" w:eastAsia="Calibri" w:hAnsi="Franklin Gothic Book"/>
          <w:sz w:val="22"/>
          <w:szCs w:val="22"/>
          <w:lang w:eastAsia="en-US"/>
        </w:rPr>
        <w:t xml:space="preserve"> so had</w:t>
      </w:r>
      <w:r>
        <w:rPr>
          <w:rFonts w:ascii="Franklin Gothic Book" w:eastAsia="Calibri" w:hAnsi="Franklin Gothic Book"/>
          <w:sz w:val="22"/>
          <w:szCs w:val="22"/>
          <w:lang w:eastAsia="en-US"/>
        </w:rPr>
        <w:t xml:space="preserve"> queried</w:t>
      </w:r>
      <w:r w:rsidRPr="00C82EA5">
        <w:rPr>
          <w:rFonts w:ascii="Franklin Gothic Book" w:eastAsia="Calibri" w:hAnsi="Franklin Gothic Book"/>
          <w:sz w:val="22"/>
          <w:szCs w:val="22"/>
          <w:lang w:eastAsia="en-US"/>
        </w:rPr>
        <w:t xml:space="preserve"> whether decompression and fusion should be funded on the MBS and requested an in-depth review of the evidence for decompression and fusion</w:t>
      </w:r>
      <w:r>
        <w:rPr>
          <w:rFonts w:ascii="Franklin Gothic Book" w:eastAsia="Calibri" w:hAnsi="Franklin Gothic Book"/>
          <w:sz w:val="22"/>
          <w:szCs w:val="22"/>
          <w:lang w:eastAsia="en-US"/>
        </w:rPr>
        <w:t xml:space="preserve"> (</w:t>
      </w:r>
      <w:hyperlink r:id="rId9" w:history="1">
        <w:r w:rsidRPr="00C82EA5">
          <w:rPr>
            <w:rStyle w:val="Hyperlink"/>
            <w:rFonts w:ascii="Franklin Gothic Book" w:eastAsia="Calibri" w:hAnsi="Franklin Gothic Book"/>
            <w:sz w:val="22"/>
            <w:szCs w:val="22"/>
            <w:lang w:eastAsia="en-US"/>
          </w:rPr>
          <w:t>MSAC 1422 Public Summary Document</w:t>
        </w:r>
      </w:hyperlink>
      <w:r>
        <w:rPr>
          <w:rFonts w:ascii="Franklin Gothic Book" w:eastAsia="Calibri" w:hAnsi="Franklin Gothic Book"/>
          <w:sz w:val="22"/>
          <w:szCs w:val="22"/>
          <w:lang w:eastAsia="en-US"/>
        </w:rPr>
        <w:t>, p2).</w:t>
      </w:r>
    </w:p>
    <w:p w14:paraId="4BA21AFA" w14:textId="320E7204" w:rsidR="00F52402" w:rsidRPr="00692407" w:rsidRDefault="00F52402" w:rsidP="00F52402">
      <w:pPr>
        <w:spacing w:before="120" w:after="160" w:line="259" w:lineRule="auto"/>
        <w:rPr>
          <w:rFonts w:ascii="Franklin Gothic Book" w:eastAsia="Calibri" w:hAnsi="Franklin Gothic Book"/>
          <w:sz w:val="22"/>
          <w:szCs w:val="22"/>
          <w:lang w:eastAsia="en-US"/>
        </w:rPr>
      </w:pPr>
      <w:r>
        <w:rPr>
          <w:rFonts w:ascii="Franklin Gothic Book" w:eastAsia="Calibri" w:hAnsi="Franklin Gothic Book"/>
          <w:sz w:val="22"/>
          <w:szCs w:val="22"/>
          <w:lang w:eastAsia="en-US"/>
        </w:rPr>
        <w:t xml:space="preserve">MSAC noted the conflicting views </w:t>
      </w:r>
      <w:r w:rsidR="004B23C8">
        <w:rPr>
          <w:rFonts w:ascii="Franklin Gothic Book" w:eastAsia="Calibri" w:hAnsi="Franklin Gothic Book"/>
          <w:sz w:val="22"/>
          <w:szCs w:val="22"/>
          <w:lang w:eastAsia="en-US"/>
        </w:rPr>
        <w:t xml:space="preserve">in the </w:t>
      </w:r>
      <w:r>
        <w:rPr>
          <w:rFonts w:ascii="Franklin Gothic Book" w:eastAsia="Calibri" w:hAnsi="Franklin Gothic Book"/>
          <w:sz w:val="22"/>
          <w:szCs w:val="22"/>
          <w:lang w:eastAsia="en-US"/>
        </w:rPr>
        <w:t xml:space="preserve">consultation feedback from the </w:t>
      </w:r>
      <w:r w:rsidRPr="00986EC1">
        <w:rPr>
          <w:rFonts w:ascii="Franklin Gothic Book" w:eastAsia="Calibri" w:hAnsi="Franklin Gothic Book"/>
          <w:sz w:val="22"/>
          <w:szCs w:val="22"/>
          <w:lang w:eastAsia="en-US"/>
        </w:rPr>
        <w:t xml:space="preserve">Neuromodulation Society of Australia and New Zealand </w:t>
      </w:r>
      <w:r>
        <w:rPr>
          <w:rFonts w:ascii="Franklin Gothic Book" w:eastAsia="Calibri" w:hAnsi="Franklin Gothic Book"/>
          <w:sz w:val="22"/>
          <w:szCs w:val="22"/>
          <w:lang w:eastAsia="en-US"/>
        </w:rPr>
        <w:t xml:space="preserve">(NSANZ) and </w:t>
      </w:r>
      <w:r w:rsidRPr="00692407">
        <w:rPr>
          <w:rFonts w:ascii="Franklin Gothic Book" w:eastAsia="Calibri" w:hAnsi="Franklin Gothic Book"/>
          <w:sz w:val="22"/>
          <w:szCs w:val="22"/>
          <w:lang w:eastAsia="en-US"/>
        </w:rPr>
        <w:t xml:space="preserve">Spine Society of Australia </w:t>
      </w:r>
      <w:r>
        <w:rPr>
          <w:rFonts w:ascii="Franklin Gothic Book" w:eastAsia="Calibri" w:hAnsi="Franklin Gothic Book"/>
          <w:sz w:val="22"/>
          <w:szCs w:val="22"/>
          <w:lang w:eastAsia="en-US"/>
        </w:rPr>
        <w:t>(SSA), which was also noted in the pre-MSAC response. MSAC considered that wider consultation input from other medical practitioners (e.g. general practitioners and rheumatologists etc) would be informative.</w:t>
      </w:r>
    </w:p>
    <w:p w14:paraId="538845B0" w14:textId="39932F87" w:rsidR="00692407" w:rsidRPr="00692407" w:rsidRDefault="00692407" w:rsidP="00692407">
      <w:pPr>
        <w:spacing w:before="120" w:after="160" w:line="259" w:lineRule="auto"/>
        <w:rPr>
          <w:rFonts w:ascii="Franklin Gothic Book" w:eastAsia="Calibri" w:hAnsi="Franklin Gothic Book"/>
          <w:sz w:val="22"/>
          <w:szCs w:val="22"/>
          <w:lang w:eastAsia="en-US"/>
        </w:rPr>
      </w:pPr>
      <w:r w:rsidRPr="00692407">
        <w:rPr>
          <w:rFonts w:ascii="Franklin Gothic Book" w:eastAsia="Calibri" w:hAnsi="Franklin Gothic Book"/>
          <w:sz w:val="22"/>
          <w:szCs w:val="22"/>
          <w:lang w:eastAsia="en-US"/>
        </w:rPr>
        <w:t>MSAC noted the X-STOP device has been withdrawn from the market</w:t>
      </w:r>
      <w:r w:rsidR="0092626F">
        <w:rPr>
          <w:rFonts w:ascii="Franklin Gothic Book" w:eastAsia="Calibri" w:hAnsi="Franklin Gothic Book"/>
          <w:sz w:val="22"/>
          <w:szCs w:val="22"/>
          <w:lang w:eastAsia="en-US"/>
        </w:rPr>
        <w:t>, which t</w:t>
      </w:r>
      <w:r w:rsidRPr="00692407">
        <w:rPr>
          <w:rFonts w:ascii="Franklin Gothic Book" w:eastAsia="Calibri" w:hAnsi="Franklin Gothic Book"/>
          <w:sz w:val="22"/>
          <w:szCs w:val="22"/>
          <w:lang w:eastAsia="en-US"/>
        </w:rPr>
        <w:t>he applicant claimed was due to commercial reasons</w:t>
      </w:r>
      <w:r w:rsidR="0092626F">
        <w:rPr>
          <w:rFonts w:ascii="Franklin Gothic Book" w:eastAsia="Calibri" w:hAnsi="Franklin Gothic Book"/>
          <w:sz w:val="22"/>
          <w:szCs w:val="22"/>
          <w:lang w:eastAsia="en-US"/>
        </w:rPr>
        <w:t>. MSAC also noted</w:t>
      </w:r>
      <w:r w:rsidRPr="00692407">
        <w:rPr>
          <w:rFonts w:ascii="Franklin Gothic Book" w:eastAsia="Calibri" w:hAnsi="Franklin Gothic Book"/>
          <w:sz w:val="22"/>
          <w:szCs w:val="22"/>
          <w:lang w:eastAsia="en-US"/>
        </w:rPr>
        <w:t xml:space="preserve"> </w:t>
      </w:r>
      <w:r w:rsidR="00EA6C33">
        <w:rPr>
          <w:rFonts w:ascii="Franklin Gothic Book" w:eastAsia="Calibri" w:hAnsi="Franklin Gothic Book"/>
          <w:sz w:val="22"/>
          <w:szCs w:val="22"/>
          <w:lang w:eastAsia="en-US"/>
        </w:rPr>
        <w:t>the</w:t>
      </w:r>
      <w:r w:rsidR="0092626F">
        <w:rPr>
          <w:rFonts w:ascii="Franklin Gothic Book" w:eastAsia="Calibri" w:hAnsi="Franklin Gothic Book"/>
          <w:sz w:val="22"/>
          <w:szCs w:val="22"/>
          <w:lang w:eastAsia="en-US"/>
        </w:rPr>
        <w:t xml:space="preserve"> editorial cited in the</w:t>
      </w:r>
      <w:r w:rsidR="00EA6C33">
        <w:rPr>
          <w:rFonts w:ascii="Franklin Gothic Book" w:eastAsia="Calibri" w:hAnsi="Franklin Gothic Book"/>
          <w:sz w:val="22"/>
          <w:szCs w:val="22"/>
          <w:lang w:eastAsia="en-US"/>
        </w:rPr>
        <w:t xml:space="preserve"> commentary which </w:t>
      </w:r>
      <w:r w:rsidRPr="00692407">
        <w:rPr>
          <w:rFonts w:ascii="Franklin Gothic Book" w:eastAsia="Calibri" w:hAnsi="Franklin Gothic Book"/>
          <w:sz w:val="22"/>
          <w:szCs w:val="22"/>
          <w:lang w:eastAsia="en-US"/>
        </w:rPr>
        <w:t>suggest</w:t>
      </w:r>
      <w:r w:rsidR="003A5A29">
        <w:rPr>
          <w:rFonts w:ascii="Franklin Gothic Book" w:eastAsia="Calibri" w:hAnsi="Franklin Gothic Book"/>
          <w:sz w:val="22"/>
          <w:szCs w:val="22"/>
          <w:lang w:eastAsia="en-US"/>
        </w:rPr>
        <w:t>ed</w:t>
      </w:r>
      <w:r w:rsidRPr="00692407">
        <w:rPr>
          <w:rFonts w:ascii="Franklin Gothic Book" w:eastAsia="Calibri" w:hAnsi="Franklin Gothic Book"/>
          <w:sz w:val="22"/>
          <w:szCs w:val="22"/>
          <w:lang w:eastAsia="en-US"/>
        </w:rPr>
        <w:t xml:space="preserve"> that it was due to poor long-term outcomes</w:t>
      </w:r>
      <w:r w:rsidR="00C20288">
        <w:rPr>
          <w:rFonts w:ascii="Franklin Gothic Book" w:eastAsia="Calibri" w:hAnsi="Franklin Gothic Book"/>
          <w:sz w:val="22"/>
          <w:szCs w:val="22"/>
          <w:lang w:eastAsia="en-US"/>
        </w:rPr>
        <w:t xml:space="preserve"> along with</w:t>
      </w:r>
      <w:r w:rsidRPr="00692407">
        <w:rPr>
          <w:rFonts w:ascii="Franklin Gothic Book" w:eastAsia="Calibri" w:hAnsi="Franklin Gothic Book"/>
          <w:sz w:val="22"/>
          <w:szCs w:val="22"/>
          <w:lang w:eastAsia="en-US"/>
        </w:rPr>
        <w:t xml:space="preserve"> </w:t>
      </w:r>
      <w:r w:rsidR="007F03DB">
        <w:rPr>
          <w:rFonts w:ascii="Franklin Gothic Book" w:eastAsia="Calibri" w:hAnsi="Franklin Gothic Book"/>
          <w:sz w:val="22"/>
          <w:szCs w:val="22"/>
          <w:lang w:eastAsia="en-US"/>
        </w:rPr>
        <w:t xml:space="preserve">a </w:t>
      </w:r>
      <w:r w:rsidRPr="00692407">
        <w:rPr>
          <w:rFonts w:ascii="Franklin Gothic Book" w:eastAsia="Calibri" w:hAnsi="Franklin Gothic Book"/>
          <w:sz w:val="22"/>
          <w:szCs w:val="22"/>
          <w:lang w:eastAsia="en-US"/>
        </w:rPr>
        <w:t>relatively high</w:t>
      </w:r>
      <w:r w:rsidR="006B7577">
        <w:rPr>
          <w:rFonts w:ascii="Franklin Gothic Book" w:eastAsia="Calibri" w:hAnsi="Franklin Gothic Book"/>
          <w:sz w:val="22"/>
          <w:szCs w:val="22"/>
          <w:lang w:eastAsia="en-US"/>
        </w:rPr>
        <w:t xml:space="preserve"> rate of</w:t>
      </w:r>
      <w:r w:rsidRPr="00692407">
        <w:rPr>
          <w:rFonts w:ascii="Franklin Gothic Book" w:eastAsia="Calibri" w:hAnsi="Franklin Gothic Book"/>
          <w:sz w:val="22"/>
          <w:szCs w:val="22"/>
          <w:lang w:eastAsia="en-US"/>
        </w:rPr>
        <w:t xml:space="preserve"> complication</w:t>
      </w:r>
      <w:r w:rsidR="006B7577">
        <w:rPr>
          <w:rFonts w:ascii="Franklin Gothic Book" w:eastAsia="Calibri" w:hAnsi="Franklin Gothic Book"/>
          <w:sz w:val="22"/>
          <w:szCs w:val="22"/>
          <w:lang w:eastAsia="en-US"/>
        </w:rPr>
        <w:t>s</w:t>
      </w:r>
      <w:r w:rsidRPr="00692407">
        <w:rPr>
          <w:rFonts w:ascii="Franklin Gothic Book" w:eastAsia="Calibri" w:hAnsi="Franklin Gothic Book"/>
          <w:sz w:val="22"/>
          <w:szCs w:val="22"/>
          <w:lang w:eastAsia="en-US"/>
        </w:rPr>
        <w:t>.</w:t>
      </w:r>
    </w:p>
    <w:p w14:paraId="2DE642E9" w14:textId="1C17D09C" w:rsidR="00692407" w:rsidRPr="00692407" w:rsidRDefault="00692407" w:rsidP="00692407">
      <w:pPr>
        <w:spacing w:before="120" w:after="160" w:line="259" w:lineRule="auto"/>
        <w:rPr>
          <w:rFonts w:ascii="Franklin Gothic Book" w:eastAsia="Calibri" w:hAnsi="Franklin Gothic Book"/>
          <w:sz w:val="22"/>
          <w:szCs w:val="22"/>
          <w:lang w:eastAsia="en-US"/>
        </w:rPr>
      </w:pPr>
      <w:bookmarkStart w:id="3" w:name="_Hlk90283605"/>
      <w:r w:rsidRPr="00692407">
        <w:rPr>
          <w:rFonts w:ascii="Franklin Gothic Book" w:eastAsia="Calibri" w:hAnsi="Franklin Gothic Book"/>
          <w:sz w:val="22"/>
          <w:szCs w:val="22"/>
          <w:lang w:eastAsia="en-US"/>
        </w:rPr>
        <w:t xml:space="preserve">MSAC noted that the </w:t>
      </w:r>
      <w:r w:rsidR="00EA6C33" w:rsidRPr="00692407">
        <w:rPr>
          <w:rFonts w:ascii="Franklin Gothic Book" w:eastAsia="Calibri" w:hAnsi="Franklin Gothic Book"/>
          <w:sz w:val="22"/>
          <w:szCs w:val="22"/>
          <w:lang w:eastAsia="en-US"/>
        </w:rPr>
        <w:t xml:space="preserve">applicant-developed assessment report </w:t>
      </w:r>
      <w:r w:rsidR="00EA6C33">
        <w:rPr>
          <w:rFonts w:ascii="Franklin Gothic Book" w:eastAsia="Calibri" w:hAnsi="Franklin Gothic Book"/>
          <w:sz w:val="22"/>
          <w:szCs w:val="22"/>
          <w:lang w:eastAsia="en-US"/>
        </w:rPr>
        <w:t>(ADAR)</w:t>
      </w:r>
      <w:r w:rsidR="00EA6C33" w:rsidRPr="00692407">
        <w:rPr>
          <w:rFonts w:ascii="Franklin Gothic Book" w:eastAsia="Calibri" w:hAnsi="Franklin Gothic Book"/>
          <w:sz w:val="22"/>
          <w:szCs w:val="22"/>
          <w:lang w:eastAsia="en-US"/>
        </w:rPr>
        <w:t xml:space="preserve"> </w:t>
      </w:r>
      <w:r w:rsidRPr="00692407">
        <w:rPr>
          <w:rFonts w:ascii="Franklin Gothic Book" w:eastAsia="Calibri" w:hAnsi="Franklin Gothic Book"/>
          <w:sz w:val="22"/>
          <w:szCs w:val="22"/>
          <w:lang w:eastAsia="en-US"/>
        </w:rPr>
        <w:t>proposed two new MBS items, covering procedures for one and two lumbar motion segments, respectively. MSAC agreed with ESC that the proposed item descriptors should specify that the service should be restricted to those aged 45 years and older. However, MSAC</w:t>
      </w:r>
      <w:r w:rsidR="0090764D">
        <w:rPr>
          <w:rFonts w:ascii="Franklin Gothic Book" w:eastAsia="Calibri" w:hAnsi="Franklin Gothic Book"/>
          <w:sz w:val="22"/>
          <w:szCs w:val="22"/>
          <w:lang w:eastAsia="en-US"/>
        </w:rPr>
        <w:t xml:space="preserve"> noted that moderate LSS is common, the presenting </w:t>
      </w:r>
      <w:r w:rsidR="006572D1">
        <w:rPr>
          <w:rFonts w:ascii="Franklin Gothic Book" w:eastAsia="Calibri" w:hAnsi="Franklin Gothic Book"/>
          <w:sz w:val="22"/>
          <w:szCs w:val="22"/>
          <w:lang w:eastAsia="en-US"/>
        </w:rPr>
        <w:t xml:space="preserve">patients’ </w:t>
      </w:r>
      <w:r w:rsidR="0090764D">
        <w:rPr>
          <w:rFonts w:ascii="Franklin Gothic Book" w:eastAsia="Calibri" w:hAnsi="Franklin Gothic Book"/>
          <w:sz w:val="22"/>
          <w:szCs w:val="22"/>
          <w:lang w:eastAsia="en-US"/>
        </w:rPr>
        <w:t xml:space="preserve">symptoms are heterogenous and </w:t>
      </w:r>
      <w:r w:rsidR="0090764D" w:rsidRPr="00692407">
        <w:rPr>
          <w:rFonts w:ascii="Franklin Gothic Book" w:eastAsia="Calibri" w:hAnsi="Franklin Gothic Book"/>
          <w:sz w:val="22"/>
          <w:szCs w:val="22"/>
          <w:lang w:eastAsia="en-US"/>
        </w:rPr>
        <w:t xml:space="preserve">that it is difficult to </w:t>
      </w:r>
      <w:r w:rsidR="0090764D">
        <w:rPr>
          <w:rFonts w:ascii="Franklin Gothic Book" w:eastAsia="Calibri" w:hAnsi="Franklin Gothic Book"/>
          <w:sz w:val="22"/>
          <w:szCs w:val="22"/>
          <w:lang w:eastAsia="en-US"/>
        </w:rPr>
        <w:t xml:space="preserve">determine the </w:t>
      </w:r>
      <w:r w:rsidR="0090764D" w:rsidRPr="00692407">
        <w:rPr>
          <w:rFonts w:ascii="Franklin Gothic Book" w:eastAsia="Calibri" w:hAnsi="Franklin Gothic Book"/>
          <w:sz w:val="22"/>
          <w:szCs w:val="22"/>
          <w:lang w:eastAsia="en-US"/>
        </w:rPr>
        <w:t>correlat</w:t>
      </w:r>
      <w:r w:rsidR="0090764D">
        <w:rPr>
          <w:rFonts w:ascii="Franklin Gothic Book" w:eastAsia="Calibri" w:hAnsi="Franklin Gothic Book"/>
          <w:sz w:val="22"/>
          <w:szCs w:val="22"/>
          <w:lang w:eastAsia="en-US"/>
        </w:rPr>
        <w:t>ion</w:t>
      </w:r>
      <w:r w:rsidR="0090764D" w:rsidRPr="00692407">
        <w:rPr>
          <w:rFonts w:ascii="Franklin Gothic Book" w:eastAsia="Calibri" w:hAnsi="Franklin Gothic Book"/>
          <w:sz w:val="22"/>
          <w:szCs w:val="22"/>
          <w:lang w:eastAsia="en-US"/>
        </w:rPr>
        <w:t xml:space="preserve"> between radiological </w:t>
      </w:r>
      <w:r w:rsidR="0090764D">
        <w:rPr>
          <w:rFonts w:ascii="Franklin Gothic Book" w:eastAsia="Calibri" w:hAnsi="Franklin Gothic Book"/>
          <w:sz w:val="22"/>
          <w:szCs w:val="22"/>
          <w:lang w:eastAsia="en-US"/>
        </w:rPr>
        <w:t xml:space="preserve">degree of stenosis </w:t>
      </w:r>
      <w:r w:rsidR="0090764D" w:rsidRPr="00692407">
        <w:rPr>
          <w:rFonts w:ascii="Franklin Gothic Book" w:eastAsia="Calibri" w:hAnsi="Franklin Gothic Book"/>
          <w:sz w:val="22"/>
          <w:szCs w:val="22"/>
          <w:lang w:eastAsia="en-US"/>
        </w:rPr>
        <w:t>and clinical severity of spinal canal stenosis, with neurological and claudication symptoms being the most relevant</w:t>
      </w:r>
      <w:r w:rsidR="0090764D">
        <w:rPr>
          <w:rFonts w:ascii="Franklin Gothic Book" w:eastAsia="Calibri" w:hAnsi="Franklin Gothic Book"/>
          <w:sz w:val="22"/>
          <w:szCs w:val="22"/>
          <w:lang w:eastAsia="en-US"/>
        </w:rPr>
        <w:t xml:space="preserve">. </w:t>
      </w:r>
      <w:r w:rsidR="0090764D" w:rsidRPr="00692407">
        <w:rPr>
          <w:rFonts w:ascii="Franklin Gothic Book" w:eastAsia="Calibri" w:hAnsi="Franklin Gothic Book"/>
          <w:sz w:val="22"/>
          <w:szCs w:val="22"/>
          <w:lang w:eastAsia="en-US"/>
        </w:rPr>
        <w:t xml:space="preserve">This makes it difficult to </w:t>
      </w:r>
      <w:r w:rsidR="0090764D">
        <w:rPr>
          <w:rFonts w:ascii="Franklin Gothic Book" w:eastAsia="Calibri" w:hAnsi="Franklin Gothic Book"/>
          <w:sz w:val="22"/>
          <w:szCs w:val="22"/>
          <w:lang w:eastAsia="en-US"/>
        </w:rPr>
        <w:t xml:space="preserve">categorically </w:t>
      </w:r>
      <w:r w:rsidR="0090764D" w:rsidRPr="00692407">
        <w:rPr>
          <w:rFonts w:ascii="Franklin Gothic Book" w:eastAsia="Calibri" w:hAnsi="Franklin Gothic Book"/>
          <w:sz w:val="22"/>
          <w:szCs w:val="22"/>
          <w:lang w:eastAsia="en-US"/>
        </w:rPr>
        <w:t>define an eligible population</w:t>
      </w:r>
      <w:r w:rsidR="0090764D">
        <w:rPr>
          <w:rFonts w:ascii="Franklin Gothic Book" w:eastAsia="Calibri" w:hAnsi="Franklin Gothic Book"/>
          <w:sz w:val="22"/>
          <w:szCs w:val="22"/>
          <w:lang w:eastAsia="en-US"/>
        </w:rPr>
        <w:t xml:space="preserve"> for IDS. However, MSAC considered </w:t>
      </w:r>
      <w:r w:rsidRPr="00692407">
        <w:rPr>
          <w:rFonts w:ascii="Franklin Gothic Book" w:eastAsia="Calibri" w:hAnsi="Franklin Gothic Book"/>
          <w:sz w:val="22"/>
          <w:szCs w:val="22"/>
          <w:lang w:eastAsia="en-US"/>
        </w:rPr>
        <w:t xml:space="preserve">that the patient group specified in the </w:t>
      </w:r>
      <w:r w:rsidR="00494945">
        <w:rPr>
          <w:rFonts w:ascii="Franklin Gothic Book" w:eastAsia="Calibri" w:hAnsi="Franklin Gothic Book"/>
          <w:sz w:val="22"/>
          <w:szCs w:val="22"/>
          <w:lang w:eastAsia="en-US"/>
        </w:rPr>
        <w:t>MBS items</w:t>
      </w:r>
      <w:r w:rsidRPr="00692407">
        <w:rPr>
          <w:rFonts w:ascii="Franklin Gothic Book" w:eastAsia="Calibri" w:hAnsi="Franklin Gothic Book"/>
          <w:sz w:val="22"/>
          <w:szCs w:val="22"/>
          <w:lang w:eastAsia="en-US"/>
        </w:rPr>
        <w:t xml:space="preserve"> </w:t>
      </w:r>
      <w:r w:rsidR="00494945">
        <w:rPr>
          <w:rFonts w:ascii="Franklin Gothic Book" w:eastAsia="Calibri" w:hAnsi="Franklin Gothic Book"/>
          <w:sz w:val="22"/>
          <w:szCs w:val="22"/>
          <w:lang w:eastAsia="en-US"/>
        </w:rPr>
        <w:t>w</w:t>
      </w:r>
      <w:r w:rsidR="007F03DB">
        <w:rPr>
          <w:rFonts w:ascii="Franklin Gothic Book" w:eastAsia="Calibri" w:hAnsi="Franklin Gothic Book"/>
          <w:sz w:val="22"/>
          <w:szCs w:val="22"/>
          <w:lang w:eastAsia="en-US"/>
        </w:rPr>
        <w:t>as</w:t>
      </w:r>
      <w:r w:rsidR="00494945" w:rsidRPr="00692407">
        <w:rPr>
          <w:rFonts w:ascii="Franklin Gothic Book" w:eastAsia="Calibri" w:hAnsi="Franklin Gothic Book"/>
          <w:sz w:val="22"/>
          <w:szCs w:val="22"/>
          <w:lang w:eastAsia="en-US"/>
        </w:rPr>
        <w:t xml:space="preserve"> </w:t>
      </w:r>
      <w:r w:rsidRPr="00692407">
        <w:rPr>
          <w:rFonts w:ascii="Franklin Gothic Book" w:eastAsia="Calibri" w:hAnsi="Franklin Gothic Book"/>
          <w:sz w:val="22"/>
          <w:szCs w:val="22"/>
          <w:lang w:eastAsia="en-US"/>
        </w:rPr>
        <w:t>not specific enough, and that the item descriptors needed</w:t>
      </w:r>
      <w:r w:rsidR="00EB0E37">
        <w:rPr>
          <w:rFonts w:ascii="Franklin Gothic Book" w:eastAsia="Calibri" w:hAnsi="Franklin Gothic Book"/>
          <w:sz w:val="22"/>
          <w:szCs w:val="22"/>
          <w:lang w:eastAsia="en-US"/>
        </w:rPr>
        <w:t xml:space="preserve"> to be more clinically defined, including </w:t>
      </w:r>
      <w:r w:rsidRPr="00692407">
        <w:rPr>
          <w:rFonts w:ascii="Franklin Gothic Book" w:eastAsia="Calibri" w:hAnsi="Franklin Gothic Book"/>
          <w:sz w:val="22"/>
          <w:szCs w:val="22"/>
          <w:lang w:eastAsia="en-US"/>
        </w:rPr>
        <w:t>specify</w:t>
      </w:r>
      <w:r w:rsidR="00EB0E37">
        <w:rPr>
          <w:rFonts w:ascii="Franklin Gothic Book" w:eastAsia="Calibri" w:hAnsi="Franklin Gothic Book"/>
          <w:sz w:val="22"/>
          <w:szCs w:val="22"/>
          <w:lang w:eastAsia="en-US"/>
        </w:rPr>
        <w:t>ing</w:t>
      </w:r>
      <w:r w:rsidRPr="00692407">
        <w:rPr>
          <w:rFonts w:ascii="Franklin Gothic Book" w:eastAsia="Calibri" w:hAnsi="Franklin Gothic Book"/>
          <w:sz w:val="22"/>
          <w:szCs w:val="22"/>
          <w:lang w:eastAsia="en-US"/>
        </w:rPr>
        <w:t xml:space="preserve"> the symptom complex that would make patients</w:t>
      </w:r>
      <w:r w:rsidR="00AB728E">
        <w:rPr>
          <w:rFonts w:ascii="Franklin Gothic Book" w:eastAsia="Calibri" w:hAnsi="Franklin Gothic Book"/>
          <w:sz w:val="22"/>
          <w:szCs w:val="22"/>
          <w:lang w:eastAsia="en-US"/>
        </w:rPr>
        <w:t xml:space="preserve"> with moderate LSS</w:t>
      </w:r>
      <w:r w:rsidRPr="00692407">
        <w:rPr>
          <w:rFonts w:ascii="Franklin Gothic Book" w:eastAsia="Calibri" w:hAnsi="Franklin Gothic Book"/>
          <w:sz w:val="22"/>
          <w:szCs w:val="22"/>
          <w:lang w:eastAsia="en-US"/>
        </w:rPr>
        <w:t xml:space="preserve"> eligible (such as </w:t>
      </w:r>
      <w:r w:rsidR="00CA46D4">
        <w:rPr>
          <w:rFonts w:ascii="Franklin Gothic Book" w:eastAsia="Calibri" w:hAnsi="Franklin Gothic Book"/>
          <w:sz w:val="22"/>
          <w:szCs w:val="22"/>
          <w:lang w:eastAsia="en-US"/>
        </w:rPr>
        <w:t>neurogenic claudication</w:t>
      </w:r>
      <w:r w:rsidR="003C6689">
        <w:rPr>
          <w:rStyle w:val="FootnoteReference"/>
          <w:rFonts w:ascii="Franklin Gothic Book" w:eastAsia="Calibri" w:hAnsi="Franklin Gothic Book"/>
          <w:sz w:val="22"/>
          <w:szCs w:val="22"/>
          <w:lang w:eastAsia="en-US"/>
        </w:rPr>
        <w:footnoteReference w:id="2"/>
      </w:r>
      <w:r w:rsidR="00CA46D4">
        <w:rPr>
          <w:rFonts w:ascii="Franklin Gothic Book" w:eastAsia="Calibri" w:hAnsi="Franklin Gothic Book"/>
          <w:sz w:val="22"/>
          <w:szCs w:val="22"/>
          <w:lang w:eastAsia="en-US"/>
        </w:rPr>
        <w:t xml:space="preserve"> </w:t>
      </w:r>
      <w:r w:rsidR="00814C77">
        <w:rPr>
          <w:rFonts w:ascii="Franklin Gothic Book" w:eastAsia="Calibri" w:hAnsi="Franklin Gothic Book"/>
          <w:sz w:val="22"/>
          <w:szCs w:val="22"/>
          <w:lang w:eastAsia="en-US"/>
        </w:rPr>
        <w:t>for at least 3 months</w:t>
      </w:r>
      <w:r w:rsidR="00D53E11">
        <w:rPr>
          <w:rFonts w:ascii="Franklin Gothic Book" w:eastAsia="Calibri" w:hAnsi="Franklin Gothic Book"/>
          <w:sz w:val="22"/>
          <w:szCs w:val="22"/>
          <w:lang w:eastAsia="en-US"/>
        </w:rPr>
        <w:t xml:space="preserve"> </w:t>
      </w:r>
      <w:r w:rsidR="00CA46D4">
        <w:rPr>
          <w:rFonts w:ascii="Franklin Gothic Book" w:eastAsia="Calibri" w:hAnsi="Franklin Gothic Book"/>
          <w:sz w:val="22"/>
          <w:szCs w:val="22"/>
          <w:lang w:eastAsia="en-US"/>
        </w:rPr>
        <w:t xml:space="preserve">with </w:t>
      </w:r>
      <w:r w:rsidRPr="00692407">
        <w:rPr>
          <w:rFonts w:ascii="Franklin Gothic Book" w:eastAsia="Calibri" w:hAnsi="Franklin Gothic Book"/>
          <w:sz w:val="22"/>
          <w:szCs w:val="22"/>
          <w:lang w:eastAsia="en-US"/>
        </w:rPr>
        <w:t>pain being relieved in</w:t>
      </w:r>
      <w:r w:rsidR="00FE71A9">
        <w:rPr>
          <w:rFonts w:ascii="Franklin Gothic Book" w:eastAsia="Calibri" w:hAnsi="Franklin Gothic Book"/>
          <w:sz w:val="22"/>
          <w:szCs w:val="22"/>
          <w:lang w:eastAsia="en-US"/>
        </w:rPr>
        <w:t xml:space="preserve"> sitting or lumbar</w:t>
      </w:r>
      <w:r w:rsidRPr="00692407">
        <w:rPr>
          <w:rFonts w:ascii="Franklin Gothic Book" w:eastAsia="Calibri" w:hAnsi="Franklin Gothic Book"/>
          <w:sz w:val="22"/>
          <w:szCs w:val="22"/>
          <w:lang w:eastAsia="en-US"/>
        </w:rPr>
        <w:t xml:space="preserve"> flexion)</w:t>
      </w:r>
      <w:r w:rsidR="00E468DE">
        <w:rPr>
          <w:rFonts w:ascii="Franklin Gothic Book" w:eastAsia="Calibri" w:hAnsi="Franklin Gothic Book"/>
          <w:sz w:val="22"/>
          <w:szCs w:val="22"/>
          <w:lang w:eastAsia="en-US"/>
        </w:rPr>
        <w:t xml:space="preserve"> </w:t>
      </w:r>
      <w:r w:rsidR="008F6503">
        <w:rPr>
          <w:rFonts w:ascii="Franklin Gothic Book" w:eastAsia="Calibri" w:hAnsi="Franklin Gothic Book"/>
          <w:sz w:val="22"/>
          <w:szCs w:val="22"/>
          <w:lang w:eastAsia="en-US"/>
        </w:rPr>
        <w:t xml:space="preserve">and include </w:t>
      </w:r>
      <w:r w:rsidRPr="00692407">
        <w:rPr>
          <w:rFonts w:ascii="Franklin Gothic Book" w:eastAsia="Calibri" w:hAnsi="Franklin Gothic Book"/>
          <w:sz w:val="22"/>
          <w:szCs w:val="22"/>
          <w:lang w:eastAsia="en-US"/>
        </w:rPr>
        <w:t>defin</w:t>
      </w:r>
      <w:r w:rsidR="008F6503">
        <w:rPr>
          <w:rFonts w:ascii="Franklin Gothic Book" w:eastAsia="Calibri" w:hAnsi="Franklin Gothic Book"/>
          <w:sz w:val="22"/>
          <w:szCs w:val="22"/>
          <w:lang w:eastAsia="en-US"/>
        </w:rPr>
        <w:t>ition</w:t>
      </w:r>
      <w:r w:rsidR="00E468DE">
        <w:rPr>
          <w:rFonts w:ascii="Franklin Gothic Book" w:eastAsia="Calibri" w:hAnsi="Franklin Gothic Book"/>
          <w:sz w:val="22"/>
          <w:szCs w:val="22"/>
          <w:lang w:eastAsia="en-US"/>
        </w:rPr>
        <w:t xml:space="preserve"> of </w:t>
      </w:r>
      <w:r w:rsidRPr="00692407">
        <w:rPr>
          <w:rFonts w:ascii="Franklin Gothic Book" w:eastAsia="Calibri" w:hAnsi="Franklin Gothic Book"/>
          <w:sz w:val="22"/>
          <w:szCs w:val="22"/>
          <w:lang w:eastAsia="en-US"/>
        </w:rPr>
        <w:t xml:space="preserve">“mild spondylolisthesis”. </w:t>
      </w:r>
      <w:r w:rsidR="008F6503">
        <w:rPr>
          <w:rFonts w:ascii="Franklin Gothic Book" w:eastAsia="Calibri" w:hAnsi="Franklin Gothic Book"/>
          <w:sz w:val="22"/>
          <w:szCs w:val="22"/>
          <w:lang w:eastAsia="en-US"/>
        </w:rPr>
        <w:t>Arising from</w:t>
      </w:r>
      <w:r w:rsidRPr="00692407">
        <w:rPr>
          <w:rFonts w:ascii="Franklin Gothic Book" w:eastAsia="Calibri" w:hAnsi="Franklin Gothic Book"/>
          <w:sz w:val="22"/>
          <w:szCs w:val="22"/>
          <w:lang w:eastAsia="en-US"/>
        </w:rPr>
        <w:t xml:space="preserve"> this </w:t>
      </w:r>
      <w:r w:rsidR="008F6503">
        <w:rPr>
          <w:rFonts w:ascii="Franklin Gothic Book" w:eastAsia="Calibri" w:hAnsi="Franklin Gothic Book"/>
          <w:sz w:val="22"/>
          <w:szCs w:val="22"/>
          <w:lang w:eastAsia="en-US"/>
        </w:rPr>
        <w:t xml:space="preserve">item descriptor </w:t>
      </w:r>
      <w:r w:rsidRPr="00692407">
        <w:rPr>
          <w:rFonts w:ascii="Franklin Gothic Book" w:eastAsia="Calibri" w:hAnsi="Franklin Gothic Book"/>
          <w:sz w:val="22"/>
          <w:szCs w:val="22"/>
          <w:lang w:eastAsia="en-US"/>
        </w:rPr>
        <w:t xml:space="preserve">specificity, and </w:t>
      </w:r>
      <w:r w:rsidR="008F6503">
        <w:rPr>
          <w:rFonts w:ascii="Franklin Gothic Book" w:eastAsia="Calibri" w:hAnsi="Franklin Gothic Book"/>
          <w:sz w:val="22"/>
          <w:szCs w:val="22"/>
          <w:lang w:eastAsia="en-US"/>
        </w:rPr>
        <w:t>the</w:t>
      </w:r>
      <w:r w:rsidRPr="00692407">
        <w:rPr>
          <w:rFonts w:ascii="Franklin Gothic Book" w:eastAsia="Calibri" w:hAnsi="Franklin Gothic Book"/>
          <w:sz w:val="22"/>
          <w:szCs w:val="22"/>
          <w:lang w:eastAsia="en-US"/>
        </w:rPr>
        <w:t xml:space="preserve"> large list of </w:t>
      </w:r>
      <w:r w:rsidR="008F6503">
        <w:rPr>
          <w:rFonts w:ascii="Franklin Gothic Book" w:eastAsia="Calibri" w:hAnsi="Franklin Gothic Book"/>
          <w:sz w:val="22"/>
          <w:szCs w:val="22"/>
          <w:lang w:eastAsia="en-US"/>
        </w:rPr>
        <w:t>contraindica</w:t>
      </w:r>
      <w:r w:rsidR="003D6272">
        <w:rPr>
          <w:rFonts w:ascii="Franklin Gothic Book" w:eastAsia="Calibri" w:hAnsi="Franklin Gothic Book"/>
          <w:sz w:val="22"/>
          <w:szCs w:val="22"/>
          <w:lang w:eastAsia="en-US"/>
        </w:rPr>
        <w:t>ti</w:t>
      </w:r>
      <w:r w:rsidR="008F6503">
        <w:rPr>
          <w:rFonts w:ascii="Franklin Gothic Book" w:eastAsia="Calibri" w:hAnsi="Franklin Gothic Book"/>
          <w:sz w:val="22"/>
          <w:szCs w:val="22"/>
          <w:lang w:eastAsia="en-US"/>
        </w:rPr>
        <w:t>ons</w:t>
      </w:r>
      <w:r w:rsidRPr="00692407">
        <w:rPr>
          <w:rFonts w:ascii="Franklin Gothic Book" w:eastAsia="Calibri" w:hAnsi="Franklin Gothic Book"/>
          <w:sz w:val="22"/>
          <w:szCs w:val="22"/>
          <w:lang w:eastAsia="en-US"/>
        </w:rPr>
        <w:t xml:space="preserve"> that would make patients ineligible, </w:t>
      </w:r>
      <w:r w:rsidR="003C4EB3">
        <w:rPr>
          <w:rFonts w:ascii="Franklin Gothic Book" w:eastAsia="Calibri" w:hAnsi="Franklin Gothic Book"/>
          <w:sz w:val="22"/>
          <w:szCs w:val="22"/>
          <w:lang w:eastAsia="en-US"/>
        </w:rPr>
        <w:t xml:space="preserve">MSAC considered that </w:t>
      </w:r>
      <w:r w:rsidRPr="00692407">
        <w:rPr>
          <w:rFonts w:ascii="Franklin Gothic Book" w:eastAsia="Calibri" w:hAnsi="Franklin Gothic Book"/>
          <w:sz w:val="22"/>
          <w:szCs w:val="22"/>
          <w:lang w:eastAsia="en-US"/>
        </w:rPr>
        <w:t xml:space="preserve">the patient group who would </w:t>
      </w:r>
      <w:r w:rsidR="008F6503">
        <w:rPr>
          <w:rFonts w:ascii="Franklin Gothic Book" w:eastAsia="Calibri" w:hAnsi="Franklin Gothic Book"/>
          <w:sz w:val="22"/>
          <w:szCs w:val="22"/>
          <w:lang w:eastAsia="en-US"/>
        </w:rPr>
        <w:t>be eligible for</w:t>
      </w:r>
      <w:r w:rsidRPr="00692407">
        <w:rPr>
          <w:rFonts w:ascii="Franklin Gothic Book" w:eastAsia="Calibri" w:hAnsi="Franklin Gothic Book"/>
          <w:sz w:val="22"/>
          <w:szCs w:val="22"/>
          <w:lang w:eastAsia="en-US"/>
        </w:rPr>
        <w:t xml:space="preserve"> this procedure would </w:t>
      </w:r>
      <w:r w:rsidR="008F6503">
        <w:rPr>
          <w:rFonts w:ascii="Franklin Gothic Book" w:eastAsia="Calibri" w:hAnsi="Franklin Gothic Book"/>
          <w:sz w:val="22"/>
          <w:szCs w:val="22"/>
          <w:lang w:eastAsia="en-US"/>
        </w:rPr>
        <w:t xml:space="preserve">likely </w:t>
      </w:r>
      <w:r w:rsidRPr="00692407">
        <w:rPr>
          <w:rFonts w:ascii="Franklin Gothic Book" w:eastAsia="Calibri" w:hAnsi="Franklin Gothic Book"/>
          <w:sz w:val="22"/>
          <w:szCs w:val="22"/>
          <w:lang w:eastAsia="en-US"/>
        </w:rPr>
        <w:t>be small.</w:t>
      </w:r>
    </w:p>
    <w:bookmarkEnd w:id="3"/>
    <w:p w14:paraId="75A1B38B" w14:textId="7B39619C" w:rsidR="00692407" w:rsidRPr="00692407" w:rsidRDefault="00692407" w:rsidP="00692407">
      <w:pPr>
        <w:spacing w:before="120" w:after="160" w:line="259" w:lineRule="auto"/>
        <w:rPr>
          <w:rFonts w:ascii="Franklin Gothic Book" w:eastAsia="Calibri" w:hAnsi="Franklin Gothic Book"/>
          <w:sz w:val="22"/>
          <w:szCs w:val="22"/>
          <w:lang w:eastAsia="en-US"/>
        </w:rPr>
      </w:pPr>
      <w:r w:rsidRPr="00692407">
        <w:rPr>
          <w:rFonts w:ascii="Franklin Gothic Book" w:eastAsia="Calibri" w:hAnsi="Franklin Gothic Book"/>
          <w:sz w:val="22"/>
          <w:szCs w:val="22"/>
          <w:lang w:eastAsia="en-US"/>
        </w:rPr>
        <w:t>MSAC noted that, in the clinical care pathway, conservative care</w:t>
      </w:r>
      <w:r w:rsidR="00567AB8">
        <w:rPr>
          <w:rFonts w:ascii="Franklin Gothic Book" w:eastAsia="Calibri" w:hAnsi="Franklin Gothic Book"/>
          <w:sz w:val="22"/>
          <w:szCs w:val="22"/>
          <w:lang w:eastAsia="en-US"/>
        </w:rPr>
        <w:t xml:space="preserve"> (including watchful waiting)</w:t>
      </w:r>
      <w:r w:rsidRPr="00692407">
        <w:rPr>
          <w:rFonts w:ascii="Franklin Gothic Book" w:eastAsia="Calibri" w:hAnsi="Franklin Gothic Book"/>
          <w:sz w:val="22"/>
          <w:szCs w:val="22"/>
          <w:lang w:eastAsia="en-US"/>
        </w:rPr>
        <w:t xml:space="preserve"> is </w:t>
      </w:r>
      <w:r w:rsidR="003D6272">
        <w:rPr>
          <w:rFonts w:ascii="Franklin Gothic Book" w:eastAsia="Calibri" w:hAnsi="Franklin Gothic Book"/>
          <w:sz w:val="22"/>
          <w:szCs w:val="22"/>
          <w:lang w:eastAsia="en-US"/>
        </w:rPr>
        <w:t>required</w:t>
      </w:r>
      <w:r w:rsidRPr="00692407">
        <w:rPr>
          <w:rFonts w:ascii="Franklin Gothic Book" w:eastAsia="Calibri" w:hAnsi="Franklin Gothic Book"/>
          <w:sz w:val="22"/>
          <w:szCs w:val="22"/>
          <w:lang w:eastAsia="en-US"/>
        </w:rPr>
        <w:t xml:space="preserve"> for 6 months before surgical approaches (spinal fusion, or decompression with or without spinal fusion) can be undertaken. The Superion device addresses moderate LSS, which traditionally requires indirect compression surgery or a laminectomy, in a minimally invasive approach. MSAC noted there is a </w:t>
      </w:r>
      <w:r w:rsidR="003D6272">
        <w:rPr>
          <w:rFonts w:ascii="Franklin Gothic Book" w:eastAsia="Calibri" w:hAnsi="Franklin Gothic Book"/>
          <w:sz w:val="22"/>
          <w:szCs w:val="22"/>
          <w:lang w:eastAsia="en-US"/>
        </w:rPr>
        <w:t>considerable</w:t>
      </w:r>
      <w:r w:rsidRPr="00692407">
        <w:rPr>
          <w:rFonts w:ascii="Franklin Gothic Book" w:eastAsia="Calibri" w:hAnsi="Franklin Gothic Book"/>
          <w:sz w:val="22"/>
          <w:szCs w:val="22"/>
          <w:lang w:eastAsia="en-US"/>
        </w:rPr>
        <w:t xml:space="preserve"> overlap between the</w:t>
      </w:r>
      <w:r w:rsidR="003D6272">
        <w:rPr>
          <w:rFonts w:ascii="Franklin Gothic Book" w:eastAsia="Calibri" w:hAnsi="Franklin Gothic Book"/>
          <w:sz w:val="22"/>
          <w:szCs w:val="22"/>
          <w:lang w:eastAsia="en-US"/>
        </w:rPr>
        <w:t xml:space="preserve"> use of the</w:t>
      </w:r>
      <w:r w:rsidRPr="00692407">
        <w:rPr>
          <w:rFonts w:ascii="Franklin Gothic Book" w:eastAsia="Calibri" w:hAnsi="Franklin Gothic Book"/>
          <w:sz w:val="22"/>
          <w:szCs w:val="22"/>
          <w:lang w:eastAsia="en-US"/>
        </w:rPr>
        <w:t xml:space="preserve"> Superion device and the comparators in the clinical care pathway. Therefore, MSAC considered the clinical place of this therapy to be variable and, ultimately, patient</w:t>
      </w:r>
      <w:r w:rsidR="003C4EB3">
        <w:rPr>
          <w:rFonts w:ascii="Franklin Gothic Book" w:eastAsia="Calibri" w:hAnsi="Franklin Gothic Book"/>
          <w:sz w:val="22"/>
          <w:szCs w:val="22"/>
          <w:lang w:eastAsia="en-US"/>
        </w:rPr>
        <w:t>-</w:t>
      </w:r>
      <w:r w:rsidRPr="00692407">
        <w:rPr>
          <w:rFonts w:ascii="Franklin Gothic Book" w:eastAsia="Calibri" w:hAnsi="Franklin Gothic Book"/>
          <w:sz w:val="22"/>
          <w:szCs w:val="22"/>
          <w:lang w:eastAsia="en-US"/>
        </w:rPr>
        <w:t>dependent.</w:t>
      </w:r>
    </w:p>
    <w:p w14:paraId="5771BF99" w14:textId="2527CA99" w:rsidR="00692407" w:rsidRPr="00692407" w:rsidRDefault="00692407" w:rsidP="00692407">
      <w:pPr>
        <w:spacing w:before="120" w:after="160" w:line="259" w:lineRule="auto"/>
        <w:rPr>
          <w:rFonts w:ascii="Franklin Gothic Book" w:eastAsia="Calibri" w:hAnsi="Franklin Gothic Book"/>
          <w:sz w:val="22"/>
          <w:szCs w:val="22"/>
          <w:lang w:eastAsia="en-US"/>
        </w:rPr>
      </w:pPr>
      <w:r w:rsidRPr="00692407">
        <w:rPr>
          <w:rFonts w:ascii="Franklin Gothic Book" w:eastAsia="Calibri" w:hAnsi="Franklin Gothic Book"/>
          <w:sz w:val="22"/>
          <w:szCs w:val="22"/>
          <w:lang w:eastAsia="en-US"/>
        </w:rPr>
        <w:t>MSAC noted the IDS is designed for treating neurological claudication symptoms</w:t>
      </w:r>
      <w:r w:rsidR="003C4EB3">
        <w:rPr>
          <w:rFonts w:ascii="Franklin Gothic Book" w:eastAsia="Calibri" w:hAnsi="Franklin Gothic Book"/>
          <w:sz w:val="22"/>
          <w:szCs w:val="22"/>
          <w:lang w:eastAsia="en-US"/>
        </w:rPr>
        <w:t>, and</w:t>
      </w:r>
      <w:r w:rsidRPr="00692407">
        <w:rPr>
          <w:rFonts w:ascii="Franklin Gothic Book" w:eastAsia="Calibri" w:hAnsi="Franklin Gothic Book"/>
          <w:sz w:val="22"/>
          <w:szCs w:val="22"/>
          <w:lang w:eastAsia="en-US"/>
        </w:rPr>
        <w:t xml:space="preserve"> like most surgical interventions</w:t>
      </w:r>
      <w:r w:rsidR="008F6503">
        <w:rPr>
          <w:rFonts w:ascii="Franklin Gothic Book" w:eastAsia="Calibri" w:hAnsi="Franklin Gothic Book"/>
          <w:sz w:val="22"/>
          <w:szCs w:val="22"/>
          <w:lang w:eastAsia="en-US"/>
        </w:rPr>
        <w:t xml:space="preserve"> </w:t>
      </w:r>
      <w:r w:rsidR="003D6272">
        <w:rPr>
          <w:rFonts w:ascii="Franklin Gothic Book" w:eastAsia="Calibri" w:hAnsi="Franklin Gothic Book"/>
          <w:sz w:val="22"/>
          <w:szCs w:val="22"/>
          <w:lang w:eastAsia="en-US"/>
        </w:rPr>
        <w:t>for</w:t>
      </w:r>
      <w:r w:rsidR="008F6503">
        <w:rPr>
          <w:rFonts w:ascii="Franklin Gothic Book" w:eastAsia="Calibri" w:hAnsi="Franklin Gothic Book"/>
          <w:sz w:val="22"/>
          <w:szCs w:val="22"/>
          <w:lang w:eastAsia="en-US"/>
        </w:rPr>
        <w:t xml:space="preserve"> this condition</w:t>
      </w:r>
      <w:r w:rsidRPr="00692407">
        <w:rPr>
          <w:rFonts w:ascii="Franklin Gothic Book" w:eastAsia="Calibri" w:hAnsi="Franklin Gothic Book"/>
          <w:sz w:val="22"/>
          <w:szCs w:val="22"/>
          <w:lang w:eastAsia="en-US"/>
        </w:rPr>
        <w:t xml:space="preserve">, </w:t>
      </w:r>
      <w:r w:rsidR="008F6503">
        <w:rPr>
          <w:rFonts w:ascii="Franklin Gothic Book" w:eastAsia="Calibri" w:hAnsi="Franklin Gothic Book"/>
          <w:sz w:val="22"/>
          <w:szCs w:val="22"/>
          <w:lang w:eastAsia="en-US"/>
        </w:rPr>
        <w:t>IDS</w:t>
      </w:r>
      <w:r w:rsidRPr="00692407">
        <w:rPr>
          <w:rFonts w:ascii="Franklin Gothic Book" w:eastAsia="Calibri" w:hAnsi="Franklin Gothic Book"/>
          <w:sz w:val="22"/>
          <w:szCs w:val="22"/>
          <w:lang w:eastAsia="en-US"/>
        </w:rPr>
        <w:t xml:space="preserve"> does not prevent </w:t>
      </w:r>
      <w:r w:rsidR="008F6503">
        <w:rPr>
          <w:rFonts w:ascii="Franklin Gothic Book" w:eastAsia="Calibri" w:hAnsi="Franklin Gothic Book"/>
          <w:sz w:val="22"/>
          <w:szCs w:val="22"/>
          <w:lang w:eastAsia="en-US"/>
        </w:rPr>
        <w:t>further deterioration, treat</w:t>
      </w:r>
      <w:r w:rsidRPr="00692407">
        <w:rPr>
          <w:rFonts w:ascii="Franklin Gothic Book" w:eastAsia="Calibri" w:hAnsi="Franklin Gothic Book"/>
          <w:sz w:val="22"/>
          <w:szCs w:val="22"/>
          <w:lang w:eastAsia="en-US"/>
        </w:rPr>
        <w:t xml:space="preserve"> the </w:t>
      </w:r>
      <w:r w:rsidR="008F6503">
        <w:rPr>
          <w:rFonts w:ascii="Franklin Gothic Book" w:eastAsia="Calibri" w:hAnsi="Franklin Gothic Book"/>
          <w:sz w:val="22"/>
          <w:szCs w:val="22"/>
          <w:lang w:eastAsia="en-US"/>
        </w:rPr>
        <w:t xml:space="preserve">underlying </w:t>
      </w:r>
      <w:r w:rsidRPr="00692407">
        <w:rPr>
          <w:rFonts w:ascii="Franklin Gothic Book" w:eastAsia="Calibri" w:hAnsi="Franklin Gothic Book"/>
          <w:sz w:val="22"/>
          <w:szCs w:val="22"/>
          <w:lang w:eastAsia="en-US"/>
        </w:rPr>
        <w:t>cause, or stop progression at other</w:t>
      </w:r>
      <w:r w:rsidR="008F6503">
        <w:rPr>
          <w:rFonts w:ascii="Franklin Gothic Book" w:eastAsia="Calibri" w:hAnsi="Franklin Gothic Book"/>
          <w:sz w:val="22"/>
          <w:szCs w:val="22"/>
          <w:lang w:eastAsia="en-US"/>
        </w:rPr>
        <w:t xml:space="preserve"> vertebral</w:t>
      </w:r>
      <w:r w:rsidRPr="00692407">
        <w:rPr>
          <w:rFonts w:ascii="Franklin Gothic Book" w:eastAsia="Calibri" w:hAnsi="Franklin Gothic Book"/>
          <w:sz w:val="22"/>
          <w:szCs w:val="22"/>
          <w:lang w:eastAsia="en-US"/>
        </w:rPr>
        <w:t xml:space="preserve"> levels. As a result, MSAC considered the device to be a </w:t>
      </w:r>
      <w:r w:rsidR="008F6503">
        <w:rPr>
          <w:rFonts w:ascii="Franklin Gothic Book" w:eastAsia="Calibri" w:hAnsi="Franklin Gothic Book"/>
          <w:sz w:val="22"/>
          <w:szCs w:val="22"/>
          <w:lang w:eastAsia="en-US"/>
        </w:rPr>
        <w:t xml:space="preserve">temporising </w:t>
      </w:r>
      <w:r w:rsidRPr="00692407">
        <w:rPr>
          <w:rFonts w:ascii="Franklin Gothic Book" w:eastAsia="Calibri" w:hAnsi="Franklin Gothic Book"/>
          <w:sz w:val="22"/>
          <w:szCs w:val="22"/>
          <w:lang w:eastAsia="en-US"/>
        </w:rPr>
        <w:t xml:space="preserve">bridge to laminectomy or fusion surgery, </w:t>
      </w:r>
      <w:r w:rsidR="003C4EB3">
        <w:rPr>
          <w:rFonts w:ascii="Franklin Gothic Book" w:eastAsia="Calibri" w:hAnsi="Franklin Gothic Book"/>
          <w:sz w:val="22"/>
          <w:szCs w:val="22"/>
          <w:lang w:eastAsia="en-US"/>
        </w:rPr>
        <w:t>rather than</w:t>
      </w:r>
      <w:r w:rsidR="003C4EB3" w:rsidRPr="00692407">
        <w:rPr>
          <w:rFonts w:ascii="Franklin Gothic Book" w:eastAsia="Calibri" w:hAnsi="Franklin Gothic Book"/>
          <w:sz w:val="22"/>
          <w:szCs w:val="22"/>
          <w:lang w:eastAsia="en-US"/>
        </w:rPr>
        <w:t xml:space="preserve"> </w:t>
      </w:r>
      <w:r w:rsidRPr="00692407">
        <w:rPr>
          <w:rFonts w:ascii="Franklin Gothic Book" w:eastAsia="Calibri" w:hAnsi="Franklin Gothic Book"/>
          <w:sz w:val="22"/>
          <w:szCs w:val="22"/>
          <w:lang w:eastAsia="en-US"/>
        </w:rPr>
        <w:t>a replacement</w:t>
      </w:r>
      <w:r w:rsidR="008F6503">
        <w:rPr>
          <w:rFonts w:ascii="Franklin Gothic Book" w:eastAsia="Calibri" w:hAnsi="Franklin Gothic Book"/>
          <w:sz w:val="22"/>
          <w:szCs w:val="22"/>
          <w:lang w:eastAsia="en-US"/>
        </w:rPr>
        <w:t xml:space="preserve"> for either procedure</w:t>
      </w:r>
      <w:r w:rsidRPr="00692407">
        <w:rPr>
          <w:rFonts w:ascii="Franklin Gothic Book" w:eastAsia="Calibri" w:hAnsi="Franklin Gothic Book"/>
          <w:sz w:val="22"/>
          <w:szCs w:val="22"/>
          <w:lang w:eastAsia="en-US"/>
        </w:rPr>
        <w:t xml:space="preserve">. </w:t>
      </w:r>
      <w:r w:rsidRPr="00610648">
        <w:rPr>
          <w:rFonts w:ascii="Franklin Gothic Book" w:eastAsia="Calibri" w:hAnsi="Franklin Gothic Book"/>
          <w:sz w:val="22"/>
          <w:szCs w:val="22"/>
          <w:lang w:eastAsia="en-US"/>
        </w:rPr>
        <w:t xml:space="preserve">MSAC noted that conservative therapy is </w:t>
      </w:r>
      <w:r w:rsidR="003C4EB3" w:rsidRPr="00610648">
        <w:rPr>
          <w:rFonts w:ascii="Franklin Gothic Book" w:eastAsia="Calibri" w:hAnsi="Franklin Gothic Book"/>
          <w:sz w:val="22"/>
          <w:szCs w:val="22"/>
          <w:lang w:eastAsia="en-US"/>
        </w:rPr>
        <w:t>typically not very effective</w:t>
      </w:r>
      <w:r w:rsidRPr="00610648">
        <w:rPr>
          <w:rFonts w:ascii="Franklin Gothic Book" w:eastAsia="Calibri" w:hAnsi="Franklin Gothic Book"/>
          <w:sz w:val="22"/>
          <w:szCs w:val="22"/>
          <w:lang w:eastAsia="en-US"/>
        </w:rPr>
        <w:t xml:space="preserve">, </w:t>
      </w:r>
      <w:r w:rsidR="003C4EB3" w:rsidRPr="00610648">
        <w:rPr>
          <w:rFonts w:ascii="Franklin Gothic Book" w:eastAsia="Calibri" w:hAnsi="Franklin Gothic Book"/>
          <w:sz w:val="22"/>
          <w:szCs w:val="22"/>
          <w:lang w:eastAsia="en-US"/>
        </w:rPr>
        <w:t xml:space="preserve">though </w:t>
      </w:r>
      <w:r w:rsidRPr="00610648">
        <w:rPr>
          <w:rFonts w:ascii="Franklin Gothic Book" w:eastAsia="Calibri" w:hAnsi="Franklin Gothic Book"/>
          <w:sz w:val="22"/>
          <w:szCs w:val="22"/>
          <w:lang w:eastAsia="en-US"/>
        </w:rPr>
        <w:t>many patients</w:t>
      </w:r>
      <w:r w:rsidR="003C4EB3" w:rsidRPr="00610648">
        <w:rPr>
          <w:rFonts w:ascii="Franklin Gothic Book" w:eastAsia="Calibri" w:hAnsi="Franklin Gothic Book"/>
          <w:sz w:val="22"/>
          <w:szCs w:val="22"/>
          <w:lang w:eastAsia="en-US"/>
        </w:rPr>
        <w:t xml:space="preserve"> will get better over time without surgery</w:t>
      </w:r>
      <w:r w:rsidRPr="00610648">
        <w:rPr>
          <w:rFonts w:ascii="Franklin Gothic Book" w:eastAsia="Calibri" w:hAnsi="Franklin Gothic Book"/>
          <w:sz w:val="22"/>
          <w:szCs w:val="22"/>
          <w:lang w:eastAsia="en-US"/>
        </w:rPr>
        <w:t>.</w:t>
      </w:r>
    </w:p>
    <w:p w14:paraId="41D04432" w14:textId="41D3C98E" w:rsidR="00692407" w:rsidRPr="00692407" w:rsidRDefault="00692407" w:rsidP="00692407">
      <w:pPr>
        <w:spacing w:before="120" w:after="160" w:line="259" w:lineRule="auto"/>
        <w:rPr>
          <w:rFonts w:ascii="Franklin Gothic Book" w:eastAsia="Calibri" w:hAnsi="Franklin Gothic Book"/>
          <w:sz w:val="22"/>
          <w:szCs w:val="22"/>
          <w:lang w:eastAsia="en-US"/>
        </w:rPr>
      </w:pPr>
      <w:r w:rsidRPr="00692407">
        <w:rPr>
          <w:rFonts w:ascii="Franklin Gothic Book" w:eastAsia="Calibri" w:hAnsi="Franklin Gothic Book"/>
          <w:sz w:val="22"/>
          <w:szCs w:val="22"/>
          <w:lang w:eastAsia="en-US"/>
        </w:rPr>
        <w:t xml:space="preserve">Regarding the proposed fee, MSAC considered that the proposed percutaneous implantation procedure would require less time than the </w:t>
      </w:r>
      <w:r w:rsidR="00712CD9">
        <w:rPr>
          <w:rFonts w:ascii="Franklin Gothic Book" w:eastAsia="Calibri" w:hAnsi="Franklin Gothic Book"/>
          <w:sz w:val="22"/>
          <w:szCs w:val="22"/>
          <w:lang w:eastAsia="en-US"/>
        </w:rPr>
        <w:t xml:space="preserve">comparator </w:t>
      </w:r>
      <w:r w:rsidRPr="00692407">
        <w:rPr>
          <w:rFonts w:ascii="Franklin Gothic Book" w:eastAsia="Calibri" w:hAnsi="Franklin Gothic Book"/>
          <w:sz w:val="22"/>
          <w:szCs w:val="22"/>
          <w:lang w:eastAsia="en-US"/>
        </w:rPr>
        <w:t>open</w:t>
      </w:r>
      <w:r w:rsidR="00712CD9">
        <w:rPr>
          <w:rFonts w:ascii="Franklin Gothic Book" w:eastAsia="Calibri" w:hAnsi="Franklin Gothic Book"/>
          <w:sz w:val="22"/>
          <w:szCs w:val="22"/>
          <w:lang w:eastAsia="en-US"/>
        </w:rPr>
        <w:t xml:space="preserve"> surgical</w:t>
      </w:r>
      <w:r w:rsidRPr="00692407">
        <w:rPr>
          <w:rFonts w:ascii="Franklin Gothic Book" w:eastAsia="Calibri" w:hAnsi="Franklin Gothic Book"/>
          <w:sz w:val="22"/>
          <w:szCs w:val="22"/>
          <w:lang w:eastAsia="en-US"/>
        </w:rPr>
        <w:t xml:space="preserve"> procedure on which the fee is based. MSAC considered that a lower cost than open surgery was reasonable for IDS if the </w:t>
      </w:r>
      <w:r w:rsidRPr="00692407">
        <w:rPr>
          <w:rFonts w:ascii="Franklin Gothic Book" w:eastAsia="Calibri" w:hAnsi="Franklin Gothic Book"/>
          <w:sz w:val="22"/>
          <w:szCs w:val="22"/>
          <w:lang w:eastAsia="en-US"/>
        </w:rPr>
        <w:lastRenderedPageBreak/>
        <w:t>procedure takes less time. MSAC noted the applicant’s pre-MSAC response that they would be happy to work with the Department to set an appropriate fee.</w:t>
      </w:r>
    </w:p>
    <w:p w14:paraId="6DD5166A" w14:textId="24D188DD" w:rsidR="00692407" w:rsidRPr="00692407" w:rsidRDefault="00692407" w:rsidP="00692407">
      <w:pPr>
        <w:spacing w:before="120" w:after="160" w:line="259" w:lineRule="auto"/>
        <w:rPr>
          <w:rFonts w:ascii="Franklin Gothic Book" w:eastAsia="Calibri" w:hAnsi="Franklin Gothic Book"/>
          <w:sz w:val="22"/>
          <w:szCs w:val="22"/>
          <w:lang w:eastAsia="en-US"/>
        </w:rPr>
      </w:pPr>
      <w:r w:rsidRPr="00692407">
        <w:rPr>
          <w:rFonts w:ascii="Franklin Gothic Book" w:eastAsia="Calibri" w:hAnsi="Franklin Gothic Book"/>
          <w:sz w:val="22"/>
          <w:szCs w:val="22"/>
          <w:lang w:eastAsia="en-US"/>
        </w:rPr>
        <w:t xml:space="preserve">MSAC considered the </w:t>
      </w:r>
      <w:r w:rsidR="00712CD9">
        <w:rPr>
          <w:rFonts w:ascii="Franklin Gothic Book" w:eastAsia="Calibri" w:hAnsi="Franklin Gothic Book"/>
          <w:sz w:val="22"/>
          <w:szCs w:val="22"/>
          <w:lang w:eastAsia="en-US"/>
        </w:rPr>
        <w:t xml:space="preserve">stated </w:t>
      </w:r>
      <w:r w:rsidRPr="00692407">
        <w:rPr>
          <w:rFonts w:ascii="Franklin Gothic Book" w:eastAsia="Calibri" w:hAnsi="Franklin Gothic Book"/>
          <w:sz w:val="22"/>
          <w:szCs w:val="22"/>
          <w:lang w:eastAsia="en-US"/>
        </w:rPr>
        <w:t>comparator</w:t>
      </w:r>
      <w:r w:rsidR="00712CD9">
        <w:rPr>
          <w:rFonts w:ascii="Franklin Gothic Book" w:eastAsia="Calibri" w:hAnsi="Franklin Gothic Book"/>
          <w:sz w:val="22"/>
          <w:szCs w:val="22"/>
          <w:lang w:eastAsia="en-US"/>
        </w:rPr>
        <w:t xml:space="preserve"> and clinical place for IDS</w:t>
      </w:r>
      <w:r w:rsidRPr="00692407">
        <w:rPr>
          <w:rFonts w:ascii="Franklin Gothic Book" w:eastAsia="Calibri" w:hAnsi="Franklin Gothic Book"/>
          <w:sz w:val="22"/>
          <w:szCs w:val="22"/>
          <w:lang w:eastAsia="en-US"/>
        </w:rPr>
        <w:t xml:space="preserve"> to be a</w:t>
      </w:r>
      <w:r w:rsidR="00C20288">
        <w:rPr>
          <w:rFonts w:ascii="Franklin Gothic Book" w:eastAsia="Calibri" w:hAnsi="Franklin Gothic Book"/>
          <w:sz w:val="22"/>
          <w:szCs w:val="22"/>
          <w:lang w:eastAsia="en-US"/>
        </w:rPr>
        <w:t xml:space="preserve"> complex </w:t>
      </w:r>
      <w:r w:rsidRPr="00692407">
        <w:rPr>
          <w:rFonts w:ascii="Franklin Gothic Book" w:eastAsia="Calibri" w:hAnsi="Franklin Gothic Book"/>
          <w:sz w:val="22"/>
          <w:szCs w:val="22"/>
          <w:lang w:eastAsia="en-US"/>
        </w:rPr>
        <w:t xml:space="preserve">issue. MSAC noted </w:t>
      </w:r>
      <w:r w:rsidR="004B23C8">
        <w:rPr>
          <w:rFonts w:ascii="Franklin Gothic Book" w:eastAsia="Calibri" w:hAnsi="Franklin Gothic Book"/>
          <w:sz w:val="22"/>
          <w:szCs w:val="22"/>
          <w:lang w:eastAsia="en-US"/>
        </w:rPr>
        <w:t>the</w:t>
      </w:r>
      <w:r w:rsidR="004B23C8" w:rsidRPr="00692407">
        <w:rPr>
          <w:rFonts w:ascii="Franklin Gothic Book" w:eastAsia="Calibri" w:hAnsi="Franklin Gothic Book"/>
          <w:sz w:val="22"/>
          <w:szCs w:val="22"/>
          <w:lang w:eastAsia="en-US"/>
        </w:rPr>
        <w:t xml:space="preserve"> </w:t>
      </w:r>
      <w:r w:rsidR="00A56005">
        <w:rPr>
          <w:rFonts w:ascii="Franklin Gothic Book" w:eastAsia="Calibri" w:hAnsi="Franklin Gothic Book"/>
          <w:sz w:val="22"/>
          <w:szCs w:val="22"/>
          <w:lang w:eastAsia="en-US"/>
        </w:rPr>
        <w:t>Ratified PICO included</w:t>
      </w:r>
      <w:r w:rsidR="00C20288" w:rsidRPr="00692407">
        <w:rPr>
          <w:rFonts w:ascii="Franklin Gothic Book" w:eastAsia="Calibri" w:hAnsi="Franklin Gothic Book"/>
          <w:sz w:val="22"/>
          <w:szCs w:val="22"/>
          <w:lang w:eastAsia="en-US"/>
        </w:rPr>
        <w:t xml:space="preserve"> </w:t>
      </w:r>
      <w:r w:rsidRPr="00692407">
        <w:rPr>
          <w:rFonts w:ascii="Franklin Gothic Book" w:eastAsia="Calibri" w:hAnsi="Franklin Gothic Book"/>
          <w:sz w:val="22"/>
          <w:szCs w:val="22"/>
          <w:lang w:eastAsia="en-US"/>
        </w:rPr>
        <w:t>a weighted comparator of decompression with or without spinal fusion.</w:t>
      </w:r>
      <w:r w:rsidR="00513900">
        <w:rPr>
          <w:rFonts w:ascii="Franklin Gothic Book" w:eastAsia="Calibri" w:hAnsi="Franklin Gothic Book"/>
          <w:sz w:val="22"/>
          <w:szCs w:val="22"/>
          <w:lang w:eastAsia="en-US"/>
        </w:rPr>
        <w:t xml:space="preserve"> </w:t>
      </w:r>
      <w:r w:rsidR="006E0C4B">
        <w:rPr>
          <w:rFonts w:ascii="Franklin Gothic Book" w:eastAsia="Calibri" w:hAnsi="Franklin Gothic Book"/>
          <w:sz w:val="22"/>
          <w:szCs w:val="22"/>
          <w:lang w:eastAsia="en-US"/>
        </w:rPr>
        <w:t>T</w:t>
      </w:r>
      <w:r w:rsidRPr="00692407">
        <w:rPr>
          <w:rFonts w:ascii="Franklin Gothic Book" w:eastAsia="Calibri" w:hAnsi="Franklin Gothic Book"/>
          <w:sz w:val="22"/>
          <w:szCs w:val="22"/>
          <w:lang w:eastAsia="en-US"/>
        </w:rPr>
        <w:t>he SSA</w:t>
      </w:r>
      <w:r w:rsidR="006E0C4B">
        <w:rPr>
          <w:rFonts w:ascii="Franklin Gothic Book" w:eastAsia="Calibri" w:hAnsi="Franklin Gothic Book"/>
          <w:sz w:val="22"/>
          <w:szCs w:val="22"/>
          <w:lang w:eastAsia="en-US"/>
        </w:rPr>
        <w:t xml:space="preserve"> </w:t>
      </w:r>
      <w:r w:rsidRPr="00692407">
        <w:rPr>
          <w:rFonts w:ascii="Franklin Gothic Book" w:eastAsia="Calibri" w:hAnsi="Franklin Gothic Book"/>
          <w:sz w:val="22"/>
          <w:szCs w:val="22"/>
          <w:lang w:eastAsia="en-US"/>
        </w:rPr>
        <w:t>disagreed with the comparator, stating that this group of patients would not have any surgical intervention</w:t>
      </w:r>
      <w:r w:rsidR="00FF2392">
        <w:rPr>
          <w:rFonts w:ascii="Franklin Gothic Book" w:eastAsia="Calibri" w:hAnsi="Franklin Gothic Book"/>
          <w:sz w:val="22"/>
          <w:szCs w:val="22"/>
          <w:lang w:eastAsia="en-US"/>
        </w:rPr>
        <w:t xml:space="preserve"> (for further detail see Section 9)</w:t>
      </w:r>
      <w:r w:rsidR="00653BE8">
        <w:rPr>
          <w:rFonts w:ascii="Franklin Gothic Book" w:eastAsia="Calibri" w:hAnsi="Franklin Gothic Book"/>
          <w:sz w:val="22"/>
          <w:szCs w:val="22"/>
          <w:lang w:eastAsia="en-US"/>
        </w:rPr>
        <w:t>,</w:t>
      </w:r>
      <w:r w:rsidRPr="00692407">
        <w:rPr>
          <w:rFonts w:ascii="Franklin Gothic Book" w:eastAsia="Calibri" w:hAnsi="Franklin Gothic Book"/>
          <w:sz w:val="22"/>
          <w:szCs w:val="22"/>
          <w:lang w:eastAsia="en-US"/>
        </w:rPr>
        <w:t xml:space="preserve"> and IDS would not be indicated in these patients. MSAC agreed with ESC that, if this is the case, IDS may be a second-line treatment before decompression with or without </w:t>
      </w:r>
      <w:r w:rsidR="00610648">
        <w:rPr>
          <w:rFonts w:ascii="Franklin Gothic Book" w:eastAsia="Calibri" w:hAnsi="Franklin Gothic Book"/>
          <w:sz w:val="22"/>
          <w:szCs w:val="22"/>
          <w:lang w:eastAsia="en-US"/>
        </w:rPr>
        <w:t>fusion</w:t>
      </w:r>
      <w:r w:rsidRPr="00692407">
        <w:rPr>
          <w:rFonts w:ascii="Franklin Gothic Book" w:eastAsia="Calibri" w:hAnsi="Franklin Gothic Book"/>
          <w:sz w:val="22"/>
          <w:szCs w:val="22"/>
          <w:lang w:eastAsia="en-US"/>
        </w:rPr>
        <w:t>, so a more appropriate comparator may be conservative care, or a weighted comparator comprised of conservative care and decompression with or without spinal fusion.</w:t>
      </w:r>
    </w:p>
    <w:p w14:paraId="22C9E210" w14:textId="157C3DA7" w:rsidR="00692407" w:rsidRPr="00692407" w:rsidRDefault="00692407" w:rsidP="00692407">
      <w:pPr>
        <w:spacing w:before="120" w:after="160" w:line="259" w:lineRule="auto"/>
        <w:rPr>
          <w:rFonts w:ascii="Franklin Gothic Book" w:eastAsia="Calibri" w:hAnsi="Franklin Gothic Book"/>
          <w:sz w:val="22"/>
          <w:szCs w:val="22"/>
          <w:lang w:eastAsia="en-US"/>
        </w:rPr>
      </w:pPr>
      <w:r w:rsidRPr="00692407">
        <w:rPr>
          <w:rFonts w:ascii="Franklin Gothic Book" w:eastAsia="Calibri" w:hAnsi="Franklin Gothic Book"/>
          <w:sz w:val="22"/>
          <w:szCs w:val="22"/>
          <w:lang w:eastAsia="en-US"/>
        </w:rPr>
        <w:t>MSAC noted the evidence base consisted of six randomised controlled trials and none compared Superion with the comparator. One trial compared Superion with the withdrawn X-STOP device and reached a conclusion of non-inferiority, which was used to justify non-inferiority with decompression</w:t>
      </w:r>
      <w:r w:rsidR="00B0346A">
        <w:rPr>
          <w:rFonts w:ascii="Franklin Gothic Book" w:eastAsia="Calibri" w:hAnsi="Franklin Gothic Book"/>
          <w:sz w:val="22"/>
          <w:szCs w:val="22"/>
          <w:lang w:eastAsia="en-US"/>
        </w:rPr>
        <w:t xml:space="preserve"> with/without fusion surgery</w:t>
      </w:r>
      <w:r w:rsidRPr="00692407">
        <w:rPr>
          <w:rFonts w:ascii="Franklin Gothic Book" w:eastAsia="Calibri" w:hAnsi="Franklin Gothic Book"/>
          <w:sz w:val="22"/>
          <w:szCs w:val="22"/>
          <w:lang w:eastAsia="en-US"/>
        </w:rPr>
        <w:t xml:space="preserve">. However, MSAC agreed with ESC that comparisons between the Superion and X-STOP devices may not be sufficient to justify the safety and effectiveness of Superion versus the comparator. MSAC also agreed with ESC that </w:t>
      </w:r>
      <w:r w:rsidR="00610648">
        <w:rPr>
          <w:rFonts w:ascii="Franklin Gothic Book" w:eastAsia="Calibri" w:hAnsi="Franklin Gothic Book"/>
          <w:sz w:val="22"/>
          <w:szCs w:val="22"/>
          <w:lang w:eastAsia="en-US"/>
        </w:rPr>
        <w:t>the clinical</w:t>
      </w:r>
      <w:r w:rsidR="00610648" w:rsidRPr="00692407">
        <w:rPr>
          <w:rFonts w:ascii="Franklin Gothic Book" w:eastAsia="Calibri" w:hAnsi="Franklin Gothic Book"/>
          <w:sz w:val="22"/>
          <w:szCs w:val="22"/>
          <w:lang w:eastAsia="en-US"/>
        </w:rPr>
        <w:t xml:space="preserve"> </w:t>
      </w:r>
      <w:r w:rsidRPr="00692407">
        <w:rPr>
          <w:rFonts w:ascii="Franklin Gothic Book" w:eastAsia="Calibri" w:hAnsi="Franklin Gothic Book"/>
          <w:sz w:val="22"/>
          <w:szCs w:val="22"/>
          <w:lang w:eastAsia="en-US"/>
        </w:rPr>
        <w:t>trial</w:t>
      </w:r>
      <w:r w:rsidR="00610648">
        <w:rPr>
          <w:rFonts w:ascii="Franklin Gothic Book" w:eastAsia="Calibri" w:hAnsi="Franklin Gothic Book"/>
          <w:sz w:val="22"/>
          <w:szCs w:val="22"/>
          <w:lang w:eastAsia="en-US"/>
        </w:rPr>
        <w:t xml:space="preserve"> evidence was of low certainty and</w:t>
      </w:r>
      <w:r w:rsidRPr="00692407">
        <w:rPr>
          <w:rFonts w:ascii="Franklin Gothic Book" w:eastAsia="Calibri" w:hAnsi="Franklin Gothic Book"/>
          <w:sz w:val="22"/>
          <w:szCs w:val="22"/>
          <w:lang w:eastAsia="en-US"/>
        </w:rPr>
        <w:t xml:space="preserve"> had a high risk of bias in multiple domains</w:t>
      </w:r>
      <w:r w:rsidR="00610648">
        <w:rPr>
          <w:rFonts w:ascii="Franklin Gothic Book" w:eastAsia="Calibri" w:hAnsi="Franklin Gothic Book"/>
          <w:sz w:val="22"/>
          <w:szCs w:val="22"/>
          <w:lang w:eastAsia="en-US"/>
        </w:rPr>
        <w:t>,</w:t>
      </w:r>
      <w:r w:rsidR="001A6F46">
        <w:rPr>
          <w:rFonts w:ascii="Franklin Gothic Book" w:eastAsia="Calibri" w:hAnsi="Franklin Gothic Book"/>
          <w:sz w:val="22"/>
          <w:szCs w:val="22"/>
          <w:lang w:eastAsia="en-US"/>
        </w:rPr>
        <w:t xml:space="preserve"> </w:t>
      </w:r>
      <w:r w:rsidR="002E7166">
        <w:rPr>
          <w:rFonts w:ascii="Franklin Gothic Book" w:eastAsia="Calibri" w:hAnsi="Franklin Gothic Book"/>
          <w:sz w:val="22"/>
          <w:szCs w:val="22"/>
          <w:lang w:eastAsia="en-US"/>
        </w:rPr>
        <w:t>in particular the issues associated with the evidence base was largely unblinded</w:t>
      </w:r>
      <w:r w:rsidR="002E7166" w:rsidRPr="002E7166">
        <w:rPr>
          <w:rFonts w:ascii="Franklin Gothic Book" w:eastAsia="Calibri" w:hAnsi="Franklin Gothic Book"/>
          <w:sz w:val="22"/>
          <w:szCs w:val="22"/>
          <w:lang w:eastAsia="en-US"/>
        </w:rPr>
        <w:t xml:space="preserve"> and the</w:t>
      </w:r>
      <w:r w:rsidR="002E7166">
        <w:rPr>
          <w:rFonts w:ascii="Franklin Gothic Book" w:eastAsia="Calibri" w:hAnsi="Franklin Gothic Book"/>
          <w:sz w:val="22"/>
          <w:szCs w:val="22"/>
          <w:lang w:eastAsia="en-US"/>
        </w:rPr>
        <w:t xml:space="preserve"> </w:t>
      </w:r>
      <w:r w:rsidR="002E7166" w:rsidRPr="002E7166">
        <w:rPr>
          <w:rFonts w:ascii="Franklin Gothic Book" w:eastAsia="Calibri" w:hAnsi="Franklin Gothic Book"/>
          <w:sz w:val="22"/>
          <w:szCs w:val="22"/>
          <w:lang w:eastAsia="en-US"/>
        </w:rPr>
        <w:t>primary outcome</w:t>
      </w:r>
      <w:r w:rsidR="002E7166">
        <w:rPr>
          <w:rFonts w:ascii="Franklin Gothic Book" w:eastAsia="Calibri" w:hAnsi="Franklin Gothic Book"/>
          <w:sz w:val="22"/>
          <w:szCs w:val="22"/>
          <w:lang w:eastAsia="en-US"/>
        </w:rPr>
        <w:t xml:space="preserve"> across trials was a</w:t>
      </w:r>
      <w:r w:rsidR="002E7166" w:rsidRPr="002E7166">
        <w:rPr>
          <w:rFonts w:ascii="Franklin Gothic Book" w:eastAsia="Calibri" w:hAnsi="Franklin Gothic Book"/>
          <w:sz w:val="22"/>
          <w:szCs w:val="22"/>
          <w:lang w:eastAsia="en-US"/>
        </w:rPr>
        <w:t xml:space="preserve"> patient-reported (subjective) measure</w:t>
      </w:r>
      <w:r w:rsidR="002E7166">
        <w:rPr>
          <w:rFonts w:ascii="Franklin Gothic Book" w:eastAsia="Calibri" w:hAnsi="Franklin Gothic Book"/>
          <w:sz w:val="22"/>
          <w:szCs w:val="22"/>
          <w:lang w:eastAsia="en-US"/>
        </w:rPr>
        <w:t xml:space="preserve">. </w:t>
      </w:r>
      <w:r w:rsidRPr="00692407">
        <w:rPr>
          <w:rFonts w:ascii="Franklin Gothic Book" w:eastAsia="Calibri" w:hAnsi="Franklin Gothic Book"/>
          <w:sz w:val="22"/>
          <w:szCs w:val="22"/>
          <w:lang w:eastAsia="en-US"/>
        </w:rPr>
        <w:t xml:space="preserve">MSAC also considered </w:t>
      </w:r>
      <w:r w:rsidR="00610648">
        <w:rPr>
          <w:rFonts w:ascii="Franklin Gothic Book" w:eastAsia="Calibri" w:hAnsi="Franklin Gothic Book"/>
          <w:sz w:val="22"/>
          <w:szCs w:val="22"/>
          <w:lang w:eastAsia="en-US"/>
        </w:rPr>
        <w:t xml:space="preserve">that </w:t>
      </w:r>
      <w:r w:rsidRPr="00692407">
        <w:rPr>
          <w:rFonts w:ascii="Franklin Gothic Book" w:eastAsia="Calibri" w:hAnsi="Franklin Gothic Book"/>
          <w:sz w:val="22"/>
          <w:szCs w:val="22"/>
          <w:lang w:eastAsia="en-US"/>
        </w:rPr>
        <w:t>walk</w:t>
      </w:r>
      <w:r w:rsidR="0063297B">
        <w:rPr>
          <w:rFonts w:ascii="Franklin Gothic Book" w:eastAsia="Calibri" w:hAnsi="Franklin Gothic Book"/>
          <w:sz w:val="22"/>
          <w:szCs w:val="22"/>
          <w:lang w:eastAsia="en-US"/>
        </w:rPr>
        <w:t>ing ability</w:t>
      </w:r>
      <w:r w:rsidRPr="00692407">
        <w:rPr>
          <w:rFonts w:ascii="Franklin Gothic Book" w:eastAsia="Calibri" w:hAnsi="Franklin Gothic Book"/>
          <w:sz w:val="22"/>
          <w:szCs w:val="22"/>
          <w:lang w:eastAsia="en-US"/>
        </w:rPr>
        <w:t xml:space="preserve"> is </w:t>
      </w:r>
      <w:r w:rsidR="00645E46">
        <w:rPr>
          <w:rFonts w:ascii="Franklin Gothic Book" w:eastAsia="Calibri" w:hAnsi="Franklin Gothic Book"/>
          <w:sz w:val="22"/>
          <w:szCs w:val="22"/>
          <w:lang w:eastAsia="en-US"/>
        </w:rPr>
        <w:t>a key</w:t>
      </w:r>
      <w:r w:rsidRPr="00692407">
        <w:rPr>
          <w:rFonts w:ascii="Franklin Gothic Book" w:eastAsia="Calibri" w:hAnsi="Franklin Gothic Book"/>
          <w:sz w:val="22"/>
          <w:szCs w:val="22"/>
          <w:lang w:eastAsia="en-US"/>
        </w:rPr>
        <w:t xml:space="preserve"> </w:t>
      </w:r>
      <w:r w:rsidR="00610648">
        <w:rPr>
          <w:rFonts w:ascii="Franklin Gothic Book" w:eastAsia="Calibri" w:hAnsi="Franklin Gothic Book"/>
          <w:sz w:val="22"/>
          <w:szCs w:val="22"/>
          <w:lang w:eastAsia="en-US"/>
        </w:rPr>
        <w:t>primary</w:t>
      </w:r>
      <w:r w:rsidR="00610648" w:rsidRPr="00692407">
        <w:rPr>
          <w:rFonts w:ascii="Franklin Gothic Book" w:eastAsia="Calibri" w:hAnsi="Franklin Gothic Book"/>
          <w:sz w:val="22"/>
          <w:szCs w:val="22"/>
          <w:lang w:eastAsia="en-US"/>
        </w:rPr>
        <w:t xml:space="preserve"> </w:t>
      </w:r>
      <w:r w:rsidRPr="00692407">
        <w:rPr>
          <w:rFonts w:ascii="Franklin Gothic Book" w:eastAsia="Calibri" w:hAnsi="Franklin Gothic Book"/>
          <w:sz w:val="22"/>
          <w:szCs w:val="22"/>
          <w:lang w:eastAsia="en-US"/>
        </w:rPr>
        <w:t xml:space="preserve">clinical </w:t>
      </w:r>
      <w:r w:rsidR="00610648">
        <w:rPr>
          <w:rFonts w:ascii="Franklin Gothic Book" w:eastAsia="Calibri" w:hAnsi="Franklin Gothic Book"/>
          <w:sz w:val="22"/>
          <w:szCs w:val="22"/>
          <w:lang w:eastAsia="en-US"/>
        </w:rPr>
        <w:t>outcome, yet it</w:t>
      </w:r>
      <w:r w:rsidRPr="00692407">
        <w:rPr>
          <w:rFonts w:ascii="Franklin Gothic Book" w:eastAsia="Calibri" w:hAnsi="Franklin Gothic Book"/>
          <w:sz w:val="22"/>
          <w:szCs w:val="22"/>
          <w:lang w:eastAsia="en-US"/>
        </w:rPr>
        <w:t xml:space="preserve"> was not </w:t>
      </w:r>
      <w:r w:rsidR="00610648">
        <w:rPr>
          <w:rFonts w:ascii="Franklin Gothic Book" w:eastAsia="Calibri" w:hAnsi="Franklin Gothic Book"/>
          <w:sz w:val="22"/>
          <w:szCs w:val="22"/>
          <w:lang w:eastAsia="en-US"/>
        </w:rPr>
        <w:t>included</w:t>
      </w:r>
      <w:r w:rsidR="00E96AA4">
        <w:rPr>
          <w:rFonts w:ascii="Franklin Gothic Book" w:eastAsia="Calibri" w:hAnsi="Franklin Gothic Book"/>
          <w:sz w:val="22"/>
          <w:szCs w:val="22"/>
          <w:lang w:eastAsia="en-US"/>
        </w:rPr>
        <w:t xml:space="preserve"> as a primary outcome</w:t>
      </w:r>
      <w:r w:rsidR="00610648">
        <w:rPr>
          <w:rFonts w:ascii="Franklin Gothic Book" w:eastAsia="Calibri" w:hAnsi="Franklin Gothic Book"/>
          <w:sz w:val="22"/>
          <w:szCs w:val="22"/>
          <w:lang w:eastAsia="en-US"/>
        </w:rPr>
        <w:t xml:space="preserve"> in these trials</w:t>
      </w:r>
      <w:r w:rsidR="00E96AA4">
        <w:rPr>
          <w:rFonts w:ascii="Franklin Gothic Book" w:eastAsia="Calibri" w:hAnsi="Franklin Gothic Book"/>
          <w:sz w:val="22"/>
          <w:szCs w:val="22"/>
          <w:lang w:eastAsia="en-US"/>
        </w:rPr>
        <w:t xml:space="preserve"> (walking distance </w:t>
      </w:r>
      <w:r w:rsidR="00235BBA">
        <w:rPr>
          <w:rFonts w:ascii="Franklin Gothic Book" w:eastAsia="Calibri" w:hAnsi="Franklin Gothic Book"/>
          <w:sz w:val="22"/>
          <w:szCs w:val="22"/>
          <w:lang w:eastAsia="en-US"/>
        </w:rPr>
        <w:t>i</w:t>
      </w:r>
      <w:r w:rsidR="00B01C12">
        <w:rPr>
          <w:rFonts w:ascii="Franklin Gothic Book" w:eastAsia="Calibri" w:hAnsi="Franklin Gothic Book"/>
          <w:sz w:val="22"/>
          <w:szCs w:val="22"/>
          <w:lang w:eastAsia="en-US"/>
        </w:rPr>
        <w:t xml:space="preserve">s </w:t>
      </w:r>
      <w:r w:rsidR="00E96AA4">
        <w:rPr>
          <w:rFonts w:ascii="Franklin Gothic Book" w:eastAsia="Calibri" w:hAnsi="Franklin Gothic Book"/>
          <w:sz w:val="22"/>
          <w:szCs w:val="22"/>
          <w:lang w:eastAsia="en-US"/>
        </w:rPr>
        <w:t xml:space="preserve">captured as a </w:t>
      </w:r>
      <w:r w:rsidR="00235BBA">
        <w:rPr>
          <w:rFonts w:ascii="Franklin Gothic Book" w:eastAsia="Calibri" w:hAnsi="Franklin Gothic Book"/>
          <w:sz w:val="22"/>
          <w:szCs w:val="22"/>
          <w:lang w:eastAsia="en-US"/>
        </w:rPr>
        <w:t xml:space="preserve">single item within the ZCQ as part of the 5-item physical function subscale, which was a </w:t>
      </w:r>
      <w:r w:rsidR="00E96AA4">
        <w:rPr>
          <w:rFonts w:ascii="Franklin Gothic Book" w:eastAsia="Calibri" w:hAnsi="Franklin Gothic Book"/>
          <w:sz w:val="22"/>
          <w:szCs w:val="22"/>
          <w:lang w:eastAsia="en-US"/>
        </w:rPr>
        <w:t xml:space="preserve">secondary outcome in </w:t>
      </w:r>
      <w:r w:rsidR="00960E71">
        <w:rPr>
          <w:rFonts w:ascii="Franklin Gothic Book" w:eastAsia="Calibri" w:hAnsi="Franklin Gothic Book"/>
          <w:sz w:val="22"/>
          <w:szCs w:val="22"/>
          <w:lang w:eastAsia="en-US"/>
        </w:rPr>
        <w:t>two</w:t>
      </w:r>
      <w:r w:rsidR="00E96AA4">
        <w:rPr>
          <w:rFonts w:ascii="Franklin Gothic Book" w:eastAsia="Calibri" w:hAnsi="Franklin Gothic Book"/>
          <w:sz w:val="22"/>
          <w:szCs w:val="22"/>
          <w:lang w:eastAsia="en-US"/>
        </w:rPr>
        <w:t xml:space="preserve"> trials</w:t>
      </w:r>
      <w:r w:rsidR="00235BBA">
        <w:rPr>
          <w:rFonts w:ascii="Franklin Gothic Book" w:eastAsia="Calibri" w:hAnsi="Franklin Gothic Book"/>
          <w:sz w:val="22"/>
          <w:szCs w:val="22"/>
          <w:lang w:eastAsia="en-US"/>
        </w:rPr>
        <w:t xml:space="preserve"> but data for walking distance were not reported separately</w:t>
      </w:r>
      <w:r w:rsidR="00E96AA4">
        <w:rPr>
          <w:rFonts w:ascii="Franklin Gothic Book" w:eastAsia="Calibri" w:hAnsi="Franklin Gothic Book"/>
          <w:sz w:val="22"/>
          <w:szCs w:val="22"/>
          <w:lang w:eastAsia="en-US"/>
        </w:rPr>
        <w:t>)</w:t>
      </w:r>
      <w:r w:rsidRPr="00692407">
        <w:rPr>
          <w:rFonts w:ascii="Franklin Gothic Book" w:eastAsia="Calibri" w:hAnsi="Franklin Gothic Book"/>
          <w:sz w:val="22"/>
          <w:szCs w:val="22"/>
          <w:lang w:eastAsia="en-US"/>
        </w:rPr>
        <w:t>.</w:t>
      </w:r>
    </w:p>
    <w:p w14:paraId="35F23589" w14:textId="5A55DCD0" w:rsidR="00692407" w:rsidRPr="00692407" w:rsidRDefault="00692407" w:rsidP="00692407">
      <w:pPr>
        <w:spacing w:before="120" w:after="160" w:line="259" w:lineRule="auto"/>
        <w:rPr>
          <w:rFonts w:ascii="Franklin Gothic Book" w:eastAsia="Calibri" w:hAnsi="Franklin Gothic Book"/>
          <w:sz w:val="22"/>
          <w:szCs w:val="22"/>
          <w:lang w:eastAsia="en-US"/>
        </w:rPr>
      </w:pPr>
      <w:r w:rsidRPr="00692407">
        <w:rPr>
          <w:rFonts w:ascii="Franklin Gothic Book" w:eastAsia="Calibri" w:hAnsi="Franklin Gothic Book"/>
          <w:sz w:val="22"/>
          <w:szCs w:val="22"/>
          <w:lang w:eastAsia="en-US"/>
        </w:rPr>
        <w:t>Regarding comparative safety, MSAC noted the evidence suggest</w:t>
      </w:r>
      <w:r w:rsidR="00ED6D4E">
        <w:rPr>
          <w:rFonts w:ascii="Franklin Gothic Book" w:eastAsia="Calibri" w:hAnsi="Franklin Gothic Book"/>
          <w:sz w:val="22"/>
          <w:szCs w:val="22"/>
          <w:lang w:eastAsia="en-US"/>
        </w:rPr>
        <w:t>ed</w:t>
      </w:r>
      <w:r w:rsidRPr="00692407">
        <w:rPr>
          <w:rFonts w:ascii="Franklin Gothic Book" w:eastAsia="Calibri" w:hAnsi="Franklin Gothic Book"/>
          <w:sz w:val="22"/>
          <w:szCs w:val="22"/>
          <w:lang w:eastAsia="en-US"/>
        </w:rPr>
        <w:t xml:space="preserve"> that:</w:t>
      </w:r>
    </w:p>
    <w:p w14:paraId="27FCABAD" w14:textId="2B04EF0B" w:rsidR="00692407" w:rsidRPr="00610648" w:rsidRDefault="00692407" w:rsidP="00610648">
      <w:pPr>
        <w:pStyle w:val="ListParagraph"/>
        <w:numPr>
          <w:ilvl w:val="0"/>
          <w:numId w:val="51"/>
        </w:numPr>
        <w:spacing w:before="120" w:after="160" w:line="259" w:lineRule="auto"/>
        <w:ind w:left="709" w:hanging="425"/>
        <w:rPr>
          <w:rFonts w:ascii="Franklin Gothic Book" w:eastAsia="Calibri" w:hAnsi="Franklin Gothic Book"/>
          <w:sz w:val="22"/>
          <w:szCs w:val="22"/>
          <w:lang w:eastAsia="en-US"/>
        </w:rPr>
      </w:pPr>
      <w:r w:rsidRPr="00610648">
        <w:rPr>
          <w:rFonts w:ascii="Franklin Gothic Book" w:eastAsia="Calibri" w:hAnsi="Franklin Gothic Book"/>
          <w:sz w:val="22"/>
          <w:szCs w:val="22"/>
          <w:lang w:eastAsia="en-US"/>
        </w:rPr>
        <w:t>there was a higher rate of spinous process fractures for IDS compared to surgical decompression alone. The applicant acknowledged this, stating that the rate could be under-reported</w:t>
      </w:r>
      <w:r w:rsidR="00D5626A">
        <w:rPr>
          <w:rFonts w:ascii="Franklin Gothic Book" w:eastAsia="Calibri" w:hAnsi="Franklin Gothic Book"/>
          <w:sz w:val="22"/>
          <w:szCs w:val="22"/>
          <w:lang w:eastAsia="en-US"/>
        </w:rPr>
        <w:t xml:space="preserve"> as it </w:t>
      </w:r>
      <w:r w:rsidR="00D5626A" w:rsidRPr="00986EC1">
        <w:rPr>
          <w:rFonts w:ascii="Franklin Gothic Book" w:eastAsia="Calibri" w:hAnsi="Franklin Gothic Book"/>
          <w:sz w:val="22"/>
          <w:szCs w:val="22"/>
          <w:lang w:eastAsia="en-US"/>
        </w:rPr>
        <w:t>reflects acute, operative fractures only</w:t>
      </w:r>
      <w:r w:rsidRPr="00610648">
        <w:rPr>
          <w:rFonts w:ascii="Franklin Gothic Book" w:eastAsia="Calibri" w:hAnsi="Franklin Gothic Book"/>
          <w:sz w:val="22"/>
          <w:szCs w:val="22"/>
          <w:lang w:eastAsia="en-US"/>
        </w:rPr>
        <w:t xml:space="preserve">. MSAC noted </w:t>
      </w:r>
      <w:r w:rsidR="0063297B" w:rsidRPr="00610648">
        <w:rPr>
          <w:rFonts w:ascii="Franklin Gothic Book" w:eastAsia="Calibri" w:hAnsi="Franklin Gothic Book"/>
          <w:sz w:val="22"/>
          <w:szCs w:val="22"/>
          <w:lang w:eastAsia="en-US"/>
        </w:rPr>
        <w:t>the rate</w:t>
      </w:r>
      <w:r w:rsidR="00610648">
        <w:rPr>
          <w:rFonts w:ascii="Franklin Gothic Book" w:eastAsia="Calibri" w:hAnsi="Franklin Gothic Book"/>
          <w:sz w:val="22"/>
          <w:szCs w:val="22"/>
          <w:lang w:eastAsia="en-US"/>
        </w:rPr>
        <w:t>s</w:t>
      </w:r>
      <w:r w:rsidR="0063297B" w:rsidRPr="00610648">
        <w:rPr>
          <w:rFonts w:ascii="Franklin Gothic Book" w:eastAsia="Calibri" w:hAnsi="Franklin Gothic Book"/>
          <w:sz w:val="22"/>
          <w:szCs w:val="22"/>
          <w:lang w:eastAsia="en-US"/>
        </w:rPr>
        <w:t xml:space="preserve"> of </w:t>
      </w:r>
      <w:r w:rsidRPr="00610648">
        <w:rPr>
          <w:rFonts w:ascii="Franklin Gothic Book" w:eastAsia="Calibri" w:hAnsi="Franklin Gothic Book"/>
          <w:sz w:val="22"/>
          <w:szCs w:val="22"/>
          <w:lang w:eastAsia="en-US"/>
        </w:rPr>
        <w:t xml:space="preserve">other </w:t>
      </w:r>
      <w:r w:rsidR="0063297B" w:rsidRPr="00610648">
        <w:rPr>
          <w:rFonts w:ascii="Franklin Gothic Book" w:eastAsia="Calibri" w:hAnsi="Franklin Gothic Book"/>
          <w:sz w:val="22"/>
          <w:szCs w:val="22"/>
          <w:lang w:eastAsia="en-US"/>
        </w:rPr>
        <w:t>adverse events</w:t>
      </w:r>
      <w:r w:rsidRPr="00610648">
        <w:rPr>
          <w:rFonts w:ascii="Franklin Gothic Book" w:eastAsia="Calibri" w:hAnsi="Franklin Gothic Book"/>
          <w:sz w:val="22"/>
          <w:szCs w:val="22"/>
          <w:lang w:eastAsia="en-US"/>
        </w:rPr>
        <w:t xml:space="preserve"> favour IDS, supporting the claim of non-inferior safety, but considered the long-term safety (based on the safety and effectiveness of X-STOP) to be uncertain</w:t>
      </w:r>
      <w:r w:rsidR="00D5626A">
        <w:rPr>
          <w:rFonts w:ascii="Franklin Gothic Book" w:eastAsia="Calibri" w:hAnsi="Franklin Gothic Book"/>
          <w:sz w:val="22"/>
          <w:szCs w:val="22"/>
          <w:lang w:eastAsia="en-US"/>
        </w:rPr>
        <w:t>.</w:t>
      </w:r>
      <w:r w:rsidR="00ED6D4E" w:rsidRPr="00ED6D4E">
        <w:rPr>
          <w:rFonts w:ascii="Franklin Gothic Book" w:eastAsia="Calibri" w:hAnsi="Franklin Gothic Book"/>
          <w:sz w:val="22"/>
          <w:szCs w:val="22"/>
          <w:lang w:eastAsia="en-US"/>
        </w:rPr>
        <w:t xml:space="preserve"> </w:t>
      </w:r>
      <w:r w:rsidR="00ED6D4E">
        <w:rPr>
          <w:rFonts w:ascii="Franklin Gothic Book" w:eastAsia="Calibri" w:hAnsi="Franklin Gothic Book"/>
          <w:sz w:val="22"/>
          <w:szCs w:val="22"/>
          <w:lang w:eastAsia="en-US"/>
        </w:rPr>
        <w:t>MSAC also noted i</w:t>
      </w:r>
      <w:r w:rsidR="00ED6D4E" w:rsidRPr="008173B1">
        <w:rPr>
          <w:rFonts w:ascii="Franklin Gothic Book" w:eastAsia="Calibri" w:hAnsi="Franklin Gothic Book"/>
          <w:sz w:val="22"/>
          <w:szCs w:val="22"/>
          <w:lang w:eastAsia="en-US"/>
        </w:rPr>
        <w:t xml:space="preserve">f reoperation rates are included as a safety outcome </w:t>
      </w:r>
      <w:r w:rsidR="00645E46" w:rsidRPr="008173B1">
        <w:rPr>
          <w:rFonts w:ascii="Franklin Gothic Book" w:eastAsia="Calibri" w:hAnsi="Franklin Gothic Book"/>
          <w:sz w:val="22"/>
          <w:szCs w:val="22"/>
          <w:lang w:eastAsia="en-US"/>
        </w:rPr>
        <w:t>th</w:t>
      </w:r>
      <w:r w:rsidR="00645E46">
        <w:rPr>
          <w:rFonts w:ascii="Franklin Gothic Book" w:eastAsia="Calibri" w:hAnsi="Franklin Gothic Book"/>
          <w:sz w:val="22"/>
          <w:szCs w:val="22"/>
          <w:lang w:eastAsia="en-US"/>
        </w:rPr>
        <w:t>en</w:t>
      </w:r>
      <w:r w:rsidR="00645E46" w:rsidRPr="008173B1">
        <w:rPr>
          <w:rFonts w:ascii="Franklin Gothic Book" w:eastAsia="Calibri" w:hAnsi="Franklin Gothic Book"/>
          <w:sz w:val="22"/>
          <w:szCs w:val="22"/>
          <w:lang w:eastAsia="en-US"/>
        </w:rPr>
        <w:t xml:space="preserve"> </w:t>
      </w:r>
      <w:r w:rsidR="00ED6D4E" w:rsidRPr="008173B1">
        <w:rPr>
          <w:rFonts w:ascii="Franklin Gothic Book" w:eastAsia="Calibri" w:hAnsi="Franklin Gothic Book"/>
          <w:sz w:val="22"/>
          <w:szCs w:val="22"/>
          <w:lang w:eastAsia="en-US"/>
        </w:rPr>
        <w:t>IDS ha</w:t>
      </w:r>
      <w:r w:rsidR="00BD2D5D">
        <w:rPr>
          <w:rFonts w:ascii="Franklin Gothic Book" w:eastAsia="Calibri" w:hAnsi="Franklin Gothic Book"/>
          <w:sz w:val="22"/>
          <w:szCs w:val="22"/>
          <w:lang w:eastAsia="en-US"/>
        </w:rPr>
        <w:t>d</w:t>
      </w:r>
      <w:r w:rsidR="00ED6D4E" w:rsidRPr="008173B1">
        <w:rPr>
          <w:rFonts w:ascii="Franklin Gothic Book" w:eastAsia="Calibri" w:hAnsi="Franklin Gothic Book"/>
          <w:sz w:val="22"/>
          <w:szCs w:val="22"/>
          <w:lang w:eastAsia="en-US"/>
        </w:rPr>
        <w:t xml:space="preserve"> inferior safety</w:t>
      </w:r>
      <w:r w:rsidR="00ED6D4E">
        <w:rPr>
          <w:rFonts w:ascii="Franklin Gothic Book" w:eastAsia="Calibri" w:hAnsi="Franklin Gothic Book"/>
          <w:sz w:val="22"/>
          <w:szCs w:val="22"/>
          <w:lang w:eastAsia="en-US"/>
        </w:rPr>
        <w:t xml:space="preserve"> compared with decompression alone </w:t>
      </w:r>
      <w:r w:rsidR="00AA450F">
        <w:rPr>
          <w:rFonts w:ascii="Franklin Gothic Book" w:eastAsia="Calibri" w:hAnsi="Franklin Gothic Book"/>
          <w:sz w:val="22"/>
          <w:szCs w:val="22"/>
          <w:lang w:eastAsia="en-US"/>
        </w:rPr>
        <w:t>(see below)</w:t>
      </w:r>
    </w:p>
    <w:p w14:paraId="2352DCB3" w14:textId="0070E143" w:rsidR="00692407" w:rsidRPr="00610648" w:rsidRDefault="00692407" w:rsidP="00610648">
      <w:pPr>
        <w:pStyle w:val="ListParagraph"/>
        <w:numPr>
          <w:ilvl w:val="0"/>
          <w:numId w:val="51"/>
        </w:numPr>
        <w:spacing w:before="120" w:after="160" w:line="259" w:lineRule="auto"/>
        <w:ind w:left="709" w:hanging="425"/>
        <w:rPr>
          <w:rFonts w:ascii="Franklin Gothic Book" w:eastAsia="Calibri" w:hAnsi="Franklin Gothic Book"/>
          <w:sz w:val="22"/>
          <w:szCs w:val="22"/>
          <w:lang w:eastAsia="en-US"/>
        </w:rPr>
      </w:pPr>
      <w:r w:rsidRPr="00610648">
        <w:rPr>
          <w:rFonts w:ascii="Franklin Gothic Book" w:eastAsia="Calibri" w:hAnsi="Franklin Gothic Book"/>
          <w:sz w:val="22"/>
          <w:szCs w:val="22"/>
          <w:lang w:eastAsia="en-US"/>
        </w:rPr>
        <w:t xml:space="preserve">IDS has </w:t>
      </w:r>
      <w:r w:rsidR="00BD2D5D">
        <w:rPr>
          <w:rFonts w:ascii="Franklin Gothic Book" w:eastAsia="Calibri" w:hAnsi="Franklin Gothic Book"/>
          <w:sz w:val="22"/>
          <w:szCs w:val="22"/>
          <w:lang w:eastAsia="en-US"/>
        </w:rPr>
        <w:t>superior</w:t>
      </w:r>
      <w:r w:rsidRPr="00610648">
        <w:rPr>
          <w:rFonts w:ascii="Franklin Gothic Book" w:eastAsia="Calibri" w:hAnsi="Franklin Gothic Book"/>
          <w:sz w:val="22"/>
          <w:szCs w:val="22"/>
          <w:lang w:eastAsia="en-US"/>
        </w:rPr>
        <w:t xml:space="preserve"> safety compared to surgical decompression plus spinal fusion; however, long-term outcomes were not reported, so are uncertain.</w:t>
      </w:r>
    </w:p>
    <w:p w14:paraId="3CE97221" w14:textId="77534220" w:rsidR="00692407" w:rsidRPr="00692407" w:rsidRDefault="00692407" w:rsidP="00692407">
      <w:pPr>
        <w:spacing w:before="120" w:after="160" w:line="259" w:lineRule="auto"/>
        <w:rPr>
          <w:rFonts w:ascii="Franklin Gothic Book" w:eastAsia="Calibri" w:hAnsi="Franklin Gothic Book"/>
          <w:sz w:val="22"/>
          <w:szCs w:val="22"/>
          <w:lang w:eastAsia="en-US"/>
        </w:rPr>
      </w:pPr>
      <w:r w:rsidRPr="00692407">
        <w:rPr>
          <w:rFonts w:ascii="Franklin Gothic Book" w:eastAsia="Calibri" w:hAnsi="Franklin Gothic Book"/>
          <w:sz w:val="22"/>
          <w:szCs w:val="22"/>
          <w:lang w:eastAsia="en-US"/>
        </w:rPr>
        <w:t>Regarding clinical effectiveness, MSAC noted the evidence suggest</w:t>
      </w:r>
      <w:r w:rsidR="00ED6D4E">
        <w:rPr>
          <w:rFonts w:ascii="Franklin Gothic Book" w:eastAsia="Calibri" w:hAnsi="Franklin Gothic Book"/>
          <w:sz w:val="22"/>
          <w:szCs w:val="22"/>
          <w:lang w:eastAsia="en-US"/>
        </w:rPr>
        <w:t>ed</w:t>
      </w:r>
      <w:r w:rsidRPr="00692407">
        <w:rPr>
          <w:rFonts w:ascii="Franklin Gothic Book" w:eastAsia="Calibri" w:hAnsi="Franklin Gothic Book"/>
          <w:sz w:val="22"/>
          <w:szCs w:val="22"/>
          <w:lang w:eastAsia="en-US"/>
        </w:rPr>
        <w:t xml:space="preserve"> that:</w:t>
      </w:r>
    </w:p>
    <w:p w14:paraId="62CC312E" w14:textId="76BC575A" w:rsidR="00692407" w:rsidRPr="00692407" w:rsidRDefault="004B23C8" w:rsidP="00610648">
      <w:pPr>
        <w:pStyle w:val="ListParagraph"/>
        <w:numPr>
          <w:ilvl w:val="0"/>
          <w:numId w:val="51"/>
        </w:numPr>
        <w:spacing w:before="120" w:after="160" w:line="259" w:lineRule="auto"/>
        <w:ind w:left="709" w:hanging="425"/>
        <w:rPr>
          <w:rFonts w:ascii="Franklin Gothic Book" w:eastAsia="Calibri" w:hAnsi="Franklin Gothic Book"/>
          <w:sz w:val="22"/>
          <w:szCs w:val="22"/>
          <w:lang w:eastAsia="en-US"/>
        </w:rPr>
      </w:pPr>
      <w:r>
        <w:rPr>
          <w:rFonts w:ascii="Franklin Gothic Book" w:eastAsia="Calibri" w:hAnsi="Franklin Gothic Book"/>
          <w:sz w:val="22"/>
          <w:szCs w:val="22"/>
          <w:lang w:eastAsia="en-US"/>
        </w:rPr>
        <w:t>t</w:t>
      </w:r>
      <w:r w:rsidR="001768B1">
        <w:rPr>
          <w:rFonts w:ascii="Franklin Gothic Book" w:eastAsia="Calibri" w:hAnsi="Franklin Gothic Book"/>
          <w:sz w:val="22"/>
          <w:szCs w:val="22"/>
          <w:lang w:eastAsia="en-US"/>
        </w:rPr>
        <w:t xml:space="preserve">here was no significant difference in patient reported outcomes but </w:t>
      </w:r>
      <w:r w:rsidR="0063297B">
        <w:rPr>
          <w:rFonts w:ascii="Franklin Gothic Book" w:eastAsia="Calibri" w:hAnsi="Franklin Gothic Book"/>
          <w:sz w:val="22"/>
          <w:szCs w:val="22"/>
          <w:lang w:eastAsia="en-US"/>
        </w:rPr>
        <w:t xml:space="preserve">the rate of </w:t>
      </w:r>
      <w:r w:rsidR="00692407" w:rsidRPr="00692407">
        <w:rPr>
          <w:rFonts w:ascii="Franklin Gothic Book" w:eastAsia="Calibri" w:hAnsi="Franklin Gothic Book"/>
          <w:sz w:val="22"/>
          <w:szCs w:val="22"/>
          <w:lang w:eastAsia="en-US"/>
        </w:rPr>
        <w:t>reoperation for treatment failure favour</w:t>
      </w:r>
      <w:r w:rsidR="0063297B">
        <w:rPr>
          <w:rFonts w:ascii="Franklin Gothic Book" w:eastAsia="Calibri" w:hAnsi="Franklin Gothic Book"/>
          <w:sz w:val="22"/>
          <w:szCs w:val="22"/>
          <w:lang w:eastAsia="en-US"/>
        </w:rPr>
        <w:t>s</w:t>
      </w:r>
      <w:r w:rsidR="00692407" w:rsidRPr="00692407">
        <w:rPr>
          <w:rFonts w:ascii="Franklin Gothic Book" w:eastAsia="Calibri" w:hAnsi="Franklin Gothic Book"/>
          <w:sz w:val="22"/>
          <w:szCs w:val="22"/>
          <w:lang w:eastAsia="en-US"/>
        </w:rPr>
        <w:t xml:space="preserve"> surgical decompression</w:t>
      </w:r>
      <w:r w:rsidR="00ED6D4E">
        <w:rPr>
          <w:rFonts w:ascii="Franklin Gothic Book" w:eastAsia="Calibri" w:hAnsi="Franklin Gothic Book"/>
          <w:sz w:val="22"/>
          <w:szCs w:val="22"/>
          <w:lang w:eastAsia="en-US"/>
        </w:rPr>
        <w:t xml:space="preserve"> </w:t>
      </w:r>
      <w:bookmarkStart w:id="4" w:name="_Hlk90298559"/>
      <w:r w:rsidR="001768B1">
        <w:rPr>
          <w:rFonts w:ascii="Franklin Gothic Book" w:eastAsia="Calibri" w:hAnsi="Franklin Gothic Book"/>
          <w:sz w:val="22"/>
          <w:szCs w:val="22"/>
          <w:lang w:eastAsia="en-US"/>
        </w:rPr>
        <w:t>over 2-year trial</w:t>
      </w:r>
      <w:r w:rsidR="00ED6D4E">
        <w:rPr>
          <w:rFonts w:ascii="Franklin Gothic Book" w:eastAsia="Calibri" w:hAnsi="Franklin Gothic Book"/>
          <w:sz w:val="22"/>
          <w:szCs w:val="22"/>
          <w:lang w:eastAsia="en-US"/>
        </w:rPr>
        <w:t xml:space="preserve"> follow-up</w:t>
      </w:r>
      <w:bookmarkEnd w:id="4"/>
      <w:r w:rsidR="001768B1">
        <w:rPr>
          <w:rFonts w:ascii="Franklin Gothic Book" w:eastAsia="Calibri" w:hAnsi="Franklin Gothic Book"/>
          <w:sz w:val="22"/>
          <w:szCs w:val="22"/>
          <w:lang w:eastAsia="en-US"/>
        </w:rPr>
        <w:t xml:space="preserve"> (and over 4-year follow-up in Deyo 2013)</w:t>
      </w:r>
      <w:r w:rsidR="00692407" w:rsidRPr="00692407">
        <w:rPr>
          <w:rFonts w:ascii="Franklin Gothic Book" w:eastAsia="Calibri" w:hAnsi="Franklin Gothic Book"/>
          <w:sz w:val="22"/>
          <w:szCs w:val="22"/>
          <w:lang w:eastAsia="en-US"/>
        </w:rPr>
        <w:t xml:space="preserve">. The pre-MSAC response acknowledged that </w:t>
      </w:r>
      <w:r w:rsidR="0063297B">
        <w:rPr>
          <w:rFonts w:ascii="Franklin Gothic Book" w:eastAsia="Calibri" w:hAnsi="Franklin Gothic Book"/>
          <w:sz w:val="22"/>
          <w:szCs w:val="22"/>
          <w:lang w:eastAsia="en-US"/>
        </w:rPr>
        <w:t xml:space="preserve">the rate of </w:t>
      </w:r>
      <w:r w:rsidR="00692407" w:rsidRPr="00692407">
        <w:rPr>
          <w:rFonts w:ascii="Franklin Gothic Book" w:eastAsia="Calibri" w:hAnsi="Franklin Gothic Book"/>
          <w:sz w:val="22"/>
          <w:szCs w:val="22"/>
          <w:lang w:eastAsia="en-US"/>
        </w:rPr>
        <w:t xml:space="preserve">reoperation </w:t>
      </w:r>
      <w:r w:rsidR="0063297B">
        <w:rPr>
          <w:rFonts w:ascii="Franklin Gothic Book" w:eastAsia="Calibri" w:hAnsi="Franklin Gothic Book"/>
          <w:sz w:val="22"/>
          <w:szCs w:val="22"/>
          <w:lang w:eastAsia="en-US"/>
        </w:rPr>
        <w:t>was</w:t>
      </w:r>
      <w:r w:rsidR="00692407" w:rsidRPr="00692407">
        <w:rPr>
          <w:rFonts w:ascii="Franklin Gothic Book" w:eastAsia="Calibri" w:hAnsi="Franklin Gothic Book"/>
          <w:sz w:val="22"/>
          <w:szCs w:val="22"/>
          <w:lang w:eastAsia="en-US"/>
        </w:rPr>
        <w:t xml:space="preserve"> higher for IDS, but claimed that 70–80% of patients avoid </w:t>
      </w:r>
      <w:r w:rsidR="0063297B">
        <w:rPr>
          <w:rFonts w:ascii="Franklin Gothic Book" w:eastAsia="Calibri" w:hAnsi="Franklin Gothic Book"/>
          <w:sz w:val="22"/>
          <w:szCs w:val="22"/>
          <w:lang w:eastAsia="en-US"/>
        </w:rPr>
        <w:t xml:space="preserve">further </w:t>
      </w:r>
      <w:r w:rsidR="00692407" w:rsidRPr="00692407">
        <w:rPr>
          <w:rFonts w:ascii="Franklin Gothic Book" w:eastAsia="Calibri" w:hAnsi="Franklin Gothic Book"/>
          <w:sz w:val="22"/>
          <w:szCs w:val="22"/>
          <w:lang w:eastAsia="en-US"/>
        </w:rPr>
        <w:t xml:space="preserve">surgery and IDSs are less invasive. MSAC considered there was </w:t>
      </w:r>
      <w:r w:rsidR="00F01870">
        <w:rPr>
          <w:rFonts w:ascii="Franklin Gothic Book" w:eastAsia="Calibri" w:hAnsi="Franklin Gothic Book"/>
          <w:sz w:val="22"/>
          <w:szCs w:val="22"/>
          <w:lang w:eastAsia="en-US"/>
        </w:rPr>
        <w:t>insufficient</w:t>
      </w:r>
      <w:r w:rsidR="00692407" w:rsidRPr="00692407">
        <w:rPr>
          <w:rFonts w:ascii="Franklin Gothic Book" w:eastAsia="Calibri" w:hAnsi="Franklin Gothic Book"/>
          <w:sz w:val="22"/>
          <w:szCs w:val="22"/>
          <w:lang w:eastAsia="en-US"/>
        </w:rPr>
        <w:t xml:space="preserve"> evidence to justify this claim</w:t>
      </w:r>
      <w:r w:rsidR="00D5626A">
        <w:rPr>
          <w:rFonts w:ascii="Franklin Gothic Book" w:eastAsia="Calibri" w:hAnsi="Franklin Gothic Book"/>
          <w:sz w:val="22"/>
          <w:szCs w:val="22"/>
          <w:lang w:eastAsia="en-US"/>
        </w:rPr>
        <w:t>.</w:t>
      </w:r>
    </w:p>
    <w:p w14:paraId="4E879FB5" w14:textId="016ABBB9" w:rsidR="00692407" w:rsidRPr="00692407" w:rsidRDefault="00692407" w:rsidP="00610648">
      <w:pPr>
        <w:pStyle w:val="ListParagraph"/>
        <w:numPr>
          <w:ilvl w:val="0"/>
          <w:numId w:val="51"/>
        </w:numPr>
        <w:spacing w:before="120" w:after="160" w:line="259" w:lineRule="auto"/>
        <w:ind w:left="709" w:hanging="425"/>
        <w:rPr>
          <w:rFonts w:ascii="Franklin Gothic Book" w:eastAsia="Calibri" w:hAnsi="Franklin Gothic Book"/>
          <w:sz w:val="22"/>
          <w:szCs w:val="22"/>
          <w:lang w:eastAsia="en-US"/>
        </w:rPr>
      </w:pPr>
      <w:r w:rsidRPr="00692407">
        <w:rPr>
          <w:rFonts w:ascii="Franklin Gothic Book" w:eastAsia="Calibri" w:hAnsi="Franklin Gothic Book"/>
          <w:sz w:val="22"/>
          <w:szCs w:val="22"/>
          <w:lang w:eastAsia="en-US"/>
        </w:rPr>
        <w:t xml:space="preserve">there appears to be no significant difference in outcomes when comparing IDS to surgical decompression plus spinal fusion; however, </w:t>
      </w:r>
      <w:r w:rsidR="0063297B">
        <w:rPr>
          <w:rFonts w:ascii="Franklin Gothic Book" w:eastAsia="Calibri" w:hAnsi="Franklin Gothic Book"/>
          <w:sz w:val="22"/>
          <w:szCs w:val="22"/>
          <w:lang w:eastAsia="en-US"/>
        </w:rPr>
        <w:t xml:space="preserve">the </w:t>
      </w:r>
      <w:r w:rsidRPr="00692407">
        <w:rPr>
          <w:rFonts w:ascii="Franklin Gothic Book" w:eastAsia="Calibri" w:hAnsi="Franklin Gothic Book"/>
          <w:sz w:val="22"/>
          <w:szCs w:val="22"/>
          <w:lang w:eastAsia="en-US"/>
        </w:rPr>
        <w:t xml:space="preserve">evidence was limited, and </w:t>
      </w:r>
      <w:r w:rsidR="0063297B">
        <w:rPr>
          <w:rFonts w:ascii="Franklin Gothic Book" w:eastAsia="Calibri" w:hAnsi="Franklin Gothic Book"/>
          <w:sz w:val="22"/>
          <w:szCs w:val="22"/>
          <w:lang w:eastAsia="en-US"/>
        </w:rPr>
        <w:t xml:space="preserve">the rate of </w:t>
      </w:r>
      <w:r w:rsidRPr="00692407">
        <w:rPr>
          <w:rFonts w:ascii="Franklin Gothic Book" w:eastAsia="Calibri" w:hAnsi="Franklin Gothic Book"/>
          <w:sz w:val="22"/>
          <w:szCs w:val="22"/>
          <w:lang w:eastAsia="en-US"/>
        </w:rPr>
        <w:t xml:space="preserve">reoperation </w:t>
      </w:r>
      <w:r w:rsidR="0063297B">
        <w:rPr>
          <w:rFonts w:ascii="Franklin Gothic Book" w:eastAsia="Calibri" w:hAnsi="Franklin Gothic Book"/>
          <w:sz w:val="22"/>
          <w:szCs w:val="22"/>
          <w:lang w:eastAsia="en-US"/>
        </w:rPr>
        <w:t>was</w:t>
      </w:r>
      <w:r w:rsidRPr="00692407">
        <w:rPr>
          <w:rFonts w:ascii="Franklin Gothic Book" w:eastAsia="Calibri" w:hAnsi="Franklin Gothic Book"/>
          <w:sz w:val="22"/>
          <w:szCs w:val="22"/>
          <w:lang w:eastAsia="en-US"/>
        </w:rPr>
        <w:t xml:space="preserve"> not reported.</w:t>
      </w:r>
    </w:p>
    <w:p w14:paraId="4B947674" w14:textId="0F99D82B" w:rsidR="00A56005" w:rsidRPr="00D3031D" w:rsidRDefault="00A56005" w:rsidP="00D3031D">
      <w:pPr>
        <w:spacing w:before="120" w:after="160" w:line="259" w:lineRule="auto"/>
        <w:rPr>
          <w:rFonts w:ascii="Franklin Gothic Book" w:eastAsia="Calibri" w:hAnsi="Franklin Gothic Book"/>
          <w:sz w:val="22"/>
          <w:szCs w:val="22"/>
          <w:lang w:eastAsia="en-US"/>
        </w:rPr>
      </w:pPr>
      <w:r w:rsidRPr="00D3031D">
        <w:rPr>
          <w:rFonts w:ascii="Franklin Gothic Book" w:eastAsia="Calibri" w:hAnsi="Franklin Gothic Book"/>
          <w:sz w:val="22"/>
          <w:szCs w:val="22"/>
          <w:lang w:eastAsia="en-US"/>
        </w:rPr>
        <w:t>MSAC considered the supplementary comparison of IDS versus conservative care, informed from two trials</w:t>
      </w:r>
      <w:r w:rsidR="00635C0A">
        <w:rPr>
          <w:rFonts w:ascii="Franklin Gothic Book" w:eastAsia="Calibri" w:hAnsi="Franklin Gothic Book"/>
          <w:sz w:val="22"/>
          <w:szCs w:val="22"/>
          <w:lang w:eastAsia="en-US"/>
        </w:rPr>
        <w:t xml:space="preserve"> </w:t>
      </w:r>
      <w:r w:rsidR="00635C0A" w:rsidRPr="00692407">
        <w:rPr>
          <w:rFonts w:ascii="Franklin Gothic Book" w:eastAsia="Calibri" w:hAnsi="Franklin Gothic Book"/>
          <w:sz w:val="22"/>
          <w:szCs w:val="22"/>
          <w:lang w:eastAsia="en-US"/>
        </w:rPr>
        <w:t>(no</w:t>
      </w:r>
      <w:r w:rsidR="00635C0A">
        <w:rPr>
          <w:rFonts w:ascii="Franklin Gothic Book" w:eastAsia="Calibri" w:hAnsi="Franklin Gothic Book"/>
          <w:sz w:val="22"/>
          <w:szCs w:val="22"/>
          <w:lang w:eastAsia="en-US"/>
        </w:rPr>
        <w:t>ne were</w:t>
      </w:r>
      <w:r w:rsidR="00635C0A" w:rsidRPr="00692407">
        <w:rPr>
          <w:rFonts w:ascii="Franklin Gothic Book" w:eastAsia="Calibri" w:hAnsi="Franklin Gothic Book"/>
          <w:sz w:val="22"/>
          <w:szCs w:val="22"/>
          <w:lang w:eastAsia="en-US"/>
        </w:rPr>
        <w:t xml:space="preserve"> placebo</w:t>
      </w:r>
      <w:r w:rsidR="00635C0A">
        <w:rPr>
          <w:rFonts w:ascii="Franklin Gothic Book" w:eastAsia="Calibri" w:hAnsi="Franklin Gothic Book"/>
          <w:sz w:val="22"/>
          <w:szCs w:val="22"/>
          <w:lang w:eastAsia="en-US"/>
        </w:rPr>
        <w:t>-controlled</w:t>
      </w:r>
      <w:r w:rsidR="00635C0A" w:rsidRPr="00692407">
        <w:rPr>
          <w:rFonts w:ascii="Franklin Gothic Book" w:eastAsia="Calibri" w:hAnsi="Franklin Gothic Book"/>
          <w:sz w:val="22"/>
          <w:szCs w:val="22"/>
          <w:lang w:eastAsia="en-US"/>
        </w:rPr>
        <w:t xml:space="preserve"> trials</w:t>
      </w:r>
      <w:r w:rsidR="00635C0A">
        <w:rPr>
          <w:rFonts w:ascii="Franklin Gothic Book" w:eastAsia="Calibri" w:hAnsi="Franklin Gothic Book"/>
          <w:sz w:val="22"/>
          <w:szCs w:val="22"/>
          <w:lang w:eastAsia="en-US"/>
        </w:rPr>
        <w:t xml:space="preserve"> with blinded participants</w:t>
      </w:r>
      <w:r w:rsidR="00635C0A" w:rsidRPr="00692407">
        <w:rPr>
          <w:rFonts w:ascii="Franklin Gothic Book" w:eastAsia="Calibri" w:hAnsi="Franklin Gothic Book"/>
          <w:sz w:val="22"/>
          <w:szCs w:val="22"/>
          <w:lang w:eastAsia="en-US"/>
        </w:rPr>
        <w:t>)</w:t>
      </w:r>
      <w:r w:rsidRPr="00D3031D">
        <w:rPr>
          <w:rFonts w:ascii="Franklin Gothic Book" w:eastAsia="Calibri" w:hAnsi="Franklin Gothic Book"/>
          <w:sz w:val="22"/>
          <w:szCs w:val="22"/>
          <w:lang w:eastAsia="en-US"/>
        </w:rPr>
        <w:t>. MSAC considered that</w:t>
      </w:r>
      <w:r w:rsidR="00635C0A">
        <w:rPr>
          <w:rFonts w:ascii="Franklin Gothic Book" w:eastAsia="Calibri" w:hAnsi="Franklin Gothic Book"/>
          <w:sz w:val="22"/>
          <w:szCs w:val="22"/>
          <w:lang w:eastAsia="en-US"/>
        </w:rPr>
        <w:t>, based on low certainty evidence,</w:t>
      </w:r>
      <w:r w:rsidRPr="00D3031D">
        <w:rPr>
          <w:rFonts w:ascii="Franklin Gothic Book" w:eastAsia="Calibri" w:hAnsi="Franklin Gothic Book"/>
          <w:sz w:val="22"/>
          <w:szCs w:val="22"/>
          <w:lang w:eastAsia="en-US"/>
        </w:rPr>
        <w:t xml:space="preserve"> IDS showed superior effectiveness in all Zurich Claudication Questionnaire (ZCQ) subscales, including physical function and patient satisfaction, symptom severity and visual analogue scale (VAS) back pain. IDS showed inferior safety</w:t>
      </w:r>
      <w:r w:rsidR="00AA450F">
        <w:rPr>
          <w:rFonts w:ascii="Franklin Gothic Book" w:eastAsia="Calibri" w:hAnsi="Franklin Gothic Book"/>
          <w:sz w:val="22"/>
          <w:szCs w:val="22"/>
          <w:lang w:eastAsia="en-US"/>
        </w:rPr>
        <w:t xml:space="preserve"> </w:t>
      </w:r>
      <w:r w:rsidRPr="00D3031D">
        <w:rPr>
          <w:rFonts w:ascii="Franklin Gothic Book" w:eastAsia="Calibri" w:hAnsi="Franklin Gothic Book"/>
          <w:sz w:val="22"/>
          <w:szCs w:val="22"/>
          <w:lang w:eastAsia="en-US"/>
        </w:rPr>
        <w:t xml:space="preserve">compared to </w:t>
      </w:r>
      <w:r w:rsidRPr="00D3031D">
        <w:rPr>
          <w:rFonts w:ascii="Franklin Gothic Book" w:eastAsia="Calibri" w:hAnsi="Franklin Gothic Book"/>
          <w:sz w:val="22"/>
          <w:szCs w:val="22"/>
          <w:lang w:eastAsia="en-US"/>
        </w:rPr>
        <w:lastRenderedPageBreak/>
        <w:t>conservative care. The commentary noted the trials were poorly reported and there was a high risk of bias for some outcomes, particularly reoperation. MSAC considered this reduced confidence in the findings and economic evaluation using these data.</w:t>
      </w:r>
    </w:p>
    <w:p w14:paraId="4F787C2B" w14:textId="438C47DA" w:rsidR="00692407" w:rsidRPr="00692407" w:rsidRDefault="00692407" w:rsidP="00692407">
      <w:pPr>
        <w:spacing w:before="120" w:after="160" w:line="259" w:lineRule="auto"/>
        <w:rPr>
          <w:rFonts w:ascii="Franklin Gothic Book" w:eastAsia="Calibri" w:hAnsi="Franklin Gothic Book"/>
          <w:sz w:val="22"/>
          <w:szCs w:val="22"/>
          <w:lang w:eastAsia="en-US"/>
        </w:rPr>
      </w:pPr>
      <w:r w:rsidRPr="00692407">
        <w:rPr>
          <w:rFonts w:ascii="Franklin Gothic Book" w:eastAsia="Calibri" w:hAnsi="Franklin Gothic Book"/>
          <w:sz w:val="22"/>
          <w:szCs w:val="22"/>
          <w:lang w:eastAsia="en-US"/>
        </w:rPr>
        <w:t xml:space="preserve">MSAC noted the ADAR used a cost-minimisation analysis (CMA), </w:t>
      </w:r>
      <w:r w:rsidR="00D5626A">
        <w:rPr>
          <w:rFonts w:ascii="Franklin Gothic Book" w:eastAsia="Calibri" w:hAnsi="Franklin Gothic Book"/>
          <w:sz w:val="22"/>
          <w:szCs w:val="22"/>
          <w:lang w:eastAsia="en-US"/>
        </w:rPr>
        <w:t>rather than</w:t>
      </w:r>
      <w:r w:rsidR="00D5626A" w:rsidRPr="00692407">
        <w:rPr>
          <w:rFonts w:ascii="Franklin Gothic Book" w:eastAsia="Calibri" w:hAnsi="Franklin Gothic Book"/>
          <w:sz w:val="22"/>
          <w:szCs w:val="22"/>
          <w:lang w:eastAsia="en-US"/>
        </w:rPr>
        <w:t xml:space="preserve"> </w:t>
      </w:r>
      <w:r w:rsidRPr="00692407">
        <w:rPr>
          <w:rFonts w:ascii="Franklin Gothic Book" w:eastAsia="Calibri" w:hAnsi="Franklin Gothic Book"/>
          <w:sz w:val="22"/>
          <w:szCs w:val="22"/>
          <w:lang w:eastAsia="en-US"/>
        </w:rPr>
        <w:t xml:space="preserve">a cost-utility analysis (CUA) as suggested by the </w:t>
      </w:r>
      <w:r w:rsidR="00D5626A">
        <w:rPr>
          <w:rFonts w:ascii="Franklin Gothic Book" w:eastAsia="Calibri" w:hAnsi="Franklin Gothic Book"/>
          <w:sz w:val="22"/>
          <w:szCs w:val="22"/>
          <w:lang w:eastAsia="en-US"/>
        </w:rPr>
        <w:t xml:space="preserve">PICO </w:t>
      </w:r>
      <w:r w:rsidRPr="00692407">
        <w:rPr>
          <w:rFonts w:ascii="Franklin Gothic Book" w:eastAsia="Calibri" w:hAnsi="Franklin Gothic Book"/>
          <w:sz w:val="22"/>
          <w:szCs w:val="22"/>
          <w:lang w:eastAsia="en-US"/>
        </w:rPr>
        <w:t xml:space="preserve">Advisory </w:t>
      </w:r>
      <w:r w:rsidR="00D5626A">
        <w:rPr>
          <w:rFonts w:ascii="Franklin Gothic Book" w:eastAsia="Calibri" w:hAnsi="Franklin Gothic Book"/>
          <w:sz w:val="22"/>
          <w:szCs w:val="22"/>
          <w:lang w:eastAsia="en-US"/>
        </w:rPr>
        <w:t>Sub-</w:t>
      </w:r>
      <w:r w:rsidRPr="00692407">
        <w:rPr>
          <w:rFonts w:ascii="Franklin Gothic Book" w:eastAsia="Calibri" w:hAnsi="Franklin Gothic Book"/>
          <w:sz w:val="22"/>
          <w:szCs w:val="22"/>
          <w:lang w:eastAsia="en-US"/>
        </w:rPr>
        <w:t>Committee (PA</w:t>
      </w:r>
      <w:r w:rsidR="00D5626A">
        <w:rPr>
          <w:rFonts w:ascii="Franklin Gothic Book" w:eastAsia="Calibri" w:hAnsi="Franklin Gothic Book"/>
          <w:sz w:val="22"/>
          <w:szCs w:val="22"/>
          <w:lang w:eastAsia="en-US"/>
        </w:rPr>
        <w:t>S</w:t>
      </w:r>
      <w:r w:rsidRPr="00692407">
        <w:rPr>
          <w:rFonts w:ascii="Franklin Gothic Book" w:eastAsia="Calibri" w:hAnsi="Franklin Gothic Book"/>
          <w:sz w:val="22"/>
          <w:szCs w:val="22"/>
          <w:lang w:eastAsia="en-US"/>
        </w:rPr>
        <w:t xml:space="preserve">C). A CMA was provided based on the non-inferiority claims and, according to the applicant’s pre-MSAC response, it would have been too difficult to do a full CUA as it would have involved an assumption-heavy, scenario-based approach. However, MSAC </w:t>
      </w:r>
      <w:r w:rsidR="00D5626A">
        <w:rPr>
          <w:rFonts w:ascii="Franklin Gothic Book" w:eastAsia="Calibri" w:hAnsi="Franklin Gothic Book"/>
          <w:sz w:val="22"/>
          <w:szCs w:val="22"/>
          <w:lang w:eastAsia="en-US"/>
        </w:rPr>
        <w:t>considered</w:t>
      </w:r>
      <w:r w:rsidRPr="00692407">
        <w:rPr>
          <w:rFonts w:ascii="Franklin Gothic Book" w:eastAsia="Calibri" w:hAnsi="Franklin Gothic Book"/>
          <w:sz w:val="22"/>
          <w:szCs w:val="22"/>
          <w:lang w:eastAsia="en-US"/>
        </w:rPr>
        <w:t xml:space="preserve"> that non-inferiority was not satisfied, and </w:t>
      </w:r>
      <w:r w:rsidR="00D5626A">
        <w:rPr>
          <w:rFonts w:ascii="Franklin Gothic Book" w:eastAsia="Calibri" w:hAnsi="Franklin Gothic Book"/>
          <w:sz w:val="22"/>
          <w:szCs w:val="22"/>
          <w:lang w:eastAsia="en-US"/>
        </w:rPr>
        <w:t xml:space="preserve">therefore </w:t>
      </w:r>
      <w:r w:rsidRPr="00692407">
        <w:rPr>
          <w:rFonts w:ascii="Franklin Gothic Book" w:eastAsia="Calibri" w:hAnsi="Franklin Gothic Book"/>
          <w:sz w:val="22"/>
          <w:szCs w:val="22"/>
          <w:lang w:eastAsia="en-US"/>
        </w:rPr>
        <w:t>a CUA should have been used due to concerns about safety and effectiveness.</w:t>
      </w:r>
    </w:p>
    <w:p w14:paraId="5C4063E6" w14:textId="77AD446B" w:rsidR="00692407" w:rsidRPr="00692407" w:rsidRDefault="00692407" w:rsidP="00692407">
      <w:pPr>
        <w:spacing w:before="120" w:after="160" w:line="259" w:lineRule="auto"/>
        <w:rPr>
          <w:rFonts w:ascii="Franklin Gothic Book" w:eastAsia="Calibri" w:hAnsi="Franklin Gothic Book"/>
          <w:sz w:val="22"/>
          <w:szCs w:val="22"/>
          <w:lang w:eastAsia="en-US"/>
        </w:rPr>
      </w:pPr>
      <w:r w:rsidRPr="00692407">
        <w:rPr>
          <w:rFonts w:ascii="Franklin Gothic Book" w:eastAsia="Calibri" w:hAnsi="Franklin Gothic Book"/>
          <w:sz w:val="22"/>
          <w:szCs w:val="22"/>
          <w:lang w:eastAsia="en-US"/>
        </w:rPr>
        <w:t xml:space="preserve">The result of the CMA was a cost reduction, but MSAC considered there to be a lot of uncertainty in the drivers </w:t>
      </w:r>
      <w:r w:rsidR="0063297B">
        <w:rPr>
          <w:rFonts w:ascii="Franklin Gothic Book" w:eastAsia="Calibri" w:hAnsi="Franklin Gothic Book"/>
          <w:sz w:val="22"/>
          <w:szCs w:val="22"/>
          <w:lang w:eastAsia="en-US"/>
        </w:rPr>
        <w:t>of that reduction</w:t>
      </w:r>
      <w:r w:rsidRPr="00692407">
        <w:rPr>
          <w:rFonts w:ascii="Franklin Gothic Book" w:eastAsia="Calibri" w:hAnsi="Franklin Gothic Book"/>
          <w:sz w:val="22"/>
          <w:szCs w:val="22"/>
          <w:lang w:eastAsia="en-US"/>
        </w:rPr>
        <w:t xml:space="preserve">. The two </w:t>
      </w:r>
      <w:r w:rsidR="00D5626A">
        <w:rPr>
          <w:rFonts w:ascii="Franklin Gothic Book" w:eastAsia="Calibri" w:hAnsi="Franklin Gothic Book"/>
          <w:sz w:val="22"/>
          <w:szCs w:val="22"/>
          <w:lang w:eastAsia="en-US"/>
        </w:rPr>
        <w:t xml:space="preserve">major </w:t>
      </w:r>
      <w:r w:rsidRPr="00692407">
        <w:rPr>
          <w:rFonts w:ascii="Franklin Gothic Book" w:eastAsia="Calibri" w:hAnsi="Franklin Gothic Book"/>
          <w:sz w:val="22"/>
          <w:szCs w:val="22"/>
          <w:lang w:eastAsia="en-US"/>
        </w:rPr>
        <w:t>drivers of costs</w:t>
      </w:r>
      <w:r w:rsidR="00E64FB8">
        <w:rPr>
          <w:rFonts w:ascii="Franklin Gothic Book" w:eastAsia="Calibri" w:hAnsi="Franklin Gothic Book"/>
          <w:sz w:val="22"/>
          <w:szCs w:val="22"/>
          <w:lang w:eastAsia="en-US"/>
        </w:rPr>
        <w:t>, as demonstrated in the commentary’s sensitivity analyses,</w:t>
      </w:r>
      <w:r w:rsidR="00D5626A">
        <w:rPr>
          <w:rFonts w:ascii="Franklin Gothic Book" w:eastAsia="Calibri" w:hAnsi="Franklin Gothic Book"/>
          <w:sz w:val="22"/>
          <w:szCs w:val="22"/>
          <w:lang w:eastAsia="en-US"/>
        </w:rPr>
        <w:t xml:space="preserve"> were</w:t>
      </w:r>
      <w:r w:rsidRPr="00692407">
        <w:rPr>
          <w:rFonts w:ascii="Franklin Gothic Book" w:eastAsia="Calibri" w:hAnsi="Franklin Gothic Book"/>
          <w:sz w:val="22"/>
          <w:szCs w:val="22"/>
          <w:lang w:eastAsia="en-US"/>
        </w:rPr>
        <w:t xml:space="preserve"> the rate of fusion plus decompression surgery in the eligible population</w:t>
      </w:r>
      <w:r w:rsidR="00D5626A">
        <w:rPr>
          <w:rFonts w:ascii="Franklin Gothic Book" w:eastAsia="Calibri" w:hAnsi="Franklin Gothic Book"/>
          <w:sz w:val="22"/>
          <w:szCs w:val="22"/>
          <w:lang w:eastAsia="en-US"/>
        </w:rPr>
        <w:t>,</w:t>
      </w:r>
      <w:r w:rsidRPr="00692407">
        <w:rPr>
          <w:rFonts w:ascii="Franklin Gothic Book" w:eastAsia="Calibri" w:hAnsi="Franklin Gothic Book"/>
          <w:sz w:val="22"/>
          <w:szCs w:val="22"/>
          <w:lang w:eastAsia="en-US"/>
        </w:rPr>
        <w:t xml:space="preserve"> and the reoperation rates </w:t>
      </w:r>
      <w:r w:rsidR="00D5626A">
        <w:rPr>
          <w:rFonts w:ascii="Franklin Gothic Book" w:eastAsia="Calibri" w:hAnsi="Franklin Gothic Book"/>
          <w:sz w:val="22"/>
          <w:szCs w:val="22"/>
          <w:lang w:eastAsia="en-US"/>
        </w:rPr>
        <w:t>(</w:t>
      </w:r>
      <w:r w:rsidRPr="00692407">
        <w:rPr>
          <w:rFonts w:ascii="Franklin Gothic Book" w:eastAsia="Calibri" w:hAnsi="Franklin Gothic Book"/>
          <w:sz w:val="22"/>
          <w:szCs w:val="22"/>
          <w:lang w:eastAsia="en-US"/>
        </w:rPr>
        <w:t>modelled over 5 years</w:t>
      </w:r>
      <w:r w:rsidR="00D5626A">
        <w:rPr>
          <w:rFonts w:ascii="Franklin Gothic Book" w:eastAsia="Calibri" w:hAnsi="Franklin Gothic Book"/>
          <w:sz w:val="22"/>
          <w:szCs w:val="22"/>
          <w:lang w:eastAsia="en-US"/>
        </w:rPr>
        <w:t>)</w:t>
      </w:r>
      <w:r w:rsidRPr="00692407">
        <w:rPr>
          <w:rFonts w:ascii="Franklin Gothic Book" w:eastAsia="Calibri" w:hAnsi="Franklin Gothic Book"/>
          <w:sz w:val="22"/>
          <w:szCs w:val="22"/>
          <w:lang w:eastAsia="en-US"/>
        </w:rPr>
        <w:t>. The base case rate of fusion (25%) in the comparator, which MSAC considered to drive the cost neutrality in the base-case model, was based on the opinion of a single clinical expert. MSAC noted the pre-MSAC response that, with the 10% price discount</w:t>
      </w:r>
      <w:r w:rsidR="006304C2">
        <w:rPr>
          <w:rFonts w:ascii="Franklin Gothic Book" w:eastAsia="Calibri" w:hAnsi="Franklin Gothic Book"/>
          <w:sz w:val="22"/>
          <w:szCs w:val="22"/>
          <w:lang w:eastAsia="en-US"/>
        </w:rPr>
        <w:t xml:space="preserve"> of the prostheses</w:t>
      </w:r>
      <w:r w:rsidRPr="00692407">
        <w:rPr>
          <w:rFonts w:ascii="Franklin Gothic Book" w:eastAsia="Calibri" w:hAnsi="Franklin Gothic Book"/>
          <w:sz w:val="22"/>
          <w:szCs w:val="22"/>
          <w:lang w:eastAsia="en-US"/>
        </w:rPr>
        <w:t xml:space="preserve"> </w:t>
      </w:r>
      <w:r w:rsidR="006304C2">
        <w:rPr>
          <w:rFonts w:ascii="Franklin Gothic Book" w:eastAsia="Calibri" w:hAnsi="Franklin Gothic Book"/>
          <w:sz w:val="22"/>
          <w:szCs w:val="22"/>
          <w:lang w:eastAsia="en-US"/>
        </w:rPr>
        <w:t>(</w:t>
      </w:r>
      <w:r w:rsidRPr="00692407">
        <w:rPr>
          <w:rFonts w:ascii="Franklin Gothic Book" w:eastAsia="Calibri" w:hAnsi="Franklin Gothic Book"/>
          <w:sz w:val="22"/>
          <w:szCs w:val="22"/>
          <w:lang w:eastAsia="en-US"/>
        </w:rPr>
        <w:t>proposed in the pre-ESC response</w:t>
      </w:r>
      <w:r w:rsidR="006304C2">
        <w:rPr>
          <w:rFonts w:ascii="Franklin Gothic Book" w:eastAsia="Calibri" w:hAnsi="Franklin Gothic Book"/>
          <w:sz w:val="22"/>
          <w:szCs w:val="22"/>
          <w:lang w:eastAsia="en-US"/>
        </w:rPr>
        <w:t>)</w:t>
      </w:r>
      <w:r w:rsidRPr="00692407">
        <w:rPr>
          <w:rFonts w:ascii="Franklin Gothic Book" w:eastAsia="Calibri" w:hAnsi="Franklin Gothic Book"/>
          <w:sz w:val="22"/>
          <w:szCs w:val="22"/>
          <w:lang w:eastAsia="en-US"/>
        </w:rPr>
        <w:t xml:space="preserve">, the break-even concomitant fusion rate would reduce from 25% to 7.9%. However, MSAC </w:t>
      </w:r>
      <w:r w:rsidR="00EC661B">
        <w:rPr>
          <w:rFonts w:ascii="Franklin Gothic Book" w:eastAsia="Calibri" w:hAnsi="Franklin Gothic Book"/>
          <w:sz w:val="22"/>
          <w:szCs w:val="22"/>
          <w:lang w:eastAsia="en-US"/>
        </w:rPr>
        <w:t>considered</w:t>
      </w:r>
      <w:r w:rsidRPr="00692407">
        <w:rPr>
          <w:rFonts w:ascii="Franklin Gothic Book" w:eastAsia="Calibri" w:hAnsi="Franklin Gothic Book"/>
          <w:sz w:val="22"/>
          <w:szCs w:val="22"/>
          <w:lang w:eastAsia="en-US"/>
        </w:rPr>
        <w:t xml:space="preserve"> the use of fusion is variable due to clinician preference and opinion; therefore, </w:t>
      </w:r>
      <w:r w:rsidR="00EC661B">
        <w:rPr>
          <w:rFonts w:ascii="Franklin Gothic Book" w:eastAsia="Calibri" w:hAnsi="Franklin Gothic Book"/>
          <w:sz w:val="22"/>
          <w:szCs w:val="22"/>
          <w:lang w:eastAsia="en-US"/>
        </w:rPr>
        <w:t>reliance on</w:t>
      </w:r>
      <w:r w:rsidRPr="00692407">
        <w:rPr>
          <w:rFonts w:ascii="Franklin Gothic Book" w:eastAsia="Calibri" w:hAnsi="Franklin Gothic Book"/>
          <w:sz w:val="22"/>
          <w:szCs w:val="22"/>
          <w:lang w:eastAsia="en-US"/>
        </w:rPr>
        <w:t xml:space="preserve"> a single clinical opinion leads to high uncertainty. MSAC considered that if the device is only used in patients who do not require fusion, it will not be a cost-saving procedure.</w:t>
      </w:r>
    </w:p>
    <w:p w14:paraId="29812291" w14:textId="6013EBF6" w:rsidR="00692407" w:rsidRPr="00692407" w:rsidRDefault="00692407" w:rsidP="00692407">
      <w:pPr>
        <w:spacing w:before="120" w:after="160" w:line="259" w:lineRule="auto"/>
        <w:rPr>
          <w:rFonts w:ascii="Franklin Gothic Book" w:eastAsia="Calibri" w:hAnsi="Franklin Gothic Book"/>
          <w:sz w:val="22"/>
          <w:szCs w:val="22"/>
          <w:lang w:eastAsia="en-US"/>
        </w:rPr>
      </w:pPr>
      <w:r w:rsidRPr="00692407">
        <w:rPr>
          <w:rFonts w:ascii="Franklin Gothic Book" w:eastAsia="Calibri" w:hAnsi="Franklin Gothic Book"/>
          <w:sz w:val="22"/>
          <w:szCs w:val="22"/>
          <w:lang w:eastAsia="en-US"/>
        </w:rPr>
        <w:t>MSAC also noted the ADAR included a supplementary CUA comparing IDS to extended conservative care. The key inputs were an annualised reoperation rate of 9.5% for IDS (also used in the ADAR</w:t>
      </w:r>
      <w:r w:rsidR="00EC661B">
        <w:rPr>
          <w:rFonts w:ascii="Franklin Gothic Book" w:eastAsia="Calibri" w:hAnsi="Franklin Gothic Book"/>
          <w:sz w:val="22"/>
          <w:szCs w:val="22"/>
          <w:lang w:eastAsia="en-US"/>
        </w:rPr>
        <w:t>’</w:t>
      </w:r>
      <w:r w:rsidRPr="00692407">
        <w:rPr>
          <w:rFonts w:ascii="Franklin Gothic Book" w:eastAsia="Calibri" w:hAnsi="Franklin Gothic Book"/>
          <w:sz w:val="22"/>
          <w:szCs w:val="22"/>
          <w:lang w:eastAsia="en-US"/>
        </w:rPr>
        <w:t xml:space="preserve">s base-case CMA model) compared to 0% for conservative care. MSAC considered the </w:t>
      </w:r>
      <w:r w:rsidR="008B45AE" w:rsidRPr="00692407">
        <w:rPr>
          <w:rFonts w:ascii="Franklin Gothic Book" w:eastAsia="Calibri" w:hAnsi="Franklin Gothic Book"/>
          <w:sz w:val="22"/>
          <w:szCs w:val="22"/>
          <w:lang w:eastAsia="en-US"/>
        </w:rPr>
        <w:t xml:space="preserve">incremental cost-effectiveness ratios </w:t>
      </w:r>
      <w:r w:rsidR="008B45AE">
        <w:rPr>
          <w:rFonts w:ascii="Franklin Gothic Book" w:eastAsia="Calibri" w:hAnsi="Franklin Gothic Book"/>
          <w:sz w:val="22"/>
          <w:szCs w:val="22"/>
          <w:lang w:eastAsia="en-US"/>
        </w:rPr>
        <w:t>(</w:t>
      </w:r>
      <w:r w:rsidRPr="00692407">
        <w:rPr>
          <w:rFonts w:ascii="Franklin Gothic Book" w:eastAsia="Calibri" w:hAnsi="Franklin Gothic Book"/>
          <w:sz w:val="22"/>
          <w:szCs w:val="22"/>
          <w:lang w:eastAsia="en-US"/>
        </w:rPr>
        <w:t>ICER</w:t>
      </w:r>
      <w:r w:rsidR="008B45AE">
        <w:rPr>
          <w:rFonts w:ascii="Franklin Gothic Book" w:eastAsia="Calibri" w:hAnsi="Franklin Gothic Book"/>
          <w:sz w:val="22"/>
          <w:szCs w:val="22"/>
          <w:lang w:eastAsia="en-US"/>
        </w:rPr>
        <w:t>s)</w:t>
      </w:r>
      <w:r w:rsidRPr="00692407">
        <w:rPr>
          <w:rFonts w:ascii="Franklin Gothic Book" w:eastAsia="Calibri" w:hAnsi="Franklin Gothic Book"/>
          <w:sz w:val="22"/>
          <w:szCs w:val="22"/>
          <w:lang w:eastAsia="en-US"/>
        </w:rPr>
        <w:t xml:space="preserve"> of IDS</w:t>
      </w:r>
      <w:r w:rsidR="008B45AE">
        <w:rPr>
          <w:rFonts w:ascii="Franklin Gothic Book" w:eastAsia="Calibri" w:hAnsi="Franklin Gothic Book"/>
          <w:sz w:val="22"/>
          <w:szCs w:val="22"/>
          <w:lang w:eastAsia="en-US"/>
        </w:rPr>
        <w:t xml:space="preserve"> (under alternate scenarios)</w:t>
      </w:r>
      <w:r w:rsidRPr="00692407">
        <w:rPr>
          <w:rFonts w:ascii="Franklin Gothic Book" w:eastAsia="Calibri" w:hAnsi="Franklin Gothic Book"/>
          <w:sz w:val="22"/>
          <w:szCs w:val="22"/>
          <w:lang w:eastAsia="en-US"/>
        </w:rPr>
        <w:t xml:space="preserve"> compared to conservative treatment to be relatively low. MSAC also noted the sensitivity analysis demonstrated that using alternative sources of utility inputs had a large effect on the ICER.</w:t>
      </w:r>
    </w:p>
    <w:p w14:paraId="5A17D749" w14:textId="79400013" w:rsidR="00692407" w:rsidRPr="00692407" w:rsidRDefault="00692407" w:rsidP="00692407">
      <w:pPr>
        <w:spacing w:before="120" w:after="160" w:line="259" w:lineRule="auto"/>
        <w:rPr>
          <w:rFonts w:ascii="Franklin Gothic Book" w:eastAsia="Calibri" w:hAnsi="Franklin Gothic Book"/>
          <w:sz w:val="22"/>
          <w:szCs w:val="22"/>
          <w:lang w:eastAsia="en-US"/>
        </w:rPr>
      </w:pPr>
      <w:r w:rsidRPr="00692407">
        <w:rPr>
          <w:rFonts w:ascii="Franklin Gothic Book" w:eastAsia="Calibri" w:hAnsi="Franklin Gothic Book"/>
          <w:sz w:val="22"/>
          <w:szCs w:val="22"/>
          <w:lang w:eastAsia="en-US"/>
        </w:rPr>
        <w:t xml:space="preserve">MSAC noted that, consistent with the economic analysis, the financial estimates to the MBS (and to the Australian healthcare system) were sensitive to the comparator and the weighting given to fusion, and that cost savings to the MBS will be less if </w:t>
      </w:r>
      <w:r w:rsidR="00EC661B">
        <w:rPr>
          <w:rFonts w:ascii="Franklin Gothic Book" w:eastAsia="Calibri" w:hAnsi="Franklin Gothic Book"/>
          <w:sz w:val="22"/>
          <w:szCs w:val="22"/>
          <w:lang w:eastAsia="en-US"/>
        </w:rPr>
        <w:t>the rate of fusion</w:t>
      </w:r>
      <w:r w:rsidR="00EC661B" w:rsidRPr="00692407">
        <w:rPr>
          <w:rFonts w:ascii="Franklin Gothic Book" w:eastAsia="Calibri" w:hAnsi="Franklin Gothic Book"/>
          <w:sz w:val="22"/>
          <w:szCs w:val="22"/>
          <w:lang w:eastAsia="en-US"/>
        </w:rPr>
        <w:t xml:space="preserve"> </w:t>
      </w:r>
      <w:r w:rsidRPr="00692407">
        <w:rPr>
          <w:rFonts w:ascii="Franklin Gothic Book" w:eastAsia="Calibri" w:hAnsi="Franklin Gothic Book"/>
          <w:sz w:val="22"/>
          <w:szCs w:val="22"/>
          <w:lang w:eastAsia="en-US"/>
        </w:rPr>
        <w:t>is lower.</w:t>
      </w:r>
    </w:p>
    <w:p w14:paraId="6D69BA2B" w14:textId="588A48BE" w:rsidR="00930B23" w:rsidRDefault="00692407" w:rsidP="00A63BF1">
      <w:pPr>
        <w:spacing w:before="120" w:line="259" w:lineRule="auto"/>
        <w:rPr>
          <w:rFonts w:ascii="Franklin Gothic Book" w:eastAsia="Calibri" w:hAnsi="Franklin Gothic Book"/>
          <w:sz w:val="22"/>
          <w:szCs w:val="22"/>
          <w:lang w:eastAsia="en-US"/>
        </w:rPr>
      </w:pPr>
      <w:r w:rsidRPr="00692407">
        <w:rPr>
          <w:rFonts w:ascii="Franklin Gothic Book" w:eastAsia="Calibri" w:hAnsi="Franklin Gothic Book"/>
          <w:sz w:val="22"/>
          <w:szCs w:val="22"/>
          <w:lang w:eastAsia="en-US"/>
        </w:rPr>
        <w:t xml:space="preserve">Overall, MSAC considered there to be uncertainty </w:t>
      </w:r>
      <w:r w:rsidR="00EC661B">
        <w:rPr>
          <w:rFonts w:ascii="Franklin Gothic Book" w:eastAsia="Calibri" w:hAnsi="Franklin Gothic Book"/>
          <w:sz w:val="22"/>
          <w:szCs w:val="22"/>
          <w:lang w:eastAsia="en-US"/>
        </w:rPr>
        <w:t>over the appropriate position of</w:t>
      </w:r>
      <w:r w:rsidR="00EC661B" w:rsidRPr="00692407">
        <w:rPr>
          <w:rFonts w:ascii="Franklin Gothic Book" w:eastAsia="Calibri" w:hAnsi="Franklin Gothic Book"/>
          <w:sz w:val="22"/>
          <w:szCs w:val="22"/>
          <w:lang w:eastAsia="en-US"/>
        </w:rPr>
        <w:t xml:space="preserve"> </w:t>
      </w:r>
      <w:r w:rsidRPr="00692407">
        <w:rPr>
          <w:rFonts w:ascii="Franklin Gothic Book" w:eastAsia="Calibri" w:hAnsi="Franklin Gothic Book"/>
          <w:sz w:val="22"/>
          <w:szCs w:val="22"/>
          <w:lang w:eastAsia="en-US"/>
        </w:rPr>
        <w:t>IDS within the clinical care pathway. MSAC acknowledged that IDS may benefit patients with specific symptoms</w:t>
      </w:r>
      <w:r w:rsidR="00431975">
        <w:rPr>
          <w:rFonts w:ascii="Franklin Gothic Book" w:eastAsia="Calibri" w:hAnsi="Franklin Gothic Book"/>
          <w:sz w:val="22"/>
          <w:szCs w:val="22"/>
          <w:lang w:eastAsia="en-US"/>
        </w:rPr>
        <w:t xml:space="preserve"> </w:t>
      </w:r>
      <w:r w:rsidR="003F3845">
        <w:rPr>
          <w:rFonts w:ascii="Franklin Gothic Book" w:eastAsia="Calibri" w:hAnsi="Franklin Gothic Book"/>
          <w:sz w:val="22"/>
          <w:szCs w:val="22"/>
          <w:lang w:eastAsia="en-US"/>
        </w:rPr>
        <w:t>(or specific symptom complex)</w:t>
      </w:r>
      <w:r w:rsidRPr="00692407">
        <w:rPr>
          <w:rFonts w:ascii="Franklin Gothic Book" w:eastAsia="Calibri" w:hAnsi="Franklin Gothic Book"/>
          <w:sz w:val="22"/>
          <w:szCs w:val="22"/>
          <w:lang w:eastAsia="en-US"/>
        </w:rPr>
        <w:t>, particularly when compared to conservative therapy, but noted it was difficult to define an appropriate patient population.</w:t>
      </w:r>
      <w:r w:rsidR="00E468DE">
        <w:rPr>
          <w:rFonts w:ascii="Franklin Gothic Book" w:eastAsia="Calibri" w:hAnsi="Franklin Gothic Book"/>
          <w:sz w:val="22"/>
          <w:szCs w:val="22"/>
          <w:lang w:eastAsia="en-US"/>
        </w:rPr>
        <w:t xml:space="preserve"> MSAC </w:t>
      </w:r>
      <w:r w:rsidR="00F01870">
        <w:rPr>
          <w:rFonts w:ascii="Franklin Gothic Book" w:eastAsia="Calibri" w:hAnsi="Franklin Gothic Book"/>
          <w:sz w:val="22"/>
          <w:szCs w:val="22"/>
          <w:lang w:eastAsia="en-US"/>
        </w:rPr>
        <w:t xml:space="preserve">noted that </w:t>
      </w:r>
      <w:r w:rsidR="00AB728E">
        <w:rPr>
          <w:rFonts w:ascii="Franklin Gothic Book" w:eastAsia="Calibri" w:hAnsi="Franklin Gothic Book"/>
          <w:sz w:val="22"/>
          <w:szCs w:val="22"/>
          <w:lang w:eastAsia="en-US"/>
        </w:rPr>
        <w:t>Schizas grading</w:t>
      </w:r>
      <w:r w:rsidR="00AB728E">
        <w:rPr>
          <w:rStyle w:val="FootnoteReference"/>
          <w:rFonts w:ascii="Franklin Gothic Book" w:eastAsia="Calibri" w:hAnsi="Franklin Gothic Book"/>
          <w:sz w:val="22"/>
          <w:szCs w:val="22"/>
          <w:lang w:eastAsia="en-US"/>
        </w:rPr>
        <w:footnoteReference w:id="3"/>
      </w:r>
      <w:r w:rsidR="00AB728E">
        <w:rPr>
          <w:rFonts w:ascii="Franklin Gothic Book" w:eastAsia="Calibri" w:hAnsi="Franklin Gothic Book"/>
          <w:sz w:val="22"/>
          <w:szCs w:val="22"/>
          <w:lang w:eastAsia="en-US"/>
        </w:rPr>
        <w:t xml:space="preserve"> of severity of LSS may be a useful tool to ensure patients</w:t>
      </w:r>
      <w:r w:rsidR="00F01870">
        <w:rPr>
          <w:rFonts w:ascii="Franklin Gothic Book" w:eastAsia="Calibri" w:hAnsi="Franklin Gothic Book"/>
          <w:sz w:val="22"/>
          <w:szCs w:val="22"/>
          <w:lang w:eastAsia="en-US"/>
        </w:rPr>
        <w:t xml:space="preserve"> selected for IDS</w:t>
      </w:r>
      <w:r w:rsidR="00AB728E">
        <w:rPr>
          <w:rFonts w:ascii="Franklin Gothic Book" w:eastAsia="Calibri" w:hAnsi="Franklin Gothic Book"/>
          <w:sz w:val="22"/>
          <w:szCs w:val="22"/>
          <w:lang w:eastAsia="en-US"/>
        </w:rPr>
        <w:t xml:space="preserve"> are most likely to benefit</w:t>
      </w:r>
      <w:r w:rsidR="00FE71A9">
        <w:rPr>
          <w:rFonts w:ascii="Franklin Gothic Book" w:eastAsia="Calibri" w:hAnsi="Franklin Gothic Book"/>
          <w:sz w:val="22"/>
          <w:szCs w:val="22"/>
          <w:lang w:eastAsia="en-US"/>
        </w:rPr>
        <w:t xml:space="preserve"> (consistent with the upcoming SU</w:t>
      </w:r>
      <w:r w:rsidR="00F20F86">
        <w:rPr>
          <w:rFonts w:ascii="Franklin Gothic Book" w:eastAsia="Calibri" w:hAnsi="Franklin Gothic Book"/>
          <w:sz w:val="22"/>
          <w:szCs w:val="22"/>
          <w:lang w:eastAsia="en-US"/>
        </w:rPr>
        <w:t>cceSS trial</w:t>
      </w:r>
      <w:r w:rsidR="00814C77">
        <w:rPr>
          <w:rStyle w:val="FootnoteReference"/>
          <w:rFonts w:ascii="Franklin Gothic Book" w:eastAsia="Calibri" w:hAnsi="Franklin Gothic Book"/>
          <w:sz w:val="22"/>
          <w:szCs w:val="22"/>
          <w:lang w:eastAsia="en-US"/>
        </w:rPr>
        <w:footnoteReference w:id="4"/>
      </w:r>
      <w:r w:rsidR="00F20F86">
        <w:rPr>
          <w:rFonts w:ascii="Franklin Gothic Book" w:eastAsia="Calibri" w:hAnsi="Franklin Gothic Book"/>
          <w:sz w:val="22"/>
          <w:szCs w:val="22"/>
          <w:lang w:eastAsia="en-US"/>
        </w:rPr>
        <w:t>; see below)</w:t>
      </w:r>
      <w:r w:rsidR="00AB728E">
        <w:rPr>
          <w:rFonts w:ascii="Franklin Gothic Book" w:eastAsia="Calibri" w:hAnsi="Franklin Gothic Book"/>
          <w:sz w:val="22"/>
          <w:szCs w:val="22"/>
          <w:lang w:eastAsia="en-US"/>
        </w:rPr>
        <w:t>.</w:t>
      </w:r>
      <w:r w:rsidR="00814C77">
        <w:rPr>
          <w:rFonts w:ascii="Franklin Gothic Book" w:eastAsia="Calibri" w:hAnsi="Franklin Gothic Book"/>
          <w:sz w:val="22"/>
          <w:szCs w:val="22"/>
          <w:lang w:eastAsia="en-US"/>
        </w:rPr>
        <w:t xml:space="preserve"> Grades C or D on the Schizas grading system indicate occlusion of the central canal (i.e. absent cerebrospinal fluid) at the level or levels they want to treat, on T2-weighted MRI or CT myelogram if no MRI or it is contraindicated.</w:t>
      </w:r>
      <w:r w:rsidRPr="00692407">
        <w:rPr>
          <w:rFonts w:ascii="Franklin Gothic Book" w:eastAsia="Calibri" w:hAnsi="Franklin Gothic Book"/>
          <w:sz w:val="22"/>
          <w:szCs w:val="22"/>
          <w:lang w:eastAsia="en-US"/>
        </w:rPr>
        <w:t xml:space="preserve"> MSAC advised that the clinical trial evidence for the efficacy of IDS was </w:t>
      </w:r>
      <w:r w:rsidR="00AA2535">
        <w:rPr>
          <w:rFonts w:ascii="Franklin Gothic Book" w:eastAsia="Calibri" w:hAnsi="Franklin Gothic Book"/>
          <w:sz w:val="22"/>
          <w:szCs w:val="22"/>
          <w:lang w:eastAsia="en-US"/>
        </w:rPr>
        <w:t xml:space="preserve">of low certainty and had </w:t>
      </w:r>
      <w:r w:rsidRPr="00692407">
        <w:rPr>
          <w:rFonts w:ascii="Franklin Gothic Book" w:eastAsia="Calibri" w:hAnsi="Franklin Gothic Book"/>
          <w:sz w:val="22"/>
          <w:szCs w:val="22"/>
          <w:lang w:eastAsia="en-US"/>
        </w:rPr>
        <w:t>uncertain</w:t>
      </w:r>
      <w:r w:rsidR="00AA2535">
        <w:rPr>
          <w:rFonts w:ascii="Franklin Gothic Book" w:eastAsia="Calibri" w:hAnsi="Franklin Gothic Book"/>
          <w:sz w:val="22"/>
          <w:szCs w:val="22"/>
          <w:lang w:eastAsia="en-US"/>
        </w:rPr>
        <w:t xml:space="preserve"> inclusion criteria</w:t>
      </w:r>
      <w:r w:rsidRPr="00692407">
        <w:rPr>
          <w:rFonts w:ascii="Franklin Gothic Book" w:eastAsia="Calibri" w:hAnsi="Franklin Gothic Book"/>
          <w:sz w:val="22"/>
          <w:szCs w:val="22"/>
          <w:lang w:eastAsia="en-US"/>
        </w:rPr>
        <w:t xml:space="preserve">. MSAC also advised that the evidence omitted </w:t>
      </w:r>
      <w:r w:rsidR="008664B7">
        <w:rPr>
          <w:rFonts w:ascii="Franklin Gothic Book" w:eastAsia="Calibri" w:hAnsi="Franklin Gothic Book"/>
          <w:sz w:val="22"/>
          <w:szCs w:val="22"/>
          <w:lang w:eastAsia="en-US"/>
        </w:rPr>
        <w:t xml:space="preserve">a key </w:t>
      </w:r>
      <w:r w:rsidRPr="00692407">
        <w:rPr>
          <w:rFonts w:ascii="Franklin Gothic Book" w:eastAsia="Calibri" w:hAnsi="Franklin Gothic Book"/>
          <w:sz w:val="22"/>
          <w:szCs w:val="22"/>
          <w:lang w:eastAsia="en-US"/>
        </w:rPr>
        <w:t xml:space="preserve">primary clinical outcome of walking ability. MSAC advised that the comparative safety of IDS was uncertain, including over the longer term. Generally, MSAC considered the benefits of IDS compared to alternative treatment options </w:t>
      </w:r>
      <w:r w:rsidR="00AA2535">
        <w:rPr>
          <w:rFonts w:ascii="Franklin Gothic Book" w:eastAsia="Calibri" w:hAnsi="Franklin Gothic Book"/>
          <w:sz w:val="22"/>
          <w:szCs w:val="22"/>
          <w:lang w:eastAsia="en-US"/>
        </w:rPr>
        <w:t>were</w:t>
      </w:r>
      <w:r w:rsidR="00AA2535" w:rsidRPr="00692407">
        <w:rPr>
          <w:rFonts w:ascii="Franklin Gothic Book" w:eastAsia="Calibri" w:hAnsi="Franklin Gothic Book"/>
          <w:sz w:val="22"/>
          <w:szCs w:val="22"/>
          <w:lang w:eastAsia="en-US"/>
        </w:rPr>
        <w:t xml:space="preserve"> </w:t>
      </w:r>
      <w:r w:rsidRPr="00692407">
        <w:rPr>
          <w:rFonts w:ascii="Franklin Gothic Book" w:eastAsia="Calibri" w:hAnsi="Franklin Gothic Book"/>
          <w:sz w:val="22"/>
          <w:szCs w:val="22"/>
          <w:lang w:eastAsia="en-US"/>
        </w:rPr>
        <w:t>uncertain. For these reasons, MSAC considered the related economic evaluation was not sufficiently supported.</w:t>
      </w:r>
    </w:p>
    <w:p w14:paraId="2BE3DEAE" w14:textId="1D45AA02" w:rsidR="00DF2AF3" w:rsidRDefault="00BF3DAA" w:rsidP="00814C77">
      <w:pPr>
        <w:spacing w:before="120" w:line="259" w:lineRule="auto"/>
      </w:pPr>
      <w:r>
        <w:rPr>
          <w:rFonts w:ascii="Franklin Gothic Book" w:eastAsia="Calibri" w:hAnsi="Franklin Gothic Book"/>
          <w:sz w:val="22"/>
          <w:szCs w:val="22"/>
          <w:lang w:eastAsia="en-US"/>
        </w:rPr>
        <w:lastRenderedPageBreak/>
        <w:t>MSAC considered that any resubmission would need to provide higher quality evidence to</w:t>
      </w:r>
      <w:r w:rsidR="008664B7">
        <w:rPr>
          <w:rFonts w:ascii="Franklin Gothic Book" w:eastAsia="Calibri" w:hAnsi="Franklin Gothic Book"/>
          <w:sz w:val="22"/>
          <w:szCs w:val="22"/>
          <w:lang w:eastAsia="en-US"/>
        </w:rPr>
        <w:t xml:space="preserve"> </w:t>
      </w:r>
      <w:r>
        <w:rPr>
          <w:rFonts w:ascii="Franklin Gothic Book" w:eastAsia="Calibri" w:hAnsi="Franklin Gothic Book"/>
          <w:sz w:val="22"/>
          <w:szCs w:val="22"/>
          <w:lang w:eastAsia="en-US"/>
        </w:rPr>
        <w:t>address these issues, and also take into account that evidence for any benefit of decompression and decompression plus fusion over conservative treatment is at present uncertain</w:t>
      </w:r>
      <w:r w:rsidR="007D38B5">
        <w:rPr>
          <w:rFonts w:ascii="Franklin Gothic Book" w:eastAsia="Calibri" w:hAnsi="Franklin Gothic Book"/>
          <w:sz w:val="22"/>
          <w:szCs w:val="22"/>
          <w:lang w:eastAsia="en-US"/>
        </w:rPr>
        <w:t xml:space="preserve"> (see below)</w:t>
      </w:r>
      <w:r>
        <w:rPr>
          <w:rFonts w:ascii="Franklin Gothic Book" w:eastAsia="Calibri" w:hAnsi="Franklin Gothic Book"/>
          <w:sz w:val="22"/>
          <w:szCs w:val="22"/>
          <w:lang w:eastAsia="en-US"/>
        </w:rPr>
        <w:t>.</w:t>
      </w:r>
    </w:p>
    <w:p w14:paraId="496E7784" w14:textId="5A272C85" w:rsidR="00DF2AF3" w:rsidRPr="00814C77" w:rsidRDefault="00DF2AF3" w:rsidP="00814C77">
      <w:pPr>
        <w:keepNext/>
        <w:keepLines/>
        <w:tabs>
          <w:tab w:val="left" w:pos="851"/>
        </w:tabs>
        <w:spacing w:before="360" w:after="200"/>
        <w:outlineLvl w:val="2"/>
        <w:rPr>
          <w:rFonts w:ascii="Franklin Gothic Medium" w:eastAsia="SimSun" w:hAnsi="Franklin Gothic Medium"/>
          <w:szCs w:val="24"/>
          <w:lang w:eastAsia="en-US"/>
        </w:rPr>
      </w:pPr>
      <w:bookmarkStart w:id="5" w:name="_Hlk90297470"/>
      <w:r w:rsidRPr="00814C77">
        <w:rPr>
          <w:rFonts w:ascii="Franklin Gothic Medium" w:eastAsia="SimSun" w:hAnsi="Franklin Gothic Medium"/>
          <w:szCs w:val="24"/>
          <w:lang w:eastAsia="en-US"/>
        </w:rPr>
        <w:t>Other discussion</w:t>
      </w:r>
    </w:p>
    <w:bookmarkEnd w:id="5"/>
    <w:p w14:paraId="089C4C74" w14:textId="15A09313" w:rsidR="00C82EA5" w:rsidRDefault="00DF2AF3" w:rsidP="00A63BF1">
      <w:pPr>
        <w:spacing w:before="120" w:line="259" w:lineRule="auto"/>
        <w:rPr>
          <w:rFonts w:ascii="Franklin Gothic Book" w:eastAsia="Calibri" w:hAnsi="Franklin Gothic Book"/>
          <w:sz w:val="22"/>
          <w:szCs w:val="22"/>
          <w:lang w:eastAsia="en-US"/>
        </w:rPr>
      </w:pPr>
      <w:r w:rsidRPr="00692407">
        <w:rPr>
          <w:rFonts w:ascii="Franklin Gothic Book" w:eastAsia="Calibri" w:hAnsi="Franklin Gothic Book"/>
          <w:sz w:val="22"/>
          <w:szCs w:val="22"/>
          <w:lang w:eastAsia="en-US"/>
        </w:rPr>
        <w:t>MSAC noted that Cochrane reviews from Machado et al (2016)</w:t>
      </w:r>
      <w:r>
        <w:rPr>
          <w:rStyle w:val="FootnoteReference"/>
          <w:rFonts w:ascii="Franklin Gothic Book" w:eastAsia="Calibri" w:hAnsi="Franklin Gothic Book"/>
          <w:sz w:val="22"/>
          <w:szCs w:val="22"/>
          <w:lang w:eastAsia="en-US"/>
        </w:rPr>
        <w:footnoteReference w:id="5"/>
      </w:r>
      <w:r w:rsidRPr="00692407">
        <w:rPr>
          <w:rFonts w:ascii="Franklin Gothic Book" w:eastAsia="Calibri" w:hAnsi="Franklin Gothic Book"/>
          <w:sz w:val="22"/>
          <w:szCs w:val="22"/>
          <w:lang w:eastAsia="en-US"/>
        </w:rPr>
        <w:t xml:space="preserve"> and Zaina (2016)</w:t>
      </w:r>
      <w:r>
        <w:rPr>
          <w:rStyle w:val="FootnoteReference"/>
          <w:rFonts w:ascii="Franklin Gothic Book" w:eastAsia="Calibri" w:hAnsi="Franklin Gothic Book"/>
          <w:sz w:val="22"/>
          <w:szCs w:val="22"/>
          <w:lang w:eastAsia="en-US"/>
        </w:rPr>
        <w:footnoteReference w:id="6"/>
      </w:r>
      <w:r w:rsidRPr="00692407">
        <w:rPr>
          <w:rFonts w:ascii="Franklin Gothic Book" w:eastAsia="Calibri" w:hAnsi="Franklin Gothic Book"/>
          <w:sz w:val="22"/>
          <w:szCs w:val="22"/>
          <w:lang w:eastAsia="en-US"/>
        </w:rPr>
        <w:t xml:space="preserve"> suggest there are no clear benefits of surgery compared to non-surgical treatment, while an additional trial by Delitto et al. (2015)</w:t>
      </w:r>
      <w:r>
        <w:rPr>
          <w:rStyle w:val="FootnoteReference"/>
          <w:rFonts w:ascii="Franklin Gothic Book" w:eastAsia="Calibri" w:hAnsi="Franklin Gothic Book"/>
          <w:sz w:val="22"/>
          <w:szCs w:val="22"/>
          <w:lang w:eastAsia="en-US"/>
        </w:rPr>
        <w:footnoteReference w:id="7"/>
      </w:r>
      <w:r w:rsidRPr="00692407">
        <w:rPr>
          <w:rFonts w:ascii="Franklin Gothic Book" w:eastAsia="Calibri" w:hAnsi="Franklin Gothic Book"/>
          <w:sz w:val="22"/>
          <w:szCs w:val="22"/>
          <w:lang w:eastAsia="en-US"/>
        </w:rPr>
        <w:t xml:space="preserve"> showed there are no benefits of surgery over conservative treatment. </w:t>
      </w:r>
      <w:r w:rsidR="007D38B5">
        <w:rPr>
          <w:rFonts w:ascii="Franklin Gothic Book" w:eastAsia="Calibri" w:hAnsi="Franklin Gothic Book"/>
          <w:sz w:val="22"/>
          <w:szCs w:val="22"/>
          <w:lang w:eastAsia="en-US"/>
        </w:rPr>
        <w:t xml:space="preserve">Thus, </w:t>
      </w:r>
      <w:r w:rsidR="007D38B5" w:rsidRPr="00692407">
        <w:rPr>
          <w:rFonts w:ascii="Franklin Gothic Book" w:eastAsia="Calibri" w:hAnsi="Franklin Gothic Book"/>
          <w:sz w:val="22"/>
          <w:szCs w:val="22"/>
          <w:lang w:eastAsia="en-US"/>
        </w:rPr>
        <w:t xml:space="preserve">MSAC considered there to be uncertainty about the </w:t>
      </w:r>
      <w:r w:rsidR="007D38B5">
        <w:rPr>
          <w:rFonts w:ascii="Franklin Gothic Book" w:eastAsia="Calibri" w:hAnsi="Franklin Gothic Book"/>
          <w:sz w:val="22"/>
          <w:szCs w:val="22"/>
          <w:lang w:eastAsia="en-US"/>
        </w:rPr>
        <w:t xml:space="preserve">comparative </w:t>
      </w:r>
      <w:r w:rsidR="007D38B5" w:rsidRPr="00692407">
        <w:rPr>
          <w:rFonts w:ascii="Franklin Gothic Book" w:eastAsia="Calibri" w:hAnsi="Franklin Gothic Book"/>
          <w:sz w:val="22"/>
          <w:szCs w:val="22"/>
          <w:lang w:eastAsia="en-US"/>
        </w:rPr>
        <w:t>benefit of any type of surgical LSS treatment</w:t>
      </w:r>
      <w:r w:rsidR="00B47D72">
        <w:rPr>
          <w:rFonts w:ascii="Franklin Gothic Book" w:eastAsia="Calibri" w:hAnsi="Franklin Gothic Book"/>
          <w:sz w:val="22"/>
          <w:szCs w:val="22"/>
          <w:lang w:eastAsia="en-US"/>
        </w:rPr>
        <w:t xml:space="preserve">, </w:t>
      </w:r>
      <w:r w:rsidR="007D38B5" w:rsidRPr="00692407">
        <w:rPr>
          <w:rFonts w:ascii="Franklin Gothic Book" w:eastAsia="Calibri" w:hAnsi="Franklin Gothic Book"/>
          <w:sz w:val="22"/>
          <w:szCs w:val="22"/>
          <w:lang w:eastAsia="en-US"/>
        </w:rPr>
        <w:t>when</w:t>
      </w:r>
      <w:r w:rsidR="007D38B5">
        <w:rPr>
          <w:rFonts w:ascii="Franklin Gothic Book" w:eastAsia="Calibri" w:hAnsi="Franklin Gothic Book"/>
          <w:sz w:val="22"/>
          <w:szCs w:val="22"/>
          <w:lang w:eastAsia="en-US"/>
        </w:rPr>
        <w:t xml:space="preserve"> considering</w:t>
      </w:r>
      <w:r w:rsidR="007D38B5" w:rsidRPr="00692407">
        <w:rPr>
          <w:rFonts w:ascii="Franklin Gothic Book" w:eastAsia="Calibri" w:hAnsi="Franklin Gothic Book"/>
          <w:sz w:val="22"/>
          <w:szCs w:val="22"/>
          <w:lang w:eastAsia="en-US"/>
        </w:rPr>
        <w:t xml:space="preserve"> the potential risk of harm.</w:t>
      </w:r>
      <w:r w:rsidR="002123CC">
        <w:rPr>
          <w:rFonts w:ascii="Franklin Gothic Book" w:eastAsia="Calibri" w:hAnsi="Franklin Gothic Book"/>
          <w:sz w:val="22"/>
          <w:szCs w:val="22"/>
          <w:lang w:eastAsia="en-US"/>
        </w:rPr>
        <w:t xml:space="preserve"> In particular, MSAC </w:t>
      </w:r>
      <w:r w:rsidR="00E03F9D">
        <w:rPr>
          <w:rFonts w:ascii="Franklin Gothic Book" w:eastAsia="Calibri" w:hAnsi="Franklin Gothic Book"/>
          <w:sz w:val="22"/>
          <w:szCs w:val="22"/>
          <w:lang w:eastAsia="en-US"/>
        </w:rPr>
        <w:t xml:space="preserve">considered that decompression and </w:t>
      </w:r>
      <w:r w:rsidR="002123CC" w:rsidRPr="002123CC">
        <w:rPr>
          <w:rFonts w:ascii="Franklin Gothic Book" w:eastAsia="Calibri" w:hAnsi="Franklin Gothic Book"/>
          <w:sz w:val="22"/>
          <w:szCs w:val="22"/>
          <w:lang w:eastAsia="en-US"/>
        </w:rPr>
        <w:t xml:space="preserve">fusion </w:t>
      </w:r>
      <w:r w:rsidR="00235BBA">
        <w:rPr>
          <w:rFonts w:ascii="Franklin Gothic Book" w:eastAsia="Calibri" w:hAnsi="Franklin Gothic Book"/>
          <w:sz w:val="22"/>
          <w:szCs w:val="22"/>
          <w:lang w:eastAsia="en-US"/>
        </w:rPr>
        <w:t>has not been shown to be superior</w:t>
      </w:r>
      <w:r w:rsidR="002123CC" w:rsidRPr="002123CC">
        <w:rPr>
          <w:rFonts w:ascii="Franklin Gothic Book" w:eastAsia="Calibri" w:hAnsi="Franklin Gothic Book"/>
          <w:sz w:val="22"/>
          <w:szCs w:val="22"/>
          <w:lang w:eastAsia="en-US"/>
        </w:rPr>
        <w:t xml:space="preserve"> over decompression alone but </w:t>
      </w:r>
      <w:r w:rsidR="00360275">
        <w:rPr>
          <w:rFonts w:ascii="Franklin Gothic Book" w:eastAsia="Calibri" w:hAnsi="Franklin Gothic Book"/>
          <w:sz w:val="22"/>
          <w:szCs w:val="22"/>
          <w:lang w:eastAsia="en-US"/>
        </w:rPr>
        <w:t xml:space="preserve">may </w:t>
      </w:r>
      <w:r w:rsidR="002123CC" w:rsidRPr="002123CC">
        <w:rPr>
          <w:rFonts w:ascii="Franklin Gothic Book" w:eastAsia="Calibri" w:hAnsi="Franklin Gothic Book"/>
          <w:sz w:val="22"/>
          <w:szCs w:val="22"/>
          <w:lang w:eastAsia="en-US"/>
        </w:rPr>
        <w:t>increase</w:t>
      </w:r>
      <w:r w:rsidR="00360275">
        <w:rPr>
          <w:rFonts w:ascii="Franklin Gothic Book" w:eastAsia="Calibri" w:hAnsi="Franklin Gothic Book"/>
          <w:sz w:val="22"/>
          <w:szCs w:val="22"/>
          <w:lang w:eastAsia="en-US"/>
        </w:rPr>
        <w:t xml:space="preserve"> the</w:t>
      </w:r>
      <w:r w:rsidR="002123CC" w:rsidRPr="002123CC">
        <w:rPr>
          <w:rFonts w:ascii="Franklin Gothic Book" w:eastAsia="Calibri" w:hAnsi="Franklin Gothic Book"/>
          <w:sz w:val="22"/>
          <w:szCs w:val="22"/>
          <w:lang w:eastAsia="en-US"/>
        </w:rPr>
        <w:t xml:space="preserve"> risks</w:t>
      </w:r>
      <w:r w:rsidR="00E03F9D">
        <w:rPr>
          <w:rFonts w:ascii="Franklin Gothic Book" w:eastAsia="Calibri" w:hAnsi="Franklin Gothic Book"/>
          <w:sz w:val="22"/>
          <w:szCs w:val="22"/>
          <w:lang w:eastAsia="en-US"/>
        </w:rPr>
        <w:t>.</w:t>
      </w:r>
      <w:r w:rsidR="002123CC" w:rsidRPr="002123CC">
        <w:rPr>
          <w:rFonts w:ascii="Franklin Gothic Book" w:eastAsia="Calibri" w:hAnsi="Franklin Gothic Book"/>
          <w:sz w:val="22"/>
          <w:szCs w:val="22"/>
          <w:lang w:eastAsia="en-US"/>
        </w:rPr>
        <w:t xml:space="preserve"> </w:t>
      </w:r>
      <w:bookmarkStart w:id="6" w:name="_Hlk90303029"/>
      <w:r w:rsidR="00C82EA5">
        <w:rPr>
          <w:rFonts w:ascii="Franklin Gothic Book" w:eastAsia="Calibri" w:hAnsi="Franklin Gothic Book"/>
          <w:sz w:val="22"/>
          <w:szCs w:val="22"/>
          <w:lang w:eastAsia="en-US"/>
        </w:rPr>
        <w:t>This made it difficult to assess the value proposition of IDS versus surgical comparators already funded on the MBS.</w:t>
      </w:r>
      <w:bookmarkEnd w:id="6"/>
    </w:p>
    <w:p w14:paraId="12E5062A" w14:textId="558B208F" w:rsidR="00B47D72" w:rsidRPr="00692407" w:rsidRDefault="00C82EA5" w:rsidP="00A63BF1">
      <w:pPr>
        <w:spacing w:before="120" w:line="259" w:lineRule="auto"/>
        <w:rPr>
          <w:rFonts w:ascii="Franklin Gothic Book" w:eastAsia="Calibri" w:hAnsi="Franklin Gothic Book"/>
          <w:sz w:val="22"/>
          <w:szCs w:val="22"/>
          <w:lang w:eastAsia="en-US"/>
        </w:rPr>
      </w:pPr>
      <w:bookmarkStart w:id="7" w:name="_Hlk90303820"/>
      <w:r>
        <w:rPr>
          <w:rFonts w:ascii="Franklin Gothic Book" w:eastAsia="Calibri" w:hAnsi="Franklin Gothic Book"/>
          <w:sz w:val="22"/>
          <w:szCs w:val="22"/>
          <w:lang w:eastAsia="en-US"/>
        </w:rPr>
        <w:t xml:space="preserve">MSAC noted that </w:t>
      </w:r>
      <w:r w:rsidR="007611E5">
        <w:rPr>
          <w:rFonts w:ascii="Franklin Gothic Book" w:eastAsia="Calibri" w:hAnsi="Franklin Gothic Book"/>
          <w:sz w:val="22"/>
          <w:szCs w:val="22"/>
          <w:lang w:eastAsia="en-US"/>
        </w:rPr>
        <w:t>the Surgery for Spinal Stenosis trial (</w:t>
      </w:r>
      <w:r w:rsidR="007611E5" w:rsidRPr="00FE71A9">
        <w:rPr>
          <w:rFonts w:ascii="Franklin Gothic Book" w:eastAsia="Calibri" w:hAnsi="Franklin Gothic Book"/>
          <w:sz w:val="22"/>
          <w:szCs w:val="22"/>
          <w:lang w:eastAsia="en-US"/>
        </w:rPr>
        <w:t>SUcceSS</w:t>
      </w:r>
      <w:r w:rsidR="007611E5">
        <w:rPr>
          <w:rFonts w:ascii="Franklin Gothic Book" w:eastAsia="Calibri" w:hAnsi="Franklin Gothic Book"/>
          <w:sz w:val="22"/>
          <w:szCs w:val="22"/>
          <w:lang w:eastAsia="en-US"/>
        </w:rPr>
        <w:t xml:space="preserve">; </w:t>
      </w:r>
      <w:hyperlink r:id="rId10" w:history="1">
        <w:r w:rsidR="007611E5" w:rsidRPr="007611E5">
          <w:rPr>
            <w:rStyle w:val="Hyperlink"/>
            <w:rFonts w:ascii="Franklin Gothic Book" w:eastAsia="Calibri" w:hAnsi="Franklin Gothic Book"/>
            <w:sz w:val="22"/>
            <w:szCs w:val="22"/>
            <w:lang w:eastAsia="en-US"/>
          </w:rPr>
          <w:t>ANZCTRN12617000884303</w:t>
        </w:r>
      </w:hyperlink>
      <w:r w:rsidR="007611E5">
        <w:rPr>
          <w:rFonts w:ascii="Franklin Gothic Book" w:eastAsia="Calibri" w:hAnsi="Franklin Gothic Book"/>
          <w:sz w:val="22"/>
          <w:szCs w:val="22"/>
          <w:lang w:eastAsia="en-US"/>
        </w:rPr>
        <w:t xml:space="preserve">) was an upcoming randomised placebo-controlled trial comparing surgical decompression versus placebo surgery on walking capacity and function (primary outcomes) over 2 years in patients with LSS. MSAC noted key inclusion criteria </w:t>
      </w:r>
      <w:r w:rsidR="008664B7">
        <w:rPr>
          <w:rFonts w:ascii="Franklin Gothic Book" w:eastAsia="Calibri" w:hAnsi="Franklin Gothic Book"/>
          <w:sz w:val="22"/>
          <w:szCs w:val="22"/>
          <w:lang w:eastAsia="en-US"/>
        </w:rPr>
        <w:t xml:space="preserve">were </w:t>
      </w:r>
      <w:r w:rsidR="007611E5">
        <w:rPr>
          <w:rFonts w:ascii="Franklin Gothic Book" w:eastAsia="Calibri" w:hAnsi="Franklin Gothic Book"/>
          <w:sz w:val="22"/>
          <w:szCs w:val="22"/>
          <w:lang w:eastAsia="en-US"/>
        </w:rPr>
        <w:t>neurogenic claudication for at least 3 months and patients having grades C or D stenosis as defined by Schizas (2010).</w:t>
      </w:r>
      <w:r w:rsidR="00A14C04">
        <w:rPr>
          <w:rFonts w:ascii="Franklin Gothic Book" w:eastAsia="Calibri" w:hAnsi="Franklin Gothic Book"/>
          <w:sz w:val="22"/>
          <w:szCs w:val="22"/>
          <w:lang w:eastAsia="en-US"/>
        </w:rPr>
        <w:t xml:space="preserve"> MSAC considered it might be informative to see these results</w:t>
      </w:r>
      <w:r w:rsidR="00F20F86">
        <w:rPr>
          <w:rFonts w:ascii="Franklin Gothic Book" w:eastAsia="Calibri" w:hAnsi="Franklin Gothic Book"/>
          <w:sz w:val="22"/>
          <w:szCs w:val="22"/>
          <w:lang w:eastAsia="en-US"/>
        </w:rPr>
        <w:t xml:space="preserve"> when available</w:t>
      </w:r>
      <w:r w:rsidR="00A14C04">
        <w:rPr>
          <w:rFonts w:ascii="Franklin Gothic Book" w:eastAsia="Calibri" w:hAnsi="Franklin Gothic Book"/>
          <w:sz w:val="22"/>
          <w:szCs w:val="22"/>
          <w:lang w:eastAsia="en-US"/>
        </w:rPr>
        <w:t>.</w:t>
      </w:r>
      <w:bookmarkEnd w:id="7"/>
    </w:p>
    <w:p w14:paraId="6AD60EA4" w14:textId="1BAE595E" w:rsidR="00986EC1" w:rsidRPr="00986EC1" w:rsidRDefault="00930B23" w:rsidP="00986EC1">
      <w:pPr>
        <w:keepNext/>
        <w:keepLines/>
        <w:spacing w:before="360" w:after="240"/>
        <w:outlineLvl w:val="1"/>
        <w:rPr>
          <w:rFonts w:ascii="Franklin Gothic Medium" w:eastAsia="SimSun" w:hAnsi="Franklin Gothic Medium"/>
          <w:color w:val="000000"/>
          <w:sz w:val="32"/>
          <w:szCs w:val="26"/>
          <w:lang w:eastAsia="en-US"/>
        </w:rPr>
      </w:pPr>
      <w:bookmarkStart w:id="8" w:name="_Toc69491416"/>
      <w:bookmarkEnd w:id="2"/>
      <w:r>
        <w:rPr>
          <w:rFonts w:ascii="Franklin Gothic Medium" w:eastAsia="SimSun" w:hAnsi="Franklin Gothic Medium"/>
          <w:color w:val="000000"/>
          <w:sz w:val="32"/>
          <w:szCs w:val="26"/>
          <w:lang w:eastAsia="en-US"/>
        </w:rPr>
        <w:t>4</w:t>
      </w:r>
      <w:r w:rsidR="00986EC1" w:rsidRPr="00986EC1">
        <w:rPr>
          <w:rFonts w:ascii="Franklin Gothic Medium" w:eastAsia="SimSun" w:hAnsi="Franklin Gothic Medium"/>
          <w:color w:val="000000"/>
          <w:sz w:val="32"/>
          <w:szCs w:val="26"/>
          <w:lang w:eastAsia="en-US"/>
        </w:rPr>
        <w:t>.</w:t>
      </w:r>
      <w:r w:rsidR="00986EC1" w:rsidRPr="00986EC1">
        <w:rPr>
          <w:rFonts w:ascii="Franklin Gothic Medium" w:eastAsia="SimSun" w:hAnsi="Franklin Gothic Medium"/>
          <w:color w:val="000000"/>
          <w:sz w:val="32"/>
          <w:szCs w:val="26"/>
          <w:lang w:eastAsia="en-US"/>
        </w:rPr>
        <w:tab/>
        <w:t>Background</w:t>
      </w:r>
      <w:bookmarkEnd w:id="8"/>
    </w:p>
    <w:p w14:paraId="30FC9FAB"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bookmarkStart w:id="9" w:name="_Hlk69734494"/>
      <w:r w:rsidRPr="00986EC1">
        <w:rPr>
          <w:rFonts w:ascii="Franklin Gothic Book" w:eastAsia="Calibri" w:hAnsi="Franklin Gothic Book"/>
          <w:sz w:val="22"/>
          <w:szCs w:val="22"/>
          <w:lang w:eastAsia="en-US"/>
        </w:rPr>
        <w:t>MSAC has considered IDS devices on two previous occasions, neither of which were recommended for funding through the MBS.</w:t>
      </w:r>
    </w:p>
    <w:p w14:paraId="668620C9"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 xml:space="preserve">MSAC Application 1099 assessed the safety, effectiveness and cost-effectiveness of a number of lumbar non-fusion posterior stabilisation devices compared to decompression surgery alone and decompression surgery </w:t>
      </w:r>
      <w:r w:rsidRPr="00986EC1">
        <w:rPr>
          <w:rFonts w:ascii="Franklin Gothic Book" w:eastAsia="Calibri" w:hAnsi="Franklin Gothic Book" w:cs="Calibri"/>
          <w:sz w:val="22"/>
          <w:szCs w:val="22"/>
          <w:lang w:eastAsia="en-US"/>
        </w:rPr>
        <w:t>with or without</w:t>
      </w:r>
      <w:r w:rsidRPr="00986EC1">
        <w:rPr>
          <w:rFonts w:ascii="Franklin Gothic Book" w:eastAsia="Calibri" w:hAnsi="Franklin Gothic Book"/>
          <w:sz w:val="22"/>
          <w:szCs w:val="22"/>
          <w:lang w:eastAsia="en-US"/>
        </w:rPr>
        <w:t xml:space="preserve"> spinal fusion.</w:t>
      </w:r>
    </w:p>
    <w:p w14:paraId="42A4ABAA"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MSAC Application 1422 looked specifically at the safety, effectiveness and cost-effectiveness of using the Coflex interlaminar stabilisation device in combination with decompression, compared to decompression combined with fusion surgery.</w:t>
      </w:r>
    </w:p>
    <w:p w14:paraId="425A8122" w14:textId="6C69F36E"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 xml:space="preserve">These applications differ from the current ADAR in that the included devices were predominately used in conjunction with decompression and the patient population included patients with more severe LSS and higher-grade spondylolisthesis. Key matters of concern are summarised in </w:t>
      </w:r>
      <w:r w:rsidRPr="00986EC1">
        <w:rPr>
          <w:rFonts w:ascii="Franklin Gothic Book" w:eastAsia="Calibri" w:hAnsi="Franklin Gothic Book"/>
          <w:sz w:val="22"/>
          <w:szCs w:val="22"/>
          <w:lang w:eastAsia="en-US"/>
        </w:rPr>
        <w:fldChar w:fldCharType="begin"/>
      </w:r>
      <w:r w:rsidRPr="00986EC1">
        <w:rPr>
          <w:rFonts w:ascii="Franklin Gothic Book" w:eastAsia="Calibri" w:hAnsi="Franklin Gothic Book"/>
          <w:sz w:val="22"/>
          <w:szCs w:val="22"/>
          <w:lang w:eastAsia="en-US"/>
        </w:rPr>
        <w:instrText xml:space="preserve"> REF _Ref69480768 \h </w:instrText>
      </w:r>
      <w:r w:rsidR="00082699">
        <w:rPr>
          <w:rFonts w:ascii="Franklin Gothic Book" w:eastAsia="Calibri" w:hAnsi="Franklin Gothic Book"/>
          <w:sz w:val="22"/>
          <w:szCs w:val="22"/>
          <w:lang w:eastAsia="en-US"/>
        </w:rPr>
        <w:instrText xml:space="preserve"> \* MERGEFORMAT </w:instrText>
      </w:r>
      <w:r w:rsidRPr="00986EC1">
        <w:rPr>
          <w:rFonts w:ascii="Franklin Gothic Book" w:eastAsia="Calibri" w:hAnsi="Franklin Gothic Book"/>
          <w:sz w:val="22"/>
          <w:szCs w:val="22"/>
          <w:lang w:eastAsia="en-US"/>
        </w:rPr>
      </w:r>
      <w:r w:rsidRPr="00986EC1">
        <w:rPr>
          <w:rFonts w:ascii="Franklin Gothic Book" w:eastAsia="Calibri" w:hAnsi="Franklin Gothic Book"/>
          <w:sz w:val="22"/>
          <w:szCs w:val="22"/>
          <w:lang w:eastAsia="en-US"/>
        </w:rPr>
        <w:fldChar w:fldCharType="separate"/>
      </w:r>
      <w:r w:rsidR="00EE4CB3" w:rsidRPr="00EE4CB3">
        <w:rPr>
          <w:rFonts w:ascii="Franklin Gothic Book" w:eastAsia="Calibri" w:hAnsi="Franklin Gothic Book"/>
          <w:sz w:val="22"/>
          <w:szCs w:val="22"/>
          <w:lang w:eastAsia="en-US"/>
        </w:rPr>
        <w:t>Table 1</w:t>
      </w:r>
      <w:r w:rsidRPr="00986EC1">
        <w:rPr>
          <w:rFonts w:ascii="Franklin Gothic Book" w:eastAsia="Calibri" w:hAnsi="Franklin Gothic Book"/>
          <w:sz w:val="22"/>
          <w:szCs w:val="22"/>
          <w:lang w:eastAsia="en-US"/>
        </w:rPr>
        <w:fldChar w:fldCharType="end"/>
      </w:r>
      <w:r w:rsidRPr="00986EC1">
        <w:rPr>
          <w:rFonts w:ascii="Franklin Gothic Book" w:eastAsia="Calibri" w:hAnsi="Franklin Gothic Book"/>
          <w:sz w:val="22"/>
          <w:szCs w:val="22"/>
          <w:lang w:eastAsia="en-US"/>
        </w:rPr>
        <w:t>.</w:t>
      </w:r>
    </w:p>
    <w:p w14:paraId="2518D02B" w14:textId="1D8443C4" w:rsidR="00986EC1" w:rsidRPr="00986EC1" w:rsidRDefault="00986EC1" w:rsidP="00986EC1">
      <w:pPr>
        <w:keepNext/>
        <w:spacing w:before="360" w:after="120"/>
        <w:ind w:left="794" w:hanging="794"/>
        <w:rPr>
          <w:rFonts w:ascii="Arial Narrow" w:hAnsi="Arial Narrow"/>
          <w:b/>
          <w:bCs/>
          <w:sz w:val="20"/>
          <w:lang w:eastAsia="en-US"/>
        </w:rPr>
      </w:pPr>
      <w:bookmarkStart w:id="10" w:name="_Ref69480768"/>
      <w:bookmarkStart w:id="11" w:name="_Hlk69734557"/>
      <w:bookmarkEnd w:id="9"/>
      <w:r w:rsidRPr="00986EC1">
        <w:rPr>
          <w:rFonts w:ascii="Arial Narrow" w:hAnsi="Arial Narrow"/>
          <w:b/>
          <w:bCs/>
          <w:sz w:val="20"/>
          <w:lang w:eastAsia="en-US"/>
        </w:rPr>
        <w:lastRenderedPageBreak/>
        <w:t>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1</w:t>
      </w:r>
      <w:r w:rsidRPr="00986EC1">
        <w:rPr>
          <w:rFonts w:ascii="Arial Narrow" w:hAnsi="Arial Narrow"/>
          <w:b/>
          <w:bCs/>
          <w:noProof/>
          <w:sz w:val="20"/>
          <w:lang w:eastAsia="en-US"/>
        </w:rPr>
        <w:fldChar w:fldCharType="end"/>
      </w:r>
      <w:bookmarkEnd w:id="10"/>
      <w:r w:rsidRPr="00986EC1">
        <w:rPr>
          <w:rFonts w:ascii="Arial Narrow" w:hAnsi="Arial Narrow"/>
          <w:b/>
          <w:bCs/>
          <w:sz w:val="20"/>
          <w:lang w:eastAsia="en-US"/>
        </w:rPr>
        <w:tab/>
        <w:t>Summary of key matters of concern</w:t>
      </w:r>
    </w:p>
    <w:tbl>
      <w:tblPr>
        <w:tblStyle w:val="OPTUMTableNormal"/>
        <w:tblW w:w="5000" w:type="pct"/>
        <w:tblLook w:val="04A0" w:firstRow="1" w:lastRow="0" w:firstColumn="1" w:lastColumn="0" w:noHBand="0" w:noVBand="1"/>
        <w:tblDescription w:val="Summary of key matters of concern"/>
      </w:tblPr>
      <w:tblGrid>
        <w:gridCol w:w="1837"/>
        <w:gridCol w:w="3969"/>
        <w:gridCol w:w="3210"/>
      </w:tblGrid>
      <w:tr w:rsidR="00986EC1" w:rsidRPr="00986EC1" w14:paraId="51BD1C93" w14:textId="77777777" w:rsidTr="00203BA7">
        <w:trPr>
          <w:cnfStyle w:val="100000000000" w:firstRow="1" w:lastRow="0" w:firstColumn="0" w:lastColumn="0" w:oddVBand="0" w:evenVBand="0" w:oddHBand="0" w:evenHBand="0" w:firstRowFirstColumn="0" w:firstRowLastColumn="0" w:lastRowFirstColumn="0" w:lastRowLastColumn="0"/>
        </w:trPr>
        <w:tc>
          <w:tcPr>
            <w:tcW w:w="1019" w:type="pct"/>
          </w:tcPr>
          <w:p w14:paraId="43F6BACB" w14:textId="77777777" w:rsidR="00986EC1" w:rsidRPr="00986EC1" w:rsidRDefault="00986EC1" w:rsidP="00986EC1">
            <w:pPr>
              <w:keepNext/>
              <w:rPr>
                <w:rFonts w:ascii="Arial Narrow" w:eastAsia="SimSun" w:hAnsi="Arial Narrow"/>
                <w:b/>
                <w:sz w:val="20"/>
                <w:szCs w:val="24"/>
                <w:lang w:val="en-US"/>
              </w:rPr>
            </w:pPr>
            <w:bookmarkStart w:id="12" w:name="ColumnTitle_Table1"/>
            <w:bookmarkStart w:id="13" w:name="_Hlk68275590"/>
            <w:bookmarkEnd w:id="12"/>
            <w:r w:rsidRPr="00986EC1">
              <w:rPr>
                <w:rFonts w:ascii="Arial Narrow" w:eastAsia="SimSun" w:hAnsi="Arial Narrow"/>
                <w:b/>
                <w:sz w:val="20"/>
                <w:szCs w:val="24"/>
                <w:lang w:val="en-US"/>
              </w:rPr>
              <w:t>Component</w:t>
            </w:r>
          </w:p>
        </w:tc>
        <w:tc>
          <w:tcPr>
            <w:tcW w:w="2201" w:type="pct"/>
          </w:tcPr>
          <w:p w14:paraId="6B68C7EC" w14:textId="77777777" w:rsidR="00986EC1" w:rsidRPr="00986EC1" w:rsidRDefault="00986EC1" w:rsidP="00986EC1">
            <w:pPr>
              <w:keepNext/>
              <w:rPr>
                <w:rFonts w:ascii="Arial Narrow" w:eastAsia="SimSun" w:hAnsi="Arial Narrow"/>
                <w:b/>
                <w:sz w:val="20"/>
                <w:szCs w:val="24"/>
                <w:lang w:val="en-US"/>
              </w:rPr>
            </w:pPr>
            <w:r w:rsidRPr="00986EC1">
              <w:rPr>
                <w:rFonts w:ascii="Arial Narrow" w:eastAsia="SimSun" w:hAnsi="Arial Narrow"/>
                <w:b/>
                <w:sz w:val="20"/>
                <w:szCs w:val="24"/>
                <w:lang w:val="en-US"/>
              </w:rPr>
              <w:t>Matter of concern</w:t>
            </w:r>
          </w:p>
        </w:tc>
        <w:tc>
          <w:tcPr>
            <w:tcW w:w="1780" w:type="pct"/>
          </w:tcPr>
          <w:p w14:paraId="2DCAA232" w14:textId="77777777" w:rsidR="00986EC1" w:rsidRPr="00986EC1" w:rsidRDefault="00986EC1" w:rsidP="00986EC1">
            <w:pPr>
              <w:keepNext/>
              <w:rPr>
                <w:rFonts w:ascii="Arial Narrow" w:eastAsia="SimSun" w:hAnsi="Arial Narrow"/>
                <w:b/>
                <w:sz w:val="20"/>
                <w:szCs w:val="24"/>
                <w:lang w:val="en-US"/>
              </w:rPr>
            </w:pPr>
            <w:r w:rsidRPr="00986EC1">
              <w:rPr>
                <w:rFonts w:ascii="Arial Narrow" w:eastAsia="SimSun" w:hAnsi="Arial Narrow"/>
                <w:b/>
                <w:sz w:val="20"/>
                <w:szCs w:val="24"/>
                <w:lang w:val="en-US"/>
              </w:rPr>
              <w:t>How the current assessment report addresses it</w:t>
            </w:r>
          </w:p>
        </w:tc>
      </w:tr>
      <w:tr w:rsidR="00986EC1" w:rsidRPr="00986EC1" w14:paraId="25440E2C" w14:textId="77777777" w:rsidTr="00203BA7">
        <w:tc>
          <w:tcPr>
            <w:tcW w:w="1019" w:type="pct"/>
          </w:tcPr>
          <w:p w14:paraId="5EFE0705"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Cost considerations </w:t>
            </w:r>
          </w:p>
          <w:p w14:paraId="52603FEE" w14:textId="701AA215" w:rsidR="00986EC1" w:rsidRPr="00986EC1" w:rsidRDefault="00646540" w:rsidP="00986EC1">
            <w:pPr>
              <w:spacing w:after="40"/>
              <w:rPr>
                <w:rFonts w:ascii="Arial Narrow" w:eastAsia="Calibri" w:hAnsi="Arial Narrow"/>
                <w:sz w:val="20"/>
                <w:szCs w:val="22"/>
                <w:lang w:eastAsia="en-US"/>
              </w:rPr>
            </w:pPr>
            <w:hyperlink r:id="rId11" w:history="1">
              <w:r w:rsidR="00986EC1" w:rsidRPr="00986EC1">
                <w:rPr>
                  <w:rFonts w:ascii="Arial Narrow" w:eastAsia="Calibri" w:hAnsi="Arial Narrow"/>
                  <w:color w:val="0070C0"/>
                  <w:sz w:val="20"/>
                  <w:szCs w:val="22"/>
                  <w:u w:val="single"/>
                  <w:lang w:eastAsia="en-US"/>
                </w:rPr>
                <w:t>MSAC 1099 PSD</w:t>
              </w:r>
            </w:hyperlink>
          </w:p>
        </w:tc>
        <w:tc>
          <w:tcPr>
            <w:tcW w:w="2201" w:type="pct"/>
          </w:tcPr>
          <w:p w14:paraId="518163A1" w14:textId="77777777" w:rsidR="00986EC1" w:rsidRPr="00986EC1" w:rsidRDefault="00986EC1" w:rsidP="00986EC1">
            <w:pPr>
              <w:spacing w:after="40"/>
              <w:rPr>
                <w:rFonts w:ascii="Arial Narrow" w:eastAsia="Calibri" w:hAnsi="Arial Narrow"/>
                <w:snapToGrid w:val="0"/>
                <w:sz w:val="20"/>
                <w:szCs w:val="22"/>
                <w:lang w:eastAsia="en-US"/>
              </w:rPr>
            </w:pPr>
            <w:r w:rsidRPr="00986EC1">
              <w:rPr>
                <w:rFonts w:ascii="Arial Narrow" w:eastAsia="Calibri" w:hAnsi="Arial Narrow"/>
                <w:snapToGrid w:val="0"/>
                <w:sz w:val="20"/>
                <w:szCs w:val="22"/>
                <w:lang w:eastAsia="en-US"/>
              </w:rPr>
              <w:t>There was insufficient information on which to base a cost-effectiveness analysis.</w:t>
            </w:r>
            <w:r w:rsidRPr="00986EC1">
              <w:rPr>
                <w:rFonts w:ascii="Arial Narrow" w:eastAsia="Calibri" w:hAnsi="Arial Narrow"/>
                <w:sz w:val="20"/>
                <w:szCs w:val="22"/>
                <w:lang w:eastAsia="en-US"/>
              </w:rPr>
              <w:t xml:space="preserve"> </w:t>
            </w:r>
            <w:r w:rsidRPr="00986EC1">
              <w:rPr>
                <w:rFonts w:ascii="Arial Narrow" w:eastAsia="Calibri" w:hAnsi="Arial Narrow"/>
                <w:snapToGrid w:val="0"/>
                <w:sz w:val="20"/>
                <w:szCs w:val="22"/>
                <w:lang w:eastAsia="en-US"/>
              </w:rPr>
              <w:t>Non-fusion devices were estimated to cost $7,634 more per person than decompression surgery alone, and $10,875 less per person than fusion surgery (PSD, p.2).</w:t>
            </w:r>
          </w:p>
        </w:tc>
        <w:tc>
          <w:tcPr>
            <w:tcW w:w="1780" w:type="pct"/>
          </w:tcPr>
          <w:p w14:paraId="6BD7ECFB"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Not adequately addressed.</w:t>
            </w:r>
          </w:p>
          <w:p w14:paraId="55AB3CB0"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There is substantial new clinical evidence presented however a cost-effectiveness analysis is not presented for the main comparator (laminectomy ± fusion).</w:t>
            </w:r>
          </w:p>
        </w:tc>
      </w:tr>
      <w:tr w:rsidR="00986EC1" w:rsidRPr="00986EC1" w14:paraId="7FA8B730" w14:textId="77777777" w:rsidTr="00203BA7">
        <w:tc>
          <w:tcPr>
            <w:tcW w:w="1019" w:type="pct"/>
          </w:tcPr>
          <w:p w14:paraId="3EE0667B"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Comparator</w:t>
            </w:r>
          </w:p>
          <w:p w14:paraId="41C854E0" w14:textId="48C8E24F" w:rsidR="00986EC1" w:rsidRPr="00986EC1" w:rsidRDefault="00646540" w:rsidP="00986EC1">
            <w:pPr>
              <w:spacing w:after="40"/>
              <w:rPr>
                <w:rFonts w:ascii="Arial Narrow" w:eastAsia="Calibri" w:hAnsi="Arial Narrow"/>
                <w:sz w:val="20"/>
                <w:szCs w:val="22"/>
                <w:lang w:eastAsia="en-US"/>
              </w:rPr>
            </w:pPr>
            <w:hyperlink r:id="rId12" w:history="1">
              <w:r w:rsidR="00986EC1" w:rsidRPr="00986EC1">
                <w:rPr>
                  <w:rFonts w:ascii="Arial Narrow" w:eastAsia="Calibri" w:hAnsi="Arial Narrow"/>
                  <w:color w:val="0070C0"/>
                  <w:sz w:val="20"/>
                  <w:szCs w:val="22"/>
                  <w:u w:val="single"/>
                  <w:lang w:eastAsia="en-US"/>
                </w:rPr>
                <w:t>MSAC 1422 PSD</w:t>
              </w:r>
            </w:hyperlink>
          </w:p>
        </w:tc>
        <w:tc>
          <w:tcPr>
            <w:tcW w:w="2201" w:type="pct"/>
          </w:tcPr>
          <w:p w14:paraId="3D6CE732" w14:textId="77777777" w:rsidR="00986EC1" w:rsidRPr="00986EC1" w:rsidRDefault="00986EC1" w:rsidP="00986EC1">
            <w:pPr>
              <w:spacing w:after="40"/>
              <w:rPr>
                <w:rFonts w:ascii="Arial Narrow" w:eastAsia="Calibri" w:hAnsi="Arial Narrow"/>
                <w:snapToGrid w:val="0"/>
                <w:sz w:val="20"/>
                <w:szCs w:val="22"/>
                <w:lang w:eastAsia="en-US"/>
              </w:rPr>
            </w:pPr>
            <w:r w:rsidRPr="00986EC1">
              <w:rPr>
                <w:rFonts w:ascii="Arial Narrow" w:eastAsia="Calibri" w:hAnsi="Arial Narrow"/>
                <w:snapToGrid w:val="0"/>
                <w:sz w:val="20"/>
                <w:szCs w:val="22"/>
                <w:lang w:eastAsia="en-US"/>
              </w:rPr>
              <w:t>MSAC noted that the submission only compared use of the device to decompression with fusion for people with lumbar spinal stenosis. MSAC noted that the PASC had asked that use of the device also be compared with decompression alone because of uncertainty about whether outcomes in people undergoing decompression and fusion were any better than outcomes in people undergoing decompression alone (PSD, p.2).</w:t>
            </w:r>
          </w:p>
          <w:p w14:paraId="15EE507E" w14:textId="77777777" w:rsidR="00986EC1" w:rsidRPr="00986EC1" w:rsidRDefault="00986EC1" w:rsidP="00986EC1">
            <w:pPr>
              <w:spacing w:after="40"/>
              <w:rPr>
                <w:rFonts w:ascii="Arial Narrow" w:eastAsia="Calibri" w:hAnsi="Arial Narrow"/>
                <w:snapToGrid w:val="0"/>
                <w:sz w:val="20"/>
                <w:szCs w:val="22"/>
                <w:lang w:eastAsia="en-US"/>
              </w:rPr>
            </w:pPr>
            <w:r w:rsidRPr="00986EC1">
              <w:rPr>
                <w:rFonts w:ascii="Arial Narrow" w:eastAsia="Calibri" w:hAnsi="Arial Narrow"/>
                <w:snapToGrid w:val="0"/>
                <w:sz w:val="20"/>
                <w:szCs w:val="22"/>
                <w:lang w:eastAsia="en-US"/>
              </w:rPr>
              <w:t>MSAC</w:t>
            </w:r>
            <w:r w:rsidRPr="00986EC1">
              <w:rPr>
                <w:rFonts w:ascii="Arial Narrow" w:eastAsia="Calibri" w:hAnsi="Arial Narrow"/>
                <w:sz w:val="20"/>
                <w:szCs w:val="22"/>
                <w:lang w:eastAsia="en-US"/>
              </w:rPr>
              <w:t xml:space="preserve"> </w:t>
            </w:r>
            <w:r w:rsidRPr="00986EC1">
              <w:rPr>
                <w:rFonts w:ascii="Arial Narrow" w:eastAsia="Calibri" w:hAnsi="Arial Narrow"/>
                <w:snapToGrid w:val="0"/>
                <w:sz w:val="20"/>
                <w:szCs w:val="22"/>
                <w:lang w:eastAsia="en-US"/>
              </w:rPr>
              <w:t>queried whether decompression and fusion should be funded on the MBS and requested an</w:t>
            </w:r>
            <w:r w:rsidRPr="00986EC1">
              <w:rPr>
                <w:rFonts w:ascii="Arial Narrow" w:eastAsia="Calibri" w:hAnsi="Arial Narrow"/>
                <w:sz w:val="20"/>
                <w:szCs w:val="22"/>
                <w:lang w:eastAsia="en-US"/>
              </w:rPr>
              <w:t xml:space="preserve"> </w:t>
            </w:r>
            <w:r w:rsidRPr="00986EC1">
              <w:rPr>
                <w:rFonts w:ascii="Arial Narrow" w:eastAsia="Calibri" w:hAnsi="Arial Narrow"/>
                <w:snapToGrid w:val="0"/>
                <w:sz w:val="20"/>
                <w:szCs w:val="22"/>
                <w:lang w:eastAsia="en-US"/>
              </w:rPr>
              <w:t>in-depth review of the evidence for decompression and fusion (PSD, p.2).</w:t>
            </w:r>
          </w:p>
        </w:tc>
        <w:tc>
          <w:tcPr>
            <w:tcW w:w="1780" w:type="pct"/>
          </w:tcPr>
          <w:p w14:paraId="7292B7C1"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Not adequately addressed</w:t>
            </w:r>
          </w:p>
          <w:p w14:paraId="01A059FC" w14:textId="5D9ED314"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The comparator is decompression with or without fusion. The final PICO summary table for the current application did specify ‘a weighted comparator of laminectomy with or without spinal fusion’ but also made the following statement ‘PASC considered that the justification of whether or not spinal fusion surgery as a standalone procedure was an appropriate comparator should also be considered in the assessment report.’ (</w:t>
            </w:r>
            <w:hyperlink r:id="rId13" w:history="1">
              <w:r w:rsidRPr="00986EC1">
                <w:rPr>
                  <w:rFonts w:ascii="Arial Narrow" w:eastAsia="Calibri" w:hAnsi="Arial Narrow"/>
                  <w:color w:val="0070C0"/>
                  <w:sz w:val="20"/>
                  <w:szCs w:val="22"/>
                  <w:u w:val="single"/>
                  <w:lang w:eastAsia="en-US"/>
                </w:rPr>
                <w:t>Ratified PICO Confirmation Application 1661</w:t>
              </w:r>
            </w:hyperlink>
            <w:r w:rsidRPr="00986EC1">
              <w:rPr>
                <w:rFonts w:ascii="Arial Narrow" w:eastAsia="Calibri" w:hAnsi="Arial Narrow"/>
                <w:sz w:val="20"/>
                <w:szCs w:val="22"/>
                <w:lang w:eastAsia="en-US"/>
              </w:rPr>
              <w:t xml:space="preserve">, p.10). </w:t>
            </w:r>
          </w:p>
        </w:tc>
      </w:tr>
      <w:tr w:rsidR="00986EC1" w:rsidRPr="00986EC1" w14:paraId="646AB8DE" w14:textId="77777777" w:rsidTr="00203BA7">
        <w:tc>
          <w:tcPr>
            <w:tcW w:w="1019" w:type="pct"/>
          </w:tcPr>
          <w:p w14:paraId="0688B7CF"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Clinical effectiveness</w:t>
            </w:r>
          </w:p>
          <w:p w14:paraId="46003985" w14:textId="31149310" w:rsidR="00986EC1" w:rsidRPr="00986EC1" w:rsidRDefault="00646540" w:rsidP="00986EC1">
            <w:pPr>
              <w:spacing w:after="40"/>
              <w:rPr>
                <w:rFonts w:ascii="Arial Narrow" w:eastAsia="Calibri" w:hAnsi="Arial Narrow"/>
                <w:sz w:val="20"/>
                <w:szCs w:val="22"/>
                <w:lang w:eastAsia="en-US"/>
              </w:rPr>
            </w:pPr>
            <w:hyperlink r:id="rId14" w:history="1">
              <w:r w:rsidR="00986EC1" w:rsidRPr="00986EC1">
                <w:rPr>
                  <w:rFonts w:ascii="Arial Narrow" w:eastAsia="Calibri" w:hAnsi="Arial Narrow"/>
                  <w:color w:val="0070C0"/>
                  <w:sz w:val="20"/>
                  <w:szCs w:val="22"/>
                  <w:u w:val="single"/>
                  <w:lang w:eastAsia="en-US"/>
                </w:rPr>
                <w:t>MSAC 1422 PSD</w:t>
              </w:r>
            </w:hyperlink>
          </w:p>
        </w:tc>
        <w:tc>
          <w:tcPr>
            <w:tcW w:w="2201" w:type="pct"/>
          </w:tcPr>
          <w:p w14:paraId="11AB7B6F" w14:textId="77777777" w:rsidR="00986EC1" w:rsidRPr="00986EC1" w:rsidRDefault="00986EC1" w:rsidP="00986EC1">
            <w:pPr>
              <w:spacing w:after="40"/>
              <w:rPr>
                <w:rFonts w:ascii="Arial Narrow" w:eastAsia="Calibri" w:hAnsi="Arial Narrow"/>
                <w:snapToGrid w:val="0"/>
                <w:sz w:val="20"/>
                <w:szCs w:val="22"/>
                <w:lang w:eastAsia="en-US"/>
              </w:rPr>
            </w:pPr>
            <w:r w:rsidRPr="00986EC1">
              <w:rPr>
                <w:rFonts w:ascii="Arial Narrow" w:eastAsia="Calibri" w:hAnsi="Arial Narrow"/>
                <w:snapToGrid w:val="0"/>
                <w:sz w:val="20"/>
                <w:szCs w:val="22"/>
                <w:lang w:eastAsia="en-US"/>
              </w:rPr>
              <w:t>MSAC had several concerns about the quality of the IDE trial including that the study was unblinded and that study outcomes may have been selectively reported.</w:t>
            </w:r>
            <w:r w:rsidRPr="00986EC1">
              <w:rPr>
                <w:rFonts w:ascii="Arial Narrow" w:eastAsia="Calibri" w:hAnsi="Arial Narrow"/>
                <w:sz w:val="20"/>
                <w:szCs w:val="22"/>
                <w:lang w:eastAsia="en-US"/>
              </w:rPr>
              <w:t xml:space="preserve"> </w:t>
            </w:r>
            <w:r w:rsidRPr="00986EC1">
              <w:rPr>
                <w:rFonts w:ascii="Arial Narrow" w:eastAsia="Calibri" w:hAnsi="Arial Narrow"/>
                <w:snapToGrid w:val="0"/>
                <w:sz w:val="20"/>
                <w:szCs w:val="22"/>
                <w:lang w:eastAsia="en-US"/>
              </w:rPr>
              <w:t>Given the uncertainty around clinical effectiveness, MSAC was unable to support the listing of the use of this device. (PSD, p.2)</w:t>
            </w:r>
          </w:p>
        </w:tc>
        <w:tc>
          <w:tcPr>
            <w:tcW w:w="1780" w:type="pct"/>
          </w:tcPr>
          <w:p w14:paraId="7AAB1C2D"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Addressed</w:t>
            </w:r>
          </w:p>
          <w:p w14:paraId="1164D5CC"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There is now a larger body of clinical trial evidence although the evidence remains largely unblinded and at high risk of bias. </w:t>
            </w:r>
          </w:p>
        </w:tc>
      </w:tr>
      <w:tr w:rsidR="00986EC1" w:rsidRPr="00986EC1" w14:paraId="0898A2CA" w14:textId="77777777" w:rsidTr="00203BA7">
        <w:tc>
          <w:tcPr>
            <w:tcW w:w="1019" w:type="pct"/>
          </w:tcPr>
          <w:p w14:paraId="6D42FA9B"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Device differences</w:t>
            </w:r>
          </w:p>
          <w:p w14:paraId="3D9503F8" w14:textId="7D5A9CC2" w:rsidR="00986EC1" w:rsidRPr="00986EC1" w:rsidRDefault="00646540" w:rsidP="00986EC1">
            <w:pPr>
              <w:spacing w:after="40"/>
              <w:rPr>
                <w:rFonts w:ascii="Arial Narrow" w:eastAsia="Calibri" w:hAnsi="Arial Narrow"/>
                <w:sz w:val="20"/>
                <w:szCs w:val="22"/>
                <w:lang w:eastAsia="en-US"/>
              </w:rPr>
            </w:pPr>
            <w:hyperlink r:id="rId15" w:history="1">
              <w:r w:rsidR="00986EC1" w:rsidRPr="00986EC1">
                <w:rPr>
                  <w:rFonts w:ascii="Arial Narrow" w:eastAsia="Calibri" w:hAnsi="Arial Narrow"/>
                  <w:color w:val="0070C0"/>
                  <w:sz w:val="20"/>
                  <w:szCs w:val="22"/>
                  <w:u w:val="single"/>
                  <w:lang w:eastAsia="en-US"/>
                </w:rPr>
                <w:t>MSAC 1422 PSD</w:t>
              </w:r>
            </w:hyperlink>
          </w:p>
        </w:tc>
        <w:tc>
          <w:tcPr>
            <w:tcW w:w="2201" w:type="pct"/>
          </w:tcPr>
          <w:p w14:paraId="18C61E15" w14:textId="77777777" w:rsidR="00986EC1" w:rsidRPr="00986EC1" w:rsidRDefault="00986EC1" w:rsidP="00986EC1">
            <w:pPr>
              <w:spacing w:after="40"/>
              <w:rPr>
                <w:rFonts w:ascii="Arial Narrow" w:eastAsia="Calibri" w:hAnsi="Arial Narrow"/>
                <w:snapToGrid w:val="0"/>
                <w:sz w:val="20"/>
                <w:szCs w:val="22"/>
                <w:lang w:eastAsia="en-US"/>
              </w:rPr>
            </w:pPr>
            <w:r w:rsidRPr="00986EC1">
              <w:rPr>
                <w:rFonts w:ascii="Arial Narrow" w:eastAsia="Calibri" w:hAnsi="Arial Narrow"/>
                <w:snapToGrid w:val="0"/>
                <w:sz w:val="20"/>
                <w:szCs w:val="22"/>
                <w:lang w:eastAsia="en-US"/>
              </w:rPr>
              <w:t>ESC noted the applicant’s argument that the device differed from other similar devices because it is implanted between the lamina and spinous processes (interlaminar) rather than between the spinous processes only (interspinous). However, ESC noted that in a previous application (Application 1099) the Coflex device was considered to be similar to interspinous devices. ESC also noted that clinical expert feedback suggested the terms interlaminar and interspinous are interchangeable in the context of non-fusion surgery (PSD, p.8).</w:t>
            </w:r>
          </w:p>
        </w:tc>
        <w:tc>
          <w:tcPr>
            <w:tcW w:w="1780" w:type="pct"/>
          </w:tcPr>
          <w:p w14:paraId="037CCF12"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Addressed</w:t>
            </w:r>
          </w:p>
          <w:p w14:paraId="662084EF"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The Applicant has included evidence from both interlaminar devices (Coflex) and interspinous devices and claimed they are equivalent. Nevertheless, the commentary considers this a relevant concern and notes that the X-STOP device for which the most evidence is presented has been withdrawn from the market due to poor long term outcomes. </w:t>
            </w:r>
          </w:p>
        </w:tc>
      </w:tr>
    </w:tbl>
    <w:p w14:paraId="66EF55E3" w14:textId="77777777" w:rsidR="00E926CE" w:rsidRDefault="00986EC1" w:rsidP="00B23D55">
      <w:pPr>
        <w:pStyle w:val="Tablenotes1"/>
      </w:pPr>
      <w:bookmarkStart w:id="14" w:name="_Hlk68275617"/>
      <w:bookmarkEnd w:id="13"/>
      <w:r w:rsidRPr="00986EC1">
        <w:t>MSAC = Medical Services Advisory Committee; PASC = PICO Advisory Sub-committee; PICO = population, intervention, comparator, outcome; PSD = Public Summary Document.</w:t>
      </w:r>
    </w:p>
    <w:p w14:paraId="62A9CA51" w14:textId="7672DC96" w:rsidR="00986EC1" w:rsidRPr="00986EC1" w:rsidRDefault="00E926CE" w:rsidP="00B23D55">
      <w:pPr>
        <w:pStyle w:val="Tablenotes1"/>
      </w:pPr>
      <w:r>
        <w:t>Source: Commentary, Table 1</w:t>
      </w:r>
      <w:r w:rsidR="00986EC1" w:rsidRPr="00986EC1">
        <w:t xml:space="preserve"> </w:t>
      </w:r>
    </w:p>
    <w:p w14:paraId="26C36257" w14:textId="4CFD5BDE" w:rsidR="00986EC1" w:rsidRPr="00986EC1" w:rsidRDefault="00930B23" w:rsidP="00986EC1">
      <w:pPr>
        <w:keepNext/>
        <w:keepLines/>
        <w:spacing w:before="360" w:after="240"/>
        <w:outlineLvl w:val="1"/>
        <w:rPr>
          <w:rFonts w:ascii="Franklin Gothic Medium" w:eastAsia="SimSun" w:hAnsi="Franklin Gothic Medium"/>
          <w:color w:val="000000"/>
          <w:sz w:val="32"/>
          <w:szCs w:val="26"/>
          <w:lang w:eastAsia="en-US"/>
        </w:rPr>
      </w:pPr>
      <w:bookmarkStart w:id="15" w:name="_Toc69491417"/>
      <w:bookmarkEnd w:id="11"/>
      <w:bookmarkEnd w:id="14"/>
      <w:r>
        <w:rPr>
          <w:rFonts w:ascii="Franklin Gothic Medium" w:eastAsia="SimSun" w:hAnsi="Franklin Gothic Medium"/>
          <w:color w:val="000000"/>
          <w:sz w:val="32"/>
          <w:szCs w:val="26"/>
          <w:lang w:eastAsia="en-US"/>
        </w:rPr>
        <w:t>5</w:t>
      </w:r>
      <w:r w:rsidR="00986EC1" w:rsidRPr="00986EC1">
        <w:rPr>
          <w:rFonts w:ascii="Franklin Gothic Medium" w:eastAsia="SimSun" w:hAnsi="Franklin Gothic Medium"/>
          <w:color w:val="000000"/>
          <w:sz w:val="32"/>
          <w:szCs w:val="26"/>
          <w:lang w:eastAsia="en-US"/>
        </w:rPr>
        <w:t>.</w:t>
      </w:r>
      <w:r w:rsidR="00986EC1" w:rsidRPr="00986EC1">
        <w:rPr>
          <w:rFonts w:ascii="Franklin Gothic Medium" w:eastAsia="SimSun" w:hAnsi="Franklin Gothic Medium"/>
          <w:color w:val="000000"/>
          <w:sz w:val="32"/>
          <w:szCs w:val="26"/>
          <w:lang w:eastAsia="en-US"/>
        </w:rPr>
        <w:tab/>
        <w:t>Prerequisites to implementation of any funding advice</w:t>
      </w:r>
      <w:bookmarkEnd w:id="15"/>
    </w:p>
    <w:p w14:paraId="30A06013" w14:textId="63E74615"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proposed technology includes a device (Superion) that is included in the ARTG: 334411, effective 17/04/2020 (spacer); and 333162, effective 2/04/2020 (kit). No other stand-alone IDS is currently included in the ARTG.</w:t>
      </w:r>
    </w:p>
    <w:p w14:paraId="139282C9" w14:textId="77777777" w:rsidR="00986EC1" w:rsidRPr="00986EC1" w:rsidRDefault="00986EC1" w:rsidP="00251CF7">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device is not currently listed on the Prosthesis List but an application will be made.</w:t>
      </w:r>
    </w:p>
    <w:p w14:paraId="76B0103D"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Boston Scientific will require all clinicians seeking to deliver Superion to have completed a two-day BioSkills Education Course. It is anticipated that the device would be inserted by interventional pain physicians whereas the comparator is undertaken by neurosurgeons or orthopaedic surgeons.</w:t>
      </w:r>
    </w:p>
    <w:p w14:paraId="5B6BEF57" w14:textId="0738BF27" w:rsidR="00986EC1" w:rsidRPr="00986EC1" w:rsidRDefault="00930B23" w:rsidP="00986EC1">
      <w:pPr>
        <w:keepNext/>
        <w:keepLines/>
        <w:spacing w:before="360" w:after="240"/>
        <w:outlineLvl w:val="1"/>
        <w:rPr>
          <w:rFonts w:ascii="Franklin Gothic Medium" w:eastAsia="SimSun" w:hAnsi="Franklin Gothic Medium"/>
          <w:color w:val="000000"/>
          <w:sz w:val="32"/>
          <w:szCs w:val="26"/>
          <w:lang w:eastAsia="en-US"/>
        </w:rPr>
      </w:pPr>
      <w:bookmarkStart w:id="16" w:name="_Toc69491418"/>
      <w:r>
        <w:rPr>
          <w:rFonts w:ascii="Franklin Gothic Medium" w:eastAsia="SimSun" w:hAnsi="Franklin Gothic Medium"/>
          <w:color w:val="000000"/>
          <w:sz w:val="32"/>
          <w:szCs w:val="26"/>
          <w:lang w:eastAsia="en-US"/>
        </w:rPr>
        <w:lastRenderedPageBreak/>
        <w:t>6</w:t>
      </w:r>
      <w:r w:rsidR="00986EC1" w:rsidRPr="00986EC1">
        <w:rPr>
          <w:rFonts w:ascii="Franklin Gothic Medium" w:eastAsia="SimSun" w:hAnsi="Franklin Gothic Medium"/>
          <w:color w:val="000000"/>
          <w:sz w:val="32"/>
          <w:szCs w:val="26"/>
          <w:lang w:eastAsia="en-US"/>
        </w:rPr>
        <w:t>.</w:t>
      </w:r>
      <w:r w:rsidR="00986EC1" w:rsidRPr="00986EC1">
        <w:rPr>
          <w:rFonts w:ascii="Franklin Gothic Medium" w:eastAsia="SimSun" w:hAnsi="Franklin Gothic Medium"/>
          <w:color w:val="000000"/>
          <w:sz w:val="32"/>
          <w:szCs w:val="26"/>
          <w:lang w:eastAsia="en-US"/>
        </w:rPr>
        <w:tab/>
        <w:t>Proposal for public funding</w:t>
      </w:r>
      <w:bookmarkEnd w:id="16"/>
    </w:p>
    <w:p w14:paraId="56C9CE1F" w14:textId="63B28A99"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applicant is requesting two new MBS items (</w:t>
      </w:r>
      <w:r w:rsidRPr="00986EC1">
        <w:rPr>
          <w:rFonts w:ascii="Franklin Gothic Book" w:eastAsia="Calibri" w:hAnsi="Franklin Gothic Book"/>
          <w:sz w:val="22"/>
          <w:szCs w:val="22"/>
          <w:lang w:eastAsia="en-US"/>
        </w:rPr>
        <w:fldChar w:fldCharType="begin"/>
      </w:r>
      <w:r w:rsidRPr="00986EC1">
        <w:rPr>
          <w:rFonts w:ascii="Franklin Gothic Book" w:eastAsia="Calibri" w:hAnsi="Franklin Gothic Book"/>
          <w:sz w:val="22"/>
          <w:szCs w:val="22"/>
          <w:lang w:eastAsia="en-US"/>
        </w:rPr>
        <w:instrText xml:space="preserve"> REF _Ref69481033 \h </w:instrText>
      </w:r>
      <w:r w:rsidR="00082699">
        <w:rPr>
          <w:rFonts w:ascii="Franklin Gothic Book" w:eastAsia="Calibri" w:hAnsi="Franklin Gothic Book"/>
          <w:sz w:val="22"/>
          <w:szCs w:val="22"/>
          <w:lang w:eastAsia="en-US"/>
        </w:rPr>
        <w:instrText xml:space="preserve"> \* MERGEFORMAT </w:instrText>
      </w:r>
      <w:r w:rsidRPr="00986EC1">
        <w:rPr>
          <w:rFonts w:ascii="Franklin Gothic Book" w:eastAsia="Calibri" w:hAnsi="Franklin Gothic Book"/>
          <w:sz w:val="22"/>
          <w:szCs w:val="22"/>
          <w:lang w:eastAsia="en-US"/>
        </w:rPr>
      </w:r>
      <w:r w:rsidRPr="00986EC1">
        <w:rPr>
          <w:rFonts w:ascii="Franklin Gothic Book" w:eastAsia="Calibri" w:hAnsi="Franklin Gothic Book"/>
          <w:sz w:val="22"/>
          <w:szCs w:val="22"/>
          <w:lang w:eastAsia="en-US"/>
        </w:rPr>
        <w:fldChar w:fldCharType="separate"/>
      </w:r>
      <w:r w:rsidR="00EE4CB3" w:rsidRPr="00EE4CB3">
        <w:rPr>
          <w:rFonts w:ascii="Franklin Gothic Book" w:eastAsia="Calibri" w:hAnsi="Franklin Gothic Book"/>
          <w:sz w:val="22"/>
          <w:szCs w:val="22"/>
          <w:lang w:eastAsia="en-US"/>
        </w:rPr>
        <w:t>Table 2</w:t>
      </w:r>
      <w:r w:rsidRPr="00986EC1">
        <w:rPr>
          <w:rFonts w:ascii="Franklin Gothic Book" w:eastAsia="Calibri" w:hAnsi="Franklin Gothic Book"/>
          <w:sz w:val="22"/>
          <w:szCs w:val="22"/>
          <w:lang w:eastAsia="en-US"/>
        </w:rPr>
        <w:fldChar w:fldCharType="end"/>
      </w:r>
      <w:r w:rsidRPr="00986EC1">
        <w:rPr>
          <w:rFonts w:ascii="Franklin Gothic Book" w:eastAsia="Calibri" w:hAnsi="Franklin Gothic Book"/>
          <w:sz w:val="22"/>
          <w:szCs w:val="22"/>
          <w:lang w:eastAsia="en-US"/>
        </w:rPr>
        <w:t>).</w:t>
      </w:r>
    </w:p>
    <w:p w14:paraId="16F55C39"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Although the Superion device is the only minimally invasive IDS currently included in the ARTG, the proposed medical service is device agnostic for the implantation of any minimally invasive interspinous decompression spacer that meets the item descriptor. The percutaneous implantation procedure can be performed by an interventional pain specialist in an admitted day surgery setting. An anaesthetist may be required to administer and monitor patient sedation. In the event of treatment failure, the device can be removed in the same manner and setting as it was implanted.</w:t>
      </w:r>
    </w:p>
    <w:p w14:paraId="5DDFABD4" w14:textId="44459AD4"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w:t>
      </w:r>
      <w:r w:rsidR="00E926CE">
        <w:rPr>
          <w:rFonts w:ascii="Franklin Gothic Book" w:eastAsia="Calibri" w:hAnsi="Franklin Gothic Book"/>
          <w:sz w:val="22"/>
          <w:szCs w:val="22"/>
          <w:lang w:eastAsia="en-US"/>
        </w:rPr>
        <w:t xml:space="preserve"> commentary considered that the ADAR</w:t>
      </w:r>
      <w:r w:rsidRPr="00986EC1">
        <w:rPr>
          <w:rFonts w:ascii="Franklin Gothic Book" w:eastAsia="Calibri" w:hAnsi="Franklin Gothic Book"/>
          <w:sz w:val="22"/>
          <w:szCs w:val="22"/>
          <w:lang w:eastAsia="en-US"/>
        </w:rPr>
        <w:t xml:space="preserve"> proposed MBS descriptor is less stringent than the population defined in the PICO. The ADAR has noted that MSAC ‘may prefer to include a precise description of “moderate LSS” in the MBS item descriptor.’ </w:t>
      </w:r>
      <w:bookmarkStart w:id="17" w:name="_Hlk81403068"/>
      <w:r w:rsidRPr="00986EC1">
        <w:rPr>
          <w:rFonts w:ascii="Franklin Gothic Book" w:eastAsia="Calibri" w:hAnsi="Franklin Gothic Book"/>
          <w:sz w:val="22"/>
          <w:szCs w:val="22"/>
          <w:lang w:eastAsia="en-US"/>
        </w:rPr>
        <w:t xml:space="preserve">A more precise definition may specify moderate LSS as a compression ratio of 1/3 to 2/3 </w:t>
      </w:r>
      <w:bookmarkEnd w:id="17"/>
      <w:r w:rsidRPr="00986EC1">
        <w:rPr>
          <w:rFonts w:ascii="Franklin Gothic Book" w:eastAsia="Calibri" w:hAnsi="Franklin Gothic Book"/>
          <w:sz w:val="22"/>
          <w:szCs w:val="22"/>
          <w:lang w:eastAsia="en-US"/>
        </w:rPr>
        <w:t>(33-66%) and the degree of spondylolisthesis as &lt;25% shifting of a vertebral body</w:t>
      </w:r>
      <w:r w:rsidRPr="00986EC1">
        <w:rPr>
          <w:rFonts w:ascii="Franklin Gothic Book" w:eastAsia="Calibri" w:hAnsi="Franklin Gothic Book"/>
          <w:sz w:val="22"/>
          <w:szCs w:val="22"/>
          <w:vertAlign w:val="superscript"/>
          <w:lang w:eastAsia="en-US"/>
        </w:rPr>
        <w:footnoteReference w:id="8"/>
      </w:r>
      <w:r w:rsidRPr="00986EC1">
        <w:rPr>
          <w:rFonts w:ascii="Franklin Gothic Book" w:eastAsia="Calibri" w:hAnsi="Franklin Gothic Book"/>
          <w:sz w:val="22"/>
          <w:szCs w:val="22"/>
          <w:lang w:eastAsia="en-US"/>
        </w:rPr>
        <w:t xml:space="preserve">. A measure of functional impairment could be considered (e.g. Zurich Claudication Questionnaire [ZCQ] score of &gt;2.5) as suggested </w:t>
      </w:r>
      <w:r w:rsidR="00E926CE">
        <w:rPr>
          <w:rFonts w:ascii="Franklin Gothic Book" w:eastAsia="Calibri" w:hAnsi="Franklin Gothic Book"/>
          <w:sz w:val="22"/>
          <w:szCs w:val="22"/>
          <w:lang w:eastAsia="en-US"/>
        </w:rPr>
        <w:t>in consultation feedback from</w:t>
      </w:r>
      <w:r w:rsidRPr="00986EC1">
        <w:rPr>
          <w:rFonts w:ascii="Franklin Gothic Book" w:eastAsia="Calibri" w:hAnsi="Franklin Gothic Book"/>
          <w:sz w:val="22"/>
          <w:szCs w:val="22"/>
          <w:lang w:eastAsia="en-US"/>
        </w:rPr>
        <w:t xml:space="preserve"> the SSA).</w:t>
      </w:r>
      <w:r w:rsidR="00E926CE">
        <w:rPr>
          <w:rFonts w:ascii="Franklin Gothic Book" w:eastAsia="Calibri" w:hAnsi="Franklin Gothic Book"/>
          <w:sz w:val="22"/>
          <w:szCs w:val="22"/>
          <w:lang w:eastAsia="en-US"/>
        </w:rPr>
        <w:t xml:space="preserve"> </w:t>
      </w:r>
      <w:r w:rsidR="00E926CE" w:rsidRPr="00E926CE">
        <w:rPr>
          <w:rFonts w:ascii="Franklin Gothic Book" w:eastAsia="Calibri" w:hAnsi="Franklin Gothic Book"/>
          <w:sz w:val="22"/>
          <w:szCs w:val="22"/>
          <w:lang w:eastAsia="en-US"/>
        </w:rPr>
        <w:t>In the pre-ESC response, the applicant stated the proposed item descriptor is briefer because the indication is described in more detail in the instruction for use (IFU) for the Superion device. The applicant stated it is willing to accept MSAC’s advice regarding the appropriate level of detail to include in the MBS item descriptor.</w:t>
      </w:r>
    </w:p>
    <w:p w14:paraId="68CFDBE6" w14:textId="3FB883D5" w:rsidR="00986EC1" w:rsidRPr="00986EC1" w:rsidRDefault="00986EC1" w:rsidP="000B6893">
      <w:pPr>
        <w:keepNext/>
        <w:spacing w:before="240" w:after="120"/>
        <w:ind w:left="794" w:hanging="794"/>
        <w:rPr>
          <w:rFonts w:ascii="Arial Narrow" w:hAnsi="Arial Narrow" w:cs="Arial"/>
          <w:b/>
          <w:bCs/>
          <w:sz w:val="20"/>
          <w:lang w:eastAsia="en-US"/>
        </w:rPr>
      </w:pPr>
      <w:bookmarkStart w:id="18" w:name="_Ref69481033"/>
      <w:r w:rsidRPr="00986EC1">
        <w:rPr>
          <w:rFonts w:ascii="Arial Narrow" w:hAnsi="Arial Narrow"/>
          <w:b/>
          <w:bCs/>
          <w:sz w:val="20"/>
          <w:lang w:eastAsia="en-US"/>
        </w:rPr>
        <w:t>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2</w:t>
      </w:r>
      <w:r w:rsidRPr="00986EC1">
        <w:rPr>
          <w:rFonts w:ascii="Arial Narrow" w:hAnsi="Arial Narrow"/>
          <w:b/>
          <w:bCs/>
          <w:noProof/>
          <w:sz w:val="20"/>
          <w:lang w:eastAsia="en-US"/>
        </w:rPr>
        <w:fldChar w:fldCharType="end"/>
      </w:r>
      <w:bookmarkEnd w:id="18"/>
      <w:r w:rsidRPr="00986EC1">
        <w:rPr>
          <w:rFonts w:ascii="Arial Narrow" w:hAnsi="Arial Narrow" w:cs="Arial"/>
          <w:b/>
          <w:bCs/>
          <w:sz w:val="20"/>
          <w:lang w:eastAsia="en-US"/>
        </w:rPr>
        <w:tab/>
        <w:t>Proposed MBS items</w:t>
      </w:r>
    </w:p>
    <w:tbl>
      <w:tblPr>
        <w:tblStyle w:val="OPTUMTableNormal"/>
        <w:tblW w:w="5000" w:type="pct"/>
        <w:tblLook w:val="04A0" w:firstRow="1" w:lastRow="0" w:firstColumn="1" w:lastColumn="0" w:noHBand="0" w:noVBand="1"/>
        <w:tblDescription w:val="Proposed MBS items"/>
      </w:tblPr>
      <w:tblGrid>
        <w:gridCol w:w="9016"/>
      </w:tblGrid>
      <w:tr w:rsidR="00986EC1" w:rsidRPr="00986EC1" w14:paraId="29CC2AFB" w14:textId="77777777" w:rsidTr="00203BA7">
        <w:trPr>
          <w:cnfStyle w:val="100000000000" w:firstRow="1" w:lastRow="0" w:firstColumn="0" w:lastColumn="0" w:oddVBand="0" w:evenVBand="0" w:oddHBand="0" w:evenHBand="0" w:firstRowFirstColumn="0" w:firstRowLastColumn="0" w:lastRowFirstColumn="0" w:lastRowLastColumn="0"/>
          <w:trHeight w:val="351"/>
        </w:trPr>
        <w:tc>
          <w:tcPr>
            <w:tcW w:w="5000" w:type="pct"/>
            <w:hideMark/>
          </w:tcPr>
          <w:p w14:paraId="0933F860" w14:textId="77777777" w:rsidR="00986EC1" w:rsidRPr="00986EC1" w:rsidRDefault="00986EC1" w:rsidP="00986EC1">
            <w:pPr>
              <w:spacing w:after="40"/>
              <w:rPr>
                <w:rFonts w:ascii="Arial Narrow" w:eastAsia="Calibri" w:hAnsi="Arial Narrow"/>
                <w:szCs w:val="22"/>
                <w:lang w:eastAsia="en-US"/>
              </w:rPr>
            </w:pPr>
            <w:r w:rsidRPr="00986EC1">
              <w:rPr>
                <w:rFonts w:ascii="Arial Narrow" w:eastAsia="Calibri" w:hAnsi="Arial Narrow"/>
                <w:sz w:val="20"/>
                <w:szCs w:val="22"/>
                <w:lang w:eastAsia="en-US"/>
              </w:rPr>
              <w:t>Category 3 – THERAPEUTIC PROCEDURES</w:t>
            </w:r>
          </w:p>
        </w:tc>
      </w:tr>
      <w:tr w:rsidR="00986EC1" w:rsidRPr="00986EC1" w14:paraId="4495A37A" w14:textId="77777777" w:rsidTr="00203BA7">
        <w:tc>
          <w:tcPr>
            <w:tcW w:w="5000" w:type="pct"/>
            <w:hideMark/>
          </w:tcPr>
          <w:p w14:paraId="1899AA31" w14:textId="77777777" w:rsidR="00986EC1" w:rsidRPr="00986EC1" w:rsidRDefault="00986EC1" w:rsidP="00986EC1">
            <w:pPr>
              <w:spacing w:before="120" w:after="120"/>
              <w:rPr>
                <w:rFonts w:ascii="Arial Narrow" w:eastAsia="Calibri" w:hAnsi="Arial Narrow"/>
                <w:sz w:val="20"/>
                <w:lang w:val="en-US" w:eastAsia="ja-JP"/>
              </w:rPr>
            </w:pPr>
            <w:r w:rsidRPr="00986EC1">
              <w:rPr>
                <w:rFonts w:ascii="Arial Narrow" w:eastAsia="Calibri" w:hAnsi="Arial Narrow"/>
                <w:sz w:val="20"/>
                <w:lang w:val="en-US" w:eastAsia="ja-JP"/>
              </w:rPr>
              <w:t>MBS item *XXXX</w:t>
            </w:r>
          </w:p>
          <w:p w14:paraId="5A22C675" w14:textId="7BD1ADA1" w:rsidR="00986EC1" w:rsidRPr="00986EC1" w:rsidRDefault="00986EC1" w:rsidP="00986EC1">
            <w:pPr>
              <w:spacing w:after="40"/>
              <w:rPr>
                <w:rFonts w:ascii="Arial Narrow" w:eastAsia="Calibri" w:hAnsi="Arial Narrow"/>
                <w:sz w:val="20"/>
                <w:szCs w:val="22"/>
                <w:lang w:val="en-US" w:eastAsia="ja-JP"/>
              </w:rPr>
            </w:pPr>
            <w:r w:rsidRPr="00986EC1">
              <w:rPr>
                <w:rFonts w:ascii="Arial Narrow" w:eastAsia="Calibri" w:hAnsi="Arial Narrow"/>
                <w:sz w:val="20"/>
                <w:szCs w:val="22"/>
                <w:lang w:val="en-US" w:eastAsia="ja-JP"/>
              </w:rPr>
              <w:t xml:space="preserve">MINIMALLY INVASIVE INTERSPINOUS DECOMRESSION SPACER, insertion, removal or replacement of, to alleviate pain in patients with: </w:t>
            </w:r>
          </w:p>
          <w:p w14:paraId="03245A3D" w14:textId="77777777" w:rsidR="00986EC1" w:rsidRPr="00986EC1" w:rsidRDefault="00986EC1" w:rsidP="00986EC1">
            <w:pPr>
              <w:numPr>
                <w:ilvl w:val="0"/>
                <w:numId w:val="28"/>
              </w:numPr>
              <w:spacing w:after="40" w:line="259" w:lineRule="auto"/>
              <w:rPr>
                <w:rFonts w:ascii="Arial Narrow" w:eastAsia="Calibri" w:hAnsi="Arial Narrow"/>
                <w:sz w:val="20"/>
                <w:szCs w:val="22"/>
                <w:lang w:val="en-US" w:eastAsia="ja-JP"/>
              </w:rPr>
            </w:pPr>
            <w:r w:rsidRPr="00986EC1">
              <w:rPr>
                <w:rFonts w:ascii="Arial Narrow" w:eastAsia="Calibri" w:hAnsi="Arial Narrow"/>
                <w:sz w:val="20"/>
                <w:szCs w:val="22"/>
                <w:lang w:val="en-US" w:eastAsia="ja-JP"/>
              </w:rPr>
              <w:t xml:space="preserve">Moderate lumbar spinal stenosis - one lumbar motion segment. </w:t>
            </w:r>
          </w:p>
          <w:p w14:paraId="24A68092" w14:textId="77777777" w:rsidR="00986EC1" w:rsidRPr="00986EC1" w:rsidRDefault="00986EC1" w:rsidP="00986EC1">
            <w:pPr>
              <w:numPr>
                <w:ilvl w:val="0"/>
                <w:numId w:val="28"/>
              </w:numPr>
              <w:spacing w:after="40" w:line="259" w:lineRule="auto"/>
              <w:rPr>
                <w:rFonts w:ascii="Arial Narrow" w:eastAsia="Calibri" w:hAnsi="Arial Narrow"/>
                <w:sz w:val="20"/>
                <w:szCs w:val="22"/>
                <w:lang w:val="en-US" w:eastAsia="ja-JP"/>
              </w:rPr>
            </w:pPr>
            <w:r w:rsidRPr="00986EC1">
              <w:rPr>
                <w:rFonts w:ascii="Arial Narrow" w:eastAsia="Calibri" w:hAnsi="Arial Narrow"/>
                <w:sz w:val="20"/>
                <w:szCs w:val="22"/>
                <w:lang w:val="en-US" w:eastAsia="ja-JP"/>
              </w:rPr>
              <w:t xml:space="preserve">After failure of conservative management for at least 6 months. </w:t>
            </w:r>
          </w:p>
          <w:p w14:paraId="229F338A" w14:textId="77777777" w:rsidR="00986EC1" w:rsidRPr="00986EC1" w:rsidRDefault="00986EC1" w:rsidP="00986EC1">
            <w:pPr>
              <w:numPr>
                <w:ilvl w:val="0"/>
                <w:numId w:val="28"/>
              </w:numPr>
              <w:spacing w:after="40" w:line="259" w:lineRule="auto"/>
              <w:rPr>
                <w:rFonts w:ascii="Arial Narrow" w:eastAsia="Calibri" w:hAnsi="Arial Narrow"/>
                <w:sz w:val="20"/>
                <w:szCs w:val="22"/>
                <w:lang w:val="en-US" w:eastAsia="ja-JP"/>
              </w:rPr>
            </w:pPr>
            <w:r w:rsidRPr="00986EC1">
              <w:rPr>
                <w:rFonts w:ascii="Arial Narrow" w:eastAsia="Calibri" w:hAnsi="Arial Narrow"/>
                <w:sz w:val="20"/>
                <w:szCs w:val="22"/>
                <w:lang w:val="en-US" w:eastAsia="ja-JP"/>
              </w:rPr>
              <w:t>Moderately severe functional impairment with symptoms exacerbated in extension and relieved in flexion.</w:t>
            </w:r>
          </w:p>
          <w:p w14:paraId="5088FF16" w14:textId="378941A7" w:rsidR="00986EC1" w:rsidRPr="00986EC1" w:rsidRDefault="00986EC1" w:rsidP="00986EC1">
            <w:pPr>
              <w:numPr>
                <w:ilvl w:val="0"/>
                <w:numId w:val="28"/>
              </w:numPr>
              <w:spacing w:after="40" w:line="259" w:lineRule="auto"/>
              <w:rPr>
                <w:rFonts w:ascii="Arial Narrow" w:eastAsia="Calibri" w:hAnsi="Arial Narrow"/>
                <w:sz w:val="20"/>
                <w:szCs w:val="22"/>
                <w:lang w:val="en-US" w:eastAsia="ja-JP"/>
              </w:rPr>
            </w:pPr>
            <w:r w:rsidRPr="00986EC1">
              <w:rPr>
                <w:rFonts w:ascii="Arial Narrow" w:eastAsia="Calibri" w:hAnsi="Arial Narrow"/>
                <w:sz w:val="20"/>
                <w:szCs w:val="22"/>
                <w:lang w:val="en-US" w:eastAsia="ja-JP"/>
              </w:rPr>
              <w:t>With or without low-grade spondylolisthesis</w:t>
            </w:r>
            <w:r w:rsidRPr="00735160">
              <w:rPr>
                <w:rFonts w:ascii="Arial Narrow" w:eastAsia="Calibri" w:hAnsi="Arial Narrow"/>
                <w:sz w:val="20"/>
                <w:szCs w:val="22"/>
                <w:lang w:val="en-US" w:eastAsia="ja-JP"/>
              </w:rPr>
              <w:t xml:space="preserve">. </w:t>
            </w:r>
          </w:p>
          <w:p w14:paraId="32AED38C" w14:textId="77777777" w:rsidR="00986EC1" w:rsidRPr="00986EC1" w:rsidRDefault="00986EC1" w:rsidP="00986EC1">
            <w:pPr>
              <w:spacing w:after="40"/>
              <w:rPr>
                <w:rFonts w:ascii="Arial Narrow" w:eastAsia="Calibri" w:hAnsi="Arial Narrow"/>
                <w:sz w:val="20"/>
                <w:szCs w:val="22"/>
                <w:lang w:val="en-US" w:eastAsia="ja-JP"/>
              </w:rPr>
            </w:pPr>
            <w:r w:rsidRPr="00986EC1">
              <w:rPr>
                <w:rFonts w:ascii="Arial Narrow" w:eastAsia="Calibri" w:hAnsi="Arial Narrow"/>
                <w:sz w:val="20"/>
                <w:szCs w:val="22"/>
                <w:lang w:val="en-US" w:eastAsia="ja-JP"/>
              </w:rPr>
              <w:t xml:space="preserve">Not being a service associated with a service to which item 51011, 51012, 51013, 51014 or 51015 applies. </w:t>
            </w:r>
          </w:p>
          <w:p w14:paraId="77F6728E" w14:textId="77777777" w:rsidR="00986EC1" w:rsidRPr="00986EC1" w:rsidRDefault="00986EC1" w:rsidP="00986EC1">
            <w:pPr>
              <w:spacing w:before="120" w:after="120"/>
              <w:rPr>
                <w:rFonts w:ascii="Arial Narrow" w:eastAsia="Calibri" w:hAnsi="Arial Narrow"/>
                <w:sz w:val="20"/>
                <w:lang w:val="en-US" w:eastAsia="ja-JP"/>
              </w:rPr>
            </w:pPr>
            <w:r w:rsidRPr="00986EC1">
              <w:rPr>
                <w:rFonts w:ascii="Arial Narrow" w:eastAsia="Calibri" w:hAnsi="Arial Narrow"/>
                <w:sz w:val="20"/>
                <w:lang w:val="en-US" w:eastAsia="ja-JP"/>
              </w:rPr>
              <w:t xml:space="preserve">Multiple Services Rule (Anaes.) (Assist.) </w:t>
            </w:r>
          </w:p>
        </w:tc>
      </w:tr>
      <w:tr w:rsidR="00986EC1" w:rsidRPr="00986EC1" w14:paraId="04CC455D" w14:textId="77777777" w:rsidTr="00203BA7">
        <w:tc>
          <w:tcPr>
            <w:tcW w:w="5000" w:type="pct"/>
            <w:hideMark/>
          </w:tcPr>
          <w:p w14:paraId="3BAD5CC2" w14:textId="77777777" w:rsidR="00986EC1" w:rsidRPr="00986EC1" w:rsidRDefault="00986EC1" w:rsidP="00986EC1">
            <w:pPr>
              <w:spacing w:after="40"/>
              <w:rPr>
                <w:rFonts w:ascii="Arial Narrow" w:eastAsia="Calibri" w:hAnsi="Arial Narrow"/>
                <w:sz w:val="20"/>
                <w:lang w:eastAsia="en-US"/>
              </w:rPr>
            </w:pPr>
            <w:r w:rsidRPr="00986EC1">
              <w:rPr>
                <w:rFonts w:ascii="Arial Narrow" w:eastAsia="Calibri" w:hAnsi="Arial Narrow"/>
                <w:sz w:val="20"/>
                <w:lang w:eastAsia="en-US"/>
              </w:rPr>
              <w:t xml:space="preserve">Fee: </w:t>
            </w:r>
            <w:r w:rsidRPr="00986EC1">
              <w:rPr>
                <w:rFonts w:ascii="Arial Narrow" w:eastAsia="Calibri" w:hAnsi="Arial Narrow"/>
                <w:sz w:val="20"/>
                <w:lang w:val="en-US" w:eastAsia="ja-JP"/>
              </w:rPr>
              <w:t>$789.35</w:t>
            </w:r>
          </w:p>
        </w:tc>
      </w:tr>
      <w:tr w:rsidR="00986EC1" w:rsidRPr="00986EC1" w14:paraId="788D25DC" w14:textId="77777777" w:rsidTr="00203BA7">
        <w:tc>
          <w:tcPr>
            <w:tcW w:w="5000" w:type="pct"/>
          </w:tcPr>
          <w:p w14:paraId="2B8DADD2" w14:textId="77777777" w:rsidR="00986EC1" w:rsidRPr="00986EC1" w:rsidRDefault="00986EC1" w:rsidP="00986EC1">
            <w:pPr>
              <w:spacing w:before="120" w:after="120"/>
              <w:rPr>
                <w:rFonts w:ascii="Arial Narrow" w:eastAsia="Calibri" w:hAnsi="Arial Narrow"/>
                <w:sz w:val="20"/>
                <w:lang w:val="en-US" w:eastAsia="ja-JP"/>
              </w:rPr>
            </w:pPr>
            <w:r w:rsidRPr="00986EC1">
              <w:rPr>
                <w:rFonts w:ascii="Arial Narrow" w:eastAsia="Calibri" w:hAnsi="Arial Narrow"/>
                <w:sz w:val="20"/>
                <w:lang w:val="en-US" w:eastAsia="ja-JP"/>
              </w:rPr>
              <w:t>MBS item *XXXX</w:t>
            </w:r>
          </w:p>
          <w:p w14:paraId="75520B21" w14:textId="07426620"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MINIMALLY INVASIVE INTERSPINOUS DECOMRESSION SPACER, insertion, removal or replacement of, to alleviate pain in patients with: </w:t>
            </w:r>
          </w:p>
          <w:p w14:paraId="6781F9E1" w14:textId="77777777" w:rsidR="00986EC1" w:rsidRPr="00986EC1" w:rsidRDefault="00986EC1" w:rsidP="00986EC1">
            <w:pPr>
              <w:numPr>
                <w:ilvl w:val="0"/>
                <w:numId w:val="28"/>
              </w:numPr>
              <w:spacing w:after="40" w:line="259" w:lineRule="auto"/>
              <w:rPr>
                <w:rFonts w:ascii="Arial Narrow" w:eastAsia="Calibri" w:hAnsi="Arial Narrow"/>
                <w:sz w:val="20"/>
                <w:szCs w:val="22"/>
                <w:lang w:val="en-US" w:eastAsia="ja-JP"/>
              </w:rPr>
            </w:pPr>
            <w:r w:rsidRPr="00986EC1">
              <w:rPr>
                <w:rFonts w:ascii="Arial Narrow" w:eastAsia="Calibri" w:hAnsi="Arial Narrow"/>
                <w:sz w:val="20"/>
                <w:szCs w:val="22"/>
                <w:lang w:val="en-US" w:eastAsia="ja-JP"/>
              </w:rPr>
              <w:t xml:space="preserve">Moderate lumbar spinal stenosis - two lumbar motion segments. </w:t>
            </w:r>
          </w:p>
          <w:p w14:paraId="005C278D" w14:textId="77777777" w:rsidR="00986EC1" w:rsidRPr="00986EC1" w:rsidRDefault="00986EC1" w:rsidP="00986EC1">
            <w:pPr>
              <w:numPr>
                <w:ilvl w:val="0"/>
                <w:numId w:val="28"/>
              </w:numPr>
              <w:spacing w:after="40" w:line="259" w:lineRule="auto"/>
              <w:rPr>
                <w:rFonts w:ascii="Arial Narrow" w:eastAsia="Calibri" w:hAnsi="Arial Narrow"/>
                <w:sz w:val="20"/>
                <w:szCs w:val="22"/>
                <w:lang w:val="en-US" w:eastAsia="ja-JP"/>
              </w:rPr>
            </w:pPr>
            <w:r w:rsidRPr="00986EC1">
              <w:rPr>
                <w:rFonts w:ascii="Arial Narrow" w:eastAsia="Calibri" w:hAnsi="Arial Narrow"/>
                <w:sz w:val="20"/>
                <w:szCs w:val="22"/>
                <w:lang w:val="en-US" w:eastAsia="ja-JP"/>
              </w:rPr>
              <w:t xml:space="preserve">After failure of conservative management for at least 6 months. </w:t>
            </w:r>
          </w:p>
          <w:p w14:paraId="6A65F488" w14:textId="77777777" w:rsidR="00986EC1" w:rsidRPr="00986EC1" w:rsidRDefault="00986EC1" w:rsidP="00986EC1">
            <w:pPr>
              <w:numPr>
                <w:ilvl w:val="0"/>
                <w:numId w:val="28"/>
              </w:numPr>
              <w:spacing w:after="40" w:line="259" w:lineRule="auto"/>
              <w:rPr>
                <w:rFonts w:ascii="Arial Narrow" w:eastAsia="Calibri" w:hAnsi="Arial Narrow"/>
                <w:sz w:val="20"/>
                <w:szCs w:val="22"/>
                <w:lang w:val="en-US" w:eastAsia="ja-JP"/>
              </w:rPr>
            </w:pPr>
            <w:r w:rsidRPr="00986EC1">
              <w:rPr>
                <w:rFonts w:ascii="Arial Narrow" w:eastAsia="Calibri" w:hAnsi="Arial Narrow"/>
                <w:sz w:val="20"/>
                <w:szCs w:val="22"/>
                <w:lang w:val="en-US" w:eastAsia="ja-JP"/>
              </w:rPr>
              <w:t>Moderately severe functional impairment with symptoms exacerbated in extension and relieved in flexion.</w:t>
            </w:r>
          </w:p>
          <w:p w14:paraId="6462FAF8" w14:textId="1548B6DA" w:rsidR="00986EC1" w:rsidRPr="00986EC1" w:rsidRDefault="00986EC1" w:rsidP="00986EC1">
            <w:pPr>
              <w:numPr>
                <w:ilvl w:val="0"/>
                <w:numId w:val="28"/>
              </w:numPr>
              <w:spacing w:after="40" w:line="259" w:lineRule="auto"/>
              <w:rPr>
                <w:rFonts w:ascii="Arial Narrow" w:eastAsia="Calibri" w:hAnsi="Arial Narrow"/>
                <w:sz w:val="20"/>
                <w:szCs w:val="22"/>
                <w:lang w:val="en-US" w:eastAsia="ja-JP"/>
              </w:rPr>
            </w:pPr>
            <w:r w:rsidRPr="00986EC1">
              <w:rPr>
                <w:rFonts w:ascii="Arial Narrow" w:eastAsia="Calibri" w:hAnsi="Arial Narrow"/>
                <w:sz w:val="20"/>
                <w:szCs w:val="22"/>
                <w:lang w:val="en-US" w:eastAsia="ja-JP"/>
              </w:rPr>
              <w:t xml:space="preserve">With or without low-grade spondylolisthesis. </w:t>
            </w:r>
          </w:p>
          <w:p w14:paraId="4442E418"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Not being a service associated with a service to which item 51011, 51012, 51013, 51014 or 51015 applies. </w:t>
            </w:r>
          </w:p>
          <w:p w14:paraId="55354B0D" w14:textId="77777777" w:rsidR="00986EC1" w:rsidRPr="00986EC1" w:rsidRDefault="00986EC1" w:rsidP="00986EC1">
            <w:pPr>
              <w:spacing w:after="40"/>
              <w:rPr>
                <w:rFonts w:ascii="Arial Narrow" w:eastAsia="Calibri" w:hAnsi="Arial Narrow"/>
                <w:sz w:val="20"/>
                <w:lang w:eastAsia="en-US"/>
              </w:rPr>
            </w:pPr>
            <w:r w:rsidRPr="00986EC1">
              <w:rPr>
                <w:rFonts w:ascii="Arial Narrow" w:eastAsia="Calibri" w:hAnsi="Arial Narrow"/>
                <w:sz w:val="20"/>
                <w:lang w:eastAsia="en-US"/>
              </w:rPr>
              <w:t>Multiple Services Rule (Anaes.) (Assist.)</w:t>
            </w:r>
          </w:p>
        </w:tc>
      </w:tr>
      <w:tr w:rsidR="00986EC1" w:rsidRPr="00986EC1" w14:paraId="411720A2" w14:textId="77777777" w:rsidTr="00203BA7">
        <w:tc>
          <w:tcPr>
            <w:tcW w:w="5000" w:type="pct"/>
          </w:tcPr>
          <w:p w14:paraId="59F25797" w14:textId="77777777" w:rsidR="00986EC1" w:rsidRPr="00986EC1" w:rsidRDefault="00986EC1" w:rsidP="00986EC1">
            <w:pPr>
              <w:spacing w:after="40"/>
              <w:rPr>
                <w:rFonts w:ascii="Arial Narrow" w:eastAsia="Calibri" w:hAnsi="Arial Narrow"/>
                <w:sz w:val="20"/>
                <w:lang w:eastAsia="en-US"/>
              </w:rPr>
            </w:pPr>
            <w:r w:rsidRPr="00986EC1">
              <w:rPr>
                <w:rFonts w:ascii="Arial Narrow" w:eastAsia="Calibri" w:hAnsi="Arial Narrow"/>
                <w:sz w:val="20"/>
                <w:szCs w:val="22"/>
                <w:lang w:eastAsia="en-US"/>
              </w:rPr>
              <w:t>Fee: $1,184.03</w:t>
            </w:r>
          </w:p>
        </w:tc>
      </w:tr>
    </w:tbl>
    <w:p w14:paraId="0CEDF690" w14:textId="5F34AB9C" w:rsidR="00E926CE" w:rsidRDefault="00E926CE" w:rsidP="00B23D55">
      <w:pPr>
        <w:pStyle w:val="Tablenotes1"/>
        <w:rPr>
          <w:rFonts w:eastAsia="Calibri"/>
        </w:rPr>
      </w:pPr>
      <w:r>
        <w:rPr>
          <w:rFonts w:eastAsia="Calibri"/>
        </w:rPr>
        <w:t>Source: Commentary, Table 2</w:t>
      </w:r>
    </w:p>
    <w:p w14:paraId="2F4BCC75" w14:textId="2B343550" w:rsidR="00986EC1" w:rsidRPr="00986EC1" w:rsidRDefault="00986EC1" w:rsidP="00986EC1">
      <w:pPr>
        <w:spacing w:before="24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lastRenderedPageBreak/>
        <w:t xml:space="preserve">The fees estimated for the proposed item descriptors for IDS insertion (one or two levels) are based on MBS item 51020 (simple fixation of part of one vertebra or simple interspinous wiring between two adjacent vertebral levels). It is further specified that the item should not be associated with a decompression service (items 51011, 51012, 51013, 51014 or 51015). </w:t>
      </w:r>
    </w:p>
    <w:p w14:paraId="09EF63AC" w14:textId="7F00B2F2" w:rsidR="00986EC1" w:rsidRPr="00986EC1" w:rsidRDefault="00986EC1" w:rsidP="00986EC1">
      <w:pPr>
        <w:spacing w:before="120" w:after="160" w:line="259" w:lineRule="auto"/>
        <w:rPr>
          <w:rFonts w:ascii="Franklin Gothic Book" w:eastAsia="Calibri" w:hAnsi="Franklin Gothic Book"/>
          <w:sz w:val="22"/>
          <w:szCs w:val="22"/>
          <w:lang w:eastAsia="en-US"/>
        </w:rPr>
      </w:pPr>
      <w:bookmarkStart w:id="19" w:name="_Hlk81405121"/>
      <w:r w:rsidRPr="00986EC1">
        <w:rPr>
          <w:rFonts w:ascii="Franklin Gothic Book" w:eastAsia="Calibri" w:hAnsi="Franklin Gothic Book"/>
          <w:sz w:val="22"/>
          <w:szCs w:val="22"/>
          <w:lang w:eastAsia="en-US"/>
        </w:rPr>
        <w:t>The ADAR state</w:t>
      </w:r>
      <w:r w:rsidR="00E926CE">
        <w:rPr>
          <w:rFonts w:ascii="Franklin Gothic Book" w:eastAsia="Calibri" w:hAnsi="Franklin Gothic Book"/>
          <w:sz w:val="22"/>
          <w:szCs w:val="22"/>
          <w:lang w:eastAsia="en-US"/>
        </w:rPr>
        <w:t>d</w:t>
      </w:r>
      <w:r w:rsidRPr="00986EC1">
        <w:rPr>
          <w:rFonts w:ascii="Franklin Gothic Book" w:eastAsia="Calibri" w:hAnsi="Franklin Gothic Book"/>
          <w:sz w:val="22"/>
          <w:szCs w:val="22"/>
          <w:lang w:eastAsia="en-US"/>
        </w:rPr>
        <w:t xml:space="preserve"> that IDS percutaneous implantation is commonly provided </w:t>
      </w:r>
      <w:bookmarkEnd w:id="19"/>
      <w:r w:rsidRPr="00986EC1">
        <w:rPr>
          <w:rFonts w:ascii="Franklin Gothic Book" w:eastAsia="Calibri" w:hAnsi="Franklin Gothic Book"/>
          <w:sz w:val="22"/>
          <w:szCs w:val="22"/>
          <w:lang w:eastAsia="en-US"/>
        </w:rPr>
        <w:t>under local anaesthesia with conscious sedation. An anaesthetist may be required to provide the appropriate level of sedation. However, in the key IDE study this was not the case. An open approach was used in the majority of patients (53% open vs. 47% percutaneous) and most patients underwent general anaesthesia (82%) with 13% having the device inserted under conscious sedation.</w:t>
      </w:r>
      <w:r w:rsidR="00E926CE">
        <w:rPr>
          <w:rFonts w:ascii="Franklin Gothic Book" w:eastAsia="Calibri" w:hAnsi="Franklin Gothic Book"/>
          <w:sz w:val="22"/>
          <w:szCs w:val="22"/>
          <w:lang w:eastAsia="en-US"/>
        </w:rPr>
        <w:t xml:space="preserve"> </w:t>
      </w:r>
      <w:r w:rsidR="00E926CE" w:rsidRPr="00E926CE">
        <w:rPr>
          <w:rFonts w:ascii="Franklin Gothic Book" w:eastAsia="Calibri" w:hAnsi="Franklin Gothic Book"/>
          <w:sz w:val="22"/>
          <w:szCs w:val="22"/>
          <w:lang w:eastAsia="en-US"/>
        </w:rPr>
        <w:t>The pre-ESC response commented that the relatively high rate of general anaesthesia in the IDE trial was due to the investigators being predominantly surgeons, whereas in Australian clinical practice implantation would be predominantly done by interventionalists</w:t>
      </w:r>
      <w:r w:rsidR="00CB7FBF">
        <w:rPr>
          <w:rFonts w:ascii="Franklin Gothic Book" w:eastAsia="Calibri" w:hAnsi="Franklin Gothic Book"/>
          <w:sz w:val="22"/>
          <w:szCs w:val="22"/>
          <w:lang w:eastAsia="en-US"/>
        </w:rPr>
        <w:t xml:space="preserve">/pain specialists </w:t>
      </w:r>
      <w:r w:rsidR="00E926CE" w:rsidRPr="00E926CE">
        <w:rPr>
          <w:rFonts w:ascii="Franklin Gothic Book" w:eastAsia="Calibri" w:hAnsi="Franklin Gothic Book"/>
          <w:sz w:val="22"/>
          <w:szCs w:val="22"/>
          <w:lang w:eastAsia="en-US"/>
        </w:rPr>
        <w:t>and performed in day surgery.</w:t>
      </w:r>
    </w:p>
    <w:p w14:paraId="3FCF75AE" w14:textId="635F7CC8"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 xml:space="preserve">The </w:t>
      </w:r>
      <w:r w:rsidR="00E926CE">
        <w:rPr>
          <w:rFonts w:ascii="Franklin Gothic Book" w:eastAsia="Calibri" w:hAnsi="Franklin Gothic Book"/>
          <w:sz w:val="22"/>
          <w:szCs w:val="22"/>
          <w:lang w:eastAsia="en-US"/>
        </w:rPr>
        <w:t xml:space="preserve">commentary stated that the </w:t>
      </w:r>
      <w:r w:rsidRPr="00986EC1">
        <w:rPr>
          <w:rFonts w:ascii="Franklin Gothic Book" w:eastAsia="Calibri" w:hAnsi="Franklin Gothic Book"/>
          <w:sz w:val="22"/>
          <w:szCs w:val="22"/>
          <w:lang w:eastAsia="en-US"/>
        </w:rPr>
        <w:t xml:space="preserve">fee </w:t>
      </w:r>
      <w:r w:rsidR="00E926CE">
        <w:rPr>
          <w:rFonts w:ascii="Franklin Gothic Book" w:eastAsia="Calibri" w:hAnsi="Franklin Gothic Book"/>
          <w:sz w:val="22"/>
          <w:szCs w:val="22"/>
          <w:lang w:eastAsia="en-US"/>
        </w:rPr>
        <w:t>w</w:t>
      </w:r>
      <w:r w:rsidRPr="00986EC1">
        <w:rPr>
          <w:rFonts w:ascii="Franklin Gothic Book" w:eastAsia="Calibri" w:hAnsi="Franklin Gothic Book"/>
          <w:sz w:val="22"/>
          <w:szCs w:val="22"/>
          <w:lang w:eastAsia="en-US"/>
        </w:rPr>
        <w:t>as not justified any further in the ADAR; however, a percutaneous procedure may require less time than the open procedure on which the fee is based.</w:t>
      </w:r>
      <w:r w:rsidR="00E926CE">
        <w:rPr>
          <w:rFonts w:ascii="Franklin Gothic Book" w:eastAsia="Calibri" w:hAnsi="Franklin Gothic Book"/>
          <w:sz w:val="22"/>
          <w:szCs w:val="22"/>
          <w:lang w:eastAsia="en-US"/>
        </w:rPr>
        <w:t xml:space="preserve"> </w:t>
      </w:r>
      <w:r w:rsidR="00E926CE" w:rsidRPr="00E926CE">
        <w:rPr>
          <w:rFonts w:ascii="Franklin Gothic Book" w:eastAsia="Calibri" w:hAnsi="Franklin Gothic Book"/>
          <w:sz w:val="22"/>
          <w:szCs w:val="22"/>
          <w:lang w:eastAsia="en-US"/>
        </w:rPr>
        <w:t>The pre-ESC response considered the proposed fee is reasonable, because although the proposed service is less invasive than the benchmark procedure, it involves a similar degree of technical complexity. The pre-ESC response stated technical complexity does not always correlate with invasiveness, due to complexities around access and visualisation for minimally invasive procedures.</w:t>
      </w:r>
    </w:p>
    <w:p w14:paraId="14E276E5"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Pain Specialists will primarily perform this procedure, with orthopaedic, spine, and neurosurgeons being a smaller group of treating physicians.</w:t>
      </w:r>
    </w:p>
    <w:p w14:paraId="4EF7EB22"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It is expected that patients will require one medical service per lifetime. However, additional services for revision or removal of the device may be required if complications arise postoperatively. Based on current utilisation of one and two-level laminectomies (MBS items 51011 and 51012), the Applicant expects that approximately 31% of patients eligible for the proposed device will be implanted at two levels.</w:t>
      </w:r>
    </w:p>
    <w:p w14:paraId="18045D2F"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procedure will be performed at a private or public day surgery clinic on admitted patients.</w:t>
      </w:r>
    </w:p>
    <w:p w14:paraId="7A7781C7" w14:textId="7ECFEF9E" w:rsidR="00986EC1" w:rsidRPr="00986EC1" w:rsidRDefault="0007499C" w:rsidP="00986EC1">
      <w:pPr>
        <w:keepNext/>
        <w:keepLines/>
        <w:spacing w:before="360" w:after="240"/>
        <w:outlineLvl w:val="1"/>
        <w:rPr>
          <w:rFonts w:ascii="Franklin Gothic Medium" w:eastAsia="SimSun" w:hAnsi="Franklin Gothic Medium"/>
          <w:color w:val="000000"/>
          <w:sz w:val="32"/>
          <w:szCs w:val="26"/>
          <w:lang w:eastAsia="en-US"/>
        </w:rPr>
      </w:pPr>
      <w:bookmarkStart w:id="20" w:name="_Toc69491419"/>
      <w:r>
        <w:rPr>
          <w:rFonts w:ascii="Franklin Gothic Medium" w:eastAsia="SimSun" w:hAnsi="Franklin Gothic Medium"/>
          <w:color w:val="000000"/>
          <w:sz w:val="32"/>
          <w:szCs w:val="26"/>
          <w:lang w:eastAsia="en-US"/>
        </w:rPr>
        <w:t>7</w:t>
      </w:r>
      <w:r w:rsidR="00986EC1" w:rsidRPr="00986EC1">
        <w:rPr>
          <w:rFonts w:ascii="Franklin Gothic Medium" w:eastAsia="SimSun" w:hAnsi="Franklin Gothic Medium"/>
          <w:color w:val="000000"/>
          <w:sz w:val="32"/>
          <w:szCs w:val="26"/>
          <w:lang w:eastAsia="en-US"/>
        </w:rPr>
        <w:t>.</w:t>
      </w:r>
      <w:r w:rsidR="00986EC1" w:rsidRPr="00986EC1">
        <w:rPr>
          <w:rFonts w:ascii="Franklin Gothic Medium" w:eastAsia="SimSun" w:hAnsi="Franklin Gothic Medium"/>
          <w:color w:val="000000"/>
          <w:sz w:val="32"/>
          <w:szCs w:val="26"/>
          <w:lang w:eastAsia="en-US"/>
        </w:rPr>
        <w:tab/>
        <w:t>Population</w:t>
      </w:r>
      <w:bookmarkEnd w:id="20"/>
    </w:p>
    <w:p w14:paraId="55BAA7DA" w14:textId="52552669" w:rsidR="00986EC1" w:rsidRPr="00986EC1" w:rsidRDefault="00986EC1" w:rsidP="00986EC1">
      <w:pPr>
        <w:keepNext/>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population defined in the ratified PICO Confirmation and the ADAR is</w:t>
      </w:r>
      <w:r w:rsidR="00F3083C">
        <w:rPr>
          <w:rFonts w:ascii="Franklin Gothic Book" w:eastAsia="Calibri" w:hAnsi="Franklin Gothic Book"/>
          <w:sz w:val="22"/>
          <w:szCs w:val="22"/>
          <w:lang w:eastAsia="en-US"/>
        </w:rPr>
        <w:t xml:space="preserve"> consistent with the indications of the FDA-IDE trial</w:t>
      </w:r>
      <w:r w:rsidRPr="00986EC1">
        <w:rPr>
          <w:rFonts w:ascii="Franklin Gothic Book" w:eastAsia="Calibri" w:hAnsi="Franklin Gothic Book"/>
          <w:sz w:val="22"/>
          <w:szCs w:val="22"/>
          <w:lang w:eastAsia="en-US"/>
        </w:rPr>
        <w:t>:</w:t>
      </w:r>
    </w:p>
    <w:p w14:paraId="74C63A12" w14:textId="77777777" w:rsidR="00986EC1" w:rsidRPr="00986EC1" w:rsidRDefault="00986EC1" w:rsidP="00986EC1">
      <w:pPr>
        <w:keepNext/>
        <w:spacing w:before="120" w:after="160" w:line="259" w:lineRule="auto"/>
        <w:ind w:firstLine="360"/>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Skeletally mature patients with all of the following:</w:t>
      </w:r>
    </w:p>
    <w:p w14:paraId="73AEC99C" w14:textId="045219AB" w:rsidR="00986EC1" w:rsidRPr="00986EC1" w:rsidRDefault="00986EC1" w:rsidP="00D53E11">
      <w:pPr>
        <w:pStyle w:val="ListParagraph"/>
        <w:numPr>
          <w:ilvl w:val="0"/>
          <w:numId w:val="56"/>
        </w:num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neurogenic intermittent claudication secondary to a diagnosis of moderate degenerative lumbar spinal stenosis*, with or without grade 1 spondylolisthesis (on a scale of 1 to 4</w:t>
      </w:r>
      <w:r w:rsidR="00F3083C" w:rsidRPr="00D53E11">
        <w:rPr>
          <w:rFonts w:ascii="Franklin Gothic Book" w:eastAsia="Calibri" w:hAnsi="Franklin Gothic Book"/>
          <w:vertAlign w:val="superscript"/>
        </w:rPr>
        <w:footnoteReference w:id="9"/>
      </w:r>
      <w:r w:rsidRPr="00986EC1">
        <w:rPr>
          <w:rFonts w:ascii="Franklin Gothic Book" w:eastAsia="Calibri" w:hAnsi="Franklin Gothic Book"/>
          <w:sz w:val="22"/>
          <w:szCs w:val="22"/>
          <w:lang w:eastAsia="en-US"/>
        </w:rPr>
        <w:t xml:space="preserve">), confirmed by </w:t>
      </w:r>
      <w:r w:rsidR="009011FF">
        <w:rPr>
          <w:rFonts w:ascii="Franklin Gothic Book" w:eastAsia="Calibri" w:hAnsi="Franklin Gothic Book"/>
          <w:sz w:val="22"/>
          <w:szCs w:val="22"/>
          <w:lang w:eastAsia="en-US"/>
        </w:rPr>
        <w:t>x</w:t>
      </w:r>
      <w:r w:rsidRPr="00986EC1">
        <w:rPr>
          <w:rFonts w:ascii="Franklin Gothic Book" w:eastAsia="Calibri" w:hAnsi="Franklin Gothic Book"/>
          <w:sz w:val="22"/>
          <w:szCs w:val="22"/>
          <w:lang w:eastAsia="en-US"/>
        </w:rPr>
        <w:t>-ray, magnetic resonance imaging (MRI) and/or computed tomography (CT) evidence of thickened ligamentum flavum, narrowed lateral recess and/or central canal or foraminal narrowing</w:t>
      </w:r>
      <w:r w:rsidR="00D53E11">
        <w:rPr>
          <w:rFonts w:ascii="Franklin Gothic Book" w:eastAsia="Calibri" w:hAnsi="Franklin Gothic Book"/>
          <w:sz w:val="22"/>
          <w:szCs w:val="22"/>
          <w:lang w:eastAsia="en-US"/>
        </w:rPr>
        <w:t>.</w:t>
      </w:r>
    </w:p>
    <w:p w14:paraId="1379564B" w14:textId="2810C4BA" w:rsidR="00986EC1" w:rsidRPr="00986EC1" w:rsidRDefault="00986EC1" w:rsidP="00D53E11">
      <w:pPr>
        <w:pStyle w:val="ListParagraph"/>
        <w:numPr>
          <w:ilvl w:val="0"/>
          <w:numId w:val="56"/>
        </w:num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impaired physical function and</w:t>
      </w:r>
      <w:r w:rsidR="00DE0CF2">
        <w:rPr>
          <w:rFonts w:ascii="Franklin Gothic Book" w:eastAsia="Calibri" w:hAnsi="Franklin Gothic Book"/>
          <w:sz w:val="22"/>
          <w:szCs w:val="22"/>
          <w:lang w:eastAsia="en-US"/>
        </w:rPr>
        <w:t xml:space="preserve"> experience relief in flexion from</w:t>
      </w:r>
      <w:r w:rsidRPr="00986EC1">
        <w:rPr>
          <w:rFonts w:ascii="Franklin Gothic Book" w:eastAsia="Calibri" w:hAnsi="Franklin Gothic Book"/>
          <w:sz w:val="22"/>
          <w:szCs w:val="22"/>
          <w:lang w:eastAsia="en-US"/>
        </w:rPr>
        <w:t xml:space="preserve"> symptoms of leg/buttock/groin pain</w:t>
      </w:r>
      <w:r w:rsidR="00DE0CF2">
        <w:rPr>
          <w:rFonts w:ascii="Franklin Gothic Book" w:eastAsia="Calibri" w:hAnsi="Franklin Gothic Book"/>
          <w:sz w:val="22"/>
          <w:szCs w:val="22"/>
          <w:lang w:eastAsia="en-US"/>
        </w:rPr>
        <w:t>, numbness, and/or cramping</w:t>
      </w:r>
      <w:r w:rsidRPr="00986EC1">
        <w:rPr>
          <w:rFonts w:ascii="Franklin Gothic Book" w:eastAsia="Calibri" w:hAnsi="Franklin Gothic Book"/>
          <w:sz w:val="22"/>
          <w:szCs w:val="22"/>
          <w:lang w:eastAsia="en-US"/>
        </w:rPr>
        <w:t>, with or without back pain, who have undergone at least 6 months of non-operative treatment</w:t>
      </w:r>
      <w:r w:rsidR="00DE0CF2">
        <w:rPr>
          <w:rFonts w:ascii="Franklin Gothic Book" w:eastAsia="Calibri" w:hAnsi="Franklin Gothic Book"/>
          <w:sz w:val="22"/>
          <w:szCs w:val="22"/>
          <w:lang w:eastAsia="en-US"/>
        </w:rPr>
        <w:t>.</w:t>
      </w:r>
    </w:p>
    <w:p w14:paraId="30F02F06" w14:textId="47C361FF" w:rsidR="00986EC1" w:rsidRPr="00986EC1" w:rsidRDefault="00986EC1" w:rsidP="00D53E11">
      <w:pPr>
        <w:pStyle w:val="ListParagraph"/>
        <w:numPr>
          <w:ilvl w:val="0"/>
          <w:numId w:val="56"/>
        </w:num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lastRenderedPageBreak/>
        <w:t>an indication for treatment at no more than two levels, from L1 to L5</w:t>
      </w:r>
      <w:r w:rsidR="00DE0CF2">
        <w:rPr>
          <w:rFonts w:ascii="Franklin Gothic Book" w:eastAsia="Calibri" w:hAnsi="Franklin Gothic Book"/>
          <w:sz w:val="22"/>
          <w:szCs w:val="22"/>
          <w:lang w:eastAsia="en-US"/>
        </w:rPr>
        <w:t>.</w:t>
      </w:r>
    </w:p>
    <w:p w14:paraId="0948C05D" w14:textId="77777777" w:rsidR="00986EC1" w:rsidRPr="00986EC1" w:rsidRDefault="00986EC1" w:rsidP="00986EC1">
      <w:pPr>
        <w:spacing w:before="120" w:after="160" w:line="259" w:lineRule="auto"/>
        <w:ind w:left="360"/>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*Defined as a 25-50% reduction in the central canal and/or nerve root canal (subarticular, neuroforaminal) compared with the adjacent levels on radiographic studies, with radiographic confirmation of any one of the following:</w:t>
      </w:r>
    </w:p>
    <w:p w14:paraId="470878B1" w14:textId="77777777" w:rsidR="00986EC1" w:rsidRPr="00D53E11" w:rsidRDefault="00986EC1" w:rsidP="00D53E11">
      <w:pPr>
        <w:pStyle w:val="ListParagraph"/>
        <w:numPr>
          <w:ilvl w:val="0"/>
          <w:numId w:val="56"/>
        </w:numPr>
        <w:spacing w:before="120" w:after="160" w:line="259" w:lineRule="auto"/>
        <w:rPr>
          <w:rFonts w:ascii="Franklin Gothic Book" w:eastAsia="Calibri" w:hAnsi="Franklin Gothic Book"/>
          <w:sz w:val="22"/>
          <w:szCs w:val="22"/>
          <w:lang w:eastAsia="en-US"/>
        </w:rPr>
      </w:pPr>
      <w:r w:rsidRPr="00D53E11">
        <w:rPr>
          <w:rFonts w:ascii="Franklin Gothic Book" w:eastAsia="Calibri" w:hAnsi="Franklin Gothic Book"/>
          <w:sz w:val="22"/>
          <w:szCs w:val="22"/>
          <w:lang w:eastAsia="en-US"/>
        </w:rPr>
        <w:t>evidence of thecal sac and/or cauda equina compression</w:t>
      </w:r>
    </w:p>
    <w:p w14:paraId="2B0AEE07" w14:textId="77777777" w:rsidR="00986EC1" w:rsidRPr="00D53E11" w:rsidRDefault="00986EC1" w:rsidP="00D53E11">
      <w:pPr>
        <w:pStyle w:val="ListParagraph"/>
        <w:numPr>
          <w:ilvl w:val="0"/>
          <w:numId w:val="56"/>
        </w:numPr>
        <w:spacing w:before="120" w:after="160" w:line="259" w:lineRule="auto"/>
        <w:rPr>
          <w:rFonts w:ascii="Franklin Gothic Book" w:eastAsia="Calibri" w:hAnsi="Franklin Gothic Book"/>
          <w:sz w:val="22"/>
          <w:szCs w:val="22"/>
          <w:lang w:eastAsia="en-US"/>
        </w:rPr>
      </w:pPr>
      <w:r w:rsidRPr="00D53E11">
        <w:rPr>
          <w:rFonts w:ascii="Franklin Gothic Book" w:eastAsia="Calibri" w:hAnsi="Franklin Gothic Book"/>
          <w:sz w:val="22"/>
          <w:szCs w:val="22"/>
          <w:lang w:eastAsia="en-US"/>
        </w:rPr>
        <w:t>evidence of nerve root displacement or compression by either osseous or non-osseous elements</w:t>
      </w:r>
    </w:p>
    <w:p w14:paraId="5D5A4035" w14:textId="77777777" w:rsidR="00986EC1" w:rsidRPr="00D53E11" w:rsidRDefault="00986EC1" w:rsidP="000B6893">
      <w:pPr>
        <w:pStyle w:val="ListParagraph"/>
        <w:numPr>
          <w:ilvl w:val="0"/>
          <w:numId w:val="56"/>
        </w:numPr>
        <w:spacing w:before="120" w:after="240"/>
        <w:ind w:left="714" w:hanging="357"/>
        <w:contextualSpacing w:val="0"/>
        <w:rPr>
          <w:rFonts w:ascii="Franklin Gothic Book" w:eastAsia="Calibri" w:hAnsi="Franklin Gothic Book"/>
          <w:sz w:val="22"/>
          <w:szCs w:val="22"/>
          <w:lang w:eastAsia="en-US"/>
        </w:rPr>
      </w:pPr>
      <w:r w:rsidRPr="00D53E11">
        <w:rPr>
          <w:rFonts w:ascii="Franklin Gothic Book" w:eastAsia="Calibri" w:hAnsi="Franklin Gothic Book"/>
          <w:sz w:val="22"/>
          <w:szCs w:val="22"/>
          <w:lang w:eastAsia="en-US"/>
        </w:rPr>
        <w:t>evidence of hypertrophic facets with canal encroachment</w:t>
      </w:r>
    </w:p>
    <w:p w14:paraId="6A5E1DE6" w14:textId="15361297" w:rsidR="00986EC1" w:rsidRPr="00986EC1" w:rsidRDefault="00986EC1" w:rsidP="000B6893">
      <w:pPr>
        <w:spacing w:before="240" w:after="160" w:line="259" w:lineRule="auto"/>
        <w:ind w:left="357"/>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 xml:space="preserve">AND the following clinical </w:t>
      </w:r>
      <w:r w:rsidR="00D53E11">
        <w:rPr>
          <w:rFonts w:ascii="Franklin Gothic Book" w:eastAsia="Calibri" w:hAnsi="Franklin Gothic Book"/>
          <w:sz w:val="22"/>
          <w:szCs w:val="22"/>
          <w:lang w:eastAsia="en-US"/>
        </w:rPr>
        <w:t>symptoms</w:t>
      </w:r>
      <w:r w:rsidRPr="00986EC1">
        <w:rPr>
          <w:rFonts w:ascii="Franklin Gothic Book" w:eastAsia="Calibri" w:hAnsi="Franklin Gothic Book"/>
          <w:sz w:val="22"/>
          <w:szCs w:val="22"/>
          <w:lang w:eastAsia="en-US"/>
        </w:rPr>
        <w:t>:</w:t>
      </w:r>
    </w:p>
    <w:p w14:paraId="37ADE8EE" w14:textId="77777777" w:rsidR="00986EC1" w:rsidRPr="00986EC1" w:rsidRDefault="00986EC1" w:rsidP="00D53E11">
      <w:pPr>
        <w:pStyle w:val="ListParagraph"/>
        <w:numPr>
          <w:ilvl w:val="0"/>
          <w:numId w:val="56"/>
        </w:num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moderately impaired physical function (≥2 of the Zurich Claudication Questionnaire)</w:t>
      </w:r>
    </w:p>
    <w:p w14:paraId="2F96B929" w14:textId="34C96433" w:rsidR="00E926CE" w:rsidRPr="0007499C" w:rsidRDefault="00986EC1" w:rsidP="00D53E11">
      <w:pPr>
        <w:pStyle w:val="ListParagraph"/>
        <w:numPr>
          <w:ilvl w:val="0"/>
          <w:numId w:val="56"/>
        </w:num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ability to sit for 50 minutes without pain and to walk ≥</w:t>
      </w:r>
      <w:r w:rsidR="00D53E11">
        <w:rPr>
          <w:rFonts w:ascii="Franklin Gothic Book" w:eastAsia="Calibri" w:hAnsi="Franklin Gothic Book"/>
          <w:sz w:val="22"/>
          <w:szCs w:val="22"/>
          <w:lang w:eastAsia="en-US"/>
        </w:rPr>
        <w:t>15.2 metres</w:t>
      </w:r>
      <w:r w:rsidRPr="00D53E11">
        <w:rPr>
          <w:rFonts w:ascii="Franklin Gothic Book" w:eastAsia="Calibri" w:hAnsi="Franklin Gothic Book"/>
          <w:sz w:val="22"/>
          <w:szCs w:val="22"/>
          <w:vertAlign w:val="superscript"/>
          <w:lang w:eastAsia="en-US"/>
        </w:rPr>
        <w:footnoteReference w:id="10"/>
      </w:r>
      <w:r w:rsidRPr="00986EC1">
        <w:rPr>
          <w:rFonts w:ascii="Franklin Gothic Book" w:eastAsia="Calibri" w:hAnsi="Franklin Gothic Book"/>
          <w:sz w:val="22"/>
          <w:szCs w:val="22"/>
          <w:lang w:eastAsia="en-US"/>
        </w:rPr>
        <w:t>.</w:t>
      </w:r>
    </w:p>
    <w:p w14:paraId="6348D5F6" w14:textId="237B7A95" w:rsidR="00986EC1" w:rsidRPr="00986EC1" w:rsidRDefault="00986EC1" w:rsidP="00251CF7">
      <w:pPr>
        <w:spacing w:before="24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PASC noted the difficulty of defining what constitutes moderate LSS in terms of radiologic and clinical criteria given the current lack of universally agreed diagnostic criteria and the lack of correlation between radiologic and clinical symptoms and signs of LSS in many patients. This is further complicated in cases with co-existing low-grade lumbar spondylolisthesis.</w:t>
      </w:r>
    </w:p>
    <w:p w14:paraId="7C452EE8" w14:textId="77777777" w:rsidR="00986EC1" w:rsidRPr="00986EC1" w:rsidRDefault="00986EC1" w:rsidP="00251CF7">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As specified in the population description, the proposed technology follows a trial of unsuccessful conservative treatment, and patients will have had the source of their pain verified through clinical assessment, plain radiography, MRI and discography where appropriate. The proposed intervention is to be used as an alternative to existing surgical approaches, specified as decompression with or without fusion. The main difference in the patient pathway is that the intervention is minimally invasive, so patients are anticipated to have no, or shorter, hospitalisations, fewer complications and little or no rehabilitation.</w:t>
      </w:r>
    </w:p>
    <w:p w14:paraId="052573BE" w14:textId="056997C3"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 xml:space="preserve">Although IDS is a replacement for surgery, some patients will require a revision due to failed treatment and therefore may have the comparator treatment after unsuccessful IDS treatment. There is also the possibility that a minimally invasive option may expand the patient population and therefore IDS is an additional option following failed conservative treatment for patients who are not eligible for, or prefer not to undergo, surgical treatment. This population </w:t>
      </w:r>
      <w:r w:rsidR="00A74F27">
        <w:rPr>
          <w:rFonts w:ascii="Franklin Gothic Book" w:eastAsia="Calibri" w:hAnsi="Franklin Gothic Book"/>
          <w:sz w:val="22"/>
          <w:szCs w:val="22"/>
          <w:lang w:eastAsia="en-US"/>
        </w:rPr>
        <w:t>wa</w:t>
      </w:r>
      <w:r w:rsidRPr="00986EC1">
        <w:rPr>
          <w:rFonts w:ascii="Franklin Gothic Book" w:eastAsia="Calibri" w:hAnsi="Franklin Gothic Book"/>
          <w:sz w:val="22"/>
          <w:szCs w:val="22"/>
          <w:lang w:eastAsia="en-US"/>
        </w:rPr>
        <w:t>s considered in the ADAR supplementary analysis.</w:t>
      </w:r>
    </w:p>
    <w:p w14:paraId="08D60470"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ADAR addressed the population as specified in the ratified PICO Confirmation.</w:t>
      </w:r>
    </w:p>
    <w:p w14:paraId="1574E9F2" w14:textId="4B84AC2D" w:rsidR="00986EC1" w:rsidRPr="00986EC1" w:rsidRDefault="0007499C" w:rsidP="00986EC1">
      <w:pPr>
        <w:keepNext/>
        <w:keepLines/>
        <w:spacing w:before="360" w:after="240"/>
        <w:outlineLvl w:val="1"/>
        <w:rPr>
          <w:rFonts w:ascii="Franklin Gothic Medium" w:eastAsia="SimSun" w:hAnsi="Franklin Gothic Medium"/>
          <w:color w:val="000000"/>
          <w:sz w:val="32"/>
          <w:szCs w:val="26"/>
          <w:lang w:eastAsia="en-US"/>
        </w:rPr>
      </w:pPr>
      <w:bookmarkStart w:id="21" w:name="_Toc69491420"/>
      <w:r>
        <w:rPr>
          <w:rFonts w:ascii="Franklin Gothic Medium" w:eastAsia="SimSun" w:hAnsi="Franklin Gothic Medium"/>
          <w:color w:val="000000"/>
          <w:sz w:val="32"/>
          <w:szCs w:val="26"/>
          <w:lang w:eastAsia="en-US"/>
        </w:rPr>
        <w:t>8</w:t>
      </w:r>
      <w:r w:rsidR="00986EC1" w:rsidRPr="00986EC1">
        <w:rPr>
          <w:rFonts w:ascii="Franklin Gothic Medium" w:eastAsia="SimSun" w:hAnsi="Franklin Gothic Medium"/>
          <w:color w:val="000000"/>
          <w:sz w:val="32"/>
          <w:szCs w:val="26"/>
          <w:lang w:eastAsia="en-US"/>
        </w:rPr>
        <w:t>.</w:t>
      </w:r>
      <w:r w:rsidR="00986EC1" w:rsidRPr="00986EC1">
        <w:rPr>
          <w:rFonts w:ascii="Franklin Gothic Medium" w:eastAsia="SimSun" w:hAnsi="Franklin Gothic Medium"/>
          <w:color w:val="000000"/>
          <w:sz w:val="32"/>
          <w:szCs w:val="26"/>
          <w:lang w:eastAsia="en-US"/>
        </w:rPr>
        <w:tab/>
        <w:t>Comparator</w:t>
      </w:r>
      <w:bookmarkEnd w:id="21"/>
    </w:p>
    <w:p w14:paraId="413FB7AA"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comparator in the ADAR is:</w:t>
      </w:r>
    </w:p>
    <w:p w14:paraId="4475CAED" w14:textId="152779F3" w:rsidR="00986EC1" w:rsidRPr="006D04F9" w:rsidRDefault="00986EC1" w:rsidP="006D04F9">
      <w:pPr>
        <w:pStyle w:val="ListParagraph"/>
        <w:numPr>
          <w:ilvl w:val="0"/>
          <w:numId w:val="49"/>
        </w:numPr>
        <w:spacing w:before="120" w:after="160" w:line="259" w:lineRule="auto"/>
        <w:rPr>
          <w:rFonts w:ascii="Franklin Gothic Book" w:eastAsia="Calibri" w:hAnsi="Franklin Gothic Book"/>
          <w:sz w:val="22"/>
          <w:szCs w:val="22"/>
          <w:lang w:eastAsia="en-US"/>
        </w:rPr>
      </w:pPr>
      <w:r w:rsidRPr="006D04F9">
        <w:rPr>
          <w:rFonts w:ascii="Franklin Gothic Book" w:eastAsia="Calibri" w:hAnsi="Franklin Gothic Book"/>
          <w:sz w:val="22"/>
          <w:szCs w:val="22"/>
          <w:lang w:eastAsia="en-US"/>
        </w:rPr>
        <w:t xml:space="preserve">a weighted comparator of laminectomy with or without spinal fusion </w:t>
      </w:r>
    </w:p>
    <w:p w14:paraId="75F6BB96" w14:textId="4E1B025A" w:rsidR="00986EC1" w:rsidRPr="006D04F9" w:rsidRDefault="00986EC1" w:rsidP="006D04F9">
      <w:pPr>
        <w:pStyle w:val="ListParagraph"/>
        <w:numPr>
          <w:ilvl w:val="0"/>
          <w:numId w:val="49"/>
        </w:numPr>
        <w:spacing w:before="120" w:after="160" w:line="259" w:lineRule="auto"/>
        <w:rPr>
          <w:rFonts w:ascii="Franklin Gothic Book" w:eastAsia="Calibri" w:hAnsi="Franklin Gothic Book"/>
          <w:sz w:val="22"/>
          <w:szCs w:val="22"/>
          <w:lang w:eastAsia="en-US"/>
        </w:rPr>
      </w:pPr>
      <w:r w:rsidRPr="006D04F9">
        <w:rPr>
          <w:rFonts w:ascii="Franklin Gothic Book" w:eastAsia="Calibri" w:hAnsi="Franklin Gothic Book"/>
          <w:sz w:val="22"/>
          <w:szCs w:val="22"/>
          <w:lang w:eastAsia="en-US"/>
        </w:rPr>
        <w:t>supplementary comparison with conservative care.</w:t>
      </w:r>
    </w:p>
    <w:p w14:paraId="1587735D" w14:textId="218723FC"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aim of decompression is to alleviate pain caused by compression of a nerve; laminectomy involves removal of a portion of bone over the nerve root. Minimally invasive approaches have been developed, although the ADAR state</w:t>
      </w:r>
      <w:r w:rsidR="00A74F27">
        <w:rPr>
          <w:rFonts w:ascii="Franklin Gothic Book" w:eastAsia="Calibri" w:hAnsi="Franklin Gothic Book"/>
          <w:sz w:val="22"/>
          <w:szCs w:val="22"/>
          <w:lang w:eastAsia="en-US"/>
        </w:rPr>
        <w:t>d</w:t>
      </w:r>
      <w:r w:rsidRPr="00986EC1">
        <w:rPr>
          <w:rFonts w:ascii="Franklin Gothic Book" w:eastAsia="Calibri" w:hAnsi="Franklin Gothic Book"/>
          <w:sz w:val="22"/>
          <w:szCs w:val="22"/>
          <w:lang w:eastAsia="en-US"/>
        </w:rPr>
        <w:t xml:space="preserve"> that uptake has been low due to lack of evidence on their benefits.</w:t>
      </w:r>
    </w:p>
    <w:p w14:paraId="086172A8"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bookmarkStart w:id="22" w:name="_Hlk73622403"/>
      <w:r w:rsidRPr="00986EC1">
        <w:rPr>
          <w:rFonts w:ascii="Franklin Gothic Book" w:eastAsia="Calibri" w:hAnsi="Franklin Gothic Book"/>
          <w:sz w:val="22"/>
          <w:szCs w:val="22"/>
          <w:lang w:eastAsia="en-US"/>
        </w:rPr>
        <w:t xml:space="preserve">The aim of fusion surgery is to use a bone graft to fuse the vertebrae superior and inferior to a disc. </w:t>
      </w:r>
      <w:bookmarkEnd w:id="22"/>
      <w:r w:rsidRPr="00986EC1">
        <w:rPr>
          <w:rFonts w:ascii="Franklin Gothic Book" w:eastAsia="Calibri" w:hAnsi="Franklin Gothic Book"/>
          <w:sz w:val="22"/>
          <w:szCs w:val="22"/>
          <w:lang w:eastAsia="en-US"/>
        </w:rPr>
        <w:t xml:space="preserve">Bone grafts can be either autologous (harvested from the patient’s own pelvic bone) or an allograft (from a bone bank). Recently, bone morphogenetic protein products have also been </w:t>
      </w:r>
      <w:r w:rsidRPr="00986EC1">
        <w:rPr>
          <w:rFonts w:ascii="Franklin Gothic Book" w:eastAsia="Calibri" w:hAnsi="Franklin Gothic Book"/>
          <w:sz w:val="22"/>
          <w:szCs w:val="22"/>
          <w:lang w:eastAsia="en-US"/>
        </w:rPr>
        <w:lastRenderedPageBreak/>
        <w:t>used. There are a number of different methods of performing fusion surgery, including anterior or posterior lumbar intervertebral body fusion and posterolateral fusion. Instrumentation is used to facilitate the fusion by providing stability. There are three types of spinal instrumentation: pedicle screws, anterior interbody cages, and posterior lumbar cages. Fusion surgery is only occasionally performed without prior decompression, and fusion surgery alone was therefore excluded from the assessment (although it remains in the clinical algorithm).</w:t>
      </w:r>
    </w:p>
    <w:p w14:paraId="1D784F88" w14:textId="561FCC52"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relevant MBS item numbers for decompression are MBS items 51011 (one segment) and 51012 (two segments) based on its TGA-approved indication. For patients who require posterolateral spinal fusion without instrumentation in combination with a decompression procedure, MBS items 51031 (one segment) and 51032 (two segments) may be selected. For posterolateral spinal fusion with instrumentation, an additional item can be selected from MBS items 51020 (simple fixation), 51021 (one segment) and 51022 (two segments), as described below</w:t>
      </w:r>
      <w:r w:rsidR="00082699">
        <w:rPr>
          <w:rFonts w:ascii="Franklin Gothic Book" w:eastAsia="Calibri" w:hAnsi="Franklin Gothic Book"/>
          <w:sz w:val="22"/>
          <w:szCs w:val="22"/>
          <w:lang w:eastAsia="en-US"/>
        </w:rPr>
        <w:t xml:space="preserve"> (</w:t>
      </w:r>
      <w:r w:rsidR="00082699">
        <w:rPr>
          <w:rFonts w:ascii="Franklin Gothic Book" w:eastAsia="Calibri" w:hAnsi="Franklin Gothic Book"/>
          <w:sz w:val="22"/>
          <w:szCs w:val="22"/>
          <w:lang w:eastAsia="en-US"/>
        </w:rPr>
        <w:fldChar w:fldCharType="begin"/>
      </w:r>
      <w:r w:rsidR="00082699">
        <w:rPr>
          <w:rFonts w:ascii="Franklin Gothic Book" w:eastAsia="Calibri" w:hAnsi="Franklin Gothic Book"/>
          <w:sz w:val="22"/>
          <w:szCs w:val="22"/>
          <w:lang w:eastAsia="en-US"/>
        </w:rPr>
        <w:instrText xml:space="preserve"> REF _Ref85025699  \* MERGEFORMAT </w:instrText>
      </w:r>
      <w:r w:rsidR="00082699">
        <w:rPr>
          <w:rFonts w:ascii="Franklin Gothic Book" w:eastAsia="Calibri" w:hAnsi="Franklin Gothic Book"/>
          <w:sz w:val="22"/>
          <w:szCs w:val="22"/>
          <w:lang w:eastAsia="en-US"/>
        </w:rPr>
        <w:fldChar w:fldCharType="separate"/>
      </w:r>
      <w:r w:rsidR="00EE4CB3" w:rsidRPr="00EE4CB3">
        <w:rPr>
          <w:rFonts w:ascii="Franklin Gothic Book" w:eastAsia="Calibri" w:hAnsi="Franklin Gothic Book"/>
          <w:sz w:val="22"/>
          <w:szCs w:val="22"/>
          <w:lang w:eastAsia="en-US"/>
        </w:rPr>
        <w:t>Table 3</w:t>
      </w:r>
      <w:r w:rsidR="00082699">
        <w:rPr>
          <w:rFonts w:ascii="Franklin Gothic Book" w:eastAsia="Calibri" w:hAnsi="Franklin Gothic Book"/>
          <w:sz w:val="22"/>
          <w:szCs w:val="22"/>
          <w:lang w:eastAsia="en-US"/>
        </w:rPr>
        <w:fldChar w:fldCharType="end"/>
      </w:r>
      <w:r w:rsidR="00082699">
        <w:rPr>
          <w:rFonts w:ascii="Franklin Gothic Book" w:eastAsia="Calibri" w:hAnsi="Franklin Gothic Book"/>
          <w:sz w:val="22"/>
          <w:szCs w:val="22"/>
          <w:lang w:eastAsia="en-US"/>
        </w:rPr>
        <w:t>)</w:t>
      </w:r>
      <w:r w:rsidRPr="00986EC1">
        <w:rPr>
          <w:rFonts w:ascii="Franklin Gothic Book" w:eastAsia="Calibri" w:hAnsi="Franklin Gothic Book"/>
          <w:sz w:val="22"/>
          <w:szCs w:val="22"/>
          <w:lang w:eastAsia="en-US"/>
        </w:rPr>
        <w:t>.</w:t>
      </w:r>
    </w:p>
    <w:p w14:paraId="2B8FC63C" w14:textId="67C85B2F" w:rsidR="00986EC1" w:rsidRPr="00986EC1" w:rsidRDefault="00986EC1" w:rsidP="00986EC1">
      <w:pPr>
        <w:keepNext/>
        <w:spacing w:before="360" w:after="120"/>
        <w:ind w:left="794" w:hanging="794"/>
        <w:rPr>
          <w:rFonts w:ascii="Arial Narrow" w:hAnsi="Arial Narrow"/>
          <w:b/>
          <w:bCs/>
          <w:sz w:val="20"/>
          <w:lang w:eastAsia="en-US"/>
        </w:rPr>
      </w:pPr>
      <w:bookmarkStart w:id="23" w:name="_Ref85025699"/>
      <w:r w:rsidRPr="00986EC1">
        <w:rPr>
          <w:rFonts w:ascii="Arial Narrow" w:hAnsi="Arial Narrow"/>
          <w:b/>
          <w:bCs/>
          <w:sz w:val="20"/>
          <w:lang w:eastAsia="en-US"/>
        </w:rPr>
        <w:t xml:space="preserve">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3</w:t>
      </w:r>
      <w:r w:rsidRPr="00986EC1">
        <w:rPr>
          <w:rFonts w:ascii="Arial Narrow" w:hAnsi="Arial Narrow"/>
          <w:b/>
          <w:bCs/>
          <w:noProof/>
          <w:sz w:val="20"/>
          <w:lang w:eastAsia="en-US"/>
        </w:rPr>
        <w:fldChar w:fldCharType="end"/>
      </w:r>
      <w:bookmarkEnd w:id="23"/>
      <w:r w:rsidRPr="00986EC1">
        <w:rPr>
          <w:rFonts w:ascii="Arial Narrow" w:hAnsi="Arial Narrow"/>
          <w:b/>
          <w:bCs/>
          <w:sz w:val="20"/>
          <w:lang w:eastAsia="en-US"/>
        </w:rPr>
        <w:tab/>
        <w:t>Comparator MBS items</w:t>
      </w:r>
    </w:p>
    <w:tbl>
      <w:tblPr>
        <w:tblStyle w:val="HealthConsult1"/>
        <w:tblW w:w="5000" w:type="pct"/>
        <w:tblLook w:val="04A0" w:firstRow="1" w:lastRow="0" w:firstColumn="1" w:lastColumn="0" w:noHBand="0" w:noVBand="1"/>
      </w:tblPr>
      <w:tblGrid>
        <w:gridCol w:w="9016"/>
      </w:tblGrid>
      <w:tr w:rsidR="00986EC1" w:rsidRPr="00986EC1" w14:paraId="41DB3DBA" w14:textId="77777777" w:rsidTr="005917C2">
        <w:tc>
          <w:tcPr>
            <w:tcW w:w="5000" w:type="pct"/>
          </w:tcPr>
          <w:p w14:paraId="45B4BD9E"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Decompression</w:t>
            </w:r>
          </w:p>
        </w:tc>
      </w:tr>
      <w:tr w:rsidR="00986EC1" w:rsidRPr="00986EC1" w14:paraId="67B46A01" w14:textId="77777777" w:rsidTr="005917C2">
        <w:tc>
          <w:tcPr>
            <w:tcW w:w="5000" w:type="pct"/>
          </w:tcPr>
          <w:p w14:paraId="12DBCE8E"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51011 </w:t>
            </w:r>
          </w:p>
          <w:p w14:paraId="158FEA17"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Spinal decompression or exposure via partial or total laminectomy, partial vertebrectomy or posterior spinal release, one motion segment, not being a service associated with a service to which item 51012, 51013, 51014 or 51015 applies</w:t>
            </w:r>
          </w:p>
          <w:p w14:paraId="4D14394A"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Multiple Operation Rule</w:t>
            </w:r>
          </w:p>
          <w:p w14:paraId="1BE6A9EC"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(Anaes.) (Assist.)</w:t>
            </w:r>
          </w:p>
          <w:p w14:paraId="7B1174A2"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Fee: $1,458.45 Benefit: 75% = $1,093.85</w:t>
            </w:r>
          </w:p>
        </w:tc>
      </w:tr>
      <w:tr w:rsidR="00986EC1" w:rsidRPr="00986EC1" w14:paraId="36FC5D19" w14:textId="77777777" w:rsidTr="005917C2">
        <w:tc>
          <w:tcPr>
            <w:tcW w:w="5000" w:type="pct"/>
          </w:tcPr>
          <w:p w14:paraId="0F538BA6"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51012 </w:t>
            </w:r>
          </w:p>
          <w:p w14:paraId="13210645"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Spinal decompression or exposure via partial or total laminectomy, partial vertebrectomy or posterior spinal release, 2 motion segments, not being a service associated with a service to which item 51011, 51013, 51014 or 51015 applies</w:t>
            </w:r>
          </w:p>
          <w:p w14:paraId="74FA49EC"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Multiple Operation Rule</w:t>
            </w:r>
          </w:p>
          <w:p w14:paraId="40F2E02A"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(Anaes.) (Assist.)</w:t>
            </w:r>
          </w:p>
          <w:p w14:paraId="408E87CB"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Fee: $1,944.40 Benefit: 75% = $1,458.30</w:t>
            </w:r>
          </w:p>
        </w:tc>
      </w:tr>
      <w:tr w:rsidR="00986EC1" w:rsidRPr="00986EC1" w14:paraId="4747A463" w14:textId="77777777" w:rsidTr="005917C2">
        <w:tc>
          <w:tcPr>
            <w:tcW w:w="5000" w:type="pct"/>
          </w:tcPr>
          <w:p w14:paraId="0A8C6692"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Spinal fusion</w:t>
            </w:r>
          </w:p>
        </w:tc>
      </w:tr>
      <w:tr w:rsidR="00986EC1" w:rsidRPr="00986EC1" w14:paraId="7977EAFF" w14:textId="77777777" w:rsidTr="005917C2">
        <w:tc>
          <w:tcPr>
            <w:tcW w:w="5000" w:type="pct"/>
          </w:tcPr>
          <w:p w14:paraId="227A5065"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51031 </w:t>
            </w:r>
          </w:p>
          <w:p w14:paraId="496AF1C8"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Spine, posterior and/or posterolateral bone graft to, one motion segment, not being a service associated with a service to which item 51032, 51033, 51034, 51035 or 51036 applies</w:t>
            </w:r>
          </w:p>
          <w:p w14:paraId="26CA5D40"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Multiple Operation Rule</w:t>
            </w:r>
          </w:p>
          <w:p w14:paraId="3C6820B0"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(Anaes.) (Assist.)</w:t>
            </w:r>
          </w:p>
          <w:p w14:paraId="01BAE1DF"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Fee: $956.50 Benefit: 75% = $717.40</w:t>
            </w:r>
          </w:p>
        </w:tc>
      </w:tr>
      <w:tr w:rsidR="00986EC1" w:rsidRPr="00986EC1" w14:paraId="0777ADB6" w14:textId="77777777" w:rsidTr="005917C2">
        <w:tc>
          <w:tcPr>
            <w:tcW w:w="5000" w:type="pct"/>
          </w:tcPr>
          <w:p w14:paraId="087F2151" w14:textId="77777777" w:rsidR="00986EC1" w:rsidRPr="00986EC1" w:rsidRDefault="00986EC1" w:rsidP="00986EC1">
            <w:pPr>
              <w:keepNext/>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51032 </w:t>
            </w:r>
          </w:p>
          <w:p w14:paraId="102DE164"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Spine, posterior and/or posterolateral bone graft to, 2 motion segments, not being a service associated with a service to which item 51031, 51033, 51034, 51035 or 51036 applies</w:t>
            </w:r>
          </w:p>
          <w:p w14:paraId="4B2C7F50"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Multiple Operation Rule</w:t>
            </w:r>
          </w:p>
          <w:p w14:paraId="051CEC91"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(Anaes.) (Assist.)</w:t>
            </w:r>
          </w:p>
          <w:p w14:paraId="41AC3B9C"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Fee: $1,147.85 Benefit: 75% = $860.90</w:t>
            </w:r>
          </w:p>
        </w:tc>
      </w:tr>
      <w:tr w:rsidR="00986EC1" w:rsidRPr="00986EC1" w14:paraId="3212859C" w14:textId="77777777" w:rsidTr="005917C2">
        <w:tc>
          <w:tcPr>
            <w:tcW w:w="5000" w:type="pct"/>
          </w:tcPr>
          <w:p w14:paraId="154FD106"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Instrumentation</w:t>
            </w:r>
          </w:p>
        </w:tc>
      </w:tr>
      <w:tr w:rsidR="00986EC1" w:rsidRPr="00986EC1" w14:paraId="67610F66" w14:textId="77777777" w:rsidTr="005917C2">
        <w:tc>
          <w:tcPr>
            <w:tcW w:w="5000" w:type="pct"/>
          </w:tcPr>
          <w:p w14:paraId="0B9C6E84"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51020 </w:t>
            </w:r>
          </w:p>
          <w:p w14:paraId="0B488450"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Simple fixation of part of one vertebra (not motion segment) including pars interarticularis, spinous process or pedicle, or simple interspinous wiring between 2 adjacent vertebral levels, not being a service associated with:</w:t>
            </w:r>
          </w:p>
          <w:p w14:paraId="7808BA0A"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(a) interspinous dynamic stabilisation devices; or</w:t>
            </w:r>
          </w:p>
          <w:p w14:paraId="01D60EB1"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(b) a service to which item 51021, 51022, 51023, 51024, 51025 or 51026 applies</w:t>
            </w:r>
          </w:p>
          <w:p w14:paraId="0BFE55ED"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Multiple Operation Rule</w:t>
            </w:r>
          </w:p>
          <w:p w14:paraId="37330C5D"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(Anaes.) (Assist.)</w:t>
            </w:r>
          </w:p>
          <w:p w14:paraId="3C6E1D26"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Fee: $777.70 Benefit: 75% = $583.30</w:t>
            </w:r>
          </w:p>
        </w:tc>
      </w:tr>
      <w:tr w:rsidR="00986EC1" w:rsidRPr="00986EC1" w14:paraId="3320918C" w14:textId="77777777" w:rsidTr="005917C2">
        <w:tc>
          <w:tcPr>
            <w:tcW w:w="5000" w:type="pct"/>
          </w:tcPr>
          <w:p w14:paraId="119898AB"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lastRenderedPageBreak/>
              <w:t xml:space="preserve">51021 </w:t>
            </w:r>
          </w:p>
          <w:p w14:paraId="26259F15"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Fixation of motion segment with vertebral body screw, pedicle screw or hook instrumentation including sublaminar tapes or wires, one motion segment, not being a service associated with a service to which item 51020, 51022, 51023, 51024, 51025 or 51026 applies</w:t>
            </w:r>
          </w:p>
          <w:p w14:paraId="0C549CA2"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Multiple Operation Rule</w:t>
            </w:r>
          </w:p>
          <w:p w14:paraId="2509A894"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(Anaes.) (Assist.)</w:t>
            </w:r>
          </w:p>
          <w:p w14:paraId="7E94F24E"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Fee: $1,301.70 Benefit: 75% = $976.30</w:t>
            </w:r>
          </w:p>
        </w:tc>
      </w:tr>
      <w:tr w:rsidR="00986EC1" w:rsidRPr="00986EC1" w14:paraId="7FF07017" w14:textId="77777777" w:rsidTr="005917C2">
        <w:tc>
          <w:tcPr>
            <w:tcW w:w="5000" w:type="pct"/>
          </w:tcPr>
          <w:p w14:paraId="037C8167"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51022 </w:t>
            </w:r>
          </w:p>
          <w:p w14:paraId="5A7D0237"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Fixation of motion segment with vertebral body screw, pedicle screw or hook instrumentation including sublaminar tapes or wires, 2 motion segments, not being a service associated with a service to which item 51020, 51021, 51023, 51024, 51025 or 51026 applies</w:t>
            </w:r>
          </w:p>
          <w:p w14:paraId="08CAE1DC"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Multiple Operation Rule</w:t>
            </w:r>
          </w:p>
          <w:p w14:paraId="6A475B48"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(Anaes.) (Assist.)</w:t>
            </w:r>
          </w:p>
          <w:p w14:paraId="4E85D95C" w14:textId="77777777" w:rsidR="00986EC1" w:rsidRPr="00986EC1" w:rsidRDefault="00986EC1" w:rsidP="00986EC1">
            <w:pPr>
              <w:spacing w:before="40" w:after="40"/>
              <w:rPr>
                <w:rFonts w:ascii="Arial Narrow" w:eastAsia="Calibri" w:hAnsi="Arial Narrow"/>
                <w:sz w:val="20"/>
                <w:szCs w:val="22"/>
                <w:lang w:eastAsia="en-US"/>
              </w:rPr>
            </w:pPr>
            <w:r w:rsidRPr="00986EC1">
              <w:rPr>
                <w:rFonts w:ascii="Arial Narrow" w:eastAsia="Calibri" w:hAnsi="Arial Narrow"/>
                <w:sz w:val="20"/>
                <w:szCs w:val="22"/>
                <w:lang w:eastAsia="en-US"/>
              </w:rPr>
              <w:t>Fee: $1,619.20 Benefit: 75% = $1,214.40</w:t>
            </w:r>
          </w:p>
        </w:tc>
      </w:tr>
    </w:tbl>
    <w:p w14:paraId="3751E017" w14:textId="29A5C41F" w:rsidR="00E926CE" w:rsidRPr="00986EC1" w:rsidRDefault="00E926CE" w:rsidP="00B23D55">
      <w:pPr>
        <w:pStyle w:val="Tablenotes1"/>
        <w:rPr>
          <w:rFonts w:ascii="Franklin Gothic Book" w:eastAsia="Calibri" w:hAnsi="Franklin Gothic Book"/>
          <w:sz w:val="22"/>
          <w:szCs w:val="22"/>
        </w:rPr>
      </w:pPr>
      <w:r>
        <w:rPr>
          <w:rFonts w:eastAsia="Calibri"/>
        </w:rPr>
        <w:t>Source: Commentary, Table 3</w:t>
      </w:r>
    </w:p>
    <w:p w14:paraId="676E5A78" w14:textId="2D15D1D8"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A weighted comparator of laminectomy with or without spinal fusion is consistent with the Ratified PICO. However, the text of the Ratified PICO Confirmation states that PASC noted “that there is no clear consensus regarding the indications for fusion surgery in the presence of LSS. The presence of unstable spondylolisthesis is potentially a contraindication for the Superion procedure, in which case the use of a weighted comparator of open spinal decompression with or without spinal fusion may not be appropriate. Even though fusion is being performed in increasing numbers of patients in Australia, this does not constitute support for fusion in the proposed population as the factors contributing to these surgical decisions are unclear” (PICO Confirmation, p.12). Figure 1 of the Ratified PICO</w:t>
      </w:r>
      <w:r w:rsidRPr="00986EC1">
        <w:rPr>
          <w:rFonts w:ascii="Franklin Gothic Book" w:eastAsia="Calibri" w:hAnsi="Franklin Gothic Book"/>
          <w:sz w:val="22"/>
          <w:szCs w:val="22"/>
          <w:shd w:val="clear" w:color="auto" w:fill="FFFFFF"/>
          <w:lang w:eastAsia="en-US"/>
        </w:rPr>
        <w:t xml:space="preserve"> shows a continuum of care for patients with LSS and suggests that the patients eligible for Superion do not overlap with patients eligible for fusion surgery.</w:t>
      </w:r>
      <w:r w:rsidRPr="00986EC1">
        <w:rPr>
          <w:rFonts w:ascii="Franklin Gothic Book" w:eastAsia="Calibri" w:hAnsi="Franklin Gothic Book"/>
          <w:sz w:val="22"/>
          <w:szCs w:val="22"/>
          <w:lang w:eastAsia="en-US"/>
        </w:rPr>
        <w:t xml:space="preserve"> The comparator in the Ratified PICO may be appropriate; however, this depends on the weighting given to fusion surgery and the justification for this. Fusion surgery is likely to be undertaken in the eligible population, but there is a high variability in its use</w:t>
      </w:r>
      <w:r w:rsidRPr="00986EC1">
        <w:rPr>
          <w:rFonts w:ascii="Franklin Gothic Book" w:eastAsia="Calibri" w:hAnsi="Franklin Gothic Book"/>
          <w:sz w:val="22"/>
          <w:szCs w:val="22"/>
          <w:vertAlign w:val="superscript"/>
          <w:lang w:eastAsia="en-US"/>
        </w:rPr>
        <w:footnoteReference w:id="11"/>
      </w:r>
      <w:r w:rsidRPr="00986EC1">
        <w:rPr>
          <w:rFonts w:ascii="Franklin Gothic Book" w:eastAsia="Calibri" w:hAnsi="Franklin Gothic Book"/>
          <w:sz w:val="22"/>
          <w:szCs w:val="22"/>
          <w:lang w:eastAsia="en-US"/>
        </w:rPr>
        <w:t xml:space="preserve"> and</w:t>
      </w:r>
      <w:r w:rsidR="00DC2C0E">
        <w:rPr>
          <w:rFonts w:ascii="Franklin Gothic Book" w:eastAsia="Calibri" w:hAnsi="Franklin Gothic Book"/>
          <w:sz w:val="22"/>
          <w:szCs w:val="22"/>
          <w:lang w:eastAsia="en-US"/>
        </w:rPr>
        <w:t xml:space="preserve"> evidence suggesting</w:t>
      </w:r>
      <w:r w:rsidRPr="00986EC1">
        <w:rPr>
          <w:rFonts w:ascii="Franklin Gothic Book" w:eastAsia="Calibri" w:hAnsi="Franklin Gothic Book"/>
          <w:sz w:val="22"/>
          <w:szCs w:val="22"/>
          <w:lang w:eastAsia="en-US"/>
        </w:rPr>
        <w:t xml:space="preserve"> a lack of value.</w:t>
      </w:r>
    </w:p>
    <w:p w14:paraId="0F91A6AE" w14:textId="130EADC9" w:rsid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 xml:space="preserve">The supplementary comparison was not specified in the Ratified PICO Confirmation, but the text stated “PASC noted that continued conservative management may be a more appropriate comparator for the device given that the </w:t>
      </w:r>
      <w:bookmarkStart w:id="24" w:name="_Hlk81404778"/>
      <w:r w:rsidRPr="00986EC1">
        <w:rPr>
          <w:rFonts w:ascii="Franklin Gothic Book" w:eastAsia="Calibri" w:hAnsi="Franklin Gothic Book"/>
          <w:sz w:val="22"/>
          <w:szCs w:val="22"/>
          <w:lang w:eastAsia="en-US"/>
        </w:rPr>
        <w:t xml:space="preserve">SSA </w:t>
      </w:r>
      <w:bookmarkEnd w:id="24"/>
      <w:r w:rsidRPr="00986EC1">
        <w:rPr>
          <w:rFonts w:ascii="Franklin Gothic Book" w:eastAsia="Calibri" w:hAnsi="Franklin Gothic Book"/>
          <w:sz w:val="22"/>
          <w:szCs w:val="22"/>
          <w:lang w:eastAsia="en-US"/>
        </w:rPr>
        <w:t>considered that the patient group suggested as being eligible for the device is considered to have very mild LSS, which is not usually treated with surgery. The claim would then be one of superiority of the Superion device relative to conservative treatment. PASC considered that the justification of whether or not conservative management was an appropriate comparator should be considered in the assessment report” (PICO Confirmation, p12).</w:t>
      </w:r>
    </w:p>
    <w:p w14:paraId="158C9E72" w14:textId="508284B1" w:rsidR="000236D4" w:rsidRDefault="000236D4" w:rsidP="00986EC1">
      <w:pPr>
        <w:spacing w:before="120" w:after="160" w:line="259" w:lineRule="auto"/>
        <w:rPr>
          <w:rFonts w:ascii="Franklin Gothic Book" w:eastAsia="Calibri" w:hAnsi="Franklin Gothic Book"/>
          <w:sz w:val="22"/>
          <w:szCs w:val="22"/>
          <w:lang w:eastAsia="en-US"/>
        </w:rPr>
      </w:pPr>
      <w:r w:rsidRPr="000236D4">
        <w:rPr>
          <w:rFonts w:ascii="Franklin Gothic Book" w:eastAsia="Calibri" w:hAnsi="Franklin Gothic Book"/>
          <w:sz w:val="22"/>
          <w:szCs w:val="22"/>
          <w:lang w:eastAsia="en-US"/>
        </w:rPr>
        <w:t xml:space="preserve">In the pre-ESC response, the applicant acknowledged lack of high quality, locally-relevant and current data to inform the proportion of patients receiving decompression (25% in the base case), though regarded the 0% proposed by the SSA to be highly unlikely. </w:t>
      </w:r>
    </w:p>
    <w:p w14:paraId="61B42911" w14:textId="6D61D62A" w:rsidR="00986EC1" w:rsidRPr="00986EC1" w:rsidRDefault="0007499C" w:rsidP="00986EC1">
      <w:pPr>
        <w:keepNext/>
        <w:keepLines/>
        <w:spacing w:before="360" w:after="240"/>
        <w:outlineLvl w:val="1"/>
        <w:rPr>
          <w:rFonts w:ascii="Franklin Gothic Medium" w:eastAsia="SimSun" w:hAnsi="Franklin Gothic Medium"/>
          <w:color w:val="000000"/>
          <w:sz w:val="32"/>
          <w:szCs w:val="26"/>
          <w:lang w:eastAsia="en-US"/>
        </w:rPr>
      </w:pPr>
      <w:bookmarkStart w:id="25" w:name="_Toc69491421"/>
      <w:r>
        <w:rPr>
          <w:rFonts w:ascii="Franklin Gothic Medium" w:eastAsia="SimSun" w:hAnsi="Franklin Gothic Medium"/>
          <w:color w:val="000000"/>
          <w:sz w:val="32"/>
          <w:szCs w:val="26"/>
          <w:lang w:eastAsia="en-US"/>
        </w:rPr>
        <w:t>9</w:t>
      </w:r>
      <w:r w:rsidR="00986EC1" w:rsidRPr="00986EC1">
        <w:rPr>
          <w:rFonts w:ascii="Franklin Gothic Medium" w:eastAsia="SimSun" w:hAnsi="Franklin Gothic Medium"/>
          <w:color w:val="000000"/>
          <w:sz w:val="32"/>
          <w:szCs w:val="26"/>
          <w:lang w:eastAsia="en-US"/>
        </w:rPr>
        <w:t>.</w:t>
      </w:r>
      <w:r w:rsidR="00986EC1" w:rsidRPr="00986EC1">
        <w:rPr>
          <w:rFonts w:ascii="Franklin Gothic Medium" w:eastAsia="SimSun" w:hAnsi="Franklin Gothic Medium"/>
          <w:color w:val="000000"/>
          <w:sz w:val="32"/>
          <w:szCs w:val="26"/>
          <w:lang w:eastAsia="en-US"/>
        </w:rPr>
        <w:tab/>
        <w:t>Summary of public consultation input</w:t>
      </w:r>
      <w:bookmarkEnd w:id="25"/>
    </w:p>
    <w:p w14:paraId="5798526E" w14:textId="1E7B3972"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 xml:space="preserve">The Department received targeted consultation responses from the NSANZ and the SSA, and also </w:t>
      </w:r>
      <w:r w:rsidR="00ED1F47">
        <w:rPr>
          <w:rFonts w:ascii="Franklin Gothic Book" w:eastAsia="Calibri" w:hAnsi="Franklin Gothic Book"/>
          <w:sz w:val="22"/>
          <w:szCs w:val="22"/>
          <w:lang w:eastAsia="en-US"/>
        </w:rPr>
        <w:t>three</w:t>
      </w:r>
      <w:r w:rsidRPr="00986EC1">
        <w:rPr>
          <w:rFonts w:ascii="Franklin Gothic Book" w:eastAsia="Calibri" w:hAnsi="Franklin Gothic Book"/>
          <w:sz w:val="22"/>
          <w:szCs w:val="22"/>
          <w:lang w:eastAsia="en-US"/>
        </w:rPr>
        <w:t xml:space="preserve"> responses from device manufacturers to public consultation on this application.</w:t>
      </w:r>
      <w:r w:rsidR="00E926CE">
        <w:rPr>
          <w:rFonts w:ascii="Franklin Gothic Book" w:eastAsia="Calibri" w:hAnsi="Franklin Gothic Book"/>
          <w:sz w:val="22"/>
          <w:szCs w:val="22"/>
          <w:lang w:eastAsia="en-US"/>
        </w:rPr>
        <w:t xml:space="preserve"> </w:t>
      </w:r>
      <w:r w:rsidR="00E926CE" w:rsidRPr="00E926CE">
        <w:rPr>
          <w:rFonts w:ascii="Franklin Gothic Book" w:eastAsia="Calibri" w:hAnsi="Franklin Gothic Book"/>
          <w:sz w:val="22"/>
          <w:szCs w:val="22"/>
          <w:lang w:eastAsia="en-US"/>
        </w:rPr>
        <w:t>No consumer feedback/consumer comments were received for this application.</w:t>
      </w:r>
    </w:p>
    <w:p w14:paraId="099F3D53" w14:textId="353B628F" w:rsidR="00986EC1" w:rsidRPr="00986EC1" w:rsidRDefault="00E926CE" w:rsidP="00986EC1">
      <w:pPr>
        <w:spacing w:before="120" w:after="160" w:line="259" w:lineRule="auto"/>
        <w:rPr>
          <w:rFonts w:ascii="Franklin Gothic Book" w:eastAsia="Calibri" w:hAnsi="Franklin Gothic Book"/>
          <w:sz w:val="22"/>
          <w:szCs w:val="22"/>
          <w:lang w:eastAsia="en-US"/>
        </w:rPr>
      </w:pPr>
      <w:r>
        <w:rPr>
          <w:rFonts w:ascii="Franklin Gothic Book" w:eastAsia="Calibri" w:hAnsi="Franklin Gothic Book"/>
          <w:sz w:val="22"/>
          <w:szCs w:val="22"/>
          <w:lang w:eastAsia="en-US"/>
        </w:rPr>
        <w:lastRenderedPageBreak/>
        <w:t>R</w:t>
      </w:r>
      <w:r w:rsidR="00986EC1" w:rsidRPr="00986EC1">
        <w:rPr>
          <w:rFonts w:ascii="Franklin Gothic Book" w:eastAsia="Calibri" w:hAnsi="Franklin Gothic Book"/>
          <w:sz w:val="22"/>
          <w:szCs w:val="22"/>
          <w:lang w:eastAsia="en-US"/>
        </w:rPr>
        <w:t>esponse</w:t>
      </w:r>
      <w:r>
        <w:rPr>
          <w:rFonts w:ascii="Franklin Gothic Book" w:eastAsia="Calibri" w:hAnsi="Franklin Gothic Book"/>
          <w:sz w:val="22"/>
          <w:szCs w:val="22"/>
          <w:lang w:eastAsia="en-US"/>
        </w:rPr>
        <w:t>s</w:t>
      </w:r>
      <w:r w:rsidR="00986EC1" w:rsidRPr="00986EC1">
        <w:rPr>
          <w:rFonts w:ascii="Franklin Gothic Book" w:eastAsia="Calibri" w:hAnsi="Franklin Gothic Book"/>
          <w:sz w:val="22"/>
          <w:szCs w:val="22"/>
          <w:lang w:eastAsia="en-US"/>
        </w:rPr>
        <w:t xml:space="preserve"> from the NSANZ </w:t>
      </w:r>
      <w:r>
        <w:rPr>
          <w:rFonts w:ascii="Franklin Gothic Book" w:eastAsia="Calibri" w:hAnsi="Franklin Gothic Book"/>
          <w:sz w:val="22"/>
          <w:szCs w:val="22"/>
          <w:lang w:eastAsia="en-US"/>
        </w:rPr>
        <w:t xml:space="preserve">and device manufacturers </w:t>
      </w:r>
      <w:r w:rsidR="00986EC1" w:rsidRPr="00986EC1">
        <w:rPr>
          <w:rFonts w:ascii="Franklin Gothic Book" w:eastAsia="Calibri" w:hAnsi="Franklin Gothic Book"/>
          <w:sz w:val="22"/>
          <w:szCs w:val="22"/>
          <w:lang w:eastAsia="en-US"/>
        </w:rPr>
        <w:t>w</w:t>
      </w:r>
      <w:r>
        <w:rPr>
          <w:rFonts w:ascii="Franklin Gothic Book" w:eastAsia="Calibri" w:hAnsi="Franklin Gothic Book"/>
          <w:sz w:val="22"/>
          <w:szCs w:val="22"/>
          <w:lang w:eastAsia="en-US"/>
        </w:rPr>
        <w:t>ere</w:t>
      </w:r>
      <w:r w:rsidR="00986EC1" w:rsidRPr="00986EC1">
        <w:rPr>
          <w:rFonts w:ascii="Franklin Gothic Book" w:eastAsia="Calibri" w:hAnsi="Franklin Gothic Book"/>
          <w:sz w:val="22"/>
          <w:szCs w:val="22"/>
          <w:lang w:eastAsia="en-US"/>
        </w:rPr>
        <w:t xml:space="preserve"> supportive of the application.</w:t>
      </w:r>
    </w:p>
    <w:p w14:paraId="3D005A31" w14:textId="0659B8AC"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SSA raised several concerns regarding the proposed intervention. The SSA considered the proposed population too broad, as it includes patients with mild and tolerable LSS who would not warrant invasive interventions and would benefit from conservative care</w:t>
      </w:r>
      <w:r w:rsidR="00473594">
        <w:rPr>
          <w:rFonts w:ascii="Franklin Gothic Book" w:eastAsia="Calibri" w:hAnsi="Franklin Gothic Book"/>
          <w:sz w:val="22"/>
          <w:szCs w:val="22"/>
          <w:lang w:eastAsia="en-US"/>
        </w:rPr>
        <w:t>.</w:t>
      </w:r>
      <w:r w:rsidRPr="00986EC1">
        <w:rPr>
          <w:rFonts w:ascii="Franklin Gothic Book" w:eastAsia="Calibri" w:hAnsi="Franklin Gothic Book"/>
          <w:sz w:val="22"/>
          <w:szCs w:val="22"/>
          <w:lang w:eastAsia="en-US"/>
        </w:rPr>
        <w:t xml:space="preserve"> The SSA considered that the proposed comparators were not appropriate to the proposed intervention. The SSA considered that: decompression by laminectomy (removal of a lumbar lamina) is uncommonly performed by modern spine surgeons in isolation but usually as part of </w:t>
      </w:r>
      <w:r w:rsidR="008603E6">
        <w:rPr>
          <w:rFonts w:ascii="Franklin Gothic Book" w:eastAsia="Calibri" w:hAnsi="Franklin Gothic Book"/>
          <w:sz w:val="22"/>
          <w:szCs w:val="22"/>
          <w:lang w:eastAsia="en-US"/>
        </w:rPr>
        <w:t xml:space="preserve">a </w:t>
      </w:r>
      <w:r w:rsidRPr="00986EC1">
        <w:rPr>
          <w:rFonts w:ascii="Franklin Gothic Book" w:eastAsia="Calibri" w:hAnsi="Franklin Gothic Book"/>
          <w:sz w:val="22"/>
          <w:szCs w:val="22"/>
          <w:lang w:eastAsia="en-US"/>
        </w:rPr>
        <w:t>reconstructive procedure as most patients have instability; and fusion surgery is for significant instability, which Superion would not be indicated for. The SSA suggested includ</w:t>
      </w:r>
      <w:r w:rsidR="00E926CE">
        <w:rPr>
          <w:rFonts w:ascii="Franklin Gothic Book" w:eastAsia="Calibri" w:hAnsi="Franklin Gothic Book"/>
          <w:sz w:val="22"/>
          <w:szCs w:val="22"/>
          <w:lang w:eastAsia="en-US"/>
        </w:rPr>
        <w:t>ing</w:t>
      </w:r>
      <w:r w:rsidRPr="00986EC1">
        <w:rPr>
          <w:rFonts w:ascii="Franklin Gothic Book" w:eastAsia="Calibri" w:hAnsi="Franklin Gothic Book"/>
          <w:sz w:val="22"/>
          <w:szCs w:val="22"/>
          <w:lang w:eastAsia="en-US"/>
        </w:rPr>
        <w:t xml:space="preserve"> patient assessed functional status in the outcomes and queried whether sufficient evidence was currently available to demonstrate the benefit of the proposed intervention.</w:t>
      </w:r>
    </w:p>
    <w:p w14:paraId="5190D6C0" w14:textId="2243BE9E"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public consultation responses from device manufacturers supported the application and suggested that the proposed medical service should be device agnostic</w:t>
      </w:r>
      <w:r w:rsidR="00ED1F47">
        <w:rPr>
          <w:rFonts w:ascii="Franklin Gothic Book" w:eastAsia="Calibri" w:hAnsi="Franklin Gothic Book"/>
          <w:sz w:val="22"/>
          <w:szCs w:val="22"/>
          <w:lang w:eastAsia="en-US"/>
        </w:rPr>
        <w:t>.</w:t>
      </w:r>
    </w:p>
    <w:p w14:paraId="3C8B727F" w14:textId="60004F39" w:rsidR="00986EC1" w:rsidRPr="00986EC1" w:rsidRDefault="0007499C" w:rsidP="00986EC1">
      <w:pPr>
        <w:keepNext/>
        <w:keepLines/>
        <w:spacing w:before="360" w:after="240"/>
        <w:outlineLvl w:val="1"/>
        <w:rPr>
          <w:rFonts w:ascii="Franklin Gothic Medium" w:eastAsia="SimSun" w:hAnsi="Franklin Gothic Medium"/>
          <w:color w:val="000000"/>
          <w:sz w:val="32"/>
          <w:szCs w:val="26"/>
          <w:lang w:eastAsia="en-US"/>
        </w:rPr>
      </w:pPr>
      <w:bookmarkStart w:id="26" w:name="_Toc69491422"/>
      <w:r>
        <w:rPr>
          <w:rFonts w:ascii="Franklin Gothic Medium" w:eastAsia="SimSun" w:hAnsi="Franklin Gothic Medium"/>
          <w:color w:val="000000"/>
          <w:sz w:val="32"/>
          <w:szCs w:val="26"/>
          <w:lang w:eastAsia="en-US"/>
        </w:rPr>
        <w:t>10</w:t>
      </w:r>
      <w:r w:rsidR="00986EC1" w:rsidRPr="00986EC1">
        <w:rPr>
          <w:rFonts w:ascii="Franklin Gothic Medium" w:eastAsia="SimSun" w:hAnsi="Franklin Gothic Medium"/>
          <w:color w:val="000000"/>
          <w:sz w:val="32"/>
          <w:szCs w:val="26"/>
          <w:lang w:eastAsia="en-US"/>
        </w:rPr>
        <w:t>.</w:t>
      </w:r>
      <w:r w:rsidR="00986EC1" w:rsidRPr="00986EC1">
        <w:rPr>
          <w:rFonts w:ascii="Franklin Gothic Medium" w:eastAsia="SimSun" w:hAnsi="Franklin Gothic Medium"/>
          <w:color w:val="000000"/>
          <w:sz w:val="32"/>
          <w:szCs w:val="26"/>
          <w:lang w:eastAsia="en-US"/>
        </w:rPr>
        <w:tab/>
        <w:t>Characteristics of the evidence base</w:t>
      </w:r>
      <w:bookmarkEnd w:id="26"/>
    </w:p>
    <w:p w14:paraId="4CB43772" w14:textId="6B5992F4"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 xml:space="preserve">The characteristics of the evidence base are summarised in </w:t>
      </w:r>
      <w:r w:rsidRPr="00986EC1">
        <w:rPr>
          <w:rFonts w:ascii="Franklin Gothic Book" w:eastAsia="Calibri" w:hAnsi="Franklin Gothic Book"/>
          <w:sz w:val="22"/>
          <w:szCs w:val="22"/>
          <w:lang w:eastAsia="en-US"/>
        </w:rPr>
        <w:fldChar w:fldCharType="begin"/>
      </w:r>
      <w:r w:rsidRPr="00986EC1">
        <w:rPr>
          <w:rFonts w:ascii="Franklin Gothic Book" w:eastAsia="Calibri" w:hAnsi="Franklin Gothic Book"/>
          <w:sz w:val="22"/>
          <w:szCs w:val="22"/>
          <w:lang w:eastAsia="en-US"/>
        </w:rPr>
        <w:instrText xml:space="preserve"> REF _Ref69725651 \h </w:instrText>
      </w:r>
      <w:r w:rsidR="00082699">
        <w:rPr>
          <w:rFonts w:ascii="Franklin Gothic Book" w:eastAsia="Calibri" w:hAnsi="Franklin Gothic Book"/>
          <w:sz w:val="22"/>
          <w:szCs w:val="22"/>
          <w:lang w:eastAsia="en-US"/>
        </w:rPr>
        <w:instrText xml:space="preserve"> \* MERGEFORMAT </w:instrText>
      </w:r>
      <w:r w:rsidRPr="00986EC1">
        <w:rPr>
          <w:rFonts w:ascii="Franklin Gothic Book" w:eastAsia="Calibri" w:hAnsi="Franklin Gothic Book"/>
          <w:sz w:val="22"/>
          <w:szCs w:val="22"/>
          <w:lang w:eastAsia="en-US"/>
        </w:rPr>
      </w:r>
      <w:r w:rsidRPr="00986EC1">
        <w:rPr>
          <w:rFonts w:ascii="Franklin Gothic Book" w:eastAsia="Calibri" w:hAnsi="Franklin Gothic Book"/>
          <w:sz w:val="22"/>
          <w:szCs w:val="22"/>
          <w:lang w:eastAsia="en-US"/>
        </w:rPr>
        <w:fldChar w:fldCharType="separate"/>
      </w:r>
      <w:r w:rsidR="00EE4CB3" w:rsidRPr="00EE4CB3">
        <w:rPr>
          <w:rFonts w:ascii="Franklin Gothic Book" w:eastAsia="Calibri" w:hAnsi="Franklin Gothic Book"/>
          <w:sz w:val="22"/>
          <w:szCs w:val="22"/>
          <w:lang w:eastAsia="en-US"/>
        </w:rPr>
        <w:t>Table 4</w:t>
      </w:r>
      <w:r w:rsidRPr="00986EC1">
        <w:rPr>
          <w:rFonts w:ascii="Franklin Gothic Book" w:eastAsia="Calibri" w:hAnsi="Franklin Gothic Book"/>
          <w:sz w:val="22"/>
          <w:szCs w:val="22"/>
          <w:lang w:eastAsia="en-US"/>
        </w:rPr>
        <w:fldChar w:fldCharType="end"/>
      </w:r>
      <w:r w:rsidRPr="00986EC1">
        <w:rPr>
          <w:rFonts w:ascii="Franklin Gothic Book" w:eastAsia="Calibri" w:hAnsi="Franklin Gothic Book"/>
          <w:sz w:val="22"/>
          <w:szCs w:val="22"/>
          <w:lang w:eastAsia="en-US"/>
        </w:rPr>
        <w:t>. There were no applicability concerns with the trial populations, which were consistent with the request for funding.</w:t>
      </w:r>
    </w:p>
    <w:p w14:paraId="38BFEAEE" w14:textId="1E52487D"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A range of devices were used across the trials (X-STOP in six trials, Coflex in one trial, Aperius in one trial, Superion in one trial). X-STOP is inserted using an open approach and requires an incision of approximately 1-inc</w:t>
      </w:r>
      <w:r w:rsidR="00ED1F47">
        <w:rPr>
          <w:rFonts w:ascii="Franklin Gothic Book" w:eastAsia="Calibri" w:hAnsi="Franklin Gothic Book"/>
          <w:sz w:val="22"/>
          <w:szCs w:val="22"/>
          <w:lang w:eastAsia="en-US"/>
        </w:rPr>
        <w:t>h</w:t>
      </w:r>
      <w:r w:rsidR="00ED1F47">
        <w:rPr>
          <w:rStyle w:val="FootnoteReference"/>
          <w:rFonts w:ascii="Franklin Gothic Book" w:eastAsia="Calibri" w:hAnsi="Franklin Gothic Book"/>
          <w:sz w:val="22"/>
          <w:szCs w:val="22"/>
          <w:lang w:eastAsia="en-US"/>
        </w:rPr>
        <w:footnoteReference w:id="12"/>
      </w:r>
      <w:r w:rsidRPr="00986EC1">
        <w:rPr>
          <w:rFonts w:ascii="Franklin Gothic Book" w:eastAsia="Calibri" w:hAnsi="Franklin Gothic Book"/>
          <w:sz w:val="22"/>
          <w:szCs w:val="22"/>
          <w:lang w:eastAsia="en-US"/>
        </w:rPr>
        <w:t>; this may not be considered minimally invasive. Coflex is an interlaminar device and differs in design and mechanism to interspinous spacers; it also requires open surgery. Aperius is a percutaneous device. Therefore, of the included devices, only Aperius is inserted in the same minimally invasive approach as Superion (i.e., percutaneously) although the proposed MBS item does not specify the minimally invasive approach. Coflex is the only device (other than Superion) currently registered on the ARTG; however, it is usually used in combination with decompression and is described on the ARTG as a fixation device for ‘permanent implantation between the spinous processes.’ The included study used Coflex in a standalone procedure.</w:t>
      </w:r>
    </w:p>
    <w:p w14:paraId="35A4701F" w14:textId="1B81BFE2"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 xml:space="preserve">Five trials compared IDS with decompression, one trial compared IDS with decompression plus fusion and two trials compared IDS with conservative treatment (supplementary analysis). None of these trials used the Superion device. The single Superion study (the IDE Study) compared Superion with X-STOP and is used to provide evidence that the two devices are non-inferior, in order to support the applicability of the evidence comparing IDS with decompression. X-STOP has been withdrawn from the market due to lack of efficacy in longer term follow up and relatively high complication </w:t>
      </w:r>
      <w:r w:rsidRPr="00ED1F47">
        <w:rPr>
          <w:rFonts w:ascii="Franklin Gothic Book" w:eastAsia="Calibri" w:hAnsi="Franklin Gothic Book"/>
          <w:sz w:val="22"/>
          <w:szCs w:val="22"/>
          <w:lang w:eastAsia="en-US"/>
        </w:rPr>
        <w:t>rates</w:t>
      </w:r>
      <w:r w:rsidR="00ED1F47" w:rsidRPr="00ED1F47">
        <w:rPr>
          <w:rStyle w:val="FootnoteReference"/>
          <w:rFonts w:ascii="Franklin Gothic Book" w:hAnsi="Franklin Gothic Book"/>
          <w:color w:val="000000"/>
        </w:rPr>
        <w:footnoteReference w:id="13"/>
      </w:r>
      <w:r w:rsidRPr="00ED1F47">
        <w:rPr>
          <w:rFonts w:ascii="Franklin Gothic Book" w:eastAsia="Calibri" w:hAnsi="Franklin Gothic Book"/>
          <w:sz w:val="22"/>
          <w:szCs w:val="22"/>
          <w:lang w:eastAsia="en-US"/>
        </w:rPr>
        <w:t>.</w:t>
      </w:r>
      <w:r w:rsidR="000236D4">
        <w:rPr>
          <w:rFonts w:ascii="Franklin Gothic Book" w:eastAsia="Calibri" w:hAnsi="Franklin Gothic Book"/>
          <w:sz w:val="22"/>
          <w:szCs w:val="22"/>
          <w:lang w:eastAsia="en-US"/>
        </w:rPr>
        <w:t xml:space="preserve"> </w:t>
      </w:r>
      <w:r w:rsidR="000236D4" w:rsidRPr="000236D4">
        <w:rPr>
          <w:rFonts w:ascii="Franklin Gothic Book" w:eastAsia="Calibri" w:hAnsi="Franklin Gothic Book"/>
          <w:sz w:val="22"/>
          <w:szCs w:val="22"/>
          <w:lang w:eastAsia="en-US"/>
        </w:rPr>
        <w:t>The pre-ESC response stated that it understands Medtronic withdrew the X-STOP device from the US market for commercial reasons, rather than due to lack of efficacy and high complication rates.</w:t>
      </w:r>
    </w:p>
    <w:p w14:paraId="006E2FEE" w14:textId="3328F8AA"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evidence for the comparators did not raise applicability concerns, although a minimally invasive decompression approach, which was used in Lønne (2015)</w:t>
      </w:r>
      <w:r w:rsidR="00A74F27">
        <w:rPr>
          <w:rStyle w:val="FootnoteReference"/>
          <w:rFonts w:ascii="Franklin Gothic Book" w:eastAsia="Calibri" w:hAnsi="Franklin Gothic Book"/>
          <w:sz w:val="22"/>
          <w:szCs w:val="22"/>
          <w:lang w:eastAsia="en-US"/>
        </w:rPr>
        <w:footnoteReference w:id="14"/>
      </w:r>
      <w:r w:rsidRPr="00986EC1">
        <w:rPr>
          <w:rFonts w:ascii="Franklin Gothic Book" w:eastAsia="Calibri" w:hAnsi="Franklin Gothic Book"/>
          <w:sz w:val="22"/>
          <w:szCs w:val="22"/>
          <w:lang w:eastAsia="en-US"/>
        </w:rPr>
        <w:t>, is less common in Australia.</w:t>
      </w:r>
    </w:p>
    <w:p w14:paraId="1E3168B2" w14:textId="5041492F" w:rsidR="00986EC1" w:rsidRPr="00986EC1" w:rsidRDefault="00986EC1" w:rsidP="00986EC1">
      <w:pPr>
        <w:keepNext/>
        <w:spacing w:before="360" w:after="120"/>
        <w:ind w:left="794" w:hanging="794"/>
        <w:rPr>
          <w:rFonts w:ascii="Arial Narrow" w:hAnsi="Arial Narrow"/>
          <w:b/>
          <w:bCs/>
          <w:color w:val="538135"/>
          <w:sz w:val="16"/>
          <w:szCs w:val="16"/>
          <w:lang w:eastAsia="en-US"/>
        </w:rPr>
      </w:pPr>
      <w:bookmarkStart w:id="27" w:name="_Ref69725651"/>
      <w:r w:rsidRPr="00986EC1">
        <w:rPr>
          <w:rFonts w:ascii="Arial Narrow" w:hAnsi="Arial Narrow"/>
          <w:b/>
          <w:bCs/>
          <w:sz w:val="20"/>
          <w:lang w:eastAsia="en-US"/>
        </w:rPr>
        <w:lastRenderedPageBreak/>
        <w:t>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4</w:t>
      </w:r>
      <w:r w:rsidRPr="00986EC1">
        <w:rPr>
          <w:rFonts w:ascii="Arial Narrow" w:hAnsi="Arial Narrow"/>
          <w:b/>
          <w:bCs/>
          <w:noProof/>
          <w:sz w:val="20"/>
          <w:lang w:eastAsia="en-US"/>
        </w:rPr>
        <w:fldChar w:fldCharType="end"/>
      </w:r>
      <w:bookmarkEnd w:id="27"/>
      <w:r w:rsidRPr="00986EC1">
        <w:rPr>
          <w:rFonts w:ascii="Arial Narrow" w:hAnsi="Arial Narrow"/>
          <w:b/>
          <w:bCs/>
          <w:sz w:val="20"/>
          <w:lang w:eastAsia="en-US"/>
        </w:rPr>
        <w:tab/>
        <w:t>Key features of the included evidence for IDS</w:t>
      </w:r>
    </w:p>
    <w:tbl>
      <w:tblPr>
        <w:tblStyle w:val="OPTUMTableNormal"/>
        <w:tblW w:w="0" w:type="auto"/>
        <w:tblCellMar>
          <w:left w:w="28" w:type="dxa"/>
          <w:right w:w="28" w:type="dxa"/>
        </w:tblCellMar>
        <w:tblLook w:val="04A0" w:firstRow="1" w:lastRow="0" w:firstColumn="1" w:lastColumn="0" w:noHBand="0" w:noVBand="1"/>
        <w:tblDescription w:val="Key features of the included evidence for IDS"/>
      </w:tblPr>
      <w:tblGrid>
        <w:gridCol w:w="1506"/>
        <w:gridCol w:w="1406"/>
        <w:gridCol w:w="2885"/>
        <w:gridCol w:w="1995"/>
        <w:gridCol w:w="1224"/>
      </w:tblGrid>
      <w:tr w:rsidR="00986EC1" w:rsidRPr="00986EC1" w14:paraId="726336F7" w14:textId="77777777" w:rsidTr="005917C2">
        <w:trPr>
          <w:cnfStyle w:val="100000000000" w:firstRow="1" w:lastRow="0" w:firstColumn="0" w:lastColumn="0" w:oddVBand="0" w:evenVBand="0" w:oddHBand="0" w:evenHBand="0" w:firstRowFirstColumn="0" w:firstRowLastColumn="0" w:lastRowFirstColumn="0" w:lastRowLastColumn="0"/>
          <w:cantSplit/>
          <w:tblHeader/>
        </w:trPr>
        <w:tc>
          <w:tcPr>
            <w:tcW w:w="1506" w:type="dxa"/>
            <w:shd w:val="clear" w:color="auto" w:fill="auto"/>
          </w:tcPr>
          <w:p w14:paraId="688A4716" w14:textId="77777777" w:rsidR="00986EC1" w:rsidRPr="00986EC1" w:rsidRDefault="00986EC1" w:rsidP="00986EC1">
            <w:pPr>
              <w:keepNext/>
              <w:spacing w:before="20" w:after="20"/>
              <w:jc w:val="center"/>
              <w:rPr>
                <w:rFonts w:ascii="Arial Narrow" w:eastAsia="SimSun" w:hAnsi="Arial Narrow"/>
                <w:b/>
                <w:sz w:val="20"/>
                <w:szCs w:val="24"/>
                <w:lang w:val="en-US"/>
              </w:rPr>
            </w:pPr>
            <w:bookmarkStart w:id="28" w:name="ColumnTitle_Table3"/>
            <w:bookmarkStart w:id="29" w:name="_Hlk68276112"/>
            <w:bookmarkEnd w:id="28"/>
            <w:r w:rsidRPr="00986EC1">
              <w:rPr>
                <w:rFonts w:ascii="Arial Narrow" w:eastAsia="SimSun" w:hAnsi="Arial Narrow"/>
                <w:b/>
                <w:sz w:val="20"/>
                <w:szCs w:val="24"/>
                <w:lang w:val="en-US"/>
              </w:rPr>
              <w:t>Reference</w:t>
            </w:r>
          </w:p>
          <w:p w14:paraId="1BD5F4D8" w14:textId="77777777" w:rsidR="00986EC1" w:rsidRPr="00986EC1" w:rsidRDefault="00986EC1" w:rsidP="00986EC1">
            <w:pPr>
              <w:keepNext/>
              <w:spacing w:before="20" w:after="20"/>
              <w:jc w:val="center"/>
              <w:rPr>
                <w:rFonts w:ascii="Arial Narrow" w:eastAsia="SimSun" w:hAnsi="Arial Narrow"/>
                <w:b/>
                <w:sz w:val="20"/>
                <w:szCs w:val="24"/>
                <w:lang w:val="en-US"/>
              </w:rPr>
            </w:pPr>
            <w:r w:rsidRPr="00986EC1">
              <w:rPr>
                <w:rFonts w:ascii="Arial Narrow" w:eastAsia="SimSun" w:hAnsi="Arial Narrow"/>
                <w:b/>
                <w:sz w:val="20"/>
                <w:szCs w:val="24"/>
                <w:lang w:val="en-US"/>
              </w:rPr>
              <w:t>N</w:t>
            </w:r>
          </w:p>
        </w:tc>
        <w:tc>
          <w:tcPr>
            <w:tcW w:w="1406" w:type="dxa"/>
            <w:shd w:val="clear" w:color="auto" w:fill="auto"/>
          </w:tcPr>
          <w:p w14:paraId="7A1EB62B" w14:textId="77777777" w:rsidR="00986EC1" w:rsidRPr="00986EC1" w:rsidRDefault="00986EC1" w:rsidP="00986EC1">
            <w:pPr>
              <w:keepNext/>
              <w:spacing w:before="20" w:after="20"/>
              <w:jc w:val="center"/>
              <w:rPr>
                <w:rFonts w:ascii="Arial Narrow" w:eastAsia="SimSun" w:hAnsi="Arial Narrow"/>
                <w:b/>
                <w:sz w:val="20"/>
                <w:szCs w:val="24"/>
                <w:lang w:val="en-US"/>
              </w:rPr>
            </w:pPr>
            <w:r w:rsidRPr="00986EC1">
              <w:rPr>
                <w:rFonts w:ascii="Arial Narrow" w:eastAsia="SimSun" w:hAnsi="Arial Narrow"/>
                <w:b/>
                <w:sz w:val="20"/>
                <w:szCs w:val="24"/>
                <w:lang w:val="en-US"/>
              </w:rPr>
              <w:t>Design/duration</w:t>
            </w:r>
          </w:p>
          <w:p w14:paraId="073F7634" w14:textId="77777777" w:rsidR="00986EC1" w:rsidRPr="00986EC1" w:rsidRDefault="00986EC1" w:rsidP="00986EC1">
            <w:pPr>
              <w:keepNext/>
              <w:spacing w:before="20" w:after="20"/>
              <w:jc w:val="center"/>
              <w:rPr>
                <w:rFonts w:ascii="Arial Narrow" w:eastAsia="SimSun" w:hAnsi="Arial Narrow"/>
                <w:b/>
                <w:i/>
                <w:iCs/>
                <w:sz w:val="20"/>
                <w:szCs w:val="24"/>
                <w:lang w:val="en-US"/>
              </w:rPr>
            </w:pPr>
            <w:r w:rsidRPr="00986EC1">
              <w:rPr>
                <w:rFonts w:ascii="Arial Narrow" w:eastAsia="SimSun" w:hAnsi="Arial Narrow"/>
                <w:b/>
                <w:i/>
                <w:iCs/>
                <w:sz w:val="20"/>
                <w:szCs w:val="24"/>
                <w:lang w:val="en-US"/>
              </w:rPr>
              <w:t>Risk of Bias</w:t>
            </w:r>
          </w:p>
        </w:tc>
        <w:tc>
          <w:tcPr>
            <w:tcW w:w="2885" w:type="dxa"/>
            <w:shd w:val="clear" w:color="auto" w:fill="auto"/>
          </w:tcPr>
          <w:p w14:paraId="28A64FA1" w14:textId="77777777" w:rsidR="00986EC1" w:rsidRPr="00986EC1" w:rsidRDefault="00986EC1" w:rsidP="00986EC1">
            <w:pPr>
              <w:keepNext/>
              <w:spacing w:before="20" w:after="20"/>
              <w:jc w:val="center"/>
              <w:rPr>
                <w:rFonts w:ascii="Arial Narrow" w:eastAsia="SimSun" w:hAnsi="Arial Narrow"/>
                <w:b/>
                <w:sz w:val="20"/>
                <w:szCs w:val="24"/>
                <w:lang w:val="en-US"/>
              </w:rPr>
            </w:pPr>
            <w:r w:rsidRPr="00986EC1">
              <w:rPr>
                <w:rFonts w:ascii="Arial Narrow" w:eastAsia="SimSun" w:hAnsi="Arial Narrow"/>
                <w:b/>
                <w:sz w:val="20"/>
                <w:szCs w:val="24"/>
                <w:lang w:val="en-US"/>
              </w:rPr>
              <w:t>Patient population</w:t>
            </w:r>
          </w:p>
        </w:tc>
        <w:tc>
          <w:tcPr>
            <w:tcW w:w="1995" w:type="dxa"/>
            <w:shd w:val="clear" w:color="auto" w:fill="auto"/>
          </w:tcPr>
          <w:p w14:paraId="0F49A9CF" w14:textId="77777777" w:rsidR="00986EC1" w:rsidRPr="00986EC1" w:rsidRDefault="00986EC1" w:rsidP="00986EC1">
            <w:pPr>
              <w:keepNext/>
              <w:spacing w:before="20" w:after="20"/>
              <w:jc w:val="center"/>
              <w:rPr>
                <w:rFonts w:ascii="Arial Narrow" w:eastAsia="SimSun" w:hAnsi="Arial Narrow"/>
                <w:b/>
                <w:sz w:val="20"/>
                <w:szCs w:val="24"/>
                <w:lang w:val="en-US"/>
              </w:rPr>
            </w:pPr>
            <w:r w:rsidRPr="00986EC1">
              <w:rPr>
                <w:rFonts w:ascii="Arial Narrow" w:eastAsia="SimSun" w:hAnsi="Arial Narrow"/>
                <w:b/>
                <w:sz w:val="20"/>
                <w:szCs w:val="24"/>
                <w:lang w:val="en-US"/>
              </w:rPr>
              <w:t>Outcome(s)</w:t>
            </w:r>
          </w:p>
        </w:tc>
        <w:tc>
          <w:tcPr>
            <w:tcW w:w="1224" w:type="dxa"/>
            <w:shd w:val="clear" w:color="auto" w:fill="auto"/>
          </w:tcPr>
          <w:p w14:paraId="18042745" w14:textId="77777777" w:rsidR="00986EC1" w:rsidRPr="00986EC1" w:rsidRDefault="00986EC1" w:rsidP="00986EC1">
            <w:pPr>
              <w:keepNext/>
              <w:spacing w:before="20" w:after="20"/>
              <w:jc w:val="center"/>
              <w:rPr>
                <w:rFonts w:ascii="Arial Narrow" w:eastAsia="SimSun" w:hAnsi="Arial Narrow"/>
                <w:b/>
                <w:sz w:val="20"/>
                <w:szCs w:val="24"/>
                <w:lang w:val="en-US"/>
              </w:rPr>
            </w:pPr>
            <w:r w:rsidRPr="00986EC1">
              <w:rPr>
                <w:rFonts w:ascii="Arial Narrow" w:eastAsia="SimSun" w:hAnsi="Arial Narrow"/>
                <w:b/>
                <w:sz w:val="20"/>
                <w:szCs w:val="24"/>
                <w:lang w:val="en-US"/>
              </w:rPr>
              <w:t>Use in modelled evaluation</w:t>
            </w:r>
          </w:p>
        </w:tc>
      </w:tr>
      <w:tr w:rsidR="00986EC1" w:rsidRPr="00986EC1" w14:paraId="31692CFF" w14:textId="77777777" w:rsidTr="005917C2">
        <w:trPr>
          <w:cantSplit/>
        </w:trPr>
        <w:tc>
          <w:tcPr>
            <w:tcW w:w="1506" w:type="dxa"/>
            <w:tcBorders>
              <w:right w:val="nil"/>
            </w:tcBorders>
            <w:shd w:val="clear" w:color="auto" w:fill="auto"/>
            <w:vAlign w:val="center"/>
          </w:tcPr>
          <w:p w14:paraId="634084B5" w14:textId="77777777" w:rsidR="00986EC1" w:rsidRPr="00986EC1" w:rsidRDefault="00986EC1" w:rsidP="00986EC1">
            <w:pPr>
              <w:spacing w:before="20" w:after="20"/>
              <w:jc w:val="center"/>
              <w:rPr>
                <w:rFonts w:ascii="Arial Narrow" w:eastAsia="Calibri" w:hAnsi="Arial Narrow"/>
                <w:b/>
                <w:bCs/>
                <w:sz w:val="20"/>
                <w:szCs w:val="22"/>
                <w:lang w:eastAsia="en-US"/>
              </w:rPr>
            </w:pPr>
          </w:p>
        </w:tc>
        <w:tc>
          <w:tcPr>
            <w:tcW w:w="1406" w:type="dxa"/>
            <w:tcBorders>
              <w:left w:val="nil"/>
              <w:right w:val="nil"/>
            </w:tcBorders>
            <w:shd w:val="clear" w:color="auto" w:fill="auto"/>
            <w:vAlign w:val="center"/>
          </w:tcPr>
          <w:p w14:paraId="3D301202" w14:textId="77777777" w:rsidR="00986EC1" w:rsidRPr="00986EC1" w:rsidRDefault="00986EC1" w:rsidP="00986EC1">
            <w:pPr>
              <w:spacing w:before="20" w:after="20"/>
              <w:rPr>
                <w:rFonts w:ascii="Arial Narrow" w:eastAsia="Calibri" w:hAnsi="Arial Narrow"/>
                <w:b/>
                <w:bCs/>
                <w:sz w:val="20"/>
                <w:szCs w:val="22"/>
                <w:lang w:eastAsia="en-US"/>
              </w:rPr>
            </w:pPr>
          </w:p>
        </w:tc>
        <w:tc>
          <w:tcPr>
            <w:tcW w:w="2885" w:type="dxa"/>
            <w:tcBorders>
              <w:left w:val="nil"/>
              <w:right w:val="nil"/>
            </w:tcBorders>
            <w:shd w:val="clear" w:color="auto" w:fill="auto"/>
            <w:vAlign w:val="center"/>
          </w:tcPr>
          <w:p w14:paraId="782FB309" w14:textId="77777777" w:rsidR="00986EC1" w:rsidRPr="00986EC1" w:rsidRDefault="00986EC1" w:rsidP="00986EC1">
            <w:pPr>
              <w:spacing w:before="20" w:after="20"/>
              <w:jc w:val="center"/>
              <w:rPr>
                <w:rFonts w:ascii="Arial Narrow" w:eastAsia="Calibri" w:hAnsi="Arial Narrow"/>
                <w:b/>
                <w:bCs/>
                <w:sz w:val="20"/>
                <w:szCs w:val="22"/>
                <w:lang w:eastAsia="en-US"/>
              </w:rPr>
            </w:pPr>
            <w:r w:rsidRPr="00986EC1">
              <w:rPr>
                <w:rFonts w:ascii="Arial Narrow" w:eastAsia="Calibri" w:hAnsi="Arial Narrow"/>
                <w:b/>
                <w:bCs/>
                <w:sz w:val="20"/>
                <w:szCs w:val="22"/>
                <w:lang w:eastAsia="en-US"/>
              </w:rPr>
              <w:t>IDS vs decompression</w:t>
            </w:r>
          </w:p>
        </w:tc>
        <w:tc>
          <w:tcPr>
            <w:tcW w:w="1995" w:type="dxa"/>
            <w:tcBorders>
              <w:left w:val="nil"/>
              <w:right w:val="nil"/>
            </w:tcBorders>
            <w:shd w:val="clear" w:color="auto" w:fill="auto"/>
            <w:vAlign w:val="center"/>
          </w:tcPr>
          <w:p w14:paraId="58F45814" w14:textId="77777777" w:rsidR="00986EC1" w:rsidRPr="00986EC1" w:rsidRDefault="00986EC1" w:rsidP="00986EC1">
            <w:pPr>
              <w:spacing w:before="20" w:after="20"/>
              <w:rPr>
                <w:rFonts w:ascii="Arial Narrow" w:eastAsia="Calibri" w:hAnsi="Arial Narrow"/>
                <w:b/>
                <w:bCs/>
                <w:sz w:val="20"/>
                <w:szCs w:val="22"/>
                <w:lang w:eastAsia="en-US"/>
              </w:rPr>
            </w:pPr>
          </w:p>
        </w:tc>
        <w:tc>
          <w:tcPr>
            <w:tcW w:w="1224" w:type="dxa"/>
            <w:tcBorders>
              <w:left w:val="nil"/>
            </w:tcBorders>
            <w:shd w:val="clear" w:color="auto" w:fill="auto"/>
            <w:vAlign w:val="center"/>
          </w:tcPr>
          <w:p w14:paraId="30E3E231" w14:textId="77777777" w:rsidR="00986EC1" w:rsidRPr="00986EC1" w:rsidRDefault="00986EC1" w:rsidP="00986EC1">
            <w:pPr>
              <w:spacing w:before="20" w:after="20"/>
              <w:rPr>
                <w:rFonts w:ascii="Arial Narrow" w:eastAsia="Calibri" w:hAnsi="Arial Narrow"/>
                <w:b/>
                <w:bCs/>
                <w:snapToGrid w:val="0"/>
                <w:sz w:val="20"/>
                <w:szCs w:val="22"/>
                <w:lang w:eastAsia="en-US"/>
              </w:rPr>
            </w:pPr>
          </w:p>
        </w:tc>
      </w:tr>
      <w:tr w:rsidR="00986EC1" w:rsidRPr="00986EC1" w14:paraId="5C6F1EDE" w14:textId="77777777" w:rsidTr="005917C2">
        <w:trPr>
          <w:cantSplit/>
        </w:trPr>
        <w:tc>
          <w:tcPr>
            <w:tcW w:w="1506" w:type="dxa"/>
            <w:shd w:val="clear" w:color="auto" w:fill="auto"/>
          </w:tcPr>
          <w:p w14:paraId="2AEFF925" w14:textId="31B1F2A8"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FELIX (Moojen, 2015)</w:t>
            </w:r>
            <w:r w:rsidR="00A74F27">
              <w:rPr>
                <w:rStyle w:val="FootnoteReference"/>
                <w:rFonts w:ascii="Arial Narrow" w:eastAsia="Calibri" w:hAnsi="Arial Narrow"/>
                <w:sz w:val="20"/>
                <w:szCs w:val="22"/>
                <w:lang w:eastAsia="en-US"/>
              </w:rPr>
              <w:footnoteReference w:id="15"/>
            </w:r>
          </w:p>
          <w:p w14:paraId="5335D75B" w14:textId="77777777" w:rsidR="00986EC1" w:rsidRPr="00986EC1" w:rsidRDefault="00986EC1" w:rsidP="00986EC1">
            <w:pPr>
              <w:spacing w:before="20" w:after="20"/>
              <w:rPr>
                <w:rFonts w:ascii="Arial Narrow" w:eastAsia="Calibri" w:hAnsi="Arial Narrow"/>
                <w:sz w:val="20"/>
                <w:szCs w:val="22"/>
                <w:lang w:eastAsia="en-US"/>
              </w:rPr>
            </w:pPr>
          </w:p>
          <w:p w14:paraId="5393B2DF"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IDS (Coflex) = 80</w:t>
            </w:r>
          </w:p>
          <w:p w14:paraId="6441F5AB"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D = 79</w:t>
            </w:r>
          </w:p>
        </w:tc>
        <w:tc>
          <w:tcPr>
            <w:tcW w:w="1406" w:type="dxa"/>
            <w:shd w:val="clear" w:color="auto" w:fill="auto"/>
          </w:tcPr>
          <w:p w14:paraId="517A8719"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RCT, DB, MC (Netherlands, 15 hospitals) / 24 months</w:t>
            </w:r>
          </w:p>
          <w:p w14:paraId="649DAC16" w14:textId="77777777" w:rsidR="00986EC1" w:rsidRPr="00986EC1" w:rsidRDefault="00986EC1" w:rsidP="00986EC1">
            <w:pPr>
              <w:spacing w:before="20" w:after="20"/>
              <w:rPr>
                <w:rFonts w:ascii="Arial Narrow" w:eastAsia="Calibri" w:hAnsi="Arial Narrow"/>
                <w:sz w:val="20"/>
                <w:szCs w:val="22"/>
                <w:lang w:eastAsia="en-US"/>
              </w:rPr>
            </w:pPr>
          </w:p>
          <w:p w14:paraId="0FDFB850" w14:textId="77777777" w:rsidR="00986EC1" w:rsidRPr="00986EC1" w:rsidRDefault="00986EC1" w:rsidP="00986EC1">
            <w:pPr>
              <w:spacing w:before="20" w:after="20"/>
              <w:rPr>
                <w:rFonts w:ascii="Arial Narrow" w:eastAsia="Calibri" w:hAnsi="Arial Narrow"/>
                <w:i/>
                <w:iCs/>
                <w:sz w:val="20"/>
                <w:szCs w:val="22"/>
                <w:lang w:eastAsia="en-US"/>
              </w:rPr>
            </w:pPr>
            <w:r w:rsidRPr="00986EC1">
              <w:rPr>
                <w:rFonts w:ascii="Arial Narrow" w:eastAsia="Calibri" w:hAnsi="Arial Narrow"/>
                <w:i/>
                <w:iCs/>
                <w:sz w:val="20"/>
                <w:szCs w:val="22"/>
                <w:lang w:eastAsia="en-US"/>
              </w:rPr>
              <w:t>High</w:t>
            </w:r>
          </w:p>
        </w:tc>
        <w:tc>
          <w:tcPr>
            <w:tcW w:w="2885" w:type="dxa"/>
            <w:shd w:val="clear" w:color="auto" w:fill="auto"/>
          </w:tcPr>
          <w:p w14:paraId="14AE9342"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Patients with NIC (at least 3 months) due to 1- or 2-level degenerative LSS after failed conservative care who are indicated for surgery. </w:t>
            </w:r>
          </w:p>
          <w:p w14:paraId="0853F551"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Patients with degenerative spondylolisthesis &gt; grade 1 were excluded. </w:t>
            </w:r>
          </w:p>
          <w:p w14:paraId="17F6C998"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Age: 40 to 85 years</w:t>
            </w:r>
          </w:p>
        </w:tc>
        <w:tc>
          <w:tcPr>
            <w:tcW w:w="1995" w:type="dxa"/>
            <w:shd w:val="clear" w:color="auto" w:fill="auto"/>
          </w:tcPr>
          <w:p w14:paraId="71A0834A"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u w:val="single"/>
                <w:lang w:eastAsia="en-US"/>
              </w:rPr>
              <w:t>Primary</w:t>
            </w:r>
            <w:r w:rsidRPr="00986EC1">
              <w:rPr>
                <w:rFonts w:ascii="Arial Narrow" w:eastAsia="Calibri" w:hAnsi="Arial Narrow"/>
                <w:sz w:val="20"/>
                <w:szCs w:val="22"/>
                <w:lang w:eastAsia="en-US"/>
              </w:rPr>
              <w:t xml:space="preserve">: </w:t>
            </w:r>
          </w:p>
          <w:p w14:paraId="35D99B21"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ZCQ </w:t>
            </w:r>
          </w:p>
          <w:p w14:paraId="78211488" w14:textId="77777777" w:rsidR="00986EC1" w:rsidRPr="00986EC1" w:rsidRDefault="00986EC1" w:rsidP="00986EC1">
            <w:pPr>
              <w:spacing w:before="20" w:after="20"/>
              <w:rPr>
                <w:rFonts w:ascii="Arial Narrow" w:eastAsia="Calibri" w:hAnsi="Arial Narrow"/>
                <w:sz w:val="20"/>
                <w:szCs w:val="22"/>
                <w:lang w:eastAsia="en-US"/>
              </w:rPr>
            </w:pPr>
          </w:p>
          <w:p w14:paraId="281D938D"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u w:val="single"/>
                <w:lang w:eastAsia="en-US"/>
              </w:rPr>
              <w:t>Secondary</w:t>
            </w:r>
            <w:r w:rsidRPr="00986EC1">
              <w:rPr>
                <w:rFonts w:ascii="Arial Narrow" w:eastAsia="Calibri" w:hAnsi="Arial Narrow"/>
                <w:sz w:val="20"/>
                <w:szCs w:val="22"/>
                <w:lang w:eastAsia="en-US"/>
              </w:rPr>
              <w:t>:</w:t>
            </w:r>
          </w:p>
          <w:p w14:paraId="11B262AA"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MRDQ</w:t>
            </w:r>
          </w:p>
          <w:p w14:paraId="037FD074"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VAS back and leg pain </w:t>
            </w:r>
          </w:p>
          <w:p w14:paraId="596CAA8F"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SF-36</w:t>
            </w:r>
          </w:p>
          <w:p w14:paraId="38D82789"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HADS</w:t>
            </w:r>
          </w:p>
          <w:p w14:paraId="577188B6"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SWT</w:t>
            </w:r>
          </w:p>
          <w:p w14:paraId="39969512"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Costs/EuroQol</w:t>
            </w:r>
          </w:p>
          <w:p w14:paraId="60E19D0B"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Complications and reoperations</w:t>
            </w:r>
          </w:p>
        </w:tc>
        <w:tc>
          <w:tcPr>
            <w:tcW w:w="1224" w:type="dxa"/>
            <w:shd w:val="clear" w:color="auto" w:fill="auto"/>
          </w:tcPr>
          <w:p w14:paraId="4A52901A"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napToGrid w:val="0"/>
                <w:sz w:val="20"/>
                <w:szCs w:val="22"/>
                <w:lang w:eastAsia="en-US"/>
              </w:rPr>
              <w:t>To support the non-inferiority in terms of efficacy and safety</w:t>
            </w:r>
          </w:p>
        </w:tc>
      </w:tr>
      <w:tr w:rsidR="00986EC1" w:rsidRPr="00986EC1" w14:paraId="55C2ED42" w14:textId="77777777" w:rsidTr="005917C2">
        <w:trPr>
          <w:cantSplit/>
        </w:trPr>
        <w:tc>
          <w:tcPr>
            <w:tcW w:w="1506" w:type="dxa"/>
            <w:shd w:val="clear" w:color="auto" w:fill="auto"/>
          </w:tcPr>
          <w:p w14:paraId="2E001A4B"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Lønne (2015)</w:t>
            </w:r>
          </w:p>
          <w:p w14:paraId="54FD7B72" w14:textId="77777777" w:rsidR="00986EC1" w:rsidRPr="00986EC1" w:rsidRDefault="00986EC1" w:rsidP="00986EC1">
            <w:pPr>
              <w:spacing w:before="20" w:after="20"/>
              <w:rPr>
                <w:rFonts w:ascii="Arial Narrow" w:eastAsia="Calibri" w:hAnsi="Arial Narrow"/>
                <w:sz w:val="20"/>
                <w:szCs w:val="22"/>
                <w:lang w:eastAsia="en-US"/>
              </w:rPr>
            </w:pPr>
          </w:p>
          <w:p w14:paraId="1B75BA34"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IDS (X-STOP) = 40</w:t>
            </w:r>
          </w:p>
          <w:p w14:paraId="0E75250D"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MID = 41</w:t>
            </w:r>
          </w:p>
        </w:tc>
        <w:tc>
          <w:tcPr>
            <w:tcW w:w="1406" w:type="dxa"/>
            <w:shd w:val="clear" w:color="auto" w:fill="auto"/>
          </w:tcPr>
          <w:p w14:paraId="3F1B1420"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RCT, MC (6 Norwegian hospitals) (2007-2011) /</w:t>
            </w:r>
          </w:p>
          <w:p w14:paraId="0CDFF681"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24 months</w:t>
            </w:r>
          </w:p>
          <w:p w14:paraId="07007567" w14:textId="77777777" w:rsidR="00986EC1" w:rsidRPr="00986EC1" w:rsidRDefault="00986EC1" w:rsidP="00986EC1">
            <w:pPr>
              <w:spacing w:before="20" w:after="20"/>
              <w:rPr>
                <w:rFonts w:ascii="Arial Narrow" w:eastAsia="Calibri" w:hAnsi="Arial Narrow"/>
                <w:sz w:val="20"/>
                <w:szCs w:val="22"/>
                <w:lang w:eastAsia="en-US"/>
              </w:rPr>
            </w:pPr>
          </w:p>
          <w:p w14:paraId="37A4AF49" w14:textId="77777777" w:rsidR="00986EC1" w:rsidRPr="00986EC1" w:rsidRDefault="00986EC1" w:rsidP="00986EC1">
            <w:pPr>
              <w:spacing w:before="20" w:after="20"/>
              <w:rPr>
                <w:rFonts w:ascii="Arial Narrow" w:eastAsia="Calibri" w:hAnsi="Arial Narrow"/>
                <w:i/>
                <w:iCs/>
                <w:sz w:val="20"/>
                <w:szCs w:val="22"/>
                <w:lang w:eastAsia="en-US"/>
              </w:rPr>
            </w:pPr>
            <w:r w:rsidRPr="00986EC1">
              <w:rPr>
                <w:rFonts w:ascii="Arial Narrow" w:eastAsia="Calibri" w:hAnsi="Arial Narrow"/>
                <w:i/>
                <w:iCs/>
                <w:sz w:val="20"/>
                <w:szCs w:val="22"/>
                <w:lang w:eastAsia="en-US"/>
              </w:rPr>
              <w:t>High</w:t>
            </w:r>
          </w:p>
        </w:tc>
        <w:tc>
          <w:tcPr>
            <w:tcW w:w="2885" w:type="dxa"/>
            <w:shd w:val="clear" w:color="auto" w:fill="auto"/>
          </w:tcPr>
          <w:p w14:paraId="43E54635"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Patients with NIC (within 250 m walking distance for at least 6 months) due to 1 or 2-level LSS after failed conservative care.</w:t>
            </w:r>
          </w:p>
          <w:p w14:paraId="4DC32C0E"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Patients were included if relieved through spinal flexion. </w:t>
            </w:r>
          </w:p>
          <w:p w14:paraId="537DF5E4"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Patients with degenerative spondylolisthesis &gt; grade 1 were excluded</w:t>
            </w:r>
          </w:p>
          <w:p w14:paraId="224F1FBF"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Age: 50 to 85 years</w:t>
            </w:r>
          </w:p>
        </w:tc>
        <w:tc>
          <w:tcPr>
            <w:tcW w:w="1995" w:type="dxa"/>
            <w:shd w:val="clear" w:color="auto" w:fill="auto"/>
          </w:tcPr>
          <w:p w14:paraId="508195C9"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u w:val="single"/>
                <w:lang w:eastAsia="en-US"/>
              </w:rPr>
              <w:t>Primary</w:t>
            </w:r>
            <w:r w:rsidRPr="00986EC1">
              <w:rPr>
                <w:rFonts w:ascii="Arial Narrow" w:eastAsia="Calibri" w:hAnsi="Arial Narrow"/>
                <w:sz w:val="20"/>
                <w:szCs w:val="22"/>
                <w:lang w:eastAsia="en-US"/>
              </w:rPr>
              <w:t xml:space="preserve">: </w:t>
            </w:r>
          </w:p>
          <w:p w14:paraId="165C3117"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ZCQ  </w:t>
            </w:r>
          </w:p>
          <w:p w14:paraId="69D3F680" w14:textId="77777777" w:rsidR="00986EC1" w:rsidRPr="00986EC1" w:rsidRDefault="00986EC1" w:rsidP="00986EC1">
            <w:pPr>
              <w:spacing w:before="20" w:after="20"/>
              <w:rPr>
                <w:rFonts w:ascii="Arial Narrow" w:eastAsia="Calibri" w:hAnsi="Arial Narrow"/>
                <w:sz w:val="20"/>
                <w:szCs w:val="22"/>
                <w:lang w:eastAsia="en-US"/>
              </w:rPr>
            </w:pPr>
          </w:p>
          <w:p w14:paraId="03A480B8"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u w:val="single"/>
                <w:lang w:eastAsia="en-US"/>
              </w:rPr>
              <w:t>Secondary</w:t>
            </w:r>
            <w:r w:rsidRPr="00986EC1">
              <w:rPr>
                <w:rFonts w:ascii="Arial Narrow" w:eastAsia="Calibri" w:hAnsi="Arial Narrow"/>
                <w:sz w:val="20"/>
                <w:szCs w:val="22"/>
                <w:lang w:eastAsia="en-US"/>
              </w:rPr>
              <w:t xml:space="preserve">: </w:t>
            </w:r>
          </w:p>
          <w:p w14:paraId="58EABBC1"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ODI</w:t>
            </w:r>
          </w:p>
          <w:p w14:paraId="4031BBB2"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EQ-5D</w:t>
            </w:r>
          </w:p>
          <w:p w14:paraId="4EFA7AAC"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NRS-11 back and leg pain </w:t>
            </w:r>
          </w:p>
          <w:p w14:paraId="7A40FE9C"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Complications and reoperations  </w:t>
            </w:r>
          </w:p>
        </w:tc>
        <w:tc>
          <w:tcPr>
            <w:tcW w:w="1224" w:type="dxa"/>
            <w:shd w:val="clear" w:color="auto" w:fill="auto"/>
          </w:tcPr>
          <w:p w14:paraId="2A74969E"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napToGrid w:val="0"/>
                <w:sz w:val="20"/>
                <w:szCs w:val="22"/>
                <w:lang w:eastAsia="en-US"/>
              </w:rPr>
              <w:t>To support the non-inferiority in terms of efficacy and safety</w:t>
            </w:r>
          </w:p>
        </w:tc>
      </w:tr>
      <w:tr w:rsidR="00986EC1" w:rsidRPr="00986EC1" w14:paraId="40169FE0" w14:textId="77777777" w:rsidTr="005917C2">
        <w:trPr>
          <w:cantSplit/>
        </w:trPr>
        <w:tc>
          <w:tcPr>
            <w:tcW w:w="1506" w:type="dxa"/>
            <w:shd w:val="clear" w:color="auto" w:fill="auto"/>
          </w:tcPr>
          <w:p w14:paraId="3214F038" w14:textId="2BDA1EF5"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Strömqvist (2015)</w:t>
            </w:r>
            <w:r w:rsidR="00A74F27">
              <w:rPr>
                <w:rStyle w:val="FootnoteReference"/>
                <w:rFonts w:ascii="Arial Narrow" w:eastAsia="Calibri" w:hAnsi="Arial Narrow"/>
                <w:sz w:val="20"/>
                <w:szCs w:val="22"/>
                <w:lang w:eastAsia="en-US"/>
              </w:rPr>
              <w:footnoteReference w:id="16"/>
            </w:r>
          </w:p>
          <w:p w14:paraId="685055C1" w14:textId="77777777" w:rsidR="00986EC1" w:rsidRPr="00986EC1" w:rsidRDefault="00986EC1" w:rsidP="00986EC1">
            <w:pPr>
              <w:spacing w:before="20" w:after="20"/>
              <w:rPr>
                <w:rFonts w:ascii="Arial Narrow" w:eastAsia="Calibri" w:hAnsi="Arial Narrow"/>
                <w:sz w:val="20"/>
                <w:szCs w:val="22"/>
                <w:lang w:eastAsia="en-US"/>
              </w:rPr>
            </w:pPr>
          </w:p>
          <w:p w14:paraId="6CF6BCE7"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IDS (X-STOP) = 50</w:t>
            </w:r>
          </w:p>
          <w:p w14:paraId="50B9EA6B"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D = 50</w:t>
            </w:r>
          </w:p>
        </w:tc>
        <w:tc>
          <w:tcPr>
            <w:tcW w:w="1406" w:type="dxa"/>
            <w:shd w:val="clear" w:color="auto" w:fill="auto"/>
          </w:tcPr>
          <w:p w14:paraId="0762F87F"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RCT, MC (3 Swedish spine centres) / </w:t>
            </w:r>
          </w:p>
          <w:p w14:paraId="7AE3C9A5"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24 months</w:t>
            </w:r>
          </w:p>
          <w:p w14:paraId="0FBBB0E9" w14:textId="77777777" w:rsidR="00986EC1" w:rsidRPr="00986EC1" w:rsidRDefault="00986EC1" w:rsidP="00986EC1">
            <w:pPr>
              <w:spacing w:before="20" w:after="20"/>
              <w:rPr>
                <w:rFonts w:ascii="Arial Narrow" w:eastAsia="Calibri" w:hAnsi="Arial Narrow"/>
                <w:sz w:val="20"/>
                <w:szCs w:val="22"/>
                <w:lang w:eastAsia="en-US"/>
              </w:rPr>
            </w:pPr>
          </w:p>
          <w:p w14:paraId="2E7E98C3" w14:textId="77777777" w:rsidR="00986EC1" w:rsidRPr="00986EC1" w:rsidRDefault="00986EC1" w:rsidP="00986EC1">
            <w:pPr>
              <w:spacing w:before="20" w:after="20"/>
              <w:rPr>
                <w:rFonts w:ascii="Arial Narrow" w:eastAsia="Calibri" w:hAnsi="Arial Narrow"/>
                <w:i/>
                <w:iCs/>
                <w:sz w:val="20"/>
                <w:szCs w:val="22"/>
                <w:lang w:eastAsia="en-US"/>
              </w:rPr>
            </w:pPr>
            <w:r w:rsidRPr="00986EC1">
              <w:rPr>
                <w:rFonts w:ascii="Arial Narrow" w:eastAsia="Calibri" w:hAnsi="Arial Narrow"/>
                <w:i/>
                <w:iCs/>
                <w:sz w:val="20"/>
                <w:szCs w:val="22"/>
                <w:lang w:eastAsia="en-US"/>
              </w:rPr>
              <w:t>High</w:t>
            </w:r>
          </w:p>
        </w:tc>
        <w:tc>
          <w:tcPr>
            <w:tcW w:w="2885" w:type="dxa"/>
            <w:shd w:val="clear" w:color="auto" w:fill="auto"/>
          </w:tcPr>
          <w:p w14:paraId="49B73A92"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Patients with NIC (at least 6 months) due to 1- or 2-level LSS.</w:t>
            </w:r>
          </w:p>
          <w:p w14:paraId="154EC2B1"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Patients were included if relieved through spinal flexion. </w:t>
            </w:r>
          </w:p>
          <w:p w14:paraId="098FB701"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Patients with degenerative spondylolisthesis &gt; grade 1 were excluded</w:t>
            </w:r>
          </w:p>
          <w:p w14:paraId="696C4567"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Age: 49 to 89 years</w:t>
            </w:r>
          </w:p>
        </w:tc>
        <w:tc>
          <w:tcPr>
            <w:tcW w:w="1995" w:type="dxa"/>
            <w:shd w:val="clear" w:color="auto" w:fill="auto"/>
          </w:tcPr>
          <w:p w14:paraId="79AF686A"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u w:val="single"/>
                <w:lang w:eastAsia="en-US"/>
              </w:rPr>
              <w:t>Primary</w:t>
            </w:r>
            <w:r w:rsidRPr="00986EC1">
              <w:rPr>
                <w:rFonts w:ascii="Arial Narrow" w:eastAsia="Calibri" w:hAnsi="Arial Narrow"/>
                <w:sz w:val="20"/>
                <w:szCs w:val="22"/>
                <w:lang w:eastAsia="en-US"/>
              </w:rPr>
              <w:t xml:space="preserve">: </w:t>
            </w:r>
          </w:p>
          <w:p w14:paraId="5945AF34"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ZCQ</w:t>
            </w:r>
          </w:p>
          <w:p w14:paraId="615F521A" w14:textId="77777777" w:rsidR="00986EC1" w:rsidRPr="00986EC1" w:rsidRDefault="00986EC1" w:rsidP="00986EC1">
            <w:pPr>
              <w:spacing w:before="20" w:after="20"/>
              <w:rPr>
                <w:rFonts w:ascii="Arial Narrow" w:eastAsia="Calibri" w:hAnsi="Arial Narrow"/>
                <w:sz w:val="20"/>
                <w:szCs w:val="22"/>
                <w:lang w:eastAsia="en-US"/>
              </w:rPr>
            </w:pPr>
          </w:p>
          <w:p w14:paraId="20DDA516"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u w:val="single"/>
                <w:lang w:eastAsia="en-US"/>
              </w:rPr>
              <w:t>Secondary</w:t>
            </w:r>
            <w:r w:rsidRPr="00986EC1">
              <w:rPr>
                <w:rFonts w:ascii="Arial Narrow" w:eastAsia="Calibri" w:hAnsi="Arial Narrow"/>
                <w:sz w:val="20"/>
                <w:szCs w:val="22"/>
                <w:lang w:eastAsia="en-US"/>
              </w:rPr>
              <w:t xml:space="preserve">: </w:t>
            </w:r>
          </w:p>
          <w:p w14:paraId="7212F735"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SF-36 </w:t>
            </w:r>
          </w:p>
          <w:p w14:paraId="5CA2B1A0"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VAS back and leg pain</w:t>
            </w:r>
          </w:p>
          <w:p w14:paraId="68852D40"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Complications and reoperations</w:t>
            </w:r>
          </w:p>
        </w:tc>
        <w:tc>
          <w:tcPr>
            <w:tcW w:w="1224" w:type="dxa"/>
            <w:shd w:val="clear" w:color="auto" w:fill="auto"/>
          </w:tcPr>
          <w:p w14:paraId="5825E031"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napToGrid w:val="0"/>
                <w:sz w:val="20"/>
                <w:szCs w:val="22"/>
                <w:lang w:eastAsia="en-US"/>
              </w:rPr>
              <w:t>To support the non-inferiority in terms of efficacy and safety</w:t>
            </w:r>
          </w:p>
        </w:tc>
      </w:tr>
      <w:tr w:rsidR="00986EC1" w:rsidRPr="00986EC1" w14:paraId="0A5C2497" w14:textId="77777777" w:rsidTr="005917C2">
        <w:trPr>
          <w:cantSplit/>
        </w:trPr>
        <w:tc>
          <w:tcPr>
            <w:tcW w:w="1506" w:type="dxa"/>
            <w:shd w:val="clear" w:color="auto" w:fill="auto"/>
          </w:tcPr>
          <w:p w14:paraId="3F0039AE" w14:textId="1374E656"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NICE (M</w:t>
            </w:r>
            <w:r w:rsidR="00A74F27">
              <w:rPr>
                <w:rFonts w:ascii="Arial Narrow" w:eastAsia="Calibri" w:hAnsi="Arial Narrow"/>
                <w:sz w:val="20"/>
                <w:szCs w:val="22"/>
                <w:lang w:eastAsia="en-US"/>
              </w:rPr>
              <w:t>e</w:t>
            </w:r>
            <w:r w:rsidRPr="00986EC1">
              <w:rPr>
                <w:rFonts w:ascii="Arial Narrow" w:eastAsia="Calibri" w:hAnsi="Arial Narrow"/>
                <w:sz w:val="20"/>
                <w:szCs w:val="22"/>
                <w:lang w:eastAsia="en-US"/>
              </w:rPr>
              <w:t>yer, 2018)</w:t>
            </w:r>
            <w:r w:rsidR="00A74F27">
              <w:rPr>
                <w:rStyle w:val="FootnoteReference"/>
                <w:rFonts w:ascii="Arial Narrow" w:eastAsia="Calibri" w:hAnsi="Arial Narrow"/>
                <w:sz w:val="20"/>
                <w:szCs w:val="22"/>
                <w:lang w:eastAsia="en-US"/>
              </w:rPr>
              <w:footnoteReference w:id="17"/>
            </w:r>
          </w:p>
          <w:p w14:paraId="06B191DF" w14:textId="77777777" w:rsidR="00986EC1" w:rsidRPr="00986EC1" w:rsidRDefault="00986EC1" w:rsidP="00986EC1">
            <w:pPr>
              <w:spacing w:before="20" w:after="20"/>
              <w:rPr>
                <w:rFonts w:ascii="Arial Narrow" w:eastAsia="Calibri" w:hAnsi="Arial Narrow"/>
                <w:sz w:val="20"/>
                <w:szCs w:val="22"/>
                <w:lang w:eastAsia="en-US"/>
              </w:rPr>
            </w:pPr>
          </w:p>
          <w:p w14:paraId="6535BA54"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IDS (Aperius) = 82</w:t>
            </w:r>
          </w:p>
          <w:p w14:paraId="593A09B2"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D = 81</w:t>
            </w:r>
          </w:p>
        </w:tc>
        <w:tc>
          <w:tcPr>
            <w:tcW w:w="1406" w:type="dxa"/>
            <w:shd w:val="clear" w:color="auto" w:fill="auto"/>
          </w:tcPr>
          <w:p w14:paraId="2292E20F"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RCT, OL, MC (19 international sites) / 24 months</w:t>
            </w:r>
          </w:p>
          <w:p w14:paraId="77F71E9B" w14:textId="77777777" w:rsidR="00986EC1" w:rsidRPr="00986EC1" w:rsidRDefault="00986EC1" w:rsidP="00986EC1">
            <w:pPr>
              <w:spacing w:before="20" w:after="20"/>
              <w:rPr>
                <w:rFonts w:ascii="Arial Narrow" w:eastAsia="Calibri" w:hAnsi="Arial Narrow"/>
                <w:sz w:val="20"/>
                <w:szCs w:val="22"/>
                <w:lang w:eastAsia="en-US"/>
              </w:rPr>
            </w:pPr>
          </w:p>
          <w:p w14:paraId="5E5E133F" w14:textId="77777777" w:rsidR="00986EC1" w:rsidRPr="00986EC1" w:rsidRDefault="00986EC1" w:rsidP="00986EC1">
            <w:pPr>
              <w:spacing w:before="20" w:after="20"/>
              <w:rPr>
                <w:rFonts w:ascii="Arial Narrow" w:eastAsia="Calibri" w:hAnsi="Arial Narrow"/>
                <w:i/>
                <w:iCs/>
                <w:sz w:val="20"/>
                <w:szCs w:val="22"/>
                <w:lang w:eastAsia="en-US"/>
              </w:rPr>
            </w:pPr>
            <w:r w:rsidRPr="00986EC1">
              <w:rPr>
                <w:rFonts w:ascii="Arial Narrow" w:eastAsia="Calibri" w:hAnsi="Arial Narrow"/>
                <w:i/>
                <w:iCs/>
                <w:sz w:val="20"/>
                <w:szCs w:val="22"/>
                <w:lang w:eastAsia="en-US"/>
              </w:rPr>
              <w:t>High</w:t>
            </w:r>
          </w:p>
        </w:tc>
        <w:tc>
          <w:tcPr>
            <w:tcW w:w="2885" w:type="dxa"/>
            <w:shd w:val="clear" w:color="auto" w:fill="auto"/>
          </w:tcPr>
          <w:p w14:paraId="5A154A4D"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Patients with NIC (at least 6 weeks) due to degenerative LSS.</w:t>
            </w:r>
          </w:p>
          <w:p w14:paraId="7DD053D2"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Patients were included if relieved through spinal flexion.</w:t>
            </w:r>
          </w:p>
          <w:p w14:paraId="3C2C960D"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Patients with degenerative spondylolisthesis &gt; grade 1 were excluded</w:t>
            </w:r>
          </w:p>
        </w:tc>
        <w:tc>
          <w:tcPr>
            <w:tcW w:w="1995" w:type="dxa"/>
            <w:shd w:val="clear" w:color="auto" w:fill="auto"/>
          </w:tcPr>
          <w:p w14:paraId="158546D1"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u w:val="single"/>
                <w:lang w:eastAsia="en-US"/>
              </w:rPr>
              <w:t>Primary</w:t>
            </w:r>
            <w:r w:rsidRPr="00986EC1">
              <w:rPr>
                <w:rFonts w:ascii="Arial Narrow" w:eastAsia="Calibri" w:hAnsi="Arial Narrow"/>
                <w:sz w:val="20"/>
                <w:szCs w:val="22"/>
                <w:lang w:eastAsia="en-US"/>
              </w:rPr>
              <w:t xml:space="preserve">: </w:t>
            </w:r>
          </w:p>
          <w:p w14:paraId="34FA8E74"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ZCQ </w:t>
            </w:r>
          </w:p>
          <w:p w14:paraId="0B37B968" w14:textId="77777777" w:rsidR="00986EC1" w:rsidRPr="00986EC1" w:rsidRDefault="00986EC1" w:rsidP="00986EC1">
            <w:pPr>
              <w:spacing w:before="20" w:after="20"/>
              <w:rPr>
                <w:rFonts w:ascii="Arial Narrow" w:eastAsia="Calibri" w:hAnsi="Arial Narrow"/>
                <w:sz w:val="20"/>
                <w:szCs w:val="22"/>
                <w:lang w:eastAsia="en-US"/>
              </w:rPr>
            </w:pPr>
          </w:p>
          <w:p w14:paraId="73D08645"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u w:val="single"/>
                <w:lang w:eastAsia="en-US"/>
              </w:rPr>
              <w:t>Secondary</w:t>
            </w:r>
            <w:r w:rsidRPr="00986EC1">
              <w:rPr>
                <w:rFonts w:ascii="Arial Narrow" w:eastAsia="Calibri" w:hAnsi="Arial Narrow"/>
                <w:sz w:val="20"/>
                <w:szCs w:val="22"/>
                <w:lang w:eastAsia="en-US"/>
              </w:rPr>
              <w:t xml:space="preserve">: </w:t>
            </w:r>
          </w:p>
          <w:p w14:paraId="21BC0DD0"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SF-36</w:t>
            </w:r>
          </w:p>
          <w:p w14:paraId="466AAB12"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VAS back and leg pain </w:t>
            </w:r>
          </w:p>
          <w:p w14:paraId="0531A876"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SAEs</w:t>
            </w:r>
          </w:p>
          <w:p w14:paraId="5D185EF4"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Complications and reoperations</w:t>
            </w:r>
          </w:p>
        </w:tc>
        <w:tc>
          <w:tcPr>
            <w:tcW w:w="1224" w:type="dxa"/>
            <w:shd w:val="clear" w:color="auto" w:fill="auto"/>
          </w:tcPr>
          <w:p w14:paraId="0AFF974D"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napToGrid w:val="0"/>
                <w:sz w:val="20"/>
                <w:szCs w:val="22"/>
                <w:lang w:eastAsia="en-US"/>
              </w:rPr>
              <w:t>To support the non-inferiority in terms of efficacy and safety</w:t>
            </w:r>
          </w:p>
        </w:tc>
      </w:tr>
      <w:tr w:rsidR="00986EC1" w:rsidRPr="00986EC1" w14:paraId="44B038B0" w14:textId="77777777" w:rsidTr="005917C2">
        <w:trPr>
          <w:cantSplit/>
        </w:trPr>
        <w:tc>
          <w:tcPr>
            <w:tcW w:w="1506" w:type="dxa"/>
            <w:shd w:val="clear" w:color="auto" w:fill="auto"/>
          </w:tcPr>
          <w:p w14:paraId="0BF47080" w14:textId="5F99D35F"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lastRenderedPageBreak/>
              <w:t>CELAX (Borg, 2021)</w:t>
            </w:r>
            <w:r w:rsidR="00A74F27">
              <w:rPr>
                <w:rStyle w:val="FootnoteReference"/>
                <w:rFonts w:ascii="Arial Narrow" w:eastAsia="Calibri" w:hAnsi="Arial Narrow"/>
                <w:sz w:val="20"/>
                <w:szCs w:val="22"/>
                <w:lang w:eastAsia="en-US"/>
              </w:rPr>
              <w:footnoteReference w:id="18"/>
            </w:r>
          </w:p>
          <w:p w14:paraId="3B8CA874" w14:textId="77777777" w:rsidR="00986EC1" w:rsidRPr="00986EC1" w:rsidRDefault="00986EC1" w:rsidP="00986EC1">
            <w:pPr>
              <w:spacing w:before="20" w:after="20"/>
              <w:rPr>
                <w:rFonts w:ascii="Arial Narrow" w:eastAsia="Calibri" w:hAnsi="Arial Narrow"/>
                <w:sz w:val="20"/>
                <w:szCs w:val="22"/>
                <w:lang w:eastAsia="en-US"/>
              </w:rPr>
            </w:pPr>
          </w:p>
          <w:p w14:paraId="1E274EB2"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IDS (X-STOP) = 21</w:t>
            </w:r>
          </w:p>
          <w:p w14:paraId="6502D35C"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D = 26</w:t>
            </w:r>
          </w:p>
        </w:tc>
        <w:tc>
          <w:tcPr>
            <w:tcW w:w="1406" w:type="dxa"/>
            <w:shd w:val="clear" w:color="auto" w:fill="auto"/>
          </w:tcPr>
          <w:p w14:paraId="38736250"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RCT, OL, MC (3 UK centres) (2010-2014) / 24 months</w:t>
            </w:r>
          </w:p>
          <w:p w14:paraId="3D8F7480" w14:textId="77777777" w:rsidR="00986EC1" w:rsidRPr="00986EC1" w:rsidRDefault="00986EC1" w:rsidP="00986EC1">
            <w:pPr>
              <w:spacing w:before="20" w:after="20"/>
              <w:rPr>
                <w:rFonts w:ascii="Arial Narrow" w:eastAsia="Calibri" w:hAnsi="Arial Narrow"/>
                <w:sz w:val="20"/>
                <w:szCs w:val="22"/>
                <w:lang w:eastAsia="en-US"/>
              </w:rPr>
            </w:pPr>
          </w:p>
          <w:p w14:paraId="43751962" w14:textId="77777777" w:rsidR="00986EC1" w:rsidRPr="00986EC1" w:rsidRDefault="00986EC1" w:rsidP="00986EC1">
            <w:pPr>
              <w:spacing w:before="20" w:after="20"/>
              <w:rPr>
                <w:rFonts w:ascii="Arial Narrow" w:eastAsia="Calibri" w:hAnsi="Arial Narrow"/>
                <w:i/>
                <w:iCs/>
                <w:sz w:val="20"/>
                <w:szCs w:val="22"/>
                <w:lang w:eastAsia="en-US"/>
              </w:rPr>
            </w:pPr>
            <w:r w:rsidRPr="00986EC1">
              <w:rPr>
                <w:rFonts w:ascii="Arial Narrow" w:eastAsia="Calibri" w:hAnsi="Arial Narrow"/>
                <w:i/>
                <w:iCs/>
                <w:sz w:val="20"/>
                <w:szCs w:val="22"/>
                <w:lang w:eastAsia="en-US"/>
              </w:rPr>
              <w:t>High</w:t>
            </w:r>
          </w:p>
        </w:tc>
        <w:tc>
          <w:tcPr>
            <w:tcW w:w="2885" w:type="dxa"/>
            <w:shd w:val="clear" w:color="auto" w:fill="auto"/>
          </w:tcPr>
          <w:p w14:paraId="7E5B97FE"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Patients with NIC (at least 6 months) due to 1- or 2-level degenerative LSS after failed conservative care for 6 months.</w:t>
            </w:r>
          </w:p>
          <w:p w14:paraId="1AE2F1D9"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Patients were included if relieved through spinal flexion. </w:t>
            </w:r>
          </w:p>
          <w:p w14:paraId="0F64CE01"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Patients with degenerative spondylolisthesis ≥ grade 2 were excluded</w:t>
            </w:r>
          </w:p>
        </w:tc>
        <w:tc>
          <w:tcPr>
            <w:tcW w:w="1995" w:type="dxa"/>
            <w:shd w:val="clear" w:color="auto" w:fill="auto"/>
          </w:tcPr>
          <w:p w14:paraId="293FAA5F"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u w:val="single"/>
                <w:lang w:eastAsia="en-US"/>
              </w:rPr>
              <w:t>Primary</w:t>
            </w:r>
            <w:r w:rsidRPr="00986EC1">
              <w:rPr>
                <w:rFonts w:ascii="Arial Narrow" w:eastAsia="Calibri" w:hAnsi="Arial Narrow"/>
                <w:sz w:val="20"/>
                <w:szCs w:val="22"/>
                <w:lang w:eastAsia="en-US"/>
              </w:rPr>
              <w:t xml:space="preserve">: </w:t>
            </w:r>
          </w:p>
          <w:p w14:paraId="0A77C639"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Cost </w:t>
            </w:r>
          </w:p>
          <w:p w14:paraId="2FFC25AA"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EQ-5D</w:t>
            </w:r>
          </w:p>
          <w:p w14:paraId="773DC3FF" w14:textId="77777777" w:rsidR="00986EC1" w:rsidRPr="00986EC1" w:rsidRDefault="00986EC1" w:rsidP="00986EC1">
            <w:pPr>
              <w:spacing w:before="20" w:after="20"/>
              <w:rPr>
                <w:rFonts w:ascii="Arial Narrow" w:eastAsia="Calibri" w:hAnsi="Arial Narrow"/>
                <w:sz w:val="20"/>
                <w:szCs w:val="22"/>
                <w:lang w:eastAsia="en-US"/>
              </w:rPr>
            </w:pPr>
          </w:p>
          <w:p w14:paraId="1794F44B"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u w:val="single"/>
                <w:lang w:eastAsia="en-US"/>
              </w:rPr>
              <w:t>Secondary</w:t>
            </w:r>
            <w:r w:rsidRPr="00986EC1">
              <w:rPr>
                <w:rFonts w:ascii="Arial Narrow" w:eastAsia="Calibri" w:hAnsi="Arial Narrow"/>
                <w:sz w:val="20"/>
                <w:szCs w:val="22"/>
                <w:lang w:eastAsia="en-US"/>
              </w:rPr>
              <w:t>:</w:t>
            </w:r>
          </w:p>
          <w:p w14:paraId="486C8F07"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ODI</w:t>
            </w:r>
          </w:p>
          <w:p w14:paraId="07B7D8B6"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ZCQ</w:t>
            </w:r>
          </w:p>
          <w:p w14:paraId="33017770"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z w:val="20"/>
                <w:szCs w:val="22"/>
                <w:lang w:eastAsia="en-US"/>
              </w:rPr>
              <w:t>QBPDS</w:t>
            </w:r>
          </w:p>
        </w:tc>
        <w:tc>
          <w:tcPr>
            <w:tcW w:w="1224" w:type="dxa"/>
            <w:shd w:val="clear" w:color="auto" w:fill="auto"/>
          </w:tcPr>
          <w:p w14:paraId="5A4FDBCD" w14:textId="77777777" w:rsidR="00986EC1" w:rsidRPr="00986EC1" w:rsidRDefault="00986EC1" w:rsidP="00986EC1">
            <w:pPr>
              <w:spacing w:before="20" w:after="20"/>
              <w:rPr>
                <w:rFonts w:ascii="Arial Narrow" w:eastAsia="Calibri" w:hAnsi="Arial Narrow"/>
                <w:sz w:val="20"/>
                <w:szCs w:val="22"/>
                <w:lang w:eastAsia="en-US"/>
              </w:rPr>
            </w:pPr>
            <w:r w:rsidRPr="00986EC1">
              <w:rPr>
                <w:rFonts w:ascii="Arial Narrow" w:eastAsia="Calibri" w:hAnsi="Arial Narrow"/>
                <w:snapToGrid w:val="0"/>
                <w:sz w:val="20"/>
                <w:szCs w:val="22"/>
                <w:lang w:eastAsia="en-US"/>
              </w:rPr>
              <w:t>To support the non-inferiority in terms of efficacy and safety</w:t>
            </w:r>
          </w:p>
        </w:tc>
      </w:tr>
      <w:tr w:rsidR="00986EC1" w:rsidRPr="00986EC1" w14:paraId="778D2C22" w14:textId="77777777" w:rsidTr="005917C2">
        <w:trPr>
          <w:cantSplit/>
        </w:trPr>
        <w:tc>
          <w:tcPr>
            <w:tcW w:w="1506" w:type="dxa"/>
            <w:tcBorders>
              <w:bottom w:val="single" w:sz="4" w:space="0" w:color="auto"/>
            </w:tcBorders>
            <w:shd w:val="clear" w:color="auto" w:fill="auto"/>
          </w:tcPr>
          <w:p w14:paraId="377BA363"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Meta-analysis – procedural complications</w:t>
            </w:r>
          </w:p>
        </w:tc>
        <w:tc>
          <w:tcPr>
            <w:tcW w:w="6286" w:type="dxa"/>
            <w:gridSpan w:val="3"/>
            <w:tcBorders>
              <w:bottom w:val="single" w:sz="4" w:space="0" w:color="auto"/>
            </w:tcBorders>
            <w:shd w:val="clear" w:color="auto" w:fill="auto"/>
          </w:tcPr>
          <w:p w14:paraId="1D37D293"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Included CELAX, Lønne (2015), FELIX, Strömqvist (2013), N=372</w:t>
            </w:r>
          </w:p>
        </w:tc>
        <w:tc>
          <w:tcPr>
            <w:tcW w:w="1224" w:type="dxa"/>
            <w:tcBorders>
              <w:bottom w:val="single" w:sz="4" w:space="0" w:color="auto"/>
            </w:tcBorders>
            <w:shd w:val="clear" w:color="auto" w:fill="auto"/>
          </w:tcPr>
          <w:p w14:paraId="0196216E"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Not used</w:t>
            </w:r>
          </w:p>
        </w:tc>
      </w:tr>
      <w:tr w:rsidR="00986EC1" w:rsidRPr="00986EC1" w14:paraId="0951DBB2" w14:textId="77777777" w:rsidTr="005917C2">
        <w:trPr>
          <w:cantSplit/>
        </w:trPr>
        <w:tc>
          <w:tcPr>
            <w:tcW w:w="1506" w:type="dxa"/>
            <w:tcBorders>
              <w:bottom w:val="single" w:sz="4" w:space="0" w:color="auto"/>
            </w:tcBorders>
            <w:shd w:val="clear" w:color="auto" w:fill="auto"/>
          </w:tcPr>
          <w:p w14:paraId="7DE316E0"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Meta-analysis - reoperation</w:t>
            </w:r>
          </w:p>
        </w:tc>
        <w:tc>
          <w:tcPr>
            <w:tcW w:w="6286" w:type="dxa"/>
            <w:gridSpan w:val="3"/>
            <w:tcBorders>
              <w:bottom w:val="single" w:sz="4" w:space="0" w:color="auto"/>
            </w:tcBorders>
            <w:shd w:val="clear" w:color="auto" w:fill="auto"/>
          </w:tcPr>
          <w:p w14:paraId="0BF184CB"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Included CELAX, Lønne (2015), NICE, FELIX, Strömqvist (2013), N=528</w:t>
            </w:r>
          </w:p>
        </w:tc>
        <w:tc>
          <w:tcPr>
            <w:tcW w:w="1224" w:type="dxa"/>
            <w:tcBorders>
              <w:bottom w:val="single" w:sz="4" w:space="0" w:color="auto"/>
            </w:tcBorders>
            <w:shd w:val="clear" w:color="auto" w:fill="auto"/>
          </w:tcPr>
          <w:p w14:paraId="4B800523"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Not used</w:t>
            </w:r>
          </w:p>
        </w:tc>
      </w:tr>
      <w:tr w:rsidR="00986EC1" w:rsidRPr="00986EC1" w14:paraId="1DA3C46E" w14:textId="77777777" w:rsidTr="005917C2">
        <w:trPr>
          <w:cantSplit/>
        </w:trPr>
        <w:tc>
          <w:tcPr>
            <w:tcW w:w="1506" w:type="dxa"/>
            <w:tcBorders>
              <w:bottom w:val="single" w:sz="4" w:space="0" w:color="auto"/>
              <w:right w:val="nil"/>
            </w:tcBorders>
            <w:shd w:val="clear" w:color="auto" w:fill="auto"/>
            <w:vAlign w:val="center"/>
          </w:tcPr>
          <w:p w14:paraId="2465F62F" w14:textId="77777777" w:rsidR="00986EC1" w:rsidRPr="00986EC1" w:rsidRDefault="00986EC1" w:rsidP="00986EC1">
            <w:pPr>
              <w:spacing w:before="20" w:after="20"/>
              <w:jc w:val="center"/>
              <w:rPr>
                <w:rFonts w:ascii="Arial Narrow" w:eastAsia="Calibri" w:hAnsi="Arial Narrow"/>
                <w:b/>
                <w:bCs/>
                <w:sz w:val="20"/>
                <w:lang w:eastAsia="en-US"/>
              </w:rPr>
            </w:pPr>
          </w:p>
        </w:tc>
        <w:tc>
          <w:tcPr>
            <w:tcW w:w="1406" w:type="dxa"/>
            <w:tcBorders>
              <w:left w:val="nil"/>
              <w:bottom w:val="single" w:sz="4" w:space="0" w:color="auto"/>
              <w:right w:val="nil"/>
            </w:tcBorders>
            <w:shd w:val="clear" w:color="auto" w:fill="auto"/>
            <w:vAlign w:val="center"/>
          </w:tcPr>
          <w:p w14:paraId="76A23D97" w14:textId="77777777" w:rsidR="00986EC1" w:rsidRPr="00986EC1" w:rsidRDefault="00986EC1" w:rsidP="00986EC1">
            <w:pPr>
              <w:spacing w:before="20" w:after="20"/>
              <w:jc w:val="center"/>
              <w:rPr>
                <w:rFonts w:ascii="Arial Narrow" w:eastAsia="Calibri" w:hAnsi="Arial Narrow"/>
                <w:b/>
                <w:bCs/>
                <w:sz w:val="20"/>
                <w:szCs w:val="22"/>
                <w:lang w:val="en-US" w:eastAsia="en-US"/>
              </w:rPr>
            </w:pPr>
          </w:p>
        </w:tc>
        <w:tc>
          <w:tcPr>
            <w:tcW w:w="2885" w:type="dxa"/>
            <w:tcBorders>
              <w:left w:val="nil"/>
              <w:bottom w:val="single" w:sz="4" w:space="0" w:color="auto"/>
              <w:right w:val="nil"/>
            </w:tcBorders>
            <w:shd w:val="clear" w:color="auto" w:fill="auto"/>
            <w:vAlign w:val="center"/>
          </w:tcPr>
          <w:p w14:paraId="4921C5DD" w14:textId="77777777" w:rsidR="00986EC1" w:rsidRPr="00986EC1" w:rsidRDefault="00986EC1" w:rsidP="00986EC1">
            <w:pPr>
              <w:spacing w:before="20" w:after="20"/>
              <w:jc w:val="center"/>
              <w:rPr>
                <w:rFonts w:ascii="Arial Narrow" w:eastAsia="Calibri" w:hAnsi="Arial Narrow"/>
                <w:b/>
                <w:bCs/>
                <w:sz w:val="20"/>
                <w:szCs w:val="22"/>
                <w:lang w:val="en-US" w:eastAsia="en-US"/>
              </w:rPr>
            </w:pPr>
            <w:r w:rsidRPr="00986EC1">
              <w:rPr>
                <w:rFonts w:ascii="Arial Narrow" w:eastAsia="Calibri" w:hAnsi="Arial Narrow"/>
                <w:b/>
                <w:bCs/>
                <w:sz w:val="20"/>
                <w:szCs w:val="22"/>
                <w:lang w:eastAsia="en-US"/>
              </w:rPr>
              <w:t>IDS vs decompression with fusion</w:t>
            </w:r>
          </w:p>
        </w:tc>
        <w:tc>
          <w:tcPr>
            <w:tcW w:w="1995" w:type="dxa"/>
            <w:tcBorders>
              <w:left w:val="nil"/>
              <w:bottom w:val="single" w:sz="4" w:space="0" w:color="auto"/>
              <w:right w:val="nil"/>
            </w:tcBorders>
            <w:shd w:val="clear" w:color="auto" w:fill="auto"/>
            <w:vAlign w:val="center"/>
          </w:tcPr>
          <w:p w14:paraId="2FB07A71" w14:textId="77777777" w:rsidR="00986EC1" w:rsidRPr="00986EC1" w:rsidRDefault="00986EC1" w:rsidP="00986EC1">
            <w:pPr>
              <w:spacing w:before="20" w:after="20"/>
              <w:jc w:val="center"/>
              <w:rPr>
                <w:rFonts w:ascii="Arial Narrow" w:eastAsia="Calibri" w:hAnsi="Arial Narrow"/>
                <w:b/>
                <w:bCs/>
                <w:sz w:val="20"/>
                <w:szCs w:val="22"/>
                <w:lang w:val="en-US" w:eastAsia="en-US"/>
              </w:rPr>
            </w:pPr>
          </w:p>
        </w:tc>
        <w:tc>
          <w:tcPr>
            <w:tcW w:w="1224" w:type="dxa"/>
            <w:tcBorders>
              <w:left w:val="nil"/>
            </w:tcBorders>
            <w:shd w:val="clear" w:color="auto" w:fill="auto"/>
            <w:vAlign w:val="center"/>
          </w:tcPr>
          <w:p w14:paraId="2055FBA6" w14:textId="77777777" w:rsidR="00986EC1" w:rsidRPr="00986EC1" w:rsidRDefault="00986EC1" w:rsidP="00986EC1">
            <w:pPr>
              <w:spacing w:before="20" w:after="20"/>
              <w:jc w:val="center"/>
              <w:rPr>
                <w:rFonts w:ascii="Arial Narrow" w:eastAsia="Calibri" w:hAnsi="Arial Narrow"/>
                <w:b/>
                <w:bCs/>
                <w:snapToGrid w:val="0"/>
                <w:sz w:val="20"/>
                <w:szCs w:val="22"/>
                <w:lang w:eastAsia="en-US"/>
              </w:rPr>
            </w:pPr>
          </w:p>
        </w:tc>
      </w:tr>
      <w:tr w:rsidR="00986EC1" w:rsidRPr="00986EC1" w14:paraId="3C168576" w14:textId="77777777" w:rsidTr="005917C2">
        <w:trPr>
          <w:cantSplit/>
        </w:trPr>
        <w:tc>
          <w:tcPr>
            <w:tcW w:w="1506" w:type="dxa"/>
            <w:tcBorders>
              <w:bottom w:val="single" w:sz="4" w:space="0" w:color="auto"/>
            </w:tcBorders>
            <w:shd w:val="clear" w:color="auto" w:fill="auto"/>
          </w:tcPr>
          <w:p w14:paraId="2EB3817C" w14:textId="7CD7EA78" w:rsidR="00986EC1" w:rsidRPr="00986EC1" w:rsidRDefault="00986EC1" w:rsidP="00986EC1">
            <w:pPr>
              <w:spacing w:before="20" w:after="20"/>
              <w:rPr>
                <w:rFonts w:ascii="Arial Narrow" w:eastAsia="Calibri" w:hAnsi="Arial Narrow"/>
                <w:sz w:val="20"/>
                <w:lang w:eastAsia="en-US"/>
              </w:rPr>
            </w:pPr>
            <w:r w:rsidRPr="00986EC1">
              <w:rPr>
                <w:rFonts w:ascii="Arial Narrow" w:eastAsia="Calibri" w:hAnsi="Arial Narrow"/>
                <w:sz w:val="20"/>
                <w:lang w:eastAsia="en-US"/>
              </w:rPr>
              <w:t>Azzazi (2010)</w:t>
            </w:r>
            <w:r w:rsidR="00A74F27">
              <w:rPr>
                <w:rStyle w:val="FootnoteReference"/>
                <w:rFonts w:ascii="Arial Narrow" w:eastAsia="Calibri" w:hAnsi="Arial Narrow"/>
                <w:sz w:val="20"/>
                <w:lang w:eastAsia="en-US"/>
              </w:rPr>
              <w:footnoteReference w:id="19"/>
            </w:r>
          </w:p>
          <w:p w14:paraId="377B3D80" w14:textId="77777777" w:rsidR="00986EC1" w:rsidRPr="00986EC1" w:rsidRDefault="00986EC1" w:rsidP="00986EC1">
            <w:pPr>
              <w:spacing w:before="20" w:after="20"/>
              <w:rPr>
                <w:rFonts w:ascii="Arial Narrow" w:eastAsia="Calibri" w:hAnsi="Arial Narrow"/>
                <w:sz w:val="20"/>
                <w:lang w:val="en-US" w:eastAsia="en-US"/>
              </w:rPr>
            </w:pPr>
          </w:p>
          <w:p w14:paraId="0DF32DF8"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IDS (X-STOP) = 30</w:t>
            </w:r>
          </w:p>
          <w:p w14:paraId="45374E19"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D + Fusion = 30</w:t>
            </w:r>
          </w:p>
        </w:tc>
        <w:tc>
          <w:tcPr>
            <w:tcW w:w="1406" w:type="dxa"/>
            <w:tcBorders>
              <w:bottom w:val="single" w:sz="4" w:space="0" w:color="auto"/>
            </w:tcBorders>
            <w:shd w:val="clear" w:color="auto" w:fill="auto"/>
          </w:tcPr>
          <w:p w14:paraId="75BBE81A"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RCT (Egypt) /</w:t>
            </w:r>
          </w:p>
          <w:p w14:paraId="44C4112D"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24 months</w:t>
            </w:r>
          </w:p>
          <w:p w14:paraId="30D3BC32" w14:textId="77777777" w:rsidR="00986EC1" w:rsidRPr="00986EC1" w:rsidRDefault="00986EC1" w:rsidP="00986EC1">
            <w:pPr>
              <w:spacing w:before="20" w:after="20"/>
              <w:rPr>
                <w:rFonts w:ascii="Arial Narrow" w:eastAsia="Calibri" w:hAnsi="Arial Narrow"/>
                <w:sz w:val="20"/>
                <w:szCs w:val="22"/>
                <w:lang w:val="en-US" w:eastAsia="en-US"/>
              </w:rPr>
            </w:pPr>
          </w:p>
          <w:p w14:paraId="45E7A3A1" w14:textId="77777777" w:rsidR="00986EC1" w:rsidRPr="00986EC1" w:rsidRDefault="00986EC1" w:rsidP="00986EC1">
            <w:pPr>
              <w:spacing w:before="20" w:after="20"/>
              <w:rPr>
                <w:rFonts w:ascii="Arial Narrow" w:eastAsia="Calibri" w:hAnsi="Arial Narrow"/>
                <w:i/>
                <w:iCs/>
                <w:sz w:val="20"/>
                <w:szCs w:val="22"/>
                <w:lang w:val="en-US" w:eastAsia="en-US"/>
              </w:rPr>
            </w:pPr>
            <w:r w:rsidRPr="00986EC1">
              <w:rPr>
                <w:rFonts w:ascii="Arial Narrow" w:eastAsia="Calibri" w:hAnsi="Arial Narrow"/>
                <w:i/>
                <w:iCs/>
                <w:sz w:val="20"/>
                <w:szCs w:val="22"/>
                <w:lang w:val="en-US" w:eastAsia="en-US"/>
              </w:rPr>
              <w:t>High</w:t>
            </w:r>
          </w:p>
        </w:tc>
        <w:tc>
          <w:tcPr>
            <w:tcW w:w="2885" w:type="dxa"/>
            <w:tcBorders>
              <w:bottom w:val="single" w:sz="4" w:space="0" w:color="auto"/>
            </w:tcBorders>
            <w:shd w:val="clear" w:color="auto" w:fill="auto"/>
          </w:tcPr>
          <w:p w14:paraId="627D2CAE"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Patients with lumbar canal stenosis and degenerative spondylolisthesis or retrolisthesis (grade 1), lateral and/or central spinal stenosis after failed conservative care for 3 months</w:t>
            </w:r>
          </w:p>
        </w:tc>
        <w:tc>
          <w:tcPr>
            <w:tcW w:w="1995" w:type="dxa"/>
            <w:tcBorders>
              <w:bottom w:val="single" w:sz="4" w:space="0" w:color="auto"/>
            </w:tcBorders>
            <w:shd w:val="clear" w:color="auto" w:fill="auto"/>
          </w:tcPr>
          <w:p w14:paraId="7727FD34"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VAS back and leg pain</w:t>
            </w:r>
          </w:p>
          <w:p w14:paraId="5429A69B"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ODI</w:t>
            </w:r>
          </w:p>
          <w:p w14:paraId="5CE965BE"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Complications</w:t>
            </w:r>
          </w:p>
        </w:tc>
        <w:tc>
          <w:tcPr>
            <w:tcW w:w="1224" w:type="dxa"/>
            <w:shd w:val="clear" w:color="auto" w:fill="auto"/>
          </w:tcPr>
          <w:p w14:paraId="00F11746"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napToGrid w:val="0"/>
                <w:sz w:val="20"/>
                <w:szCs w:val="22"/>
                <w:lang w:eastAsia="en-US"/>
              </w:rPr>
              <w:t>To support the non-inferiority in terms of efficacy and safety</w:t>
            </w:r>
          </w:p>
        </w:tc>
      </w:tr>
      <w:tr w:rsidR="00986EC1" w:rsidRPr="00986EC1" w14:paraId="08635C14" w14:textId="77777777" w:rsidTr="005917C2">
        <w:trPr>
          <w:cantSplit/>
        </w:trPr>
        <w:tc>
          <w:tcPr>
            <w:tcW w:w="1506" w:type="dxa"/>
            <w:tcBorders>
              <w:right w:val="nil"/>
            </w:tcBorders>
            <w:shd w:val="clear" w:color="auto" w:fill="auto"/>
            <w:vAlign w:val="center"/>
          </w:tcPr>
          <w:p w14:paraId="470AE014" w14:textId="77777777" w:rsidR="00986EC1" w:rsidRPr="00986EC1" w:rsidRDefault="00986EC1" w:rsidP="00986EC1">
            <w:pPr>
              <w:spacing w:before="20" w:after="20"/>
              <w:jc w:val="center"/>
              <w:rPr>
                <w:rFonts w:ascii="Arial Narrow" w:eastAsia="Calibri" w:hAnsi="Arial Narrow"/>
                <w:b/>
                <w:bCs/>
                <w:sz w:val="20"/>
                <w:szCs w:val="22"/>
                <w:lang w:val="en-US" w:eastAsia="en-US"/>
              </w:rPr>
            </w:pPr>
          </w:p>
        </w:tc>
        <w:tc>
          <w:tcPr>
            <w:tcW w:w="1406" w:type="dxa"/>
            <w:tcBorders>
              <w:left w:val="nil"/>
              <w:right w:val="nil"/>
            </w:tcBorders>
            <w:shd w:val="clear" w:color="auto" w:fill="auto"/>
            <w:vAlign w:val="center"/>
          </w:tcPr>
          <w:p w14:paraId="074326E7" w14:textId="77777777" w:rsidR="00986EC1" w:rsidRPr="00986EC1" w:rsidRDefault="00986EC1" w:rsidP="00986EC1">
            <w:pPr>
              <w:spacing w:before="20" w:after="20"/>
              <w:jc w:val="center"/>
              <w:rPr>
                <w:rFonts w:ascii="Arial Narrow" w:eastAsia="Calibri" w:hAnsi="Arial Narrow"/>
                <w:b/>
                <w:bCs/>
                <w:sz w:val="20"/>
                <w:szCs w:val="22"/>
                <w:lang w:val="en-US" w:eastAsia="en-US"/>
              </w:rPr>
            </w:pPr>
          </w:p>
        </w:tc>
        <w:tc>
          <w:tcPr>
            <w:tcW w:w="2885" w:type="dxa"/>
            <w:tcBorders>
              <w:left w:val="nil"/>
              <w:right w:val="nil"/>
            </w:tcBorders>
            <w:shd w:val="clear" w:color="auto" w:fill="auto"/>
            <w:vAlign w:val="center"/>
          </w:tcPr>
          <w:p w14:paraId="363811E8" w14:textId="77777777" w:rsidR="00986EC1" w:rsidRPr="00986EC1" w:rsidRDefault="00986EC1" w:rsidP="00986EC1">
            <w:pPr>
              <w:spacing w:before="20" w:after="20"/>
              <w:jc w:val="center"/>
              <w:rPr>
                <w:rFonts w:ascii="Arial Narrow" w:eastAsia="Calibri" w:hAnsi="Arial Narrow"/>
                <w:b/>
                <w:bCs/>
                <w:sz w:val="20"/>
                <w:szCs w:val="22"/>
                <w:lang w:val="en-US" w:eastAsia="en-US"/>
              </w:rPr>
            </w:pPr>
            <w:r w:rsidRPr="00986EC1">
              <w:rPr>
                <w:rFonts w:ascii="Arial Narrow" w:eastAsia="Calibri" w:hAnsi="Arial Narrow"/>
                <w:b/>
                <w:bCs/>
                <w:sz w:val="20"/>
                <w:szCs w:val="22"/>
                <w:lang w:eastAsia="en-US"/>
              </w:rPr>
              <w:t>IDS (Superion) vs IDS (X-STOP)</w:t>
            </w:r>
          </w:p>
        </w:tc>
        <w:tc>
          <w:tcPr>
            <w:tcW w:w="1995" w:type="dxa"/>
            <w:tcBorders>
              <w:left w:val="nil"/>
              <w:right w:val="nil"/>
            </w:tcBorders>
            <w:shd w:val="clear" w:color="auto" w:fill="auto"/>
            <w:vAlign w:val="center"/>
          </w:tcPr>
          <w:p w14:paraId="2013CEA5" w14:textId="77777777" w:rsidR="00986EC1" w:rsidRPr="00986EC1" w:rsidRDefault="00986EC1" w:rsidP="00986EC1">
            <w:pPr>
              <w:spacing w:before="20" w:after="20"/>
              <w:rPr>
                <w:rFonts w:ascii="Arial Narrow" w:eastAsia="Calibri" w:hAnsi="Arial Narrow"/>
                <w:b/>
                <w:bCs/>
                <w:sz w:val="20"/>
                <w:szCs w:val="22"/>
                <w:u w:val="single"/>
                <w:lang w:val="en-US" w:eastAsia="en-US"/>
              </w:rPr>
            </w:pPr>
          </w:p>
        </w:tc>
        <w:tc>
          <w:tcPr>
            <w:tcW w:w="1224" w:type="dxa"/>
            <w:tcBorders>
              <w:left w:val="nil"/>
            </w:tcBorders>
            <w:shd w:val="clear" w:color="auto" w:fill="auto"/>
            <w:vAlign w:val="center"/>
          </w:tcPr>
          <w:p w14:paraId="32EB4FDB" w14:textId="77777777" w:rsidR="00986EC1" w:rsidRPr="00986EC1" w:rsidRDefault="00986EC1" w:rsidP="00986EC1">
            <w:pPr>
              <w:spacing w:before="20" w:after="20"/>
              <w:jc w:val="center"/>
              <w:rPr>
                <w:rFonts w:ascii="Arial Narrow" w:eastAsia="Calibri" w:hAnsi="Arial Narrow"/>
                <w:b/>
                <w:bCs/>
                <w:snapToGrid w:val="0"/>
                <w:sz w:val="20"/>
                <w:szCs w:val="22"/>
                <w:lang w:eastAsia="en-US"/>
              </w:rPr>
            </w:pPr>
          </w:p>
        </w:tc>
      </w:tr>
      <w:tr w:rsidR="00986EC1" w:rsidRPr="00986EC1" w14:paraId="66F27EE5" w14:textId="77777777" w:rsidTr="005917C2">
        <w:trPr>
          <w:cantSplit/>
        </w:trPr>
        <w:tc>
          <w:tcPr>
            <w:tcW w:w="1506" w:type="dxa"/>
            <w:shd w:val="clear" w:color="auto" w:fill="auto"/>
          </w:tcPr>
          <w:p w14:paraId="66D024BC" w14:textId="07D3B022"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Superion IDE study (Patel 2015a)</w:t>
            </w:r>
            <w:r w:rsidR="00A825FE">
              <w:rPr>
                <w:rStyle w:val="FootnoteReference"/>
                <w:rFonts w:ascii="Arial Narrow" w:eastAsia="Calibri" w:hAnsi="Arial Narrow"/>
                <w:sz w:val="20"/>
                <w:szCs w:val="22"/>
                <w:lang w:val="en-US" w:eastAsia="en-US"/>
              </w:rPr>
              <w:footnoteReference w:id="20"/>
            </w:r>
          </w:p>
          <w:p w14:paraId="5A1E2659" w14:textId="77777777" w:rsidR="00986EC1" w:rsidRPr="00986EC1" w:rsidRDefault="00986EC1" w:rsidP="00986EC1">
            <w:pPr>
              <w:spacing w:before="20" w:after="20"/>
              <w:rPr>
                <w:rFonts w:ascii="Arial Narrow" w:eastAsia="Calibri" w:hAnsi="Arial Narrow"/>
                <w:sz w:val="20"/>
                <w:szCs w:val="22"/>
                <w:lang w:val="en-US" w:eastAsia="en-US"/>
              </w:rPr>
            </w:pPr>
          </w:p>
          <w:p w14:paraId="51B20D4E"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IDS (Superion) = 190</w:t>
            </w:r>
          </w:p>
          <w:p w14:paraId="36B55589"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IDS (X-STOP) = 201</w:t>
            </w:r>
          </w:p>
        </w:tc>
        <w:tc>
          <w:tcPr>
            <w:tcW w:w="1406" w:type="dxa"/>
            <w:shd w:val="clear" w:color="auto" w:fill="auto"/>
          </w:tcPr>
          <w:p w14:paraId="659F2755"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 xml:space="preserve">RCT, MC (29 sites) (2008-2011) / </w:t>
            </w:r>
          </w:p>
          <w:p w14:paraId="25B4DB6C"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24 months</w:t>
            </w:r>
          </w:p>
          <w:p w14:paraId="26527529" w14:textId="77777777" w:rsidR="00986EC1" w:rsidRPr="00986EC1" w:rsidRDefault="00986EC1" w:rsidP="00986EC1">
            <w:pPr>
              <w:spacing w:before="20" w:after="20"/>
              <w:rPr>
                <w:rFonts w:ascii="Arial Narrow" w:eastAsia="Calibri" w:hAnsi="Arial Narrow"/>
                <w:sz w:val="20"/>
                <w:szCs w:val="22"/>
                <w:lang w:val="en-US" w:eastAsia="en-US"/>
              </w:rPr>
            </w:pPr>
          </w:p>
          <w:p w14:paraId="44655ED7" w14:textId="77777777" w:rsidR="00986EC1" w:rsidRPr="00986EC1" w:rsidRDefault="00986EC1" w:rsidP="00986EC1">
            <w:pPr>
              <w:spacing w:before="20" w:after="20"/>
              <w:rPr>
                <w:rFonts w:ascii="Arial Narrow" w:eastAsia="Calibri" w:hAnsi="Arial Narrow"/>
                <w:i/>
                <w:iCs/>
                <w:sz w:val="20"/>
                <w:szCs w:val="22"/>
                <w:lang w:val="en-US" w:eastAsia="en-US"/>
              </w:rPr>
            </w:pPr>
            <w:r w:rsidRPr="00986EC1">
              <w:rPr>
                <w:rFonts w:ascii="Arial Narrow" w:eastAsia="Calibri" w:hAnsi="Arial Narrow"/>
                <w:i/>
                <w:iCs/>
                <w:sz w:val="20"/>
                <w:szCs w:val="22"/>
                <w:lang w:val="en-US" w:eastAsia="en-US"/>
              </w:rPr>
              <w:t>High</w:t>
            </w:r>
          </w:p>
        </w:tc>
        <w:tc>
          <w:tcPr>
            <w:tcW w:w="2885" w:type="dxa"/>
            <w:shd w:val="clear" w:color="auto" w:fill="auto"/>
          </w:tcPr>
          <w:p w14:paraId="7FF439BD"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 xml:space="preserve">Patients with NIC due to 1- or 2-level moderate LSS after failed conservative care for 6 months </w:t>
            </w:r>
          </w:p>
          <w:p w14:paraId="57580D7B"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Patients with degenerative spondylolisthesis &gt; grade 1 were excluded</w:t>
            </w:r>
          </w:p>
          <w:p w14:paraId="680A1168"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Age: ≥45 years</w:t>
            </w:r>
          </w:p>
        </w:tc>
        <w:tc>
          <w:tcPr>
            <w:tcW w:w="1995" w:type="dxa"/>
            <w:shd w:val="clear" w:color="auto" w:fill="auto"/>
          </w:tcPr>
          <w:p w14:paraId="654AA7EF"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u w:val="single"/>
                <w:lang w:val="en-US" w:eastAsia="en-US"/>
              </w:rPr>
              <w:t>Primary</w:t>
            </w:r>
            <w:r w:rsidRPr="00986EC1">
              <w:rPr>
                <w:rFonts w:ascii="Arial Narrow" w:eastAsia="Calibri" w:hAnsi="Arial Narrow"/>
                <w:sz w:val="20"/>
                <w:szCs w:val="22"/>
                <w:lang w:val="en-US" w:eastAsia="en-US"/>
              </w:rPr>
              <w:t xml:space="preserve">: </w:t>
            </w:r>
          </w:p>
          <w:p w14:paraId="7C195DE7"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 xml:space="preserve">Composite </w:t>
            </w:r>
          </w:p>
          <w:p w14:paraId="74345E33" w14:textId="77777777" w:rsidR="00986EC1" w:rsidRPr="00986EC1" w:rsidRDefault="00986EC1" w:rsidP="00986EC1">
            <w:pPr>
              <w:spacing w:before="20" w:after="20"/>
              <w:rPr>
                <w:rFonts w:ascii="Arial Narrow" w:eastAsia="Calibri" w:hAnsi="Arial Narrow"/>
                <w:sz w:val="20"/>
                <w:szCs w:val="22"/>
                <w:lang w:val="en-US" w:eastAsia="en-US"/>
              </w:rPr>
            </w:pPr>
          </w:p>
          <w:p w14:paraId="180ED153"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u w:val="single"/>
                <w:lang w:val="en-US" w:eastAsia="en-US"/>
              </w:rPr>
              <w:t>Secondary</w:t>
            </w:r>
            <w:r w:rsidRPr="00986EC1">
              <w:rPr>
                <w:rFonts w:ascii="Arial Narrow" w:eastAsia="Calibri" w:hAnsi="Arial Narrow"/>
                <w:sz w:val="20"/>
                <w:szCs w:val="22"/>
                <w:lang w:val="en-US" w:eastAsia="en-US"/>
              </w:rPr>
              <w:t xml:space="preserve">: </w:t>
            </w:r>
          </w:p>
          <w:p w14:paraId="0B812E4E"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 xml:space="preserve">VAS back and leg pain </w:t>
            </w:r>
          </w:p>
          <w:p w14:paraId="75DA0EF2"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ODI</w:t>
            </w:r>
          </w:p>
          <w:p w14:paraId="497C44FD"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AEs</w:t>
            </w:r>
          </w:p>
          <w:p w14:paraId="3F6F671E"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Complications and reoperations</w:t>
            </w:r>
          </w:p>
        </w:tc>
        <w:tc>
          <w:tcPr>
            <w:tcW w:w="1224" w:type="dxa"/>
            <w:shd w:val="clear" w:color="auto" w:fill="auto"/>
          </w:tcPr>
          <w:p w14:paraId="2FD3AF22"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napToGrid w:val="0"/>
                <w:sz w:val="20"/>
                <w:szCs w:val="22"/>
                <w:lang w:eastAsia="en-US"/>
              </w:rPr>
              <w:t>To support clinical claim of non-inferiority for Superion and X-STOP</w:t>
            </w:r>
          </w:p>
        </w:tc>
      </w:tr>
      <w:tr w:rsidR="00986EC1" w:rsidRPr="00986EC1" w14:paraId="24AC1D43" w14:textId="77777777" w:rsidTr="005917C2">
        <w:trPr>
          <w:cantSplit/>
        </w:trPr>
        <w:tc>
          <w:tcPr>
            <w:tcW w:w="1506" w:type="dxa"/>
            <w:tcBorders>
              <w:right w:val="nil"/>
            </w:tcBorders>
            <w:shd w:val="clear" w:color="auto" w:fill="auto"/>
            <w:vAlign w:val="center"/>
          </w:tcPr>
          <w:p w14:paraId="7FFB0555" w14:textId="77777777" w:rsidR="00986EC1" w:rsidRPr="00986EC1" w:rsidRDefault="00986EC1" w:rsidP="00986EC1">
            <w:pPr>
              <w:keepNext/>
              <w:spacing w:before="20" w:after="20"/>
              <w:jc w:val="center"/>
              <w:rPr>
                <w:rFonts w:ascii="Arial Narrow" w:eastAsia="Calibri" w:hAnsi="Arial Narrow"/>
                <w:b/>
                <w:bCs/>
                <w:sz w:val="20"/>
                <w:szCs w:val="22"/>
                <w:lang w:val="en-US" w:eastAsia="en-US"/>
              </w:rPr>
            </w:pPr>
          </w:p>
        </w:tc>
        <w:tc>
          <w:tcPr>
            <w:tcW w:w="1406" w:type="dxa"/>
            <w:tcBorders>
              <w:left w:val="nil"/>
              <w:right w:val="nil"/>
            </w:tcBorders>
            <w:shd w:val="clear" w:color="auto" w:fill="auto"/>
            <w:vAlign w:val="center"/>
          </w:tcPr>
          <w:p w14:paraId="5C088E88" w14:textId="77777777" w:rsidR="00986EC1" w:rsidRPr="00986EC1" w:rsidRDefault="00986EC1" w:rsidP="00986EC1">
            <w:pPr>
              <w:keepNext/>
              <w:spacing w:before="20" w:after="20"/>
              <w:jc w:val="center"/>
              <w:rPr>
                <w:rFonts w:ascii="Arial Narrow" w:eastAsia="Calibri" w:hAnsi="Arial Narrow"/>
                <w:b/>
                <w:bCs/>
                <w:sz w:val="20"/>
                <w:szCs w:val="22"/>
                <w:lang w:val="en-US" w:eastAsia="en-US"/>
              </w:rPr>
            </w:pPr>
          </w:p>
        </w:tc>
        <w:tc>
          <w:tcPr>
            <w:tcW w:w="2885" w:type="dxa"/>
            <w:tcBorders>
              <w:left w:val="nil"/>
              <w:right w:val="nil"/>
            </w:tcBorders>
            <w:shd w:val="clear" w:color="auto" w:fill="auto"/>
            <w:vAlign w:val="center"/>
          </w:tcPr>
          <w:p w14:paraId="4F50CC99" w14:textId="77777777" w:rsidR="00986EC1" w:rsidRPr="00986EC1" w:rsidRDefault="00986EC1" w:rsidP="00986EC1">
            <w:pPr>
              <w:keepNext/>
              <w:spacing w:before="20" w:after="20"/>
              <w:jc w:val="center"/>
              <w:rPr>
                <w:rFonts w:ascii="Arial Narrow" w:eastAsia="Calibri" w:hAnsi="Arial Narrow"/>
                <w:b/>
                <w:bCs/>
                <w:sz w:val="20"/>
                <w:szCs w:val="22"/>
                <w:lang w:val="en-US" w:eastAsia="en-US"/>
              </w:rPr>
            </w:pPr>
            <w:r w:rsidRPr="00986EC1">
              <w:rPr>
                <w:rFonts w:ascii="Arial Narrow" w:eastAsia="Calibri" w:hAnsi="Arial Narrow"/>
                <w:b/>
                <w:bCs/>
                <w:sz w:val="20"/>
                <w:szCs w:val="22"/>
                <w:lang w:eastAsia="en-US"/>
              </w:rPr>
              <w:t>IDS vs conservative care</w:t>
            </w:r>
          </w:p>
        </w:tc>
        <w:tc>
          <w:tcPr>
            <w:tcW w:w="1995" w:type="dxa"/>
            <w:tcBorders>
              <w:left w:val="nil"/>
              <w:right w:val="nil"/>
            </w:tcBorders>
            <w:shd w:val="clear" w:color="auto" w:fill="auto"/>
            <w:vAlign w:val="center"/>
          </w:tcPr>
          <w:p w14:paraId="69C5F793" w14:textId="77777777" w:rsidR="00986EC1" w:rsidRPr="00986EC1" w:rsidRDefault="00986EC1" w:rsidP="00986EC1">
            <w:pPr>
              <w:keepNext/>
              <w:spacing w:before="20" w:after="20"/>
              <w:jc w:val="center"/>
              <w:rPr>
                <w:rFonts w:ascii="Arial Narrow" w:eastAsia="Calibri" w:hAnsi="Arial Narrow"/>
                <w:b/>
                <w:bCs/>
                <w:sz w:val="20"/>
                <w:szCs w:val="22"/>
                <w:u w:val="single"/>
                <w:lang w:val="en-US" w:eastAsia="en-US"/>
              </w:rPr>
            </w:pPr>
          </w:p>
        </w:tc>
        <w:tc>
          <w:tcPr>
            <w:tcW w:w="1224" w:type="dxa"/>
            <w:tcBorders>
              <w:left w:val="nil"/>
            </w:tcBorders>
            <w:shd w:val="clear" w:color="auto" w:fill="auto"/>
            <w:vAlign w:val="center"/>
          </w:tcPr>
          <w:p w14:paraId="6AB7B51E" w14:textId="77777777" w:rsidR="00986EC1" w:rsidRPr="00986EC1" w:rsidRDefault="00986EC1" w:rsidP="00986EC1">
            <w:pPr>
              <w:keepNext/>
              <w:spacing w:before="20" w:after="20"/>
              <w:jc w:val="center"/>
              <w:rPr>
                <w:rFonts w:ascii="Arial Narrow" w:eastAsia="Calibri" w:hAnsi="Arial Narrow"/>
                <w:b/>
                <w:bCs/>
                <w:sz w:val="20"/>
                <w:szCs w:val="22"/>
                <w:lang w:val="en-US" w:eastAsia="en-US"/>
              </w:rPr>
            </w:pPr>
          </w:p>
        </w:tc>
      </w:tr>
      <w:tr w:rsidR="00986EC1" w:rsidRPr="00986EC1" w14:paraId="5A88680E" w14:textId="77777777" w:rsidTr="005917C2">
        <w:trPr>
          <w:cantSplit/>
        </w:trPr>
        <w:tc>
          <w:tcPr>
            <w:tcW w:w="1506" w:type="dxa"/>
            <w:shd w:val="clear" w:color="auto" w:fill="auto"/>
          </w:tcPr>
          <w:p w14:paraId="79EB5340" w14:textId="7F17F586"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Zucherman (2005)</w:t>
            </w:r>
            <w:r w:rsidR="00A825FE">
              <w:rPr>
                <w:rStyle w:val="FootnoteReference"/>
                <w:rFonts w:ascii="Arial Narrow" w:eastAsia="Calibri" w:hAnsi="Arial Narrow"/>
                <w:sz w:val="20"/>
                <w:szCs w:val="22"/>
                <w:lang w:val="en-US" w:eastAsia="en-US"/>
              </w:rPr>
              <w:footnoteReference w:id="21"/>
            </w:r>
          </w:p>
          <w:p w14:paraId="53E5BC21" w14:textId="77777777" w:rsidR="00986EC1" w:rsidRPr="00986EC1" w:rsidRDefault="00986EC1" w:rsidP="00986EC1">
            <w:pPr>
              <w:spacing w:before="20" w:after="20"/>
              <w:rPr>
                <w:rFonts w:ascii="Arial Narrow" w:eastAsia="Calibri" w:hAnsi="Arial Narrow"/>
                <w:sz w:val="20"/>
                <w:szCs w:val="22"/>
                <w:lang w:val="en-US" w:eastAsia="en-US"/>
              </w:rPr>
            </w:pPr>
          </w:p>
          <w:p w14:paraId="2F6F1DD3"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IDS (X-STOP) = 100</w:t>
            </w:r>
          </w:p>
          <w:p w14:paraId="54D7E757"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conservative care (non-operative) = 91</w:t>
            </w:r>
          </w:p>
        </w:tc>
        <w:tc>
          <w:tcPr>
            <w:tcW w:w="1406" w:type="dxa"/>
            <w:shd w:val="clear" w:color="auto" w:fill="auto"/>
          </w:tcPr>
          <w:p w14:paraId="79D2DD94"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 xml:space="preserve">RCT, MC (9 US sites) (2000-2001) / </w:t>
            </w:r>
          </w:p>
          <w:p w14:paraId="298B62F7"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24 months</w:t>
            </w:r>
          </w:p>
          <w:p w14:paraId="63605C4B" w14:textId="77777777" w:rsidR="00986EC1" w:rsidRPr="00986EC1" w:rsidRDefault="00986EC1" w:rsidP="00986EC1">
            <w:pPr>
              <w:spacing w:before="20" w:after="20"/>
              <w:rPr>
                <w:rFonts w:ascii="Arial Narrow" w:eastAsia="Calibri" w:hAnsi="Arial Narrow"/>
                <w:sz w:val="20"/>
                <w:szCs w:val="22"/>
                <w:lang w:val="en-US" w:eastAsia="en-US"/>
              </w:rPr>
            </w:pPr>
          </w:p>
          <w:p w14:paraId="02C19CCA" w14:textId="77777777" w:rsidR="00986EC1" w:rsidRPr="00986EC1" w:rsidRDefault="00986EC1" w:rsidP="00986EC1">
            <w:pPr>
              <w:spacing w:before="20" w:after="20"/>
              <w:rPr>
                <w:rFonts w:ascii="Arial Narrow" w:eastAsia="Calibri" w:hAnsi="Arial Narrow"/>
                <w:i/>
                <w:iCs/>
                <w:sz w:val="20"/>
                <w:szCs w:val="22"/>
                <w:lang w:val="en-US" w:eastAsia="en-US"/>
              </w:rPr>
            </w:pPr>
            <w:r w:rsidRPr="00986EC1">
              <w:rPr>
                <w:rFonts w:ascii="Arial Narrow" w:eastAsia="Calibri" w:hAnsi="Arial Narrow"/>
                <w:i/>
                <w:iCs/>
                <w:sz w:val="20"/>
                <w:szCs w:val="22"/>
                <w:lang w:val="en-US" w:eastAsia="en-US"/>
              </w:rPr>
              <w:t>High</w:t>
            </w:r>
          </w:p>
        </w:tc>
        <w:tc>
          <w:tcPr>
            <w:tcW w:w="2885" w:type="dxa"/>
            <w:shd w:val="clear" w:color="auto" w:fill="auto"/>
          </w:tcPr>
          <w:p w14:paraId="58A8A84E"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Patients with NIC due to 1- or 2-level LSS and who have completed 6 months of conservative care.</w:t>
            </w:r>
          </w:p>
          <w:p w14:paraId="594D97A5"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Patients were included if relieved through spinal flexion.</w:t>
            </w:r>
          </w:p>
          <w:p w14:paraId="10BF8796"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Patients with degenerative spondylolisthesis &gt; grade 1 were excluded</w:t>
            </w:r>
          </w:p>
          <w:p w14:paraId="1EC13586"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Age: ≥50 years</w:t>
            </w:r>
          </w:p>
        </w:tc>
        <w:tc>
          <w:tcPr>
            <w:tcW w:w="1995" w:type="dxa"/>
            <w:shd w:val="clear" w:color="auto" w:fill="auto"/>
          </w:tcPr>
          <w:p w14:paraId="752F19B6"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u w:val="single"/>
                <w:lang w:val="en-US" w:eastAsia="en-US"/>
              </w:rPr>
              <w:t>Primary</w:t>
            </w:r>
            <w:r w:rsidRPr="00986EC1">
              <w:rPr>
                <w:rFonts w:ascii="Arial Narrow" w:eastAsia="Calibri" w:hAnsi="Arial Narrow"/>
                <w:sz w:val="20"/>
                <w:szCs w:val="22"/>
                <w:lang w:val="en-US" w:eastAsia="en-US"/>
              </w:rPr>
              <w:t>:</w:t>
            </w:r>
          </w:p>
          <w:p w14:paraId="2AFA58A0"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ZCQ</w:t>
            </w:r>
          </w:p>
          <w:p w14:paraId="6126AF31" w14:textId="77777777" w:rsidR="00986EC1" w:rsidRPr="00986EC1" w:rsidRDefault="00986EC1" w:rsidP="00986EC1">
            <w:pPr>
              <w:spacing w:before="20" w:after="20"/>
              <w:rPr>
                <w:rFonts w:ascii="Arial Narrow" w:eastAsia="Calibri" w:hAnsi="Arial Narrow"/>
                <w:sz w:val="20"/>
                <w:szCs w:val="22"/>
                <w:lang w:val="en-US" w:eastAsia="en-US"/>
              </w:rPr>
            </w:pPr>
          </w:p>
          <w:p w14:paraId="241BC611"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u w:val="single"/>
                <w:lang w:val="en-US" w:eastAsia="en-US"/>
              </w:rPr>
              <w:t>Other</w:t>
            </w:r>
            <w:r w:rsidRPr="00986EC1">
              <w:rPr>
                <w:rFonts w:ascii="Arial Narrow" w:eastAsia="Calibri" w:hAnsi="Arial Narrow"/>
                <w:sz w:val="20"/>
                <w:szCs w:val="22"/>
                <w:lang w:val="en-US" w:eastAsia="en-US"/>
              </w:rPr>
              <w:t xml:space="preserve">: </w:t>
            </w:r>
          </w:p>
          <w:p w14:paraId="588A36CB"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Radiological analysis</w:t>
            </w:r>
          </w:p>
          <w:p w14:paraId="4964E190"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Safety/ complications</w:t>
            </w:r>
          </w:p>
        </w:tc>
        <w:tc>
          <w:tcPr>
            <w:tcW w:w="1224" w:type="dxa"/>
            <w:shd w:val="clear" w:color="auto" w:fill="auto"/>
          </w:tcPr>
          <w:p w14:paraId="3E2E26A8"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 xml:space="preserve">Yes </w:t>
            </w:r>
          </w:p>
          <w:p w14:paraId="0B8DD09A"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To support clinical claim of superiority vs conservative care, and CUA approach</w:t>
            </w:r>
          </w:p>
        </w:tc>
      </w:tr>
      <w:tr w:rsidR="00986EC1" w:rsidRPr="00986EC1" w14:paraId="43CCF4D9" w14:textId="77777777" w:rsidTr="005917C2">
        <w:trPr>
          <w:cantSplit/>
        </w:trPr>
        <w:tc>
          <w:tcPr>
            <w:tcW w:w="1506" w:type="dxa"/>
            <w:shd w:val="clear" w:color="auto" w:fill="auto"/>
          </w:tcPr>
          <w:p w14:paraId="3E0CBF32" w14:textId="28C96A87" w:rsidR="00986EC1" w:rsidRPr="00986EC1" w:rsidRDefault="00986EC1" w:rsidP="00986EC1">
            <w:pPr>
              <w:spacing w:before="20" w:after="20"/>
              <w:rPr>
                <w:rFonts w:ascii="Arial Narrow" w:eastAsia="Calibri" w:hAnsi="Arial Narrow"/>
                <w:sz w:val="20"/>
                <w:lang w:eastAsia="en-US"/>
              </w:rPr>
            </w:pPr>
            <w:r w:rsidRPr="00986EC1">
              <w:rPr>
                <w:rFonts w:ascii="Arial Narrow" w:eastAsia="Calibri" w:hAnsi="Arial Narrow"/>
                <w:sz w:val="20"/>
                <w:lang w:eastAsia="en-US"/>
              </w:rPr>
              <w:t>Puzzilli (2014)</w:t>
            </w:r>
            <w:r w:rsidR="00A825FE">
              <w:rPr>
                <w:rStyle w:val="FootnoteReference"/>
                <w:rFonts w:ascii="Arial Narrow" w:eastAsia="Calibri" w:hAnsi="Arial Narrow"/>
                <w:sz w:val="20"/>
                <w:lang w:eastAsia="en-US"/>
              </w:rPr>
              <w:footnoteReference w:id="22"/>
            </w:r>
          </w:p>
          <w:p w14:paraId="0A0FC067" w14:textId="77777777" w:rsidR="00986EC1" w:rsidRPr="00986EC1" w:rsidRDefault="00986EC1" w:rsidP="00986EC1">
            <w:pPr>
              <w:spacing w:before="20" w:after="20"/>
              <w:rPr>
                <w:rFonts w:ascii="Arial Narrow" w:eastAsia="Calibri" w:hAnsi="Arial Narrow"/>
                <w:sz w:val="20"/>
                <w:lang w:val="en-US" w:eastAsia="en-US"/>
              </w:rPr>
            </w:pPr>
          </w:p>
          <w:p w14:paraId="1954DDBA"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IDS (X-STOP) = 422</w:t>
            </w:r>
          </w:p>
          <w:p w14:paraId="67CAE5C9"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conservative care (non-operative) = 120</w:t>
            </w:r>
          </w:p>
        </w:tc>
        <w:tc>
          <w:tcPr>
            <w:tcW w:w="1406" w:type="dxa"/>
            <w:shd w:val="clear" w:color="auto" w:fill="auto"/>
          </w:tcPr>
          <w:p w14:paraId="6DDE3937"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RCT, MC (2005-2009) /</w:t>
            </w:r>
          </w:p>
          <w:p w14:paraId="0145F416"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84 months</w:t>
            </w:r>
          </w:p>
          <w:p w14:paraId="73B1A244" w14:textId="77777777" w:rsidR="00986EC1" w:rsidRPr="00986EC1" w:rsidRDefault="00986EC1" w:rsidP="00986EC1">
            <w:pPr>
              <w:spacing w:before="20" w:after="20"/>
              <w:rPr>
                <w:rFonts w:ascii="Arial Narrow" w:eastAsia="Calibri" w:hAnsi="Arial Narrow"/>
                <w:i/>
                <w:iCs/>
                <w:sz w:val="20"/>
                <w:szCs w:val="22"/>
                <w:lang w:val="en-US" w:eastAsia="en-US"/>
              </w:rPr>
            </w:pPr>
          </w:p>
          <w:p w14:paraId="00AB0657"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i/>
                <w:iCs/>
                <w:sz w:val="20"/>
                <w:szCs w:val="22"/>
                <w:lang w:val="en-US" w:eastAsia="en-US"/>
              </w:rPr>
              <w:t>High</w:t>
            </w:r>
          </w:p>
        </w:tc>
        <w:tc>
          <w:tcPr>
            <w:tcW w:w="2885" w:type="dxa"/>
            <w:shd w:val="clear" w:color="auto" w:fill="auto"/>
          </w:tcPr>
          <w:p w14:paraId="3C1EEB62"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Patients with NIC due to 1- or 2-level degenerative lumbar spine disease LSS who have failed 6 months of conservative care.</w:t>
            </w:r>
          </w:p>
          <w:p w14:paraId="0938D5CA"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Patients with degenerative spondylolisthesis &gt; grade 1 were excluded.</w:t>
            </w:r>
          </w:p>
          <w:p w14:paraId="646E5463"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Age: ≥18 years</w:t>
            </w:r>
          </w:p>
        </w:tc>
        <w:tc>
          <w:tcPr>
            <w:tcW w:w="1995" w:type="dxa"/>
            <w:shd w:val="clear" w:color="auto" w:fill="auto"/>
          </w:tcPr>
          <w:p w14:paraId="77A84808"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ZCQ</w:t>
            </w:r>
          </w:p>
          <w:p w14:paraId="0DE05498"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VAS</w:t>
            </w:r>
          </w:p>
          <w:p w14:paraId="7219FE18"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Radiological analysis</w:t>
            </w:r>
          </w:p>
          <w:p w14:paraId="6A35C55E"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Complications</w:t>
            </w:r>
          </w:p>
        </w:tc>
        <w:tc>
          <w:tcPr>
            <w:tcW w:w="1224" w:type="dxa"/>
            <w:shd w:val="clear" w:color="auto" w:fill="auto"/>
          </w:tcPr>
          <w:p w14:paraId="2BE1A1A8"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 xml:space="preserve">Yes </w:t>
            </w:r>
          </w:p>
          <w:p w14:paraId="0A038333" w14:textId="77777777" w:rsidR="00986EC1" w:rsidRPr="00986EC1" w:rsidRDefault="00986EC1" w:rsidP="00986EC1">
            <w:pPr>
              <w:spacing w:before="20" w:after="20"/>
              <w:rPr>
                <w:rFonts w:ascii="Arial Narrow" w:eastAsia="Calibri" w:hAnsi="Arial Narrow"/>
                <w:sz w:val="20"/>
                <w:szCs w:val="22"/>
                <w:lang w:val="en-US" w:eastAsia="en-US"/>
              </w:rPr>
            </w:pPr>
            <w:r w:rsidRPr="00986EC1">
              <w:rPr>
                <w:rFonts w:ascii="Arial Narrow" w:eastAsia="Calibri" w:hAnsi="Arial Narrow"/>
                <w:sz w:val="20"/>
                <w:szCs w:val="22"/>
                <w:lang w:val="en-US" w:eastAsia="en-US"/>
              </w:rPr>
              <w:t>To support clinical claim of superiority vs conservative care, and CUA approach</w:t>
            </w:r>
          </w:p>
        </w:tc>
      </w:tr>
    </w:tbl>
    <w:p w14:paraId="28DA00F3" w14:textId="5698C42F" w:rsidR="00986EC1" w:rsidRDefault="00986EC1" w:rsidP="00B23D55">
      <w:pPr>
        <w:pStyle w:val="Tablenotes1"/>
      </w:pPr>
      <w:bookmarkStart w:id="30" w:name="_Hlk68276176"/>
      <w:bookmarkEnd w:id="29"/>
      <w:r w:rsidRPr="00986EC1">
        <w:t xml:space="preserve">AE, adverse event; CUA, cost utility analysis; D, Decompression; DB, double blind; EQ-5D, EuroQol 5-dimensional questionnaire; HADS, Hospital Anxiety Depression Scale; IDS, interspinous decompression spacer; LSS, lumbar spinal stenosis; MC, multicentre; MID, minimally invasive decompression; </w:t>
      </w:r>
      <w:bookmarkStart w:id="31" w:name="_Hlk81488681"/>
      <w:r w:rsidRPr="00986EC1">
        <w:t>MRDQ, Modified Roland Disability Questionnaire for sciatica</w:t>
      </w:r>
      <w:bookmarkEnd w:id="31"/>
      <w:r w:rsidRPr="00986EC1">
        <w:t xml:space="preserve">; NIC, neurogenic intermittent claudication; NRS-11, Numerical Rating Scale 11; ODI, Oswestry Disability Index; OL, open-label (unblinded); QBPDS, Quebec Back Pain Disability Scale; RCT, randomised controlled trial; SAE, serious adverse event; SF-36,Medical Outcome Study 36-item short-form Generated Health Survey; </w:t>
      </w:r>
      <w:bookmarkStart w:id="32" w:name="_Hlk81490455"/>
      <w:r w:rsidRPr="00986EC1">
        <w:t>SWT, Shuttle Walking Test</w:t>
      </w:r>
      <w:bookmarkEnd w:id="32"/>
      <w:r w:rsidRPr="00986EC1">
        <w:t xml:space="preserve">; VAS, Visual Analogue Scale; ZCQ, Zurich Claudication Questionnaire. </w:t>
      </w:r>
    </w:p>
    <w:p w14:paraId="3DAB2F8B" w14:textId="79325CFB" w:rsidR="000236D4" w:rsidRPr="00986EC1" w:rsidRDefault="000236D4" w:rsidP="00B23D55">
      <w:pPr>
        <w:pStyle w:val="Tablenotes1"/>
        <w:rPr>
          <w:sz w:val="20"/>
        </w:rPr>
      </w:pPr>
      <w:r>
        <w:t>Source: Commentary, Table 4</w:t>
      </w:r>
    </w:p>
    <w:p w14:paraId="4E633521" w14:textId="0B182246" w:rsidR="00986EC1" w:rsidRPr="00986EC1" w:rsidRDefault="0007499C" w:rsidP="00986EC1">
      <w:pPr>
        <w:keepNext/>
        <w:keepLines/>
        <w:spacing w:before="360" w:after="240"/>
        <w:outlineLvl w:val="1"/>
        <w:rPr>
          <w:rFonts w:ascii="Franklin Gothic Medium" w:eastAsia="SimSun" w:hAnsi="Franklin Gothic Medium"/>
          <w:color w:val="000000"/>
          <w:sz w:val="32"/>
          <w:szCs w:val="26"/>
          <w:lang w:eastAsia="en-US"/>
        </w:rPr>
      </w:pPr>
      <w:bookmarkStart w:id="33" w:name="_Toc69491423"/>
      <w:bookmarkEnd w:id="30"/>
      <w:r>
        <w:rPr>
          <w:rFonts w:ascii="Franklin Gothic Medium" w:eastAsia="SimSun" w:hAnsi="Franklin Gothic Medium"/>
          <w:color w:val="000000"/>
          <w:sz w:val="32"/>
          <w:szCs w:val="26"/>
          <w:lang w:eastAsia="en-US"/>
        </w:rPr>
        <w:t>11</w:t>
      </w:r>
      <w:r w:rsidR="00986EC1" w:rsidRPr="00986EC1">
        <w:rPr>
          <w:rFonts w:ascii="Franklin Gothic Medium" w:eastAsia="SimSun" w:hAnsi="Franklin Gothic Medium"/>
          <w:color w:val="000000"/>
          <w:sz w:val="32"/>
          <w:szCs w:val="26"/>
          <w:lang w:eastAsia="en-US"/>
        </w:rPr>
        <w:t>.</w:t>
      </w:r>
      <w:r w:rsidR="00986EC1" w:rsidRPr="00986EC1">
        <w:rPr>
          <w:rFonts w:ascii="Franklin Gothic Medium" w:eastAsia="SimSun" w:hAnsi="Franklin Gothic Medium"/>
          <w:color w:val="000000"/>
          <w:sz w:val="32"/>
          <w:szCs w:val="26"/>
          <w:lang w:eastAsia="en-US"/>
        </w:rPr>
        <w:tab/>
        <w:t>Comparative safety</w:t>
      </w:r>
      <w:bookmarkEnd w:id="33"/>
    </w:p>
    <w:p w14:paraId="4EFA1E6F" w14:textId="77777777" w:rsidR="00986EC1" w:rsidRPr="00986EC1" w:rsidRDefault="00986EC1" w:rsidP="00986EC1">
      <w:pPr>
        <w:keepNext/>
        <w:keepLines/>
        <w:tabs>
          <w:tab w:val="left" w:pos="851"/>
        </w:tabs>
        <w:spacing w:before="360" w:after="200"/>
        <w:outlineLvl w:val="2"/>
        <w:rPr>
          <w:rFonts w:ascii="Franklin Gothic Medium" w:eastAsia="SimSun" w:hAnsi="Franklin Gothic Medium"/>
          <w:szCs w:val="24"/>
          <w:lang w:eastAsia="en-US"/>
        </w:rPr>
      </w:pPr>
      <w:r w:rsidRPr="00986EC1">
        <w:rPr>
          <w:rFonts w:ascii="Franklin Gothic Medium" w:eastAsia="SimSun" w:hAnsi="Franklin Gothic Medium"/>
          <w:szCs w:val="24"/>
          <w:lang w:eastAsia="en-US"/>
        </w:rPr>
        <w:t>IDS versus decompression</w:t>
      </w:r>
    </w:p>
    <w:p w14:paraId="6C6E744B" w14:textId="77777777" w:rsidR="00986EC1" w:rsidRPr="00986EC1" w:rsidRDefault="00986EC1" w:rsidP="00986EC1">
      <w:pPr>
        <w:keepNext/>
        <w:keepLines/>
        <w:tabs>
          <w:tab w:val="left" w:pos="851"/>
        </w:tabs>
        <w:spacing w:before="360" w:after="200"/>
        <w:outlineLvl w:val="3"/>
        <w:rPr>
          <w:rFonts w:ascii="Franklin Gothic Medium" w:eastAsia="SimSun" w:hAnsi="Franklin Gothic Medium"/>
          <w:i/>
          <w:szCs w:val="24"/>
          <w:lang w:eastAsia="en-US"/>
        </w:rPr>
      </w:pPr>
      <w:r w:rsidRPr="00986EC1">
        <w:rPr>
          <w:rFonts w:ascii="Franklin Gothic Medium" w:eastAsia="SimSun" w:hAnsi="Franklin Gothic Medium"/>
          <w:i/>
          <w:szCs w:val="24"/>
          <w:lang w:eastAsia="en-US"/>
        </w:rPr>
        <w:t>Spinous process fractures</w:t>
      </w:r>
    </w:p>
    <w:p w14:paraId="647057A2" w14:textId="542416D5" w:rsidR="00986EC1" w:rsidRPr="00986EC1" w:rsidRDefault="000236D4"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There was a higher rate of operative spinous process fractures in patients treated with IDS (3.31%) compared with surgical decompression (0.0%) (RD [95% CI] 0.03 [-0.00, 0.06], p=0.05)</w:t>
      </w:r>
      <w:r>
        <w:rPr>
          <w:rFonts w:ascii="Franklin Gothic Book" w:eastAsia="Calibri" w:hAnsi="Franklin Gothic Book"/>
          <w:sz w:val="22"/>
          <w:szCs w:val="22"/>
          <w:lang w:eastAsia="en-US"/>
        </w:rPr>
        <w:t xml:space="preserve"> (</w:t>
      </w:r>
      <w:r w:rsidR="00082699">
        <w:rPr>
          <w:rFonts w:ascii="Franklin Gothic Book" w:eastAsia="Calibri" w:hAnsi="Franklin Gothic Book"/>
          <w:sz w:val="22"/>
          <w:szCs w:val="22"/>
          <w:lang w:eastAsia="en-US"/>
        </w:rPr>
        <w:fldChar w:fldCharType="begin"/>
      </w:r>
      <w:r w:rsidR="00082699">
        <w:rPr>
          <w:rFonts w:ascii="Franklin Gothic Book" w:eastAsia="Calibri" w:hAnsi="Franklin Gothic Book"/>
          <w:sz w:val="22"/>
          <w:szCs w:val="22"/>
          <w:lang w:eastAsia="en-US"/>
        </w:rPr>
        <w:instrText xml:space="preserve"> REF _Ref84943746  \* MERGEFORMAT </w:instrText>
      </w:r>
      <w:r w:rsidR="00082699">
        <w:rPr>
          <w:rFonts w:ascii="Franklin Gothic Book" w:eastAsia="Calibri" w:hAnsi="Franklin Gothic Book"/>
          <w:sz w:val="22"/>
          <w:szCs w:val="22"/>
          <w:lang w:eastAsia="en-US"/>
        </w:rPr>
        <w:fldChar w:fldCharType="separate"/>
      </w:r>
      <w:r w:rsidR="00EE4CB3" w:rsidRPr="00EE4CB3">
        <w:rPr>
          <w:rFonts w:ascii="Franklin Gothic Book" w:eastAsia="Calibri" w:hAnsi="Franklin Gothic Book"/>
          <w:sz w:val="22"/>
          <w:szCs w:val="22"/>
          <w:lang w:eastAsia="en-US"/>
        </w:rPr>
        <w:t>Table 5</w:t>
      </w:r>
      <w:r w:rsidR="00082699">
        <w:rPr>
          <w:rFonts w:ascii="Franklin Gothic Book" w:eastAsia="Calibri" w:hAnsi="Franklin Gothic Book"/>
          <w:sz w:val="22"/>
          <w:szCs w:val="22"/>
          <w:lang w:eastAsia="en-US"/>
        </w:rPr>
        <w:fldChar w:fldCharType="end"/>
      </w:r>
      <w:r>
        <w:rPr>
          <w:rFonts w:ascii="Franklin Gothic Book" w:eastAsia="Calibri" w:hAnsi="Franklin Gothic Book"/>
          <w:sz w:val="22"/>
          <w:szCs w:val="22"/>
          <w:lang w:eastAsia="en-US"/>
        </w:rPr>
        <w:t>)</w:t>
      </w:r>
      <w:r w:rsidRPr="00986EC1">
        <w:rPr>
          <w:rFonts w:ascii="Franklin Gothic Book" w:eastAsia="Calibri" w:hAnsi="Franklin Gothic Book"/>
          <w:sz w:val="22"/>
          <w:szCs w:val="22"/>
          <w:lang w:eastAsia="en-US"/>
        </w:rPr>
        <w:t>.</w:t>
      </w:r>
      <w:r w:rsidR="00986EC1" w:rsidRPr="00986EC1">
        <w:rPr>
          <w:rFonts w:ascii="Franklin Gothic Book" w:eastAsia="Calibri" w:hAnsi="Franklin Gothic Book"/>
          <w:sz w:val="22"/>
          <w:szCs w:val="22"/>
          <w:lang w:eastAsia="en-US"/>
        </w:rPr>
        <w:t>The overall rate of spinous process fractures is likely to be underreported in these trials because the spinous process fractures reported are only those observed during device placement and/or in the immediate post-operative period. Lønne (2015) reported an additional late fracture in the IDS arm. Fractures can be occult and/or develop during follow-up. The rate of spinous process fractures reported reflects acute, operative fractures only; the rate of occult and long-term fractures is not reported.</w:t>
      </w:r>
    </w:p>
    <w:p w14:paraId="44DEBB64" w14:textId="114429CD" w:rsidR="00986EC1" w:rsidRPr="00986EC1" w:rsidRDefault="00986EC1" w:rsidP="00986EC1">
      <w:pPr>
        <w:keepNext/>
        <w:spacing w:before="360" w:after="120"/>
        <w:ind w:left="794" w:hanging="794"/>
        <w:rPr>
          <w:rFonts w:ascii="Arial Narrow" w:hAnsi="Arial Narrow"/>
          <w:b/>
          <w:bCs/>
          <w:sz w:val="20"/>
          <w:lang w:eastAsia="en-US"/>
        </w:rPr>
      </w:pPr>
      <w:bookmarkStart w:id="34" w:name="_Ref84943746"/>
      <w:r w:rsidRPr="00986EC1">
        <w:rPr>
          <w:rFonts w:ascii="Arial Narrow" w:hAnsi="Arial Narrow"/>
          <w:b/>
          <w:bCs/>
          <w:sz w:val="20"/>
          <w:lang w:eastAsia="en-US"/>
        </w:rPr>
        <w:t xml:space="preserve">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5</w:t>
      </w:r>
      <w:r w:rsidRPr="00986EC1">
        <w:rPr>
          <w:rFonts w:ascii="Arial Narrow" w:hAnsi="Arial Narrow"/>
          <w:b/>
          <w:bCs/>
          <w:noProof/>
          <w:sz w:val="20"/>
          <w:lang w:eastAsia="en-US"/>
        </w:rPr>
        <w:fldChar w:fldCharType="end"/>
      </w:r>
      <w:bookmarkEnd w:id="34"/>
      <w:r w:rsidRPr="00986EC1">
        <w:rPr>
          <w:rFonts w:ascii="Arial Narrow" w:hAnsi="Arial Narrow"/>
          <w:b/>
          <w:bCs/>
          <w:sz w:val="20"/>
          <w:lang w:eastAsia="en-US"/>
        </w:rPr>
        <w:tab/>
        <w:t>Rate of spinous process fractures in RCTs of IDS versus decompression</w:t>
      </w:r>
    </w:p>
    <w:tbl>
      <w:tblPr>
        <w:tblStyle w:val="OPTUMTableNormal"/>
        <w:tblpPr w:leftFromText="180" w:rightFromText="180" w:vertAnchor="text" w:horzAnchor="margin" w:tblpXSpec="center" w:tblpY="106"/>
        <w:tblW w:w="5000" w:type="pct"/>
        <w:tblLook w:val="04A0" w:firstRow="1" w:lastRow="0" w:firstColumn="1" w:lastColumn="0" w:noHBand="0" w:noVBand="1"/>
        <w:tblDescription w:val="Rate of spinous process fractures in RCTs of IDS versus decompression"/>
      </w:tblPr>
      <w:tblGrid>
        <w:gridCol w:w="1332"/>
        <w:gridCol w:w="1343"/>
        <w:gridCol w:w="1447"/>
        <w:gridCol w:w="1686"/>
        <w:gridCol w:w="1610"/>
        <w:gridCol w:w="1598"/>
      </w:tblGrid>
      <w:tr w:rsidR="00986EC1" w:rsidRPr="00986EC1" w14:paraId="6529B1B2" w14:textId="77777777" w:rsidTr="005917C2">
        <w:trPr>
          <w:cnfStyle w:val="100000000000" w:firstRow="1" w:lastRow="0" w:firstColumn="0" w:lastColumn="0" w:oddVBand="0" w:evenVBand="0" w:oddHBand="0" w:evenHBand="0" w:firstRowFirstColumn="0" w:firstRowLastColumn="0" w:lastRowFirstColumn="0" w:lastRowLastColumn="0"/>
          <w:trHeight w:val="259"/>
          <w:tblHeader/>
        </w:trPr>
        <w:tc>
          <w:tcPr>
            <w:tcW w:w="739" w:type="pct"/>
            <w:vMerge w:val="restart"/>
            <w:tcBorders>
              <w:bottom w:val="single" w:sz="4" w:space="0" w:color="000000"/>
            </w:tcBorders>
            <w:shd w:val="clear" w:color="auto" w:fill="auto"/>
            <w:hideMark/>
          </w:tcPr>
          <w:p w14:paraId="2FC7C77E" w14:textId="77777777" w:rsidR="00986EC1" w:rsidRPr="00986EC1" w:rsidRDefault="00986EC1" w:rsidP="00986EC1">
            <w:pPr>
              <w:spacing w:before="120" w:after="60"/>
              <w:rPr>
                <w:rFonts w:ascii="Arial Narrow" w:eastAsia="Calibri" w:hAnsi="Arial Narrow"/>
                <w:b/>
                <w:sz w:val="20"/>
                <w:szCs w:val="22"/>
              </w:rPr>
            </w:pPr>
            <w:r w:rsidRPr="00986EC1">
              <w:rPr>
                <w:rFonts w:ascii="Arial Narrow" w:eastAsia="Calibri" w:hAnsi="Arial Narrow"/>
                <w:b/>
                <w:sz w:val="20"/>
                <w:szCs w:val="22"/>
              </w:rPr>
              <w:t>Trial ID</w:t>
            </w:r>
          </w:p>
        </w:tc>
        <w:tc>
          <w:tcPr>
            <w:tcW w:w="745" w:type="pct"/>
            <w:tcBorders>
              <w:left w:val="nil"/>
              <w:right w:val="nil"/>
            </w:tcBorders>
            <w:shd w:val="clear" w:color="auto" w:fill="auto"/>
            <w:hideMark/>
          </w:tcPr>
          <w:p w14:paraId="1E3CF049" w14:textId="77777777" w:rsidR="00986EC1" w:rsidRPr="00986EC1" w:rsidRDefault="00986EC1" w:rsidP="00986EC1">
            <w:pPr>
              <w:spacing w:before="120" w:after="60"/>
              <w:rPr>
                <w:rFonts w:ascii="Arial Narrow" w:eastAsia="Calibri" w:hAnsi="Arial Narrow"/>
                <w:b/>
                <w:sz w:val="20"/>
                <w:szCs w:val="22"/>
              </w:rPr>
            </w:pPr>
            <w:r w:rsidRPr="00986EC1">
              <w:rPr>
                <w:rFonts w:ascii="Arial Narrow" w:eastAsia="Calibri" w:hAnsi="Arial Narrow"/>
                <w:b/>
                <w:sz w:val="20"/>
                <w:szCs w:val="22"/>
              </w:rPr>
              <w:t>IDS</w:t>
            </w:r>
          </w:p>
        </w:tc>
        <w:tc>
          <w:tcPr>
            <w:tcW w:w="802" w:type="pct"/>
            <w:tcBorders>
              <w:right w:val="nil"/>
            </w:tcBorders>
            <w:shd w:val="clear" w:color="auto" w:fill="auto"/>
            <w:hideMark/>
          </w:tcPr>
          <w:p w14:paraId="22DAED40" w14:textId="77777777" w:rsidR="00986EC1" w:rsidRPr="00986EC1" w:rsidRDefault="00986EC1" w:rsidP="00986EC1">
            <w:pPr>
              <w:spacing w:before="120" w:after="60"/>
              <w:rPr>
                <w:rFonts w:ascii="Arial Narrow" w:eastAsia="Calibri" w:hAnsi="Arial Narrow"/>
                <w:b/>
                <w:sz w:val="20"/>
                <w:szCs w:val="22"/>
              </w:rPr>
            </w:pPr>
            <w:r w:rsidRPr="00986EC1">
              <w:rPr>
                <w:rFonts w:ascii="Arial Narrow" w:eastAsia="Calibri" w:hAnsi="Arial Narrow"/>
                <w:b/>
                <w:sz w:val="20"/>
                <w:szCs w:val="22"/>
              </w:rPr>
              <w:t>Decompression</w:t>
            </w:r>
          </w:p>
        </w:tc>
        <w:tc>
          <w:tcPr>
            <w:tcW w:w="935" w:type="pct"/>
            <w:vMerge w:val="restart"/>
            <w:tcBorders>
              <w:bottom w:val="single" w:sz="4" w:space="0" w:color="000000"/>
            </w:tcBorders>
            <w:shd w:val="clear" w:color="auto" w:fill="auto"/>
            <w:hideMark/>
          </w:tcPr>
          <w:p w14:paraId="43CC63BA" w14:textId="77777777" w:rsidR="00986EC1" w:rsidRPr="00986EC1" w:rsidRDefault="00986EC1" w:rsidP="00986EC1">
            <w:pPr>
              <w:spacing w:before="120" w:after="60"/>
              <w:rPr>
                <w:rFonts w:ascii="Arial Narrow" w:eastAsia="Calibri" w:hAnsi="Arial Narrow"/>
                <w:b/>
                <w:sz w:val="20"/>
                <w:szCs w:val="22"/>
              </w:rPr>
            </w:pPr>
            <w:r w:rsidRPr="00986EC1">
              <w:rPr>
                <w:rFonts w:ascii="Arial Narrow" w:eastAsia="Calibri" w:hAnsi="Arial Narrow"/>
                <w:b/>
                <w:sz w:val="20"/>
                <w:szCs w:val="22"/>
              </w:rPr>
              <w:t>OR [95% CI]</w:t>
            </w:r>
          </w:p>
          <w:p w14:paraId="131AA83F" w14:textId="77777777" w:rsidR="00986EC1" w:rsidRPr="00986EC1" w:rsidRDefault="00986EC1" w:rsidP="00986EC1">
            <w:pPr>
              <w:spacing w:before="120" w:after="60"/>
              <w:rPr>
                <w:rFonts w:ascii="Arial Narrow" w:eastAsia="Calibri" w:hAnsi="Arial Narrow"/>
                <w:b/>
                <w:sz w:val="20"/>
                <w:szCs w:val="22"/>
              </w:rPr>
            </w:pPr>
            <w:r w:rsidRPr="00986EC1">
              <w:rPr>
                <w:rFonts w:ascii="Arial Narrow" w:eastAsia="Calibri" w:hAnsi="Arial Narrow"/>
                <w:b/>
                <w:sz w:val="20"/>
                <w:szCs w:val="22"/>
              </w:rPr>
              <w:t>&lt; 1 favours IDS</w:t>
            </w:r>
          </w:p>
        </w:tc>
        <w:tc>
          <w:tcPr>
            <w:tcW w:w="893" w:type="pct"/>
            <w:vMerge w:val="restart"/>
            <w:tcBorders>
              <w:bottom w:val="single" w:sz="4" w:space="0" w:color="000000"/>
            </w:tcBorders>
            <w:shd w:val="clear" w:color="auto" w:fill="auto"/>
            <w:hideMark/>
          </w:tcPr>
          <w:p w14:paraId="00B52BEB" w14:textId="77777777" w:rsidR="00986EC1" w:rsidRPr="00986EC1" w:rsidRDefault="00986EC1" w:rsidP="00986EC1">
            <w:pPr>
              <w:spacing w:before="120" w:after="60"/>
              <w:rPr>
                <w:rFonts w:ascii="Arial Narrow" w:eastAsia="Calibri" w:hAnsi="Arial Narrow"/>
                <w:b/>
                <w:sz w:val="20"/>
                <w:szCs w:val="22"/>
              </w:rPr>
            </w:pPr>
            <w:r w:rsidRPr="00986EC1">
              <w:rPr>
                <w:rFonts w:ascii="Arial Narrow" w:eastAsia="Calibri" w:hAnsi="Arial Narrow"/>
                <w:b/>
                <w:sz w:val="20"/>
                <w:szCs w:val="22"/>
              </w:rPr>
              <w:t>RR [95% CI]</w:t>
            </w:r>
          </w:p>
          <w:p w14:paraId="41627E3C" w14:textId="77777777" w:rsidR="00986EC1" w:rsidRPr="00986EC1" w:rsidRDefault="00986EC1" w:rsidP="00986EC1">
            <w:pPr>
              <w:spacing w:before="120" w:after="60"/>
              <w:rPr>
                <w:rFonts w:ascii="Arial Narrow" w:eastAsia="Calibri" w:hAnsi="Arial Narrow"/>
                <w:b/>
                <w:sz w:val="20"/>
                <w:szCs w:val="22"/>
              </w:rPr>
            </w:pPr>
            <w:r w:rsidRPr="00986EC1">
              <w:rPr>
                <w:rFonts w:ascii="Arial Narrow" w:eastAsia="Calibri" w:hAnsi="Arial Narrow"/>
                <w:b/>
                <w:sz w:val="20"/>
                <w:szCs w:val="22"/>
              </w:rPr>
              <w:t>&lt; 1 favours IDS</w:t>
            </w:r>
          </w:p>
        </w:tc>
        <w:tc>
          <w:tcPr>
            <w:tcW w:w="886" w:type="pct"/>
            <w:vMerge w:val="restart"/>
            <w:tcBorders>
              <w:bottom w:val="single" w:sz="4" w:space="0" w:color="000000"/>
            </w:tcBorders>
            <w:shd w:val="clear" w:color="auto" w:fill="auto"/>
            <w:hideMark/>
          </w:tcPr>
          <w:p w14:paraId="7A918F8C" w14:textId="77777777" w:rsidR="00986EC1" w:rsidRPr="00986EC1" w:rsidRDefault="00986EC1" w:rsidP="00986EC1">
            <w:pPr>
              <w:spacing w:before="120" w:after="60"/>
              <w:rPr>
                <w:rFonts w:ascii="Arial Narrow" w:eastAsia="Calibri" w:hAnsi="Arial Narrow"/>
                <w:b/>
                <w:sz w:val="20"/>
                <w:szCs w:val="22"/>
              </w:rPr>
            </w:pPr>
            <w:r w:rsidRPr="00986EC1">
              <w:rPr>
                <w:rFonts w:ascii="Arial Narrow" w:eastAsia="Calibri" w:hAnsi="Arial Narrow"/>
                <w:b/>
                <w:sz w:val="20"/>
                <w:szCs w:val="22"/>
              </w:rPr>
              <w:t xml:space="preserve">RD [95% CI] </w:t>
            </w:r>
          </w:p>
          <w:p w14:paraId="3D3CEBAA" w14:textId="77777777" w:rsidR="00986EC1" w:rsidRPr="00986EC1" w:rsidRDefault="00986EC1" w:rsidP="00986EC1">
            <w:pPr>
              <w:spacing w:before="120" w:after="60"/>
              <w:rPr>
                <w:rFonts w:ascii="Arial Narrow" w:eastAsia="Calibri" w:hAnsi="Arial Narrow"/>
                <w:b/>
                <w:sz w:val="20"/>
                <w:szCs w:val="22"/>
              </w:rPr>
            </w:pPr>
            <w:r w:rsidRPr="00986EC1">
              <w:rPr>
                <w:rFonts w:ascii="Arial Narrow" w:eastAsia="Calibri" w:hAnsi="Arial Narrow"/>
                <w:b/>
                <w:sz w:val="20"/>
                <w:szCs w:val="22"/>
              </w:rPr>
              <w:t>&lt; 0 favours IDS</w:t>
            </w:r>
          </w:p>
        </w:tc>
      </w:tr>
      <w:tr w:rsidR="00986EC1" w:rsidRPr="00986EC1" w14:paraId="4D3CEFF4" w14:textId="77777777" w:rsidTr="005917C2">
        <w:trPr>
          <w:cnfStyle w:val="100000000000" w:firstRow="1" w:lastRow="0" w:firstColumn="0" w:lastColumn="0" w:oddVBand="0" w:evenVBand="0" w:oddHBand="0" w:evenHBand="0" w:firstRowFirstColumn="0" w:firstRowLastColumn="0" w:lastRowFirstColumn="0" w:lastRowLastColumn="0"/>
          <w:trHeight w:val="259"/>
          <w:tblHeader/>
        </w:trPr>
        <w:tc>
          <w:tcPr>
            <w:tcW w:w="739" w:type="pct"/>
            <w:vMerge/>
            <w:tcBorders>
              <w:bottom w:val="single" w:sz="4" w:space="0" w:color="000000"/>
            </w:tcBorders>
            <w:hideMark/>
          </w:tcPr>
          <w:p w14:paraId="0B92EACF" w14:textId="77777777" w:rsidR="00986EC1" w:rsidRPr="00986EC1" w:rsidRDefault="00986EC1" w:rsidP="00986EC1">
            <w:pPr>
              <w:spacing w:after="40"/>
              <w:rPr>
                <w:rFonts w:ascii="Arial Narrow" w:hAnsi="Arial Narrow" w:cs="Tahoma"/>
                <w:sz w:val="20"/>
              </w:rPr>
            </w:pPr>
          </w:p>
        </w:tc>
        <w:tc>
          <w:tcPr>
            <w:tcW w:w="745" w:type="pct"/>
            <w:tcBorders>
              <w:top w:val="nil"/>
              <w:left w:val="nil"/>
            </w:tcBorders>
            <w:shd w:val="clear" w:color="auto" w:fill="auto"/>
            <w:hideMark/>
          </w:tcPr>
          <w:p w14:paraId="1E46C551" w14:textId="77777777" w:rsidR="00986EC1" w:rsidRPr="00986EC1" w:rsidRDefault="00986EC1" w:rsidP="00986EC1">
            <w:pPr>
              <w:spacing w:before="120" w:after="60"/>
              <w:rPr>
                <w:rFonts w:ascii="Arial Narrow" w:eastAsia="Calibri" w:hAnsi="Arial Narrow"/>
                <w:b/>
                <w:sz w:val="20"/>
                <w:szCs w:val="22"/>
              </w:rPr>
            </w:pPr>
            <w:r w:rsidRPr="00986EC1">
              <w:rPr>
                <w:rFonts w:ascii="Arial Narrow" w:eastAsia="Calibri" w:hAnsi="Arial Narrow"/>
                <w:b/>
                <w:sz w:val="20"/>
                <w:szCs w:val="22"/>
              </w:rPr>
              <w:t>n /N (%)</w:t>
            </w:r>
          </w:p>
        </w:tc>
        <w:tc>
          <w:tcPr>
            <w:tcW w:w="802" w:type="pct"/>
            <w:tcBorders>
              <w:top w:val="nil"/>
              <w:left w:val="nil"/>
            </w:tcBorders>
            <w:shd w:val="clear" w:color="auto" w:fill="auto"/>
            <w:hideMark/>
          </w:tcPr>
          <w:p w14:paraId="1C0C7E28" w14:textId="77777777" w:rsidR="00986EC1" w:rsidRPr="00986EC1" w:rsidRDefault="00986EC1" w:rsidP="00986EC1">
            <w:pPr>
              <w:spacing w:before="120" w:after="60"/>
              <w:rPr>
                <w:rFonts w:ascii="Arial Narrow" w:eastAsia="Calibri" w:hAnsi="Arial Narrow"/>
                <w:b/>
                <w:sz w:val="20"/>
                <w:szCs w:val="22"/>
              </w:rPr>
            </w:pPr>
            <w:r w:rsidRPr="00986EC1">
              <w:rPr>
                <w:rFonts w:ascii="Arial Narrow" w:eastAsia="Calibri" w:hAnsi="Arial Narrow"/>
                <w:b/>
                <w:sz w:val="20"/>
                <w:szCs w:val="22"/>
              </w:rPr>
              <w:t>n /N (%)</w:t>
            </w:r>
          </w:p>
        </w:tc>
        <w:tc>
          <w:tcPr>
            <w:tcW w:w="935" w:type="pct"/>
            <w:vMerge/>
            <w:tcBorders>
              <w:bottom w:val="single" w:sz="4" w:space="0" w:color="000000"/>
            </w:tcBorders>
            <w:hideMark/>
          </w:tcPr>
          <w:p w14:paraId="2650942F" w14:textId="77777777" w:rsidR="00986EC1" w:rsidRPr="00986EC1" w:rsidRDefault="00986EC1" w:rsidP="00986EC1">
            <w:pPr>
              <w:spacing w:after="40"/>
              <w:rPr>
                <w:rFonts w:ascii="Arial Narrow" w:hAnsi="Arial Narrow" w:cs="Tahoma"/>
                <w:sz w:val="20"/>
              </w:rPr>
            </w:pPr>
          </w:p>
        </w:tc>
        <w:tc>
          <w:tcPr>
            <w:tcW w:w="893" w:type="pct"/>
            <w:vMerge/>
            <w:tcBorders>
              <w:bottom w:val="single" w:sz="4" w:space="0" w:color="000000"/>
            </w:tcBorders>
            <w:hideMark/>
          </w:tcPr>
          <w:p w14:paraId="7C5185C5" w14:textId="77777777" w:rsidR="00986EC1" w:rsidRPr="00986EC1" w:rsidRDefault="00986EC1" w:rsidP="00986EC1">
            <w:pPr>
              <w:spacing w:after="40"/>
              <w:rPr>
                <w:rFonts w:ascii="Arial Narrow" w:hAnsi="Arial Narrow" w:cs="Tahoma"/>
                <w:sz w:val="20"/>
              </w:rPr>
            </w:pPr>
          </w:p>
        </w:tc>
        <w:tc>
          <w:tcPr>
            <w:tcW w:w="886" w:type="pct"/>
            <w:vMerge/>
            <w:tcBorders>
              <w:bottom w:val="single" w:sz="4" w:space="0" w:color="000000"/>
            </w:tcBorders>
            <w:hideMark/>
          </w:tcPr>
          <w:p w14:paraId="5E85C755" w14:textId="77777777" w:rsidR="00986EC1" w:rsidRPr="00986EC1" w:rsidRDefault="00986EC1" w:rsidP="00986EC1">
            <w:pPr>
              <w:spacing w:after="40"/>
              <w:rPr>
                <w:rFonts w:ascii="Arial Narrow" w:hAnsi="Arial Narrow" w:cs="Tahoma"/>
                <w:sz w:val="20"/>
              </w:rPr>
            </w:pPr>
          </w:p>
        </w:tc>
      </w:tr>
      <w:tr w:rsidR="00986EC1" w:rsidRPr="00986EC1" w14:paraId="0338D0F8" w14:textId="77777777" w:rsidTr="005917C2">
        <w:trPr>
          <w:trHeight w:val="259"/>
        </w:trPr>
        <w:tc>
          <w:tcPr>
            <w:tcW w:w="739" w:type="pct"/>
            <w:tcBorders>
              <w:top w:val="single" w:sz="4" w:space="0" w:color="auto"/>
              <w:left w:val="single" w:sz="4" w:space="0" w:color="auto"/>
              <w:bottom w:val="single" w:sz="4" w:space="0" w:color="auto"/>
              <w:right w:val="single" w:sz="4" w:space="0" w:color="auto"/>
            </w:tcBorders>
            <w:shd w:val="clear" w:color="auto" w:fill="auto"/>
            <w:hideMark/>
          </w:tcPr>
          <w:p w14:paraId="35CE48F2"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CELAX</w:t>
            </w:r>
          </w:p>
        </w:tc>
        <w:tc>
          <w:tcPr>
            <w:tcW w:w="745" w:type="pct"/>
            <w:tcBorders>
              <w:top w:val="single" w:sz="4" w:space="0" w:color="auto"/>
              <w:left w:val="nil"/>
              <w:bottom w:val="single" w:sz="4" w:space="0" w:color="auto"/>
              <w:right w:val="single" w:sz="4" w:space="0" w:color="auto"/>
            </w:tcBorders>
            <w:shd w:val="clear" w:color="auto" w:fill="auto"/>
            <w:hideMark/>
          </w:tcPr>
          <w:p w14:paraId="45D13592"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1/21 (4.76%)</w:t>
            </w:r>
          </w:p>
        </w:tc>
        <w:tc>
          <w:tcPr>
            <w:tcW w:w="802" w:type="pct"/>
            <w:tcBorders>
              <w:top w:val="single" w:sz="4" w:space="0" w:color="auto"/>
              <w:left w:val="nil"/>
              <w:bottom w:val="single" w:sz="4" w:space="0" w:color="auto"/>
              <w:right w:val="single" w:sz="4" w:space="0" w:color="auto"/>
            </w:tcBorders>
            <w:shd w:val="clear" w:color="auto" w:fill="auto"/>
            <w:hideMark/>
          </w:tcPr>
          <w:p w14:paraId="0600EAB9"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0/26 (0.00%)</w:t>
            </w:r>
          </w:p>
        </w:tc>
        <w:tc>
          <w:tcPr>
            <w:tcW w:w="935" w:type="pct"/>
            <w:tcBorders>
              <w:top w:val="single" w:sz="4" w:space="0" w:color="auto"/>
              <w:left w:val="nil"/>
              <w:bottom w:val="single" w:sz="4" w:space="0" w:color="auto"/>
              <w:right w:val="single" w:sz="4" w:space="0" w:color="auto"/>
            </w:tcBorders>
            <w:shd w:val="clear" w:color="000000" w:fill="FFFFFF"/>
            <w:hideMark/>
          </w:tcPr>
          <w:p w14:paraId="6C397606"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3.88 [0.15, 100.23]</w:t>
            </w:r>
          </w:p>
        </w:tc>
        <w:tc>
          <w:tcPr>
            <w:tcW w:w="893" w:type="pct"/>
            <w:tcBorders>
              <w:top w:val="single" w:sz="4" w:space="0" w:color="auto"/>
              <w:left w:val="nil"/>
              <w:bottom w:val="single" w:sz="4" w:space="0" w:color="auto"/>
              <w:right w:val="single" w:sz="4" w:space="0" w:color="auto"/>
            </w:tcBorders>
            <w:shd w:val="clear" w:color="000000" w:fill="FFFFFF"/>
            <w:hideMark/>
          </w:tcPr>
          <w:p w14:paraId="7371B492"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3.68 [0.16, 85.98]</w:t>
            </w:r>
          </w:p>
        </w:tc>
        <w:tc>
          <w:tcPr>
            <w:tcW w:w="886" w:type="pct"/>
            <w:tcBorders>
              <w:top w:val="single" w:sz="4" w:space="0" w:color="auto"/>
              <w:left w:val="nil"/>
              <w:bottom w:val="single" w:sz="4" w:space="0" w:color="auto"/>
              <w:right w:val="single" w:sz="4" w:space="0" w:color="auto"/>
            </w:tcBorders>
            <w:shd w:val="clear" w:color="000000" w:fill="FFFFFF"/>
            <w:hideMark/>
          </w:tcPr>
          <w:p w14:paraId="6C29308F"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0.05 [-0.04, 0.13]</w:t>
            </w:r>
          </w:p>
        </w:tc>
      </w:tr>
      <w:tr w:rsidR="00986EC1" w:rsidRPr="00986EC1" w14:paraId="3E1EFD78" w14:textId="77777777" w:rsidTr="005917C2">
        <w:trPr>
          <w:trHeight w:val="259"/>
        </w:trPr>
        <w:tc>
          <w:tcPr>
            <w:tcW w:w="739" w:type="pct"/>
            <w:tcBorders>
              <w:top w:val="nil"/>
              <w:left w:val="single" w:sz="4" w:space="0" w:color="auto"/>
              <w:bottom w:val="single" w:sz="4" w:space="0" w:color="auto"/>
              <w:right w:val="single" w:sz="4" w:space="0" w:color="auto"/>
            </w:tcBorders>
            <w:shd w:val="clear" w:color="auto" w:fill="auto"/>
          </w:tcPr>
          <w:p w14:paraId="35B566AD" w14:textId="77777777" w:rsidR="00986EC1" w:rsidRPr="00986EC1" w:rsidRDefault="00986EC1" w:rsidP="00986EC1">
            <w:pPr>
              <w:spacing w:after="40"/>
              <w:jc w:val="both"/>
              <w:rPr>
                <w:rFonts w:ascii="Arial Narrow" w:hAnsi="Arial Narrow" w:cs="Tahoma"/>
                <w:sz w:val="20"/>
              </w:rPr>
            </w:pPr>
            <w:bookmarkStart w:id="35" w:name="_Hlk79070979"/>
            <w:r w:rsidRPr="00986EC1">
              <w:rPr>
                <w:rFonts w:ascii="Arial Narrow" w:hAnsi="Arial Narrow" w:cs="Tahoma"/>
                <w:sz w:val="20"/>
              </w:rPr>
              <w:t>Lønne (2015)</w:t>
            </w:r>
            <w:bookmarkEnd w:id="35"/>
          </w:p>
        </w:tc>
        <w:tc>
          <w:tcPr>
            <w:tcW w:w="745" w:type="pct"/>
            <w:tcBorders>
              <w:top w:val="nil"/>
              <w:left w:val="nil"/>
              <w:bottom w:val="single" w:sz="4" w:space="0" w:color="auto"/>
              <w:right w:val="single" w:sz="4" w:space="0" w:color="auto"/>
            </w:tcBorders>
            <w:shd w:val="clear" w:color="auto" w:fill="auto"/>
          </w:tcPr>
          <w:p w14:paraId="0B30D79D"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1/40 (2.50%)</w:t>
            </w:r>
          </w:p>
        </w:tc>
        <w:tc>
          <w:tcPr>
            <w:tcW w:w="802" w:type="pct"/>
            <w:tcBorders>
              <w:top w:val="nil"/>
              <w:left w:val="nil"/>
              <w:bottom w:val="single" w:sz="4" w:space="0" w:color="auto"/>
              <w:right w:val="single" w:sz="4" w:space="0" w:color="auto"/>
            </w:tcBorders>
            <w:shd w:val="clear" w:color="auto" w:fill="auto"/>
          </w:tcPr>
          <w:p w14:paraId="6BCC6791"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0/41 (0.00%)</w:t>
            </w:r>
          </w:p>
        </w:tc>
        <w:tc>
          <w:tcPr>
            <w:tcW w:w="935" w:type="pct"/>
            <w:tcBorders>
              <w:top w:val="nil"/>
              <w:left w:val="nil"/>
              <w:bottom w:val="single" w:sz="4" w:space="0" w:color="auto"/>
              <w:right w:val="single" w:sz="4" w:space="0" w:color="auto"/>
            </w:tcBorders>
            <w:shd w:val="clear" w:color="000000" w:fill="FFFFFF"/>
          </w:tcPr>
          <w:p w14:paraId="1BAE1519"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3.15 [0.12, 79.69]</w:t>
            </w:r>
          </w:p>
        </w:tc>
        <w:tc>
          <w:tcPr>
            <w:tcW w:w="893" w:type="pct"/>
            <w:tcBorders>
              <w:top w:val="nil"/>
              <w:left w:val="nil"/>
              <w:bottom w:val="single" w:sz="4" w:space="0" w:color="auto"/>
              <w:right w:val="single" w:sz="4" w:space="0" w:color="auto"/>
            </w:tcBorders>
            <w:shd w:val="clear" w:color="000000" w:fill="FFFFFF"/>
          </w:tcPr>
          <w:p w14:paraId="006C1775"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3.07 [0.13, 73.28]</w:t>
            </w:r>
          </w:p>
        </w:tc>
        <w:tc>
          <w:tcPr>
            <w:tcW w:w="886" w:type="pct"/>
            <w:tcBorders>
              <w:top w:val="nil"/>
              <w:left w:val="nil"/>
              <w:bottom w:val="single" w:sz="4" w:space="0" w:color="auto"/>
              <w:right w:val="single" w:sz="4" w:space="0" w:color="auto"/>
            </w:tcBorders>
            <w:shd w:val="clear" w:color="000000" w:fill="FFFFFF"/>
          </w:tcPr>
          <w:p w14:paraId="4DCC9FE5"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0.03 [-0.02, 0.07]</w:t>
            </w:r>
          </w:p>
        </w:tc>
      </w:tr>
      <w:tr w:rsidR="00986EC1" w:rsidRPr="00986EC1" w14:paraId="433E7A0E" w14:textId="77777777" w:rsidTr="005917C2">
        <w:trPr>
          <w:trHeight w:val="259"/>
        </w:trPr>
        <w:tc>
          <w:tcPr>
            <w:tcW w:w="739" w:type="pct"/>
            <w:tcBorders>
              <w:top w:val="nil"/>
              <w:left w:val="single" w:sz="4" w:space="0" w:color="auto"/>
              <w:bottom w:val="single" w:sz="4" w:space="0" w:color="auto"/>
              <w:right w:val="single" w:sz="4" w:space="0" w:color="auto"/>
            </w:tcBorders>
            <w:shd w:val="clear" w:color="auto" w:fill="auto"/>
            <w:hideMark/>
          </w:tcPr>
          <w:p w14:paraId="45EEAB67"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FELIX</w:t>
            </w:r>
          </w:p>
        </w:tc>
        <w:tc>
          <w:tcPr>
            <w:tcW w:w="745" w:type="pct"/>
            <w:tcBorders>
              <w:top w:val="nil"/>
              <w:left w:val="nil"/>
              <w:bottom w:val="single" w:sz="4" w:space="0" w:color="auto"/>
              <w:right w:val="single" w:sz="4" w:space="0" w:color="auto"/>
            </w:tcBorders>
            <w:shd w:val="clear" w:color="auto" w:fill="auto"/>
            <w:hideMark/>
          </w:tcPr>
          <w:p w14:paraId="70325AD8"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3/70 (4.29%)</w:t>
            </w:r>
          </w:p>
        </w:tc>
        <w:tc>
          <w:tcPr>
            <w:tcW w:w="802" w:type="pct"/>
            <w:tcBorders>
              <w:top w:val="nil"/>
              <w:left w:val="nil"/>
              <w:bottom w:val="single" w:sz="4" w:space="0" w:color="auto"/>
              <w:right w:val="single" w:sz="4" w:space="0" w:color="auto"/>
            </w:tcBorders>
            <w:shd w:val="clear" w:color="auto" w:fill="auto"/>
            <w:hideMark/>
          </w:tcPr>
          <w:p w14:paraId="56D3F4CC"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0/75 (0.00%)</w:t>
            </w:r>
          </w:p>
        </w:tc>
        <w:tc>
          <w:tcPr>
            <w:tcW w:w="935" w:type="pct"/>
            <w:tcBorders>
              <w:top w:val="single" w:sz="4" w:space="0" w:color="auto"/>
              <w:left w:val="nil"/>
              <w:bottom w:val="single" w:sz="4" w:space="0" w:color="auto"/>
              <w:right w:val="single" w:sz="4" w:space="0" w:color="auto"/>
            </w:tcBorders>
            <w:shd w:val="clear" w:color="000000" w:fill="FFFFFF"/>
            <w:hideMark/>
          </w:tcPr>
          <w:p w14:paraId="1C631858"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7.83 [0.40, 154.35]</w:t>
            </w:r>
          </w:p>
        </w:tc>
        <w:tc>
          <w:tcPr>
            <w:tcW w:w="893" w:type="pct"/>
            <w:tcBorders>
              <w:top w:val="single" w:sz="4" w:space="0" w:color="auto"/>
              <w:left w:val="nil"/>
              <w:bottom w:val="single" w:sz="4" w:space="0" w:color="auto"/>
              <w:right w:val="single" w:sz="4" w:space="0" w:color="auto"/>
            </w:tcBorders>
            <w:shd w:val="clear" w:color="000000" w:fill="FFFFFF"/>
            <w:hideMark/>
          </w:tcPr>
          <w:p w14:paraId="20A9A078"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7.49 [0.39, 142.51]</w:t>
            </w:r>
          </w:p>
        </w:tc>
        <w:tc>
          <w:tcPr>
            <w:tcW w:w="886" w:type="pct"/>
            <w:tcBorders>
              <w:top w:val="single" w:sz="4" w:space="0" w:color="auto"/>
              <w:left w:val="nil"/>
              <w:bottom w:val="single" w:sz="4" w:space="0" w:color="auto"/>
              <w:right w:val="single" w:sz="4" w:space="0" w:color="auto"/>
            </w:tcBorders>
            <w:shd w:val="clear" w:color="000000" w:fill="FFFFFF"/>
            <w:hideMark/>
          </w:tcPr>
          <w:p w14:paraId="267DCD6C"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0.04 [0.00, 0.09]</w:t>
            </w:r>
          </w:p>
        </w:tc>
      </w:tr>
      <w:tr w:rsidR="00986EC1" w:rsidRPr="00986EC1" w14:paraId="5D2A4F23" w14:textId="77777777" w:rsidTr="005917C2">
        <w:trPr>
          <w:trHeight w:val="259"/>
        </w:trPr>
        <w:tc>
          <w:tcPr>
            <w:tcW w:w="739" w:type="pct"/>
            <w:tcBorders>
              <w:top w:val="nil"/>
              <w:left w:val="single" w:sz="4" w:space="0" w:color="auto"/>
              <w:bottom w:val="single" w:sz="4" w:space="0" w:color="auto"/>
              <w:right w:val="single" w:sz="4" w:space="0" w:color="auto"/>
            </w:tcBorders>
            <w:shd w:val="clear" w:color="auto" w:fill="auto"/>
            <w:hideMark/>
          </w:tcPr>
          <w:p w14:paraId="4EDD5269"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Strömqvist (2013)</w:t>
            </w:r>
          </w:p>
        </w:tc>
        <w:tc>
          <w:tcPr>
            <w:tcW w:w="745" w:type="pct"/>
            <w:tcBorders>
              <w:top w:val="nil"/>
              <w:left w:val="nil"/>
              <w:bottom w:val="single" w:sz="4" w:space="0" w:color="auto"/>
              <w:right w:val="single" w:sz="4" w:space="0" w:color="auto"/>
            </w:tcBorders>
            <w:shd w:val="clear" w:color="auto" w:fill="auto"/>
            <w:hideMark/>
          </w:tcPr>
          <w:p w14:paraId="1BAF727E"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1/50 (2.00%)</w:t>
            </w:r>
          </w:p>
        </w:tc>
        <w:tc>
          <w:tcPr>
            <w:tcW w:w="802" w:type="pct"/>
            <w:tcBorders>
              <w:top w:val="nil"/>
              <w:left w:val="nil"/>
              <w:bottom w:val="single" w:sz="4" w:space="0" w:color="auto"/>
              <w:right w:val="single" w:sz="4" w:space="0" w:color="auto"/>
            </w:tcBorders>
            <w:shd w:val="clear" w:color="auto" w:fill="auto"/>
            <w:hideMark/>
          </w:tcPr>
          <w:p w14:paraId="34C81847"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0/50 (0.00%)</w:t>
            </w:r>
          </w:p>
        </w:tc>
        <w:tc>
          <w:tcPr>
            <w:tcW w:w="935" w:type="pct"/>
            <w:tcBorders>
              <w:top w:val="single" w:sz="4" w:space="0" w:color="auto"/>
              <w:left w:val="nil"/>
              <w:bottom w:val="single" w:sz="4" w:space="0" w:color="auto"/>
              <w:right w:val="single" w:sz="4" w:space="0" w:color="auto"/>
            </w:tcBorders>
            <w:shd w:val="clear" w:color="000000" w:fill="FFFFFF"/>
            <w:hideMark/>
          </w:tcPr>
          <w:p w14:paraId="7B5820B9"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3.06 [0.12, 76.95]</w:t>
            </w:r>
          </w:p>
        </w:tc>
        <w:tc>
          <w:tcPr>
            <w:tcW w:w="893" w:type="pct"/>
            <w:tcBorders>
              <w:top w:val="single" w:sz="4" w:space="0" w:color="auto"/>
              <w:left w:val="nil"/>
              <w:bottom w:val="single" w:sz="4" w:space="0" w:color="auto"/>
              <w:right w:val="single" w:sz="4" w:space="0" w:color="auto"/>
            </w:tcBorders>
            <w:shd w:val="clear" w:color="000000" w:fill="FFFFFF"/>
            <w:hideMark/>
          </w:tcPr>
          <w:p w14:paraId="7EEC5D9A"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3.00 [0.13, 71.92]</w:t>
            </w:r>
          </w:p>
        </w:tc>
        <w:tc>
          <w:tcPr>
            <w:tcW w:w="886" w:type="pct"/>
            <w:tcBorders>
              <w:top w:val="single" w:sz="4" w:space="0" w:color="auto"/>
              <w:left w:val="nil"/>
              <w:bottom w:val="single" w:sz="4" w:space="0" w:color="auto"/>
              <w:right w:val="single" w:sz="4" w:space="0" w:color="auto"/>
            </w:tcBorders>
            <w:shd w:val="clear" w:color="000000" w:fill="FFFFFF"/>
            <w:hideMark/>
          </w:tcPr>
          <w:p w14:paraId="4CCFDBA6"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0.02 [-0.02, 0.06]</w:t>
            </w:r>
          </w:p>
        </w:tc>
      </w:tr>
      <w:tr w:rsidR="00986EC1" w:rsidRPr="00986EC1" w14:paraId="7F666207" w14:textId="77777777" w:rsidTr="005917C2">
        <w:trPr>
          <w:trHeight w:val="259"/>
        </w:trPr>
        <w:tc>
          <w:tcPr>
            <w:tcW w:w="739" w:type="pct"/>
            <w:tcBorders>
              <w:top w:val="single" w:sz="4" w:space="0" w:color="auto"/>
              <w:left w:val="single" w:sz="4" w:space="0" w:color="auto"/>
              <w:bottom w:val="single" w:sz="4" w:space="0" w:color="auto"/>
              <w:right w:val="single" w:sz="4" w:space="0" w:color="auto"/>
            </w:tcBorders>
            <w:shd w:val="clear" w:color="auto" w:fill="auto"/>
          </w:tcPr>
          <w:p w14:paraId="3B2AD7C5" w14:textId="77777777" w:rsidR="00986EC1" w:rsidRPr="00986EC1" w:rsidRDefault="00986EC1" w:rsidP="00986EC1">
            <w:pPr>
              <w:keepNext/>
              <w:rPr>
                <w:rFonts w:ascii="Arial Narrow" w:eastAsia="SimSun" w:hAnsi="Arial Narrow"/>
                <w:b/>
                <w:sz w:val="20"/>
                <w:szCs w:val="24"/>
                <w:lang w:val="en-US"/>
              </w:rPr>
            </w:pPr>
            <w:r w:rsidRPr="00986EC1">
              <w:rPr>
                <w:rFonts w:ascii="Arial Narrow" w:eastAsia="SimSun" w:hAnsi="Arial Narrow"/>
                <w:b/>
                <w:sz w:val="20"/>
                <w:szCs w:val="24"/>
                <w:lang w:val="en-US"/>
              </w:rPr>
              <w:t>Pooled</w:t>
            </w:r>
          </w:p>
        </w:tc>
        <w:tc>
          <w:tcPr>
            <w:tcW w:w="745" w:type="pct"/>
            <w:tcBorders>
              <w:top w:val="single" w:sz="4" w:space="0" w:color="auto"/>
              <w:left w:val="nil"/>
              <w:bottom w:val="single" w:sz="4" w:space="0" w:color="auto"/>
              <w:right w:val="single" w:sz="4" w:space="0" w:color="auto"/>
            </w:tcBorders>
            <w:shd w:val="clear" w:color="auto" w:fill="auto"/>
          </w:tcPr>
          <w:p w14:paraId="75A4632D" w14:textId="77777777" w:rsidR="00986EC1" w:rsidRPr="00986EC1" w:rsidRDefault="00986EC1" w:rsidP="00986EC1">
            <w:pPr>
              <w:keepNext/>
              <w:rPr>
                <w:rFonts w:ascii="Arial Narrow" w:eastAsia="SimSun" w:hAnsi="Arial Narrow"/>
                <w:bCs/>
                <w:sz w:val="20"/>
                <w:szCs w:val="24"/>
                <w:lang w:val="en-US"/>
              </w:rPr>
            </w:pPr>
            <w:r w:rsidRPr="00986EC1">
              <w:rPr>
                <w:rFonts w:ascii="Arial Narrow" w:eastAsia="SimSun" w:hAnsi="Arial Narrow"/>
                <w:bCs/>
                <w:sz w:val="20"/>
                <w:szCs w:val="24"/>
                <w:lang w:val="en-US"/>
              </w:rPr>
              <w:t>6/181 (3.31%)</w:t>
            </w:r>
          </w:p>
        </w:tc>
        <w:tc>
          <w:tcPr>
            <w:tcW w:w="802" w:type="pct"/>
            <w:tcBorders>
              <w:top w:val="single" w:sz="4" w:space="0" w:color="auto"/>
              <w:left w:val="nil"/>
              <w:bottom w:val="single" w:sz="4" w:space="0" w:color="auto"/>
              <w:right w:val="single" w:sz="4" w:space="0" w:color="auto"/>
            </w:tcBorders>
            <w:shd w:val="clear" w:color="auto" w:fill="auto"/>
          </w:tcPr>
          <w:p w14:paraId="3E7DA18B" w14:textId="77777777" w:rsidR="00986EC1" w:rsidRPr="00986EC1" w:rsidRDefault="00986EC1" w:rsidP="00986EC1">
            <w:pPr>
              <w:keepNext/>
              <w:rPr>
                <w:rFonts w:ascii="Arial Narrow" w:eastAsia="SimSun" w:hAnsi="Arial Narrow"/>
                <w:bCs/>
                <w:sz w:val="20"/>
                <w:szCs w:val="24"/>
                <w:lang w:val="en-US"/>
              </w:rPr>
            </w:pPr>
            <w:r w:rsidRPr="00986EC1">
              <w:rPr>
                <w:rFonts w:ascii="Arial Narrow" w:eastAsia="SimSun" w:hAnsi="Arial Narrow"/>
                <w:bCs/>
                <w:sz w:val="20"/>
                <w:szCs w:val="24"/>
                <w:lang w:val="en-US"/>
              </w:rPr>
              <w:t>0/192 (0.00%)</w:t>
            </w:r>
          </w:p>
        </w:tc>
        <w:tc>
          <w:tcPr>
            <w:tcW w:w="935" w:type="pct"/>
            <w:tcBorders>
              <w:top w:val="single" w:sz="4" w:space="0" w:color="auto"/>
              <w:left w:val="nil"/>
              <w:bottom w:val="single" w:sz="4" w:space="0" w:color="auto"/>
              <w:right w:val="single" w:sz="4" w:space="0" w:color="auto"/>
            </w:tcBorders>
            <w:shd w:val="clear" w:color="000000" w:fill="FFFFFF"/>
          </w:tcPr>
          <w:p w14:paraId="74AB366C" w14:textId="77777777" w:rsidR="00986EC1" w:rsidRPr="00986EC1" w:rsidRDefault="00986EC1" w:rsidP="00986EC1">
            <w:pPr>
              <w:keepNext/>
              <w:rPr>
                <w:rFonts w:ascii="Arial Narrow" w:eastAsia="SimSun" w:hAnsi="Arial Narrow"/>
                <w:bCs/>
                <w:sz w:val="20"/>
                <w:szCs w:val="24"/>
                <w:lang w:val="en-US"/>
              </w:rPr>
            </w:pPr>
            <w:r w:rsidRPr="00986EC1">
              <w:rPr>
                <w:rFonts w:ascii="Arial Narrow" w:eastAsia="SimSun" w:hAnsi="Arial Narrow"/>
                <w:bCs/>
                <w:sz w:val="20"/>
                <w:szCs w:val="24"/>
                <w:lang w:val="en-US"/>
              </w:rPr>
              <w:t>4.25 [0.87, 20.69], p=0.07</w:t>
            </w:r>
          </w:p>
        </w:tc>
        <w:tc>
          <w:tcPr>
            <w:tcW w:w="893" w:type="pct"/>
            <w:tcBorders>
              <w:top w:val="single" w:sz="4" w:space="0" w:color="auto"/>
              <w:left w:val="nil"/>
              <w:bottom w:val="single" w:sz="4" w:space="0" w:color="auto"/>
              <w:right w:val="single" w:sz="4" w:space="0" w:color="auto"/>
            </w:tcBorders>
            <w:shd w:val="clear" w:color="000000" w:fill="FFFFFF"/>
          </w:tcPr>
          <w:p w14:paraId="6753C0C6" w14:textId="77777777" w:rsidR="00986EC1" w:rsidRPr="00986EC1" w:rsidRDefault="00986EC1" w:rsidP="00986EC1">
            <w:pPr>
              <w:keepNext/>
              <w:rPr>
                <w:rFonts w:ascii="Arial Narrow" w:eastAsia="SimSun" w:hAnsi="Arial Narrow"/>
                <w:bCs/>
                <w:sz w:val="20"/>
                <w:szCs w:val="24"/>
                <w:lang w:val="en-US"/>
              </w:rPr>
            </w:pPr>
            <w:r w:rsidRPr="00986EC1">
              <w:rPr>
                <w:rFonts w:ascii="Arial Narrow" w:eastAsia="SimSun" w:hAnsi="Arial Narrow"/>
                <w:bCs/>
                <w:sz w:val="20"/>
                <w:szCs w:val="24"/>
                <w:lang w:val="en-US"/>
              </w:rPr>
              <w:t>4.09 [0.87, 19.34], p=0.0</w:t>
            </w:r>
            <w:r w:rsidRPr="00986EC1">
              <w:rPr>
                <w:rFonts w:ascii="Arial Narrow" w:eastAsia="SimSun" w:hAnsi="Arial Narrow"/>
                <w:sz w:val="20"/>
                <w:szCs w:val="24"/>
                <w:lang w:val="en-US"/>
              </w:rPr>
              <w:t>8</w:t>
            </w:r>
          </w:p>
        </w:tc>
        <w:tc>
          <w:tcPr>
            <w:tcW w:w="886" w:type="pct"/>
            <w:tcBorders>
              <w:top w:val="single" w:sz="4" w:space="0" w:color="auto"/>
              <w:left w:val="nil"/>
              <w:bottom w:val="single" w:sz="4" w:space="0" w:color="auto"/>
              <w:right w:val="single" w:sz="4" w:space="0" w:color="auto"/>
            </w:tcBorders>
            <w:shd w:val="clear" w:color="000000" w:fill="FFFFFF"/>
          </w:tcPr>
          <w:p w14:paraId="1317495E" w14:textId="77777777" w:rsidR="00986EC1" w:rsidRPr="00986EC1" w:rsidRDefault="00986EC1" w:rsidP="00986EC1">
            <w:pPr>
              <w:keepNext/>
              <w:rPr>
                <w:rFonts w:ascii="Arial Narrow" w:eastAsia="SimSun" w:hAnsi="Arial Narrow"/>
                <w:b/>
                <w:sz w:val="20"/>
                <w:szCs w:val="24"/>
                <w:lang w:val="en-US"/>
              </w:rPr>
            </w:pPr>
            <w:r w:rsidRPr="00986EC1">
              <w:rPr>
                <w:rFonts w:ascii="Arial Narrow" w:eastAsia="SimSun" w:hAnsi="Arial Narrow"/>
                <w:b/>
                <w:sz w:val="20"/>
                <w:szCs w:val="24"/>
                <w:lang w:val="en-US"/>
              </w:rPr>
              <w:t>0.03 [-0.00, 0.06], p=0.05</w:t>
            </w:r>
          </w:p>
        </w:tc>
      </w:tr>
    </w:tbl>
    <w:p w14:paraId="15CBA04E" w14:textId="234C099F" w:rsidR="00986EC1" w:rsidRDefault="00986EC1" w:rsidP="00B23D55">
      <w:pPr>
        <w:pStyle w:val="Tablenotes1"/>
      </w:pPr>
      <w:r w:rsidRPr="00986EC1">
        <w:t xml:space="preserve">CI, confidence interval; IDS, interspinous decompression spacer; OR, odds ratio; RD, risk difference; RR, relative risk, </w:t>
      </w:r>
      <w:r w:rsidRPr="00986EC1">
        <w:rPr>
          <w:b/>
          <w:bCs/>
        </w:rPr>
        <w:t xml:space="preserve">bold </w:t>
      </w:r>
      <w:r w:rsidRPr="00986EC1">
        <w:t>= statistically significant.</w:t>
      </w:r>
    </w:p>
    <w:p w14:paraId="3719F094" w14:textId="60E68DF5" w:rsidR="000236D4" w:rsidRPr="00986EC1" w:rsidRDefault="000236D4" w:rsidP="00B23D55">
      <w:pPr>
        <w:pStyle w:val="Tablenotes1"/>
      </w:pPr>
      <w:r>
        <w:t>Source: Commentary, Table 5</w:t>
      </w:r>
    </w:p>
    <w:p w14:paraId="64B1C91C" w14:textId="77777777" w:rsidR="00986EC1" w:rsidRPr="00986EC1" w:rsidRDefault="00986EC1" w:rsidP="000236D4">
      <w:pPr>
        <w:spacing w:before="120" w:after="160" w:line="259" w:lineRule="auto"/>
        <w:rPr>
          <w:rFonts w:ascii="Franklin Gothic Medium" w:eastAsia="SimSun" w:hAnsi="Franklin Gothic Medium"/>
          <w:i/>
          <w:szCs w:val="24"/>
          <w:lang w:eastAsia="en-US"/>
        </w:rPr>
      </w:pPr>
      <w:r w:rsidRPr="00986EC1">
        <w:rPr>
          <w:rFonts w:ascii="Franklin Gothic Medium" w:eastAsia="SimSun" w:hAnsi="Franklin Gothic Medium"/>
          <w:i/>
          <w:szCs w:val="24"/>
          <w:lang w:eastAsia="en-US"/>
        </w:rPr>
        <w:t>Procedural complications</w:t>
      </w:r>
    </w:p>
    <w:p w14:paraId="137D2DC9"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Procedural complications include spinous process fractures reported during device placement and/or in the immediate post-operative period. There was a lower rate of complications in patients treated with IDS (4.42%) compared with surgical decompression (8.33%) (RD [95% CI] -0.03 [-0.08, 0.01], p=0.15). Where spinous process fractures are excluded, the difference becomes significant, favouring IDS (-0.07 [-0.12, -0.03], p=0.002).</w:t>
      </w:r>
    </w:p>
    <w:p w14:paraId="4452401A" w14:textId="1EEB54F6" w:rsidR="00986EC1" w:rsidRPr="00986EC1" w:rsidRDefault="00986EC1" w:rsidP="00986EC1">
      <w:pPr>
        <w:keepNext/>
        <w:spacing w:before="360" w:after="120"/>
        <w:ind w:left="794" w:hanging="794"/>
        <w:rPr>
          <w:rFonts w:ascii="Arial Narrow" w:hAnsi="Arial Narrow"/>
          <w:b/>
          <w:bCs/>
          <w:sz w:val="20"/>
          <w:lang w:eastAsia="en-US"/>
        </w:rPr>
      </w:pPr>
      <w:bookmarkStart w:id="36" w:name="_Ref72853355"/>
      <w:bookmarkStart w:id="37" w:name="_Toc72940094"/>
      <w:bookmarkStart w:id="38" w:name="_Toc73546364"/>
      <w:bookmarkStart w:id="39" w:name="_Toc79654916"/>
      <w:r w:rsidRPr="00986EC1">
        <w:rPr>
          <w:rFonts w:ascii="Arial Narrow" w:hAnsi="Arial Narrow"/>
          <w:b/>
          <w:bCs/>
          <w:sz w:val="20"/>
          <w:lang w:eastAsia="en-US"/>
        </w:rPr>
        <w:t xml:space="preserve">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6</w:t>
      </w:r>
      <w:r w:rsidRPr="00986EC1">
        <w:rPr>
          <w:rFonts w:ascii="Arial Narrow" w:hAnsi="Arial Narrow"/>
          <w:b/>
          <w:bCs/>
          <w:noProof/>
          <w:sz w:val="20"/>
          <w:lang w:eastAsia="en-US"/>
        </w:rPr>
        <w:fldChar w:fldCharType="end"/>
      </w:r>
      <w:bookmarkEnd w:id="36"/>
      <w:r w:rsidRPr="00986EC1">
        <w:rPr>
          <w:rFonts w:ascii="Arial Narrow" w:hAnsi="Arial Narrow"/>
          <w:b/>
          <w:bCs/>
          <w:sz w:val="20"/>
          <w:lang w:eastAsia="en-US"/>
        </w:rPr>
        <w:tab/>
        <w:t>Rate of complications in RCTs of IDS versus decompression</w:t>
      </w:r>
      <w:bookmarkEnd w:id="37"/>
      <w:bookmarkEnd w:id="38"/>
      <w:bookmarkEnd w:id="39"/>
    </w:p>
    <w:tbl>
      <w:tblPr>
        <w:tblStyle w:val="OPTUMTableNormal"/>
        <w:tblW w:w="0" w:type="auto"/>
        <w:tblLook w:val="04A0" w:firstRow="1" w:lastRow="0" w:firstColumn="1" w:lastColumn="0" w:noHBand="0" w:noVBand="1"/>
      </w:tblPr>
      <w:tblGrid>
        <w:gridCol w:w="1270"/>
        <w:gridCol w:w="1274"/>
        <w:gridCol w:w="1447"/>
        <w:gridCol w:w="1675"/>
        <w:gridCol w:w="1675"/>
        <w:gridCol w:w="1675"/>
      </w:tblGrid>
      <w:tr w:rsidR="00986EC1" w:rsidRPr="00986EC1" w14:paraId="1A314B9E" w14:textId="77777777" w:rsidTr="00A825FE">
        <w:trPr>
          <w:cnfStyle w:val="100000000000" w:firstRow="1" w:lastRow="0" w:firstColumn="0" w:lastColumn="0" w:oddVBand="0" w:evenVBand="0" w:oddHBand="0" w:evenHBand="0" w:firstRowFirstColumn="0" w:firstRowLastColumn="0" w:lastRowFirstColumn="0" w:lastRowLastColumn="0"/>
          <w:trHeight w:val="259"/>
          <w:tblHeader/>
        </w:trPr>
        <w:tc>
          <w:tcPr>
            <w:tcW w:w="1270" w:type="dxa"/>
            <w:vMerge w:val="restart"/>
            <w:hideMark/>
          </w:tcPr>
          <w:p w14:paraId="2271F53F"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Trial ID</w:t>
            </w:r>
          </w:p>
        </w:tc>
        <w:tc>
          <w:tcPr>
            <w:tcW w:w="1274" w:type="dxa"/>
            <w:hideMark/>
          </w:tcPr>
          <w:p w14:paraId="08DA3686"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IDS</w:t>
            </w:r>
          </w:p>
        </w:tc>
        <w:tc>
          <w:tcPr>
            <w:tcW w:w="1447" w:type="dxa"/>
            <w:hideMark/>
          </w:tcPr>
          <w:p w14:paraId="366A74D8"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Decompression</w:t>
            </w:r>
          </w:p>
        </w:tc>
        <w:tc>
          <w:tcPr>
            <w:tcW w:w="1675" w:type="dxa"/>
            <w:vMerge w:val="restart"/>
            <w:hideMark/>
          </w:tcPr>
          <w:p w14:paraId="2D1144DB"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OR [95% CI]</w:t>
            </w:r>
          </w:p>
          <w:p w14:paraId="0A8B5CDB"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&lt; 1 favours IDS</w:t>
            </w:r>
          </w:p>
        </w:tc>
        <w:tc>
          <w:tcPr>
            <w:tcW w:w="1675" w:type="dxa"/>
            <w:vMerge w:val="restart"/>
            <w:hideMark/>
          </w:tcPr>
          <w:p w14:paraId="1F75E220"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RR [95% CI]</w:t>
            </w:r>
          </w:p>
          <w:p w14:paraId="0870B1AE"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&lt; 1 favours IDS</w:t>
            </w:r>
          </w:p>
        </w:tc>
        <w:tc>
          <w:tcPr>
            <w:tcW w:w="1675" w:type="dxa"/>
            <w:vMerge w:val="restart"/>
            <w:hideMark/>
          </w:tcPr>
          <w:p w14:paraId="665D21B2"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RD [95% CI]</w:t>
            </w:r>
          </w:p>
          <w:p w14:paraId="1DE2A06E"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&lt; 0 favours IDS</w:t>
            </w:r>
          </w:p>
        </w:tc>
      </w:tr>
      <w:tr w:rsidR="00986EC1" w:rsidRPr="00986EC1" w14:paraId="552E5109" w14:textId="77777777" w:rsidTr="00A825FE">
        <w:trPr>
          <w:cnfStyle w:val="100000000000" w:firstRow="1" w:lastRow="0" w:firstColumn="0" w:lastColumn="0" w:oddVBand="0" w:evenVBand="0" w:oddHBand="0" w:evenHBand="0" w:firstRowFirstColumn="0" w:firstRowLastColumn="0" w:lastRowFirstColumn="0" w:lastRowLastColumn="0"/>
          <w:trHeight w:val="259"/>
          <w:tblHeader/>
        </w:trPr>
        <w:tc>
          <w:tcPr>
            <w:tcW w:w="1270" w:type="dxa"/>
            <w:vMerge/>
            <w:hideMark/>
          </w:tcPr>
          <w:p w14:paraId="702EB3F4" w14:textId="77777777" w:rsidR="00986EC1" w:rsidRPr="00986EC1" w:rsidRDefault="00986EC1" w:rsidP="00986EC1">
            <w:pPr>
              <w:spacing w:after="40"/>
              <w:jc w:val="both"/>
              <w:rPr>
                <w:rFonts w:ascii="Arial Narrow" w:hAnsi="Arial Narrow" w:cs="Tahoma"/>
                <w:b/>
                <w:bCs/>
                <w:sz w:val="20"/>
              </w:rPr>
            </w:pPr>
          </w:p>
        </w:tc>
        <w:tc>
          <w:tcPr>
            <w:tcW w:w="1274" w:type="dxa"/>
            <w:hideMark/>
          </w:tcPr>
          <w:p w14:paraId="4ABA8363"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n /N (%)</w:t>
            </w:r>
          </w:p>
        </w:tc>
        <w:tc>
          <w:tcPr>
            <w:tcW w:w="1447" w:type="dxa"/>
            <w:hideMark/>
          </w:tcPr>
          <w:p w14:paraId="704F4E98"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n /N (%)</w:t>
            </w:r>
          </w:p>
        </w:tc>
        <w:tc>
          <w:tcPr>
            <w:tcW w:w="1675" w:type="dxa"/>
            <w:vMerge/>
            <w:hideMark/>
          </w:tcPr>
          <w:p w14:paraId="2D87110F" w14:textId="77777777" w:rsidR="00986EC1" w:rsidRPr="00986EC1" w:rsidRDefault="00986EC1" w:rsidP="00986EC1">
            <w:pPr>
              <w:spacing w:after="40"/>
              <w:jc w:val="both"/>
              <w:rPr>
                <w:rFonts w:ascii="Arial Narrow" w:hAnsi="Arial Narrow" w:cs="Tahoma"/>
                <w:sz w:val="20"/>
              </w:rPr>
            </w:pPr>
          </w:p>
        </w:tc>
        <w:tc>
          <w:tcPr>
            <w:tcW w:w="1675" w:type="dxa"/>
            <w:vMerge/>
            <w:hideMark/>
          </w:tcPr>
          <w:p w14:paraId="31A63F65" w14:textId="77777777" w:rsidR="00986EC1" w:rsidRPr="00986EC1" w:rsidRDefault="00986EC1" w:rsidP="00986EC1">
            <w:pPr>
              <w:spacing w:after="40"/>
              <w:jc w:val="both"/>
              <w:rPr>
                <w:rFonts w:ascii="Arial Narrow" w:hAnsi="Arial Narrow" w:cs="Tahoma"/>
                <w:sz w:val="20"/>
              </w:rPr>
            </w:pPr>
          </w:p>
        </w:tc>
        <w:tc>
          <w:tcPr>
            <w:tcW w:w="1675" w:type="dxa"/>
            <w:vMerge/>
            <w:hideMark/>
          </w:tcPr>
          <w:p w14:paraId="51DAE274" w14:textId="77777777" w:rsidR="00986EC1" w:rsidRPr="00986EC1" w:rsidRDefault="00986EC1" w:rsidP="00986EC1">
            <w:pPr>
              <w:spacing w:after="40"/>
              <w:jc w:val="both"/>
              <w:rPr>
                <w:rFonts w:ascii="Arial Narrow" w:hAnsi="Arial Narrow" w:cs="Tahoma"/>
                <w:sz w:val="20"/>
              </w:rPr>
            </w:pPr>
          </w:p>
        </w:tc>
      </w:tr>
      <w:tr w:rsidR="00986EC1" w:rsidRPr="00986EC1" w14:paraId="5CE8C638" w14:textId="77777777" w:rsidTr="00A825FE">
        <w:trPr>
          <w:trHeight w:val="259"/>
        </w:trPr>
        <w:tc>
          <w:tcPr>
            <w:tcW w:w="1270" w:type="dxa"/>
            <w:hideMark/>
          </w:tcPr>
          <w:p w14:paraId="6CE79863"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CELAX</w:t>
            </w:r>
          </w:p>
        </w:tc>
        <w:tc>
          <w:tcPr>
            <w:tcW w:w="1274" w:type="dxa"/>
            <w:hideMark/>
          </w:tcPr>
          <w:p w14:paraId="0BCE112B"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2/21 (9.52%)</w:t>
            </w:r>
          </w:p>
        </w:tc>
        <w:tc>
          <w:tcPr>
            <w:tcW w:w="1447" w:type="dxa"/>
            <w:hideMark/>
          </w:tcPr>
          <w:p w14:paraId="7B755431"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5/26 (19.23%)</w:t>
            </w:r>
          </w:p>
        </w:tc>
        <w:tc>
          <w:tcPr>
            <w:tcW w:w="1675" w:type="dxa"/>
            <w:hideMark/>
          </w:tcPr>
          <w:p w14:paraId="5F2BD722"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0.44 [0.08, 2.55]</w:t>
            </w:r>
          </w:p>
        </w:tc>
        <w:tc>
          <w:tcPr>
            <w:tcW w:w="1675" w:type="dxa"/>
            <w:hideMark/>
          </w:tcPr>
          <w:p w14:paraId="2FE90C98"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0.50 [0.11, 2.30]</w:t>
            </w:r>
          </w:p>
        </w:tc>
        <w:tc>
          <w:tcPr>
            <w:tcW w:w="1675" w:type="dxa"/>
            <w:hideMark/>
          </w:tcPr>
          <w:p w14:paraId="1A94E383"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-0.10 [-0.30, 0.11]</w:t>
            </w:r>
          </w:p>
        </w:tc>
      </w:tr>
      <w:tr w:rsidR="00986EC1" w:rsidRPr="00986EC1" w14:paraId="362DF219" w14:textId="77777777" w:rsidTr="00A825FE">
        <w:trPr>
          <w:trHeight w:val="259"/>
        </w:trPr>
        <w:tc>
          <w:tcPr>
            <w:tcW w:w="1270" w:type="dxa"/>
            <w:hideMark/>
          </w:tcPr>
          <w:p w14:paraId="690943EF"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Lønne (2015)</w:t>
            </w:r>
          </w:p>
        </w:tc>
        <w:tc>
          <w:tcPr>
            <w:tcW w:w="1274" w:type="dxa"/>
            <w:hideMark/>
          </w:tcPr>
          <w:p w14:paraId="23800FC0"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1/40 (2.50%)</w:t>
            </w:r>
          </w:p>
        </w:tc>
        <w:tc>
          <w:tcPr>
            <w:tcW w:w="1447" w:type="dxa"/>
            <w:hideMark/>
          </w:tcPr>
          <w:p w14:paraId="02E9101F"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2/41 (4.88%)</w:t>
            </w:r>
            <w:r w:rsidRPr="00986EC1">
              <w:rPr>
                <w:rFonts w:ascii="Arial Narrow" w:hAnsi="Arial Narrow" w:cs="Tahoma"/>
                <w:sz w:val="20"/>
                <w:vertAlign w:val="superscript"/>
              </w:rPr>
              <w:t>a</w:t>
            </w:r>
          </w:p>
        </w:tc>
        <w:tc>
          <w:tcPr>
            <w:tcW w:w="1675" w:type="dxa"/>
            <w:hideMark/>
          </w:tcPr>
          <w:p w14:paraId="421C20CC"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0.50 [0.04, 5.74]</w:t>
            </w:r>
          </w:p>
        </w:tc>
        <w:tc>
          <w:tcPr>
            <w:tcW w:w="1675" w:type="dxa"/>
            <w:hideMark/>
          </w:tcPr>
          <w:p w14:paraId="4C22FA0B"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0.51 [0.05, 5.43]</w:t>
            </w:r>
          </w:p>
        </w:tc>
        <w:tc>
          <w:tcPr>
            <w:tcW w:w="1675" w:type="dxa"/>
            <w:hideMark/>
          </w:tcPr>
          <w:p w14:paraId="74DF50DC"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-0.02 [-0.11, 0.06]</w:t>
            </w:r>
          </w:p>
        </w:tc>
      </w:tr>
      <w:tr w:rsidR="00986EC1" w:rsidRPr="00986EC1" w14:paraId="774CE0CA" w14:textId="77777777" w:rsidTr="00A825FE">
        <w:trPr>
          <w:trHeight w:val="259"/>
        </w:trPr>
        <w:tc>
          <w:tcPr>
            <w:tcW w:w="1270" w:type="dxa"/>
            <w:hideMark/>
          </w:tcPr>
          <w:p w14:paraId="1BAD6B65"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FELIX</w:t>
            </w:r>
          </w:p>
        </w:tc>
        <w:tc>
          <w:tcPr>
            <w:tcW w:w="1274" w:type="dxa"/>
            <w:hideMark/>
          </w:tcPr>
          <w:p w14:paraId="66FDD203"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4/70 (5.71%)</w:t>
            </w:r>
            <w:r w:rsidRPr="00986EC1">
              <w:rPr>
                <w:rFonts w:ascii="Arial Narrow" w:hAnsi="Arial Narrow" w:cs="Tahoma"/>
                <w:sz w:val="20"/>
                <w:vertAlign w:val="superscript"/>
              </w:rPr>
              <w:t>b</w:t>
            </w:r>
          </w:p>
        </w:tc>
        <w:tc>
          <w:tcPr>
            <w:tcW w:w="1447" w:type="dxa"/>
            <w:hideMark/>
          </w:tcPr>
          <w:p w14:paraId="326EB281"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6/75 (8.00%)</w:t>
            </w:r>
          </w:p>
        </w:tc>
        <w:tc>
          <w:tcPr>
            <w:tcW w:w="1675" w:type="dxa"/>
            <w:hideMark/>
          </w:tcPr>
          <w:p w14:paraId="5BC2CA8A"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0.70 [0.19, 2.58]</w:t>
            </w:r>
          </w:p>
        </w:tc>
        <w:tc>
          <w:tcPr>
            <w:tcW w:w="1675" w:type="dxa"/>
            <w:hideMark/>
          </w:tcPr>
          <w:p w14:paraId="5AE0FB81"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0.71 [0.21, 2.43]</w:t>
            </w:r>
          </w:p>
        </w:tc>
        <w:tc>
          <w:tcPr>
            <w:tcW w:w="1675" w:type="dxa"/>
            <w:hideMark/>
          </w:tcPr>
          <w:p w14:paraId="041D68DF"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-0.02 [-0.11, 0.06]</w:t>
            </w:r>
          </w:p>
        </w:tc>
      </w:tr>
      <w:tr w:rsidR="00986EC1" w:rsidRPr="00986EC1" w14:paraId="709D78B8" w14:textId="77777777" w:rsidTr="00A825FE">
        <w:trPr>
          <w:trHeight w:val="259"/>
        </w:trPr>
        <w:tc>
          <w:tcPr>
            <w:tcW w:w="1270" w:type="dxa"/>
            <w:hideMark/>
          </w:tcPr>
          <w:p w14:paraId="5B58A4E9"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Strömqvist (2013)</w:t>
            </w:r>
          </w:p>
        </w:tc>
        <w:tc>
          <w:tcPr>
            <w:tcW w:w="1274" w:type="dxa"/>
            <w:hideMark/>
          </w:tcPr>
          <w:p w14:paraId="72BB5E7A"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1/50 (2.00%)</w:t>
            </w:r>
          </w:p>
        </w:tc>
        <w:tc>
          <w:tcPr>
            <w:tcW w:w="1447" w:type="dxa"/>
            <w:hideMark/>
          </w:tcPr>
          <w:p w14:paraId="19245460"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3/50 (6.00%)</w:t>
            </w:r>
          </w:p>
        </w:tc>
        <w:tc>
          <w:tcPr>
            <w:tcW w:w="1675" w:type="dxa"/>
            <w:hideMark/>
          </w:tcPr>
          <w:p w14:paraId="21C5A9A3"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0.32 [0.03, 3.18]</w:t>
            </w:r>
          </w:p>
        </w:tc>
        <w:tc>
          <w:tcPr>
            <w:tcW w:w="1675" w:type="dxa"/>
            <w:hideMark/>
          </w:tcPr>
          <w:p w14:paraId="3709A5FC"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0.33 [0.04, 3.10]</w:t>
            </w:r>
          </w:p>
        </w:tc>
        <w:tc>
          <w:tcPr>
            <w:tcW w:w="1675" w:type="dxa"/>
            <w:hideMark/>
          </w:tcPr>
          <w:p w14:paraId="0831913D"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-0.04 [-0.12, 0.04]</w:t>
            </w:r>
          </w:p>
        </w:tc>
      </w:tr>
      <w:tr w:rsidR="00986EC1" w:rsidRPr="00986EC1" w14:paraId="4C699014" w14:textId="77777777" w:rsidTr="00A825FE">
        <w:trPr>
          <w:trHeight w:val="259"/>
        </w:trPr>
        <w:tc>
          <w:tcPr>
            <w:tcW w:w="1270" w:type="dxa"/>
          </w:tcPr>
          <w:p w14:paraId="642D2773" w14:textId="77777777" w:rsidR="00986EC1" w:rsidRPr="00986EC1" w:rsidRDefault="00986EC1" w:rsidP="00986EC1">
            <w:pPr>
              <w:keepNext/>
              <w:rPr>
                <w:rFonts w:ascii="Arial Narrow" w:eastAsia="SimSun" w:hAnsi="Arial Narrow"/>
                <w:b/>
                <w:sz w:val="20"/>
                <w:szCs w:val="24"/>
                <w:lang w:val="en-US"/>
              </w:rPr>
            </w:pPr>
            <w:r w:rsidRPr="00986EC1">
              <w:rPr>
                <w:rFonts w:ascii="Arial Narrow" w:eastAsia="SimSun" w:hAnsi="Arial Narrow"/>
                <w:b/>
                <w:sz w:val="20"/>
                <w:szCs w:val="24"/>
                <w:lang w:val="en-US"/>
              </w:rPr>
              <w:t>Pooled</w:t>
            </w:r>
          </w:p>
        </w:tc>
        <w:tc>
          <w:tcPr>
            <w:tcW w:w="1274" w:type="dxa"/>
          </w:tcPr>
          <w:p w14:paraId="334F4351" w14:textId="77777777" w:rsidR="00986EC1" w:rsidRPr="00986EC1" w:rsidRDefault="00986EC1" w:rsidP="00986EC1">
            <w:pPr>
              <w:keepNext/>
              <w:rPr>
                <w:rFonts w:ascii="Arial Narrow" w:eastAsia="SimSun" w:hAnsi="Arial Narrow"/>
                <w:bCs/>
                <w:sz w:val="20"/>
                <w:szCs w:val="24"/>
                <w:lang w:val="en-US"/>
              </w:rPr>
            </w:pPr>
            <w:r w:rsidRPr="00986EC1">
              <w:rPr>
                <w:rFonts w:ascii="Arial Narrow" w:eastAsia="SimSun" w:hAnsi="Arial Narrow"/>
                <w:bCs/>
                <w:sz w:val="20"/>
                <w:szCs w:val="24"/>
                <w:lang w:val="en-US"/>
              </w:rPr>
              <w:t>8/181 (4.42%)</w:t>
            </w:r>
          </w:p>
        </w:tc>
        <w:tc>
          <w:tcPr>
            <w:tcW w:w="1447" w:type="dxa"/>
          </w:tcPr>
          <w:p w14:paraId="02D63A6B" w14:textId="77777777" w:rsidR="00986EC1" w:rsidRPr="00986EC1" w:rsidRDefault="00986EC1" w:rsidP="00986EC1">
            <w:pPr>
              <w:keepNext/>
              <w:rPr>
                <w:rFonts w:ascii="Arial Narrow" w:eastAsia="SimSun" w:hAnsi="Arial Narrow"/>
                <w:bCs/>
                <w:sz w:val="20"/>
                <w:szCs w:val="24"/>
                <w:lang w:val="en-US"/>
              </w:rPr>
            </w:pPr>
            <w:r w:rsidRPr="00986EC1">
              <w:rPr>
                <w:rFonts w:ascii="Arial Narrow" w:eastAsia="SimSun" w:hAnsi="Arial Narrow"/>
                <w:bCs/>
                <w:sz w:val="20"/>
                <w:szCs w:val="24"/>
                <w:lang w:val="en-US"/>
              </w:rPr>
              <w:t>16/192 (8.33%)</w:t>
            </w:r>
          </w:p>
        </w:tc>
        <w:tc>
          <w:tcPr>
            <w:tcW w:w="1675" w:type="dxa"/>
          </w:tcPr>
          <w:p w14:paraId="6F8BD2FD" w14:textId="77777777" w:rsidR="00986EC1" w:rsidRPr="00986EC1" w:rsidRDefault="00986EC1" w:rsidP="00986EC1">
            <w:pPr>
              <w:keepNext/>
              <w:rPr>
                <w:rFonts w:ascii="Arial Narrow" w:eastAsia="SimSun" w:hAnsi="Arial Narrow"/>
                <w:bCs/>
                <w:sz w:val="20"/>
                <w:szCs w:val="24"/>
                <w:lang w:val="en-US"/>
              </w:rPr>
            </w:pPr>
            <w:r w:rsidRPr="00986EC1">
              <w:rPr>
                <w:rFonts w:ascii="Arial Narrow" w:eastAsia="SimSun" w:hAnsi="Arial Narrow"/>
                <w:bCs/>
                <w:sz w:val="20"/>
                <w:szCs w:val="24"/>
                <w:lang w:val="en-US"/>
              </w:rPr>
              <w:t>0.53 [0.22, 1.28], p=0.16</w:t>
            </w:r>
          </w:p>
        </w:tc>
        <w:tc>
          <w:tcPr>
            <w:tcW w:w="1675" w:type="dxa"/>
          </w:tcPr>
          <w:p w14:paraId="622A35FC" w14:textId="77777777" w:rsidR="00986EC1" w:rsidRPr="00986EC1" w:rsidRDefault="00986EC1" w:rsidP="00986EC1">
            <w:pPr>
              <w:keepNext/>
              <w:rPr>
                <w:rFonts w:ascii="Arial Narrow" w:eastAsia="SimSun" w:hAnsi="Arial Narrow"/>
                <w:bCs/>
                <w:sz w:val="20"/>
                <w:szCs w:val="24"/>
                <w:lang w:val="en-US"/>
              </w:rPr>
            </w:pPr>
            <w:r w:rsidRPr="00986EC1">
              <w:rPr>
                <w:rFonts w:ascii="Arial Narrow" w:eastAsia="SimSun" w:hAnsi="Arial Narrow"/>
                <w:bCs/>
                <w:sz w:val="20"/>
                <w:szCs w:val="24"/>
                <w:lang w:val="en-US"/>
              </w:rPr>
              <w:t>0.56 [0.24, 1.27], p=0.16</w:t>
            </w:r>
          </w:p>
        </w:tc>
        <w:tc>
          <w:tcPr>
            <w:tcW w:w="1675" w:type="dxa"/>
          </w:tcPr>
          <w:p w14:paraId="0866020E" w14:textId="77777777" w:rsidR="00986EC1" w:rsidRPr="00986EC1" w:rsidRDefault="00986EC1" w:rsidP="00986EC1">
            <w:pPr>
              <w:keepNext/>
              <w:rPr>
                <w:rFonts w:ascii="Arial Narrow" w:eastAsia="SimSun" w:hAnsi="Arial Narrow"/>
                <w:bCs/>
                <w:sz w:val="20"/>
                <w:szCs w:val="24"/>
                <w:lang w:val="en-US"/>
              </w:rPr>
            </w:pPr>
            <w:r w:rsidRPr="00986EC1">
              <w:rPr>
                <w:rFonts w:ascii="Arial Narrow" w:eastAsia="SimSun" w:hAnsi="Arial Narrow"/>
                <w:bCs/>
                <w:sz w:val="20"/>
                <w:szCs w:val="24"/>
                <w:lang w:val="en-US"/>
              </w:rPr>
              <w:t>-0.03 [-0.08, 0.01], p=0.15</w:t>
            </w:r>
          </w:p>
        </w:tc>
      </w:tr>
    </w:tbl>
    <w:p w14:paraId="08C92390" w14:textId="77777777" w:rsidR="00986EC1" w:rsidRPr="00986EC1" w:rsidRDefault="00986EC1" w:rsidP="00B23D55">
      <w:pPr>
        <w:pStyle w:val="Tablenotes1"/>
        <w:rPr>
          <w:rFonts w:eastAsia="Calibri"/>
        </w:rPr>
      </w:pPr>
      <w:r w:rsidRPr="00986EC1">
        <w:rPr>
          <w:rFonts w:eastAsia="Calibri"/>
        </w:rPr>
        <w:t>CI, confidence interval; IDS, interspinous decompression spacer; OR, odds ratio; RD, risk difference; RR, relative risk.</w:t>
      </w:r>
    </w:p>
    <w:p w14:paraId="27660C0D" w14:textId="77777777" w:rsidR="00986EC1" w:rsidRPr="00986EC1" w:rsidRDefault="00986EC1" w:rsidP="00B23D55">
      <w:pPr>
        <w:pStyle w:val="Tablenotes1"/>
        <w:rPr>
          <w:rFonts w:eastAsia="Calibri"/>
        </w:rPr>
      </w:pPr>
      <w:r w:rsidRPr="00986EC1">
        <w:rPr>
          <w:rFonts w:eastAsia="Calibri"/>
          <w:b/>
          <w:bCs/>
        </w:rPr>
        <w:t>a</w:t>
      </w:r>
      <w:r w:rsidRPr="00986EC1">
        <w:rPr>
          <w:rFonts w:eastAsia="Calibri"/>
        </w:rPr>
        <w:t xml:space="preserve"> This only include operative complications. There were an additional 3 haematomas observed postoperatively.</w:t>
      </w:r>
    </w:p>
    <w:p w14:paraId="10E9262B" w14:textId="07E0D2B1" w:rsidR="00986EC1" w:rsidRDefault="00986EC1" w:rsidP="00B23D55">
      <w:pPr>
        <w:pStyle w:val="Tablenotes1"/>
        <w:rPr>
          <w:rFonts w:eastAsia="Calibri"/>
        </w:rPr>
      </w:pPr>
      <w:r w:rsidRPr="00986EC1">
        <w:rPr>
          <w:rFonts w:eastAsia="Calibri"/>
          <w:b/>
          <w:bCs/>
        </w:rPr>
        <w:t>b</w:t>
      </w:r>
      <w:r w:rsidRPr="00986EC1">
        <w:rPr>
          <w:rFonts w:eastAsia="Calibri"/>
        </w:rPr>
        <w:t xml:space="preserve"> The study states 5 complications, but describes 4.</w:t>
      </w:r>
    </w:p>
    <w:p w14:paraId="56FF7444" w14:textId="4632B5F1" w:rsidR="000236D4" w:rsidRPr="00986EC1" w:rsidRDefault="000236D4" w:rsidP="00B23D55">
      <w:pPr>
        <w:pStyle w:val="Tablenotes1"/>
        <w:rPr>
          <w:rFonts w:eastAsia="Calibri"/>
        </w:rPr>
      </w:pPr>
      <w:r>
        <w:rPr>
          <w:rFonts w:eastAsia="Calibri"/>
        </w:rPr>
        <w:t>Source: Commentary, Table 6</w:t>
      </w:r>
    </w:p>
    <w:p w14:paraId="5B69F21F"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IDS arms were generally open surgery under general anaesthesia, which differs from the request for public funding; therefore, the applicability of these findings should be considered. A minimally invasive percutaneous approach may result in different rates of complications and different types of complications.</w:t>
      </w:r>
    </w:p>
    <w:p w14:paraId="0A7A7970" w14:textId="77777777" w:rsidR="00986EC1" w:rsidRPr="00986EC1" w:rsidRDefault="00986EC1" w:rsidP="00986EC1">
      <w:pPr>
        <w:keepNext/>
        <w:keepLines/>
        <w:tabs>
          <w:tab w:val="left" w:pos="851"/>
        </w:tabs>
        <w:spacing w:before="360" w:after="200"/>
        <w:outlineLvl w:val="3"/>
        <w:rPr>
          <w:rFonts w:ascii="Franklin Gothic Medium" w:eastAsia="SimSun" w:hAnsi="Franklin Gothic Medium"/>
          <w:i/>
          <w:szCs w:val="24"/>
          <w:lang w:eastAsia="en-US"/>
        </w:rPr>
      </w:pPr>
      <w:r w:rsidRPr="00986EC1">
        <w:rPr>
          <w:rFonts w:ascii="Franklin Gothic Medium" w:eastAsia="SimSun" w:hAnsi="Franklin Gothic Medium"/>
          <w:i/>
          <w:szCs w:val="24"/>
          <w:lang w:eastAsia="en-US"/>
        </w:rPr>
        <w:t>Summary</w:t>
      </w:r>
    </w:p>
    <w:p w14:paraId="17917FED"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Collectively, these data support a clinical conclusion of non-inferior safety for IDS compared to decompression surgery. These data support a clinical conclusion of at least non-inferior operative safety; however, no data have been presented to make any conclusions on long-term safety.</w:t>
      </w:r>
    </w:p>
    <w:p w14:paraId="43E57074"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Where reoperation rates are considered (presented in effectiveness), the data no longer support a claim of non-inferiority.</w:t>
      </w:r>
    </w:p>
    <w:p w14:paraId="5417E54F" w14:textId="77777777" w:rsidR="00986EC1" w:rsidRPr="00986EC1" w:rsidRDefault="00986EC1" w:rsidP="00986EC1">
      <w:pPr>
        <w:keepNext/>
        <w:keepLines/>
        <w:tabs>
          <w:tab w:val="left" w:pos="851"/>
        </w:tabs>
        <w:spacing w:before="360" w:after="200"/>
        <w:outlineLvl w:val="2"/>
        <w:rPr>
          <w:rFonts w:ascii="Franklin Gothic Medium" w:eastAsia="SimSun" w:hAnsi="Franklin Gothic Medium"/>
          <w:szCs w:val="24"/>
          <w:lang w:eastAsia="en-US"/>
        </w:rPr>
      </w:pPr>
      <w:r w:rsidRPr="00986EC1">
        <w:rPr>
          <w:rFonts w:ascii="Franklin Gothic Medium" w:eastAsia="SimSun" w:hAnsi="Franklin Gothic Medium"/>
          <w:szCs w:val="24"/>
          <w:lang w:eastAsia="en-US"/>
        </w:rPr>
        <w:t>IDS versus decompression plus fusion</w:t>
      </w:r>
    </w:p>
    <w:p w14:paraId="33C4F95E" w14:textId="77777777" w:rsidR="00986EC1" w:rsidRPr="00986EC1" w:rsidRDefault="00986EC1" w:rsidP="00986EC1">
      <w:pPr>
        <w:keepNext/>
        <w:keepLines/>
        <w:tabs>
          <w:tab w:val="left" w:pos="851"/>
        </w:tabs>
        <w:spacing w:before="360" w:after="200"/>
        <w:outlineLvl w:val="3"/>
        <w:rPr>
          <w:rFonts w:ascii="Franklin Gothic Medium" w:eastAsia="SimSun" w:hAnsi="Franklin Gothic Medium"/>
          <w:i/>
          <w:szCs w:val="24"/>
          <w:lang w:eastAsia="en-US"/>
        </w:rPr>
      </w:pPr>
      <w:r w:rsidRPr="00986EC1">
        <w:rPr>
          <w:rFonts w:ascii="Franklin Gothic Medium" w:eastAsia="SimSun" w:hAnsi="Franklin Gothic Medium"/>
          <w:i/>
          <w:szCs w:val="24"/>
          <w:lang w:eastAsia="en-US"/>
        </w:rPr>
        <w:t>Procedural complications</w:t>
      </w:r>
    </w:p>
    <w:p w14:paraId="269F53AE"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IDS is associated with a statistically significantly lower rate of procedural complications (10.0%) compared with decompression plus fusion (46.7%) (RD [95% CI] -0.37 [-0.59, -0.14]).</w:t>
      </w:r>
    </w:p>
    <w:p w14:paraId="495A0D75" w14:textId="69875B48" w:rsidR="00986EC1" w:rsidRPr="00986EC1" w:rsidRDefault="00986EC1" w:rsidP="00986EC1">
      <w:pPr>
        <w:keepNext/>
        <w:spacing w:before="360" w:after="120"/>
        <w:ind w:left="794" w:hanging="794"/>
        <w:rPr>
          <w:rFonts w:ascii="Arial Narrow" w:hAnsi="Arial Narrow"/>
          <w:b/>
          <w:bCs/>
          <w:sz w:val="20"/>
          <w:lang w:eastAsia="en-US"/>
        </w:rPr>
      </w:pPr>
      <w:r w:rsidRPr="00986EC1">
        <w:rPr>
          <w:rFonts w:ascii="Arial Narrow" w:hAnsi="Arial Narrow"/>
          <w:b/>
          <w:bCs/>
          <w:sz w:val="20"/>
          <w:lang w:eastAsia="en-US"/>
        </w:rPr>
        <w:t xml:space="preserve">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7</w:t>
      </w:r>
      <w:r w:rsidRPr="00986EC1">
        <w:rPr>
          <w:rFonts w:ascii="Arial Narrow" w:hAnsi="Arial Narrow"/>
          <w:b/>
          <w:bCs/>
          <w:noProof/>
          <w:sz w:val="20"/>
          <w:lang w:eastAsia="en-US"/>
        </w:rPr>
        <w:fldChar w:fldCharType="end"/>
      </w:r>
      <w:r w:rsidRPr="00986EC1">
        <w:rPr>
          <w:rFonts w:ascii="Arial Narrow" w:hAnsi="Arial Narrow"/>
          <w:b/>
          <w:bCs/>
          <w:sz w:val="20"/>
          <w:lang w:eastAsia="en-US"/>
        </w:rPr>
        <w:tab/>
      </w:r>
      <w:r w:rsidRPr="00986EC1">
        <w:rPr>
          <w:rFonts w:ascii="Arial Narrow" w:hAnsi="Arial Narrow"/>
          <w:b/>
          <w:bCs/>
          <w:noProof/>
          <w:sz w:val="20"/>
          <w:lang w:eastAsia="en-US"/>
        </w:rPr>
        <w:t>Rates of complications in the RCT of IDS vs. decompression plus fusion</w:t>
      </w:r>
    </w:p>
    <w:tbl>
      <w:tblPr>
        <w:tblStyle w:val="OPTUMTableNormal"/>
        <w:tblW w:w="0" w:type="auto"/>
        <w:tblLook w:val="04A0" w:firstRow="1" w:lastRow="0" w:firstColumn="1" w:lastColumn="0" w:noHBand="0" w:noVBand="1"/>
      </w:tblPr>
      <w:tblGrid>
        <w:gridCol w:w="1271"/>
        <w:gridCol w:w="1276"/>
        <w:gridCol w:w="1559"/>
        <w:gridCol w:w="1636"/>
        <w:gridCol w:w="1637"/>
        <w:gridCol w:w="1637"/>
      </w:tblGrid>
      <w:tr w:rsidR="00986EC1" w:rsidRPr="00986EC1" w14:paraId="1E44DC98" w14:textId="77777777" w:rsidTr="005917C2">
        <w:trPr>
          <w:cnfStyle w:val="100000000000" w:firstRow="1" w:lastRow="0" w:firstColumn="0" w:lastColumn="0" w:oddVBand="0" w:evenVBand="0" w:oddHBand="0" w:evenHBand="0" w:firstRowFirstColumn="0" w:firstRowLastColumn="0" w:lastRowFirstColumn="0" w:lastRowLastColumn="0"/>
          <w:trHeight w:val="259"/>
          <w:tblHeader/>
        </w:trPr>
        <w:tc>
          <w:tcPr>
            <w:tcW w:w="0" w:type="dxa"/>
            <w:vMerge w:val="restart"/>
            <w:hideMark/>
          </w:tcPr>
          <w:p w14:paraId="1EC313C7"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Trial ID</w:t>
            </w:r>
          </w:p>
        </w:tc>
        <w:tc>
          <w:tcPr>
            <w:tcW w:w="0" w:type="dxa"/>
            <w:hideMark/>
          </w:tcPr>
          <w:p w14:paraId="3CDA7DB4"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IDS</w:t>
            </w:r>
          </w:p>
        </w:tc>
        <w:tc>
          <w:tcPr>
            <w:tcW w:w="0" w:type="dxa"/>
            <w:hideMark/>
          </w:tcPr>
          <w:p w14:paraId="25153603"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Decompression plus fusion</w:t>
            </w:r>
          </w:p>
        </w:tc>
        <w:tc>
          <w:tcPr>
            <w:tcW w:w="0" w:type="dxa"/>
            <w:vMerge w:val="restart"/>
            <w:hideMark/>
          </w:tcPr>
          <w:p w14:paraId="39C5DFD7"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OR [95% CI]</w:t>
            </w:r>
          </w:p>
          <w:p w14:paraId="77291145"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&lt; 1 favours IDS</w:t>
            </w:r>
          </w:p>
        </w:tc>
        <w:tc>
          <w:tcPr>
            <w:tcW w:w="0" w:type="dxa"/>
            <w:vMerge w:val="restart"/>
            <w:hideMark/>
          </w:tcPr>
          <w:p w14:paraId="7D887FEB"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RR [95% CI]</w:t>
            </w:r>
          </w:p>
          <w:p w14:paraId="78A06450"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&lt; 1 favours IDS</w:t>
            </w:r>
          </w:p>
        </w:tc>
        <w:tc>
          <w:tcPr>
            <w:tcW w:w="0" w:type="dxa"/>
            <w:vMerge w:val="restart"/>
            <w:hideMark/>
          </w:tcPr>
          <w:p w14:paraId="3C353A56"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RD [95% CI]</w:t>
            </w:r>
          </w:p>
          <w:p w14:paraId="610BD706"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&lt; 0 favours IDS</w:t>
            </w:r>
          </w:p>
        </w:tc>
      </w:tr>
      <w:tr w:rsidR="00986EC1" w:rsidRPr="00986EC1" w14:paraId="10422F68" w14:textId="77777777" w:rsidTr="005917C2">
        <w:trPr>
          <w:cnfStyle w:val="100000000000" w:firstRow="1" w:lastRow="0" w:firstColumn="0" w:lastColumn="0" w:oddVBand="0" w:evenVBand="0" w:oddHBand="0" w:evenHBand="0" w:firstRowFirstColumn="0" w:firstRowLastColumn="0" w:lastRowFirstColumn="0" w:lastRowLastColumn="0"/>
          <w:trHeight w:val="259"/>
          <w:tblHeader/>
        </w:trPr>
        <w:tc>
          <w:tcPr>
            <w:tcW w:w="0" w:type="dxa"/>
            <w:vMerge/>
            <w:hideMark/>
          </w:tcPr>
          <w:p w14:paraId="52CF7DC6" w14:textId="77777777" w:rsidR="00986EC1" w:rsidRPr="00986EC1" w:rsidRDefault="00986EC1" w:rsidP="00986EC1">
            <w:pPr>
              <w:spacing w:after="40"/>
              <w:jc w:val="both"/>
              <w:rPr>
                <w:rFonts w:ascii="Arial Narrow" w:hAnsi="Arial Narrow" w:cs="Tahoma"/>
                <w:b/>
                <w:bCs/>
                <w:sz w:val="20"/>
              </w:rPr>
            </w:pPr>
          </w:p>
        </w:tc>
        <w:tc>
          <w:tcPr>
            <w:tcW w:w="0" w:type="dxa"/>
            <w:hideMark/>
          </w:tcPr>
          <w:p w14:paraId="7D18E480"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n /N (%)</w:t>
            </w:r>
          </w:p>
        </w:tc>
        <w:tc>
          <w:tcPr>
            <w:tcW w:w="0" w:type="dxa"/>
            <w:hideMark/>
          </w:tcPr>
          <w:p w14:paraId="3F02FEF5"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n /N (%)</w:t>
            </w:r>
          </w:p>
        </w:tc>
        <w:tc>
          <w:tcPr>
            <w:tcW w:w="0" w:type="dxa"/>
            <w:vMerge/>
            <w:hideMark/>
          </w:tcPr>
          <w:p w14:paraId="70FBCB9A" w14:textId="77777777" w:rsidR="00986EC1" w:rsidRPr="00986EC1" w:rsidRDefault="00986EC1" w:rsidP="00986EC1">
            <w:pPr>
              <w:spacing w:before="120" w:after="60"/>
              <w:rPr>
                <w:rFonts w:ascii="Arial Narrow" w:hAnsi="Arial Narrow"/>
                <w:b/>
                <w:sz w:val="20"/>
                <w:szCs w:val="18"/>
              </w:rPr>
            </w:pPr>
          </w:p>
        </w:tc>
        <w:tc>
          <w:tcPr>
            <w:tcW w:w="0" w:type="dxa"/>
            <w:vMerge/>
            <w:hideMark/>
          </w:tcPr>
          <w:p w14:paraId="06BEC18B" w14:textId="77777777" w:rsidR="00986EC1" w:rsidRPr="00986EC1" w:rsidRDefault="00986EC1" w:rsidP="00986EC1">
            <w:pPr>
              <w:spacing w:before="120" w:after="60"/>
              <w:rPr>
                <w:rFonts w:ascii="Arial Narrow" w:hAnsi="Arial Narrow"/>
                <w:b/>
                <w:sz w:val="20"/>
                <w:szCs w:val="18"/>
              </w:rPr>
            </w:pPr>
          </w:p>
        </w:tc>
        <w:tc>
          <w:tcPr>
            <w:tcW w:w="0" w:type="dxa"/>
            <w:vMerge/>
            <w:hideMark/>
          </w:tcPr>
          <w:p w14:paraId="5F13A8DE" w14:textId="77777777" w:rsidR="00986EC1" w:rsidRPr="00986EC1" w:rsidRDefault="00986EC1" w:rsidP="00986EC1">
            <w:pPr>
              <w:spacing w:before="120" w:after="60"/>
              <w:rPr>
                <w:rFonts w:ascii="Arial Narrow" w:hAnsi="Arial Narrow"/>
                <w:b/>
                <w:sz w:val="20"/>
                <w:szCs w:val="18"/>
              </w:rPr>
            </w:pPr>
          </w:p>
        </w:tc>
      </w:tr>
      <w:tr w:rsidR="00986EC1" w:rsidRPr="00986EC1" w14:paraId="1D941E4B" w14:textId="77777777" w:rsidTr="005917C2">
        <w:trPr>
          <w:trHeight w:val="259"/>
        </w:trPr>
        <w:tc>
          <w:tcPr>
            <w:tcW w:w="1271" w:type="dxa"/>
            <w:hideMark/>
          </w:tcPr>
          <w:p w14:paraId="56216BB1" w14:textId="77777777" w:rsidR="00986EC1" w:rsidRPr="00986EC1" w:rsidRDefault="00986EC1" w:rsidP="00986EC1">
            <w:pPr>
              <w:spacing w:after="40"/>
              <w:rPr>
                <w:rFonts w:ascii="Arial Narrow" w:hAnsi="Arial Narrow" w:cs="Tahoma"/>
                <w:sz w:val="20"/>
              </w:rPr>
            </w:pPr>
            <w:r w:rsidRPr="00986EC1">
              <w:rPr>
                <w:rFonts w:ascii="Arial Narrow" w:hAnsi="Arial Narrow" w:cs="Tahoma"/>
                <w:sz w:val="20"/>
              </w:rPr>
              <w:t>Azzazi (2010)</w:t>
            </w:r>
          </w:p>
        </w:tc>
        <w:tc>
          <w:tcPr>
            <w:tcW w:w="1276" w:type="dxa"/>
            <w:hideMark/>
          </w:tcPr>
          <w:p w14:paraId="5B2D4702" w14:textId="77777777" w:rsidR="00986EC1" w:rsidRPr="00986EC1" w:rsidRDefault="00986EC1" w:rsidP="00986EC1">
            <w:pPr>
              <w:spacing w:after="40"/>
              <w:rPr>
                <w:rFonts w:ascii="Arial Narrow" w:hAnsi="Arial Narrow" w:cs="Tahoma"/>
                <w:sz w:val="20"/>
              </w:rPr>
            </w:pPr>
            <w:r w:rsidRPr="00986EC1">
              <w:rPr>
                <w:rFonts w:ascii="Arial Narrow" w:hAnsi="Arial Narrow" w:cs="Tahoma"/>
                <w:sz w:val="20"/>
              </w:rPr>
              <w:t>3/30 (10.00%)</w:t>
            </w:r>
          </w:p>
        </w:tc>
        <w:tc>
          <w:tcPr>
            <w:tcW w:w="1559" w:type="dxa"/>
            <w:hideMark/>
          </w:tcPr>
          <w:p w14:paraId="7309EC2B" w14:textId="77777777" w:rsidR="00986EC1" w:rsidRPr="00986EC1" w:rsidRDefault="00986EC1" w:rsidP="00986EC1">
            <w:pPr>
              <w:spacing w:after="40"/>
              <w:rPr>
                <w:rFonts w:ascii="Arial Narrow" w:hAnsi="Arial Narrow" w:cs="Tahoma"/>
                <w:sz w:val="20"/>
              </w:rPr>
            </w:pPr>
            <w:r w:rsidRPr="00986EC1">
              <w:rPr>
                <w:rFonts w:ascii="Arial Narrow" w:hAnsi="Arial Narrow" w:cs="Tahoma"/>
                <w:sz w:val="20"/>
              </w:rPr>
              <w:t>14/30 (46.67%)</w:t>
            </w:r>
          </w:p>
        </w:tc>
        <w:tc>
          <w:tcPr>
            <w:tcW w:w="1636" w:type="dxa"/>
            <w:hideMark/>
          </w:tcPr>
          <w:p w14:paraId="5EB622A8" w14:textId="77777777" w:rsidR="00986EC1" w:rsidRPr="00986EC1" w:rsidRDefault="00986EC1" w:rsidP="00986EC1">
            <w:pPr>
              <w:spacing w:after="40"/>
              <w:rPr>
                <w:rFonts w:ascii="Arial Narrow" w:hAnsi="Arial Narrow" w:cs="Tahoma"/>
                <w:b/>
                <w:bCs/>
                <w:sz w:val="20"/>
              </w:rPr>
            </w:pPr>
            <w:r w:rsidRPr="00986EC1">
              <w:rPr>
                <w:rFonts w:ascii="Arial Narrow" w:hAnsi="Arial Narrow" w:cs="Tahoma"/>
                <w:b/>
                <w:bCs/>
                <w:sz w:val="20"/>
              </w:rPr>
              <w:t>0.13 [0.03, 0.51], p=0.004</w:t>
            </w:r>
          </w:p>
        </w:tc>
        <w:tc>
          <w:tcPr>
            <w:tcW w:w="1637" w:type="dxa"/>
            <w:hideMark/>
          </w:tcPr>
          <w:p w14:paraId="0C5C7CBF" w14:textId="77777777" w:rsidR="00986EC1" w:rsidRPr="00986EC1" w:rsidRDefault="00986EC1" w:rsidP="00986EC1">
            <w:pPr>
              <w:spacing w:after="40"/>
              <w:rPr>
                <w:rFonts w:ascii="Arial Narrow" w:hAnsi="Arial Narrow" w:cs="Tahoma"/>
                <w:b/>
                <w:bCs/>
                <w:sz w:val="20"/>
              </w:rPr>
            </w:pPr>
            <w:r w:rsidRPr="00986EC1">
              <w:rPr>
                <w:rFonts w:ascii="Arial Narrow" w:hAnsi="Arial Narrow" w:cs="Tahoma"/>
                <w:b/>
                <w:bCs/>
                <w:sz w:val="20"/>
              </w:rPr>
              <w:t>0.21 [0.07, 0.67], p=0.008</w:t>
            </w:r>
          </w:p>
        </w:tc>
        <w:tc>
          <w:tcPr>
            <w:tcW w:w="1637" w:type="dxa"/>
            <w:hideMark/>
          </w:tcPr>
          <w:p w14:paraId="532A6C93" w14:textId="77777777" w:rsidR="00986EC1" w:rsidRPr="00986EC1" w:rsidRDefault="00986EC1" w:rsidP="00986EC1">
            <w:pPr>
              <w:spacing w:after="40"/>
              <w:rPr>
                <w:rFonts w:ascii="Arial Narrow" w:hAnsi="Arial Narrow" w:cs="Tahoma"/>
                <w:b/>
                <w:bCs/>
                <w:sz w:val="20"/>
              </w:rPr>
            </w:pPr>
            <w:r w:rsidRPr="00986EC1">
              <w:rPr>
                <w:rFonts w:ascii="Arial Narrow" w:hAnsi="Arial Narrow" w:cs="Tahoma"/>
                <w:b/>
                <w:bCs/>
                <w:sz w:val="20"/>
              </w:rPr>
              <w:t>-0.37 [-0.59, -0.14], p=0.0006</w:t>
            </w:r>
          </w:p>
        </w:tc>
      </w:tr>
    </w:tbl>
    <w:p w14:paraId="565AE362" w14:textId="77777777" w:rsidR="00986EC1" w:rsidRPr="00986EC1" w:rsidRDefault="00986EC1" w:rsidP="00B23D55">
      <w:pPr>
        <w:pStyle w:val="Tablenotes1"/>
      </w:pPr>
      <w:r w:rsidRPr="00986EC1">
        <w:t>IDS, interspinous decompression spacer; OR, odds ratio; RD, risk difference; RR, relative risk</w:t>
      </w:r>
      <w:bookmarkStart w:id="40" w:name="_Hlk81492316"/>
      <w:r w:rsidRPr="00986EC1">
        <w:t>.</w:t>
      </w:r>
    </w:p>
    <w:p w14:paraId="77D21305" w14:textId="227AC595" w:rsidR="00986EC1" w:rsidRDefault="00986EC1" w:rsidP="00B23D55">
      <w:pPr>
        <w:pStyle w:val="Tablenotes1"/>
      </w:pPr>
      <w:r w:rsidRPr="00986EC1">
        <w:rPr>
          <w:b/>
          <w:bCs/>
        </w:rPr>
        <w:t>Bold</w:t>
      </w:r>
      <w:r w:rsidRPr="00986EC1">
        <w:t xml:space="preserve"> = statistically significant</w:t>
      </w:r>
      <w:bookmarkEnd w:id="40"/>
    </w:p>
    <w:p w14:paraId="5AFA9AB4" w14:textId="64B0BF1D" w:rsidR="000236D4" w:rsidRDefault="000236D4" w:rsidP="00B23D55">
      <w:pPr>
        <w:pStyle w:val="Tablenotes1"/>
      </w:pPr>
      <w:r>
        <w:t>Source: Commentary, Table 7</w:t>
      </w:r>
    </w:p>
    <w:p w14:paraId="5130A0A6"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IDS has superior safety compared with decompression plus fusion on the basis of procedural complications. Long-term outcomes and reoperation rates were not presented.</w:t>
      </w:r>
    </w:p>
    <w:p w14:paraId="518FE7A1" w14:textId="77777777" w:rsidR="00986EC1" w:rsidRPr="00986EC1" w:rsidRDefault="00986EC1" w:rsidP="00986EC1">
      <w:pPr>
        <w:keepNext/>
        <w:keepLines/>
        <w:tabs>
          <w:tab w:val="left" w:pos="851"/>
        </w:tabs>
        <w:spacing w:before="360" w:after="200"/>
        <w:outlineLvl w:val="2"/>
        <w:rPr>
          <w:rFonts w:ascii="Franklin Gothic Medium" w:eastAsia="SimSun" w:hAnsi="Franklin Gothic Medium"/>
          <w:szCs w:val="24"/>
          <w:lang w:eastAsia="en-US"/>
        </w:rPr>
      </w:pPr>
      <w:r w:rsidRPr="00986EC1">
        <w:rPr>
          <w:rFonts w:ascii="Franklin Gothic Medium" w:eastAsia="SimSun" w:hAnsi="Franklin Gothic Medium"/>
          <w:szCs w:val="24"/>
          <w:lang w:eastAsia="en-US"/>
        </w:rPr>
        <w:t>IDS (Superion) versus IDS (X-STOP)</w:t>
      </w:r>
    </w:p>
    <w:p w14:paraId="18B5F7D6" w14:textId="77777777" w:rsidR="00986EC1" w:rsidRPr="00986EC1" w:rsidRDefault="00986EC1" w:rsidP="00986EC1">
      <w:pPr>
        <w:keepNext/>
        <w:keepLines/>
        <w:tabs>
          <w:tab w:val="left" w:pos="851"/>
        </w:tabs>
        <w:spacing w:before="360" w:after="200"/>
        <w:outlineLvl w:val="3"/>
        <w:rPr>
          <w:rFonts w:ascii="Franklin Gothic Medium" w:eastAsia="SimSun" w:hAnsi="Franklin Gothic Medium"/>
          <w:i/>
          <w:szCs w:val="24"/>
          <w:lang w:eastAsia="en-US"/>
        </w:rPr>
      </w:pPr>
      <w:r w:rsidRPr="00986EC1">
        <w:rPr>
          <w:rFonts w:ascii="Franklin Gothic Medium" w:eastAsia="SimSun" w:hAnsi="Franklin Gothic Medium"/>
          <w:i/>
          <w:szCs w:val="24"/>
          <w:lang w:eastAsia="en-US"/>
        </w:rPr>
        <w:t>Spinous process fracture and device migration</w:t>
      </w:r>
    </w:p>
    <w:p w14:paraId="17F1993F"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Although there were some numerical differences between Superion and X-STOP in rates of spinous process fracture and device migration, these differences were not significant, with the exception of device migration, which reached borderline significance.</w:t>
      </w:r>
    </w:p>
    <w:p w14:paraId="2A90CAD3" w14:textId="2C74ECFF" w:rsidR="00986EC1" w:rsidRPr="00986EC1" w:rsidRDefault="00986EC1" w:rsidP="00203BA7">
      <w:pPr>
        <w:keepNext/>
        <w:spacing w:before="360" w:after="120"/>
        <w:ind w:left="794" w:hanging="794"/>
        <w:rPr>
          <w:rFonts w:ascii="Arial Narrow" w:hAnsi="Arial Narrow"/>
          <w:b/>
          <w:bCs/>
          <w:sz w:val="20"/>
          <w:lang w:eastAsia="en-US"/>
        </w:rPr>
      </w:pPr>
      <w:r w:rsidRPr="00986EC1">
        <w:rPr>
          <w:rFonts w:ascii="Arial Narrow" w:hAnsi="Arial Narrow"/>
          <w:b/>
          <w:bCs/>
          <w:sz w:val="20"/>
          <w:lang w:eastAsia="en-US"/>
        </w:rPr>
        <w:t xml:space="preserve">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8</w:t>
      </w:r>
      <w:r w:rsidRPr="00986EC1">
        <w:rPr>
          <w:rFonts w:ascii="Arial Narrow" w:hAnsi="Arial Narrow"/>
          <w:b/>
          <w:bCs/>
          <w:noProof/>
          <w:sz w:val="20"/>
          <w:lang w:eastAsia="en-US"/>
        </w:rPr>
        <w:fldChar w:fldCharType="end"/>
      </w:r>
      <w:r w:rsidRPr="00986EC1">
        <w:rPr>
          <w:rFonts w:ascii="Arial Narrow" w:hAnsi="Arial Narrow"/>
          <w:b/>
          <w:bCs/>
          <w:sz w:val="20"/>
          <w:lang w:eastAsia="en-US"/>
        </w:rPr>
        <w:tab/>
        <w:t>Rate of spinous process fractures, device migration and device subsidence in RCTs of Superion versus X-STOP</w:t>
      </w:r>
    </w:p>
    <w:tbl>
      <w:tblPr>
        <w:tblStyle w:val="OPTUMTableNormal"/>
        <w:tblpPr w:leftFromText="180" w:rightFromText="180" w:vertAnchor="text" w:horzAnchor="margin" w:tblpXSpec="center" w:tblpY="106"/>
        <w:tblW w:w="5000" w:type="pct"/>
        <w:tblLook w:val="04A0" w:firstRow="1" w:lastRow="0" w:firstColumn="1" w:lastColumn="0" w:noHBand="0" w:noVBand="1"/>
        <w:tblDescription w:val="Rate of spinous process fractures, device migration and device subsidence in RCTs of Superion versus X-STOP"/>
      </w:tblPr>
      <w:tblGrid>
        <w:gridCol w:w="1697"/>
        <w:gridCol w:w="1134"/>
        <w:gridCol w:w="1134"/>
        <w:gridCol w:w="1700"/>
        <w:gridCol w:w="1607"/>
        <w:gridCol w:w="1744"/>
      </w:tblGrid>
      <w:tr w:rsidR="00986EC1" w:rsidRPr="00986EC1" w14:paraId="69E69B69" w14:textId="77777777" w:rsidTr="005917C2">
        <w:trPr>
          <w:cnfStyle w:val="100000000000" w:firstRow="1" w:lastRow="0" w:firstColumn="0" w:lastColumn="0" w:oddVBand="0" w:evenVBand="0" w:oddHBand="0" w:evenHBand="0" w:firstRowFirstColumn="0" w:firstRowLastColumn="0" w:lastRowFirstColumn="0" w:lastRowLastColumn="0"/>
          <w:trHeight w:val="259"/>
          <w:tblHeader/>
        </w:trPr>
        <w:tc>
          <w:tcPr>
            <w:tcW w:w="941" w:type="pct"/>
            <w:vMerge w:val="restart"/>
            <w:tcBorders>
              <w:bottom w:val="single" w:sz="4" w:space="0" w:color="000000"/>
            </w:tcBorders>
            <w:shd w:val="clear" w:color="auto" w:fill="auto"/>
            <w:hideMark/>
          </w:tcPr>
          <w:p w14:paraId="0FC1B854" w14:textId="77777777" w:rsidR="00986EC1" w:rsidRPr="00986EC1" w:rsidRDefault="00986EC1" w:rsidP="00986EC1">
            <w:pPr>
              <w:keepNext/>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IDE Study - outcome</w:t>
            </w:r>
          </w:p>
        </w:tc>
        <w:tc>
          <w:tcPr>
            <w:tcW w:w="629" w:type="pct"/>
            <w:tcBorders>
              <w:left w:val="nil"/>
              <w:right w:val="nil"/>
            </w:tcBorders>
            <w:shd w:val="clear" w:color="auto" w:fill="auto"/>
            <w:hideMark/>
          </w:tcPr>
          <w:p w14:paraId="15C9206C" w14:textId="77777777" w:rsidR="00986EC1" w:rsidRPr="00986EC1" w:rsidRDefault="00986EC1" w:rsidP="00986EC1">
            <w:pPr>
              <w:keepNext/>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 xml:space="preserve">Superion </w:t>
            </w:r>
          </w:p>
        </w:tc>
        <w:tc>
          <w:tcPr>
            <w:tcW w:w="629" w:type="pct"/>
            <w:tcBorders>
              <w:right w:val="nil"/>
            </w:tcBorders>
            <w:shd w:val="clear" w:color="auto" w:fill="auto"/>
            <w:hideMark/>
          </w:tcPr>
          <w:p w14:paraId="5FED81A9" w14:textId="77777777" w:rsidR="00986EC1" w:rsidRPr="00986EC1" w:rsidRDefault="00986EC1" w:rsidP="00986EC1">
            <w:pPr>
              <w:keepNext/>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X-STOP</w:t>
            </w:r>
          </w:p>
        </w:tc>
        <w:tc>
          <w:tcPr>
            <w:tcW w:w="943" w:type="pct"/>
            <w:vMerge w:val="restart"/>
            <w:tcBorders>
              <w:bottom w:val="single" w:sz="4" w:space="0" w:color="000000"/>
            </w:tcBorders>
            <w:shd w:val="clear" w:color="auto" w:fill="auto"/>
            <w:hideMark/>
          </w:tcPr>
          <w:p w14:paraId="3594139A" w14:textId="77777777" w:rsidR="00986EC1" w:rsidRPr="00986EC1" w:rsidRDefault="00986EC1" w:rsidP="00986EC1">
            <w:pPr>
              <w:keepNext/>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OR [95% CI]</w:t>
            </w:r>
          </w:p>
          <w:p w14:paraId="0CC0C14E" w14:textId="77777777" w:rsidR="00986EC1" w:rsidRPr="00986EC1" w:rsidRDefault="00986EC1" w:rsidP="00986EC1">
            <w:pPr>
              <w:keepNext/>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&lt; 1 favours Superion</w:t>
            </w:r>
          </w:p>
        </w:tc>
        <w:tc>
          <w:tcPr>
            <w:tcW w:w="891" w:type="pct"/>
            <w:vMerge w:val="restart"/>
            <w:tcBorders>
              <w:bottom w:val="single" w:sz="4" w:space="0" w:color="000000"/>
            </w:tcBorders>
            <w:shd w:val="clear" w:color="auto" w:fill="auto"/>
            <w:hideMark/>
          </w:tcPr>
          <w:p w14:paraId="59C49651" w14:textId="77777777" w:rsidR="00986EC1" w:rsidRPr="00986EC1" w:rsidRDefault="00986EC1" w:rsidP="00986EC1">
            <w:pPr>
              <w:keepNext/>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RR [95% CI]</w:t>
            </w:r>
          </w:p>
          <w:p w14:paraId="65C7781E" w14:textId="77777777" w:rsidR="00986EC1" w:rsidRPr="00986EC1" w:rsidRDefault="00986EC1" w:rsidP="00986EC1">
            <w:pPr>
              <w:keepNext/>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&lt; 1 favours Superion</w:t>
            </w:r>
          </w:p>
        </w:tc>
        <w:tc>
          <w:tcPr>
            <w:tcW w:w="967" w:type="pct"/>
            <w:vMerge w:val="restart"/>
            <w:tcBorders>
              <w:bottom w:val="single" w:sz="4" w:space="0" w:color="000000"/>
            </w:tcBorders>
            <w:shd w:val="clear" w:color="auto" w:fill="auto"/>
            <w:hideMark/>
          </w:tcPr>
          <w:p w14:paraId="3057F6CF" w14:textId="77777777" w:rsidR="00986EC1" w:rsidRPr="00986EC1" w:rsidRDefault="00986EC1" w:rsidP="00986EC1">
            <w:pPr>
              <w:keepNext/>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 xml:space="preserve">RD [95% CI] </w:t>
            </w:r>
          </w:p>
          <w:p w14:paraId="39A429DB" w14:textId="77777777" w:rsidR="00986EC1" w:rsidRPr="00986EC1" w:rsidRDefault="00986EC1" w:rsidP="00986EC1">
            <w:pPr>
              <w:keepNext/>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&lt; 0 favours Superion</w:t>
            </w:r>
          </w:p>
        </w:tc>
      </w:tr>
      <w:tr w:rsidR="00986EC1" w:rsidRPr="00986EC1" w14:paraId="536CAB57" w14:textId="77777777" w:rsidTr="005917C2">
        <w:trPr>
          <w:cnfStyle w:val="100000000000" w:firstRow="1" w:lastRow="0" w:firstColumn="0" w:lastColumn="0" w:oddVBand="0" w:evenVBand="0" w:oddHBand="0" w:evenHBand="0" w:firstRowFirstColumn="0" w:firstRowLastColumn="0" w:lastRowFirstColumn="0" w:lastRowLastColumn="0"/>
          <w:trHeight w:val="259"/>
          <w:tblHeader/>
        </w:trPr>
        <w:tc>
          <w:tcPr>
            <w:tcW w:w="941" w:type="pct"/>
            <w:vMerge/>
            <w:tcBorders>
              <w:bottom w:val="single" w:sz="4" w:space="0" w:color="000000"/>
            </w:tcBorders>
            <w:vAlign w:val="center"/>
            <w:hideMark/>
          </w:tcPr>
          <w:p w14:paraId="4EE4F7B7" w14:textId="77777777" w:rsidR="00986EC1" w:rsidRPr="00986EC1" w:rsidRDefault="00986EC1" w:rsidP="00986EC1">
            <w:pPr>
              <w:keepNext/>
              <w:spacing w:after="40"/>
              <w:jc w:val="both"/>
              <w:rPr>
                <w:rFonts w:ascii="Arial Narrow" w:hAnsi="Arial Narrow" w:cs="Tahoma"/>
                <w:sz w:val="20"/>
              </w:rPr>
            </w:pPr>
          </w:p>
        </w:tc>
        <w:tc>
          <w:tcPr>
            <w:tcW w:w="629" w:type="pct"/>
            <w:tcBorders>
              <w:top w:val="nil"/>
              <w:left w:val="nil"/>
            </w:tcBorders>
            <w:shd w:val="clear" w:color="auto" w:fill="auto"/>
            <w:hideMark/>
          </w:tcPr>
          <w:p w14:paraId="410008E3" w14:textId="77777777" w:rsidR="00986EC1" w:rsidRPr="00986EC1" w:rsidRDefault="00986EC1" w:rsidP="00986EC1">
            <w:pPr>
              <w:keepNext/>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n /N (%)</w:t>
            </w:r>
          </w:p>
        </w:tc>
        <w:tc>
          <w:tcPr>
            <w:tcW w:w="629" w:type="pct"/>
            <w:tcBorders>
              <w:top w:val="nil"/>
              <w:left w:val="nil"/>
            </w:tcBorders>
            <w:shd w:val="clear" w:color="auto" w:fill="auto"/>
            <w:hideMark/>
          </w:tcPr>
          <w:p w14:paraId="3961CB66" w14:textId="77777777" w:rsidR="00986EC1" w:rsidRPr="00986EC1" w:rsidRDefault="00986EC1" w:rsidP="00986EC1">
            <w:pPr>
              <w:keepNext/>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n /N (%)</w:t>
            </w:r>
          </w:p>
        </w:tc>
        <w:tc>
          <w:tcPr>
            <w:tcW w:w="943" w:type="pct"/>
            <w:vMerge/>
            <w:tcBorders>
              <w:bottom w:val="single" w:sz="4" w:space="0" w:color="000000"/>
            </w:tcBorders>
            <w:vAlign w:val="center"/>
            <w:hideMark/>
          </w:tcPr>
          <w:p w14:paraId="77C4E736" w14:textId="77777777" w:rsidR="00986EC1" w:rsidRPr="00986EC1" w:rsidRDefault="00986EC1" w:rsidP="00986EC1">
            <w:pPr>
              <w:keepNext/>
              <w:spacing w:before="120" w:after="60"/>
              <w:rPr>
                <w:rFonts w:ascii="Arial Narrow" w:eastAsia="Calibri" w:hAnsi="Arial Narrow"/>
                <w:b/>
                <w:bCs/>
                <w:sz w:val="20"/>
                <w:szCs w:val="22"/>
                <w:lang w:eastAsia="en-US"/>
              </w:rPr>
            </w:pPr>
          </w:p>
        </w:tc>
        <w:tc>
          <w:tcPr>
            <w:tcW w:w="891" w:type="pct"/>
            <w:vMerge/>
            <w:tcBorders>
              <w:bottom w:val="single" w:sz="4" w:space="0" w:color="000000"/>
            </w:tcBorders>
            <w:vAlign w:val="center"/>
            <w:hideMark/>
          </w:tcPr>
          <w:p w14:paraId="57E6F6AE" w14:textId="77777777" w:rsidR="00986EC1" w:rsidRPr="00986EC1" w:rsidRDefault="00986EC1" w:rsidP="00986EC1">
            <w:pPr>
              <w:keepNext/>
              <w:spacing w:before="120" w:after="60"/>
              <w:rPr>
                <w:rFonts w:ascii="Arial Narrow" w:eastAsia="Calibri" w:hAnsi="Arial Narrow"/>
                <w:b/>
                <w:bCs/>
                <w:sz w:val="20"/>
                <w:szCs w:val="22"/>
                <w:lang w:eastAsia="en-US"/>
              </w:rPr>
            </w:pPr>
          </w:p>
        </w:tc>
        <w:tc>
          <w:tcPr>
            <w:tcW w:w="967" w:type="pct"/>
            <w:vMerge/>
            <w:tcBorders>
              <w:bottom w:val="single" w:sz="4" w:space="0" w:color="000000"/>
            </w:tcBorders>
            <w:vAlign w:val="center"/>
            <w:hideMark/>
          </w:tcPr>
          <w:p w14:paraId="529258FC" w14:textId="77777777" w:rsidR="00986EC1" w:rsidRPr="00986EC1" w:rsidRDefault="00986EC1" w:rsidP="00986EC1">
            <w:pPr>
              <w:keepNext/>
              <w:spacing w:before="120" w:after="60"/>
              <w:rPr>
                <w:rFonts w:ascii="Arial Narrow" w:eastAsia="Calibri" w:hAnsi="Arial Narrow"/>
                <w:b/>
                <w:bCs/>
                <w:sz w:val="20"/>
                <w:szCs w:val="22"/>
                <w:lang w:eastAsia="en-US"/>
              </w:rPr>
            </w:pPr>
          </w:p>
        </w:tc>
      </w:tr>
      <w:tr w:rsidR="00986EC1" w:rsidRPr="00986EC1" w14:paraId="2962E5FF" w14:textId="77777777" w:rsidTr="005917C2">
        <w:trPr>
          <w:trHeight w:val="259"/>
        </w:trPr>
        <w:tc>
          <w:tcPr>
            <w:tcW w:w="941" w:type="pct"/>
            <w:tcBorders>
              <w:top w:val="nil"/>
              <w:left w:val="single" w:sz="4" w:space="0" w:color="auto"/>
              <w:bottom w:val="single" w:sz="4" w:space="0" w:color="000000"/>
              <w:right w:val="single" w:sz="4" w:space="0" w:color="auto"/>
            </w:tcBorders>
            <w:shd w:val="clear" w:color="auto" w:fill="auto"/>
          </w:tcPr>
          <w:p w14:paraId="0AF602BF"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bCs/>
                <w:sz w:val="20"/>
              </w:rPr>
              <w:t>Spinous process fracture (day of surgery)</w:t>
            </w:r>
          </w:p>
        </w:tc>
        <w:tc>
          <w:tcPr>
            <w:tcW w:w="629" w:type="pct"/>
            <w:tcBorders>
              <w:top w:val="nil"/>
              <w:left w:val="nil"/>
              <w:bottom w:val="single" w:sz="4" w:space="0" w:color="000000"/>
              <w:right w:val="single" w:sz="4" w:space="0" w:color="auto"/>
            </w:tcBorders>
            <w:shd w:val="clear" w:color="auto" w:fill="auto"/>
          </w:tcPr>
          <w:p w14:paraId="1AD42092"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sz w:val="20"/>
              </w:rPr>
              <w:t>4/190 (2.1%)</w:t>
            </w:r>
          </w:p>
        </w:tc>
        <w:tc>
          <w:tcPr>
            <w:tcW w:w="629" w:type="pct"/>
            <w:tcBorders>
              <w:top w:val="nil"/>
              <w:left w:val="nil"/>
              <w:bottom w:val="single" w:sz="4" w:space="0" w:color="000000"/>
              <w:right w:val="single" w:sz="4" w:space="0" w:color="auto"/>
            </w:tcBorders>
            <w:shd w:val="clear" w:color="auto" w:fill="auto"/>
          </w:tcPr>
          <w:p w14:paraId="56F249F1"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sz w:val="20"/>
              </w:rPr>
              <w:t>2/190 (1.0%)</w:t>
            </w:r>
          </w:p>
        </w:tc>
        <w:tc>
          <w:tcPr>
            <w:tcW w:w="943" w:type="pct"/>
            <w:tcBorders>
              <w:top w:val="nil"/>
              <w:left w:val="nil"/>
              <w:bottom w:val="single" w:sz="4" w:space="0" w:color="000000"/>
              <w:right w:val="single" w:sz="4" w:space="0" w:color="auto"/>
            </w:tcBorders>
            <w:shd w:val="clear" w:color="000000" w:fill="FFFFFF"/>
          </w:tcPr>
          <w:p w14:paraId="280B98A4"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sz w:val="20"/>
              </w:rPr>
              <w:t>2.14 [ 0.39, 11.82], p=0.38</w:t>
            </w:r>
          </w:p>
        </w:tc>
        <w:tc>
          <w:tcPr>
            <w:tcW w:w="891" w:type="pct"/>
            <w:tcBorders>
              <w:top w:val="nil"/>
              <w:left w:val="nil"/>
              <w:bottom w:val="single" w:sz="4" w:space="0" w:color="000000"/>
              <w:right w:val="single" w:sz="4" w:space="0" w:color="auto"/>
            </w:tcBorders>
            <w:shd w:val="clear" w:color="000000" w:fill="FFFFFF"/>
          </w:tcPr>
          <w:p w14:paraId="5FEB893E"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sz w:val="20"/>
              </w:rPr>
              <w:t>2.12 [ 0.39, 11.42], p=0.38</w:t>
            </w:r>
          </w:p>
        </w:tc>
        <w:tc>
          <w:tcPr>
            <w:tcW w:w="967" w:type="pct"/>
            <w:tcBorders>
              <w:top w:val="nil"/>
              <w:left w:val="nil"/>
              <w:bottom w:val="single" w:sz="4" w:space="0" w:color="000000"/>
              <w:right w:val="single" w:sz="4" w:space="0" w:color="auto"/>
            </w:tcBorders>
            <w:shd w:val="clear" w:color="000000" w:fill="FFFFFF"/>
          </w:tcPr>
          <w:p w14:paraId="69FCFC2B"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sz w:val="20"/>
              </w:rPr>
              <w:t>0.01 [ -0.013, 0.035], p=0.38</w:t>
            </w:r>
          </w:p>
        </w:tc>
      </w:tr>
      <w:tr w:rsidR="00986EC1" w:rsidRPr="00986EC1" w14:paraId="374C3956" w14:textId="77777777" w:rsidTr="005917C2">
        <w:trPr>
          <w:trHeight w:val="259"/>
        </w:trPr>
        <w:tc>
          <w:tcPr>
            <w:tcW w:w="941" w:type="pct"/>
            <w:tcBorders>
              <w:top w:val="nil"/>
              <w:left w:val="single" w:sz="4" w:space="0" w:color="auto"/>
              <w:bottom w:val="single" w:sz="4" w:space="0" w:color="000000"/>
              <w:right w:val="single" w:sz="4" w:space="0" w:color="auto"/>
            </w:tcBorders>
            <w:shd w:val="clear" w:color="auto" w:fill="auto"/>
            <w:hideMark/>
          </w:tcPr>
          <w:p w14:paraId="521E4273"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bCs/>
                <w:sz w:val="20"/>
              </w:rPr>
              <w:t>Spinous process fracture (total to 24 months)</w:t>
            </w:r>
          </w:p>
        </w:tc>
        <w:tc>
          <w:tcPr>
            <w:tcW w:w="629" w:type="pct"/>
            <w:tcBorders>
              <w:top w:val="nil"/>
              <w:left w:val="nil"/>
              <w:bottom w:val="single" w:sz="4" w:space="0" w:color="000000"/>
              <w:right w:val="single" w:sz="4" w:space="0" w:color="auto"/>
            </w:tcBorders>
            <w:shd w:val="clear" w:color="auto" w:fill="auto"/>
            <w:hideMark/>
          </w:tcPr>
          <w:p w14:paraId="6DE8154F"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sz w:val="20"/>
              </w:rPr>
              <w:t>22/190 (11.58%)</w:t>
            </w:r>
          </w:p>
        </w:tc>
        <w:tc>
          <w:tcPr>
            <w:tcW w:w="629" w:type="pct"/>
            <w:tcBorders>
              <w:top w:val="nil"/>
              <w:left w:val="nil"/>
              <w:bottom w:val="single" w:sz="4" w:space="0" w:color="000000"/>
              <w:right w:val="single" w:sz="4" w:space="0" w:color="auto"/>
            </w:tcBorders>
            <w:shd w:val="clear" w:color="auto" w:fill="auto"/>
            <w:hideMark/>
          </w:tcPr>
          <w:p w14:paraId="7B86683D"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sz w:val="20"/>
              </w:rPr>
              <w:t>13/201 (6.47%)</w:t>
            </w:r>
          </w:p>
        </w:tc>
        <w:tc>
          <w:tcPr>
            <w:tcW w:w="943" w:type="pct"/>
            <w:tcBorders>
              <w:top w:val="nil"/>
              <w:left w:val="nil"/>
              <w:bottom w:val="single" w:sz="4" w:space="0" w:color="000000"/>
              <w:right w:val="single" w:sz="4" w:space="0" w:color="auto"/>
            </w:tcBorders>
            <w:shd w:val="clear" w:color="000000" w:fill="FFFFFF"/>
            <w:hideMark/>
          </w:tcPr>
          <w:p w14:paraId="6E59E5C4"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sz w:val="20"/>
              </w:rPr>
              <w:t>1.89 [0.92, 3.88], p=0.08</w:t>
            </w:r>
          </w:p>
        </w:tc>
        <w:tc>
          <w:tcPr>
            <w:tcW w:w="891" w:type="pct"/>
            <w:tcBorders>
              <w:top w:val="nil"/>
              <w:left w:val="nil"/>
              <w:bottom w:val="single" w:sz="4" w:space="0" w:color="000000"/>
              <w:right w:val="single" w:sz="4" w:space="0" w:color="auto"/>
            </w:tcBorders>
            <w:shd w:val="clear" w:color="000000" w:fill="FFFFFF"/>
            <w:hideMark/>
          </w:tcPr>
          <w:p w14:paraId="09D088EB"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sz w:val="20"/>
              </w:rPr>
              <w:t>1.79 [0.93, 3.45], p=0.08</w:t>
            </w:r>
          </w:p>
        </w:tc>
        <w:tc>
          <w:tcPr>
            <w:tcW w:w="967" w:type="pct"/>
            <w:tcBorders>
              <w:top w:val="nil"/>
              <w:left w:val="nil"/>
              <w:bottom w:val="single" w:sz="4" w:space="0" w:color="000000"/>
              <w:right w:val="single" w:sz="4" w:space="0" w:color="auto"/>
            </w:tcBorders>
            <w:shd w:val="clear" w:color="000000" w:fill="FFFFFF"/>
            <w:hideMark/>
          </w:tcPr>
          <w:p w14:paraId="20214476"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sz w:val="20"/>
              </w:rPr>
              <w:t>0.05 [0.01, 0.10], p=0.08</w:t>
            </w:r>
          </w:p>
        </w:tc>
      </w:tr>
      <w:tr w:rsidR="00986EC1" w:rsidRPr="00986EC1" w14:paraId="727635DA" w14:textId="77777777" w:rsidTr="005917C2">
        <w:trPr>
          <w:trHeight w:val="259"/>
        </w:trPr>
        <w:tc>
          <w:tcPr>
            <w:tcW w:w="941" w:type="pct"/>
            <w:tcBorders>
              <w:top w:val="single" w:sz="4" w:space="0" w:color="000000"/>
              <w:left w:val="single" w:sz="4" w:space="0" w:color="auto"/>
              <w:bottom w:val="single" w:sz="4" w:space="0" w:color="000000"/>
              <w:right w:val="single" w:sz="4" w:space="0" w:color="auto"/>
            </w:tcBorders>
            <w:shd w:val="clear" w:color="auto" w:fill="auto"/>
          </w:tcPr>
          <w:p w14:paraId="02406340"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bCs/>
                <w:sz w:val="20"/>
              </w:rPr>
              <w:t>Device migration or dislodgment</w:t>
            </w:r>
          </w:p>
        </w:tc>
        <w:tc>
          <w:tcPr>
            <w:tcW w:w="629" w:type="pct"/>
            <w:tcBorders>
              <w:top w:val="single" w:sz="4" w:space="0" w:color="000000"/>
              <w:left w:val="nil"/>
              <w:bottom w:val="single" w:sz="4" w:space="0" w:color="000000"/>
              <w:right w:val="single" w:sz="4" w:space="0" w:color="auto"/>
            </w:tcBorders>
            <w:shd w:val="clear" w:color="auto" w:fill="auto"/>
          </w:tcPr>
          <w:p w14:paraId="7B2C3AE7"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sz w:val="20"/>
              </w:rPr>
              <w:t>2/190 (1.05%)</w:t>
            </w:r>
          </w:p>
        </w:tc>
        <w:tc>
          <w:tcPr>
            <w:tcW w:w="629" w:type="pct"/>
            <w:tcBorders>
              <w:top w:val="single" w:sz="4" w:space="0" w:color="000000"/>
              <w:left w:val="nil"/>
              <w:bottom w:val="single" w:sz="4" w:space="0" w:color="000000"/>
              <w:right w:val="single" w:sz="4" w:space="0" w:color="auto"/>
            </w:tcBorders>
            <w:shd w:val="clear" w:color="auto" w:fill="auto"/>
          </w:tcPr>
          <w:p w14:paraId="6ADCBA03"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sz w:val="20"/>
              </w:rPr>
              <w:t>9/201 (4.48%)</w:t>
            </w:r>
          </w:p>
        </w:tc>
        <w:tc>
          <w:tcPr>
            <w:tcW w:w="943" w:type="pct"/>
            <w:tcBorders>
              <w:top w:val="single" w:sz="4" w:space="0" w:color="000000"/>
              <w:left w:val="nil"/>
              <w:bottom w:val="single" w:sz="4" w:space="0" w:color="000000"/>
              <w:right w:val="single" w:sz="4" w:space="0" w:color="auto"/>
            </w:tcBorders>
            <w:shd w:val="clear" w:color="000000" w:fill="FFFFFF"/>
          </w:tcPr>
          <w:p w14:paraId="30D8ECDE"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sz w:val="20"/>
              </w:rPr>
              <w:t>0.23 [0.05, 1.06], p=0.06</w:t>
            </w:r>
          </w:p>
        </w:tc>
        <w:tc>
          <w:tcPr>
            <w:tcW w:w="891" w:type="pct"/>
            <w:tcBorders>
              <w:top w:val="single" w:sz="4" w:space="0" w:color="000000"/>
              <w:left w:val="nil"/>
              <w:bottom w:val="single" w:sz="4" w:space="0" w:color="000000"/>
              <w:right w:val="single" w:sz="4" w:space="0" w:color="auto"/>
            </w:tcBorders>
            <w:shd w:val="clear" w:color="000000" w:fill="FFFFFF"/>
          </w:tcPr>
          <w:p w14:paraId="0D03CA28"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sz w:val="20"/>
              </w:rPr>
              <w:t>0.24 [0.05, 1.0], p=0.06</w:t>
            </w:r>
          </w:p>
        </w:tc>
        <w:tc>
          <w:tcPr>
            <w:tcW w:w="967" w:type="pct"/>
            <w:tcBorders>
              <w:top w:val="single" w:sz="4" w:space="0" w:color="000000"/>
              <w:left w:val="nil"/>
              <w:bottom w:val="single" w:sz="4" w:space="0" w:color="000000"/>
              <w:right w:val="single" w:sz="4" w:space="0" w:color="auto"/>
            </w:tcBorders>
            <w:shd w:val="clear" w:color="000000" w:fill="FFFFFF"/>
          </w:tcPr>
          <w:p w14:paraId="656F1B46" w14:textId="77777777" w:rsidR="00986EC1" w:rsidRPr="00986EC1" w:rsidRDefault="00986EC1" w:rsidP="00986EC1">
            <w:pPr>
              <w:spacing w:after="40"/>
              <w:rPr>
                <w:rFonts w:ascii="Arial Narrow" w:hAnsi="Arial Narrow" w:cs="Tahoma"/>
                <w:b/>
                <w:bCs/>
                <w:sz w:val="20"/>
              </w:rPr>
            </w:pPr>
            <w:r w:rsidRPr="00986EC1">
              <w:rPr>
                <w:rFonts w:ascii="Arial Narrow" w:hAnsi="Arial Narrow" w:cs="Tahoma"/>
                <w:b/>
                <w:bCs/>
                <w:sz w:val="20"/>
              </w:rPr>
              <w:t>-0.03 [-0.07, -0.00], p=0.04</w:t>
            </w:r>
          </w:p>
        </w:tc>
      </w:tr>
      <w:tr w:rsidR="00986EC1" w:rsidRPr="00986EC1" w14:paraId="7712425D" w14:textId="77777777" w:rsidTr="005917C2">
        <w:trPr>
          <w:trHeight w:val="259"/>
        </w:trPr>
        <w:tc>
          <w:tcPr>
            <w:tcW w:w="941" w:type="pct"/>
            <w:tcBorders>
              <w:top w:val="single" w:sz="4" w:space="0" w:color="000000"/>
              <w:left w:val="single" w:sz="4" w:space="0" w:color="auto"/>
              <w:bottom w:val="single" w:sz="4" w:space="0" w:color="auto"/>
              <w:right w:val="single" w:sz="4" w:space="0" w:color="auto"/>
            </w:tcBorders>
            <w:shd w:val="clear" w:color="auto" w:fill="auto"/>
          </w:tcPr>
          <w:p w14:paraId="3BFCDBD7"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bCs/>
                <w:sz w:val="20"/>
              </w:rPr>
              <w:t>Device subsidence</w:t>
            </w:r>
          </w:p>
        </w:tc>
        <w:tc>
          <w:tcPr>
            <w:tcW w:w="629" w:type="pct"/>
            <w:tcBorders>
              <w:top w:val="single" w:sz="4" w:space="0" w:color="000000"/>
              <w:left w:val="nil"/>
              <w:bottom w:val="single" w:sz="4" w:space="0" w:color="auto"/>
              <w:right w:val="single" w:sz="4" w:space="0" w:color="auto"/>
            </w:tcBorders>
            <w:shd w:val="clear" w:color="auto" w:fill="auto"/>
          </w:tcPr>
          <w:p w14:paraId="6E8A9374"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sz w:val="20"/>
              </w:rPr>
              <w:t>4/190 (2.1%)</w:t>
            </w:r>
          </w:p>
        </w:tc>
        <w:tc>
          <w:tcPr>
            <w:tcW w:w="629" w:type="pct"/>
            <w:tcBorders>
              <w:top w:val="single" w:sz="4" w:space="0" w:color="000000"/>
              <w:left w:val="nil"/>
              <w:bottom w:val="single" w:sz="4" w:space="0" w:color="auto"/>
              <w:right w:val="single" w:sz="4" w:space="0" w:color="auto"/>
            </w:tcBorders>
            <w:shd w:val="clear" w:color="auto" w:fill="auto"/>
          </w:tcPr>
          <w:p w14:paraId="5547CCDD"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sz w:val="20"/>
              </w:rPr>
              <w:t>0/201</w:t>
            </w:r>
          </w:p>
        </w:tc>
        <w:tc>
          <w:tcPr>
            <w:tcW w:w="943" w:type="pct"/>
            <w:tcBorders>
              <w:top w:val="single" w:sz="4" w:space="0" w:color="000000"/>
              <w:left w:val="nil"/>
              <w:bottom w:val="single" w:sz="4" w:space="0" w:color="auto"/>
              <w:right w:val="single" w:sz="4" w:space="0" w:color="auto"/>
            </w:tcBorders>
            <w:shd w:val="clear" w:color="000000" w:fill="FFFFFF"/>
          </w:tcPr>
          <w:p w14:paraId="3E8B20B6"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sz w:val="20"/>
              </w:rPr>
              <w:t>Not evaluable</w:t>
            </w:r>
          </w:p>
        </w:tc>
        <w:tc>
          <w:tcPr>
            <w:tcW w:w="891" w:type="pct"/>
            <w:tcBorders>
              <w:top w:val="single" w:sz="4" w:space="0" w:color="000000"/>
              <w:left w:val="nil"/>
              <w:bottom w:val="single" w:sz="4" w:space="0" w:color="auto"/>
              <w:right w:val="single" w:sz="4" w:space="0" w:color="auto"/>
            </w:tcBorders>
            <w:shd w:val="clear" w:color="000000" w:fill="FFFFFF"/>
          </w:tcPr>
          <w:p w14:paraId="7A72CB91"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sz w:val="20"/>
              </w:rPr>
              <w:t>Not evaluable</w:t>
            </w:r>
          </w:p>
        </w:tc>
        <w:tc>
          <w:tcPr>
            <w:tcW w:w="967" w:type="pct"/>
            <w:tcBorders>
              <w:top w:val="single" w:sz="4" w:space="0" w:color="000000"/>
              <w:left w:val="nil"/>
              <w:bottom w:val="single" w:sz="4" w:space="0" w:color="auto"/>
              <w:right w:val="single" w:sz="4" w:space="0" w:color="auto"/>
            </w:tcBorders>
            <w:shd w:val="clear" w:color="000000" w:fill="FFFFFF"/>
          </w:tcPr>
          <w:p w14:paraId="20F877A2" w14:textId="77777777" w:rsidR="00986EC1" w:rsidRPr="00986EC1" w:rsidRDefault="00986EC1" w:rsidP="00986EC1">
            <w:pPr>
              <w:spacing w:after="40"/>
              <w:rPr>
                <w:rFonts w:ascii="Arial Narrow" w:hAnsi="Arial Narrow" w:cs="Tahoma"/>
                <w:bCs/>
                <w:sz w:val="20"/>
              </w:rPr>
            </w:pPr>
            <w:r w:rsidRPr="00986EC1">
              <w:rPr>
                <w:rFonts w:ascii="Arial Narrow" w:hAnsi="Arial Narrow" w:cs="Tahoma"/>
                <w:sz w:val="20"/>
              </w:rPr>
              <w:t>0.02 [0.00, 0.04], p=0.07</w:t>
            </w:r>
          </w:p>
        </w:tc>
      </w:tr>
    </w:tbl>
    <w:p w14:paraId="1288D2B0" w14:textId="77777777" w:rsidR="00986EC1" w:rsidRPr="00986EC1" w:rsidRDefault="00986EC1" w:rsidP="00B23D55">
      <w:pPr>
        <w:pStyle w:val="Tablenotes1"/>
      </w:pPr>
      <w:r w:rsidRPr="00986EC1">
        <w:t>CI, confidence interval; IDS, interspinous decompression spacer; OR, odds ratio; RD, risk difference; RR, relative risk.</w:t>
      </w:r>
    </w:p>
    <w:p w14:paraId="260768CE" w14:textId="0B3BCDCA" w:rsidR="00986EC1" w:rsidRDefault="00986EC1" w:rsidP="00B23D55">
      <w:pPr>
        <w:pStyle w:val="Tablenotes1"/>
      </w:pPr>
      <w:r w:rsidRPr="00986EC1">
        <w:rPr>
          <w:b/>
          <w:bCs/>
        </w:rPr>
        <w:t>Bold</w:t>
      </w:r>
      <w:r w:rsidRPr="00986EC1">
        <w:t xml:space="preserve"> = statistically significant.</w:t>
      </w:r>
    </w:p>
    <w:p w14:paraId="105286D7" w14:textId="0B10D6E2" w:rsidR="000236D4" w:rsidRPr="00986EC1" w:rsidRDefault="000236D4" w:rsidP="00B23D55">
      <w:pPr>
        <w:pStyle w:val="Tablenotes1"/>
      </w:pPr>
      <w:r>
        <w:t>Source: Commentary, Table 8</w:t>
      </w:r>
    </w:p>
    <w:p w14:paraId="054C6987" w14:textId="77777777" w:rsidR="00986EC1" w:rsidRPr="00986EC1" w:rsidRDefault="00986EC1" w:rsidP="00986EC1">
      <w:pPr>
        <w:keepNext/>
        <w:keepLines/>
        <w:tabs>
          <w:tab w:val="left" w:pos="851"/>
        </w:tabs>
        <w:spacing w:before="360" w:after="200"/>
        <w:outlineLvl w:val="3"/>
        <w:rPr>
          <w:rFonts w:ascii="Franklin Gothic Medium" w:eastAsia="SimSun" w:hAnsi="Franklin Gothic Medium"/>
          <w:i/>
          <w:szCs w:val="24"/>
          <w:lang w:eastAsia="en-US"/>
        </w:rPr>
      </w:pPr>
      <w:r w:rsidRPr="00986EC1">
        <w:rPr>
          <w:rFonts w:ascii="Franklin Gothic Medium" w:eastAsia="SimSun" w:hAnsi="Franklin Gothic Medium"/>
          <w:i/>
          <w:szCs w:val="24"/>
          <w:lang w:eastAsia="en-US"/>
        </w:rPr>
        <w:t>Complications</w:t>
      </w:r>
    </w:p>
    <w:p w14:paraId="69F70A6E" w14:textId="77777777" w:rsidR="004D619C" w:rsidRDefault="00986EC1" w:rsidP="00986EC1">
      <w:pPr>
        <w:keepNext/>
        <w:spacing w:before="360" w:after="120"/>
        <w:ind w:left="794" w:hanging="794"/>
        <w:rPr>
          <w:rFonts w:ascii="Franklin Gothic Book" w:eastAsia="Calibri" w:hAnsi="Franklin Gothic Book"/>
          <w:sz w:val="22"/>
          <w:szCs w:val="18"/>
          <w:lang w:eastAsia="en-US"/>
        </w:rPr>
      </w:pPr>
      <w:r w:rsidRPr="00BB3E71">
        <w:rPr>
          <w:rFonts w:ascii="Franklin Gothic Book" w:eastAsia="Calibri" w:hAnsi="Franklin Gothic Book"/>
          <w:sz w:val="22"/>
          <w:szCs w:val="18"/>
          <w:lang w:eastAsia="en-US"/>
        </w:rPr>
        <w:t>The rates of complications in the Superion IDE study were similar for Superion (13.7%) and X-STOP (16.9%) (RD [95% CI] -0.03 [-0.10, 0.04]).</w:t>
      </w:r>
    </w:p>
    <w:p w14:paraId="40FA7D7E" w14:textId="065D741B" w:rsidR="00986EC1" w:rsidRPr="00986EC1" w:rsidRDefault="00986EC1" w:rsidP="00986EC1">
      <w:pPr>
        <w:keepNext/>
        <w:spacing w:before="360" w:after="120"/>
        <w:ind w:left="794" w:hanging="794"/>
        <w:rPr>
          <w:rFonts w:ascii="Arial Narrow" w:hAnsi="Arial Narrow"/>
          <w:b/>
          <w:bCs/>
          <w:sz w:val="20"/>
          <w:lang w:eastAsia="en-US"/>
        </w:rPr>
      </w:pPr>
      <w:r w:rsidRPr="00986EC1">
        <w:rPr>
          <w:rFonts w:ascii="Arial Narrow" w:hAnsi="Arial Narrow"/>
          <w:b/>
          <w:bCs/>
          <w:sz w:val="20"/>
          <w:lang w:eastAsia="en-US"/>
        </w:rPr>
        <w:t xml:space="preserve">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9</w:t>
      </w:r>
      <w:r w:rsidRPr="00986EC1">
        <w:rPr>
          <w:rFonts w:ascii="Arial Narrow" w:hAnsi="Arial Narrow"/>
          <w:b/>
          <w:bCs/>
          <w:noProof/>
          <w:sz w:val="20"/>
          <w:lang w:eastAsia="en-US"/>
        </w:rPr>
        <w:fldChar w:fldCharType="end"/>
      </w:r>
      <w:r w:rsidRPr="00986EC1">
        <w:rPr>
          <w:rFonts w:ascii="Arial Narrow" w:hAnsi="Arial Narrow"/>
          <w:b/>
          <w:bCs/>
          <w:sz w:val="20"/>
          <w:lang w:eastAsia="en-US"/>
        </w:rPr>
        <w:tab/>
        <w:t>Major complication rates in the RCT of Superion IDE study to 24-months</w:t>
      </w:r>
    </w:p>
    <w:tbl>
      <w:tblPr>
        <w:tblStyle w:val="OPTUMTableNormal"/>
        <w:tblW w:w="0" w:type="auto"/>
        <w:tblLook w:val="04A0" w:firstRow="1" w:lastRow="0" w:firstColumn="1" w:lastColumn="0" w:noHBand="0" w:noVBand="1"/>
      </w:tblPr>
      <w:tblGrid>
        <w:gridCol w:w="988"/>
        <w:gridCol w:w="1559"/>
        <w:gridCol w:w="1559"/>
        <w:gridCol w:w="1636"/>
        <w:gridCol w:w="1637"/>
        <w:gridCol w:w="1637"/>
      </w:tblGrid>
      <w:tr w:rsidR="00986EC1" w:rsidRPr="00986EC1" w14:paraId="2FBA269C" w14:textId="77777777" w:rsidTr="005917C2">
        <w:trPr>
          <w:cnfStyle w:val="100000000000" w:firstRow="1" w:lastRow="0" w:firstColumn="0" w:lastColumn="0" w:oddVBand="0" w:evenVBand="0" w:oddHBand="0" w:evenHBand="0" w:firstRowFirstColumn="0" w:firstRowLastColumn="0" w:lastRowFirstColumn="0" w:lastRowLastColumn="0"/>
          <w:trHeight w:val="259"/>
          <w:tblHeader/>
        </w:trPr>
        <w:tc>
          <w:tcPr>
            <w:tcW w:w="988" w:type="dxa"/>
            <w:vMerge w:val="restart"/>
            <w:hideMark/>
          </w:tcPr>
          <w:p w14:paraId="64AD1853"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Trial ID</w:t>
            </w:r>
          </w:p>
        </w:tc>
        <w:tc>
          <w:tcPr>
            <w:tcW w:w="1559" w:type="dxa"/>
            <w:hideMark/>
          </w:tcPr>
          <w:p w14:paraId="5F8B01EA"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 xml:space="preserve">Superion </w:t>
            </w:r>
          </w:p>
        </w:tc>
        <w:tc>
          <w:tcPr>
            <w:tcW w:w="1559" w:type="dxa"/>
            <w:hideMark/>
          </w:tcPr>
          <w:p w14:paraId="72D55F12"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X-STOP</w:t>
            </w:r>
          </w:p>
        </w:tc>
        <w:tc>
          <w:tcPr>
            <w:tcW w:w="1636" w:type="dxa"/>
            <w:vMerge w:val="restart"/>
            <w:hideMark/>
          </w:tcPr>
          <w:p w14:paraId="7EAD3969"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OR [95% CI]</w:t>
            </w:r>
          </w:p>
          <w:p w14:paraId="5680655B"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&lt; 1 favours Superion</w:t>
            </w:r>
          </w:p>
        </w:tc>
        <w:tc>
          <w:tcPr>
            <w:tcW w:w="1637" w:type="dxa"/>
            <w:vMerge w:val="restart"/>
            <w:hideMark/>
          </w:tcPr>
          <w:p w14:paraId="16BD49C6"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RR [95% CI]</w:t>
            </w:r>
          </w:p>
          <w:p w14:paraId="76C3F21D"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&lt; 1 favours Superion</w:t>
            </w:r>
          </w:p>
        </w:tc>
        <w:tc>
          <w:tcPr>
            <w:tcW w:w="1637" w:type="dxa"/>
            <w:vMerge w:val="restart"/>
            <w:hideMark/>
          </w:tcPr>
          <w:p w14:paraId="562C43C9"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RD [95% CI]</w:t>
            </w:r>
          </w:p>
          <w:p w14:paraId="7B315C98"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&lt; 0 favours Superion</w:t>
            </w:r>
          </w:p>
        </w:tc>
      </w:tr>
      <w:tr w:rsidR="00986EC1" w:rsidRPr="00986EC1" w14:paraId="189C376B" w14:textId="77777777" w:rsidTr="005917C2">
        <w:trPr>
          <w:cnfStyle w:val="100000000000" w:firstRow="1" w:lastRow="0" w:firstColumn="0" w:lastColumn="0" w:oddVBand="0" w:evenVBand="0" w:oddHBand="0" w:evenHBand="0" w:firstRowFirstColumn="0" w:firstRowLastColumn="0" w:lastRowFirstColumn="0" w:lastRowLastColumn="0"/>
          <w:trHeight w:val="259"/>
          <w:tblHeader/>
        </w:trPr>
        <w:tc>
          <w:tcPr>
            <w:tcW w:w="988" w:type="dxa"/>
            <w:vMerge/>
            <w:hideMark/>
          </w:tcPr>
          <w:p w14:paraId="1367FE06" w14:textId="77777777" w:rsidR="00986EC1" w:rsidRPr="00986EC1" w:rsidRDefault="00986EC1" w:rsidP="00986EC1">
            <w:pPr>
              <w:spacing w:after="40"/>
              <w:jc w:val="both"/>
              <w:rPr>
                <w:rFonts w:ascii="Arial Narrow" w:hAnsi="Arial Narrow" w:cs="Tahoma"/>
                <w:b/>
                <w:bCs/>
                <w:sz w:val="20"/>
              </w:rPr>
            </w:pPr>
          </w:p>
        </w:tc>
        <w:tc>
          <w:tcPr>
            <w:tcW w:w="1559" w:type="dxa"/>
            <w:hideMark/>
          </w:tcPr>
          <w:p w14:paraId="1788ED5F"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n /N (%)</w:t>
            </w:r>
          </w:p>
        </w:tc>
        <w:tc>
          <w:tcPr>
            <w:tcW w:w="1559" w:type="dxa"/>
            <w:hideMark/>
          </w:tcPr>
          <w:p w14:paraId="7B070A08"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n /N (%)</w:t>
            </w:r>
          </w:p>
        </w:tc>
        <w:tc>
          <w:tcPr>
            <w:tcW w:w="1636" w:type="dxa"/>
            <w:vMerge/>
            <w:hideMark/>
          </w:tcPr>
          <w:p w14:paraId="5818E1C5" w14:textId="77777777" w:rsidR="00986EC1" w:rsidRPr="00986EC1" w:rsidRDefault="00986EC1" w:rsidP="00986EC1">
            <w:pPr>
              <w:spacing w:before="120" w:after="60"/>
              <w:rPr>
                <w:rFonts w:ascii="Arial Narrow" w:hAnsi="Arial Narrow"/>
                <w:b/>
                <w:sz w:val="20"/>
                <w:szCs w:val="18"/>
              </w:rPr>
            </w:pPr>
          </w:p>
        </w:tc>
        <w:tc>
          <w:tcPr>
            <w:tcW w:w="1637" w:type="dxa"/>
            <w:vMerge/>
            <w:hideMark/>
          </w:tcPr>
          <w:p w14:paraId="4D9A2EFD" w14:textId="77777777" w:rsidR="00986EC1" w:rsidRPr="00986EC1" w:rsidRDefault="00986EC1" w:rsidP="00986EC1">
            <w:pPr>
              <w:spacing w:before="120" w:after="60"/>
              <w:rPr>
                <w:rFonts w:ascii="Arial Narrow" w:hAnsi="Arial Narrow"/>
                <w:b/>
                <w:sz w:val="20"/>
                <w:szCs w:val="18"/>
              </w:rPr>
            </w:pPr>
          </w:p>
        </w:tc>
        <w:tc>
          <w:tcPr>
            <w:tcW w:w="1637" w:type="dxa"/>
            <w:vMerge/>
            <w:hideMark/>
          </w:tcPr>
          <w:p w14:paraId="2F097362" w14:textId="77777777" w:rsidR="00986EC1" w:rsidRPr="00986EC1" w:rsidRDefault="00986EC1" w:rsidP="00986EC1">
            <w:pPr>
              <w:spacing w:before="120" w:after="60"/>
              <w:rPr>
                <w:rFonts w:ascii="Arial Narrow" w:hAnsi="Arial Narrow"/>
                <w:b/>
                <w:sz w:val="20"/>
                <w:szCs w:val="18"/>
              </w:rPr>
            </w:pPr>
          </w:p>
        </w:tc>
      </w:tr>
      <w:tr w:rsidR="00986EC1" w:rsidRPr="00986EC1" w14:paraId="7EA2095B" w14:textId="77777777" w:rsidTr="005917C2">
        <w:trPr>
          <w:trHeight w:val="259"/>
        </w:trPr>
        <w:tc>
          <w:tcPr>
            <w:tcW w:w="0" w:type="dxa"/>
            <w:hideMark/>
          </w:tcPr>
          <w:p w14:paraId="3C06BBEB"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 xml:space="preserve">IDE Study </w:t>
            </w:r>
          </w:p>
        </w:tc>
        <w:tc>
          <w:tcPr>
            <w:tcW w:w="0" w:type="dxa"/>
            <w:hideMark/>
          </w:tcPr>
          <w:p w14:paraId="6963FB1D"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26/190 (13.68%)</w:t>
            </w:r>
          </w:p>
        </w:tc>
        <w:tc>
          <w:tcPr>
            <w:tcW w:w="0" w:type="dxa"/>
            <w:hideMark/>
          </w:tcPr>
          <w:p w14:paraId="3BA57215"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34/201 (16.92%)</w:t>
            </w:r>
          </w:p>
        </w:tc>
        <w:tc>
          <w:tcPr>
            <w:tcW w:w="1636" w:type="dxa"/>
            <w:hideMark/>
          </w:tcPr>
          <w:p w14:paraId="551674B5"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0.78 [0.45, 1.36], p=0.38</w:t>
            </w:r>
          </w:p>
        </w:tc>
        <w:tc>
          <w:tcPr>
            <w:tcW w:w="1637" w:type="dxa"/>
            <w:hideMark/>
          </w:tcPr>
          <w:p w14:paraId="59881EDE"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0.81 [0.51, 1.30], p=0.38</w:t>
            </w:r>
          </w:p>
        </w:tc>
        <w:tc>
          <w:tcPr>
            <w:tcW w:w="1637" w:type="dxa"/>
            <w:hideMark/>
          </w:tcPr>
          <w:p w14:paraId="5614FFB1"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-0.03 [-0.10, 0.04], p=0.37</w:t>
            </w:r>
          </w:p>
        </w:tc>
      </w:tr>
    </w:tbl>
    <w:p w14:paraId="294DE305" w14:textId="20103FD8" w:rsidR="00986EC1" w:rsidRDefault="00986EC1" w:rsidP="00B23D55">
      <w:pPr>
        <w:pStyle w:val="Tablenotes1"/>
      </w:pPr>
      <w:r w:rsidRPr="00986EC1">
        <w:t>CI, confidence interval; OR, odds ratio; RD, risk difference; RR, relative risk.</w:t>
      </w:r>
    </w:p>
    <w:p w14:paraId="2A6E0D99" w14:textId="61D38F12" w:rsidR="000236D4" w:rsidRPr="00986EC1" w:rsidRDefault="000236D4" w:rsidP="00B23D55">
      <w:pPr>
        <w:pStyle w:val="Tablenotes1"/>
      </w:pPr>
      <w:r>
        <w:t>Source: Commentary, Table 9</w:t>
      </w:r>
    </w:p>
    <w:p w14:paraId="065906A3" w14:textId="77777777" w:rsidR="00CD6A23" w:rsidRPr="00986EC1" w:rsidRDefault="00CD6A23" w:rsidP="00CD6A23">
      <w:pPr>
        <w:keepNext/>
        <w:keepLines/>
        <w:tabs>
          <w:tab w:val="left" w:pos="851"/>
        </w:tabs>
        <w:spacing w:before="360" w:after="200"/>
        <w:outlineLvl w:val="3"/>
        <w:rPr>
          <w:rFonts w:ascii="Franklin Gothic Medium" w:eastAsia="SimSun" w:hAnsi="Franklin Gothic Medium"/>
          <w:i/>
          <w:szCs w:val="24"/>
          <w:lang w:eastAsia="en-US"/>
        </w:rPr>
      </w:pPr>
      <w:bookmarkStart w:id="41" w:name="_Toc69491424"/>
      <w:r>
        <w:rPr>
          <w:rFonts w:ascii="Franklin Gothic Medium" w:eastAsia="SimSun" w:hAnsi="Franklin Gothic Medium"/>
          <w:i/>
          <w:szCs w:val="24"/>
          <w:lang w:eastAsia="en-US"/>
        </w:rPr>
        <w:t>Summary</w:t>
      </w:r>
    </w:p>
    <w:p w14:paraId="6354134D" w14:textId="77777777" w:rsidR="00CD6A23" w:rsidRPr="00986EC1" w:rsidRDefault="00CD6A23" w:rsidP="00CD6A23">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Collectively, these data support a clinical conclusion of non-inferior safety for indirect decompression using Superion compared to X-STOP. It is noted that X-STOP has been withdrawn from the market.</w:t>
      </w:r>
    </w:p>
    <w:p w14:paraId="2C0AED24" w14:textId="49445264" w:rsidR="00986EC1" w:rsidRPr="00986EC1" w:rsidRDefault="00986EC1" w:rsidP="00986EC1">
      <w:pPr>
        <w:keepNext/>
        <w:keepLines/>
        <w:spacing w:before="360" w:after="240"/>
        <w:outlineLvl w:val="1"/>
        <w:rPr>
          <w:rFonts w:ascii="Franklin Gothic Medium" w:eastAsia="SimSun" w:hAnsi="Franklin Gothic Medium"/>
          <w:color w:val="000000"/>
          <w:sz w:val="32"/>
          <w:szCs w:val="26"/>
          <w:lang w:eastAsia="en-US"/>
        </w:rPr>
      </w:pPr>
      <w:r w:rsidRPr="00986EC1">
        <w:rPr>
          <w:rFonts w:ascii="Franklin Gothic Medium" w:eastAsia="SimSun" w:hAnsi="Franklin Gothic Medium"/>
          <w:color w:val="000000"/>
          <w:sz w:val="32"/>
          <w:szCs w:val="26"/>
          <w:lang w:eastAsia="en-US"/>
        </w:rPr>
        <w:t>1</w:t>
      </w:r>
      <w:r w:rsidR="0007499C">
        <w:rPr>
          <w:rFonts w:ascii="Franklin Gothic Medium" w:eastAsia="SimSun" w:hAnsi="Franklin Gothic Medium"/>
          <w:color w:val="000000"/>
          <w:sz w:val="32"/>
          <w:szCs w:val="26"/>
          <w:lang w:eastAsia="en-US"/>
        </w:rPr>
        <w:t>2</w:t>
      </w:r>
      <w:r w:rsidRPr="00986EC1">
        <w:rPr>
          <w:rFonts w:ascii="Franklin Gothic Medium" w:eastAsia="SimSun" w:hAnsi="Franklin Gothic Medium"/>
          <w:color w:val="000000"/>
          <w:sz w:val="32"/>
          <w:szCs w:val="26"/>
          <w:lang w:eastAsia="en-US"/>
        </w:rPr>
        <w:t>.</w:t>
      </w:r>
      <w:r w:rsidRPr="00986EC1">
        <w:rPr>
          <w:rFonts w:ascii="Franklin Gothic Medium" w:eastAsia="SimSun" w:hAnsi="Franklin Gothic Medium"/>
          <w:color w:val="000000"/>
          <w:sz w:val="32"/>
          <w:szCs w:val="26"/>
          <w:lang w:eastAsia="en-US"/>
        </w:rPr>
        <w:tab/>
        <w:t>Comparative effectiveness</w:t>
      </w:r>
      <w:bookmarkEnd w:id="41"/>
    </w:p>
    <w:p w14:paraId="3A384C01" w14:textId="77777777" w:rsidR="00986EC1" w:rsidRPr="00986EC1" w:rsidRDefault="00986EC1" w:rsidP="00986EC1">
      <w:pPr>
        <w:keepNext/>
        <w:keepLines/>
        <w:tabs>
          <w:tab w:val="left" w:pos="851"/>
        </w:tabs>
        <w:spacing w:before="360" w:after="200"/>
        <w:outlineLvl w:val="2"/>
        <w:rPr>
          <w:rFonts w:ascii="Franklin Gothic Medium" w:eastAsia="SimSun" w:hAnsi="Franklin Gothic Medium"/>
          <w:szCs w:val="24"/>
          <w:lang w:eastAsia="en-US"/>
        </w:rPr>
      </w:pPr>
      <w:r w:rsidRPr="00986EC1">
        <w:rPr>
          <w:rFonts w:ascii="Franklin Gothic Medium" w:eastAsia="SimSun" w:hAnsi="Franklin Gothic Medium"/>
          <w:szCs w:val="24"/>
          <w:lang w:eastAsia="en-US"/>
        </w:rPr>
        <w:t>IDS versus decompression</w:t>
      </w:r>
    </w:p>
    <w:p w14:paraId="1CC8989C" w14:textId="77777777" w:rsidR="00986EC1" w:rsidRPr="00986EC1" w:rsidRDefault="00986EC1" w:rsidP="00986EC1">
      <w:pPr>
        <w:keepNext/>
        <w:keepLines/>
        <w:tabs>
          <w:tab w:val="left" w:pos="851"/>
        </w:tabs>
        <w:spacing w:before="360" w:after="200"/>
        <w:outlineLvl w:val="3"/>
        <w:rPr>
          <w:rFonts w:ascii="Franklin Gothic Medium" w:eastAsia="SimSun" w:hAnsi="Franklin Gothic Medium"/>
          <w:i/>
          <w:szCs w:val="24"/>
          <w:lang w:eastAsia="en-US"/>
        </w:rPr>
      </w:pPr>
      <w:r w:rsidRPr="00986EC1">
        <w:rPr>
          <w:rFonts w:ascii="Franklin Gothic Medium" w:eastAsia="SimSun" w:hAnsi="Franklin Gothic Medium"/>
          <w:i/>
          <w:szCs w:val="24"/>
          <w:lang w:eastAsia="en-US"/>
        </w:rPr>
        <w:t>Oswestry Disability Index (ODI)</w:t>
      </w:r>
    </w:p>
    <w:p w14:paraId="56934EC5"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Two trials (Lønne (2015) and CELAX) reported data on change in ODI score from baseline to 24 months. The CELAX study showed very little change from baseline to 24 months in patients treated with decompression. The mean difference favoured IDS but did not reach the (minimal clinically important difference (MCID) value of 12.8. The difference in ODI scores between trial arms at 2 years in the Lønne study (2015) was 4.07 (95% CI, − 3.45 to 11.59; p=0.285), which was not significantly different.</w:t>
      </w:r>
    </w:p>
    <w:p w14:paraId="6C41BAF3" w14:textId="461802A5" w:rsidR="00986EC1" w:rsidRPr="00986EC1" w:rsidRDefault="00986EC1" w:rsidP="00986EC1">
      <w:pPr>
        <w:keepNext/>
        <w:spacing w:before="360" w:after="120"/>
        <w:ind w:left="794" w:hanging="794"/>
        <w:rPr>
          <w:rFonts w:ascii="Arial Narrow" w:hAnsi="Arial Narrow" w:cs="Arial"/>
          <w:b/>
          <w:bCs/>
          <w:iCs/>
          <w:snapToGrid w:val="0"/>
          <w:sz w:val="20"/>
          <w:lang w:eastAsia="en-US"/>
        </w:rPr>
      </w:pPr>
      <w:bookmarkStart w:id="42" w:name="_Ref72312775"/>
      <w:bookmarkStart w:id="43" w:name="_Toc72940100"/>
      <w:bookmarkStart w:id="44" w:name="_Toc73546369"/>
      <w:bookmarkStart w:id="45" w:name="_Toc79654921"/>
      <w:r w:rsidRPr="00986EC1">
        <w:rPr>
          <w:rFonts w:ascii="Arial Narrow" w:hAnsi="Arial Narrow"/>
          <w:b/>
          <w:bCs/>
          <w:sz w:val="20"/>
          <w:lang w:eastAsia="en-US"/>
        </w:rPr>
        <w:t xml:space="preserve">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10</w:t>
      </w:r>
      <w:r w:rsidRPr="00986EC1">
        <w:rPr>
          <w:rFonts w:ascii="Arial Narrow" w:hAnsi="Arial Narrow"/>
          <w:b/>
          <w:bCs/>
          <w:noProof/>
          <w:sz w:val="20"/>
          <w:lang w:eastAsia="en-US"/>
        </w:rPr>
        <w:fldChar w:fldCharType="end"/>
      </w:r>
      <w:bookmarkEnd w:id="42"/>
      <w:r w:rsidRPr="00986EC1">
        <w:rPr>
          <w:rFonts w:ascii="Arial Narrow" w:hAnsi="Arial Narrow"/>
          <w:b/>
          <w:bCs/>
          <w:sz w:val="20"/>
          <w:lang w:eastAsia="en-US"/>
        </w:rPr>
        <w:tab/>
        <w:t>ODI score: Results of IDS vs. decompression across the included RCTs</w:t>
      </w:r>
      <w:bookmarkEnd w:id="43"/>
      <w:bookmarkEnd w:id="44"/>
      <w:bookmarkEnd w:id="45"/>
    </w:p>
    <w:tbl>
      <w:tblPr>
        <w:tblStyle w:val="OPTUMTableNormal"/>
        <w:tblW w:w="5028" w:type="pct"/>
        <w:tblLayout w:type="fixed"/>
        <w:tblLook w:val="04A0" w:firstRow="1" w:lastRow="0" w:firstColumn="1" w:lastColumn="0" w:noHBand="0" w:noVBand="1"/>
      </w:tblPr>
      <w:tblGrid>
        <w:gridCol w:w="849"/>
        <w:gridCol w:w="849"/>
        <w:gridCol w:w="997"/>
        <w:gridCol w:w="946"/>
        <w:gridCol w:w="803"/>
        <w:gridCol w:w="664"/>
        <w:gridCol w:w="946"/>
        <w:gridCol w:w="948"/>
        <w:gridCol w:w="236"/>
        <w:gridCol w:w="236"/>
        <w:gridCol w:w="319"/>
        <w:gridCol w:w="1273"/>
      </w:tblGrid>
      <w:tr w:rsidR="00986EC1" w:rsidRPr="00986EC1" w14:paraId="5B171C3A" w14:textId="77777777" w:rsidTr="005917C2">
        <w:trPr>
          <w:cnfStyle w:val="100000000000" w:firstRow="1" w:lastRow="0" w:firstColumn="0" w:lastColumn="0" w:oddVBand="0" w:evenVBand="0" w:oddHBand="0" w:evenHBand="0" w:firstRowFirstColumn="0" w:firstRowLastColumn="0" w:lastRowFirstColumn="0" w:lastRowLastColumn="0"/>
          <w:trHeight w:val="70"/>
          <w:tblHeader/>
        </w:trPr>
        <w:tc>
          <w:tcPr>
            <w:tcW w:w="468" w:type="pct"/>
            <w:vMerge w:val="restart"/>
          </w:tcPr>
          <w:p w14:paraId="30ADDEE2"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Trial ID</w:t>
            </w:r>
          </w:p>
        </w:tc>
        <w:tc>
          <w:tcPr>
            <w:tcW w:w="468" w:type="pct"/>
            <w:tcBorders>
              <w:right w:val="single" w:sz="4" w:space="0" w:color="FFFFFF"/>
            </w:tcBorders>
          </w:tcPr>
          <w:p w14:paraId="194C5F71"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IDS</w:t>
            </w:r>
          </w:p>
        </w:tc>
        <w:tc>
          <w:tcPr>
            <w:tcW w:w="550" w:type="pct"/>
            <w:tcBorders>
              <w:left w:val="single" w:sz="4" w:space="0" w:color="FFFFFF"/>
              <w:right w:val="single" w:sz="4" w:space="0" w:color="FFFFFF"/>
            </w:tcBorders>
          </w:tcPr>
          <w:p w14:paraId="21F635A3" w14:textId="77777777" w:rsidR="00986EC1" w:rsidRPr="00986EC1" w:rsidRDefault="00986EC1" w:rsidP="00986EC1">
            <w:pPr>
              <w:spacing w:before="120" w:after="60"/>
              <w:rPr>
                <w:rFonts w:ascii="Arial Narrow" w:hAnsi="Arial Narrow"/>
                <w:b/>
                <w:sz w:val="20"/>
                <w:szCs w:val="18"/>
              </w:rPr>
            </w:pPr>
          </w:p>
        </w:tc>
        <w:tc>
          <w:tcPr>
            <w:tcW w:w="522" w:type="pct"/>
            <w:tcBorders>
              <w:left w:val="single" w:sz="4" w:space="0" w:color="FFFFFF"/>
              <w:right w:val="single" w:sz="4" w:space="0" w:color="FFFFFF"/>
            </w:tcBorders>
          </w:tcPr>
          <w:p w14:paraId="7D7481E8" w14:textId="77777777" w:rsidR="00986EC1" w:rsidRPr="00986EC1" w:rsidRDefault="00986EC1" w:rsidP="00986EC1">
            <w:pPr>
              <w:spacing w:before="120" w:after="60"/>
              <w:rPr>
                <w:rFonts w:ascii="Arial Narrow" w:hAnsi="Arial Narrow"/>
                <w:b/>
                <w:sz w:val="20"/>
                <w:szCs w:val="18"/>
              </w:rPr>
            </w:pPr>
          </w:p>
        </w:tc>
        <w:tc>
          <w:tcPr>
            <w:tcW w:w="443" w:type="pct"/>
            <w:tcBorders>
              <w:left w:val="single" w:sz="4" w:space="0" w:color="FFFFFF"/>
            </w:tcBorders>
          </w:tcPr>
          <w:p w14:paraId="79A89D5C" w14:textId="77777777" w:rsidR="00986EC1" w:rsidRPr="00986EC1" w:rsidRDefault="00986EC1" w:rsidP="00986EC1">
            <w:pPr>
              <w:spacing w:before="120" w:after="60"/>
              <w:rPr>
                <w:rFonts w:ascii="Arial Narrow" w:hAnsi="Arial Narrow"/>
                <w:b/>
                <w:sz w:val="20"/>
                <w:szCs w:val="18"/>
              </w:rPr>
            </w:pPr>
          </w:p>
        </w:tc>
        <w:tc>
          <w:tcPr>
            <w:tcW w:w="1411" w:type="pct"/>
            <w:gridSpan w:val="3"/>
            <w:tcBorders>
              <w:right w:val="single" w:sz="4" w:space="0" w:color="FFFFFF"/>
            </w:tcBorders>
          </w:tcPr>
          <w:p w14:paraId="54A9CAD5"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 xml:space="preserve">Decompression </w:t>
            </w:r>
          </w:p>
        </w:tc>
        <w:tc>
          <w:tcPr>
            <w:tcW w:w="130" w:type="pct"/>
            <w:tcBorders>
              <w:left w:val="single" w:sz="4" w:space="0" w:color="FFFFFF"/>
              <w:right w:val="single" w:sz="4" w:space="0" w:color="FFFFFF"/>
            </w:tcBorders>
          </w:tcPr>
          <w:p w14:paraId="10D72353" w14:textId="77777777" w:rsidR="00986EC1" w:rsidRPr="00986EC1" w:rsidRDefault="00986EC1" w:rsidP="00986EC1">
            <w:pPr>
              <w:spacing w:before="120" w:after="60"/>
              <w:rPr>
                <w:rFonts w:ascii="Arial Narrow" w:hAnsi="Arial Narrow"/>
                <w:b/>
                <w:sz w:val="20"/>
                <w:szCs w:val="18"/>
              </w:rPr>
            </w:pPr>
          </w:p>
        </w:tc>
        <w:tc>
          <w:tcPr>
            <w:tcW w:w="130" w:type="pct"/>
            <w:tcBorders>
              <w:left w:val="single" w:sz="4" w:space="0" w:color="FFFFFF"/>
              <w:right w:val="single" w:sz="4" w:space="0" w:color="FFFFFF"/>
            </w:tcBorders>
          </w:tcPr>
          <w:p w14:paraId="2872E7BE" w14:textId="77777777" w:rsidR="00986EC1" w:rsidRPr="00986EC1" w:rsidRDefault="00986EC1" w:rsidP="00986EC1">
            <w:pPr>
              <w:spacing w:before="120" w:after="60"/>
              <w:rPr>
                <w:rFonts w:ascii="Arial Narrow" w:hAnsi="Arial Narrow"/>
                <w:b/>
                <w:sz w:val="20"/>
                <w:szCs w:val="18"/>
              </w:rPr>
            </w:pPr>
          </w:p>
        </w:tc>
        <w:tc>
          <w:tcPr>
            <w:tcW w:w="175" w:type="pct"/>
            <w:tcBorders>
              <w:left w:val="single" w:sz="4" w:space="0" w:color="FFFFFF"/>
            </w:tcBorders>
          </w:tcPr>
          <w:p w14:paraId="5B312D87" w14:textId="77777777" w:rsidR="00986EC1" w:rsidRPr="00986EC1" w:rsidRDefault="00986EC1" w:rsidP="00986EC1">
            <w:pPr>
              <w:spacing w:before="120" w:after="60"/>
              <w:rPr>
                <w:rFonts w:ascii="Arial Narrow" w:hAnsi="Arial Narrow"/>
                <w:b/>
                <w:sz w:val="20"/>
                <w:szCs w:val="18"/>
              </w:rPr>
            </w:pPr>
          </w:p>
        </w:tc>
        <w:tc>
          <w:tcPr>
            <w:tcW w:w="703" w:type="pct"/>
            <w:vMerge w:val="restart"/>
          </w:tcPr>
          <w:p w14:paraId="08AC7527"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MD (&lt; 0 favours IDS)</w:t>
            </w:r>
          </w:p>
        </w:tc>
      </w:tr>
      <w:tr w:rsidR="00986EC1" w:rsidRPr="00986EC1" w14:paraId="740C1714" w14:textId="77777777" w:rsidTr="005917C2">
        <w:trPr>
          <w:cnfStyle w:val="100000000000" w:firstRow="1" w:lastRow="0" w:firstColumn="0" w:lastColumn="0" w:oddVBand="0" w:evenVBand="0" w:oddHBand="0" w:evenHBand="0" w:firstRowFirstColumn="0" w:firstRowLastColumn="0" w:lastRowFirstColumn="0" w:lastRowLastColumn="0"/>
          <w:trHeight w:val="70"/>
          <w:tblHeader/>
        </w:trPr>
        <w:tc>
          <w:tcPr>
            <w:tcW w:w="468" w:type="pct"/>
            <w:vMerge/>
            <w:hideMark/>
          </w:tcPr>
          <w:p w14:paraId="20A2CCB7" w14:textId="77777777" w:rsidR="00986EC1" w:rsidRPr="00986EC1" w:rsidRDefault="00986EC1" w:rsidP="00986EC1">
            <w:pPr>
              <w:spacing w:after="40"/>
              <w:rPr>
                <w:rFonts w:ascii="Arial Narrow" w:hAnsi="Arial Narrow"/>
                <w:sz w:val="20"/>
                <w:szCs w:val="18"/>
              </w:rPr>
            </w:pPr>
          </w:p>
        </w:tc>
        <w:tc>
          <w:tcPr>
            <w:tcW w:w="468" w:type="pct"/>
            <w:hideMark/>
          </w:tcPr>
          <w:p w14:paraId="209454AF"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n /N (%)</w:t>
            </w:r>
          </w:p>
        </w:tc>
        <w:tc>
          <w:tcPr>
            <w:tcW w:w="550" w:type="pct"/>
            <w:hideMark/>
          </w:tcPr>
          <w:p w14:paraId="75818CFF"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Baseline mean (SD)</w:t>
            </w:r>
          </w:p>
        </w:tc>
        <w:tc>
          <w:tcPr>
            <w:tcW w:w="522" w:type="pct"/>
            <w:hideMark/>
          </w:tcPr>
          <w:p w14:paraId="060B0129"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Endpoint mean (SD)</w:t>
            </w:r>
          </w:p>
        </w:tc>
        <w:tc>
          <w:tcPr>
            <w:tcW w:w="443" w:type="pct"/>
            <w:hideMark/>
          </w:tcPr>
          <w:p w14:paraId="6F38325F"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Mean change (SD)</w:t>
            </w:r>
          </w:p>
        </w:tc>
        <w:tc>
          <w:tcPr>
            <w:tcW w:w="366" w:type="pct"/>
            <w:hideMark/>
          </w:tcPr>
          <w:p w14:paraId="59F1545B"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n /N (%)</w:t>
            </w:r>
          </w:p>
        </w:tc>
        <w:tc>
          <w:tcPr>
            <w:tcW w:w="522" w:type="pct"/>
            <w:hideMark/>
          </w:tcPr>
          <w:p w14:paraId="1A3E0BFD"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Baseline mean (SD)</w:t>
            </w:r>
          </w:p>
        </w:tc>
        <w:tc>
          <w:tcPr>
            <w:tcW w:w="523" w:type="pct"/>
            <w:hideMark/>
          </w:tcPr>
          <w:p w14:paraId="595EB616"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Endpoint mean (SD)</w:t>
            </w:r>
          </w:p>
        </w:tc>
        <w:tc>
          <w:tcPr>
            <w:tcW w:w="436" w:type="pct"/>
            <w:gridSpan w:val="3"/>
            <w:hideMark/>
          </w:tcPr>
          <w:p w14:paraId="217C4748"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Mean change (SD)</w:t>
            </w:r>
          </w:p>
        </w:tc>
        <w:tc>
          <w:tcPr>
            <w:tcW w:w="703" w:type="pct"/>
            <w:vMerge/>
            <w:hideMark/>
          </w:tcPr>
          <w:p w14:paraId="37C74E1A" w14:textId="77777777" w:rsidR="00986EC1" w:rsidRPr="00986EC1" w:rsidRDefault="00986EC1" w:rsidP="00986EC1">
            <w:pPr>
              <w:spacing w:before="120" w:after="60"/>
              <w:rPr>
                <w:rFonts w:ascii="Arial Narrow" w:hAnsi="Arial Narrow"/>
                <w:b/>
                <w:sz w:val="20"/>
                <w:szCs w:val="18"/>
              </w:rPr>
            </w:pPr>
          </w:p>
        </w:tc>
      </w:tr>
      <w:tr w:rsidR="00986EC1" w:rsidRPr="00986EC1" w14:paraId="4F59D1D6" w14:textId="77777777" w:rsidTr="005917C2">
        <w:trPr>
          <w:trHeight w:val="259"/>
        </w:trPr>
        <w:tc>
          <w:tcPr>
            <w:tcW w:w="468" w:type="pct"/>
          </w:tcPr>
          <w:p w14:paraId="0EDE6017" w14:textId="77777777" w:rsidR="00986EC1" w:rsidRPr="00986EC1" w:rsidRDefault="00986EC1" w:rsidP="00986EC1">
            <w:pPr>
              <w:spacing w:after="40"/>
              <w:rPr>
                <w:rFonts w:ascii="Arial Narrow" w:hAnsi="Arial Narrow"/>
                <w:sz w:val="20"/>
                <w:szCs w:val="18"/>
              </w:rPr>
            </w:pPr>
            <w:r w:rsidRPr="00986EC1">
              <w:rPr>
                <w:rFonts w:ascii="Arial Narrow" w:hAnsi="Arial Narrow"/>
                <w:sz w:val="20"/>
                <w:szCs w:val="18"/>
              </w:rPr>
              <w:t>Lønne (2015)</w:t>
            </w:r>
          </w:p>
        </w:tc>
        <w:tc>
          <w:tcPr>
            <w:tcW w:w="468" w:type="pct"/>
          </w:tcPr>
          <w:p w14:paraId="041915B8" w14:textId="77777777" w:rsidR="00986EC1" w:rsidRPr="00986EC1" w:rsidRDefault="00986EC1" w:rsidP="00986EC1">
            <w:pPr>
              <w:spacing w:after="40"/>
              <w:rPr>
                <w:rFonts w:ascii="Arial Narrow" w:hAnsi="Arial Narrow"/>
                <w:sz w:val="20"/>
                <w:szCs w:val="18"/>
              </w:rPr>
            </w:pPr>
            <w:r w:rsidRPr="00986EC1">
              <w:rPr>
                <w:rFonts w:ascii="Arial Narrow" w:hAnsi="Arial Narrow"/>
                <w:sz w:val="20"/>
                <w:szCs w:val="18"/>
              </w:rPr>
              <w:t>40/44 (91%)</w:t>
            </w:r>
          </w:p>
        </w:tc>
        <w:tc>
          <w:tcPr>
            <w:tcW w:w="550" w:type="pct"/>
          </w:tcPr>
          <w:p w14:paraId="5162F2A2" w14:textId="77777777" w:rsidR="00986EC1" w:rsidRPr="00986EC1" w:rsidRDefault="00986EC1" w:rsidP="00986EC1">
            <w:pPr>
              <w:spacing w:after="40"/>
              <w:rPr>
                <w:rFonts w:ascii="Arial Narrow" w:hAnsi="Arial Narrow"/>
                <w:sz w:val="20"/>
                <w:szCs w:val="18"/>
              </w:rPr>
            </w:pPr>
            <w:r w:rsidRPr="00986EC1">
              <w:rPr>
                <w:rFonts w:ascii="Arial Narrow" w:hAnsi="Arial Narrow"/>
                <w:sz w:val="20"/>
                <w:szCs w:val="18"/>
              </w:rPr>
              <w:t>32.9 (2.7)</w:t>
            </w:r>
          </w:p>
        </w:tc>
        <w:tc>
          <w:tcPr>
            <w:tcW w:w="522" w:type="pct"/>
          </w:tcPr>
          <w:p w14:paraId="5C0312EE" w14:textId="77777777" w:rsidR="00986EC1" w:rsidRPr="00986EC1" w:rsidRDefault="00986EC1" w:rsidP="00986EC1">
            <w:pPr>
              <w:spacing w:after="40"/>
              <w:rPr>
                <w:rFonts w:ascii="Arial Narrow" w:hAnsi="Arial Narrow"/>
                <w:sz w:val="20"/>
                <w:szCs w:val="18"/>
              </w:rPr>
            </w:pPr>
            <w:r w:rsidRPr="00986EC1">
              <w:rPr>
                <w:rFonts w:ascii="Arial Narrow" w:hAnsi="Arial Narrow"/>
                <w:sz w:val="20"/>
                <w:szCs w:val="18"/>
              </w:rPr>
              <w:t>14.3 (2.7)</w:t>
            </w:r>
          </w:p>
        </w:tc>
        <w:tc>
          <w:tcPr>
            <w:tcW w:w="443" w:type="pct"/>
          </w:tcPr>
          <w:p w14:paraId="7CFA2BBE" w14:textId="77777777" w:rsidR="00986EC1" w:rsidRPr="00986EC1" w:rsidRDefault="00986EC1" w:rsidP="00986EC1">
            <w:pPr>
              <w:spacing w:after="40"/>
              <w:rPr>
                <w:rFonts w:ascii="Arial Narrow" w:hAnsi="Arial Narrow"/>
                <w:sz w:val="20"/>
                <w:szCs w:val="18"/>
              </w:rPr>
            </w:pPr>
            <w:r w:rsidRPr="00986EC1">
              <w:rPr>
                <w:rFonts w:ascii="Arial Narrow" w:hAnsi="Arial Narrow"/>
                <w:sz w:val="20"/>
                <w:szCs w:val="18"/>
              </w:rPr>
              <w:t>-18.6 (3.7)</w:t>
            </w:r>
          </w:p>
        </w:tc>
        <w:tc>
          <w:tcPr>
            <w:tcW w:w="366" w:type="pct"/>
          </w:tcPr>
          <w:p w14:paraId="246D1ED2" w14:textId="77777777" w:rsidR="00986EC1" w:rsidRPr="00986EC1" w:rsidRDefault="00986EC1" w:rsidP="00986EC1">
            <w:pPr>
              <w:spacing w:after="40"/>
              <w:rPr>
                <w:rFonts w:ascii="Arial Narrow" w:hAnsi="Arial Narrow"/>
                <w:sz w:val="20"/>
                <w:szCs w:val="18"/>
              </w:rPr>
            </w:pPr>
            <w:r w:rsidRPr="00986EC1">
              <w:rPr>
                <w:rFonts w:ascii="Arial Narrow" w:hAnsi="Arial Narrow"/>
                <w:sz w:val="20"/>
                <w:szCs w:val="18"/>
              </w:rPr>
              <w:t>41/46 (89%)</w:t>
            </w:r>
          </w:p>
        </w:tc>
        <w:tc>
          <w:tcPr>
            <w:tcW w:w="522" w:type="pct"/>
          </w:tcPr>
          <w:p w14:paraId="09442F71" w14:textId="77777777" w:rsidR="00986EC1" w:rsidRPr="00986EC1" w:rsidRDefault="00986EC1" w:rsidP="00986EC1">
            <w:pPr>
              <w:spacing w:after="40"/>
              <w:rPr>
                <w:rFonts w:ascii="Arial Narrow" w:hAnsi="Arial Narrow"/>
                <w:sz w:val="20"/>
                <w:szCs w:val="18"/>
              </w:rPr>
            </w:pPr>
            <w:r w:rsidRPr="00986EC1">
              <w:rPr>
                <w:rFonts w:ascii="Arial Narrow" w:hAnsi="Arial Narrow"/>
                <w:sz w:val="20"/>
                <w:szCs w:val="18"/>
              </w:rPr>
              <w:t>33.8 (2.5)</w:t>
            </w:r>
          </w:p>
        </w:tc>
        <w:tc>
          <w:tcPr>
            <w:tcW w:w="523" w:type="pct"/>
          </w:tcPr>
          <w:p w14:paraId="17DCAAAA" w14:textId="77777777" w:rsidR="00986EC1" w:rsidRPr="00986EC1" w:rsidRDefault="00986EC1" w:rsidP="00986EC1">
            <w:pPr>
              <w:spacing w:after="40"/>
              <w:rPr>
                <w:rFonts w:ascii="Arial Narrow" w:hAnsi="Arial Narrow"/>
                <w:sz w:val="20"/>
                <w:szCs w:val="18"/>
              </w:rPr>
            </w:pPr>
            <w:r w:rsidRPr="00986EC1">
              <w:rPr>
                <w:rFonts w:ascii="Arial Narrow" w:hAnsi="Arial Narrow"/>
                <w:sz w:val="20"/>
                <w:szCs w:val="18"/>
              </w:rPr>
              <w:t>18.4 (2.6)</w:t>
            </w:r>
          </w:p>
        </w:tc>
        <w:tc>
          <w:tcPr>
            <w:tcW w:w="436" w:type="pct"/>
            <w:gridSpan w:val="3"/>
          </w:tcPr>
          <w:p w14:paraId="078C0079" w14:textId="77777777" w:rsidR="00986EC1" w:rsidRPr="00986EC1" w:rsidRDefault="00986EC1" w:rsidP="00986EC1">
            <w:pPr>
              <w:spacing w:after="40"/>
              <w:rPr>
                <w:rFonts w:ascii="Arial Narrow" w:hAnsi="Arial Narrow"/>
                <w:sz w:val="20"/>
                <w:szCs w:val="18"/>
              </w:rPr>
            </w:pPr>
            <w:r w:rsidRPr="00986EC1">
              <w:rPr>
                <w:rFonts w:ascii="Arial Narrow" w:hAnsi="Arial Narrow"/>
                <w:sz w:val="20"/>
                <w:szCs w:val="18"/>
              </w:rPr>
              <w:t>-15.4 (3.5)</w:t>
            </w:r>
          </w:p>
        </w:tc>
        <w:tc>
          <w:tcPr>
            <w:tcW w:w="703" w:type="pct"/>
          </w:tcPr>
          <w:p w14:paraId="20FAC4BA" w14:textId="77777777" w:rsidR="00986EC1" w:rsidRPr="00986EC1" w:rsidRDefault="00986EC1" w:rsidP="00986EC1">
            <w:pPr>
              <w:spacing w:after="40"/>
              <w:rPr>
                <w:rFonts w:ascii="Arial Narrow" w:hAnsi="Arial Narrow"/>
                <w:sz w:val="20"/>
                <w:szCs w:val="18"/>
              </w:rPr>
            </w:pPr>
            <w:r w:rsidRPr="00986EC1">
              <w:rPr>
                <w:rFonts w:ascii="Arial Narrow" w:hAnsi="Arial Narrow"/>
                <w:sz w:val="20"/>
                <w:szCs w:val="18"/>
              </w:rPr>
              <w:t>-3.2</w:t>
            </w:r>
          </w:p>
        </w:tc>
      </w:tr>
      <w:tr w:rsidR="00986EC1" w:rsidRPr="00986EC1" w14:paraId="3C75A7CF" w14:textId="77777777" w:rsidTr="005917C2">
        <w:trPr>
          <w:trHeight w:val="204"/>
        </w:trPr>
        <w:tc>
          <w:tcPr>
            <w:tcW w:w="468" w:type="pct"/>
          </w:tcPr>
          <w:p w14:paraId="43D3D669" w14:textId="77777777" w:rsidR="00986EC1" w:rsidRPr="00986EC1" w:rsidRDefault="00986EC1" w:rsidP="00986EC1">
            <w:pPr>
              <w:spacing w:after="40"/>
              <w:rPr>
                <w:rFonts w:ascii="Arial Narrow" w:hAnsi="Arial Narrow"/>
                <w:sz w:val="20"/>
                <w:szCs w:val="18"/>
              </w:rPr>
            </w:pPr>
            <w:r w:rsidRPr="00986EC1">
              <w:rPr>
                <w:rFonts w:ascii="Arial Narrow" w:hAnsi="Arial Narrow"/>
                <w:sz w:val="20"/>
                <w:szCs w:val="18"/>
              </w:rPr>
              <w:t xml:space="preserve">CELAX </w:t>
            </w:r>
          </w:p>
        </w:tc>
        <w:tc>
          <w:tcPr>
            <w:tcW w:w="468" w:type="pct"/>
          </w:tcPr>
          <w:p w14:paraId="30D5418D" w14:textId="77777777" w:rsidR="00986EC1" w:rsidRPr="00986EC1" w:rsidRDefault="00986EC1" w:rsidP="00986EC1">
            <w:pPr>
              <w:spacing w:after="40"/>
              <w:rPr>
                <w:rFonts w:ascii="Arial Narrow" w:hAnsi="Arial Narrow"/>
                <w:sz w:val="20"/>
                <w:szCs w:val="18"/>
              </w:rPr>
            </w:pPr>
            <w:r w:rsidRPr="00986EC1">
              <w:rPr>
                <w:rFonts w:ascii="Arial Narrow" w:hAnsi="Arial Narrow"/>
                <w:sz w:val="20"/>
                <w:szCs w:val="18"/>
              </w:rPr>
              <w:t>21/22 (95%)</w:t>
            </w:r>
          </w:p>
        </w:tc>
        <w:tc>
          <w:tcPr>
            <w:tcW w:w="550" w:type="pct"/>
          </w:tcPr>
          <w:p w14:paraId="00409C09" w14:textId="77777777" w:rsidR="00986EC1" w:rsidRPr="00986EC1" w:rsidRDefault="00986EC1" w:rsidP="00986EC1">
            <w:pPr>
              <w:spacing w:after="40"/>
              <w:rPr>
                <w:rFonts w:ascii="Arial Narrow" w:hAnsi="Arial Narrow"/>
                <w:sz w:val="20"/>
                <w:szCs w:val="18"/>
              </w:rPr>
            </w:pPr>
            <w:r w:rsidRPr="00986EC1">
              <w:rPr>
                <w:rFonts w:ascii="Arial Narrow" w:hAnsi="Arial Narrow"/>
                <w:sz w:val="20"/>
                <w:szCs w:val="18"/>
              </w:rPr>
              <w:t>49 (</w:t>
            </w:r>
            <w:r w:rsidRPr="00986EC1">
              <w:rPr>
                <w:rFonts w:ascii="Arial Narrow" w:hAnsi="Arial Narrow"/>
                <w:bCs/>
                <w:sz w:val="20"/>
                <w:szCs w:val="18"/>
              </w:rPr>
              <w:t>NR</w:t>
            </w:r>
            <w:r w:rsidRPr="00986EC1">
              <w:rPr>
                <w:rFonts w:ascii="Arial Narrow" w:hAnsi="Arial Narrow"/>
                <w:sz w:val="20"/>
                <w:szCs w:val="18"/>
              </w:rPr>
              <w:t>)</w:t>
            </w:r>
          </w:p>
        </w:tc>
        <w:tc>
          <w:tcPr>
            <w:tcW w:w="522" w:type="pct"/>
          </w:tcPr>
          <w:p w14:paraId="49AEC8A1" w14:textId="77777777" w:rsidR="00986EC1" w:rsidRPr="00986EC1" w:rsidRDefault="00986EC1" w:rsidP="00986EC1">
            <w:pPr>
              <w:spacing w:after="40"/>
              <w:rPr>
                <w:rFonts w:ascii="Arial Narrow" w:hAnsi="Arial Narrow"/>
                <w:sz w:val="20"/>
                <w:szCs w:val="18"/>
              </w:rPr>
            </w:pPr>
            <w:r w:rsidRPr="00986EC1">
              <w:rPr>
                <w:rFonts w:ascii="Arial Narrow" w:hAnsi="Arial Narrow"/>
                <w:sz w:val="20"/>
                <w:szCs w:val="18"/>
              </w:rPr>
              <w:t>38 (</w:t>
            </w:r>
            <w:r w:rsidRPr="00986EC1">
              <w:rPr>
                <w:rFonts w:ascii="Arial Narrow" w:hAnsi="Arial Narrow"/>
                <w:bCs/>
                <w:sz w:val="20"/>
                <w:szCs w:val="18"/>
              </w:rPr>
              <w:t>NR</w:t>
            </w:r>
            <w:r w:rsidRPr="00986EC1">
              <w:rPr>
                <w:rFonts w:ascii="Arial Narrow" w:hAnsi="Arial Narrow"/>
                <w:sz w:val="20"/>
                <w:szCs w:val="18"/>
              </w:rPr>
              <w:t>)</w:t>
            </w:r>
          </w:p>
        </w:tc>
        <w:tc>
          <w:tcPr>
            <w:tcW w:w="443" w:type="pct"/>
          </w:tcPr>
          <w:p w14:paraId="5153ADA4" w14:textId="77777777" w:rsidR="00986EC1" w:rsidRPr="00986EC1" w:rsidRDefault="00986EC1" w:rsidP="00986EC1">
            <w:pPr>
              <w:spacing w:after="40"/>
              <w:rPr>
                <w:rFonts w:ascii="Arial Narrow" w:hAnsi="Arial Narrow"/>
                <w:sz w:val="20"/>
                <w:szCs w:val="18"/>
              </w:rPr>
            </w:pPr>
            <w:r w:rsidRPr="00986EC1">
              <w:rPr>
                <w:rFonts w:ascii="Arial Narrow" w:hAnsi="Arial Narrow"/>
                <w:sz w:val="20"/>
                <w:szCs w:val="18"/>
              </w:rPr>
              <w:t>-11 (</w:t>
            </w:r>
            <w:r w:rsidRPr="00986EC1">
              <w:rPr>
                <w:rFonts w:ascii="Arial Narrow" w:hAnsi="Arial Narrow"/>
                <w:bCs/>
                <w:sz w:val="20"/>
                <w:szCs w:val="18"/>
              </w:rPr>
              <w:t>NR</w:t>
            </w:r>
            <w:r w:rsidRPr="00986EC1">
              <w:rPr>
                <w:rFonts w:ascii="Arial Narrow" w:hAnsi="Arial Narrow"/>
                <w:sz w:val="20"/>
                <w:szCs w:val="18"/>
              </w:rPr>
              <w:t>)</w:t>
            </w:r>
          </w:p>
        </w:tc>
        <w:tc>
          <w:tcPr>
            <w:tcW w:w="366" w:type="pct"/>
          </w:tcPr>
          <w:p w14:paraId="12395D0C" w14:textId="77777777" w:rsidR="00986EC1" w:rsidRPr="00986EC1" w:rsidRDefault="00986EC1" w:rsidP="00986EC1">
            <w:pPr>
              <w:spacing w:after="40"/>
              <w:rPr>
                <w:rFonts w:ascii="Arial Narrow" w:hAnsi="Arial Narrow"/>
                <w:sz w:val="20"/>
                <w:szCs w:val="18"/>
              </w:rPr>
            </w:pPr>
            <w:r w:rsidRPr="00986EC1">
              <w:rPr>
                <w:rFonts w:ascii="Arial Narrow" w:hAnsi="Arial Narrow"/>
                <w:sz w:val="20"/>
                <w:szCs w:val="18"/>
              </w:rPr>
              <w:t>26/27 (96%)</w:t>
            </w:r>
          </w:p>
        </w:tc>
        <w:tc>
          <w:tcPr>
            <w:tcW w:w="522" w:type="pct"/>
          </w:tcPr>
          <w:p w14:paraId="3DB3617D" w14:textId="77777777" w:rsidR="00986EC1" w:rsidRPr="00986EC1" w:rsidRDefault="00986EC1" w:rsidP="00986EC1">
            <w:pPr>
              <w:spacing w:after="40"/>
              <w:rPr>
                <w:rFonts w:ascii="Arial Narrow" w:hAnsi="Arial Narrow"/>
                <w:sz w:val="20"/>
                <w:szCs w:val="18"/>
              </w:rPr>
            </w:pPr>
            <w:r w:rsidRPr="00986EC1">
              <w:rPr>
                <w:rFonts w:ascii="Arial Narrow" w:hAnsi="Arial Narrow"/>
                <w:sz w:val="20"/>
                <w:szCs w:val="18"/>
              </w:rPr>
              <w:t>45 (</w:t>
            </w:r>
            <w:r w:rsidRPr="00986EC1">
              <w:rPr>
                <w:rFonts w:ascii="Arial Narrow" w:hAnsi="Arial Narrow"/>
                <w:bCs/>
                <w:sz w:val="20"/>
                <w:szCs w:val="18"/>
              </w:rPr>
              <w:t>NR</w:t>
            </w:r>
            <w:r w:rsidRPr="00986EC1">
              <w:rPr>
                <w:rFonts w:ascii="Arial Narrow" w:hAnsi="Arial Narrow"/>
                <w:sz w:val="20"/>
                <w:szCs w:val="18"/>
              </w:rPr>
              <w:t>)</w:t>
            </w:r>
          </w:p>
        </w:tc>
        <w:tc>
          <w:tcPr>
            <w:tcW w:w="523" w:type="pct"/>
          </w:tcPr>
          <w:p w14:paraId="25AFC0DE" w14:textId="77777777" w:rsidR="00986EC1" w:rsidRPr="00986EC1" w:rsidRDefault="00986EC1" w:rsidP="00986EC1">
            <w:pPr>
              <w:spacing w:after="40"/>
              <w:rPr>
                <w:rFonts w:ascii="Arial Narrow" w:hAnsi="Arial Narrow"/>
                <w:sz w:val="20"/>
                <w:szCs w:val="18"/>
              </w:rPr>
            </w:pPr>
            <w:r w:rsidRPr="00986EC1">
              <w:rPr>
                <w:rFonts w:ascii="Arial Narrow" w:hAnsi="Arial Narrow"/>
                <w:sz w:val="20"/>
                <w:szCs w:val="18"/>
              </w:rPr>
              <w:t>44 (</w:t>
            </w:r>
            <w:r w:rsidRPr="00986EC1">
              <w:rPr>
                <w:rFonts w:ascii="Arial Narrow" w:hAnsi="Arial Narrow"/>
                <w:bCs/>
                <w:sz w:val="20"/>
                <w:szCs w:val="18"/>
              </w:rPr>
              <w:t>NR</w:t>
            </w:r>
            <w:r w:rsidRPr="00986EC1">
              <w:rPr>
                <w:rFonts w:ascii="Arial Narrow" w:hAnsi="Arial Narrow"/>
                <w:sz w:val="20"/>
                <w:szCs w:val="18"/>
              </w:rPr>
              <w:t>)</w:t>
            </w:r>
          </w:p>
        </w:tc>
        <w:tc>
          <w:tcPr>
            <w:tcW w:w="436" w:type="pct"/>
            <w:gridSpan w:val="3"/>
          </w:tcPr>
          <w:p w14:paraId="6286D0EC" w14:textId="77777777" w:rsidR="00986EC1" w:rsidRPr="00986EC1" w:rsidRDefault="00986EC1" w:rsidP="00986EC1">
            <w:pPr>
              <w:spacing w:after="40"/>
              <w:rPr>
                <w:rFonts w:ascii="Arial Narrow" w:hAnsi="Arial Narrow"/>
                <w:sz w:val="20"/>
                <w:szCs w:val="18"/>
              </w:rPr>
            </w:pPr>
            <w:r w:rsidRPr="00986EC1">
              <w:rPr>
                <w:rFonts w:ascii="Arial Narrow" w:hAnsi="Arial Narrow"/>
                <w:sz w:val="20"/>
                <w:szCs w:val="18"/>
              </w:rPr>
              <w:t>-1 (</w:t>
            </w:r>
            <w:r w:rsidRPr="00986EC1">
              <w:rPr>
                <w:rFonts w:ascii="Arial Narrow" w:hAnsi="Arial Narrow"/>
                <w:bCs/>
                <w:sz w:val="20"/>
                <w:szCs w:val="18"/>
              </w:rPr>
              <w:t>NR</w:t>
            </w:r>
            <w:r w:rsidRPr="00986EC1">
              <w:rPr>
                <w:rFonts w:ascii="Arial Narrow" w:hAnsi="Arial Narrow"/>
                <w:sz w:val="20"/>
                <w:szCs w:val="18"/>
              </w:rPr>
              <w:t>)</w:t>
            </w:r>
          </w:p>
        </w:tc>
        <w:tc>
          <w:tcPr>
            <w:tcW w:w="703" w:type="pct"/>
          </w:tcPr>
          <w:p w14:paraId="6909EA7D" w14:textId="77777777" w:rsidR="00986EC1" w:rsidRPr="00986EC1" w:rsidRDefault="00986EC1" w:rsidP="00986EC1">
            <w:pPr>
              <w:spacing w:after="40"/>
              <w:rPr>
                <w:rFonts w:ascii="Arial Narrow" w:hAnsi="Arial Narrow"/>
                <w:sz w:val="20"/>
                <w:szCs w:val="18"/>
              </w:rPr>
            </w:pPr>
            <w:r w:rsidRPr="00986EC1">
              <w:rPr>
                <w:rFonts w:ascii="Arial Narrow" w:hAnsi="Arial Narrow"/>
                <w:sz w:val="20"/>
                <w:szCs w:val="18"/>
              </w:rPr>
              <w:t>-10.0</w:t>
            </w:r>
          </w:p>
        </w:tc>
      </w:tr>
    </w:tbl>
    <w:p w14:paraId="08B38758" w14:textId="77777777" w:rsidR="00986EC1" w:rsidRPr="00986EC1" w:rsidRDefault="00986EC1" w:rsidP="00B23D55">
      <w:pPr>
        <w:pStyle w:val="Tablenotes1"/>
      </w:pPr>
      <w:r w:rsidRPr="00986EC1">
        <w:t>IDS, interspinous decompression spacer; MD, mean difference; NR, not reported; ODI, Oswestry Disability Index; SD, standard deviation.</w:t>
      </w:r>
    </w:p>
    <w:p w14:paraId="6A5BF7F5" w14:textId="0C249E41" w:rsidR="00986EC1" w:rsidRDefault="00986EC1" w:rsidP="00B23D55">
      <w:pPr>
        <w:pStyle w:val="Tablenotes1"/>
      </w:pPr>
      <w:r w:rsidRPr="00986EC1">
        <w:t>Note: A lower ODI represents less disability.</w:t>
      </w:r>
    </w:p>
    <w:p w14:paraId="73D7C8A0" w14:textId="68DDB8A5" w:rsidR="000236D4" w:rsidRPr="00986EC1" w:rsidRDefault="000236D4" w:rsidP="00B23D55">
      <w:pPr>
        <w:pStyle w:val="Tablenotes1"/>
      </w:pPr>
      <w:r>
        <w:t>Source: Commentary, Table 10</w:t>
      </w:r>
    </w:p>
    <w:p w14:paraId="65446CA9" w14:textId="77777777" w:rsidR="00986EC1" w:rsidRPr="00986EC1" w:rsidRDefault="00986EC1" w:rsidP="00986EC1">
      <w:pPr>
        <w:keepNext/>
        <w:keepLines/>
        <w:tabs>
          <w:tab w:val="left" w:pos="851"/>
        </w:tabs>
        <w:spacing w:before="360" w:after="200"/>
        <w:outlineLvl w:val="3"/>
        <w:rPr>
          <w:rFonts w:ascii="Franklin Gothic Medium" w:eastAsia="SimSun" w:hAnsi="Franklin Gothic Medium"/>
          <w:i/>
          <w:szCs w:val="24"/>
          <w:lang w:eastAsia="en-US"/>
        </w:rPr>
      </w:pPr>
      <w:r w:rsidRPr="00986EC1">
        <w:rPr>
          <w:rFonts w:ascii="Franklin Gothic Medium" w:eastAsia="SimSun" w:hAnsi="Franklin Gothic Medium"/>
          <w:i/>
          <w:szCs w:val="24"/>
          <w:lang w:eastAsia="en-US"/>
        </w:rPr>
        <w:t>Zurich Claudication Questionnaire (ZCQ)</w:t>
      </w:r>
    </w:p>
    <w:p w14:paraId="0D097680"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Four trials (Lønne (2015), Strömqvist (2013), NICE and CELAX) reported data on mean difference in ZCQ scores. Mean difference in symptom severity at 24 months for IDS compared to decompression ranged from -0.20 to -0.05. None reached the MCID value of 0.75 and this difference is likely to be both statistically and clinically insignificant. Mean difference in physical function score ranged from -0.18 to 0.27. None reached the MCID of 0.60 and the differences are likely to be both statistically and clinically insignificant.</w:t>
      </w:r>
    </w:p>
    <w:p w14:paraId="3F13BD94" w14:textId="5CD7CBB3"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Two trials reported overall ZCQ success (</w:t>
      </w:r>
      <w:r w:rsidRPr="00986EC1">
        <w:rPr>
          <w:rFonts w:ascii="Franklin Gothic Book" w:eastAsia="Calibri" w:hAnsi="Franklin Gothic Book"/>
          <w:sz w:val="22"/>
          <w:szCs w:val="22"/>
          <w:lang w:eastAsia="en-US"/>
        </w:rPr>
        <w:fldChar w:fldCharType="begin"/>
      </w:r>
      <w:r w:rsidRPr="00986EC1">
        <w:rPr>
          <w:rFonts w:ascii="Franklin Gothic Book" w:eastAsia="Calibri" w:hAnsi="Franklin Gothic Book"/>
          <w:sz w:val="22"/>
          <w:szCs w:val="22"/>
          <w:lang w:eastAsia="en-US"/>
        </w:rPr>
        <w:instrText xml:space="preserve"> REF _Ref73603190 \h </w:instrText>
      </w:r>
      <w:r w:rsidR="00082699">
        <w:rPr>
          <w:rFonts w:ascii="Franklin Gothic Book" w:eastAsia="Calibri" w:hAnsi="Franklin Gothic Book"/>
          <w:sz w:val="22"/>
          <w:szCs w:val="22"/>
          <w:lang w:eastAsia="en-US"/>
        </w:rPr>
        <w:instrText xml:space="preserve"> \* MERGEFORMAT </w:instrText>
      </w:r>
      <w:r w:rsidRPr="00986EC1">
        <w:rPr>
          <w:rFonts w:ascii="Franklin Gothic Book" w:eastAsia="Calibri" w:hAnsi="Franklin Gothic Book"/>
          <w:sz w:val="22"/>
          <w:szCs w:val="22"/>
          <w:lang w:eastAsia="en-US"/>
        </w:rPr>
      </w:r>
      <w:r w:rsidRPr="00986EC1">
        <w:rPr>
          <w:rFonts w:ascii="Franklin Gothic Book" w:eastAsia="Calibri" w:hAnsi="Franklin Gothic Book"/>
          <w:sz w:val="22"/>
          <w:szCs w:val="22"/>
          <w:lang w:eastAsia="en-US"/>
        </w:rPr>
        <w:fldChar w:fldCharType="separate"/>
      </w:r>
      <w:r w:rsidR="00EE4CB3" w:rsidRPr="00EE4CB3">
        <w:rPr>
          <w:rFonts w:ascii="Franklin Gothic Book" w:eastAsia="Calibri" w:hAnsi="Franklin Gothic Book"/>
          <w:sz w:val="22"/>
          <w:szCs w:val="22"/>
          <w:lang w:eastAsia="en-US"/>
        </w:rPr>
        <w:t>Table 11</w:t>
      </w:r>
      <w:r w:rsidRPr="00986EC1">
        <w:rPr>
          <w:rFonts w:ascii="Franklin Gothic Book" w:eastAsia="Calibri" w:hAnsi="Franklin Gothic Book"/>
          <w:sz w:val="22"/>
          <w:szCs w:val="22"/>
          <w:lang w:eastAsia="en-US"/>
        </w:rPr>
        <w:fldChar w:fldCharType="end"/>
      </w:r>
      <w:r w:rsidRPr="00986EC1">
        <w:rPr>
          <w:rFonts w:ascii="Franklin Gothic Book" w:eastAsia="Calibri" w:hAnsi="Franklin Gothic Book"/>
          <w:sz w:val="22"/>
          <w:szCs w:val="22"/>
          <w:lang w:eastAsia="en-US"/>
        </w:rPr>
        <w:t xml:space="preserve">); no significant differences were found between IDS and decompression. </w:t>
      </w:r>
    </w:p>
    <w:p w14:paraId="735CAFA1" w14:textId="69FDB346" w:rsidR="00986EC1" w:rsidRPr="00986EC1" w:rsidRDefault="00986EC1" w:rsidP="00986EC1">
      <w:pPr>
        <w:keepNext/>
        <w:spacing w:before="360" w:after="120"/>
        <w:ind w:left="794" w:hanging="794"/>
        <w:rPr>
          <w:rFonts w:ascii="Arial Narrow" w:hAnsi="Arial Narrow"/>
          <w:b/>
          <w:bCs/>
          <w:sz w:val="20"/>
          <w:lang w:eastAsia="en-US"/>
        </w:rPr>
      </w:pPr>
      <w:bookmarkStart w:id="46" w:name="_Ref73603190"/>
      <w:bookmarkStart w:id="47" w:name="_Toc72940104"/>
      <w:bookmarkStart w:id="48" w:name="_Toc73546373"/>
      <w:bookmarkStart w:id="49" w:name="_Toc79654925"/>
      <w:r w:rsidRPr="00986EC1">
        <w:rPr>
          <w:rFonts w:ascii="Arial Narrow" w:hAnsi="Arial Narrow"/>
          <w:b/>
          <w:bCs/>
          <w:sz w:val="20"/>
          <w:lang w:eastAsia="en-US"/>
        </w:rPr>
        <w:t xml:space="preserve">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11</w:t>
      </w:r>
      <w:r w:rsidRPr="00986EC1">
        <w:rPr>
          <w:rFonts w:ascii="Arial Narrow" w:hAnsi="Arial Narrow"/>
          <w:b/>
          <w:bCs/>
          <w:noProof/>
          <w:sz w:val="20"/>
          <w:lang w:eastAsia="en-US"/>
        </w:rPr>
        <w:fldChar w:fldCharType="end"/>
      </w:r>
      <w:bookmarkEnd w:id="46"/>
      <w:r w:rsidRPr="00986EC1">
        <w:rPr>
          <w:rFonts w:ascii="Arial Narrow" w:hAnsi="Arial Narrow"/>
          <w:b/>
          <w:bCs/>
          <w:sz w:val="20"/>
          <w:lang w:eastAsia="en-US"/>
        </w:rPr>
        <w:tab/>
        <w:t>Overall ZCQ success: Results of IDS vs. decompression across included RCTs</w:t>
      </w:r>
      <w:bookmarkEnd w:id="47"/>
      <w:bookmarkEnd w:id="48"/>
      <w:bookmarkEnd w:id="49"/>
      <w:r w:rsidRPr="00986EC1">
        <w:rPr>
          <w:rFonts w:ascii="Arial Narrow" w:hAnsi="Arial Narrow"/>
          <w:b/>
          <w:bCs/>
          <w:sz w:val="20"/>
          <w:lang w:eastAsia="en-US"/>
        </w:rPr>
        <w:t xml:space="preserve"> </w:t>
      </w:r>
    </w:p>
    <w:tbl>
      <w:tblPr>
        <w:tblStyle w:val="OPTUMTableNormal"/>
        <w:tblW w:w="9067" w:type="dxa"/>
        <w:tblLook w:val="04A0" w:firstRow="1" w:lastRow="0" w:firstColumn="1" w:lastColumn="0" w:noHBand="0" w:noVBand="1"/>
        <w:tblDescription w:val="Overall ZCQ success: Results of IDS vs. decompression across included RCTs "/>
      </w:tblPr>
      <w:tblGrid>
        <w:gridCol w:w="988"/>
        <w:gridCol w:w="1559"/>
        <w:gridCol w:w="1559"/>
        <w:gridCol w:w="1701"/>
        <w:gridCol w:w="1701"/>
        <w:gridCol w:w="1559"/>
      </w:tblGrid>
      <w:tr w:rsidR="00986EC1" w:rsidRPr="00986EC1" w14:paraId="70608C54" w14:textId="77777777" w:rsidTr="005917C2">
        <w:trPr>
          <w:cnfStyle w:val="100000000000" w:firstRow="1" w:lastRow="0" w:firstColumn="0" w:lastColumn="0" w:oddVBand="0" w:evenVBand="0" w:oddHBand="0" w:evenHBand="0" w:firstRowFirstColumn="0" w:firstRowLastColumn="0" w:lastRowFirstColumn="0" w:lastRowLastColumn="0"/>
          <w:trHeight w:val="259"/>
          <w:tblHeader/>
        </w:trPr>
        <w:tc>
          <w:tcPr>
            <w:tcW w:w="988" w:type="dxa"/>
            <w:vMerge w:val="restart"/>
            <w:shd w:val="clear" w:color="auto" w:fill="auto"/>
            <w:hideMark/>
          </w:tcPr>
          <w:p w14:paraId="45CA9DA9"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Trial ID</w:t>
            </w:r>
          </w:p>
        </w:tc>
        <w:tc>
          <w:tcPr>
            <w:tcW w:w="1559" w:type="dxa"/>
            <w:shd w:val="clear" w:color="auto" w:fill="auto"/>
            <w:hideMark/>
          </w:tcPr>
          <w:p w14:paraId="090F4513"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IDS</w:t>
            </w:r>
          </w:p>
        </w:tc>
        <w:tc>
          <w:tcPr>
            <w:tcW w:w="1559" w:type="dxa"/>
            <w:shd w:val="clear" w:color="auto" w:fill="auto"/>
            <w:hideMark/>
          </w:tcPr>
          <w:p w14:paraId="29D993DD"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Decompression</w:t>
            </w:r>
          </w:p>
        </w:tc>
        <w:tc>
          <w:tcPr>
            <w:tcW w:w="1701" w:type="dxa"/>
            <w:vMerge w:val="restart"/>
            <w:shd w:val="clear" w:color="auto" w:fill="auto"/>
            <w:hideMark/>
          </w:tcPr>
          <w:p w14:paraId="1B0A5456"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OR [95% CI]</w:t>
            </w:r>
          </w:p>
          <w:p w14:paraId="765232EB"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&gt; 1 favours IDS</w:t>
            </w:r>
          </w:p>
        </w:tc>
        <w:tc>
          <w:tcPr>
            <w:tcW w:w="1701" w:type="dxa"/>
            <w:vMerge w:val="restart"/>
            <w:shd w:val="clear" w:color="auto" w:fill="auto"/>
            <w:hideMark/>
          </w:tcPr>
          <w:p w14:paraId="4A784CBE"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RR [95% CI]</w:t>
            </w:r>
          </w:p>
          <w:p w14:paraId="0424FA1B"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&gt; 1 favours IDS</w:t>
            </w:r>
          </w:p>
        </w:tc>
        <w:tc>
          <w:tcPr>
            <w:tcW w:w="1559" w:type="dxa"/>
            <w:vMerge w:val="restart"/>
            <w:shd w:val="clear" w:color="auto" w:fill="auto"/>
            <w:hideMark/>
          </w:tcPr>
          <w:p w14:paraId="199B9290"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RD [95% CI]</w:t>
            </w:r>
          </w:p>
          <w:p w14:paraId="00524CFF"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&gt; 0 favours IDS</w:t>
            </w:r>
          </w:p>
        </w:tc>
      </w:tr>
      <w:tr w:rsidR="00986EC1" w:rsidRPr="00986EC1" w14:paraId="79EBA258" w14:textId="77777777" w:rsidTr="005917C2">
        <w:trPr>
          <w:cnfStyle w:val="100000000000" w:firstRow="1" w:lastRow="0" w:firstColumn="0" w:lastColumn="0" w:oddVBand="0" w:evenVBand="0" w:oddHBand="0" w:evenHBand="0" w:firstRowFirstColumn="0" w:firstRowLastColumn="0" w:lastRowFirstColumn="0" w:lastRowLastColumn="0"/>
          <w:trHeight w:val="70"/>
          <w:tblHeader/>
        </w:trPr>
        <w:tc>
          <w:tcPr>
            <w:tcW w:w="988" w:type="dxa"/>
            <w:vMerge/>
            <w:shd w:val="clear" w:color="auto" w:fill="auto"/>
            <w:vAlign w:val="center"/>
            <w:hideMark/>
          </w:tcPr>
          <w:p w14:paraId="42F46D79" w14:textId="77777777" w:rsidR="00986EC1" w:rsidRPr="00986EC1" w:rsidRDefault="00986EC1" w:rsidP="00986EC1">
            <w:pPr>
              <w:spacing w:after="40"/>
              <w:rPr>
                <w:rFonts w:ascii="Arial Narrow" w:eastAsia="Calibri" w:hAnsi="Arial Narrow"/>
                <w:sz w:val="20"/>
                <w:szCs w:val="22"/>
                <w:lang w:eastAsia="en-US"/>
              </w:rPr>
            </w:pPr>
          </w:p>
        </w:tc>
        <w:tc>
          <w:tcPr>
            <w:tcW w:w="1559" w:type="dxa"/>
            <w:shd w:val="clear" w:color="auto" w:fill="auto"/>
            <w:hideMark/>
          </w:tcPr>
          <w:p w14:paraId="3618A608"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n /N (%)</w:t>
            </w:r>
          </w:p>
        </w:tc>
        <w:tc>
          <w:tcPr>
            <w:tcW w:w="1559" w:type="dxa"/>
            <w:shd w:val="clear" w:color="auto" w:fill="auto"/>
            <w:hideMark/>
          </w:tcPr>
          <w:p w14:paraId="6AA64A09"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n /N (%)</w:t>
            </w:r>
          </w:p>
        </w:tc>
        <w:tc>
          <w:tcPr>
            <w:tcW w:w="1701" w:type="dxa"/>
            <w:vMerge/>
            <w:shd w:val="clear" w:color="auto" w:fill="auto"/>
            <w:vAlign w:val="center"/>
            <w:hideMark/>
          </w:tcPr>
          <w:p w14:paraId="08731FE7" w14:textId="77777777" w:rsidR="00986EC1" w:rsidRPr="00986EC1" w:rsidRDefault="00986EC1" w:rsidP="00986EC1">
            <w:pPr>
              <w:spacing w:before="120" w:after="60"/>
              <w:rPr>
                <w:rFonts w:ascii="Arial Narrow" w:eastAsia="Calibri" w:hAnsi="Arial Narrow"/>
                <w:b/>
                <w:sz w:val="20"/>
                <w:szCs w:val="22"/>
                <w:lang w:eastAsia="en-US"/>
              </w:rPr>
            </w:pPr>
          </w:p>
        </w:tc>
        <w:tc>
          <w:tcPr>
            <w:tcW w:w="1701" w:type="dxa"/>
            <w:vMerge/>
            <w:shd w:val="clear" w:color="auto" w:fill="auto"/>
            <w:vAlign w:val="center"/>
            <w:hideMark/>
          </w:tcPr>
          <w:p w14:paraId="439B9239" w14:textId="77777777" w:rsidR="00986EC1" w:rsidRPr="00986EC1" w:rsidRDefault="00986EC1" w:rsidP="00986EC1">
            <w:pPr>
              <w:spacing w:before="120" w:after="60"/>
              <w:rPr>
                <w:rFonts w:ascii="Arial Narrow" w:eastAsia="Calibri" w:hAnsi="Arial Narrow"/>
                <w:b/>
                <w:sz w:val="20"/>
                <w:szCs w:val="22"/>
                <w:lang w:eastAsia="en-US"/>
              </w:rPr>
            </w:pPr>
          </w:p>
        </w:tc>
        <w:tc>
          <w:tcPr>
            <w:tcW w:w="1559" w:type="dxa"/>
            <w:vMerge/>
            <w:shd w:val="clear" w:color="auto" w:fill="auto"/>
            <w:vAlign w:val="center"/>
            <w:hideMark/>
          </w:tcPr>
          <w:p w14:paraId="42455C1D" w14:textId="77777777" w:rsidR="00986EC1" w:rsidRPr="00986EC1" w:rsidRDefault="00986EC1" w:rsidP="00986EC1">
            <w:pPr>
              <w:spacing w:before="120" w:after="60"/>
              <w:rPr>
                <w:rFonts w:ascii="Arial Narrow" w:eastAsia="Calibri" w:hAnsi="Arial Narrow"/>
                <w:b/>
                <w:sz w:val="20"/>
                <w:szCs w:val="22"/>
                <w:lang w:eastAsia="en-US"/>
              </w:rPr>
            </w:pPr>
          </w:p>
        </w:tc>
      </w:tr>
      <w:tr w:rsidR="00986EC1" w:rsidRPr="00986EC1" w14:paraId="72C8DB1C" w14:textId="77777777" w:rsidTr="005917C2">
        <w:trPr>
          <w:trHeight w:val="259"/>
        </w:trPr>
        <w:tc>
          <w:tcPr>
            <w:tcW w:w="988" w:type="dxa"/>
            <w:shd w:val="clear" w:color="auto" w:fill="auto"/>
            <w:hideMark/>
          </w:tcPr>
          <w:p w14:paraId="5FBFF3B1"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FELIX</w:t>
            </w:r>
          </w:p>
        </w:tc>
        <w:tc>
          <w:tcPr>
            <w:tcW w:w="1559" w:type="dxa"/>
            <w:shd w:val="clear" w:color="auto" w:fill="auto"/>
            <w:hideMark/>
          </w:tcPr>
          <w:p w14:paraId="61F4B287"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69/80 (86.25%)</w:t>
            </w:r>
          </w:p>
        </w:tc>
        <w:tc>
          <w:tcPr>
            <w:tcW w:w="1559" w:type="dxa"/>
            <w:shd w:val="clear" w:color="auto" w:fill="auto"/>
            <w:hideMark/>
          </w:tcPr>
          <w:p w14:paraId="0371CE19"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60/79 (75.95%)</w:t>
            </w:r>
          </w:p>
        </w:tc>
        <w:tc>
          <w:tcPr>
            <w:tcW w:w="1701" w:type="dxa"/>
            <w:shd w:val="clear" w:color="auto" w:fill="auto"/>
            <w:hideMark/>
          </w:tcPr>
          <w:p w14:paraId="3FFC3B85"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1.99 [0.88, 4.51], p=0.10</w:t>
            </w:r>
          </w:p>
        </w:tc>
        <w:tc>
          <w:tcPr>
            <w:tcW w:w="1701" w:type="dxa"/>
            <w:shd w:val="clear" w:color="auto" w:fill="auto"/>
            <w:hideMark/>
          </w:tcPr>
          <w:p w14:paraId="4A843E20"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1.14 [0.98, 1.32], p=0.10</w:t>
            </w:r>
          </w:p>
        </w:tc>
        <w:tc>
          <w:tcPr>
            <w:tcW w:w="1559" w:type="dxa"/>
            <w:shd w:val="clear" w:color="auto" w:fill="auto"/>
            <w:hideMark/>
          </w:tcPr>
          <w:p w14:paraId="4E501F2D"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0.10 [-0.02, 0.22], p=0.09</w:t>
            </w:r>
          </w:p>
        </w:tc>
      </w:tr>
      <w:tr w:rsidR="00986EC1" w:rsidRPr="00986EC1" w14:paraId="05648E55" w14:textId="77777777" w:rsidTr="005917C2">
        <w:trPr>
          <w:trHeight w:val="259"/>
        </w:trPr>
        <w:tc>
          <w:tcPr>
            <w:tcW w:w="988" w:type="dxa"/>
            <w:shd w:val="clear" w:color="auto" w:fill="auto"/>
          </w:tcPr>
          <w:p w14:paraId="1E8AB23E"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bCs/>
                <w:sz w:val="20"/>
                <w:szCs w:val="22"/>
                <w:lang w:eastAsia="en-US"/>
              </w:rPr>
              <w:t>NICE</w:t>
            </w:r>
          </w:p>
        </w:tc>
        <w:tc>
          <w:tcPr>
            <w:tcW w:w="1559" w:type="dxa"/>
            <w:shd w:val="clear" w:color="auto" w:fill="auto"/>
          </w:tcPr>
          <w:p w14:paraId="49E4ABBF"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bCs/>
                <w:sz w:val="20"/>
                <w:szCs w:val="22"/>
                <w:lang w:eastAsia="en-US"/>
              </w:rPr>
              <w:t>39/72 (54.2%)</w:t>
            </w:r>
          </w:p>
        </w:tc>
        <w:tc>
          <w:tcPr>
            <w:tcW w:w="1559" w:type="dxa"/>
            <w:shd w:val="clear" w:color="auto" w:fill="auto"/>
          </w:tcPr>
          <w:p w14:paraId="649D9334"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bCs/>
                <w:sz w:val="20"/>
                <w:szCs w:val="22"/>
                <w:lang w:eastAsia="en-US"/>
              </w:rPr>
              <w:t>44/73 (60.3%)</w:t>
            </w:r>
          </w:p>
        </w:tc>
        <w:tc>
          <w:tcPr>
            <w:tcW w:w="1701" w:type="dxa"/>
            <w:shd w:val="clear" w:color="auto" w:fill="auto"/>
          </w:tcPr>
          <w:p w14:paraId="0C252369"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bCs/>
                <w:sz w:val="20"/>
                <w:szCs w:val="22"/>
                <w:lang w:eastAsia="en-US"/>
              </w:rPr>
              <w:t>0.78 [0.40, 1.51], p=0.46</w:t>
            </w:r>
          </w:p>
        </w:tc>
        <w:tc>
          <w:tcPr>
            <w:tcW w:w="1701" w:type="dxa"/>
            <w:shd w:val="clear" w:color="auto" w:fill="auto"/>
          </w:tcPr>
          <w:p w14:paraId="07CC2DBE"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bCs/>
                <w:sz w:val="20"/>
                <w:szCs w:val="22"/>
                <w:lang w:eastAsia="en-US"/>
              </w:rPr>
              <w:t>0.90 [0.68, 1.19], p=0.46</w:t>
            </w:r>
          </w:p>
        </w:tc>
        <w:tc>
          <w:tcPr>
            <w:tcW w:w="1559" w:type="dxa"/>
            <w:shd w:val="clear" w:color="auto" w:fill="auto"/>
          </w:tcPr>
          <w:p w14:paraId="3F038726"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bCs/>
                <w:sz w:val="20"/>
                <w:szCs w:val="22"/>
                <w:lang w:eastAsia="en-US"/>
              </w:rPr>
              <w:t>-0.06 [-0.22, 0.10], p=0.43</w:t>
            </w:r>
          </w:p>
        </w:tc>
      </w:tr>
    </w:tbl>
    <w:p w14:paraId="7DB4F7F7" w14:textId="1D018CAD" w:rsidR="00986EC1" w:rsidRDefault="00986EC1" w:rsidP="00B23D55">
      <w:pPr>
        <w:pStyle w:val="Tablenotes1"/>
      </w:pPr>
      <w:r w:rsidRPr="00986EC1">
        <w:t xml:space="preserve">CI, confidence interval; IDS, interspinous decompression spacer; OR, odds ratio; RD, risk difference; RR, relative risk; ZCQ, Zurich Claudication Questionnaire. </w:t>
      </w:r>
      <w:r w:rsidRPr="00986EC1">
        <w:br/>
        <w:t>Note: ZCQ “success” is defined as improvement in at least 2/3 subscales; "success" on the symptom severity scale and physical function scale was defined as a decrease of ≥0.5 points. A score of less than 2.5 on the patient satisfaction subscale was defined as "success".</w:t>
      </w:r>
    </w:p>
    <w:p w14:paraId="5F7E908D" w14:textId="03F5B159" w:rsidR="000236D4" w:rsidRPr="00986EC1" w:rsidRDefault="000236D4" w:rsidP="00B23D55">
      <w:pPr>
        <w:pStyle w:val="Tablenotes1"/>
      </w:pPr>
      <w:r>
        <w:t>Source: Commentary, Table 11</w:t>
      </w:r>
    </w:p>
    <w:p w14:paraId="2299BB90" w14:textId="77777777" w:rsidR="00986EC1" w:rsidRPr="00986EC1" w:rsidRDefault="00986EC1" w:rsidP="00986EC1">
      <w:pPr>
        <w:keepNext/>
        <w:keepLines/>
        <w:tabs>
          <w:tab w:val="left" w:pos="851"/>
        </w:tabs>
        <w:spacing w:before="360" w:after="200"/>
        <w:outlineLvl w:val="3"/>
        <w:rPr>
          <w:rFonts w:ascii="Franklin Gothic Medium" w:eastAsia="SimSun" w:hAnsi="Franklin Gothic Medium"/>
          <w:i/>
          <w:szCs w:val="24"/>
          <w:lang w:eastAsia="en-US"/>
        </w:rPr>
      </w:pPr>
      <w:r w:rsidRPr="00986EC1">
        <w:rPr>
          <w:rFonts w:ascii="Franklin Gothic Medium" w:eastAsia="SimSun" w:hAnsi="Franklin Gothic Medium"/>
          <w:i/>
          <w:szCs w:val="24"/>
          <w:lang w:eastAsia="en-US"/>
        </w:rPr>
        <w:t>VAS leg and back pain</w:t>
      </w:r>
    </w:p>
    <w:p w14:paraId="442003E8" w14:textId="599C60BF" w:rsidR="000B6893" w:rsidRPr="007649F1" w:rsidRDefault="00986EC1" w:rsidP="007649F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Three studies reported data on visual analogue scale (VAS) leg and back pain (Felix, Strömqvist (2013) and NICE). Mean difference in back pain ranged from -5.0 to 10.0, and mean difference in leg pain from -7.0 to 7.0. There was no statistically significant difference between groups at any time point in Strömqvist (2013), FELIX or NICE. The PICO Confirmation specified an MCID of &gt;20 mm improvement in pain score.</w:t>
      </w:r>
      <w:bookmarkStart w:id="50" w:name="_Ref72319488"/>
      <w:bookmarkStart w:id="51" w:name="_Toc72940109"/>
      <w:bookmarkStart w:id="52" w:name="_Toc73546376"/>
      <w:bookmarkStart w:id="53" w:name="_Toc79654928"/>
      <w:r w:rsidR="000B6893">
        <w:rPr>
          <w:rFonts w:ascii="Arial Narrow" w:hAnsi="Arial Narrow"/>
          <w:b/>
          <w:bCs/>
          <w:sz w:val="20"/>
          <w:lang w:eastAsia="en-US"/>
        </w:rPr>
        <w:br w:type="page"/>
      </w:r>
    </w:p>
    <w:p w14:paraId="3F780C30" w14:textId="131267AD" w:rsidR="00986EC1" w:rsidRPr="00986EC1" w:rsidRDefault="00986EC1" w:rsidP="00986EC1">
      <w:pPr>
        <w:keepNext/>
        <w:widowControl w:val="0"/>
        <w:spacing w:before="360" w:after="120"/>
        <w:ind w:left="794" w:hanging="794"/>
        <w:rPr>
          <w:rFonts w:ascii="Arial Narrow" w:hAnsi="Arial Narrow"/>
          <w:b/>
          <w:bCs/>
          <w:sz w:val="20"/>
          <w:lang w:eastAsia="en-US"/>
        </w:rPr>
      </w:pPr>
      <w:r w:rsidRPr="00986EC1">
        <w:rPr>
          <w:rFonts w:ascii="Arial Narrow" w:hAnsi="Arial Narrow"/>
          <w:b/>
          <w:bCs/>
          <w:sz w:val="20"/>
          <w:lang w:eastAsia="en-US"/>
        </w:rPr>
        <w:t xml:space="preserve">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12</w:t>
      </w:r>
      <w:r w:rsidRPr="00986EC1">
        <w:rPr>
          <w:rFonts w:ascii="Arial Narrow" w:hAnsi="Arial Narrow"/>
          <w:b/>
          <w:bCs/>
          <w:noProof/>
          <w:sz w:val="20"/>
          <w:lang w:eastAsia="en-US"/>
        </w:rPr>
        <w:fldChar w:fldCharType="end"/>
      </w:r>
      <w:bookmarkEnd w:id="50"/>
      <w:r w:rsidRPr="00986EC1">
        <w:rPr>
          <w:rFonts w:ascii="Arial Narrow" w:hAnsi="Arial Narrow"/>
          <w:b/>
          <w:bCs/>
          <w:noProof/>
          <w:sz w:val="20"/>
          <w:lang w:eastAsia="en-US"/>
        </w:rPr>
        <w:tab/>
        <w:t>VAS leg and back pain scores: Results of the</w:t>
      </w:r>
      <w:r w:rsidRPr="00986EC1">
        <w:rPr>
          <w:rFonts w:ascii="Arial Narrow" w:hAnsi="Arial Narrow"/>
          <w:b/>
          <w:bCs/>
          <w:sz w:val="20"/>
          <w:lang w:eastAsia="en-US"/>
        </w:rPr>
        <w:t xml:space="preserve"> IDS vs. decompression included RCTs</w:t>
      </w:r>
      <w:bookmarkEnd w:id="51"/>
      <w:bookmarkEnd w:id="52"/>
      <w:bookmarkEnd w:id="53"/>
      <w:r w:rsidRPr="00986EC1">
        <w:rPr>
          <w:rFonts w:ascii="Arial Narrow" w:hAnsi="Arial Narrow"/>
          <w:b/>
          <w:bCs/>
          <w:sz w:val="20"/>
          <w:lang w:eastAsia="en-US"/>
        </w:rPr>
        <w:t xml:space="preserve"> </w:t>
      </w:r>
    </w:p>
    <w:tbl>
      <w:tblPr>
        <w:tblStyle w:val="OPTUMTableNormal"/>
        <w:tblW w:w="0" w:type="auto"/>
        <w:tblLook w:val="04A0" w:firstRow="1" w:lastRow="0" w:firstColumn="1" w:lastColumn="0" w:noHBand="0" w:noVBand="1"/>
      </w:tblPr>
      <w:tblGrid>
        <w:gridCol w:w="1161"/>
        <w:gridCol w:w="1144"/>
        <w:gridCol w:w="1180"/>
        <w:gridCol w:w="1041"/>
        <w:gridCol w:w="1144"/>
        <w:gridCol w:w="1180"/>
        <w:gridCol w:w="1041"/>
        <w:gridCol w:w="1125"/>
      </w:tblGrid>
      <w:tr w:rsidR="00986EC1" w:rsidRPr="00986EC1" w14:paraId="0F2F3574" w14:textId="77777777" w:rsidTr="00986EC1">
        <w:trPr>
          <w:cnfStyle w:val="100000000000" w:firstRow="1" w:lastRow="0" w:firstColumn="0" w:lastColumn="0" w:oddVBand="0" w:evenVBand="0" w:oddHBand="0" w:evenHBand="0" w:firstRowFirstColumn="0" w:firstRowLastColumn="0" w:lastRowFirstColumn="0" w:lastRowLastColumn="0"/>
          <w:trHeight w:val="70"/>
          <w:tblHeader/>
        </w:trPr>
        <w:tc>
          <w:tcPr>
            <w:tcW w:w="0" w:type="auto"/>
            <w:tcBorders>
              <w:bottom w:val="single" w:sz="4" w:space="0" w:color="FFFFFF"/>
            </w:tcBorders>
          </w:tcPr>
          <w:p w14:paraId="7B786912"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Trial ID</w:t>
            </w:r>
          </w:p>
        </w:tc>
        <w:tc>
          <w:tcPr>
            <w:tcW w:w="0" w:type="auto"/>
            <w:gridSpan w:val="3"/>
            <w:tcBorders>
              <w:left w:val="single" w:sz="4" w:space="0" w:color="FFFFFF"/>
            </w:tcBorders>
          </w:tcPr>
          <w:p w14:paraId="5563DD5C"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IDS</w:t>
            </w:r>
          </w:p>
        </w:tc>
        <w:tc>
          <w:tcPr>
            <w:tcW w:w="0" w:type="auto"/>
            <w:gridSpan w:val="3"/>
            <w:tcBorders>
              <w:left w:val="single" w:sz="4" w:space="0" w:color="FFFFFF"/>
            </w:tcBorders>
          </w:tcPr>
          <w:p w14:paraId="732FFC25"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Decompression</w:t>
            </w:r>
          </w:p>
        </w:tc>
        <w:tc>
          <w:tcPr>
            <w:tcW w:w="0" w:type="auto"/>
            <w:vMerge w:val="restart"/>
          </w:tcPr>
          <w:p w14:paraId="12E8FC99"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MD (&lt; 0 favours IDS)</w:t>
            </w:r>
            <w:r w:rsidRPr="00986EC1">
              <w:rPr>
                <w:rFonts w:ascii="Arial Narrow" w:hAnsi="Arial Narrow"/>
                <w:b/>
                <w:sz w:val="20"/>
                <w:szCs w:val="18"/>
                <w:vertAlign w:val="superscript"/>
              </w:rPr>
              <w:t>d</w:t>
            </w:r>
          </w:p>
        </w:tc>
      </w:tr>
      <w:tr w:rsidR="00986EC1" w:rsidRPr="00986EC1" w14:paraId="638F52BA" w14:textId="77777777" w:rsidTr="00986EC1">
        <w:trPr>
          <w:cnfStyle w:val="100000000000" w:firstRow="1" w:lastRow="0" w:firstColumn="0" w:lastColumn="0" w:oddVBand="0" w:evenVBand="0" w:oddHBand="0" w:evenHBand="0" w:firstRowFirstColumn="0" w:firstRowLastColumn="0" w:lastRowFirstColumn="0" w:lastRowLastColumn="0"/>
          <w:trHeight w:val="70"/>
          <w:tblHeader/>
        </w:trPr>
        <w:tc>
          <w:tcPr>
            <w:tcW w:w="0" w:type="auto"/>
            <w:tcBorders>
              <w:top w:val="single" w:sz="4" w:space="0" w:color="FFFFFF"/>
            </w:tcBorders>
            <w:hideMark/>
          </w:tcPr>
          <w:p w14:paraId="21225BA4" w14:textId="77777777" w:rsidR="00986EC1" w:rsidRPr="00986EC1" w:rsidRDefault="00986EC1" w:rsidP="00986EC1">
            <w:pPr>
              <w:spacing w:before="120" w:after="60"/>
              <w:rPr>
                <w:rFonts w:ascii="Arial Narrow" w:hAnsi="Arial Narrow"/>
                <w:b/>
                <w:sz w:val="20"/>
                <w:szCs w:val="18"/>
              </w:rPr>
            </w:pPr>
          </w:p>
        </w:tc>
        <w:tc>
          <w:tcPr>
            <w:tcW w:w="0" w:type="auto"/>
            <w:hideMark/>
          </w:tcPr>
          <w:p w14:paraId="3E225468"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Baseline mean (SD)</w:t>
            </w:r>
          </w:p>
        </w:tc>
        <w:tc>
          <w:tcPr>
            <w:tcW w:w="0" w:type="auto"/>
            <w:hideMark/>
          </w:tcPr>
          <w:p w14:paraId="460CEB9A"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Endpoint mean (SD)</w:t>
            </w:r>
          </w:p>
        </w:tc>
        <w:tc>
          <w:tcPr>
            <w:tcW w:w="0" w:type="auto"/>
            <w:hideMark/>
          </w:tcPr>
          <w:p w14:paraId="78B75A45"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Mean change (SD)</w:t>
            </w:r>
          </w:p>
        </w:tc>
        <w:tc>
          <w:tcPr>
            <w:tcW w:w="0" w:type="auto"/>
            <w:hideMark/>
          </w:tcPr>
          <w:p w14:paraId="2D0EF56A"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Baseline mean (SD)</w:t>
            </w:r>
          </w:p>
        </w:tc>
        <w:tc>
          <w:tcPr>
            <w:tcW w:w="0" w:type="auto"/>
            <w:hideMark/>
          </w:tcPr>
          <w:p w14:paraId="31E9B029"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Endpoint mean (SD)</w:t>
            </w:r>
          </w:p>
        </w:tc>
        <w:tc>
          <w:tcPr>
            <w:tcW w:w="0" w:type="auto"/>
            <w:hideMark/>
          </w:tcPr>
          <w:p w14:paraId="6D17E7C3"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Mean change (SD)</w:t>
            </w:r>
          </w:p>
        </w:tc>
        <w:tc>
          <w:tcPr>
            <w:tcW w:w="0" w:type="auto"/>
            <w:vMerge/>
            <w:hideMark/>
          </w:tcPr>
          <w:p w14:paraId="49231FFF" w14:textId="77777777" w:rsidR="00986EC1" w:rsidRPr="00986EC1" w:rsidRDefault="00986EC1" w:rsidP="00986EC1">
            <w:pPr>
              <w:spacing w:before="120" w:after="60"/>
              <w:rPr>
                <w:rFonts w:ascii="Arial Narrow" w:hAnsi="Arial Narrow"/>
                <w:b/>
                <w:sz w:val="20"/>
                <w:szCs w:val="18"/>
              </w:rPr>
            </w:pPr>
          </w:p>
        </w:tc>
      </w:tr>
      <w:tr w:rsidR="00986EC1" w:rsidRPr="00986EC1" w14:paraId="59D28A7E" w14:textId="77777777" w:rsidTr="005917C2">
        <w:trPr>
          <w:trHeight w:val="259"/>
        </w:trPr>
        <w:tc>
          <w:tcPr>
            <w:tcW w:w="0" w:type="auto"/>
            <w:tcBorders>
              <w:right w:val="single" w:sz="4" w:space="0" w:color="D9D9D9"/>
            </w:tcBorders>
            <w:shd w:val="clear" w:color="auto" w:fill="auto"/>
          </w:tcPr>
          <w:p w14:paraId="0C65824A" w14:textId="77777777" w:rsidR="00986EC1" w:rsidRPr="00986EC1" w:rsidRDefault="00986EC1" w:rsidP="00986EC1">
            <w:pPr>
              <w:keepNext/>
              <w:rPr>
                <w:rFonts w:ascii="Arial Narrow" w:eastAsia="SimSun" w:hAnsi="Arial Narrow"/>
                <w:b/>
                <w:sz w:val="20"/>
                <w:szCs w:val="24"/>
                <w:lang w:val="en-US"/>
              </w:rPr>
            </w:pPr>
            <w:r w:rsidRPr="00986EC1">
              <w:rPr>
                <w:rFonts w:ascii="Arial Narrow" w:eastAsia="SimSun" w:hAnsi="Arial Narrow"/>
                <w:b/>
                <w:sz w:val="20"/>
                <w:szCs w:val="24"/>
                <w:lang w:val="en-US"/>
              </w:rPr>
              <w:t xml:space="preserve">Back pain  </w:t>
            </w:r>
          </w:p>
        </w:tc>
        <w:tc>
          <w:tcPr>
            <w:tcW w:w="0" w:type="auto"/>
            <w:tcBorders>
              <w:left w:val="single" w:sz="4" w:space="0" w:color="D9D9D9"/>
              <w:right w:val="single" w:sz="4" w:space="0" w:color="D9D9D9"/>
            </w:tcBorders>
            <w:shd w:val="clear" w:color="auto" w:fill="auto"/>
          </w:tcPr>
          <w:p w14:paraId="2D4406C2" w14:textId="77777777" w:rsidR="00986EC1" w:rsidRPr="00986EC1" w:rsidRDefault="00986EC1" w:rsidP="00986EC1">
            <w:pPr>
              <w:keepNext/>
              <w:rPr>
                <w:rFonts w:ascii="Arial Narrow" w:eastAsia="SimSun" w:hAnsi="Arial Narrow"/>
                <w:b/>
                <w:sz w:val="20"/>
                <w:szCs w:val="24"/>
                <w:lang w:val="en-US"/>
              </w:rPr>
            </w:pPr>
          </w:p>
        </w:tc>
        <w:tc>
          <w:tcPr>
            <w:tcW w:w="0" w:type="auto"/>
            <w:tcBorders>
              <w:left w:val="single" w:sz="4" w:space="0" w:color="D9D9D9"/>
              <w:right w:val="single" w:sz="4" w:space="0" w:color="D9D9D9"/>
            </w:tcBorders>
            <w:shd w:val="clear" w:color="auto" w:fill="auto"/>
          </w:tcPr>
          <w:p w14:paraId="25C40AF5" w14:textId="77777777" w:rsidR="00986EC1" w:rsidRPr="00986EC1" w:rsidRDefault="00986EC1" w:rsidP="00986EC1">
            <w:pPr>
              <w:keepNext/>
              <w:rPr>
                <w:rFonts w:ascii="Arial Narrow" w:eastAsia="SimSun" w:hAnsi="Arial Narrow"/>
                <w:b/>
                <w:sz w:val="20"/>
                <w:szCs w:val="24"/>
                <w:lang w:val="en-US"/>
              </w:rPr>
            </w:pPr>
          </w:p>
        </w:tc>
        <w:tc>
          <w:tcPr>
            <w:tcW w:w="0" w:type="auto"/>
            <w:tcBorders>
              <w:left w:val="single" w:sz="4" w:space="0" w:color="D9D9D9"/>
              <w:right w:val="single" w:sz="4" w:space="0" w:color="D9D9D9"/>
            </w:tcBorders>
            <w:shd w:val="clear" w:color="auto" w:fill="auto"/>
          </w:tcPr>
          <w:p w14:paraId="6CE5219B" w14:textId="77777777" w:rsidR="00986EC1" w:rsidRPr="00986EC1" w:rsidRDefault="00986EC1" w:rsidP="00986EC1">
            <w:pPr>
              <w:keepNext/>
              <w:rPr>
                <w:rFonts w:ascii="Arial Narrow" w:eastAsia="SimSun" w:hAnsi="Arial Narrow"/>
                <w:b/>
                <w:sz w:val="20"/>
                <w:szCs w:val="24"/>
                <w:lang w:val="en-US"/>
              </w:rPr>
            </w:pPr>
          </w:p>
        </w:tc>
        <w:tc>
          <w:tcPr>
            <w:tcW w:w="0" w:type="auto"/>
            <w:tcBorders>
              <w:left w:val="single" w:sz="4" w:space="0" w:color="D9D9D9"/>
              <w:right w:val="single" w:sz="4" w:space="0" w:color="D9D9D9"/>
            </w:tcBorders>
            <w:shd w:val="clear" w:color="auto" w:fill="auto"/>
          </w:tcPr>
          <w:p w14:paraId="2D4737E3" w14:textId="77777777" w:rsidR="00986EC1" w:rsidRPr="00986EC1" w:rsidRDefault="00986EC1" w:rsidP="00986EC1">
            <w:pPr>
              <w:keepNext/>
              <w:rPr>
                <w:rFonts w:ascii="Arial Narrow" w:eastAsia="SimSun" w:hAnsi="Arial Narrow"/>
                <w:b/>
                <w:sz w:val="20"/>
                <w:szCs w:val="24"/>
                <w:lang w:val="en-US"/>
              </w:rPr>
            </w:pPr>
          </w:p>
        </w:tc>
        <w:tc>
          <w:tcPr>
            <w:tcW w:w="0" w:type="auto"/>
            <w:tcBorders>
              <w:left w:val="single" w:sz="4" w:space="0" w:color="D9D9D9"/>
              <w:right w:val="single" w:sz="4" w:space="0" w:color="D9D9D9"/>
            </w:tcBorders>
            <w:shd w:val="clear" w:color="auto" w:fill="auto"/>
          </w:tcPr>
          <w:p w14:paraId="2037CD9E" w14:textId="77777777" w:rsidR="00986EC1" w:rsidRPr="00986EC1" w:rsidRDefault="00986EC1" w:rsidP="00986EC1">
            <w:pPr>
              <w:keepNext/>
              <w:rPr>
                <w:rFonts w:ascii="Arial Narrow" w:eastAsia="SimSun" w:hAnsi="Arial Narrow"/>
                <w:b/>
                <w:sz w:val="20"/>
                <w:szCs w:val="24"/>
                <w:lang w:val="en-US"/>
              </w:rPr>
            </w:pPr>
          </w:p>
        </w:tc>
        <w:tc>
          <w:tcPr>
            <w:tcW w:w="0" w:type="auto"/>
            <w:tcBorders>
              <w:left w:val="single" w:sz="4" w:space="0" w:color="D9D9D9"/>
              <w:right w:val="single" w:sz="4" w:space="0" w:color="D9D9D9"/>
            </w:tcBorders>
            <w:shd w:val="clear" w:color="auto" w:fill="auto"/>
          </w:tcPr>
          <w:p w14:paraId="17D7EB2F" w14:textId="77777777" w:rsidR="00986EC1" w:rsidRPr="00986EC1" w:rsidRDefault="00986EC1" w:rsidP="00986EC1">
            <w:pPr>
              <w:keepNext/>
              <w:rPr>
                <w:rFonts w:ascii="Arial Narrow" w:eastAsia="SimSun" w:hAnsi="Arial Narrow"/>
                <w:b/>
                <w:sz w:val="20"/>
                <w:szCs w:val="24"/>
                <w:lang w:val="en-US"/>
              </w:rPr>
            </w:pPr>
          </w:p>
        </w:tc>
        <w:tc>
          <w:tcPr>
            <w:tcW w:w="0" w:type="auto"/>
            <w:tcBorders>
              <w:left w:val="single" w:sz="4" w:space="0" w:color="D9D9D9"/>
            </w:tcBorders>
            <w:shd w:val="clear" w:color="auto" w:fill="auto"/>
          </w:tcPr>
          <w:p w14:paraId="51663A2C" w14:textId="77777777" w:rsidR="00986EC1" w:rsidRPr="00986EC1" w:rsidRDefault="00986EC1" w:rsidP="00986EC1">
            <w:pPr>
              <w:keepNext/>
              <w:rPr>
                <w:rFonts w:ascii="Arial Narrow" w:eastAsia="SimSun" w:hAnsi="Arial Narrow"/>
                <w:b/>
                <w:sz w:val="20"/>
                <w:szCs w:val="24"/>
                <w:lang w:val="en-US"/>
              </w:rPr>
            </w:pPr>
          </w:p>
        </w:tc>
      </w:tr>
      <w:tr w:rsidR="00986EC1" w:rsidRPr="00986EC1" w14:paraId="79157131" w14:textId="77777777" w:rsidTr="005917C2">
        <w:trPr>
          <w:trHeight w:val="259"/>
        </w:trPr>
        <w:tc>
          <w:tcPr>
            <w:tcW w:w="0" w:type="auto"/>
          </w:tcPr>
          <w:p w14:paraId="7D17DBD0"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 xml:space="preserve">FELIX </w:t>
            </w:r>
          </w:p>
        </w:tc>
        <w:tc>
          <w:tcPr>
            <w:tcW w:w="0" w:type="auto"/>
          </w:tcPr>
          <w:p w14:paraId="1758A4D0"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50 (NR)</w:t>
            </w:r>
          </w:p>
        </w:tc>
        <w:tc>
          <w:tcPr>
            <w:tcW w:w="0" w:type="auto"/>
          </w:tcPr>
          <w:p w14:paraId="3EB788EB"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36 (NR)</w:t>
            </w:r>
          </w:p>
        </w:tc>
        <w:tc>
          <w:tcPr>
            <w:tcW w:w="0" w:type="auto"/>
          </w:tcPr>
          <w:p w14:paraId="220C728B"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-14 (NR)</w:t>
            </w:r>
          </w:p>
        </w:tc>
        <w:tc>
          <w:tcPr>
            <w:tcW w:w="0" w:type="auto"/>
          </w:tcPr>
          <w:p w14:paraId="529309CC"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52 (NR)</w:t>
            </w:r>
          </w:p>
        </w:tc>
        <w:tc>
          <w:tcPr>
            <w:tcW w:w="0" w:type="auto"/>
          </w:tcPr>
          <w:p w14:paraId="6DEBC600"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28 (NR)</w:t>
            </w:r>
          </w:p>
        </w:tc>
        <w:tc>
          <w:tcPr>
            <w:tcW w:w="0" w:type="auto"/>
          </w:tcPr>
          <w:p w14:paraId="0917E79D"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-24 (NR)</w:t>
            </w:r>
          </w:p>
        </w:tc>
        <w:tc>
          <w:tcPr>
            <w:tcW w:w="0" w:type="auto"/>
          </w:tcPr>
          <w:p w14:paraId="751D1E04" w14:textId="77777777" w:rsidR="00986EC1" w:rsidRPr="00986EC1" w:rsidRDefault="00986EC1" w:rsidP="00986EC1">
            <w:pPr>
              <w:spacing w:after="40"/>
              <w:jc w:val="both"/>
              <w:rPr>
                <w:rFonts w:ascii="Arial Narrow" w:hAnsi="Arial Narrow"/>
                <w:sz w:val="20"/>
              </w:rPr>
            </w:pPr>
            <w:r w:rsidRPr="00986EC1">
              <w:rPr>
                <w:rFonts w:ascii="Arial Narrow" w:hAnsi="Arial Narrow" w:cs="Tahoma"/>
                <w:sz w:val="20"/>
              </w:rPr>
              <w:t>10.00</w:t>
            </w:r>
          </w:p>
        </w:tc>
      </w:tr>
      <w:tr w:rsidR="00986EC1" w:rsidRPr="00986EC1" w14:paraId="2D5971B6" w14:textId="77777777" w:rsidTr="005917C2">
        <w:trPr>
          <w:trHeight w:val="259"/>
        </w:trPr>
        <w:tc>
          <w:tcPr>
            <w:tcW w:w="0" w:type="auto"/>
          </w:tcPr>
          <w:p w14:paraId="46A45AD0"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Strömqvist (2013)</w:t>
            </w:r>
          </w:p>
        </w:tc>
        <w:tc>
          <w:tcPr>
            <w:tcW w:w="0" w:type="auto"/>
          </w:tcPr>
          <w:p w14:paraId="2A3CBAB3"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58 (27.0)</w:t>
            </w:r>
          </w:p>
        </w:tc>
        <w:tc>
          <w:tcPr>
            <w:tcW w:w="0" w:type="auto"/>
          </w:tcPr>
          <w:p w14:paraId="76D33665"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34 (32.0)</w:t>
            </w:r>
          </w:p>
        </w:tc>
        <w:tc>
          <w:tcPr>
            <w:tcW w:w="0" w:type="auto"/>
          </w:tcPr>
          <w:p w14:paraId="1FDACAF0"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-24 (NR)</w:t>
            </w:r>
          </w:p>
        </w:tc>
        <w:tc>
          <w:tcPr>
            <w:tcW w:w="0" w:type="auto"/>
          </w:tcPr>
          <w:p w14:paraId="27A8119C"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60 (26.0)</w:t>
            </w:r>
          </w:p>
        </w:tc>
        <w:tc>
          <w:tcPr>
            <w:tcW w:w="0" w:type="auto"/>
          </w:tcPr>
          <w:p w14:paraId="75B85EE4"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23 (29.0)</w:t>
            </w:r>
          </w:p>
        </w:tc>
        <w:tc>
          <w:tcPr>
            <w:tcW w:w="0" w:type="auto"/>
          </w:tcPr>
          <w:p w14:paraId="3D1D4D22"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-37 (NR)</w:t>
            </w:r>
          </w:p>
        </w:tc>
        <w:tc>
          <w:tcPr>
            <w:tcW w:w="0" w:type="auto"/>
          </w:tcPr>
          <w:p w14:paraId="2824F861" w14:textId="77777777" w:rsidR="00986EC1" w:rsidRPr="00986EC1" w:rsidRDefault="00986EC1" w:rsidP="00986EC1">
            <w:pPr>
              <w:spacing w:after="40"/>
              <w:jc w:val="both"/>
              <w:rPr>
                <w:rFonts w:ascii="Arial Narrow" w:hAnsi="Arial Narrow"/>
                <w:sz w:val="20"/>
              </w:rPr>
            </w:pPr>
            <w:r w:rsidRPr="00986EC1">
              <w:rPr>
                <w:rFonts w:ascii="Arial Narrow" w:hAnsi="Arial Narrow" w:cs="Tahoma"/>
                <w:sz w:val="20"/>
              </w:rPr>
              <w:t>13.00</w:t>
            </w:r>
          </w:p>
        </w:tc>
      </w:tr>
      <w:tr w:rsidR="00986EC1" w:rsidRPr="00986EC1" w14:paraId="7E6C7603" w14:textId="77777777" w:rsidTr="005917C2">
        <w:trPr>
          <w:trHeight w:val="259"/>
        </w:trPr>
        <w:tc>
          <w:tcPr>
            <w:tcW w:w="0" w:type="auto"/>
          </w:tcPr>
          <w:p w14:paraId="5B6C301A"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NICE</w:t>
            </w:r>
            <w:r w:rsidRPr="00986EC1">
              <w:rPr>
                <w:rFonts w:ascii="Arial Narrow" w:hAnsi="Arial Narrow" w:cs="Tahoma"/>
                <w:sz w:val="20"/>
                <w:vertAlign w:val="superscript"/>
              </w:rPr>
              <w:t>c</w:t>
            </w:r>
          </w:p>
        </w:tc>
        <w:tc>
          <w:tcPr>
            <w:tcW w:w="0" w:type="auto"/>
          </w:tcPr>
          <w:p w14:paraId="607E3F3E"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40 (23.3)</w:t>
            </w:r>
          </w:p>
        </w:tc>
        <w:tc>
          <w:tcPr>
            <w:tcW w:w="0" w:type="auto"/>
          </w:tcPr>
          <w:p w14:paraId="664D19A5"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21.7 (20.2)</w:t>
            </w:r>
          </w:p>
        </w:tc>
        <w:tc>
          <w:tcPr>
            <w:tcW w:w="0" w:type="auto"/>
          </w:tcPr>
          <w:p w14:paraId="36DDACE7"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-18.3 (NR)</w:t>
            </w:r>
          </w:p>
        </w:tc>
        <w:tc>
          <w:tcPr>
            <w:tcW w:w="0" w:type="auto"/>
          </w:tcPr>
          <w:p w14:paraId="713EEB36"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43.8 (19.7)</w:t>
            </w:r>
          </w:p>
        </w:tc>
        <w:tc>
          <w:tcPr>
            <w:tcW w:w="0" w:type="auto"/>
          </w:tcPr>
          <w:p w14:paraId="15D279E5"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30.5 (24.3)</w:t>
            </w:r>
          </w:p>
        </w:tc>
        <w:tc>
          <w:tcPr>
            <w:tcW w:w="0" w:type="auto"/>
          </w:tcPr>
          <w:p w14:paraId="469B02A9"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-13.3 (NR)</w:t>
            </w:r>
          </w:p>
        </w:tc>
        <w:tc>
          <w:tcPr>
            <w:tcW w:w="0" w:type="auto"/>
          </w:tcPr>
          <w:p w14:paraId="43C1D746" w14:textId="77777777" w:rsidR="00986EC1" w:rsidRPr="00986EC1" w:rsidRDefault="00986EC1" w:rsidP="00986EC1">
            <w:pPr>
              <w:spacing w:after="40"/>
              <w:jc w:val="both"/>
              <w:rPr>
                <w:rFonts w:ascii="Arial Narrow" w:hAnsi="Arial Narrow"/>
                <w:sz w:val="20"/>
                <w:highlight w:val="yellow"/>
              </w:rPr>
            </w:pPr>
            <w:r w:rsidRPr="00986EC1">
              <w:rPr>
                <w:rFonts w:ascii="Arial Narrow" w:hAnsi="Arial Narrow" w:cs="Tahoma"/>
                <w:sz w:val="20"/>
              </w:rPr>
              <w:t>-5.00</w:t>
            </w:r>
          </w:p>
        </w:tc>
      </w:tr>
      <w:tr w:rsidR="00986EC1" w:rsidRPr="00986EC1" w14:paraId="47900823" w14:textId="77777777" w:rsidTr="005917C2">
        <w:trPr>
          <w:trHeight w:val="259"/>
        </w:trPr>
        <w:tc>
          <w:tcPr>
            <w:tcW w:w="0" w:type="auto"/>
            <w:tcBorders>
              <w:right w:val="single" w:sz="4" w:space="0" w:color="D9D9D9"/>
            </w:tcBorders>
            <w:shd w:val="clear" w:color="auto" w:fill="auto"/>
          </w:tcPr>
          <w:p w14:paraId="21F84C46" w14:textId="77777777" w:rsidR="00986EC1" w:rsidRPr="00986EC1" w:rsidRDefault="00986EC1" w:rsidP="00986EC1">
            <w:pPr>
              <w:keepNext/>
              <w:rPr>
                <w:rFonts w:ascii="Arial Narrow" w:eastAsia="SimSun" w:hAnsi="Arial Narrow"/>
                <w:b/>
                <w:sz w:val="20"/>
                <w:szCs w:val="24"/>
                <w:lang w:val="en-US"/>
              </w:rPr>
            </w:pPr>
            <w:r w:rsidRPr="00986EC1">
              <w:rPr>
                <w:rFonts w:ascii="Arial Narrow" w:eastAsia="SimSun" w:hAnsi="Arial Narrow"/>
                <w:b/>
                <w:sz w:val="20"/>
                <w:szCs w:val="24"/>
                <w:lang w:val="en-US"/>
              </w:rPr>
              <w:t xml:space="preserve">Leg pain  </w:t>
            </w:r>
          </w:p>
        </w:tc>
        <w:tc>
          <w:tcPr>
            <w:tcW w:w="0" w:type="auto"/>
            <w:tcBorders>
              <w:left w:val="single" w:sz="4" w:space="0" w:color="D9D9D9"/>
              <w:right w:val="single" w:sz="4" w:space="0" w:color="D9D9D9"/>
            </w:tcBorders>
            <w:shd w:val="clear" w:color="auto" w:fill="auto"/>
          </w:tcPr>
          <w:p w14:paraId="4D92E495" w14:textId="77777777" w:rsidR="00986EC1" w:rsidRPr="00986EC1" w:rsidRDefault="00986EC1" w:rsidP="00986EC1">
            <w:pPr>
              <w:keepNext/>
              <w:rPr>
                <w:rFonts w:ascii="Arial Narrow" w:eastAsia="SimSun" w:hAnsi="Arial Narrow"/>
                <w:b/>
                <w:sz w:val="20"/>
                <w:szCs w:val="24"/>
                <w:lang w:val="en-US"/>
              </w:rPr>
            </w:pPr>
          </w:p>
        </w:tc>
        <w:tc>
          <w:tcPr>
            <w:tcW w:w="0" w:type="auto"/>
            <w:tcBorders>
              <w:left w:val="single" w:sz="4" w:space="0" w:color="D9D9D9"/>
              <w:right w:val="single" w:sz="4" w:space="0" w:color="D9D9D9"/>
            </w:tcBorders>
            <w:shd w:val="clear" w:color="auto" w:fill="auto"/>
          </w:tcPr>
          <w:p w14:paraId="17580917" w14:textId="77777777" w:rsidR="00986EC1" w:rsidRPr="00986EC1" w:rsidRDefault="00986EC1" w:rsidP="00986EC1">
            <w:pPr>
              <w:keepNext/>
              <w:rPr>
                <w:rFonts w:ascii="Arial Narrow" w:eastAsia="SimSun" w:hAnsi="Arial Narrow"/>
                <w:b/>
                <w:sz w:val="20"/>
                <w:szCs w:val="24"/>
                <w:lang w:val="en-US"/>
              </w:rPr>
            </w:pPr>
          </w:p>
        </w:tc>
        <w:tc>
          <w:tcPr>
            <w:tcW w:w="0" w:type="auto"/>
            <w:tcBorders>
              <w:left w:val="single" w:sz="4" w:space="0" w:color="D9D9D9"/>
              <w:right w:val="single" w:sz="4" w:space="0" w:color="D9D9D9"/>
            </w:tcBorders>
            <w:shd w:val="clear" w:color="auto" w:fill="auto"/>
          </w:tcPr>
          <w:p w14:paraId="27616C7B" w14:textId="77777777" w:rsidR="00986EC1" w:rsidRPr="00986EC1" w:rsidRDefault="00986EC1" w:rsidP="00986EC1">
            <w:pPr>
              <w:keepNext/>
              <w:rPr>
                <w:rFonts w:ascii="Arial Narrow" w:eastAsia="SimSun" w:hAnsi="Arial Narrow"/>
                <w:b/>
                <w:sz w:val="20"/>
                <w:szCs w:val="24"/>
                <w:lang w:val="en-US"/>
              </w:rPr>
            </w:pPr>
          </w:p>
        </w:tc>
        <w:tc>
          <w:tcPr>
            <w:tcW w:w="0" w:type="auto"/>
            <w:tcBorders>
              <w:left w:val="single" w:sz="4" w:space="0" w:color="D9D9D9"/>
              <w:right w:val="single" w:sz="4" w:space="0" w:color="D9D9D9"/>
            </w:tcBorders>
            <w:shd w:val="clear" w:color="auto" w:fill="auto"/>
          </w:tcPr>
          <w:p w14:paraId="5F8B7C34" w14:textId="77777777" w:rsidR="00986EC1" w:rsidRPr="00986EC1" w:rsidRDefault="00986EC1" w:rsidP="00986EC1">
            <w:pPr>
              <w:keepNext/>
              <w:rPr>
                <w:rFonts w:ascii="Arial Narrow" w:eastAsia="SimSun" w:hAnsi="Arial Narrow"/>
                <w:b/>
                <w:sz w:val="20"/>
                <w:szCs w:val="24"/>
                <w:lang w:val="en-US"/>
              </w:rPr>
            </w:pPr>
          </w:p>
        </w:tc>
        <w:tc>
          <w:tcPr>
            <w:tcW w:w="0" w:type="auto"/>
            <w:tcBorders>
              <w:left w:val="single" w:sz="4" w:space="0" w:color="D9D9D9"/>
              <w:right w:val="single" w:sz="4" w:space="0" w:color="D9D9D9"/>
            </w:tcBorders>
            <w:shd w:val="clear" w:color="auto" w:fill="auto"/>
          </w:tcPr>
          <w:p w14:paraId="0528C8B6" w14:textId="77777777" w:rsidR="00986EC1" w:rsidRPr="00986EC1" w:rsidRDefault="00986EC1" w:rsidP="00986EC1">
            <w:pPr>
              <w:keepNext/>
              <w:rPr>
                <w:rFonts w:ascii="Arial Narrow" w:eastAsia="SimSun" w:hAnsi="Arial Narrow"/>
                <w:b/>
                <w:sz w:val="20"/>
                <w:szCs w:val="24"/>
                <w:lang w:val="en-US"/>
              </w:rPr>
            </w:pPr>
          </w:p>
        </w:tc>
        <w:tc>
          <w:tcPr>
            <w:tcW w:w="0" w:type="auto"/>
            <w:tcBorders>
              <w:left w:val="single" w:sz="4" w:space="0" w:color="D9D9D9"/>
              <w:right w:val="single" w:sz="4" w:space="0" w:color="D9D9D9"/>
            </w:tcBorders>
            <w:shd w:val="clear" w:color="auto" w:fill="auto"/>
          </w:tcPr>
          <w:p w14:paraId="08A89E3A" w14:textId="77777777" w:rsidR="00986EC1" w:rsidRPr="00986EC1" w:rsidRDefault="00986EC1" w:rsidP="00986EC1">
            <w:pPr>
              <w:keepNext/>
              <w:rPr>
                <w:rFonts w:ascii="Arial Narrow" w:eastAsia="SimSun" w:hAnsi="Arial Narrow"/>
                <w:b/>
                <w:sz w:val="20"/>
                <w:szCs w:val="24"/>
                <w:lang w:val="en-US"/>
              </w:rPr>
            </w:pPr>
          </w:p>
        </w:tc>
        <w:tc>
          <w:tcPr>
            <w:tcW w:w="0" w:type="auto"/>
            <w:tcBorders>
              <w:left w:val="single" w:sz="4" w:space="0" w:color="D9D9D9"/>
            </w:tcBorders>
            <w:shd w:val="clear" w:color="auto" w:fill="auto"/>
          </w:tcPr>
          <w:p w14:paraId="47CABBB6" w14:textId="77777777" w:rsidR="00986EC1" w:rsidRPr="00986EC1" w:rsidRDefault="00986EC1" w:rsidP="00986EC1">
            <w:pPr>
              <w:keepNext/>
              <w:rPr>
                <w:rFonts w:ascii="Arial Narrow" w:eastAsia="SimSun" w:hAnsi="Arial Narrow"/>
                <w:b/>
                <w:sz w:val="20"/>
                <w:szCs w:val="24"/>
                <w:lang w:val="en-US"/>
              </w:rPr>
            </w:pPr>
          </w:p>
        </w:tc>
      </w:tr>
      <w:tr w:rsidR="00986EC1" w:rsidRPr="00986EC1" w14:paraId="5939AA08" w14:textId="77777777" w:rsidTr="005917C2">
        <w:trPr>
          <w:trHeight w:val="259"/>
        </w:trPr>
        <w:tc>
          <w:tcPr>
            <w:tcW w:w="0" w:type="auto"/>
          </w:tcPr>
          <w:p w14:paraId="7B950A71"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 xml:space="preserve">FELIX </w:t>
            </w:r>
          </w:p>
        </w:tc>
        <w:tc>
          <w:tcPr>
            <w:tcW w:w="0" w:type="auto"/>
          </w:tcPr>
          <w:p w14:paraId="1FBE8830"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52 (NR)</w:t>
            </w:r>
          </w:p>
        </w:tc>
        <w:tc>
          <w:tcPr>
            <w:tcW w:w="0" w:type="auto"/>
          </w:tcPr>
          <w:p w14:paraId="6B7B6C15"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21 (NR)</w:t>
            </w:r>
          </w:p>
        </w:tc>
        <w:tc>
          <w:tcPr>
            <w:tcW w:w="0" w:type="auto"/>
          </w:tcPr>
          <w:p w14:paraId="78EE48E1"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-31 (NR)</w:t>
            </w:r>
          </w:p>
        </w:tc>
        <w:tc>
          <w:tcPr>
            <w:tcW w:w="0" w:type="auto"/>
          </w:tcPr>
          <w:p w14:paraId="686EC544"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58 (NR)</w:t>
            </w:r>
          </w:p>
        </w:tc>
        <w:tc>
          <w:tcPr>
            <w:tcW w:w="0" w:type="auto"/>
          </w:tcPr>
          <w:p w14:paraId="7C92A056"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26 (NR)</w:t>
            </w:r>
          </w:p>
        </w:tc>
        <w:tc>
          <w:tcPr>
            <w:tcW w:w="0" w:type="auto"/>
          </w:tcPr>
          <w:p w14:paraId="201DECE5"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-32 (NR)</w:t>
            </w:r>
          </w:p>
        </w:tc>
        <w:tc>
          <w:tcPr>
            <w:tcW w:w="0" w:type="auto"/>
          </w:tcPr>
          <w:p w14:paraId="3715C52A" w14:textId="77777777" w:rsidR="00986EC1" w:rsidRPr="00986EC1" w:rsidRDefault="00986EC1" w:rsidP="00986EC1">
            <w:pPr>
              <w:spacing w:after="40"/>
              <w:jc w:val="both"/>
              <w:rPr>
                <w:rFonts w:ascii="Arial Narrow" w:hAnsi="Arial Narrow"/>
                <w:sz w:val="20"/>
              </w:rPr>
            </w:pPr>
            <w:r w:rsidRPr="00986EC1">
              <w:rPr>
                <w:rFonts w:ascii="Arial Narrow" w:hAnsi="Arial Narrow" w:cs="Tahoma"/>
                <w:sz w:val="20"/>
              </w:rPr>
              <w:t>1.00</w:t>
            </w:r>
          </w:p>
        </w:tc>
      </w:tr>
      <w:tr w:rsidR="00986EC1" w:rsidRPr="00986EC1" w14:paraId="23AF2B24" w14:textId="77777777" w:rsidTr="005917C2">
        <w:trPr>
          <w:trHeight w:val="259"/>
        </w:trPr>
        <w:tc>
          <w:tcPr>
            <w:tcW w:w="0" w:type="auto"/>
          </w:tcPr>
          <w:p w14:paraId="143CE394"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Strömqvist (2013)</w:t>
            </w:r>
            <w:r w:rsidRPr="00986EC1">
              <w:rPr>
                <w:rFonts w:ascii="Arial Narrow" w:hAnsi="Arial Narrow" w:cs="Tahoma"/>
                <w:sz w:val="20"/>
                <w:vertAlign w:val="superscript"/>
              </w:rPr>
              <w:t>a</w:t>
            </w:r>
          </w:p>
        </w:tc>
        <w:tc>
          <w:tcPr>
            <w:tcW w:w="0" w:type="auto"/>
          </w:tcPr>
          <w:p w14:paraId="7EF3631A"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57 (30.0)</w:t>
            </w:r>
          </w:p>
        </w:tc>
        <w:tc>
          <w:tcPr>
            <w:tcW w:w="0" w:type="auto"/>
          </w:tcPr>
          <w:p w14:paraId="5A2DE171"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25 (32.0)</w:t>
            </w:r>
          </w:p>
        </w:tc>
        <w:tc>
          <w:tcPr>
            <w:tcW w:w="0" w:type="auto"/>
          </w:tcPr>
          <w:p w14:paraId="2D2E95C7"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-32 (NR)</w:t>
            </w:r>
          </w:p>
        </w:tc>
        <w:tc>
          <w:tcPr>
            <w:tcW w:w="0" w:type="auto"/>
          </w:tcPr>
          <w:p w14:paraId="6F34B215"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58 (31.0)</w:t>
            </w:r>
          </w:p>
        </w:tc>
        <w:tc>
          <w:tcPr>
            <w:tcW w:w="0" w:type="auto"/>
          </w:tcPr>
          <w:p w14:paraId="53A0B1B6"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19 (25.0)</w:t>
            </w:r>
          </w:p>
        </w:tc>
        <w:tc>
          <w:tcPr>
            <w:tcW w:w="0" w:type="auto"/>
          </w:tcPr>
          <w:p w14:paraId="56CE641D"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-39 (NR)</w:t>
            </w:r>
          </w:p>
        </w:tc>
        <w:tc>
          <w:tcPr>
            <w:tcW w:w="0" w:type="auto"/>
          </w:tcPr>
          <w:p w14:paraId="46E393F0" w14:textId="77777777" w:rsidR="00986EC1" w:rsidRPr="00986EC1" w:rsidRDefault="00986EC1" w:rsidP="00986EC1">
            <w:pPr>
              <w:spacing w:after="40"/>
              <w:jc w:val="both"/>
              <w:rPr>
                <w:rFonts w:ascii="Arial Narrow" w:hAnsi="Arial Narrow"/>
                <w:sz w:val="20"/>
              </w:rPr>
            </w:pPr>
            <w:r w:rsidRPr="00986EC1">
              <w:rPr>
                <w:rFonts w:ascii="Arial Narrow" w:hAnsi="Arial Narrow" w:cs="Tahoma"/>
                <w:sz w:val="20"/>
              </w:rPr>
              <w:t>7.00</w:t>
            </w:r>
          </w:p>
        </w:tc>
      </w:tr>
      <w:tr w:rsidR="00986EC1" w:rsidRPr="00986EC1" w14:paraId="0F692DBC" w14:textId="77777777" w:rsidTr="005917C2">
        <w:trPr>
          <w:trHeight w:val="259"/>
        </w:trPr>
        <w:tc>
          <w:tcPr>
            <w:tcW w:w="0" w:type="auto"/>
          </w:tcPr>
          <w:p w14:paraId="1216CC76"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Strömqvist (2013)</w:t>
            </w:r>
            <w:r w:rsidRPr="00986EC1">
              <w:rPr>
                <w:rFonts w:ascii="Arial Narrow" w:hAnsi="Arial Narrow" w:cs="Tahoma"/>
                <w:sz w:val="20"/>
                <w:vertAlign w:val="superscript"/>
              </w:rPr>
              <w:t>b</w:t>
            </w:r>
          </w:p>
        </w:tc>
        <w:tc>
          <w:tcPr>
            <w:tcW w:w="0" w:type="auto"/>
          </w:tcPr>
          <w:p w14:paraId="0FAE902E"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60 (28.0)</w:t>
            </w:r>
          </w:p>
        </w:tc>
        <w:tc>
          <w:tcPr>
            <w:tcW w:w="0" w:type="auto"/>
          </w:tcPr>
          <w:p w14:paraId="36DDE8DD"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21 (28.0)</w:t>
            </w:r>
          </w:p>
        </w:tc>
        <w:tc>
          <w:tcPr>
            <w:tcW w:w="0" w:type="auto"/>
          </w:tcPr>
          <w:p w14:paraId="7A3B29F1"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-39 (NR)</w:t>
            </w:r>
          </w:p>
        </w:tc>
        <w:tc>
          <w:tcPr>
            <w:tcW w:w="0" w:type="auto"/>
          </w:tcPr>
          <w:p w14:paraId="4AC50394"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53 (29.0)</w:t>
            </w:r>
          </w:p>
        </w:tc>
        <w:tc>
          <w:tcPr>
            <w:tcW w:w="0" w:type="auto"/>
          </w:tcPr>
          <w:p w14:paraId="03271684"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21 (28.0)</w:t>
            </w:r>
          </w:p>
        </w:tc>
        <w:tc>
          <w:tcPr>
            <w:tcW w:w="0" w:type="auto"/>
          </w:tcPr>
          <w:p w14:paraId="0D977FF3"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-32 (NR)</w:t>
            </w:r>
          </w:p>
        </w:tc>
        <w:tc>
          <w:tcPr>
            <w:tcW w:w="0" w:type="auto"/>
          </w:tcPr>
          <w:p w14:paraId="08145763" w14:textId="77777777" w:rsidR="00986EC1" w:rsidRPr="00986EC1" w:rsidRDefault="00986EC1" w:rsidP="00986EC1">
            <w:pPr>
              <w:spacing w:after="40"/>
              <w:jc w:val="both"/>
              <w:rPr>
                <w:rFonts w:ascii="Arial Narrow" w:hAnsi="Arial Narrow"/>
                <w:sz w:val="20"/>
              </w:rPr>
            </w:pPr>
            <w:r w:rsidRPr="00986EC1">
              <w:rPr>
                <w:rFonts w:ascii="Arial Narrow" w:hAnsi="Arial Narrow" w:cs="Tahoma"/>
                <w:sz w:val="20"/>
              </w:rPr>
              <w:t>-7.00</w:t>
            </w:r>
          </w:p>
        </w:tc>
      </w:tr>
      <w:tr w:rsidR="00986EC1" w:rsidRPr="00986EC1" w14:paraId="0F2A42CE" w14:textId="77777777" w:rsidTr="005917C2">
        <w:trPr>
          <w:trHeight w:val="259"/>
        </w:trPr>
        <w:tc>
          <w:tcPr>
            <w:tcW w:w="0" w:type="auto"/>
          </w:tcPr>
          <w:p w14:paraId="510C44AF"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NICE</w:t>
            </w:r>
            <w:r w:rsidRPr="00986EC1">
              <w:rPr>
                <w:rFonts w:ascii="Arial Narrow" w:hAnsi="Arial Narrow" w:cs="Tahoma"/>
                <w:sz w:val="20"/>
                <w:vertAlign w:val="superscript"/>
              </w:rPr>
              <w:t>c</w:t>
            </w:r>
          </w:p>
        </w:tc>
        <w:tc>
          <w:tcPr>
            <w:tcW w:w="0" w:type="auto"/>
          </w:tcPr>
          <w:p w14:paraId="5EB3E10A"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79.3 (13.1)</w:t>
            </w:r>
          </w:p>
        </w:tc>
        <w:tc>
          <w:tcPr>
            <w:tcW w:w="0" w:type="auto"/>
          </w:tcPr>
          <w:p w14:paraId="35CD12F3"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21.7 (24.9)</w:t>
            </w:r>
          </w:p>
        </w:tc>
        <w:tc>
          <w:tcPr>
            <w:tcW w:w="0" w:type="auto"/>
          </w:tcPr>
          <w:p w14:paraId="175CD7B6"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-57.6 (NR)</w:t>
            </w:r>
          </w:p>
        </w:tc>
        <w:tc>
          <w:tcPr>
            <w:tcW w:w="0" w:type="auto"/>
          </w:tcPr>
          <w:p w14:paraId="5FCC1604"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80.4 (13.2)</w:t>
            </w:r>
          </w:p>
        </w:tc>
        <w:tc>
          <w:tcPr>
            <w:tcW w:w="0" w:type="auto"/>
          </w:tcPr>
          <w:p w14:paraId="33757A6F"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26.6 (25.9)</w:t>
            </w:r>
          </w:p>
        </w:tc>
        <w:tc>
          <w:tcPr>
            <w:tcW w:w="0" w:type="auto"/>
          </w:tcPr>
          <w:p w14:paraId="3CE6CC24"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-53.8 (NR)</w:t>
            </w:r>
          </w:p>
        </w:tc>
        <w:tc>
          <w:tcPr>
            <w:tcW w:w="0" w:type="auto"/>
          </w:tcPr>
          <w:p w14:paraId="7D32566B" w14:textId="77777777" w:rsidR="00986EC1" w:rsidRPr="00986EC1" w:rsidRDefault="00986EC1" w:rsidP="00986EC1">
            <w:pPr>
              <w:spacing w:after="40"/>
              <w:jc w:val="both"/>
              <w:rPr>
                <w:rFonts w:ascii="Arial Narrow" w:hAnsi="Arial Narrow"/>
                <w:sz w:val="20"/>
              </w:rPr>
            </w:pPr>
            <w:r w:rsidRPr="00986EC1">
              <w:rPr>
                <w:rFonts w:ascii="Arial Narrow" w:hAnsi="Arial Narrow" w:cs="Tahoma"/>
                <w:sz w:val="20"/>
              </w:rPr>
              <w:t>-3.80</w:t>
            </w:r>
          </w:p>
        </w:tc>
      </w:tr>
    </w:tbl>
    <w:p w14:paraId="63519D18" w14:textId="77777777" w:rsidR="00986EC1" w:rsidRPr="00986EC1" w:rsidRDefault="00986EC1" w:rsidP="00B23D55">
      <w:pPr>
        <w:pStyle w:val="Tablenotes1"/>
      </w:pPr>
      <w:r w:rsidRPr="00986EC1">
        <w:t xml:space="preserve">IDS, interspinous decompression spacer; NR, not reported; MD, mean difference; SD, standard deviation; VAS, visual analogue scale. </w:t>
      </w:r>
    </w:p>
    <w:p w14:paraId="4D048DC4" w14:textId="03A16174" w:rsidR="00986EC1" w:rsidRDefault="00986EC1" w:rsidP="00B23D55">
      <w:pPr>
        <w:pStyle w:val="Tablenotes1"/>
      </w:pPr>
      <w:r w:rsidRPr="00986EC1">
        <w:t xml:space="preserve">Note: A lower VAS represents less pain. </w:t>
      </w:r>
      <w:r w:rsidRPr="00986EC1">
        <w:br/>
      </w:r>
      <w:r w:rsidRPr="00986EC1">
        <w:rPr>
          <w:b/>
          <w:bCs/>
        </w:rPr>
        <w:t>a</w:t>
      </w:r>
      <w:r w:rsidRPr="00986EC1">
        <w:t xml:space="preserve"> Left leg pain</w:t>
      </w:r>
      <w:r w:rsidRPr="00986EC1">
        <w:br/>
      </w:r>
      <w:r w:rsidRPr="00986EC1">
        <w:rPr>
          <w:b/>
          <w:bCs/>
        </w:rPr>
        <w:t>b</w:t>
      </w:r>
      <w:r w:rsidRPr="00986EC1">
        <w:t xml:space="preserve"> Right leg pain </w:t>
      </w:r>
      <w:r w:rsidRPr="00986EC1">
        <w:br/>
      </w:r>
      <w:r w:rsidRPr="00986EC1">
        <w:rPr>
          <w:b/>
          <w:bCs/>
        </w:rPr>
        <w:t>c</w:t>
      </w:r>
      <w:r w:rsidRPr="00986EC1">
        <w:t xml:space="preserve"> The outcomes for the NICE trial were multiplied by 10.</w:t>
      </w:r>
      <w:r w:rsidRPr="00986EC1">
        <w:br/>
      </w:r>
      <w:r w:rsidRPr="00986EC1">
        <w:rPr>
          <w:b/>
          <w:bCs/>
        </w:rPr>
        <w:t>d</w:t>
      </w:r>
      <w:r w:rsidRPr="00986EC1">
        <w:t xml:space="preserve"> Note that for most studies, mean change was calculated post hoc by subtracting baseline scores for the final scores. Confidence intervals were infrequently reported.</w:t>
      </w:r>
    </w:p>
    <w:p w14:paraId="61244281" w14:textId="7345ADDA" w:rsidR="000236D4" w:rsidRPr="00986EC1" w:rsidRDefault="000236D4" w:rsidP="00B23D55">
      <w:pPr>
        <w:pStyle w:val="Tablenotes1"/>
        <w:rPr>
          <w:szCs w:val="22"/>
        </w:rPr>
      </w:pPr>
      <w:r>
        <w:t>Source: Commentary, Table 12</w:t>
      </w:r>
    </w:p>
    <w:p w14:paraId="42BF6F32" w14:textId="77777777" w:rsidR="00986EC1" w:rsidRPr="00986EC1" w:rsidRDefault="00986EC1" w:rsidP="00986EC1">
      <w:pPr>
        <w:keepNext/>
        <w:keepLines/>
        <w:tabs>
          <w:tab w:val="left" w:pos="851"/>
        </w:tabs>
        <w:spacing w:before="360" w:after="200"/>
        <w:outlineLvl w:val="3"/>
        <w:rPr>
          <w:rFonts w:ascii="Franklin Gothic Medium" w:eastAsia="SimSun" w:hAnsi="Franklin Gothic Medium"/>
          <w:i/>
          <w:szCs w:val="24"/>
          <w:lang w:eastAsia="en-US"/>
        </w:rPr>
      </w:pPr>
      <w:r w:rsidRPr="00986EC1">
        <w:rPr>
          <w:rFonts w:ascii="Franklin Gothic Medium" w:eastAsia="SimSun" w:hAnsi="Franklin Gothic Medium"/>
          <w:i/>
          <w:szCs w:val="24"/>
          <w:lang w:eastAsia="en-US"/>
        </w:rPr>
        <w:t>Reoperations</w:t>
      </w:r>
    </w:p>
    <w:p w14:paraId="4519A695" w14:textId="5D25A472"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reoperation rate was reported in all included studies. The ADAR presented the overall reoperation rate, which includes post-operative complications requiring reoperation and treatment failure (worsened or persistent symptoms) leading to reoperation. This analysis includes both a primary safety outcome (number of reoperations, removals or revisions) and a primary effectiveness outcome (new or persistent worsened neurological deficit at the index level[s]). The ADAR included reoperations in effectiveness, hence this is retained in the executive summary text, but the findings are reflected in the conclusion for both safety and effectiveness. As an effectiveness outcome, reoperations due to treatment failure are more relevant and are presented here. Complications requiring reoperation were more common in the decompression arms of the trials (due to dural tears), whereas reoperations for treatment failure were more common in the ICD arms of the trials. The meta-analysis demonstrated a benefit in favour of decompression against IDS at 17% difference in absolute risk (RD [95% CI] 0.17 [0.11, 0.23]), which was statistically significant (P&lt;0.0001) (</w:t>
      </w:r>
      <w:r w:rsidRPr="00F6405A">
        <w:rPr>
          <w:rFonts w:ascii="Franklin Gothic Book" w:eastAsia="Calibri" w:hAnsi="Franklin Gothic Book"/>
          <w:sz w:val="22"/>
          <w:szCs w:val="22"/>
          <w:lang w:eastAsia="en-US"/>
        </w:rPr>
        <w:fldChar w:fldCharType="begin"/>
      </w:r>
      <w:r w:rsidRPr="00F6405A">
        <w:rPr>
          <w:rFonts w:ascii="Franklin Gothic Book" w:eastAsia="Calibri" w:hAnsi="Franklin Gothic Book"/>
          <w:sz w:val="22"/>
          <w:szCs w:val="22"/>
          <w:lang w:eastAsia="en-US"/>
        </w:rPr>
        <w:instrText xml:space="preserve"> REF _Ref79689667 \h </w:instrText>
      </w:r>
      <w:r w:rsidR="008005CF" w:rsidRPr="00F6405A">
        <w:rPr>
          <w:rFonts w:ascii="Franklin Gothic Book" w:eastAsia="Calibri" w:hAnsi="Franklin Gothic Book"/>
          <w:sz w:val="22"/>
          <w:szCs w:val="22"/>
          <w:lang w:eastAsia="en-US"/>
        </w:rPr>
        <w:instrText xml:space="preserve"> \* MERGEFORMAT </w:instrText>
      </w:r>
      <w:r w:rsidRPr="00F6405A">
        <w:rPr>
          <w:rFonts w:ascii="Franklin Gothic Book" w:eastAsia="Calibri" w:hAnsi="Franklin Gothic Book"/>
          <w:sz w:val="22"/>
          <w:szCs w:val="22"/>
          <w:lang w:eastAsia="en-US"/>
        </w:rPr>
      </w:r>
      <w:r w:rsidRPr="00F6405A">
        <w:rPr>
          <w:rFonts w:ascii="Franklin Gothic Book" w:eastAsia="Calibri" w:hAnsi="Franklin Gothic Book"/>
          <w:sz w:val="22"/>
          <w:szCs w:val="22"/>
          <w:lang w:eastAsia="en-US"/>
        </w:rPr>
        <w:fldChar w:fldCharType="separate"/>
      </w:r>
      <w:r w:rsidR="00EE4CB3" w:rsidRPr="00EE4CB3">
        <w:rPr>
          <w:rFonts w:ascii="Franklin Gothic Book" w:eastAsia="Calibri" w:hAnsi="Franklin Gothic Book"/>
          <w:sz w:val="22"/>
          <w:szCs w:val="22"/>
          <w:lang w:eastAsia="en-US"/>
        </w:rPr>
        <w:t>Figure 1</w:t>
      </w:r>
      <w:r w:rsidRPr="00F6405A">
        <w:rPr>
          <w:rFonts w:ascii="Franklin Gothic Book" w:eastAsia="Calibri" w:hAnsi="Franklin Gothic Book"/>
          <w:sz w:val="22"/>
          <w:szCs w:val="22"/>
          <w:lang w:eastAsia="en-US"/>
        </w:rPr>
        <w:fldChar w:fldCharType="end"/>
      </w:r>
      <w:r w:rsidRPr="00F6405A">
        <w:rPr>
          <w:rFonts w:ascii="Franklin Gothic Book" w:eastAsia="Calibri" w:hAnsi="Franklin Gothic Book"/>
          <w:sz w:val="22"/>
          <w:szCs w:val="22"/>
          <w:lang w:eastAsia="en-US"/>
        </w:rPr>
        <w:t>).</w:t>
      </w:r>
      <w:r w:rsidRPr="00986EC1">
        <w:rPr>
          <w:rFonts w:ascii="Franklin Gothic Book" w:eastAsia="Calibri" w:hAnsi="Franklin Gothic Book"/>
          <w:sz w:val="22"/>
          <w:szCs w:val="22"/>
          <w:lang w:eastAsia="en-US"/>
        </w:rPr>
        <w:t xml:space="preserve"> Where reported, reoperations due to treatment failure were most commonly decompression for the IDS arm and extended decompression for the decompression arm. No device revisions were reported. This suggests that for more than 20% of patients, the IDS device is a bridge to decompression rather than a replacement.</w:t>
      </w:r>
    </w:p>
    <w:p w14:paraId="04187EAB" w14:textId="557F75EA" w:rsidR="00986EC1" w:rsidRPr="00986EC1" w:rsidRDefault="00986EC1" w:rsidP="00986EC1">
      <w:pPr>
        <w:keepNext/>
        <w:spacing w:before="360" w:after="120"/>
        <w:ind w:left="794" w:hanging="794"/>
        <w:rPr>
          <w:rFonts w:ascii="Arial Narrow" w:hAnsi="Arial Narrow"/>
          <w:b/>
          <w:bCs/>
          <w:sz w:val="20"/>
          <w:lang w:eastAsia="en-US"/>
        </w:rPr>
      </w:pPr>
      <w:bookmarkStart w:id="54" w:name="_Ref81597123"/>
      <w:r w:rsidRPr="00986EC1">
        <w:rPr>
          <w:rFonts w:ascii="Arial Narrow" w:hAnsi="Arial Narrow"/>
          <w:b/>
          <w:bCs/>
          <w:sz w:val="20"/>
          <w:lang w:eastAsia="en-US"/>
        </w:rPr>
        <w:t xml:space="preserve">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13</w:t>
      </w:r>
      <w:r w:rsidRPr="00986EC1">
        <w:rPr>
          <w:rFonts w:ascii="Arial Narrow" w:hAnsi="Arial Narrow"/>
          <w:b/>
          <w:bCs/>
          <w:noProof/>
          <w:sz w:val="20"/>
          <w:lang w:eastAsia="en-US"/>
        </w:rPr>
        <w:fldChar w:fldCharType="end"/>
      </w:r>
      <w:bookmarkEnd w:id="54"/>
      <w:r w:rsidRPr="00986EC1">
        <w:rPr>
          <w:rFonts w:ascii="Arial Narrow" w:hAnsi="Arial Narrow"/>
          <w:b/>
          <w:bCs/>
          <w:sz w:val="20"/>
          <w:lang w:eastAsia="en-US"/>
        </w:rPr>
        <w:tab/>
        <w:t>Rate of reoperations (treatment failure) in the RCTs of IDS vs. decompression trials</w:t>
      </w:r>
    </w:p>
    <w:tbl>
      <w:tblPr>
        <w:tblStyle w:val="OPTUMTableNormal"/>
        <w:tblW w:w="5000" w:type="pct"/>
        <w:tblLayout w:type="fixed"/>
        <w:tblLook w:val="04A0" w:firstRow="1" w:lastRow="0" w:firstColumn="1" w:lastColumn="0" w:noHBand="0" w:noVBand="1"/>
      </w:tblPr>
      <w:tblGrid>
        <w:gridCol w:w="1314"/>
        <w:gridCol w:w="1376"/>
        <w:gridCol w:w="1387"/>
        <w:gridCol w:w="1587"/>
        <w:gridCol w:w="1587"/>
        <w:gridCol w:w="1765"/>
      </w:tblGrid>
      <w:tr w:rsidR="00986EC1" w:rsidRPr="00986EC1" w14:paraId="3C14CA04" w14:textId="77777777" w:rsidTr="005917C2">
        <w:trPr>
          <w:cnfStyle w:val="100000000000" w:firstRow="1" w:lastRow="0" w:firstColumn="0" w:lastColumn="0" w:oddVBand="0" w:evenVBand="0" w:oddHBand="0" w:evenHBand="0" w:firstRowFirstColumn="0" w:firstRowLastColumn="0" w:lastRowFirstColumn="0" w:lastRowLastColumn="0"/>
          <w:tblHeader/>
        </w:trPr>
        <w:tc>
          <w:tcPr>
            <w:tcW w:w="729" w:type="pct"/>
            <w:vMerge w:val="restart"/>
            <w:hideMark/>
          </w:tcPr>
          <w:p w14:paraId="3AC0261C" w14:textId="77777777" w:rsidR="00986EC1" w:rsidRPr="00986EC1" w:rsidRDefault="00986EC1" w:rsidP="00986EC1">
            <w:pPr>
              <w:spacing w:before="120" w:after="60"/>
              <w:rPr>
                <w:rFonts w:ascii="Arial Narrow" w:hAnsi="Arial Narrow"/>
                <w:sz w:val="20"/>
              </w:rPr>
            </w:pPr>
            <w:r w:rsidRPr="00986EC1">
              <w:rPr>
                <w:rFonts w:ascii="Arial Narrow" w:hAnsi="Arial Narrow"/>
                <w:b/>
                <w:sz w:val="20"/>
                <w:szCs w:val="18"/>
              </w:rPr>
              <w:t>Trial ID</w:t>
            </w:r>
          </w:p>
        </w:tc>
        <w:tc>
          <w:tcPr>
            <w:tcW w:w="763" w:type="pct"/>
            <w:hideMark/>
          </w:tcPr>
          <w:p w14:paraId="7882DEA7" w14:textId="77777777" w:rsidR="00986EC1" w:rsidRPr="00986EC1" w:rsidRDefault="00986EC1" w:rsidP="00986EC1">
            <w:pPr>
              <w:spacing w:before="120" w:after="60"/>
              <w:rPr>
                <w:rFonts w:ascii="Arial Narrow" w:hAnsi="Arial Narrow"/>
                <w:sz w:val="20"/>
              </w:rPr>
            </w:pPr>
            <w:r w:rsidRPr="00986EC1">
              <w:rPr>
                <w:rFonts w:ascii="Arial Narrow" w:hAnsi="Arial Narrow"/>
                <w:b/>
                <w:sz w:val="20"/>
                <w:szCs w:val="18"/>
              </w:rPr>
              <w:t>IDS</w:t>
            </w:r>
          </w:p>
        </w:tc>
        <w:tc>
          <w:tcPr>
            <w:tcW w:w="769" w:type="pct"/>
            <w:hideMark/>
          </w:tcPr>
          <w:p w14:paraId="4FA4AEBE" w14:textId="77777777" w:rsidR="00986EC1" w:rsidRPr="00986EC1" w:rsidRDefault="00986EC1" w:rsidP="00986EC1">
            <w:pPr>
              <w:spacing w:before="120" w:after="60"/>
              <w:rPr>
                <w:rFonts w:ascii="Arial Narrow" w:hAnsi="Arial Narrow"/>
                <w:sz w:val="20"/>
              </w:rPr>
            </w:pPr>
            <w:r w:rsidRPr="00986EC1">
              <w:rPr>
                <w:rFonts w:ascii="Arial Narrow" w:hAnsi="Arial Narrow"/>
                <w:b/>
                <w:sz w:val="20"/>
                <w:szCs w:val="18"/>
              </w:rPr>
              <w:t xml:space="preserve">Decompression </w:t>
            </w:r>
          </w:p>
        </w:tc>
        <w:tc>
          <w:tcPr>
            <w:tcW w:w="880" w:type="pct"/>
            <w:vMerge w:val="restart"/>
            <w:hideMark/>
          </w:tcPr>
          <w:p w14:paraId="7BD09572"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OR [95% CI]</w:t>
            </w:r>
          </w:p>
          <w:p w14:paraId="0C02423C" w14:textId="77777777" w:rsidR="00986EC1" w:rsidRPr="00986EC1" w:rsidRDefault="00986EC1" w:rsidP="00986EC1">
            <w:pPr>
              <w:spacing w:before="120" w:after="60"/>
              <w:rPr>
                <w:rFonts w:ascii="Arial Narrow" w:hAnsi="Arial Narrow"/>
                <w:sz w:val="20"/>
              </w:rPr>
            </w:pPr>
            <w:r w:rsidRPr="00986EC1">
              <w:rPr>
                <w:rFonts w:ascii="Arial Narrow" w:hAnsi="Arial Narrow"/>
                <w:b/>
                <w:sz w:val="20"/>
                <w:szCs w:val="18"/>
              </w:rPr>
              <w:t>&lt; 1 favours IDS</w:t>
            </w:r>
          </w:p>
        </w:tc>
        <w:tc>
          <w:tcPr>
            <w:tcW w:w="880" w:type="pct"/>
            <w:vMerge w:val="restart"/>
            <w:hideMark/>
          </w:tcPr>
          <w:p w14:paraId="4DB3A92D"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RR [95% CI]</w:t>
            </w:r>
          </w:p>
          <w:p w14:paraId="006DF1BA" w14:textId="77777777" w:rsidR="00986EC1" w:rsidRPr="00986EC1" w:rsidRDefault="00986EC1" w:rsidP="00986EC1">
            <w:pPr>
              <w:spacing w:before="120" w:after="60"/>
              <w:rPr>
                <w:rFonts w:ascii="Arial Narrow" w:hAnsi="Arial Narrow"/>
                <w:sz w:val="20"/>
              </w:rPr>
            </w:pPr>
            <w:r w:rsidRPr="00986EC1">
              <w:rPr>
                <w:rFonts w:ascii="Arial Narrow" w:hAnsi="Arial Narrow"/>
                <w:b/>
                <w:sz w:val="20"/>
                <w:szCs w:val="18"/>
              </w:rPr>
              <w:t>&lt; 1 favours IDS</w:t>
            </w:r>
          </w:p>
        </w:tc>
        <w:tc>
          <w:tcPr>
            <w:tcW w:w="980" w:type="pct"/>
            <w:vMerge w:val="restart"/>
            <w:hideMark/>
          </w:tcPr>
          <w:p w14:paraId="14DF1FE6"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RD [95% CI]</w:t>
            </w:r>
          </w:p>
          <w:p w14:paraId="4ED77E4A" w14:textId="77777777" w:rsidR="00986EC1" w:rsidRPr="00986EC1" w:rsidRDefault="00986EC1" w:rsidP="00986EC1">
            <w:pPr>
              <w:spacing w:before="120" w:after="60"/>
              <w:rPr>
                <w:rFonts w:ascii="Arial Narrow" w:hAnsi="Arial Narrow"/>
                <w:sz w:val="20"/>
              </w:rPr>
            </w:pPr>
            <w:r w:rsidRPr="00986EC1">
              <w:rPr>
                <w:rFonts w:ascii="Arial Narrow" w:hAnsi="Arial Narrow"/>
                <w:b/>
                <w:sz w:val="20"/>
                <w:szCs w:val="18"/>
              </w:rPr>
              <w:t>&lt; 0 favours IDS</w:t>
            </w:r>
          </w:p>
        </w:tc>
      </w:tr>
      <w:tr w:rsidR="00986EC1" w:rsidRPr="00986EC1" w14:paraId="275AD11A" w14:textId="77777777" w:rsidTr="005917C2">
        <w:trPr>
          <w:cnfStyle w:val="100000000000" w:firstRow="1" w:lastRow="0" w:firstColumn="0" w:lastColumn="0" w:oddVBand="0" w:evenVBand="0" w:oddHBand="0" w:evenHBand="0" w:firstRowFirstColumn="0" w:firstRowLastColumn="0" w:lastRowFirstColumn="0" w:lastRowLastColumn="0"/>
          <w:tblHeader/>
        </w:trPr>
        <w:tc>
          <w:tcPr>
            <w:tcW w:w="1314" w:type="dxa"/>
            <w:vMerge/>
            <w:hideMark/>
          </w:tcPr>
          <w:p w14:paraId="0496D79E" w14:textId="77777777" w:rsidR="00986EC1" w:rsidRPr="00986EC1" w:rsidRDefault="00986EC1" w:rsidP="00986EC1">
            <w:pPr>
              <w:spacing w:after="40"/>
              <w:jc w:val="both"/>
              <w:rPr>
                <w:rFonts w:ascii="Arial Narrow" w:hAnsi="Arial Narrow" w:cs="Tahoma"/>
                <w:sz w:val="20"/>
              </w:rPr>
            </w:pPr>
          </w:p>
        </w:tc>
        <w:tc>
          <w:tcPr>
            <w:tcW w:w="763" w:type="pct"/>
            <w:hideMark/>
          </w:tcPr>
          <w:p w14:paraId="29DA8BE9" w14:textId="77777777" w:rsidR="00986EC1" w:rsidRPr="00986EC1" w:rsidRDefault="00986EC1" w:rsidP="00986EC1">
            <w:pPr>
              <w:spacing w:before="120" w:after="60"/>
              <w:rPr>
                <w:rFonts w:ascii="Arial Narrow" w:hAnsi="Arial Narrow"/>
                <w:sz w:val="20"/>
              </w:rPr>
            </w:pPr>
            <w:r w:rsidRPr="00986EC1">
              <w:rPr>
                <w:rFonts w:ascii="Arial Narrow" w:hAnsi="Arial Narrow"/>
                <w:b/>
                <w:sz w:val="20"/>
                <w:szCs w:val="18"/>
              </w:rPr>
              <w:t>n /N (%)</w:t>
            </w:r>
          </w:p>
        </w:tc>
        <w:tc>
          <w:tcPr>
            <w:tcW w:w="769" w:type="pct"/>
            <w:hideMark/>
          </w:tcPr>
          <w:p w14:paraId="4036365F" w14:textId="77777777" w:rsidR="00986EC1" w:rsidRPr="00986EC1" w:rsidRDefault="00986EC1" w:rsidP="00986EC1">
            <w:pPr>
              <w:spacing w:before="120" w:after="60"/>
              <w:rPr>
                <w:rFonts w:ascii="Arial Narrow" w:hAnsi="Arial Narrow"/>
                <w:sz w:val="20"/>
              </w:rPr>
            </w:pPr>
            <w:r w:rsidRPr="00986EC1">
              <w:rPr>
                <w:rFonts w:ascii="Arial Narrow" w:hAnsi="Arial Narrow"/>
                <w:b/>
                <w:sz w:val="20"/>
                <w:szCs w:val="18"/>
              </w:rPr>
              <w:t>n /N (%)</w:t>
            </w:r>
          </w:p>
        </w:tc>
        <w:tc>
          <w:tcPr>
            <w:tcW w:w="1587" w:type="dxa"/>
            <w:vMerge/>
            <w:hideMark/>
          </w:tcPr>
          <w:p w14:paraId="7AD0B459" w14:textId="77777777" w:rsidR="00986EC1" w:rsidRPr="00986EC1" w:rsidRDefault="00986EC1" w:rsidP="00986EC1">
            <w:pPr>
              <w:spacing w:before="120" w:after="60"/>
              <w:rPr>
                <w:rFonts w:ascii="Arial Narrow" w:hAnsi="Arial Narrow"/>
                <w:b/>
                <w:bCs/>
                <w:sz w:val="20"/>
              </w:rPr>
            </w:pPr>
          </w:p>
        </w:tc>
        <w:tc>
          <w:tcPr>
            <w:tcW w:w="1587" w:type="dxa"/>
            <w:vMerge/>
            <w:hideMark/>
          </w:tcPr>
          <w:p w14:paraId="33A3B25E" w14:textId="77777777" w:rsidR="00986EC1" w:rsidRPr="00986EC1" w:rsidRDefault="00986EC1" w:rsidP="00986EC1">
            <w:pPr>
              <w:spacing w:before="120" w:after="60"/>
              <w:rPr>
                <w:rFonts w:ascii="Arial Narrow" w:hAnsi="Arial Narrow"/>
                <w:b/>
                <w:bCs/>
                <w:sz w:val="20"/>
              </w:rPr>
            </w:pPr>
          </w:p>
        </w:tc>
        <w:tc>
          <w:tcPr>
            <w:tcW w:w="1767" w:type="dxa"/>
            <w:vMerge/>
            <w:hideMark/>
          </w:tcPr>
          <w:p w14:paraId="29FE99B0" w14:textId="77777777" w:rsidR="00986EC1" w:rsidRPr="00986EC1" w:rsidRDefault="00986EC1" w:rsidP="00986EC1">
            <w:pPr>
              <w:spacing w:before="120" w:after="60"/>
              <w:rPr>
                <w:rFonts w:ascii="Arial Narrow" w:hAnsi="Arial Narrow"/>
                <w:b/>
                <w:bCs/>
                <w:sz w:val="20"/>
              </w:rPr>
            </w:pPr>
          </w:p>
        </w:tc>
      </w:tr>
      <w:tr w:rsidR="00986EC1" w:rsidRPr="00986EC1" w14:paraId="739B5D37" w14:textId="77777777" w:rsidTr="005917C2">
        <w:tc>
          <w:tcPr>
            <w:tcW w:w="729" w:type="pct"/>
            <w:hideMark/>
          </w:tcPr>
          <w:p w14:paraId="621495F4"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 xml:space="preserve">CELAX </w:t>
            </w:r>
          </w:p>
        </w:tc>
        <w:tc>
          <w:tcPr>
            <w:tcW w:w="763" w:type="pct"/>
            <w:hideMark/>
          </w:tcPr>
          <w:p w14:paraId="4AC9A4BB"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4/21 (19.05%)</w:t>
            </w:r>
          </w:p>
        </w:tc>
        <w:tc>
          <w:tcPr>
            <w:tcW w:w="769" w:type="pct"/>
            <w:hideMark/>
          </w:tcPr>
          <w:p w14:paraId="34C173C6"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0/26 (0%)</w:t>
            </w:r>
          </w:p>
        </w:tc>
        <w:tc>
          <w:tcPr>
            <w:tcW w:w="880" w:type="pct"/>
          </w:tcPr>
          <w:p w14:paraId="7C834499"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NC</w:t>
            </w:r>
          </w:p>
        </w:tc>
        <w:tc>
          <w:tcPr>
            <w:tcW w:w="880" w:type="pct"/>
          </w:tcPr>
          <w:p w14:paraId="52EBA155"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NC</w:t>
            </w:r>
          </w:p>
        </w:tc>
        <w:tc>
          <w:tcPr>
            <w:tcW w:w="980" w:type="pct"/>
          </w:tcPr>
          <w:p w14:paraId="34992E8B"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NC</w:t>
            </w:r>
          </w:p>
        </w:tc>
      </w:tr>
      <w:tr w:rsidR="00986EC1" w:rsidRPr="00986EC1" w14:paraId="30FB9140" w14:textId="77777777" w:rsidTr="005917C2">
        <w:tc>
          <w:tcPr>
            <w:tcW w:w="729" w:type="pct"/>
            <w:hideMark/>
          </w:tcPr>
          <w:p w14:paraId="2A53F534"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Lønne (2015)</w:t>
            </w:r>
          </w:p>
        </w:tc>
        <w:tc>
          <w:tcPr>
            <w:tcW w:w="763" w:type="pct"/>
            <w:hideMark/>
          </w:tcPr>
          <w:p w14:paraId="71F286DB"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10/40 (25.0%)</w:t>
            </w:r>
          </w:p>
        </w:tc>
        <w:tc>
          <w:tcPr>
            <w:tcW w:w="769" w:type="pct"/>
            <w:hideMark/>
          </w:tcPr>
          <w:p w14:paraId="002C7DE4"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2/41 (4.88%)</w:t>
            </w:r>
          </w:p>
        </w:tc>
        <w:tc>
          <w:tcPr>
            <w:tcW w:w="880" w:type="pct"/>
            <w:hideMark/>
          </w:tcPr>
          <w:p w14:paraId="45E650E5"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6.50 [1.32, 31.91]</w:t>
            </w:r>
          </w:p>
        </w:tc>
        <w:tc>
          <w:tcPr>
            <w:tcW w:w="880" w:type="pct"/>
            <w:hideMark/>
          </w:tcPr>
          <w:p w14:paraId="2FBA3C75"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5.13 [1.20, 21.94]</w:t>
            </w:r>
          </w:p>
        </w:tc>
        <w:tc>
          <w:tcPr>
            <w:tcW w:w="980" w:type="pct"/>
            <w:hideMark/>
          </w:tcPr>
          <w:p w14:paraId="16AE1F83"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0.20 [0.05, 0.36]</w:t>
            </w:r>
          </w:p>
        </w:tc>
      </w:tr>
      <w:tr w:rsidR="00986EC1" w:rsidRPr="00986EC1" w14:paraId="156E6DCD" w14:textId="77777777" w:rsidTr="005917C2">
        <w:tc>
          <w:tcPr>
            <w:tcW w:w="729" w:type="pct"/>
            <w:hideMark/>
          </w:tcPr>
          <w:p w14:paraId="3E00019E"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NICE</w:t>
            </w:r>
          </w:p>
        </w:tc>
        <w:tc>
          <w:tcPr>
            <w:tcW w:w="763" w:type="pct"/>
            <w:hideMark/>
          </w:tcPr>
          <w:p w14:paraId="214ADB2C"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12/79 (15.19%)</w:t>
            </w:r>
          </w:p>
        </w:tc>
        <w:tc>
          <w:tcPr>
            <w:tcW w:w="769" w:type="pct"/>
            <w:hideMark/>
          </w:tcPr>
          <w:p w14:paraId="4FC6F97B"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4/76 (5.26%)</w:t>
            </w:r>
          </w:p>
        </w:tc>
        <w:tc>
          <w:tcPr>
            <w:tcW w:w="880" w:type="pct"/>
            <w:hideMark/>
          </w:tcPr>
          <w:p w14:paraId="1F5DBD00"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3.22 [0.99, 10.49]</w:t>
            </w:r>
          </w:p>
        </w:tc>
        <w:tc>
          <w:tcPr>
            <w:tcW w:w="880" w:type="pct"/>
            <w:hideMark/>
          </w:tcPr>
          <w:p w14:paraId="6A287041"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2.89 [0.97, 8.56]</w:t>
            </w:r>
          </w:p>
        </w:tc>
        <w:tc>
          <w:tcPr>
            <w:tcW w:w="980" w:type="pct"/>
            <w:hideMark/>
          </w:tcPr>
          <w:p w14:paraId="2C6763DA"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0.10 [0.00, 0.20]</w:t>
            </w:r>
          </w:p>
        </w:tc>
      </w:tr>
      <w:tr w:rsidR="00986EC1" w:rsidRPr="00986EC1" w14:paraId="7424C9C0" w14:textId="77777777" w:rsidTr="005917C2">
        <w:tc>
          <w:tcPr>
            <w:tcW w:w="729" w:type="pct"/>
            <w:hideMark/>
          </w:tcPr>
          <w:p w14:paraId="48770F83"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FELIX</w:t>
            </w:r>
          </w:p>
        </w:tc>
        <w:tc>
          <w:tcPr>
            <w:tcW w:w="763" w:type="pct"/>
            <w:hideMark/>
          </w:tcPr>
          <w:p w14:paraId="1A9AFDB8"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23/70 (32.86%)</w:t>
            </w:r>
          </w:p>
        </w:tc>
        <w:tc>
          <w:tcPr>
            <w:tcW w:w="769" w:type="pct"/>
            <w:hideMark/>
          </w:tcPr>
          <w:p w14:paraId="47042940"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6/75 (8.00%)</w:t>
            </w:r>
          </w:p>
        </w:tc>
        <w:tc>
          <w:tcPr>
            <w:tcW w:w="880" w:type="pct"/>
            <w:hideMark/>
          </w:tcPr>
          <w:p w14:paraId="05AF58F1"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5.63 [2.13, 14.87]</w:t>
            </w:r>
          </w:p>
        </w:tc>
        <w:tc>
          <w:tcPr>
            <w:tcW w:w="880" w:type="pct"/>
            <w:hideMark/>
          </w:tcPr>
          <w:p w14:paraId="32F3BD1D"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4.11 [1.78, 9.49]</w:t>
            </w:r>
          </w:p>
        </w:tc>
        <w:tc>
          <w:tcPr>
            <w:tcW w:w="980" w:type="pct"/>
            <w:hideMark/>
          </w:tcPr>
          <w:p w14:paraId="4BAAD7C7"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0.25 [0.12, 0.38]</w:t>
            </w:r>
          </w:p>
        </w:tc>
      </w:tr>
      <w:tr w:rsidR="00986EC1" w:rsidRPr="00986EC1" w14:paraId="4C6560B5" w14:textId="77777777" w:rsidTr="005917C2">
        <w:tc>
          <w:tcPr>
            <w:tcW w:w="729" w:type="pct"/>
            <w:hideMark/>
          </w:tcPr>
          <w:p w14:paraId="425CD07F"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Strömqvist (2013)</w:t>
            </w:r>
          </w:p>
        </w:tc>
        <w:tc>
          <w:tcPr>
            <w:tcW w:w="763" w:type="pct"/>
            <w:hideMark/>
          </w:tcPr>
          <w:p w14:paraId="7DB77AD0"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13/50 (26.00%)</w:t>
            </w:r>
          </w:p>
        </w:tc>
        <w:tc>
          <w:tcPr>
            <w:tcW w:w="769" w:type="pct"/>
            <w:hideMark/>
          </w:tcPr>
          <w:p w14:paraId="02EF863C"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3/50 (6.00%)</w:t>
            </w:r>
          </w:p>
        </w:tc>
        <w:tc>
          <w:tcPr>
            <w:tcW w:w="880" w:type="pct"/>
            <w:hideMark/>
          </w:tcPr>
          <w:p w14:paraId="39FD6B43"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5.50 [1.46, 20.76]</w:t>
            </w:r>
          </w:p>
        </w:tc>
        <w:tc>
          <w:tcPr>
            <w:tcW w:w="880" w:type="pct"/>
            <w:hideMark/>
          </w:tcPr>
          <w:p w14:paraId="4A08BD69"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4.33 [1.31, 14.28]</w:t>
            </w:r>
          </w:p>
        </w:tc>
        <w:tc>
          <w:tcPr>
            <w:tcW w:w="980" w:type="pct"/>
            <w:hideMark/>
          </w:tcPr>
          <w:p w14:paraId="4C574E58" w14:textId="77777777" w:rsidR="00986EC1" w:rsidRPr="00986EC1" w:rsidRDefault="00986EC1" w:rsidP="00986EC1">
            <w:pPr>
              <w:spacing w:after="40"/>
              <w:jc w:val="both"/>
              <w:rPr>
                <w:rFonts w:ascii="Arial Narrow" w:hAnsi="Arial Narrow" w:cs="Tahoma"/>
                <w:bCs/>
                <w:sz w:val="20"/>
              </w:rPr>
            </w:pPr>
            <w:r w:rsidRPr="00986EC1">
              <w:rPr>
                <w:rFonts w:ascii="Arial Narrow" w:hAnsi="Arial Narrow" w:cs="Tahoma"/>
                <w:sz w:val="20"/>
              </w:rPr>
              <w:t>0.20 [0.06, 0.34]</w:t>
            </w:r>
          </w:p>
        </w:tc>
      </w:tr>
      <w:tr w:rsidR="00986EC1" w:rsidRPr="00986EC1" w14:paraId="7A0E0576" w14:textId="77777777" w:rsidTr="005917C2">
        <w:tc>
          <w:tcPr>
            <w:tcW w:w="729" w:type="pct"/>
            <w:hideMark/>
          </w:tcPr>
          <w:p w14:paraId="683BD851" w14:textId="77777777" w:rsidR="00986EC1" w:rsidRPr="00A825FE" w:rsidRDefault="00986EC1" w:rsidP="00986EC1">
            <w:pPr>
              <w:spacing w:after="40"/>
              <w:jc w:val="both"/>
              <w:rPr>
                <w:rFonts w:ascii="Arial Narrow" w:hAnsi="Arial Narrow" w:cs="Tahoma"/>
                <w:b/>
                <w:bCs/>
                <w:sz w:val="20"/>
              </w:rPr>
            </w:pPr>
            <w:r w:rsidRPr="00A825FE">
              <w:rPr>
                <w:rFonts w:ascii="Arial Narrow" w:hAnsi="Arial Narrow" w:cs="Tahoma"/>
                <w:b/>
                <w:bCs/>
                <w:sz w:val="20"/>
              </w:rPr>
              <w:t>Pooled</w:t>
            </w:r>
          </w:p>
        </w:tc>
        <w:tc>
          <w:tcPr>
            <w:tcW w:w="763" w:type="pct"/>
            <w:hideMark/>
          </w:tcPr>
          <w:p w14:paraId="5AE69016"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62/260 (23.8%)</w:t>
            </w:r>
          </w:p>
        </w:tc>
        <w:tc>
          <w:tcPr>
            <w:tcW w:w="769" w:type="pct"/>
            <w:hideMark/>
          </w:tcPr>
          <w:p w14:paraId="5A329513"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15/268 (5.60%)</w:t>
            </w:r>
          </w:p>
        </w:tc>
        <w:tc>
          <w:tcPr>
            <w:tcW w:w="880" w:type="pct"/>
            <w:hideMark/>
          </w:tcPr>
          <w:p w14:paraId="618DE81F" w14:textId="77777777" w:rsidR="00986EC1" w:rsidRPr="00986EC1" w:rsidRDefault="00986EC1" w:rsidP="00986EC1">
            <w:pPr>
              <w:spacing w:after="40"/>
              <w:jc w:val="both"/>
              <w:rPr>
                <w:rFonts w:ascii="Arial Narrow" w:hAnsi="Arial Narrow" w:cs="Tahoma"/>
                <w:b/>
                <w:bCs/>
                <w:sz w:val="20"/>
              </w:rPr>
            </w:pPr>
            <w:r w:rsidRPr="00986EC1">
              <w:rPr>
                <w:rFonts w:ascii="Arial Narrow" w:hAnsi="Arial Narrow" w:cs="Tahoma"/>
                <w:b/>
                <w:bCs/>
                <w:sz w:val="20"/>
              </w:rPr>
              <w:t>5.14 [2.85, 9.30]</w:t>
            </w:r>
          </w:p>
        </w:tc>
        <w:tc>
          <w:tcPr>
            <w:tcW w:w="880" w:type="pct"/>
            <w:hideMark/>
          </w:tcPr>
          <w:p w14:paraId="1C0ECE85" w14:textId="77777777" w:rsidR="00986EC1" w:rsidRPr="00986EC1" w:rsidRDefault="00986EC1" w:rsidP="00986EC1">
            <w:pPr>
              <w:spacing w:after="40"/>
              <w:jc w:val="both"/>
              <w:rPr>
                <w:rFonts w:ascii="Arial Narrow" w:hAnsi="Arial Narrow" w:cs="Tahoma"/>
                <w:b/>
                <w:bCs/>
                <w:sz w:val="20"/>
              </w:rPr>
            </w:pPr>
            <w:r w:rsidRPr="00986EC1">
              <w:rPr>
                <w:rFonts w:ascii="Arial Narrow" w:hAnsi="Arial Narrow" w:cs="Tahoma"/>
                <w:b/>
                <w:bCs/>
                <w:sz w:val="20"/>
              </w:rPr>
              <w:t>4.07 [2.40, 6.90]</w:t>
            </w:r>
          </w:p>
        </w:tc>
        <w:tc>
          <w:tcPr>
            <w:tcW w:w="980" w:type="pct"/>
            <w:hideMark/>
          </w:tcPr>
          <w:p w14:paraId="7F15954F" w14:textId="77777777" w:rsidR="00986EC1" w:rsidRPr="00986EC1" w:rsidRDefault="00986EC1" w:rsidP="00986EC1">
            <w:pPr>
              <w:spacing w:after="40"/>
              <w:jc w:val="both"/>
              <w:rPr>
                <w:rFonts w:ascii="Arial Narrow" w:hAnsi="Arial Narrow" w:cs="Tahoma"/>
                <w:b/>
                <w:bCs/>
                <w:sz w:val="20"/>
              </w:rPr>
            </w:pPr>
            <w:r w:rsidRPr="00986EC1">
              <w:rPr>
                <w:rFonts w:ascii="Arial Narrow" w:hAnsi="Arial Narrow" w:cs="Tahoma"/>
                <w:b/>
                <w:bCs/>
                <w:sz w:val="20"/>
              </w:rPr>
              <w:t>0.17 [0.11, 0.23]</w:t>
            </w:r>
          </w:p>
        </w:tc>
      </w:tr>
    </w:tbl>
    <w:p w14:paraId="06F47330" w14:textId="77777777" w:rsidR="00986EC1" w:rsidRPr="00986EC1" w:rsidRDefault="00986EC1" w:rsidP="00B23D55">
      <w:pPr>
        <w:pStyle w:val="Tablenotes1"/>
      </w:pPr>
      <w:r w:rsidRPr="00986EC1">
        <w:t>CI, confidence interval; IDS, interspinous decompression spacer; OR, odds ratio; RD, risk difference; RR, relative risk.</w:t>
      </w:r>
    </w:p>
    <w:p w14:paraId="6AF39A87" w14:textId="532B7C01" w:rsidR="00986EC1" w:rsidRDefault="00986EC1" w:rsidP="00B23D55">
      <w:pPr>
        <w:pStyle w:val="Tablenotes1"/>
      </w:pPr>
      <w:r w:rsidRPr="00986EC1">
        <w:rPr>
          <w:b/>
          <w:bCs/>
        </w:rPr>
        <w:t>Bold</w:t>
      </w:r>
      <w:r w:rsidRPr="00986EC1">
        <w:t xml:space="preserve"> = statistically significant</w:t>
      </w:r>
    </w:p>
    <w:p w14:paraId="46411D49" w14:textId="563DFB1E" w:rsidR="000236D4" w:rsidRDefault="000236D4" w:rsidP="00B23D55">
      <w:pPr>
        <w:pStyle w:val="Tablenotes1"/>
      </w:pPr>
      <w:r>
        <w:t>Source: Commentary, Table 13</w:t>
      </w:r>
    </w:p>
    <w:p w14:paraId="1E7C1FB0" w14:textId="77777777" w:rsidR="00986EC1" w:rsidRPr="00986EC1" w:rsidRDefault="00986EC1" w:rsidP="00986EC1">
      <w:pPr>
        <w:keepNext/>
        <w:spacing w:before="120"/>
        <w:rPr>
          <w:rFonts w:ascii="Franklin Gothic Book" w:eastAsia="Calibri" w:hAnsi="Franklin Gothic Book"/>
          <w:sz w:val="22"/>
          <w:szCs w:val="22"/>
          <w:lang w:eastAsia="en-US"/>
        </w:rPr>
      </w:pPr>
      <w:r w:rsidRPr="00986EC1">
        <w:rPr>
          <w:rFonts w:ascii="Franklin Gothic Book" w:eastAsia="Calibri" w:hAnsi="Franklin Gothic Book"/>
          <w:noProof/>
          <w:sz w:val="22"/>
          <w:szCs w:val="22"/>
        </w:rPr>
        <w:drawing>
          <wp:inline distT="0" distB="0" distL="0" distR="0" wp14:anchorId="34350789" wp14:editId="0CB92043">
            <wp:extent cx="5730875" cy="2164080"/>
            <wp:effectExtent l="19050" t="19050" r="22225" b="26670"/>
            <wp:docPr id="1" name="Picture 1" descr="Rate of reoperations due to treatment failure in the RCTs of IDS vs. decompression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ate of reoperations due to treatment failure in the RCTs of IDS vs. decompression trial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875" cy="2164080"/>
                    </a:xfrm>
                    <a:prstGeom prst="rect">
                      <a:avLst/>
                    </a:prstGeom>
                    <a:noFill/>
                    <a:ln>
                      <a:solidFill>
                        <a:sysClr val="windowText" lastClr="000000"/>
                      </a:solidFill>
                    </a:ln>
                  </pic:spPr>
                </pic:pic>
              </a:graphicData>
            </a:graphic>
          </wp:inline>
        </w:drawing>
      </w:r>
    </w:p>
    <w:p w14:paraId="1AD8531E" w14:textId="387500A6" w:rsidR="00986EC1" w:rsidRDefault="00986EC1" w:rsidP="00986EC1">
      <w:pPr>
        <w:keepNext/>
        <w:spacing w:before="120" w:after="120"/>
        <w:ind w:left="794" w:hanging="794"/>
        <w:rPr>
          <w:rFonts w:ascii="Arial Narrow" w:hAnsi="Arial Narrow"/>
          <w:b/>
          <w:bCs/>
          <w:sz w:val="20"/>
          <w:lang w:eastAsia="en-US"/>
        </w:rPr>
      </w:pPr>
      <w:bookmarkStart w:id="55" w:name="_Ref79689667"/>
      <w:r w:rsidRPr="00986EC1">
        <w:rPr>
          <w:rFonts w:ascii="Arial Narrow" w:hAnsi="Arial Narrow"/>
          <w:b/>
          <w:bCs/>
          <w:sz w:val="20"/>
          <w:lang w:eastAsia="en-US"/>
        </w:rPr>
        <w:t xml:space="preserve">Figure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Figure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1</w:t>
      </w:r>
      <w:r w:rsidRPr="00986EC1">
        <w:rPr>
          <w:rFonts w:ascii="Arial Narrow" w:hAnsi="Arial Narrow"/>
          <w:b/>
          <w:bCs/>
          <w:noProof/>
          <w:sz w:val="20"/>
          <w:lang w:eastAsia="en-US"/>
        </w:rPr>
        <w:fldChar w:fldCharType="end"/>
      </w:r>
      <w:bookmarkEnd w:id="55"/>
      <w:r w:rsidRPr="00986EC1">
        <w:rPr>
          <w:rFonts w:ascii="Arial Narrow" w:hAnsi="Arial Narrow"/>
          <w:b/>
          <w:bCs/>
          <w:sz w:val="20"/>
          <w:lang w:eastAsia="en-US"/>
        </w:rPr>
        <w:tab/>
        <w:t>Rate of reoperations due to treatment failure in the RCTs of IDS vs. decompression trials</w:t>
      </w:r>
    </w:p>
    <w:p w14:paraId="43289C31" w14:textId="2E53DA0D" w:rsidR="000236D4" w:rsidRPr="00986EC1" w:rsidRDefault="000236D4" w:rsidP="00B23D55">
      <w:pPr>
        <w:pStyle w:val="Tablenotes1"/>
      </w:pPr>
      <w:r>
        <w:t>Source: Commentary, Figure 1</w:t>
      </w:r>
    </w:p>
    <w:p w14:paraId="77F977DE" w14:textId="77777777" w:rsidR="00986EC1" w:rsidRPr="00986EC1" w:rsidRDefault="00986EC1" w:rsidP="00986EC1">
      <w:pPr>
        <w:keepNext/>
        <w:keepLines/>
        <w:tabs>
          <w:tab w:val="left" w:pos="851"/>
        </w:tabs>
        <w:spacing w:before="360" w:after="200"/>
        <w:outlineLvl w:val="3"/>
        <w:rPr>
          <w:rFonts w:ascii="Franklin Gothic Medium" w:eastAsia="SimSun" w:hAnsi="Franklin Gothic Medium"/>
          <w:i/>
          <w:szCs w:val="24"/>
          <w:lang w:eastAsia="en-US"/>
        </w:rPr>
      </w:pPr>
      <w:r w:rsidRPr="00986EC1">
        <w:rPr>
          <w:rFonts w:ascii="Franklin Gothic Medium" w:eastAsia="SimSun" w:hAnsi="Franklin Gothic Medium"/>
          <w:i/>
          <w:szCs w:val="24"/>
          <w:lang w:eastAsia="en-US"/>
        </w:rPr>
        <w:t>EQ-5D</w:t>
      </w:r>
    </w:p>
    <w:p w14:paraId="387874E9"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European Quality of Life Five Dimension (EQ-5D) was reported in two studies: Lønne (2015) and CELAX. In both cases, the change from baseline in both arms exceeded the MCID of 0.19 reported by Burgstaller (2020) but the difference between arms did not.</w:t>
      </w:r>
    </w:p>
    <w:p w14:paraId="0029F2D4" w14:textId="4EDE598C" w:rsidR="00986EC1" w:rsidRPr="00986EC1" w:rsidRDefault="00986EC1" w:rsidP="000B6893">
      <w:pPr>
        <w:keepNext/>
        <w:spacing w:before="240" w:after="120"/>
        <w:ind w:left="794" w:hanging="794"/>
        <w:rPr>
          <w:rFonts w:ascii="Arial Narrow" w:hAnsi="Arial Narrow" w:cs="Arial"/>
          <w:b/>
          <w:bCs/>
          <w:iCs/>
          <w:snapToGrid w:val="0"/>
          <w:sz w:val="20"/>
          <w:lang w:eastAsia="en-US"/>
        </w:rPr>
      </w:pPr>
      <w:bookmarkStart w:id="56" w:name="_Ref72322793"/>
      <w:bookmarkStart w:id="57" w:name="_Toc72940113"/>
      <w:bookmarkStart w:id="58" w:name="_Toc73546379"/>
      <w:bookmarkStart w:id="59" w:name="_Toc79654931"/>
      <w:r w:rsidRPr="00986EC1">
        <w:rPr>
          <w:rFonts w:ascii="Arial Narrow" w:hAnsi="Arial Narrow"/>
          <w:b/>
          <w:bCs/>
          <w:sz w:val="20"/>
          <w:lang w:eastAsia="en-US"/>
        </w:rPr>
        <w:t xml:space="preserve">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14</w:t>
      </w:r>
      <w:r w:rsidRPr="00986EC1">
        <w:rPr>
          <w:rFonts w:ascii="Arial Narrow" w:hAnsi="Arial Narrow"/>
          <w:b/>
          <w:bCs/>
          <w:noProof/>
          <w:sz w:val="20"/>
          <w:lang w:eastAsia="en-US"/>
        </w:rPr>
        <w:fldChar w:fldCharType="end"/>
      </w:r>
      <w:bookmarkEnd w:id="56"/>
      <w:r w:rsidRPr="00986EC1">
        <w:rPr>
          <w:rFonts w:ascii="Arial Narrow" w:hAnsi="Arial Narrow"/>
          <w:b/>
          <w:bCs/>
          <w:sz w:val="20"/>
          <w:lang w:eastAsia="en-US"/>
        </w:rPr>
        <w:tab/>
        <w:t>EQ-5D scores: Results of the IDS vs. decompression included RCTs</w:t>
      </w:r>
      <w:bookmarkEnd w:id="57"/>
      <w:bookmarkEnd w:id="58"/>
      <w:bookmarkEnd w:id="59"/>
      <w:r w:rsidRPr="00986EC1">
        <w:rPr>
          <w:rFonts w:ascii="Arial Narrow" w:hAnsi="Arial Narrow"/>
          <w:b/>
          <w:bCs/>
          <w:sz w:val="20"/>
          <w:lang w:eastAsia="en-US"/>
        </w:rPr>
        <w:t xml:space="preserve">  </w:t>
      </w:r>
    </w:p>
    <w:tbl>
      <w:tblPr>
        <w:tblStyle w:val="OPTUMTableNormal"/>
        <w:tblW w:w="0" w:type="auto"/>
        <w:tblLook w:val="04A0" w:firstRow="1" w:lastRow="0" w:firstColumn="1" w:lastColumn="0" w:noHBand="0" w:noVBand="1"/>
      </w:tblPr>
      <w:tblGrid>
        <w:gridCol w:w="905"/>
        <w:gridCol w:w="812"/>
        <w:gridCol w:w="368"/>
        <w:gridCol w:w="1218"/>
        <w:gridCol w:w="1078"/>
        <w:gridCol w:w="1182"/>
        <w:gridCol w:w="1218"/>
        <w:gridCol w:w="360"/>
        <w:gridCol w:w="360"/>
        <w:gridCol w:w="360"/>
        <w:gridCol w:w="1155"/>
      </w:tblGrid>
      <w:tr w:rsidR="00986EC1" w:rsidRPr="00986EC1" w14:paraId="6697903D" w14:textId="77777777" w:rsidTr="005917C2">
        <w:trPr>
          <w:cnfStyle w:val="100000000000" w:firstRow="1" w:lastRow="0" w:firstColumn="0" w:lastColumn="0" w:oddVBand="0" w:evenVBand="0" w:oddHBand="0" w:evenHBand="0" w:firstRowFirstColumn="0" w:firstRowLastColumn="0" w:lastRowFirstColumn="0" w:lastRowLastColumn="0"/>
          <w:trHeight w:val="70"/>
          <w:tblHeader/>
        </w:trPr>
        <w:tc>
          <w:tcPr>
            <w:tcW w:w="0" w:type="auto"/>
            <w:vMerge w:val="restart"/>
          </w:tcPr>
          <w:p w14:paraId="64555CDF" w14:textId="77777777" w:rsidR="00986EC1" w:rsidRPr="00986EC1" w:rsidRDefault="00986EC1" w:rsidP="00986EC1">
            <w:pPr>
              <w:keepNext/>
              <w:spacing w:before="120" w:after="60"/>
              <w:rPr>
                <w:rFonts w:ascii="Arial Narrow" w:hAnsi="Arial Narrow"/>
                <w:b/>
                <w:sz w:val="20"/>
                <w:szCs w:val="18"/>
              </w:rPr>
            </w:pPr>
            <w:r w:rsidRPr="00986EC1">
              <w:rPr>
                <w:rFonts w:ascii="Arial Narrow" w:hAnsi="Arial Narrow"/>
                <w:b/>
                <w:sz w:val="20"/>
                <w:szCs w:val="18"/>
              </w:rPr>
              <w:t>Trial ID</w:t>
            </w:r>
          </w:p>
        </w:tc>
        <w:tc>
          <w:tcPr>
            <w:tcW w:w="0" w:type="auto"/>
            <w:tcBorders>
              <w:right w:val="single" w:sz="4" w:space="0" w:color="FFFFFF"/>
            </w:tcBorders>
          </w:tcPr>
          <w:p w14:paraId="39D8B726" w14:textId="77777777" w:rsidR="00986EC1" w:rsidRPr="00986EC1" w:rsidRDefault="00986EC1" w:rsidP="00986EC1">
            <w:pPr>
              <w:keepNext/>
              <w:spacing w:before="120" w:after="60"/>
              <w:rPr>
                <w:rFonts w:ascii="Arial Narrow" w:hAnsi="Arial Narrow"/>
                <w:b/>
                <w:sz w:val="20"/>
                <w:szCs w:val="18"/>
              </w:rPr>
            </w:pPr>
            <w:r w:rsidRPr="00986EC1">
              <w:rPr>
                <w:rFonts w:ascii="Arial Narrow" w:hAnsi="Arial Narrow"/>
                <w:b/>
                <w:sz w:val="20"/>
                <w:szCs w:val="18"/>
              </w:rPr>
              <w:t>IDS</w:t>
            </w:r>
          </w:p>
        </w:tc>
        <w:tc>
          <w:tcPr>
            <w:tcW w:w="0" w:type="auto"/>
            <w:tcBorders>
              <w:left w:val="single" w:sz="4" w:space="0" w:color="FFFFFF"/>
              <w:right w:val="single" w:sz="4" w:space="0" w:color="FFFFFF"/>
            </w:tcBorders>
          </w:tcPr>
          <w:p w14:paraId="49F6F064" w14:textId="77777777" w:rsidR="00986EC1" w:rsidRPr="00986EC1" w:rsidRDefault="00986EC1" w:rsidP="00986EC1">
            <w:pPr>
              <w:keepNext/>
              <w:spacing w:before="120" w:after="60"/>
              <w:rPr>
                <w:rFonts w:ascii="Arial Narrow" w:hAnsi="Arial Narrow"/>
                <w:b/>
                <w:sz w:val="20"/>
                <w:szCs w:val="18"/>
              </w:rPr>
            </w:pPr>
          </w:p>
        </w:tc>
        <w:tc>
          <w:tcPr>
            <w:tcW w:w="0" w:type="auto"/>
            <w:tcBorders>
              <w:left w:val="single" w:sz="4" w:space="0" w:color="FFFFFF"/>
              <w:right w:val="single" w:sz="4" w:space="0" w:color="FFFFFF"/>
            </w:tcBorders>
          </w:tcPr>
          <w:p w14:paraId="21710006" w14:textId="77777777" w:rsidR="00986EC1" w:rsidRPr="00986EC1" w:rsidRDefault="00986EC1" w:rsidP="00986EC1">
            <w:pPr>
              <w:keepNext/>
              <w:spacing w:before="120" w:after="60"/>
              <w:rPr>
                <w:rFonts w:ascii="Arial Narrow" w:hAnsi="Arial Narrow"/>
                <w:b/>
                <w:sz w:val="20"/>
                <w:szCs w:val="18"/>
              </w:rPr>
            </w:pPr>
          </w:p>
        </w:tc>
        <w:tc>
          <w:tcPr>
            <w:tcW w:w="0" w:type="auto"/>
            <w:tcBorders>
              <w:left w:val="single" w:sz="4" w:space="0" w:color="FFFFFF"/>
            </w:tcBorders>
          </w:tcPr>
          <w:p w14:paraId="071ABBE7" w14:textId="77777777" w:rsidR="00986EC1" w:rsidRPr="00986EC1" w:rsidRDefault="00986EC1" w:rsidP="00986EC1">
            <w:pPr>
              <w:keepNext/>
              <w:spacing w:before="120" w:after="60"/>
              <w:rPr>
                <w:rFonts w:ascii="Arial Narrow" w:hAnsi="Arial Narrow"/>
                <w:b/>
                <w:sz w:val="20"/>
                <w:szCs w:val="18"/>
              </w:rPr>
            </w:pPr>
          </w:p>
        </w:tc>
        <w:tc>
          <w:tcPr>
            <w:tcW w:w="0" w:type="auto"/>
            <w:gridSpan w:val="2"/>
            <w:tcBorders>
              <w:right w:val="single" w:sz="4" w:space="0" w:color="FFFFFF"/>
            </w:tcBorders>
          </w:tcPr>
          <w:p w14:paraId="27A7389A" w14:textId="77777777" w:rsidR="00986EC1" w:rsidRPr="00986EC1" w:rsidRDefault="00986EC1" w:rsidP="00986EC1">
            <w:pPr>
              <w:keepNext/>
              <w:spacing w:before="120" w:after="60"/>
              <w:rPr>
                <w:rFonts w:ascii="Arial Narrow" w:hAnsi="Arial Narrow"/>
                <w:b/>
                <w:sz w:val="20"/>
                <w:szCs w:val="18"/>
              </w:rPr>
            </w:pPr>
            <w:r w:rsidRPr="00986EC1">
              <w:rPr>
                <w:rFonts w:ascii="Arial Narrow" w:hAnsi="Arial Narrow"/>
                <w:b/>
                <w:sz w:val="20"/>
                <w:szCs w:val="18"/>
              </w:rPr>
              <w:t xml:space="preserve">Decompression  </w:t>
            </w:r>
          </w:p>
        </w:tc>
        <w:tc>
          <w:tcPr>
            <w:tcW w:w="0" w:type="auto"/>
            <w:tcBorders>
              <w:left w:val="single" w:sz="4" w:space="0" w:color="FFFFFF"/>
              <w:right w:val="single" w:sz="4" w:space="0" w:color="FFFFFF"/>
            </w:tcBorders>
          </w:tcPr>
          <w:p w14:paraId="553341D0" w14:textId="77777777" w:rsidR="00986EC1" w:rsidRPr="00986EC1" w:rsidRDefault="00986EC1" w:rsidP="00986EC1">
            <w:pPr>
              <w:keepNext/>
              <w:spacing w:before="120" w:after="60"/>
              <w:rPr>
                <w:rFonts w:ascii="Arial Narrow" w:hAnsi="Arial Narrow"/>
                <w:b/>
                <w:sz w:val="20"/>
                <w:szCs w:val="18"/>
              </w:rPr>
            </w:pPr>
          </w:p>
        </w:tc>
        <w:tc>
          <w:tcPr>
            <w:tcW w:w="0" w:type="auto"/>
            <w:tcBorders>
              <w:left w:val="single" w:sz="4" w:space="0" w:color="FFFFFF"/>
              <w:right w:val="single" w:sz="4" w:space="0" w:color="FFFFFF"/>
            </w:tcBorders>
          </w:tcPr>
          <w:p w14:paraId="2A70A88C" w14:textId="77777777" w:rsidR="00986EC1" w:rsidRPr="00986EC1" w:rsidRDefault="00986EC1" w:rsidP="00986EC1">
            <w:pPr>
              <w:keepNext/>
              <w:spacing w:before="120" w:after="60"/>
              <w:rPr>
                <w:rFonts w:ascii="Arial Narrow" w:hAnsi="Arial Narrow"/>
                <w:b/>
                <w:sz w:val="20"/>
                <w:szCs w:val="18"/>
              </w:rPr>
            </w:pPr>
          </w:p>
        </w:tc>
        <w:tc>
          <w:tcPr>
            <w:tcW w:w="0" w:type="auto"/>
            <w:tcBorders>
              <w:left w:val="single" w:sz="4" w:space="0" w:color="FFFFFF"/>
            </w:tcBorders>
          </w:tcPr>
          <w:p w14:paraId="3EFED07C" w14:textId="77777777" w:rsidR="00986EC1" w:rsidRPr="00986EC1" w:rsidRDefault="00986EC1" w:rsidP="00986EC1">
            <w:pPr>
              <w:keepNext/>
              <w:spacing w:before="120" w:after="60"/>
              <w:rPr>
                <w:rFonts w:ascii="Arial Narrow" w:hAnsi="Arial Narrow"/>
                <w:b/>
                <w:sz w:val="20"/>
                <w:szCs w:val="18"/>
              </w:rPr>
            </w:pPr>
          </w:p>
        </w:tc>
        <w:tc>
          <w:tcPr>
            <w:tcW w:w="0" w:type="auto"/>
            <w:vMerge w:val="restart"/>
          </w:tcPr>
          <w:p w14:paraId="509105C7" w14:textId="77777777" w:rsidR="00986EC1" w:rsidRPr="00986EC1" w:rsidRDefault="00986EC1" w:rsidP="00986EC1">
            <w:pPr>
              <w:keepNext/>
              <w:spacing w:before="120" w:after="60"/>
              <w:rPr>
                <w:rFonts w:ascii="Arial Narrow" w:hAnsi="Arial Narrow"/>
                <w:b/>
                <w:sz w:val="20"/>
                <w:szCs w:val="18"/>
              </w:rPr>
            </w:pPr>
            <w:r w:rsidRPr="00986EC1">
              <w:rPr>
                <w:rFonts w:ascii="Arial Narrow" w:hAnsi="Arial Narrow"/>
                <w:b/>
                <w:sz w:val="20"/>
                <w:szCs w:val="18"/>
              </w:rPr>
              <w:t>MD (&gt;0 favours IDS)</w:t>
            </w:r>
            <w:r w:rsidRPr="00986EC1">
              <w:rPr>
                <w:rFonts w:ascii="Arial Narrow" w:hAnsi="Arial Narrow"/>
                <w:b/>
                <w:sz w:val="20"/>
                <w:szCs w:val="18"/>
                <w:vertAlign w:val="superscript"/>
              </w:rPr>
              <w:t>a</w:t>
            </w:r>
          </w:p>
        </w:tc>
      </w:tr>
      <w:tr w:rsidR="00986EC1" w:rsidRPr="00986EC1" w14:paraId="3C4C2B61" w14:textId="77777777" w:rsidTr="005917C2">
        <w:trPr>
          <w:cnfStyle w:val="100000000000" w:firstRow="1" w:lastRow="0" w:firstColumn="0" w:lastColumn="0" w:oddVBand="0" w:evenVBand="0" w:oddHBand="0" w:evenHBand="0" w:firstRowFirstColumn="0" w:firstRowLastColumn="0" w:lastRowFirstColumn="0" w:lastRowLastColumn="0"/>
          <w:trHeight w:val="70"/>
          <w:tblHeader/>
        </w:trPr>
        <w:tc>
          <w:tcPr>
            <w:tcW w:w="0" w:type="auto"/>
            <w:vMerge/>
            <w:hideMark/>
          </w:tcPr>
          <w:p w14:paraId="5F85520B" w14:textId="77777777" w:rsidR="00986EC1" w:rsidRPr="00986EC1" w:rsidRDefault="00986EC1" w:rsidP="00986EC1">
            <w:pPr>
              <w:keepNext/>
              <w:spacing w:after="40"/>
              <w:rPr>
                <w:rFonts w:ascii="Arial Narrow" w:hAnsi="Arial Narrow"/>
                <w:sz w:val="20"/>
                <w:szCs w:val="18"/>
              </w:rPr>
            </w:pPr>
          </w:p>
        </w:tc>
        <w:tc>
          <w:tcPr>
            <w:tcW w:w="0" w:type="auto"/>
            <w:gridSpan w:val="2"/>
          </w:tcPr>
          <w:p w14:paraId="18A960B1" w14:textId="77777777" w:rsidR="00986EC1" w:rsidRPr="00986EC1" w:rsidRDefault="00986EC1" w:rsidP="00986EC1">
            <w:pPr>
              <w:keepNext/>
              <w:spacing w:before="120" w:after="60"/>
              <w:rPr>
                <w:rFonts w:ascii="Arial Narrow" w:hAnsi="Arial Narrow"/>
                <w:b/>
                <w:sz w:val="20"/>
                <w:szCs w:val="18"/>
              </w:rPr>
            </w:pPr>
            <w:r w:rsidRPr="00986EC1">
              <w:rPr>
                <w:rFonts w:ascii="Arial Narrow" w:hAnsi="Arial Narrow"/>
                <w:b/>
                <w:sz w:val="20"/>
                <w:szCs w:val="18"/>
              </w:rPr>
              <w:t>Baseline mean (SD)</w:t>
            </w:r>
          </w:p>
        </w:tc>
        <w:tc>
          <w:tcPr>
            <w:tcW w:w="0" w:type="auto"/>
            <w:hideMark/>
          </w:tcPr>
          <w:p w14:paraId="34EF20F8" w14:textId="77777777" w:rsidR="00986EC1" w:rsidRPr="00986EC1" w:rsidRDefault="00986EC1" w:rsidP="00986EC1">
            <w:pPr>
              <w:keepNext/>
              <w:spacing w:before="120" w:after="60"/>
              <w:rPr>
                <w:rFonts w:ascii="Arial Narrow" w:hAnsi="Arial Narrow"/>
                <w:b/>
                <w:sz w:val="20"/>
                <w:szCs w:val="18"/>
              </w:rPr>
            </w:pPr>
            <w:r w:rsidRPr="00986EC1">
              <w:rPr>
                <w:rFonts w:ascii="Arial Narrow" w:hAnsi="Arial Narrow"/>
                <w:b/>
                <w:sz w:val="20"/>
                <w:szCs w:val="18"/>
              </w:rPr>
              <w:t>Endpoint mean (SD)</w:t>
            </w:r>
          </w:p>
        </w:tc>
        <w:tc>
          <w:tcPr>
            <w:tcW w:w="0" w:type="auto"/>
            <w:hideMark/>
          </w:tcPr>
          <w:p w14:paraId="54D0AC8C" w14:textId="77777777" w:rsidR="00986EC1" w:rsidRPr="00986EC1" w:rsidRDefault="00986EC1" w:rsidP="00986EC1">
            <w:pPr>
              <w:keepNext/>
              <w:spacing w:before="120" w:after="60"/>
              <w:rPr>
                <w:rFonts w:ascii="Arial Narrow" w:hAnsi="Arial Narrow"/>
                <w:b/>
                <w:sz w:val="20"/>
                <w:szCs w:val="18"/>
              </w:rPr>
            </w:pPr>
            <w:r w:rsidRPr="00986EC1">
              <w:rPr>
                <w:rFonts w:ascii="Arial Narrow" w:hAnsi="Arial Narrow"/>
                <w:b/>
                <w:sz w:val="20"/>
                <w:szCs w:val="18"/>
              </w:rPr>
              <w:t>Mean change (SD)</w:t>
            </w:r>
          </w:p>
        </w:tc>
        <w:tc>
          <w:tcPr>
            <w:tcW w:w="0" w:type="auto"/>
          </w:tcPr>
          <w:p w14:paraId="64786A9F" w14:textId="77777777" w:rsidR="00986EC1" w:rsidRPr="00986EC1" w:rsidRDefault="00986EC1" w:rsidP="00986EC1">
            <w:pPr>
              <w:keepNext/>
              <w:spacing w:before="120" w:after="60"/>
              <w:rPr>
                <w:rFonts w:ascii="Arial Narrow" w:hAnsi="Arial Narrow"/>
                <w:b/>
                <w:sz w:val="20"/>
                <w:szCs w:val="18"/>
              </w:rPr>
            </w:pPr>
            <w:r w:rsidRPr="00986EC1">
              <w:rPr>
                <w:rFonts w:ascii="Arial Narrow" w:hAnsi="Arial Narrow"/>
                <w:b/>
                <w:sz w:val="20"/>
                <w:szCs w:val="18"/>
              </w:rPr>
              <w:t>Baseline mean (SD)</w:t>
            </w:r>
          </w:p>
        </w:tc>
        <w:tc>
          <w:tcPr>
            <w:tcW w:w="0" w:type="auto"/>
            <w:hideMark/>
          </w:tcPr>
          <w:p w14:paraId="7A9F47F3" w14:textId="77777777" w:rsidR="00986EC1" w:rsidRPr="00986EC1" w:rsidRDefault="00986EC1" w:rsidP="00986EC1">
            <w:pPr>
              <w:keepNext/>
              <w:spacing w:before="120" w:after="60"/>
              <w:rPr>
                <w:rFonts w:ascii="Arial Narrow" w:hAnsi="Arial Narrow"/>
                <w:b/>
                <w:sz w:val="20"/>
                <w:szCs w:val="18"/>
              </w:rPr>
            </w:pPr>
            <w:r w:rsidRPr="00986EC1">
              <w:rPr>
                <w:rFonts w:ascii="Arial Narrow" w:hAnsi="Arial Narrow"/>
                <w:b/>
                <w:sz w:val="20"/>
                <w:szCs w:val="18"/>
              </w:rPr>
              <w:t>Endpoint mean (SD)</w:t>
            </w:r>
          </w:p>
        </w:tc>
        <w:tc>
          <w:tcPr>
            <w:tcW w:w="0" w:type="auto"/>
            <w:gridSpan w:val="3"/>
            <w:hideMark/>
          </w:tcPr>
          <w:p w14:paraId="4B982E96" w14:textId="77777777" w:rsidR="00986EC1" w:rsidRPr="00986EC1" w:rsidRDefault="00986EC1" w:rsidP="00986EC1">
            <w:pPr>
              <w:keepNext/>
              <w:spacing w:before="120" w:after="60"/>
              <w:rPr>
                <w:rFonts w:ascii="Arial Narrow" w:hAnsi="Arial Narrow"/>
                <w:b/>
                <w:sz w:val="20"/>
                <w:szCs w:val="18"/>
              </w:rPr>
            </w:pPr>
            <w:r w:rsidRPr="00986EC1">
              <w:rPr>
                <w:rFonts w:ascii="Arial Narrow" w:hAnsi="Arial Narrow"/>
                <w:b/>
                <w:sz w:val="20"/>
                <w:szCs w:val="18"/>
              </w:rPr>
              <w:t>Mean change (SD)</w:t>
            </w:r>
          </w:p>
        </w:tc>
        <w:tc>
          <w:tcPr>
            <w:tcW w:w="0" w:type="auto"/>
            <w:vMerge/>
            <w:hideMark/>
          </w:tcPr>
          <w:p w14:paraId="28400D55" w14:textId="77777777" w:rsidR="00986EC1" w:rsidRPr="00986EC1" w:rsidRDefault="00986EC1" w:rsidP="00986EC1">
            <w:pPr>
              <w:keepNext/>
              <w:spacing w:before="120" w:after="60"/>
              <w:rPr>
                <w:rFonts w:ascii="Arial Narrow" w:hAnsi="Arial Narrow"/>
                <w:b/>
                <w:sz w:val="20"/>
                <w:szCs w:val="18"/>
              </w:rPr>
            </w:pPr>
          </w:p>
        </w:tc>
      </w:tr>
      <w:tr w:rsidR="00986EC1" w:rsidRPr="00986EC1" w14:paraId="2E36FEE4" w14:textId="77777777" w:rsidTr="005917C2">
        <w:trPr>
          <w:trHeight w:val="70"/>
        </w:trPr>
        <w:tc>
          <w:tcPr>
            <w:tcW w:w="0" w:type="auto"/>
          </w:tcPr>
          <w:p w14:paraId="5128F63D" w14:textId="77777777" w:rsidR="00986EC1" w:rsidRPr="00986EC1" w:rsidRDefault="00986EC1" w:rsidP="00986EC1">
            <w:pPr>
              <w:keepNext/>
              <w:spacing w:after="40"/>
              <w:rPr>
                <w:rFonts w:ascii="Arial Narrow" w:hAnsi="Arial Narrow"/>
                <w:sz w:val="20"/>
                <w:szCs w:val="18"/>
              </w:rPr>
            </w:pPr>
            <w:r w:rsidRPr="00986EC1">
              <w:rPr>
                <w:rFonts w:ascii="Arial Narrow" w:hAnsi="Arial Narrow"/>
                <w:sz w:val="20"/>
                <w:szCs w:val="18"/>
              </w:rPr>
              <w:t>Lønne (2015)</w:t>
            </w:r>
          </w:p>
        </w:tc>
        <w:tc>
          <w:tcPr>
            <w:tcW w:w="0" w:type="auto"/>
            <w:gridSpan w:val="2"/>
          </w:tcPr>
          <w:p w14:paraId="2B7B5F5F" w14:textId="77777777" w:rsidR="00986EC1" w:rsidRPr="00986EC1" w:rsidRDefault="00986EC1" w:rsidP="00986EC1">
            <w:pPr>
              <w:keepNext/>
              <w:spacing w:after="40"/>
              <w:rPr>
                <w:rFonts w:ascii="Arial Narrow" w:hAnsi="Arial Narrow"/>
                <w:sz w:val="20"/>
                <w:szCs w:val="18"/>
              </w:rPr>
            </w:pPr>
            <w:r w:rsidRPr="00986EC1">
              <w:rPr>
                <w:rFonts w:ascii="Arial Narrow" w:hAnsi="Arial Narrow"/>
                <w:sz w:val="20"/>
                <w:szCs w:val="18"/>
              </w:rPr>
              <w:t>0.409 (0.05)</w:t>
            </w:r>
          </w:p>
        </w:tc>
        <w:tc>
          <w:tcPr>
            <w:tcW w:w="0" w:type="auto"/>
          </w:tcPr>
          <w:p w14:paraId="370697DA" w14:textId="77777777" w:rsidR="00986EC1" w:rsidRPr="00986EC1" w:rsidRDefault="00986EC1" w:rsidP="00986EC1">
            <w:pPr>
              <w:keepNext/>
              <w:spacing w:after="40"/>
              <w:rPr>
                <w:rFonts w:ascii="Arial Narrow" w:hAnsi="Arial Narrow"/>
                <w:sz w:val="20"/>
                <w:szCs w:val="18"/>
              </w:rPr>
            </w:pPr>
            <w:r w:rsidRPr="00986EC1">
              <w:rPr>
                <w:rFonts w:ascii="Arial Narrow" w:hAnsi="Arial Narrow"/>
                <w:sz w:val="20"/>
                <w:szCs w:val="18"/>
              </w:rPr>
              <w:t>0.73 (0.05)</w:t>
            </w:r>
          </w:p>
        </w:tc>
        <w:tc>
          <w:tcPr>
            <w:tcW w:w="0" w:type="auto"/>
          </w:tcPr>
          <w:p w14:paraId="12FC65F5" w14:textId="77777777" w:rsidR="00986EC1" w:rsidRPr="00986EC1" w:rsidRDefault="00986EC1" w:rsidP="00986EC1">
            <w:pPr>
              <w:keepNext/>
              <w:spacing w:after="40"/>
              <w:rPr>
                <w:rFonts w:ascii="Arial Narrow" w:hAnsi="Arial Narrow"/>
                <w:b/>
                <w:bCs/>
                <w:sz w:val="20"/>
                <w:szCs w:val="18"/>
              </w:rPr>
            </w:pPr>
            <w:r w:rsidRPr="00986EC1">
              <w:rPr>
                <w:rFonts w:ascii="Arial Narrow" w:hAnsi="Arial Narrow"/>
                <w:b/>
                <w:bCs/>
                <w:sz w:val="20"/>
                <w:szCs w:val="18"/>
              </w:rPr>
              <w:t>0.321 (NR)</w:t>
            </w:r>
          </w:p>
        </w:tc>
        <w:tc>
          <w:tcPr>
            <w:tcW w:w="0" w:type="auto"/>
          </w:tcPr>
          <w:p w14:paraId="77E020B9" w14:textId="77777777" w:rsidR="00986EC1" w:rsidRPr="00986EC1" w:rsidRDefault="00986EC1" w:rsidP="00986EC1">
            <w:pPr>
              <w:keepNext/>
              <w:spacing w:after="40"/>
              <w:rPr>
                <w:rFonts w:ascii="Arial Narrow" w:hAnsi="Arial Narrow"/>
                <w:sz w:val="20"/>
                <w:szCs w:val="18"/>
              </w:rPr>
            </w:pPr>
            <w:r w:rsidRPr="00986EC1">
              <w:rPr>
                <w:rFonts w:ascii="Arial Narrow" w:hAnsi="Arial Narrow"/>
                <w:sz w:val="20"/>
                <w:szCs w:val="18"/>
              </w:rPr>
              <w:t>0.42 (0.05)</w:t>
            </w:r>
          </w:p>
        </w:tc>
        <w:tc>
          <w:tcPr>
            <w:tcW w:w="0" w:type="auto"/>
          </w:tcPr>
          <w:p w14:paraId="6C54464D" w14:textId="77777777" w:rsidR="00986EC1" w:rsidRPr="00986EC1" w:rsidRDefault="00986EC1" w:rsidP="00986EC1">
            <w:pPr>
              <w:keepNext/>
              <w:spacing w:after="40"/>
              <w:rPr>
                <w:rFonts w:ascii="Arial Narrow" w:hAnsi="Arial Narrow"/>
                <w:sz w:val="20"/>
                <w:szCs w:val="18"/>
              </w:rPr>
            </w:pPr>
            <w:r w:rsidRPr="00986EC1">
              <w:rPr>
                <w:rFonts w:ascii="Arial Narrow" w:hAnsi="Arial Narrow"/>
                <w:sz w:val="20"/>
                <w:szCs w:val="18"/>
              </w:rPr>
              <w:t>0.688 (0.04)</w:t>
            </w:r>
          </w:p>
        </w:tc>
        <w:tc>
          <w:tcPr>
            <w:tcW w:w="0" w:type="auto"/>
            <w:gridSpan w:val="3"/>
          </w:tcPr>
          <w:p w14:paraId="7819E3CB" w14:textId="77777777" w:rsidR="00986EC1" w:rsidRPr="00986EC1" w:rsidRDefault="00986EC1" w:rsidP="00986EC1">
            <w:pPr>
              <w:keepNext/>
              <w:spacing w:after="40"/>
              <w:rPr>
                <w:rFonts w:ascii="Arial Narrow" w:hAnsi="Arial Narrow"/>
                <w:sz w:val="20"/>
                <w:szCs w:val="18"/>
              </w:rPr>
            </w:pPr>
            <w:r w:rsidRPr="00986EC1">
              <w:rPr>
                <w:rFonts w:ascii="Arial Narrow" w:hAnsi="Arial Narrow"/>
                <w:b/>
                <w:bCs/>
                <w:sz w:val="20"/>
                <w:szCs w:val="18"/>
              </w:rPr>
              <w:t>0.268 (NR</w:t>
            </w:r>
            <w:r w:rsidRPr="00986EC1">
              <w:rPr>
                <w:rFonts w:ascii="Arial Narrow" w:hAnsi="Arial Narrow"/>
                <w:sz w:val="20"/>
                <w:szCs w:val="18"/>
              </w:rPr>
              <w:t>)</w:t>
            </w:r>
          </w:p>
        </w:tc>
        <w:tc>
          <w:tcPr>
            <w:tcW w:w="0" w:type="auto"/>
          </w:tcPr>
          <w:p w14:paraId="1444CB46" w14:textId="77777777" w:rsidR="00986EC1" w:rsidRPr="00986EC1" w:rsidRDefault="00986EC1" w:rsidP="00986EC1">
            <w:pPr>
              <w:keepNext/>
              <w:spacing w:after="40"/>
              <w:rPr>
                <w:rFonts w:ascii="Arial Narrow" w:hAnsi="Arial Narrow"/>
                <w:sz w:val="20"/>
                <w:szCs w:val="18"/>
              </w:rPr>
            </w:pPr>
            <w:r w:rsidRPr="00986EC1">
              <w:rPr>
                <w:rFonts w:ascii="Arial Narrow" w:hAnsi="Arial Narrow"/>
                <w:sz w:val="20"/>
                <w:szCs w:val="18"/>
              </w:rPr>
              <w:t>0.053</w:t>
            </w:r>
          </w:p>
        </w:tc>
      </w:tr>
      <w:tr w:rsidR="00986EC1" w:rsidRPr="00986EC1" w14:paraId="4612F80A" w14:textId="77777777" w:rsidTr="005917C2">
        <w:trPr>
          <w:trHeight w:val="70"/>
        </w:trPr>
        <w:tc>
          <w:tcPr>
            <w:tcW w:w="0" w:type="auto"/>
          </w:tcPr>
          <w:p w14:paraId="0EDD4F17" w14:textId="77777777" w:rsidR="00986EC1" w:rsidRPr="00986EC1" w:rsidRDefault="00986EC1" w:rsidP="00986EC1">
            <w:pPr>
              <w:keepNext/>
              <w:spacing w:after="40"/>
              <w:rPr>
                <w:rFonts w:ascii="Arial Narrow" w:hAnsi="Arial Narrow"/>
                <w:sz w:val="20"/>
                <w:szCs w:val="18"/>
              </w:rPr>
            </w:pPr>
            <w:r w:rsidRPr="00986EC1">
              <w:rPr>
                <w:rFonts w:ascii="Arial Narrow" w:hAnsi="Arial Narrow"/>
                <w:sz w:val="20"/>
                <w:szCs w:val="18"/>
              </w:rPr>
              <w:t>CELAX</w:t>
            </w:r>
          </w:p>
        </w:tc>
        <w:tc>
          <w:tcPr>
            <w:tcW w:w="0" w:type="auto"/>
            <w:gridSpan w:val="2"/>
          </w:tcPr>
          <w:p w14:paraId="5B2FEC29" w14:textId="77777777" w:rsidR="00986EC1" w:rsidRPr="00986EC1" w:rsidRDefault="00986EC1" w:rsidP="00986EC1">
            <w:pPr>
              <w:keepNext/>
              <w:spacing w:after="40"/>
              <w:rPr>
                <w:rFonts w:ascii="Arial Narrow" w:hAnsi="Arial Narrow"/>
                <w:sz w:val="20"/>
                <w:szCs w:val="18"/>
              </w:rPr>
            </w:pPr>
            <w:r w:rsidRPr="00986EC1">
              <w:rPr>
                <w:rFonts w:ascii="Arial Narrow" w:hAnsi="Arial Narrow"/>
                <w:sz w:val="20"/>
                <w:szCs w:val="18"/>
              </w:rPr>
              <w:t>0.2 (NR)</w:t>
            </w:r>
          </w:p>
        </w:tc>
        <w:tc>
          <w:tcPr>
            <w:tcW w:w="0" w:type="auto"/>
          </w:tcPr>
          <w:p w14:paraId="5883D3AF" w14:textId="77777777" w:rsidR="00986EC1" w:rsidRPr="00986EC1" w:rsidRDefault="00986EC1" w:rsidP="00986EC1">
            <w:pPr>
              <w:keepNext/>
              <w:spacing w:after="40"/>
              <w:rPr>
                <w:rFonts w:ascii="Arial Narrow" w:hAnsi="Arial Narrow"/>
                <w:sz w:val="20"/>
                <w:szCs w:val="18"/>
              </w:rPr>
            </w:pPr>
            <w:r w:rsidRPr="00986EC1">
              <w:rPr>
                <w:rFonts w:ascii="Arial Narrow" w:hAnsi="Arial Narrow"/>
                <w:sz w:val="20"/>
                <w:szCs w:val="18"/>
              </w:rPr>
              <w:t>0.45 (NR)</w:t>
            </w:r>
          </w:p>
        </w:tc>
        <w:tc>
          <w:tcPr>
            <w:tcW w:w="0" w:type="auto"/>
          </w:tcPr>
          <w:p w14:paraId="545CC4E7" w14:textId="77777777" w:rsidR="00986EC1" w:rsidRPr="00986EC1" w:rsidRDefault="00986EC1" w:rsidP="00986EC1">
            <w:pPr>
              <w:keepNext/>
              <w:spacing w:after="40"/>
              <w:rPr>
                <w:rFonts w:ascii="Arial Narrow" w:hAnsi="Arial Narrow"/>
                <w:b/>
                <w:bCs/>
                <w:sz w:val="20"/>
                <w:szCs w:val="18"/>
              </w:rPr>
            </w:pPr>
            <w:r w:rsidRPr="00986EC1">
              <w:rPr>
                <w:rFonts w:ascii="Arial Narrow" w:hAnsi="Arial Narrow"/>
                <w:b/>
                <w:bCs/>
                <w:sz w:val="20"/>
                <w:szCs w:val="18"/>
              </w:rPr>
              <w:t>0.25 (NR)</w:t>
            </w:r>
          </w:p>
        </w:tc>
        <w:tc>
          <w:tcPr>
            <w:tcW w:w="0" w:type="auto"/>
          </w:tcPr>
          <w:p w14:paraId="05FAB414" w14:textId="77777777" w:rsidR="00986EC1" w:rsidRPr="00986EC1" w:rsidRDefault="00986EC1" w:rsidP="00986EC1">
            <w:pPr>
              <w:keepNext/>
              <w:spacing w:after="40"/>
              <w:rPr>
                <w:rFonts w:ascii="Arial Narrow" w:hAnsi="Arial Narrow"/>
                <w:sz w:val="20"/>
                <w:szCs w:val="18"/>
              </w:rPr>
            </w:pPr>
            <w:r w:rsidRPr="00986EC1">
              <w:rPr>
                <w:rFonts w:ascii="Arial Narrow" w:hAnsi="Arial Narrow"/>
                <w:sz w:val="20"/>
                <w:szCs w:val="18"/>
              </w:rPr>
              <w:t>0.29 (NR)</w:t>
            </w:r>
          </w:p>
        </w:tc>
        <w:tc>
          <w:tcPr>
            <w:tcW w:w="0" w:type="auto"/>
          </w:tcPr>
          <w:p w14:paraId="7DDB14CA" w14:textId="77777777" w:rsidR="00986EC1" w:rsidRPr="00986EC1" w:rsidRDefault="00986EC1" w:rsidP="00986EC1">
            <w:pPr>
              <w:keepNext/>
              <w:spacing w:after="40"/>
              <w:rPr>
                <w:rFonts w:ascii="Arial Narrow" w:hAnsi="Arial Narrow"/>
                <w:sz w:val="20"/>
                <w:szCs w:val="18"/>
              </w:rPr>
            </w:pPr>
            <w:r w:rsidRPr="00986EC1">
              <w:rPr>
                <w:rFonts w:ascii="Arial Narrow" w:hAnsi="Arial Narrow"/>
                <w:sz w:val="20"/>
                <w:szCs w:val="18"/>
              </w:rPr>
              <w:t>0.58 (NR)</w:t>
            </w:r>
          </w:p>
        </w:tc>
        <w:tc>
          <w:tcPr>
            <w:tcW w:w="0" w:type="auto"/>
            <w:gridSpan w:val="3"/>
          </w:tcPr>
          <w:p w14:paraId="58B98C0E" w14:textId="77777777" w:rsidR="00986EC1" w:rsidRPr="00986EC1" w:rsidRDefault="00986EC1" w:rsidP="00986EC1">
            <w:pPr>
              <w:keepNext/>
              <w:spacing w:after="40"/>
              <w:rPr>
                <w:rFonts w:ascii="Arial Narrow" w:hAnsi="Arial Narrow"/>
                <w:b/>
                <w:bCs/>
                <w:sz w:val="20"/>
                <w:szCs w:val="18"/>
              </w:rPr>
            </w:pPr>
            <w:r w:rsidRPr="00986EC1">
              <w:rPr>
                <w:rFonts w:ascii="Arial Narrow" w:hAnsi="Arial Narrow"/>
                <w:b/>
                <w:bCs/>
                <w:sz w:val="20"/>
                <w:szCs w:val="18"/>
              </w:rPr>
              <w:t>0.29 (NR)</w:t>
            </w:r>
          </w:p>
        </w:tc>
        <w:tc>
          <w:tcPr>
            <w:tcW w:w="0" w:type="auto"/>
          </w:tcPr>
          <w:p w14:paraId="613EECE5" w14:textId="77777777" w:rsidR="00986EC1" w:rsidRPr="00986EC1" w:rsidRDefault="00986EC1" w:rsidP="00986EC1">
            <w:pPr>
              <w:keepNext/>
              <w:spacing w:after="40"/>
              <w:rPr>
                <w:rFonts w:ascii="Arial Narrow" w:hAnsi="Arial Narrow"/>
                <w:sz w:val="20"/>
                <w:szCs w:val="18"/>
              </w:rPr>
            </w:pPr>
            <w:r w:rsidRPr="00986EC1">
              <w:rPr>
                <w:rFonts w:ascii="Arial Narrow" w:hAnsi="Arial Narrow"/>
                <w:sz w:val="20"/>
                <w:szCs w:val="18"/>
              </w:rPr>
              <w:t>-0.040</w:t>
            </w:r>
          </w:p>
        </w:tc>
      </w:tr>
    </w:tbl>
    <w:p w14:paraId="60C27238" w14:textId="77777777" w:rsidR="00986EC1" w:rsidRPr="00986EC1" w:rsidRDefault="00986EC1" w:rsidP="00B23D55">
      <w:pPr>
        <w:pStyle w:val="Tablenotes1"/>
      </w:pPr>
      <w:r w:rsidRPr="00986EC1">
        <w:t xml:space="preserve">IDS, interspinous decompression spacer; NA, not applicable; NR, not reported; MD, mean difference; SD, standard deviation. </w:t>
      </w:r>
      <w:r w:rsidRPr="00986EC1">
        <w:br/>
        <w:t>a Note that for most studies, mean change was calculated post hoc by subtracting baseline scores for the final scores. Confidence intervals were infrequently reported.</w:t>
      </w:r>
    </w:p>
    <w:p w14:paraId="1EA4BF57" w14:textId="61E0F6FE" w:rsidR="00986EC1" w:rsidRDefault="00986EC1" w:rsidP="00B23D55">
      <w:pPr>
        <w:pStyle w:val="Tablenotes1"/>
      </w:pPr>
      <w:r w:rsidRPr="00986EC1">
        <w:rPr>
          <w:b/>
          <w:bCs/>
        </w:rPr>
        <w:t xml:space="preserve">Bold </w:t>
      </w:r>
      <w:r w:rsidRPr="00986EC1">
        <w:t>= change exceeds MCID of 0.19.</w:t>
      </w:r>
    </w:p>
    <w:p w14:paraId="0E70590D" w14:textId="29603345" w:rsidR="000236D4" w:rsidRPr="00986EC1" w:rsidRDefault="000236D4" w:rsidP="00B23D55">
      <w:pPr>
        <w:pStyle w:val="Tablenotes1"/>
      </w:pPr>
      <w:r>
        <w:t>Source: Commentary, Table 14</w:t>
      </w:r>
    </w:p>
    <w:p w14:paraId="314D1CC9" w14:textId="77777777" w:rsidR="00986EC1" w:rsidRPr="00986EC1" w:rsidRDefault="00986EC1" w:rsidP="00986EC1">
      <w:pPr>
        <w:keepNext/>
        <w:keepLines/>
        <w:tabs>
          <w:tab w:val="left" w:pos="851"/>
        </w:tabs>
        <w:spacing w:before="360" w:after="200"/>
        <w:outlineLvl w:val="3"/>
        <w:rPr>
          <w:rFonts w:ascii="Franklin Gothic Medium" w:eastAsia="SimSun" w:hAnsi="Franklin Gothic Medium"/>
          <w:i/>
          <w:szCs w:val="24"/>
          <w:lang w:eastAsia="en-US"/>
        </w:rPr>
      </w:pPr>
      <w:r w:rsidRPr="00986EC1">
        <w:rPr>
          <w:rFonts w:ascii="Franklin Gothic Medium" w:eastAsia="SimSun" w:hAnsi="Franklin Gothic Medium"/>
          <w:i/>
          <w:szCs w:val="24"/>
          <w:lang w:eastAsia="en-US"/>
        </w:rPr>
        <w:t>Summary</w:t>
      </w:r>
    </w:p>
    <w:p w14:paraId="76561CFD"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primary effectiveness outcomes for disability and functional status and pain intensity did not demonstrate any statistically or clinically significant differences between IDS and decompression at the 24-month follow-up period for any measure in any trial, although there were improvements from baseline to 2 years in most measures across both arms of the trials. Quality of life, measured by the EQ-5D had similar results with no significant difference between arms. Overall, on these measures, the data suggest that IDS is non-inferior to decompression.</w:t>
      </w:r>
    </w:p>
    <w:p w14:paraId="60A30B2C"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 xml:space="preserve">Reoperation rates due to treatment failure consistently favoured decompression. Therefore, IDS may be inferior to decompression with respect to clinical efficacy on the basis of a higher rate of treatment failure leading to reoperation. </w:t>
      </w:r>
    </w:p>
    <w:p w14:paraId="69F07B29" w14:textId="77777777" w:rsidR="00986EC1" w:rsidRPr="00986EC1" w:rsidRDefault="00986EC1" w:rsidP="00986EC1">
      <w:pPr>
        <w:keepNext/>
        <w:keepLines/>
        <w:tabs>
          <w:tab w:val="left" w:pos="851"/>
        </w:tabs>
        <w:spacing w:before="360" w:after="200"/>
        <w:outlineLvl w:val="2"/>
        <w:rPr>
          <w:rFonts w:ascii="Franklin Gothic Medium" w:eastAsia="SimSun" w:hAnsi="Franklin Gothic Medium"/>
          <w:szCs w:val="24"/>
          <w:lang w:eastAsia="en-US"/>
        </w:rPr>
      </w:pPr>
      <w:r w:rsidRPr="00986EC1">
        <w:rPr>
          <w:rFonts w:ascii="Franklin Gothic Medium" w:eastAsia="SimSun" w:hAnsi="Franklin Gothic Medium"/>
          <w:szCs w:val="24"/>
          <w:lang w:eastAsia="en-US"/>
        </w:rPr>
        <w:t>IDS versus decompression plus fusion</w:t>
      </w:r>
    </w:p>
    <w:p w14:paraId="49B1CE7A" w14:textId="77777777" w:rsidR="00986EC1" w:rsidRPr="00986EC1" w:rsidRDefault="00986EC1" w:rsidP="00986EC1">
      <w:pPr>
        <w:keepNext/>
        <w:keepLines/>
        <w:tabs>
          <w:tab w:val="left" w:pos="851"/>
        </w:tabs>
        <w:spacing w:before="360" w:after="200"/>
        <w:outlineLvl w:val="3"/>
        <w:rPr>
          <w:rFonts w:ascii="Franklin Gothic Medium" w:eastAsia="SimSun" w:hAnsi="Franklin Gothic Medium"/>
          <w:i/>
          <w:szCs w:val="24"/>
          <w:lang w:eastAsia="en-US"/>
        </w:rPr>
      </w:pPr>
      <w:r w:rsidRPr="00986EC1">
        <w:rPr>
          <w:rFonts w:ascii="Franklin Gothic Medium" w:eastAsia="SimSun" w:hAnsi="Franklin Gothic Medium"/>
          <w:i/>
          <w:szCs w:val="24"/>
          <w:lang w:eastAsia="en-US"/>
        </w:rPr>
        <w:t>Oswestry Disability Index (ODI)</w:t>
      </w:r>
    </w:p>
    <w:p w14:paraId="454AFE74"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Azazzi (2010) presented the number of patients showing &gt;25% improvement in ODI at 24-month follow-up. The difference between groups was non-significant.</w:t>
      </w:r>
    </w:p>
    <w:p w14:paraId="691083B3" w14:textId="57F1965F" w:rsidR="00986EC1" w:rsidRPr="00986EC1" w:rsidRDefault="00986EC1" w:rsidP="00986EC1">
      <w:pPr>
        <w:keepNext/>
        <w:spacing w:before="360" w:after="120"/>
        <w:ind w:left="794" w:hanging="794"/>
        <w:rPr>
          <w:rFonts w:ascii="Arial Narrow" w:hAnsi="Arial Narrow"/>
          <w:b/>
          <w:bCs/>
          <w:sz w:val="20"/>
          <w:lang w:eastAsia="en-US"/>
        </w:rPr>
      </w:pPr>
      <w:r w:rsidRPr="00986EC1">
        <w:rPr>
          <w:rFonts w:ascii="Arial Narrow" w:hAnsi="Arial Narrow"/>
          <w:b/>
          <w:bCs/>
          <w:sz w:val="20"/>
          <w:lang w:eastAsia="en-US"/>
        </w:rPr>
        <w:t xml:space="preserve">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15</w:t>
      </w:r>
      <w:r w:rsidRPr="00986EC1">
        <w:rPr>
          <w:rFonts w:ascii="Arial Narrow" w:hAnsi="Arial Narrow"/>
          <w:b/>
          <w:bCs/>
          <w:noProof/>
          <w:sz w:val="20"/>
          <w:lang w:eastAsia="en-US"/>
        </w:rPr>
        <w:fldChar w:fldCharType="end"/>
      </w:r>
      <w:r w:rsidRPr="00986EC1">
        <w:rPr>
          <w:rFonts w:ascii="Arial Narrow" w:hAnsi="Arial Narrow"/>
          <w:b/>
          <w:bCs/>
          <w:sz w:val="20"/>
          <w:lang w:eastAsia="en-US"/>
        </w:rPr>
        <w:tab/>
        <w:t>Improvement in ODI score &gt;25%: IDS vs. decompression plus fusion</w:t>
      </w:r>
    </w:p>
    <w:tbl>
      <w:tblPr>
        <w:tblStyle w:val="OPTUMTableNormal"/>
        <w:tblW w:w="9067" w:type="dxa"/>
        <w:tblLook w:val="04A0" w:firstRow="1" w:lastRow="0" w:firstColumn="1" w:lastColumn="0" w:noHBand="0" w:noVBand="1"/>
        <w:tblDescription w:val="Improvement in ODI score &gt;25%: IDS vs. decompression plus fusion"/>
      </w:tblPr>
      <w:tblGrid>
        <w:gridCol w:w="988"/>
        <w:gridCol w:w="1559"/>
        <w:gridCol w:w="1559"/>
        <w:gridCol w:w="1701"/>
        <w:gridCol w:w="1701"/>
        <w:gridCol w:w="1559"/>
      </w:tblGrid>
      <w:tr w:rsidR="00986EC1" w:rsidRPr="00986EC1" w14:paraId="3E81CAA2" w14:textId="77777777" w:rsidTr="005917C2">
        <w:trPr>
          <w:cnfStyle w:val="100000000000" w:firstRow="1" w:lastRow="0" w:firstColumn="0" w:lastColumn="0" w:oddVBand="0" w:evenVBand="0" w:oddHBand="0" w:evenHBand="0" w:firstRowFirstColumn="0" w:firstRowLastColumn="0" w:lastRowFirstColumn="0" w:lastRowLastColumn="0"/>
          <w:trHeight w:val="259"/>
        </w:trPr>
        <w:tc>
          <w:tcPr>
            <w:tcW w:w="988" w:type="dxa"/>
            <w:vMerge w:val="restart"/>
            <w:shd w:val="clear" w:color="auto" w:fill="auto"/>
            <w:hideMark/>
          </w:tcPr>
          <w:p w14:paraId="399968E2"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Trial ID</w:t>
            </w:r>
          </w:p>
        </w:tc>
        <w:tc>
          <w:tcPr>
            <w:tcW w:w="1559" w:type="dxa"/>
            <w:shd w:val="clear" w:color="auto" w:fill="auto"/>
            <w:hideMark/>
          </w:tcPr>
          <w:p w14:paraId="4D596D6F"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 xml:space="preserve">IDS </w:t>
            </w:r>
          </w:p>
        </w:tc>
        <w:tc>
          <w:tcPr>
            <w:tcW w:w="1559" w:type="dxa"/>
            <w:shd w:val="clear" w:color="auto" w:fill="auto"/>
            <w:hideMark/>
          </w:tcPr>
          <w:p w14:paraId="7AC8122A"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D + F</w:t>
            </w:r>
          </w:p>
        </w:tc>
        <w:tc>
          <w:tcPr>
            <w:tcW w:w="1701" w:type="dxa"/>
            <w:vMerge w:val="restart"/>
            <w:shd w:val="clear" w:color="auto" w:fill="auto"/>
            <w:hideMark/>
          </w:tcPr>
          <w:p w14:paraId="686DC31A"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OR [95% CI]</w:t>
            </w:r>
          </w:p>
          <w:p w14:paraId="55E2A15F"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&gt; 1 favours I</w:t>
            </w:r>
            <w:r w:rsidRPr="00986EC1">
              <w:rPr>
                <w:rFonts w:ascii="Arial Narrow" w:eastAsia="Calibri" w:hAnsi="Arial Narrow"/>
                <w:b/>
                <w:bCs/>
                <w:sz w:val="20"/>
                <w:lang w:eastAsia="en-US"/>
              </w:rPr>
              <w:t>DS</w:t>
            </w:r>
          </w:p>
        </w:tc>
        <w:tc>
          <w:tcPr>
            <w:tcW w:w="1701" w:type="dxa"/>
            <w:vMerge w:val="restart"/>
            <w:shd w:val="clear" w:color="auto" w:fill="auto"/>
            <w:hideMark/>
          </w:tcPr>
          <w:p w14:paraId="7255AD0C"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RR [95% CI]</w:t>
            </w:r>
          </w:p>
          <w:p w14:paraId="5BDCA902"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&gt; 1 favours I</w:t>
            </w:r>
            <w:r w:rsidRPr="00986EC1">
              <w:rPr>
                <w:rFonts w:ascii="Arial Narrow" w:eastAsia="Calibri" w:hAnsi="Arial Narrow"/>
                <w:b/>
                <w:bCs/>
                <w:sz w:val="20"/>
                <w:lang w:eastAsia="en-US"/>
              </w:rPr>
              <w:t>DS</w:t>
            </w:r>
          </w:p>
        </w:tc>
        <w:tc>
          <w:tcPr>
            <w:tcW w:w="1559" w:type="dxa"/>
            <w:vMerge w:val="restart"/>
            <w:shd w:val="clear" w:color="auto" w:fill="auto"/>
            <w:hideMark/>
          </w:tcPr>
          <w:p w14:paraId="3B4C911C"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RD [95% CI]</w:t>
            </w:r>
          </w:p>
          <w:p w14:paraId="0367C1C8"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&gt; 0 favours I</w:t>
            </w:r>
            <w:r w:rsidRPr="00986EC1">
              <w:rPr>
                <w:rFonts w:ascii="Arial Narrow" w:eastAsia="Calibri" w:hAnsi="Arial Narrow"/>
                <w:b/>
                <w:bCs/>
                <w:sz w:val="20"/>
                <w:lang w:eastAsia="en-US"/>
              </w:rPr>
              <w:t>DS</w:t>
            </w:r>
          </w:p>
        </w:tc>
      </w:tr>
      <w:tr w:rsidR="00986EC1" w:rsidRPr="00986EC1" w14:paraId="67E0ADA8" w14:textId="77777777" w:rsidTr="005917C2">
        <w:trPr>
          <w:trHeight w:val="70"/>
        </w:trPr>
        <w:tc>
          <w:tcPr>
            <w:tcW w:w="988" w:type="dxa"/>
            <w:vMerge/>
            <w:shd w:val="clear" w:color="auto" w:fill="auto"/>
            <w:vAlign w:val="center"/>
            <w:hideMark/>
          </w:tcPr>
          <w:p w14:paraId="14476C71" w14:textId="77777777" w:rsidR="00986EC1" w:rsidRPr="00986EC1" w:rsidRDefault="00986EC1" w:rsidP="00986EC1">
            <w:pPr>
              <w:spacing w:after="40"/>
              <w:rPr>
                <w:rFonts w:ascii="Arial Narrow" w:eastAsia="Calibri" w:hAnsi="Arial Narrow"/>
                <w:sz w:val="20"/>
                <w:szCs w:val="22"/>
                <w:lang w:eastAsia="en-US"/>
              </w:rPr>
            </w:pPr>
          </w:p>
        </w:tc>
        <w:tc>
          <w:tcPr>
            <w:tcW w:w="1559" w:type="dxa"/>
            <w:shd w:val="clear" w:color="auto" w:fill="auto"/>
            <w:hideMark/>
          </w:tcPr>
          <w:p w14:paraId="1317D863"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n /N (%)</w:t>
            </w:r>
          </w:p>
        </w:tc>
        <w:tc>
          <w:tcPr>
            <w:tcW w:w="1559" w:type="dxa"/>
            <w:shd w:val="clear" w:color="auto" w:fill="auto"/>
            <w:hideMark/>
          </w:tcPr>
          <w:p w14:paraId="14D4FD53"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n /N (%)</w:t>
            </w:r>
          </w:p>
        </w:tc>
        <w:tc>
          <w:tcPr>
            <w:tcW w:w="1701" w:type="dxa"/>
            <w:vMerge/>
            <w:shd w:val="clear" w:color="auto" w:fill="auto"/>
            <w:vAlign w:val="center"/>
            <w:hideMark/>
          </w:tcPr>
          <w:p w14:paraId="4A0704D6" w14:textId="77777777" w:rsidR="00986EC1" w:rsidRPr="00986EC1" w:rsidRDefault="00986EC1" w:rsidP="00986EC1">
            <w:pPr>
              <w:spacing w:before="120" w:after="60"/>
              <w:rPr>
                <w:rFonts w:ascii="Arial Narrow" w:eastAsia="Calibri" w:hAnsi="Arial Narrow"/>
                <w:b/>
                <w:sz w:val="20"/>
                <w:szCs w:val="22"/>
                <w:lang w:eastAsia="en-US"/>
              </w:rPr>
            </w:pPr>
          </w:p>
        </w:tc>
        <w:tc>
          <w:tcPr>
            <w:tcW w:w="1701" w:type="dxa"/>
            <w:vMerge/>
            <w:shd w:val="clear" w:color="auto" w:fill="auto"/>
            <w:vAlign w:val="center"/>
            <w:hideMark/>
          </w:tcPr>
          <w:p w14:paraId="0A515B9D" w14:textId="77777777" w:rsidR="00986EC1" w:rsidRPr="00986EC1" w:rsidRDefault="00986EC1" w:rsidP="00986EC1">
            <w:pPr>
              <w:spacing w:before="120" w:after="60"/>
              <w:rPr>
                <w:rFonts w:ascii="Arial Narrow" w:eastAsia="Calibri" w:hAnsi="Arial Narrow"/>
                <w:b/>
                <w:sz w:val="20"/>
                <w:szCs w:val="22"/>
                <w:lang w:eastAsia="en-US"/>
              </w:rPr>
            </w:pPr>
          </w:p>
        </w:tc>
        <w:tc>
          <w:tcPr>
            <w:tcW w:w="1559" w:type="dxa"/>
            <w:vMerge/>
            <w:shd w:val="clear" w:color="auto" w:fill="auto"/>
            <w:vAlign w:val="center"/>
            <w:hideMark/>
          </w:tcPr>
          <w:p w14:paraId="6E344FA7" w14:textId="77777777" w:rsidR="00986EC1" w:rsidRPr="00986EC1" w:rsidRDefault="00986EC1" w:rsidP="00986EC1">
            <w:pPr>
              <w:spacing w:before="120" w:after="60"/>
              <w:rPr>
                <w:rFonts w:ascii="Arial Narrow" w:eastAsia="Calibri" w:hAnsi="Arial Narrow"/>
                <w:b/>
                <w:sz w:val="20"/>
                <w:szCs w:val="22"/>
                <w:lang w:eastAsia="en-US"/>
              </w:rPr>
            </w:pPr>
          </w:p>
        </w:tc>
      </w:tr>
      <w:tr w:rsidR="00986EC1" w:rsidRPr="00986EC1" w14:paraId="14402363" w14:textId="77777777" w:rsidTr="005917C2">
        <w:trPr>
          <w:trHeight w:val="259"/>
        </w:trPr>
        <w:tc>
          <w:tcPr>
            <w:tcW w:w="988" w:type="dxa"/>
            <w:shd w:val="clear" w:color="auto" w:fill="auto"/>
          </w:tcPr>
          <w:p w14:paraId="3172E6C4"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Azazzi (2010)</w:t>
            </w:r>
          </w:p>
        </w:tc>
        <w:tc>
          <w:tcPr>
            <w:tcW w:w="1559" w:type="dxa"/>
            <w:shd w:val="clear" w:color="auto" w:fill="auto"/>
          </w:tcPr>
          <w:p w14:paraId="200BB3CA"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27/30 (90.0%)</w:t>
            </w:r>
          </w:p>
        </w:tc>
        <w:tc>
          <w:tcPr>
            <w:tcW w:w="1559" w:type="dxa"/>
            <w:shd w:val="clear" w:color="auto" w:fill="auto"/>
          </w:tcPr>
          <w:p w14:paraId="7BFD03E7"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24/30 (80.0%)</w:t>
            </w:r>
          </w:p>
        </w:tc>
        <w:tc>
          <w:tcPr>
            <w:tcW w:w="1701" w:type="dxa"/>
            <w:shd w:val="clear" w:color="auto" w:fill="auto"/>
          </w:tcPr>
          <w:p w14:paraId="348BA59C"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2.25 [0.51, 9.99],</w:t>
            </w:r>
            <w:r w:rsidRPr="00986EC1">
              <w:rPr>
                <w:rFonts w:ascii="Arial Narrow" w:eastAsia="Calibri" w:hAnsi="Arial Narrow"/>
                <w:bCs/>
                <w:sz w:val="20"/>
                <w:lang w:eastAsia="en-US"/>
              </w:rPr>
              <w:t xml:space="preserve"> p=0.29</w:t>
            </w:r>
          </w:p>
        </w:tc>
        <w:tc>
          <w:tcPr>
            <w:tcW w:w="1701" w:type="dxa"/>
            <w:shd w:val="clear" w:color="auto" w:fill="auto"/>
          </w:tcPr>
          <w:p w14:paraId="6C5D32B4"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1.13 [0.91, 1.39],</w:t>
            </w:r>
            <w:r w:rsidRPr="00986EC1">
              <w:rPr>
                <w:rFonts w:ascii="Arial Narrow" w:eastAsia="Calibri" w:hAnsi="Arial Narrow"/>
                <w:bCs/>
                <w:sz w:val="20"/>
                <w:lang w:eastAsia="en-US"/>
              </w:rPr>
              <w:t xml:space="preserve"> p=0.28</w:t>
            </w:r>
          </w:p>
        </w:tc>
        <w:tc>
          <w:tcPr>
            <w:tcW w:w="1559" w:type="dxa"/>
            <w:shd w:val="clear" w:color="auto" w:fill="auto"/>
          </w:tcPr>
          <w:p w14:paraId="4E6F05D9"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0.10 [-0.08, 0.28], p=0.27</w:t>
            </w:r>
          </w:p>
        </w:tc>
      </w:tr>
    </w:tbl>
    <w:p w14:paraId="7B9A405D" w14:textId="6A9BA8C5" w:rsidR="00986EC1" w:rsidRDefault="00986EC1" w:rsidP="00B23D55">
      <w:pPr>
        <w:pStyle w:val="Tablenotes1"/>
      </w:pPr>
      <w:r w:rsidRPr="00986EC1">
        <w:t xml:space="preserve">CI, confidence interval; D+F, decompression plus fusion; IDS, interspinous decompression spacer; </w:t>
      </w:r>
      <w:r w:rsidRPr="00986EC1">
        <w:rPr>
          <w:bCs/>
        </w:rPr>
        <w:t xml:space="preserve">ODI, Oswestry Disability Index; </w:t>
      </w:r>
      <w:r w:rsidRPr="00986EC1">
        <w:t>OR, odds ratio; RD, risk difference; RR, relative risk.</w:t>
      </w:r>
    </w:p>
    <w:p w14:paraId="70A66B13" w14:textId="661A76E2" w:rsidR="000236D4" w:rsidRPr="00986EC1" w:rsidRDefault="000236D4" w:rsidP="00B23D55">
      <w:pPr>
        <w:pStyle w:val="Tablenotes1"/>
      </w:pPr>
      <w:r>
        <w:t>Source: Commentary, Table 15</w:t>
      </w:r>
    </w:p>
    <w:p w14:paraId="67A420DA" w14:textId="77777777" w:rsidR="00986EC1" w:rsidRPr="00986EC1" w:rsidRDefault="00986EC1" w:rsidP="00986EC1">
      <w:pPr>
        <w:keepNext/>
        <w:keepLines/>
        <w:tabs>
          <w:tab w:val="left" w:pos="851"/>
        </w:tabs>
        <w:spacing w:before="360" w:after="200"/>
        <w:outlineLvl w:val="3"/>
        <w:rPr>
          <w:rFonts w:ascii="Franklin Gothic Medium" w:eastAsia="SimSun" w:hAnsi="Franklin Gothic Medium"/>
          <w:i/>
          <w:szCs w:val="24"/>
          <w:lang w:eastAsia="en-US"/>
        </w:rPr>
      </w:pPr>
      <w:r w:rsidRPr="00986EC1">
        <w:rPr>
          <w:rFonts w:ascii="Franklin Gothic Medium" w:eastAsia="SimSun" w:hAnsi="Franklin Gothic Medium"/>
          <w:i/>
          <w:szCs w:val="24"/>
          <w:lang w:eastAsia="en-US"/>
        </w:rPr>
        <w:t>VAS leg and back pain</w:t>
      </w:r>
    </w:p>
    <w:p w14:paraId="1E8D28C8"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Azazzi (2010) presented the number of patients showing &gt;25% improvement in VAS leg and back pain at 24-month follow-up. The difference between groups was non-significant.</w:t>
      </w:r>
    </w:p>
    <w:p w14:paraId="2862557A" w14:textId="2EF095CD" w:rsidR="00986EC1" w:rsidRPr="00986EC1" w:rsidRDefault="00986EC1" w:rsidP="00986EC1">
      <w:pPr>
        <w:keepNext/>
        <w:spacing w:before="360" w:after="120"/>
        <w:ind w:left="794" w:hanging="794"/>
        <w:rPr>
          <w:rFonts w:ascii="Arial Narrow" w:hAnsi="Arial Narrow"/>
          <w:b/>
          <w:bCs/>
          <w:sz w:val="20"/>
          <w:lang w:eastAsia="en-US"/>
        </w:rPr>
      </w:pPr>
      <w:r w:rsidRPr="00986EC1">
        <w:rPr>
          <w:rFonts w:ascii="Arial Narrow" w:hAnsi="Arial Narrow"/>
          <w:b/>
          <w:bCs/>
          <w:sz w:val="20"/>
          <w:lang w:eastAsia="en-US"/>
        </w:rPr>
        <w:t xml:space="preserve">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16</w:t>
      </w:r>
      <w:r w:rsidRPr="00986EC1">
        <w:rPr>
          <w:rFonts w:ascii="Arial Narrow" w:hAnsi="Arial Narrow"/>
          <w:b/>
          <w:bCs/>
          <w:noProof/>
          <w:sz w:val="20"/>
          <w:lang w:eastAsia="en-US"/>
        </w:rPr>
        <w:fldChar w:fldCharType="end"/>
      </w:r>
      <w:r w:rsidRPr="00986EC1">
        <w:rPr>
          <w:rFonts w:ascii="Arial Narrow" w:hAnsi="Arial Narrow"/>
          <w:b/>
          <w:bCs/>
          <w:sz w:val="20"/>
          <w:lang w:eastAsia="en-US"/>
        </w:rPr>
        <w:tab/>
        <w:t>VAS leg and back pain: IDS vs. decompression plus fusion</w:t>
      </w:r>
    </w:p>
    <w:tbl>
      <w:tblPr>
        <w:tblStyle w:val="OPTUMTableNormal"/>
        <w:tblW w:w="9067" w:type="dxa"/>
        <w:tblLook w:val="04A0" w:firstRow="1" w:lastRow="0" w:firstColumn="1" w:lastColumn="0" w:noHBand="0" w:noVBand="1"/>
        <w:tblDescription w:val="VAS leg and back pain: IDS vs. decompression plus fusion"/>
      </w:tblPr>
      <w:tblGrid>
        <w:gridCol w:w="988"/>
        <w:gridCol w:w="425"/>
        <w:gridCol w:w="1134"/>
        <w:gridCol w:w="1559"/>
        <w:gridCol w:w="1701"/>
        <w:gridCol w:w="1701"/>
        <w:gridCol w:w="1559"/>
      </w:tblGrid>
      <w:tr w:rsidR="00986EC1" w:rsidRPr="00986EC1" w14:paraId="0AD8AA85" w14:textId="77777777" w:rsidTr="005917C2">
        <w:trPr>
          <w:cnfStyle w:val="100000000000" w:firstRow="1" w:lastRow="0" w:firstColumn="0" w:lastColumn="0" w:oddVBand="0" w:evenVBand="0" w:oddHBand="0" w:evenHBand="0" w:firstRowFirstColumn="0" w:firstRowLastColumn="0" w:lastRowFirstColumn="0" w:lastRowLastColumn="0"/>
          <w:trHeight w:val="259"/>
        </w:trPr>
        <w:tc>
          <w:tcPr>
            <w:tcW w:w="988" w:type="dxa"/>
            <w:vMerge w:val="restart"/>
            <w:shd w:val="clear" w:color="auto" w:fill="auto"/>
            <w:hideMark/>
          </w:tcPr>
          <w:p w14:paraId="5F75F479"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Trial ID</w:t>
            </w:r>
          </w:p>
        </w:tc>
        <w:tc>
          <w:tcPr>
            <w:tcW w:w="1559" w:type="dxa"/>
            <w:gridSpan w:val="2"/>
            <w:shd w:val="clear" w:color="auto" w:fill="auto"/>
            <w:hideMark/>
          </w:tcPr>
          <w:p w14:paraId="4B30A6EA"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IDS</w:t>
            </w:r>
          </w:p>
        </w:tc>
        <w:tc>
          <w:tcPr>
            <w:tcW w:w="1559" w:type="dxa"/>
            <w:shd w:val="clear" w:color="auto" w:fill="auto"/>
            <w:hideMark/>
          </w:tcPr>
          <w:p w14:paraId="24803A7F"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D + F</w:t>
            </w:r>
          </w:p>
        </w:tc>
        <w:tc>
          <w:tcPr>
            <w:tcW w:w="1701" w:type="dxa"/>
            <w:vMerge w:val="restart"/>
            <w:shd w:val="clear" w:color="auto" w:fill="auto"/>
            <w:hideMark/>
          </w:tcPr>
          <w:p w14:paraId="6650EBA8"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OR [95% CI]</w:t>
            </w:r>
          </w:p>
          <w:p w14:paraId="496D7DD9"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&gt; 1 favours IDS</w:t>
            </w:r>
          </w:p>
        </w:tc>
        <w:tc>
          <w:tcPr>
            <w:tcW w:w="1701" w:type="dxa"/>
            <w:vMerge w:val="restart"/>
            <w:shd w:val="clear" w:color="auto" w:fill="auto"/>
            <w:hideMark/>
          </w:tcPr>
          <w:p w14:paraId="0881C44E"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RR [95% CI]</w:t>
            </w:r>
          </w:p>
          <w:p w14:paraId="755488F9"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&gt; 1 favours IDS</w:t>
            </w:r>
          </w:p>
        </w:tc>
        <w:tc>
          <w:tcPr>
            <w:tcW w:w="1559" w:type="dxa"/>
            <w:vMerge w:val="restart"/>
            <w:shd w:val="clear" w:color="auto" w:fill="auto"/>
            <w:hideMark/>
          </w:tcPr>
          <w:p w14:paraId="4717B1D7"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RD [95% CI]</w:t>
            </w:r>
          </w:p>
          <w:p w14:paraId="730E68D5"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&gt; 0 favours IDS</w:t>
            </w:r>
          </w:p>
        </w:tc>
      </w:tr>
      <w:tr w:rsidR="00986EC1" w:rsidRPr="00986EC1" w14:paraId="4062A83E" w14:textId="77777777" w:rsidTr="005917C2">
        <w:trPr>
          <w:trHeight w:val="70"/>
        </w:trPr>
        <w:tc>
          <w:tcPr>
            <w:tcW w:w="988" w:type="dxa"/>
            <w:vMerge/>
            <w:shd w:val="clear" w:color="auto" w:fill="auto"/>
            <w:vAlign w:val="center"/>
            <w:hideMark/>
          </w:tcPr>
          <w:p w14:paraId="35125C9A" w14:textId="77777777" w:rsidR="00986EC1" w:rsidRPr="00986EC1" w:rsidRDefault="00986EC1" w:rsidP="00986EC1">
            <w:pPr>
              <w:spacing w:after="40"/>
              <w:jc w:val="both"/>
              <w:rPr>
                <w:rFonts w:ascii="Arial Narrow" w:hAnsi="Arial Narrow" w:cs="Tahoma"/>
                <w:bCs/>
                <w:color w:val="0070C0"/>
                <w:sz w:val="20"/>
              </w:rPr>
            </w:pPr>
          </w:p>
        </w:tc>
        <w:tc>
          <w:tcPr>
            <w:tcW w:w="1559" w:type="dxa"/>
            <w:gridSpan w:val="2"/>
            <w:shd w:val="clear" w:color="auto" w:fill="auto"/>
            <w:hideMark/>
          </w:tcPr>
          <w:p w14:paraId="1C7740D6"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n /N (%)</w:t>
            </w:r>
          </w:p>
        </w:tc>
        <w:tc>
          <w:tcPr>
            <w:tcW w:w="1559" w:type="dxa"/>
            <w:shd w:val="clear" w:color="auto" w:fill="auto"/>
            <w:hideMark/>
          </w:tcPr>
          <w:p w14:paraId="25FF10C2"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n /N (%)</w:t>
            </w:r>
          </w:p>
        </w:tc>
        <w:tc>
          <w:tcPr>
            <w:tcW w:w="1701" w:type="dxa"/>
            <w:vMerge/>
            <w:shd w:val="clear" w:color="auto" w:fill="auto"/>
            <w:vAlign w:val="center"/>
            <w:hideMark/>
          </w:tcPr>
          <w:p w14:paraId="4532B319" w14:textId="77777777" w:rsidR="00986EC1" w:rsidRPr="00986EC1" w:rsidRDefault="00986EC1" w:rsidP="00986EC1">
            <w:pPr>
              <w:spacing w:before="120" w:after="60"/>
              <w:rPr>
                <w:rFonts w:ascii="Arial Narrow" w:eastAsia="Calibri" w:hAnsi="Arial Narrow"/>
                <w:b/>
                <w:sz w:val="20"/>
                <w:szCs w:val="22"/>
                <w:lang w:eastAsia="en-US"/>
              </w:rPr>
            </w:pPr>
          </w:p>
        </w:tc>
        <w:tc>
          <w:tcPr>
            <w:tcW w:w="1701" w:type="dxa"/>
            <w:vMerge/>
            <w:shd w:val="clear" w:color="auto" w:fill="auto"/>
            <w:vAlign w:val="center"/>
            <w:hideMark/>
          </w:tcPr>
          <w:p w14:paraId="450DB101" w14:textId="77777777" w:rsidR="00986EC1" w:rsidRPr="00986EC1" w:rsidRDefault="00986EC1" w:rsidP="00986EC1">
            <w:pPr>
              <w:spacing w:before="120" w:after="60"/>
              <w:rPr>
                <w:rFonts w:ascii="Arial Narrow" w:eastAsia="Calibri" w:hAnsi="Arial Narrow"/>
                <w:b/>
                <w:sz w:val="20"/>
                <w:szCs w:val="22"/>
                <w:lang w:eastAsia="en-US"/>
              </w:rPr>
            </w:pPr>
          </w:p>
        </w:tc>
        <w:tc>
          <w:tcPr>
            <w:tcW w:w="1559" w:type="dxa"/>
            <w:vMerge/>
            <w:shd w:val="clear" w:color="auto" w:fill="auto"/>
            <w:vAlign w:val="center"/>
            <w:hideMark/>
          </w:tcPr>
          <w:p w14:paraId="394C54EC" w14:textId="77777777" w:rsidR="00986EC1" w:rsidRPr="00986EC1" w:rsidRDefault="00986EC1" w:rsidP="00986EC1">
            <w:pPr>
              <w:spacing w:before="120" w:after="60"/>
              <w:rPr>
                <w:rFonts w:ascii="Arial Narrow" w:eastAsia="Calibri" w:hAnsi="Arial Narrow"/>
                <w:b/>
                <w:sz w:val="20"/>
                <w:szCs w:val="22"/>
                <w:lang w:eastAsia="en-US"/>
              </w:rPr>
            </w:pPr>
          </w:p>
        </w:tc>
      </w:tr>
      <w:tr w:rsidR="00986EC1" w:rsidRPr="00986EC1" w14:paraId="4F3847B5" w14:textId="77777777" w:rsidTr="005917C2">
        <w:trPr>
          <w:trHeight w:val="259"/>
        </w:trPr>
        <w:tc>
          <w:tcPr>
            <w:tcW w:w="1413" w:type="dxa"/>
            <w:gridSpan w:val="2"/>
            <w:tcBorders>
              <w:right w:val="single" w:sz="4" w:space="0" w:color="D9D9D9"/>
            </w:tcBorders>
            <w:shd w:val="clear" w:color="auto" w:fill="auto"/>
          </w:tcPr>
          <w:p w14:paraId="23DD2971" w14:textId="77777777" w:rsidR="00986EC1" w:rsidRPr="00986EC1" w:rsidRDefault="00986EC1" w:rsidP="00986EC1">
            <w:pPr>
              <w:keepNext/>
              <w:rPr>
                <w:rFonts w:ascii="Arial Narrow" w:eastAsia="SimSun" w:hAnsi="Arial Narrow"/>
                <w:b/>
                <w:sz w:val="20"/>
                <w:szCs w:val="24"/>
                <w:lang w:val="en-US"/>
              </w:rPr>
            </w:pPr>
            <w:r w:rsidRPr="00986EC1">
              <w:rPr>
                <w:rFonts w:ascii="Arial Narrow" w:eastAsia="SimSun" w:hAnsi="Arial Narrow"/>
                <w:b/>
                <w:sz w:val="20"/>
                <w:szCs w:val="24"/>
                <w:lang w:val="en-US"/>
              </w:rPr>
              <w:t>Back pain</w:t>
            </w:r>
          </w:p>
        </w:tc>
        <w:tc>
          <w:tcPr>
            <w:tcW w:w="1134" w:type="dxa"/>
            <w:tcBorders>
              <w:left w:val="single" w:sz="4" w:space="0" w:color="D9D9D9"/>
              <w:right w:val="single" w:sz="4" w:space="0" w:color="D9D9D9"/>
            </w:tcBorders>
            <w:shd w:val="clear" w:color="auto" w:fill="auto"/>
          </w:tcPr>
          <w:p w14:paraId="768BA27F" w14:textId="77777777" w:rsidR="00986EC1" w:rsidRPr="00986EC1" w:rsidRDefault="00986EC1" w:rsidP="00986EC1">
            <w:pPr>
              <w:keepNext/>
              <w:rPr>
                <w:rFonts w:ascii="Arial Narrow" w:eastAsia="SimSun" w:hAnsi="Arial Narrow"/>
                <w:b/>
                <w:sz w:val="20"/>
                <w:szCs w:val="24"/>
                <w:lang w:val="en-US"/>
              </w:rPr>
            </w:pPr>
          </w:p>
        </w:tc>
        <w:tc>
          <w:tcPr>
            <w:tcW w:w="1559" w:type="dxa"/>
            <w:tcBorders>
              <w:left w:val="single" w:sz="4" w:space="0" w:color="D9D9D9"/>
              <w:right w:val="single" w:sz="4" w:space="0" w:color="D9D9D9"/>
            </w:tcBorders>
            <w:shd w:val="clear" w:color="auto" w:fill="auto"/>
          </w:tcPr>
          <w:p w14:paraId="65E5E928" w14:textId="77777777" w:rsidR="00986EC1" w:rsidRPr="00986EC1" w:rsidRDefault="00986EC1" w:rsidP="00986EC1">
            <w:pPr>
              <w:keepNext/>
              <w:rPr>
                <w:rFonts w:ascii="Arial Narrow" w:eastAsia="SimSun" w:hAnsi="Arial Narrow"/>
                <w:b/>
                <w:sz w:val="20"/>
                <w:szCs w:val="24"/>
                <w:lang w:val="en-US"/>
              </w:rPr>
            </w:pPr>
          </w:p>
        </w:tc>
        <w:tc>
          <w:tcPr>
            <w:tcW w:w="1701" w:type="dxa"/>
            <w:tcBorders>
              <w:left w:val="single" w:sz="4" w:space="0" w:color="D9D9D9"/>
              <w:right w:val="single" w:sz="4" w:space="0" w:color="D9D9D9"/>
            </w:tcBorders>
            <w:shd w:val="clear" w:color="auto" w:fill="auto"/>
          </w:tcPr>
          <w:p w14:paraId="402E89A9" w14:textId="77777777" w:rsidR="00986EC1" w:rsidRPr="00986EC1" w:rsidRDefault="00986EC1" w:rsidP="00986EC1">
            <w:pPr>
              <w:keepNext/>
              <w:rPr>
                <w:rFonts w:ascii="Arial Narrow" w:eastAsia="SimSun" w:hAnsi="Arial Narrow"/>
                <w:b/>
                <w:sz w:val="20"/>
                <w:szCs w:val="24"/>
                <w:lang w:val="en-US"/>
              </w:rPr>
            </w:pPr>
          </w:p>
        </w:tc>
        <w:tc>
          <w:tcPr>
            <w:tcW w:w="1701" w:type="dxa"/>
            <w:tcBorders>
              <w:left w:val="single" w:sz="4" w:space="0" w:color="D9D9D9"/>
              <w:right w:val="single" w:sz="4" w:space="0" w:color="D9D9D9"/>
            </w:tcBorders>
            <w:shd w:val="clear" w:color="auto" w:fill="auto"/>
          </w:tcPr>
          <w:p w14:paraId="5463E1F9" w14:textId="77777777" w:rsidR="00986EC1" w:rsidRPr="00986EC1" w:rsidRDefault="00986EC1" w:rsidP="00986EC1">
            <w:pPr>
              <w:keepNext/>
              <w:rPr>
                <w:rFonts w:ascii="Arial Narrow" w:eastAsia="SimSun" w:hAnsi="Arial Narrow"/>
                <w:b/>
                <w:sz w:val="20"/>
                <w:szCs w:val="24"/>
                <w:lang w:val="en-US"/>
              </w:rPr>
            </w:pPr>
          </w:p>
        </w:tc>
        <w:tc>
          <w:tcPr>
            <w:tcW w:w="1559" w:type="dxa"/>
            <w:tcBorders>
              <w:left w:val="single" w:sz="4" w:space="0" w:color="D9D9D9"/>
            </w:tcBorders>
            <w:shd w:val="clear" w:color="auto" w:fill="auto"/>
          </w:tcPr>
          <w:p w14:paraId="16E0F589" w14:textId="77777777" w:rsidR="00986EC1" w:rsidRPr="00986EC1" w:rsidRDefault="00986EC1" w:rsidP="00986EC1">
            <w:pPr>
              <w:keepNext/>
              <w:rPr>
                <w:rFonts w:ascii="Arial Narrow" w:eastAsia="SimSun" w:hAnsi="Arial Narrow"/>
                <w:b/>
                <w:sz w:val="20"/>
                <w:szCs w:val="24"/>
                <w:lang w:val="en-US"/>
              </w:rPr>
            </w:pPr>
          </w:p>
        </w:tc>
      </w:tr>
      <w:tr w:rsidR="00986EC1" w:rsidRPr="00986EC1" w14:paraId="4705C8AE" w14:textId="77777777" w:rsidTr="005917C2">
        <w:trPr>
          <w:trHeight w:val="259"/>
        </w:trPr>
        <w:tc>
          <w:tcPr>
            <w:tcW w:w="988" w:type="dxa"/>
            <w:shd w:val="clear" w:color="auto" w:fill="auto"/>
          </w:tcPr>
          <w:p w14:paraId="3D23DAC6"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Azazzi (2010)</w:t>
            </w:r>
          </w:p>
        </w:tc>
        <w:tc>
          <w:tcPr>
            <w:tcW w:w="1559" w:type="dxa"/>
            <w:gridSpan w:val="2"/>
            <w:shd w:val="clear" w:color="auto" w:fill="auto"/>
          </w:tcPr>
          <w:p w14:paraId="238CA69D"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27/30 (90.0%)</w:t>
            </w:r>
          </w:p>
        </w:tc>
        <w:tc>
          <w:tcPr>
            <w:tcW w:w="1559" w:type="dxa"/>
            <w:shd w:val="clear" w:color="auto" w:fill="auto"/>
          </w:tcPr>
          <w:p w14:paraId="65E08FDA"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24/30 (80.0%)</w:t>
            </w:r>
          </w:p>
        </w:tc>
        <w:tc>
          <w:tcPr>
            <w:tcW w:w="1701" w:type="dxa"/>
            <w:shd w:val="clear" w:color="auto" w:fill="auto"/>
          </w:tcPr>
          <w:p w14:paraId="72FB8E96" w14:textId="77777777" w:rsidR="00986EC1" w:rsidRPr="00986EC1" w:rsidRDefault="00986EC1" w:rsidP="00986EC1">
            <w:pPr>
              <w:spacing w:after="40"/>
              <w:rPr>
                <w:rFonts w:ascii="Arial Narrow" w:hAnsi="Arial Narrow" w:cs="Tahoma"/>
                <w:sz w:val="20"/>
              </w:rPr>
            </w:pPr>
            <w:r w:rsidRPr="00986EC1">
              <w:rPr>
                <w:rFonts w:ascii="Arial Narrow" w:hAnsi="Arial Narrow" w:cs="Tahoma"/>
                <w:sz w:val="20"/>
              </w:rPr>
              <w:t>2.25 [0.51, 9.99], p=0.29</w:t>
            </w:r>
          </w:p>
        </w:tc>
        <w:tc>
          <w:tcPr>
            <w:tcW w:w="1701" w:type="dxa"/>
            <w:shd w:val="clear" w:color="auto" w:fill="auto"/>
          </w:tcPr>
          <w:p w14:paraId="3799FC04" w14:textId="77777777" w:rsidR="00986EC1" w:rsidRPr="00986EC1" w:rsidRDefault="00986EC1" w:rsidP="00986EC1">
            <w:pPr>
              <w:spacing w:after="40"/>
              <w:rPr>
                <w:rFonts w:ascii="Arial Narrow" w:hAnsi="Arial Narrow" w:cs="Tahoma"/>
                <w:sz w:val="20"/>
              </w:rPr>
            </w:pPr>
            <w:r w:rsidRPr="00986EC1">
              <w:rPr>
                <w:rFonts w:ascii="Arial Narrow" w:hAnsi="Arial Narrow" w:cs="Tahoma"/>
                <w:sz w:val="20"/>
              </w:rPr>
              <w:t>0.12 [0.91, 1.39], p=0.28</w:t>
            </w:r>
          </w:p>
        </w:tc>
        <w:tc>
          <w:tcPr>
            <w:tcW w:w="1559" w:type="dxa"/>
            <w:shd w:val="clear" w:color="auto" w:fill="auto"/>
          </w:tcPr>
          <w:p w14:paraId="2965F21B" w14:textId="77777777" w:rsidR="00986EC1" w:rsidRPr="00986EC1" w:rsidRDefault="00986EC1" w:rsidP="00986EC1">
            <w:pPr>
              <w:spacing w:after="40"/>
              <w:rPr>
                <w:rFonts w:ascii="Arial Narrow" w:hAnsi="Arial Narrow" w:cs="Tahoma"/>
                <w:sz w:val="20"/>
              </w:rPr>
            </w:pPr>
            <w:r w:rsidRPr="00986EC1">
              <w:rPr>
                <w:rFonts w:ascii="Arial Narrow" w:hAnsi="Arial Narrow" w:cs="Tahoma"/>
                <w:sz w:val="20"/>
              </w:rPr>
              <w:t>0.10 [-0.08, 0.28], p=0.27</w:t>
            </w:r>
          </w:p>
        </w:tc>
      </w:tr>
      <w:tr w:rsidR="00986EC1" w:rsidRPr="00986EC1" w14:paraId="0E5F5845" w14:textId="77777777" w:rsidTr="005917C2">
        <w:trPr>
          <w:trHeight w:val="259"/>
        </w:trPr>
        <w:tc>
          <w:tcPr>
            <w:tcW w:w="1413" w:type="dxa"/>
            <w:gridSpan w:val="2"/>
            <w:tcBorders>
              <w:right w:val="single" w:sz="4" w:space="0" w:color="D9D9D9"/>
            </w:tcBorders>
            <w:shd w:val="clear" w:color="auto" w:fill="auto"/>
          </w:tcPr>
          <w:p w14:paraId="43F09101" w14:textId="77777777" w:rsidR="00986EC1" w:rsidRPr="00986EC1" w:rsidRDefault="00986EC1" w:rsidP="00986EC1">
            <w:pPr>
              <w:keepNext/>
              <w:rPr>
                <w:rFonts w:ascii="Arial Narrow" w:eastAsia="SimSun" w:hAnsi="Arial Narrow"/>
                <w:b/>
                <w:sz w:val="20"/>
                <w:szCs w:val="24"/>
                <w:lang w:val="en-US"/>
              </w:rPr>
            </w:pPr>
            <w:r w:rsidRPr="00986EC1">
              <w:rPr>
                <w:rFonts w:ascii="Arial Narrow" w:eastAsia="SimSun" w:hAnsi="Arial Narrow"/>
                <w:b/>
                <w:sz w:val="20"/>
                <w:szCs w:val="24"/>
                <w:lang w:val="en-US"/>
              </w:rPr>
              <w:t>Leg pain</w:t>
            </w:r>
          </w:p>
        </w:tc>
        <w:tc>
          <w:tcPr>
            <w:tcW w:w="1134" w:type="dxa"/>
            <w:tcBorders>
              <w:left w:val="single" w:sz="4" w:space="0" w:color="D9D9D9"/>
              <w:right w:val="single" w:sz="4" w:space="0" w:color="D9D9D9"/>
            </w:tcBorders>
            <w:shd w:val="clear" w:color="auto" w:fill="auto"/>
          </w:tcPr>
          <w:p w14:paraId="7EF7AC60" w14:textId="77777777" w:rsidR="00986EC1" w:rsidRPr="00986EC1" w:rsidRDefault="00986EC1" w:rsidP="00986EC1">
            <w:pPr>
              <w:keepNext/>
              <w:rPr>
                <w:rFonts w:ascii="Arial Narrow" w:eastAsia="SimSun" w:hAnsi="Arial Narrow"/>
                <w:b/>
                <w:sz w:val="20"/>
                <w:szCs w:val="24"/>
                <w:lang w:val="en-US"/>
              </w:rPr>
            </w:pPr>
          </w:p>
        </w:tc>
        <w:tc>
          <w:tcPr>
            <w:tcW w:w="1559" w:type="dxa"/>
            <w:tcBorders>
              <w:left w:val="single" w:sz="4" w:space="0" w:color="D9D9D9"/>
              <w:right w:val="single" w:sz="4" w:space="0" w:color="D9D9D9"/>
            </w:tcBorders>
            <w:shd w:val="clear" w:color="auto" w:fill="auto"/>
          </w:tcPr>
          <w:p w14:paraId="7E9CD6FB" w14:textId="77777777" w:rsidR="00986EC1" w:rsidRPr="00986EC1" w:rsidRDefault="00986EC1" w:rsidP="00986EC1">
            <w:pPr>
              <w:keepNext/>
              <w:rPr>
                <w:rFonts w:ascii="Arial Narrow" w:eastAsia="SimSun" w:hAnsi="Arial Narrow"/>
                <w:b/>
                <w:sz w:val="20"/>
                <w:szCs w:val="24"/>
                <w:lang w:val="en-US"/>
              </w:rPr>
            </w:pPr>
          </w:p>
        </w:tc>
        <w:tc>
          <w:tcPr>
            <w:tcW w:w="1701" w:type="dxa"/>
            <w:tcBorders>
              <w:left w:val="single" w:sz="4" w:space="0" w:color="D9D9D9"/>
              <w:right w:val="single" w:sz="4" w:space="0" w:color="D9D9D9"/>
            </w:tcBorders>
            <w:shd w:val="clear" w:color="auto" w:fill="auto"/>
          </w:tcPr>
          <w:p w14:paraId="61F061FA" w14:textId="77777777" w:rsidR="00986EC1" w:rsidRPr="00986EC1" w:rsidRDefault="00986EC1" w:rsidP="00986EC1">
            <w:pPr>
              <w:keepNext/>
              <w:rPr>
                <w:rFonts w:ascii="Arial Narrow" w:eastAsia="SimSun" w:hAnsi="Arial Narrow"/>
                <w:b/>
                <w:sz w:val="20"/>
                <w:szCs w:val="24"/>
                <w:lang w:val="en-US"/>
              </w:rPr>
            </w:pPr>
          </w:p>
        </w:tc>
        <w:tc>
          <w:tcPr>
            <w:tcW w:w="1701" w:type="dxa"/>
            <w:tcBorders>
              <w:left w:val="single" w:sz="4" w:space="0" w:color="D9D9D9"/>
              <w:right w:val="single" w:sz="4" w:space="0" w:color="D9D9D9"/>
            </w:tcBorders>
            <w:shd w:val="clear" w:color="auto" w:fill="auto"/>
          </w:tcPr>
          <w:p w14:paraId="5DEBAB54" w14:textId="77777777" w:rsidR="00986EC1" w:rsidRPr="00986EC1" w:rsidRDefault="00986EC1" w:rsidP="00986EC1">
            <w:pPr>
              <w:keepNext/>
              <w:rPr>
                <w:rFonts w:ascii="Arial Narrow" w:eastAsia="SimSun" w:hAnsi="Arial Narrow"/>
                <w:b/>
                <w:sz w:val="20"/>
                <w:szCs w:val="24"/>
                <w:lang w:val="en-US"/>
              </w:rPr>
            </w:pPr>
          </w:p>
        </w:tc>
        <w:tc>
          <w:tcPr>
            <w:tcW w:w="1559" w:type="dxa"/>
            <w:tcBorders>
              <w:left w:val="single" w:sz="4" w:space="0" w:color="D9D9D9"/>
            </w:tcBorders>
            <w:shd w:val="clear" w:color="auto" w:fill="auto"/>
          </w:tcPr>
          <w:p w14:paraId="3518AADB" w14:textId="77777777" w:rsidR="00986EC1" w:rsidRPr="00986EC1" w:rsidRDefault="00986EC1" w:rsidP="00986EC1">
            <w:pPr>
              <w:keepNext/>
              <w:rPr>
                <w:rFonts w:ascii="Arial Narrow" w:eastAsia="SimSun" w:hAnsi="Arial Narrow"/>
                <w:b/>
                <w:sz w:val="20"/>
                <w:szCs w:val="24"/>
                <w:lang w:val="en-US"/>
              </w:rPr>
            </w:pPr>
          </w:p>
        </w:tc>
      </w:tr>
      <w:tr w:rsidR="00986EC1" w:rsidRPr="00986EC1" w14:paraId="376FCF9C" w14:textId="77777777" w:rsidTr="005917C2">
        <w:trPr>
          <w:trHeight w:val="259"/>
        </w:trPr>
        <w:tc>
          <w:tcPr>
            <w:tcW w:w="988" w:type="dxa"/>
            <w:shd w:val="clear" w:color="auto" w:fill="auto"/>
          </w:tcPr>
          <w:p w14:paraId="7ACA1831"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Azazzi (2010)</w:t>
            </w:r>
          </w:p>
        </w:tc>
        <w:tc>
          <w:tcPr>
            <w:tcW w:w="1559" w:type="dxa"/>
            <w:gridSpan w:val="2"/>
            <w:shd w:val="clear" w:color="auto" w:fill="auto"/>
          </w:tcPr>
          <w:p w14:paraId="360F1ACB"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26/30 (86.7%)</w:t>
            </w:r>
          </w:p>
        </w:tc>
        <w:tc>
          <w:tcPr>
            <w:tcW w:w="1559" w:type="dxa"/>
            <w:shd w:val="clear" w:color="auto" w:fill="auto"/>
          </w:tcPr>
          <w:p w14:paraId="7C83B57C"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23/30 (76.7%)</w:t>
            </w:r>
          </w:p>
        </w:tc>
        <w:tc>
          <w:tcPr>
            <w:tcW w:w="1701" w:type="dxa"/>
            <w:shd w:val="clear" w:color="auto" w:fill="auto"/>
          </w:tcPr>
          <w:p w14:paraId="63D64AC9" w14:textId="77777777" w:rsidR="00986EC1" w:rsidRPr="00986EC1" w:rsidRDefault="00986EC1" w:rsidP="00986EC1">
            <w:pPr>
              <w:spacing w:after="40"/>
              <w:rPr>
                <w:rFonts w:ascii="Arial Narrow" w:hAnsi="Arial Narrow" w:cs="Tahoma"/>
                <w:sz w:val="20"/>
              </w:rPr>
            </w:pPr>
            <w:r w:rsidRPr="00986EC1">
              <w:rPr>
                <w:rFonts w:ascii="Arial Narrow" w:hAnsi="Arial Narrow" w:cs="Tahoma"/>
                <w:sz w:val="20"/>
              </w:rPr>
              <w:t>1.98 [0.51, 7.64], p=0.32</w:t>
            </w:r>
          </w:p>
        </w:tc>
        <w:tc>
          <w:tcPr>
            <w:tcW w:w="1701" w:type="dxa"/>
            <w:shd w:val="clear" w:color="auto" w:fill="auto"/>
          </w:tcPr>
          <w:p w14:paraId="2EFFDADC" w14:textId="77777777" w:rsidR="00986EC1" w:rsidRPr="00986EC1" w:rsidRDefault="00986EC1" w:rsidP="00986EC1">
            <w:pPr>
              <w:spacing w:after="40"/>
              <w:rPr>
                <w:rFonts w:ascii="Arial Narrow" w:hAnsi="Arial Narrow" w:cs="Tahoma"/>
                <w:sz w:val="20"/>
              </w:rPr>
            </w:pPr>
            <w:r w:rsidRPr="00986EC1">
              <w:rPr>
                <w:rFonts w:ascii="Arial Narrow" w:hAnsi="Arial Narrow" w:cs="Tahoma"/>
                <w:sz w:val="20"/>
              </w:rPr>
              <w:t>1.13 [0.89, 1.44], p=0.32</w:t>
            </w:r>
          </w:p>
        </w:tc>
        <w:tc>
          <w:tcPr>
            <w:tcW w:w="1559" w:type="dxa"/>
            <w:shd w:val="clear" w:color="auto" w:fill="auto"/>
          </w:tcPr>
          <w:p w14:paraId="287BFB98" w14:textId="77777777" w:rsidR="00986EC1" w:rsidRPr="00986EC1" w:rsidRDefault="00986EC1" w:rsidP="00986EC1">
            <w:pPr>
              <w:spacing w:after="40"/>
              <w:rPr>
                <w:rFonts w:ascii="Arial Narrow" w:hAnsi="Arial Narrow" w:cs="Tahoma"/>
                <w:sz w:val="20"/>
              </w:rPr>
            </w:pPr>
            <w:r w:rsidRPr="00986EC1">
              <w:rPr>
                <w:rFonts w:ascii="Arial Narrow" w:hAnsi="Arial Narrow" w:cs="Tahoma"/>
                <w:sz w:val="20"/>
              </w:rPr>
              <w:t>-0.02 [-0.10, 0.30], p=0.31</w:t>
            </w:r>
          </w:p>
        </w:tc>
      </w:tr>
    </w:tbl>
    <w:p w14:paraId="577C61E5" w14:textId="204FB3EA" w:rsidR="00986EC1" w:rsidRDefault="00986EC1" w:rsidP="00B23D55">
      <w:pPr>
        <w:pStyle w:val="Tablenotes1"/>
      </w:pPr>
      <w:bookmarkStart w:id="60" w:name="_Hlk79763440"/>
      <w:r w:rsidRPr="00986EC1">
        <w:t>CI, confidence interval; D+F, decompression plus fusion; IDS, interspinous decompression spacer; OR, odds ratio; RD, risk difference; RR, relative risk;</w:t>
      </w:r>
      <w:r w:rsidRPr="00986EC1">
        <w:rPr>
          <w:iCs/>
        </w:rPr>
        <w:t xml:space="preserve"> VAS, visual analogue scale</w:t>
      </w:r>
      <w:r w:rsidRPr="00986EC1">
        <w:t>.</w:t>
      </w:r>
    </w:p>
    <w:p w14:paraId="2CB5DC7E" w14:textId="47B3980A" w:rsidR="000236D4" w:rsidRPr="00986EC1" w:rsidRDefault="000236D4" w:rsidP="00B23D55">
      <w:pPr>
        <w:pStyle w:val="Tablenotes1"/>
      </w:pPr>
      <w:r>
        <w:t>Source: Commentary, Table 16</w:t>
      </w:r>
    </w:p>
    <w:bookmarkEnd w:id="60"/>
    <w:p w14:paraId="59C4804E" w14:textId="77777777" w:rsidR="00986EC1" w:rsidRPr="00986EC1" w:rsidRDefault="00986EC1" w:rsidP="00986EC1">
      <w:pPr>
        <w:keepNext/>
        <w:keepLines/>
        <w:tabs>
          <w:tab w:val="left" w:pos="851"/>
        </w:tabs>
        <w:spacing w:before="360" w:after="200"/>
        <w:outlineLvl w:val="3"/>
        <w:rPr>
          <w:rFonts w:ascii="Franklin Gothic Medium" w:eastAsia="SimSun" w:hAnsi="Franklin Gothic Medium"/>
          <w:i/>
          <w:szCs w:val="24"/>
          <w:lang w:eastAsia="en-US"/>
        </w:rPr>
      </w:pPr>
      <w:r w:rsidRPr="00986EC1">
        <w:rPr>
          <w:rFonts w:ascii="Franklin Gothic Medium" w:eastAsia="SimSun" w:hAnsi="Franklin Gothic Medium"/>
          <w:i/>
          <w:szCs w:val="24"/>
          <w:lang w:eastAsia="en-US"/>
        </w:rPr>
        <w:t>Summary</w:t>
      </w:r>
    </w:p>
    <w:p w14:paraId="627B22AD"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IDS did not differ from decompression plus fusion on the outcomes reported; however, the evidence for this comparison was limited. Reoperation rates were not reported.</w:t>
      </w:r>
    </w:p>
    <w:p w14:paraId="28EE27BB" w14:textId="77777777" w:rsidR="00986EC1" w:rsidRPr="00986EC1" w:rsidRDefault="00986EC1" w:rsidP="00986EC1">
      <w:pPr>
        <w:keepNext/>
        <w:keepLines/>
        <w:tabs>
          <w:tab w:val="left" w:pos="851"/>
        </w:tabs>
        <w:spacing w:before="360" w:after="200"/>
        <w:outlineLvl w:val="2"/>
        <w:rPr>
          <w:rFonts w:ascii="Franklin Gothic Medium" w:eastAsia="SimSun" w:hAnsi="Franklin Gothic Medium"/>
          <w:szCs w:val="24"/>
          <w:lang w:eastAsia="en-US"/>
        </w:rPr>
      </w:pPr>
      <w:r w:rsidRPr="00986EC1">
        <w:rPr>
          <w:rFonts w:ascii="Franklin Gothic Medium" w:eastAsia="SimSun" w:hAnsi="Franklin Gothic Medium"/>
          <w:szCs w:val="24"/>
          <w:lang w:eastAsia="en-US"/>
        </w:rPr>
        <w:t>IDS (Superion) versus IDS (X-STOP)</w:t>
      </w:r>
    </w:p>
    <w:p w14:paraId="53770574"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Superion IDE study reported on ‘composite clinical success’ (CCS) as an endpoint; this was a composite of clinical efficacy (ZCQ success), absence of subsequent treatments (e.g., epidurals, rhizotomy, and spinal cord stimulators), neurological success, safety (absence of device revision or removal), and absence of implant or procedure-related complications (absence of dislodgement, migration, spinous process fracture, or serious device-related adverse events).</w:t>
      </w:r>
    </w:p>
    <w:p w14:paraId="181908C9" w14:textId="2F9C19B0"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pre-specified non-inferiority margin was 10% for the overall subject success rate. Non-inferiority of Superion was established compared to X-STOP in the modified intention-to-treat (mITT) cohort with rates of 52% and 50% (with a Bayesian Posterior Probability &gt; 0.958), respectively. The four components also demonstrated non-</w:t>
      </w:r>
      <w:r w:rsidRPr="00DC2C0E">
        <w:rPr>
          <w:rFonts w:ascii="Franklin Gothic Book" w:eastAsia="Calibri" w:hAnsi="Franklin Gothic Book"/>
          <w:sz w:val="22"/>
        </w:rPr>
        <w:t xml:space="preserve">inferiority </w:t>
      </w:r>
      <w:r w:rsidRPr="00BB3E71">
        <w:rPr>
          <w:rFonts w:eastAsia="Calibri"/>
        </w:rPr>
        <w:t>(</w:t>
      </w:r>
      <w:r w:rsidRPr="00DC2C0E">
        <w:rPr>
          <w:rFonts w:ascii="Franklin Gothic Book" w:eastAsia="Calibri" w:hAnsi="Franklin Gothic Book"/>
          <w:sz w:val="22"/>
        </w:rPr>
        <w:fldChar w:fldCharType="begin"/>
      </w:r>
      <w:r w:rsidRPr="00DC2C0E">
        <w:rPr>
          <w:rFonts w:ascii="Franklin Gothic Book" w:eastAsia="Calibri" w:hAnsi="Franklin Gothic Book"/>
          <w:sz w:val="22"/>
        </w:rPr>
        <w:instrText xml:space="preserve"> REF _Ref72310773 \h </w:instrText>
      </w:r>
      <w:r w:rsidR="003C6757" w:rsidRPr="00DC2C0E">
        <w:rPr>
          <w:rFonts w:ascii="Franklin Gothic Book" w:eastAsia="Calibri" w:hAnsi="Franklin Gothic Book"/>
          <w:sz w:val="22"/>
        </w:rPr>
        <w:instrText xml:space="preserve"> \* MERGEFORMAT </w:instrText>
      </w:r>
      <w:r w:rsidRPr="00DC2C0E">
        <w:rPr>
          <w:rFonts w:ascii="Franklin Gothic Book" w:eastAsia="Calibri" w:hAnsi="Franklin Gothic Book"/>
          <w:sz w:val="22"/>
        </w:rPr>
      </w:r>
      <w:r w:rsidRPr="00DC2C0E">
        <w:rPr>
          <w:rFonts w:ascii="Franklin Gothic Book" w:eastAsia="Calibri" w:hAnsi="Franklin Gothic Book"/>
          <w:sz w:val="22"/>
        </w:rPr>
        <w:fldChar w:fldCharType="separate"/>
      </w:r>
      <w:r w:rsidR="00EE4CB3" w:rsidRPr="00DC2C0E">
        <w:rPr>
          <w:rFonts w:ascii="Franklin Gothic Book" w:hAnsi="Franklin Gothic Book"/>
          <w:sz w:val="22"/>
        </w:rPr>
        <w:t>Table 17</w:t>
      </w:r>
      <w:r w:rsidRPr="00DC2C0E">
        <w:rPr>
          <w:rFonts w:ascii="Franklin Gothic Book" w:eastAsia="Calibri" w:hAnsi="Franklin Gothic Book"/>
          <w:sz w:val="22"/>
        </w:rPr>
        <w:fldChar w:fldCharType="end"/>
      </w:r>
      <w:r w:rsidRPr="00BB3E71">
        <w:rPr>
          <w:rFonts w:eastAsia="Calibri"/>
        </w:rPr>
        <w:t>).</w:t>
      </w:r>
    </w:p>
    <w:p w14:paraId="1372D21A" w14:textId="1B109E2D" w:rsidR="00986EC1" w:rsidRPr="00986EC1" w:rsidRDefault="00986EC1" w:rsidP="00986EC1">
      <w:pPr>
        <w:keepNext/>
        <w:spacing w:before="360" w:after="120"/>
        <w:ind w:left="794" w:hanging="794"/>
        <w:rPr>
          <w:rFonts w:ascii="Arial Narrow" w:hAnsi="Arial Narrow"/>
          <w:b/>
          <w:bCs/>
          <w:sz w:val="20"/>
          <w:lang w:eastAsia="en-US"/>
        </w:rPr>
      </w:pPr>
      <w:bookmarkStart w:id="61" w:name="_Ref72310773"/>
      <w:bookmarkStart w:id="62" w:name="_Toc72940098"/>
      <w:bookmarkStart w:id="63" w:name="_Toc73546367"/>
      <w:bookmarkStart w:id="64" w:name="_Toc79654919"/>
      <w:r w:rsidRPr="00986EC1">
        <w:rPr>
          <w:rFonts w:ascii="Arial Narrow" w:hAnsi="Arial Narrow"/>
          <w:b/>
          <w:bCs/>
          <w:sz w:val="20"/>
          <w:lang w:eastAsia="en-US"/>
        </w:rPr>
        <w:t xml:space="preserve">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17</w:t>
      </w:r>
      <w:r w:rsidRPr="00986EC1">
        <w:rPr>
          <w:rFonts w:ascii="Arial Narrow" w:hAnsi="Arial Narrow"/>
          <w:b/>
          <w:bCs/>
          <w:noProof/>
          <w:sz w:val="20"/>
          <w:lang w:eastAsia="en-US"/>
        </w:rPr>
        <w:fldChar w:fldCharType="end"/>
      </w:r>
      <w:bookmarkEnd w:id="61"/>
      <w:r w:rsidRPr="00986EC1">
        <w:rPr>
          <w:rFonts w:ascii="Arial Narrow" w:hAnsi="Arial Narrow"/>
          <w:b/>
          <w:bCs/>
          <w:sz w:val="20"/>
          <w:lang w:eastAsia="en-US"/>
        </w:rPr>
        <w:tab/>
        <w:t>Composite clinical success and its components: Results of the Superion IDE study</w:t>
      </w:r>
      <w:bookmarkEnd w:id="62"/>
      <w:bookmarkEnd w:id="63"/>
      <w:bookmarkEnd w:id="64"/>
    </w:p>
    <w:tbl>
      <w:tblPr>
        <w:tblStyle w:val="OPTUMTableNormal"/>
        <w:tblW w:w="9067" w:type="dxa"/>
        <w:tblLook w:val="04A0" w:firstRow="1" w:lastRow="0" w:firstColumn="1" w:lastColumn="0" w:noHBand="0" w:noVBand="1"/>
        <w:tblDescription w:val="Composite clinical success and its components: Results of the Superion IDE study"/>
      </w:tblPr>
      <w:tblGrid>
        <w:gridCol w:w="1413"/>
        <w:gridCol w:w="1559"/>
        <w:gridCol w:w="1559"/>
        <w:gridCol w:w="1512"/>
        <w:gridCol w:w="1512"/>
        <w:gridCol w:w="1512"/>
      </w:tblGrid>
      <w:tr w:rsidR="00986EC1" w:rsidRPr="00986EC1" w14:paraId="7E4EDADC" w14:textId="77777777" w:rsidTr="005917C2">
        <w:trPr>
          <w:cnfStyle w:val="100000000000" w:firstRow="1" w:lastRow="0" w:firstColumn="0" w:lastColumn="0" w:oddVBand="0" w:evenVBand="0" w:oddHBand="0" w:evenHBand="0" w:firstRowFirstColumn="0" w:firstRowLastColumn="0" w:lastRowFirstColumn="0" w:lastRowLastColumn="0"/>
          <w:trHeight w:val="259"/>
        </w:trPr>
        <w:tc>
          <w:tcPr>
            <w:tcW w:w="1413" w:type="dxa"/>
            <w:vMerge w:val="restart"/>
            <w:shd w:val="clear" w:color="auto" w:fill="auto"/>
            <w:hideMark/>
          </w:tcPr>
          <w:p w14:paraId="36F2E312"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Outcome measure</w:t>
            </w:r>
          </w:p>
        </w:tc>
        <w:tc>
          <w:tcPr>
            <w:tcW w:w="1559" w:type="dxa"/>
            <w:shd w:val="clear" w:color="auto" w:fill="auto"/>
            <w:hideMark/>
          </w:tcPr>
          <w:p w14:paraId="1EFE0926"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 xml:space="preserve">Superion </w:t>
            </w:r>
          </w:p>
        </w:tc>
        <w:tc>
          <w:tcPr>
            <w:tcW w:w="1559" w:type="dxa"/>
            <w:shd w:val="clear" w:color="auto" w:fill="auto"/>
            <w:hideMark/>
          </w:tcPr>
          <w:p w14:paraId="12B1C7F5"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X-STOP</w:t>
            </w:r>
          </w:p>
        </w:tc>
        <w:tc>
          <w:tcPr>
            <w:tcW w:w="1512" w:type="dxa"/>
            <w:vMerge w:val="restart"/>
            <w:shd w:val="clear" w:color="auto" w:fill="auto"/>
            <w:hideMark/>
          </w:tcPr>
          <w:p w14:paraId="4950AA9D"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OR [95% CI]</w:t>
            </w:r>
          </w:p>
          <w:p w14:paraId="36AE341C"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&gt; 1 favours Superion</w:t>
            </w:r>
          </w:p>
        </w:tc>
        <w:tc>
          <w:tcPr>
            <w:tcW w:w="1512" w:type="dxa"/>
            <w:vMerge w:val="restart"/>
            <w:shd w:val="clear" w:color="auto" w:fill="auto"/>
            <w:hideMark/>
          </w:tcPr>
          <w:p w14:paraId="5411DF4D"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RR [95% CI]</w:t>
            </w:r>
          </w:p>
          <w:p w14:paraId="4CB0719A"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&gt; 1 favours Superion</w:t>
            </w:r>
          </w:p>
        </w:tc>
        <w:tc>
          <w:tcPr>
            <w:tcW w:w="1512" w:type="dxa"/>
            <w:vMerge w:val="restart"/>
            <w:shd w:val="clear" w:color="auto" w:fill="auto"/>
            <w:hideMark/>
          </w:tcPr>
          <w:p w14:paraId="2802F89D"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RD [95% CI]</w:t>
            </w:r>
          </w:p>
          <w:p w14:paraId="15086672"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&gt; 0 favours Superion</w:t>
            </w:r>
          </w:p>
        </w:tc>
      </w:tr>
      <w:tr w:rsidR="00986EC1" w:rsidRPr="00986EC1" w14:paraId="535D39F0" w14:textId="77777777" w:rsidTr="005917C2">
        <w:trPr>
          <w:trHeight w:val="70"/>
        </w:trPr>
        <w:tc>
          <w:tcPr>
            <w:tcW w:w="1413" w:type="dxa"/>
            <w:vMerge/>
            <w:shd w:val="clear" w:color="auto" w:fill="auto"/>
            <w:vAlign w:val="center"/>
            <w:hideMark/>
          </w:tcPr>
          <w:p w14:paraId="322F13A6" w14:textId="77777777" w:rsidR="00986EC1" w:rsidRPr="00986EC1" w:rsidRDefault="00986EC1" w:rsidP="00986EC1">
            <w:pPr>
              <w:spacing w:after="40"/>
              <w:rPr>
                <w:rFonts w:ascii="Arial Narrow" w:eastAsia="Calibri" w:hAnsi="Arial Narrow"/>
                <w:sz w:val="20"/>
                <w:szCs w:val="22"/>
                <w:lang w:eastAsia="en-US"/>
              </w:rPr>
            </w:pPr>
          </w:p>
        </w:tc>
        <w:tc>
          <w:tcPr>
            <w:tcW w:w="1559" w:type="dxa"/>
            <w:shd w:val="clear" w:color="auto" w:fill="auto"/>
            <w:hideMark/>
          </w:tcPr>
          <w:p w14:paraId="5311862B"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n /N (%)</w:t>
            </w:r>
          </w:p>
        </w:tc>
        <w:tc>
          <w:tcPr>
            <w:tcW w:w="1559" w:type="dxa"/>
            <w:shd w:val="clear" w:color="auto" w:fill="auto"/>
            <w:hideMark/>
          </w:tcPr>
          <w:p w14:paraId="625508AB" w14:textId="77777777" w:rsidR="00986EC1" w:rsidRPr="00986EC1" w:rsidRDefault="00986EC1" w:rsidP="00986EC1">
            <w:pPr>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n /N (%)</w:t>
            </w:r>
          </w:p>
        </w:tc>
        <w:tc>
          <w:tcPr>
            <w:tcW w:w="1512" w:type="dxa"/>
            <w:vMerge/>
            <w:shd w:val="clear" w:color="auto" w:fill="auto"/>
            <w:vAlign w:val="center"/>
            <w:hideMark/>
          </w:tcPr>
          <w:p w14:paraId="733A7B48" w14:textId="77777777" w:rsidR="00986EC1" w:rsidRPr="00986EC1" w:rsidRDefault="00986EC1" w:rsidP="00986EC1">
            <w:pPr>
              <w:spacing w:before="120" w:after="60"/>
              <w:rPr>
                <w:rFonts w:ascii="Arial Narrow" w:eastAsia="Calibri" w:hAnsi="Arial Narrow"/>
                <w:b/>
                <w:sz w:val="20"/>
                <w:szCs w:val="22"/>
                <w:lang w:eastAsia="en-US"/>
              </w:rPr>
            </w:pPr>
          </w:p>
        </w:tc>
        <w:tc>
          <w:tcPr>
            <w:tcW w:w="1512" w:type="dxa"/>
            <w:vMerge/>
            <w:shd w:val="clear" w:color="auto" w:fill="auto"/>
            <w:vAlign w:val="center"/>
            <w:hideMark/>
          </w:tcPr>
          <w:p w14:paraId="25988054" w14:textId="77777777" w:rsidR="00986EC1" w:rsidRPr="00986EC1" w:rsidRDefault="00986EC1" w:rsidP="00986EC1">
            <w:pPr>
              <w:spacing w:before="120" w:after="60"/>
              <w:rPr>
                <w:rFonts w:ascii="Arial Narrow" w:eastAsia="Calibri" w:hAnsi="Arial Narrow"/>
                <w:b/>
                <w:sz w:val="20"/>
                <w:szCs w:val="22"/>
                <w:lang w:eastAsia="en-US"/>
              </w:rPr>
            </w:pPr>
          </w:p>
        </w:tc>
        <w:tc>
          <w:tcPr>
            <w:tcW w:w="1512" w:type="dxa"/>
            <w:vMerge/>
            <w:shd w:val="clear" w:color="auto" w:fill="auto"/>
            <w:vAlign w:val="center"/>
            <w:hideMark/>
          </w:tcPr>
          <w:p w14:paraId="667FE410" w14:textId="77777777" w:rsidR="00986EC1" w:rsidRPr="00986EC1" w:rsidRDefault="00986EC1" w:rsidP="00986EC1">
            <w:pPr>
              <w:spacing w:before="120" w:after="60"/>
              <w:rPr>
                <w:rFonts w:ascii="Arial Narrow" w:eastAsia="Calibri" w:hAnsi="Arial Narrow"/>
                <w:b/>
                <w:sz w:val="20"/>
                <w:szCs w:val="22"/>
                <w:lang w:eastAsia="en-US"/>
              </w:rPr>
            </w:pPr>
          </w:p>
        </w:tc>
      </w:tr>
      <w:tr w:rsidR="00986EC1" w:rsidRPr="00986EC1" w14:paraId="506D7ECF" w14:textId="77777777" w:rsidTr="005917C2">
        <w:trPr>
          <w:trHeight w:val="259"/>
        </w:trPr>
        <w:tc>
          <w:tcPr>
            <w:tcW w:w="1413" w:type="dxa"/>
            <w:shd w:val="clear" w:color="auto" w:fill="auto"/>
          </w:tcPr>
          <w:p w14:paraId="3A849D41"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CCS </w:t>
            </w:r>
          </w:p>
        </w:tc>
        <w:tc>
          <w:tcPr>
            <w:tcW w:w="1559" w:type="dxa"/>
            <w:shd w:val="clear" w:color="auto" w:fill="auto"/>
          </w:tcPr>
          <w:p w14:paraId="0C91A421"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95/183 (51.9%)</w:t>
            </w:r>
          </w:p>
        </w:tc>
        <w:tc>
          <w:tcPr>
            <w:tcW w:w="1559" w:type="dxa"/>
            <w:shd w:val="clear" w:color="auto" w:fill="auto"/>
          </w:tcPr>
          <w:p w14:paraId="4A522D7A"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93/187 (49.7%)</w:t>
            </w:r>
          </w:p>
        </w:tc>
        <w:tc>
          <w:tcPr>
            <w:tcW w:w="1512" w:type="dxa"/>
            <w:shd w:val="clear" w:color="auto" w:fill="auto"/>
          </w:tcPr>
          <w:p w14:paraId="4DA77098"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1.09 [0.73, 1.64], p=0.67</w:t>
            </w:r>
          </w:p>
        </w:tc>
        <w:tc>
          <w:tcPr>
            <w:tcW w:w="1512" w:type="dxa"/>
            <w:shd w:val="clear" w:color="auto" w:fill="auto"/>
          </w:tcPr>
          <w:p w14:paraId="2B9757CE"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1.04 [0.85, 1.28], p=0.67</w:t>
            </w:r>
          </w:p>
        </w:tc>
        <w:tc>
          <w:tcPr>
            <w:tcW w:w="1512" w:type="dxa"/>
            <w:shd w:val="clear" w:color="auto" w:fill="auto"/>
          </w:tcPr>
          <w:p w14:paraId="6810327B"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0.02 [-0.08, 0.12], p=0.67</w:t>
            </w:r>
          </w:p>
        </w:tc>
      </w:tr>
      <w:tr w:rsidR="00986EC1" w:rsidRPr="00986EC1" w14:paraId="084CB3DE" w14:textId="77777777" w:rsidTr="005917C2">
        <w:trPr>
          <w:trHeight w:val="259"/>
        </w:trPr>
        <w:tc>
          <w:tcPr>
            <w:tcW w:w="1413" w:type="dxa"/>
            <w:shd w:val="clear" w:color="auto" w:fill="auto"/>
          </w:tcPr>
          <w:p w14:paraId="13A6BB25"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Clinical success (2/3 ZCQ Domains) </w:t>
            </w:r>
          </w:p>
        </w:tc>
        <w:tc>
          <w:tcPr>
            <w:tcW w:w="1559" w:type="dxa"/>
            <w:shd w:val="clear" w:color="auto" w:fill="auto"/>
          </w:tcPr>
          <w:p w14:paraId="7E663C26"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107/131 (81.7%)</w:t>
            </w:r>
          </w:p>
        </w:tc>
        <w:tc>
          <w:tcPr>
            <w:tcW w:w="1559" w:type="dxa"/>
            <w:shd w:val="clear" w:color="auto" w:fill="auto"/>
          </w:tcPr>
          <w:p w14:paraId="331E8979"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116/133 (87.2%)</w:t>
            </w:r>
          </w:p>
        </w:tc>
        <w:tc>
          <w:tcPr>
            <w:tcW w:w="1512" w:type="dxa"/>
            <w:shd w:val="clear" w:color="auto" w:fill="auto"/>
          </w:tcPr>
          <w:p w14:paraId="358CB09D"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0.65 [0.33, 1.28], p=0.22</w:t>
            </w:r>
          </w:p>
        </w:tc>
        <w:tc>
          <w:tcPr>
            <w:tcW w:w="1512" w:type="dxa"/>
            <w:shd w:val="clear" w:color="auto" w:fill="auto"/>
          </w:tcPr>
          <w:p w14:paraId="71603FB7"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0.94 [0.84, 1.04], p=0.22</w:t>
            </w:r>
          </w:p>
        </w:tc>
        <w:tc>
          <w:tcPr>
            <w:tcW w:w="1512" w:type="dxa"/>
            <w:shd w:val="clear" w:color="auto" w:fill="auto"/>
          </w:tcPr>
          <w:p w14:paraId="147930AA"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-0.06 [-0.14, 0.03], p=0.21</w:t>
            </w:r>
          </w:p>
        </w:tc>
      </w:tr>
      <w:tr w:rsidR="00986EC1" w:rsidRPr="00986EC1" w14:paraId="6F2A9512" w14:textId="77777777" w:rsidTr="005917C2">
        <w:trPr>
          <w:trHeight w:val="259"/>
        </w:trPr>
        <w:tc>
          <w:tcPr>
            <w:tcW w:w="1413" w:type="dxa"/>
            <w:shd w:val="clear" w:color="auto" w:fill="auto"/>
          </w:tcPr>
          <w:p w14:paraId="019CF16B"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No reoperations &amp; revisions</w:t>
            </w:r>
          </w:p>
        </w:tc>
        <w:tc>
          <w:tcPr>
            <w:tcW w:w="1559" w:type="dxa"/>
            <w:shd w:val="clear" w:color="auto" w:fill="auto"/>
          </w:tcPr>
          <w:p w14:paraId="7CE637F6"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152/190 (80.0%)</w:t>
            </w:r>
          </w:p>
        </w:tc>
        <w:tc>
          <w:tcPr>
            <w:tcW w:w="1559" w:type="dxa"/>
            <w:shd w:val="clear" w:color="auto" w:fill="auto"/>
          </w:tcPr>
          <w:p w14:paraId="26FDCB03"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174/207 (86.6%)</w:t>
            </w:r>
          </w:p>
        </w:tc>
        <w:tc>
          <w:tcPr>
            <w:tcW w:w="1512" w:type="dxa"/>
            <w:shd w:val="clear" w:color="auto" w:fill="auto"/>
          </w:tcPr>
          <w:p w14:paraId="7161EDA8"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0.76 [0.45, 1.27], p=0.29</w:t>
            </w:r>
          </w:p>
        </w:tc>
        <w:tc>
          <w:tcPr>
            <w:tcW w:w="1512" w:type="dxa"/>
            <w:shd w:val="clear" w:color="auto" w:fill="auto"/>
          </w:tcPr>
          <w:p w14:paraId="54E72F61"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0.95 [0.87, 1.04], p=0.29</w:t>
            </w:r>
          </w:p>
        </w:tc>
        <w:tc>
          <w:tcPr>
            <w:tcW w:w="1512" w:type="dxa"/>
            <w:shd w:val="clear" w:color="auto" w:fill="auto"/>
          </w:tcPr>
          <w:p w14:paraId="44118510"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-0.04 [-0.12, 0.04], p-0.29</w:t>
            </w:r>
          </w:p>
        </w:tc>
      </w:tr>
      <w:tr w:rsidR="00986EC1" w:rsidRPr="00986EC1" w14:paraId="4294B18D" w14:textId="77777777" w:rsidTr="005917C2">
        <w:trPr>
          <w:trHeight w:val="259"/>
        </w:trPr>
        <w:tc>
          <w:tcPr>
            <w:tcW w:w="1413" w:type="dxa"/>
            <w:shd w:val="clear" w:color="auto" w:fill="auto"/>
          </w:tcPr>
          <w:p w14:paraId="4FA5C0B5"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No major related complications</w:t>
            </w:r>
          </w:p>
        </w:tc>
        <w:tc>
          <w:tcPr>
            <w:tcW w:w="1559" w:type="dxa"/>
            <w:shd w:val="clear" w:color="auto" w:fill="auto"/>
          </w:tcPr>
          <w:p w14:paraId="24DED29F"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164/190 (86.3%)</w:t>
            </w:r>
          </w:p>
        </w:tc>
        <w:tc>
          <w:tcPr>
            <w:tcW w:w="1559" w:type="dxa"/>
            <w:shd w:val="clear" w:color="auto" w:fill="auto"/>
          </w:tcPr>
          <w:p w14:paraId="1342E2B3"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166/201 (82.6%)</w:t>
            </w:r>
          </w:p>
        </w:tc>
        <w:tc>
          <w:tcPr>
            <w:tcW w:w="1512" w:type="dxa"/>
            <w:shd w:val="clear" w:color="auto" w:fill="auto"/>
          </w:tcPr>
          <w:p w14:paraId="07FFA4B4"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1.33 [0.77, 2.31], p=0.31</w:t>
            </w:r>
          </w:p>
        </w:tc>
        <w:tc>
          <w:tcPr>
            <w:tcW w:w="1512" w:type="dxa"/>
            <w:shd w:val="clear" w:color="auto" w:fill="auto"/>
          </w:tcPr>
          <w:p w14:paraId="755E3F4A"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1.05 [0.96, 1.14], p=0.31</w:t>
            </w:r>
          </w:p>
        </w:tc>
        <w:tc>
          <w:tcPr>
            <w:tcW w:w="1512" w:type="dxa"/>
            <w:shd w:val="clear" w:color="auto" w:fill="auto"/>
          </w:tcPr>
          <w:p w14:paraId="3BAEF909"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0.04 [-0.04, 0.11], p=0.31</w:t>
            </w:r>
          </w:p>
        </w:tc>
      </w:tr>
      <w:tr w:rsidR="00986EC1" w:rsidRPr="00986EC1" w14:paraId="2BB9B804" w14:textId="77777777" w:rsidTr="005917C2">
        <w:trPr>
          <w:trHeight w:val="259"/>
        </w:trPr>
        <w:tc>
          <w:tcPr>
            <w:tcW w:w="1413" w:type="dxa"/>
            <w:shd w:val="clear" w:color="auto" w:fill="auto"/>
          </w:tcPr>
          <w:p w14:paraId="5D6C3B8C"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No additional treatments</w:t>
            </w:r>
          </w:p>
        </w:tc>
        <w:tc>
          <w:tcPr>
            <w:tcW w:w="1559" w:type="dxa"/>
            <w:shd w:val="clear" w:color="auto" w:fill="auto"/>
          </w:tcPr>
          <w:p w14:paraId="1C355516"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165/190 (87%)</w:t>
            </w:r>
          </w:p>
        </w:tc>
        <w:tc>
          <w:tcPr>
            <w:tcW w:w="1559" w:type="dxa"/>
            <w:shd w:val="clear" w:color="auto" w:fill="auto"/>
          </w:tcPr>
          <w:p w14:paraId="450DDDB2"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167/201 (83%)</w:t>
            </w:r>
          </w:p>
        </w:tc>
        <w:tc>
          <w:tcPr>
            <w:tcW w:w="1512" w:type="dxa"/>
            <w:shd w:val="clear" w:color="auto" w:fill="auto"/>
          </w:tcPr>
          <w:p w14:paraId="3FFED20D"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1.34 [0.77, 2.35], p=0.30</w:t>
            </w:r>
          </w:p>
        </w:tc>
        <w:tc>
          <w:tcPr>
            <w:tcW w:w="1512" w:type="dxa"/>
            <w:shd w:val="clear" w:color="auto" w:fill="auto"/>
          </w:tcPr>
          <w:p w14:paraId="2DCD1524"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1.05 [0.96, 1.14], p=0.30</w:t>
            </w:r>
          </w:p>
        </w:tc>
        <w:tc>
          <w:tcPr>
            <w:tcW w:w="1512" w:type="dxa"/>
            <w:shd w:val="clear" w:color="auto" w:fill="auto"/>
          </w:tcPr>
          <w:p w14:paraId="2FB0C671" w14:textId="77777777" w:rsidR="00986EC1" w:rsidRPr="00986EC1" w:rsidRDefault="00986EC1" w:rsidP="00986EC1">
            <w:pPr>
              <w:spacing w:after="40"/>
              <w:rPr>
                <w:rFonts w:ascii="Arial Narrow" w:eastAsia="Calibri" w:hAnsi="Arial Narrow"/>
                <w:sz w:val="20"/>
                <w:szCs w:val="22"/>
                <w:lang w:eastAsia="en-US"/>
              </w:rPr>
            </w:pPr>
            <w:r w:rsidRPr="00986EC1">
              <w:rPr>
                <w:rFonts w:ascii="Arial Narrow" w:eastAsia="Calibri" w:hAnsi="Arial Narrow"/>
                <w:sz w:val="20"/>
                <w:szCs w:val="22"/>
                <w:lang w:eastAsia="en-US"/>
              </w:rPr>
              <w:t>0.04 [-0.03, 0.11], p=0.30</w:t>
            </w:r>
          </w:p>
        </w:tc>
      </w:tr>
    </w:tbl>
    <w:p w14:paraId="0ED53890" w14:textId="4FDCA3AE" w:rsidR="00986EC1" w:rsidRDefault="00986EC1" w:rsidP="00B23D55">
      <w:pPr>
        <w:pStyle w:val="Tablenotes1"/>
        <w:rPr>
          <w:iCs/>
        </w:rPr>
      </w:pPr>
      <w:r w:rsidRPr="00986EC1">
        <w:t>CCS, composite clinical success; CI, confidence interval; OR, odds ratio; RD, risk difference; RR, relative risk;</w:t>
      </w:r>
      <w:r w:rsidRPr="00986EC1">
        <w:rPr>
          <w:iCs/>
        </w:rPr>
        <w:t xml:space="preserve"> ZCQ, Zurich Claudication Questionnaire.</w:t>
      </w:r>
    </w:p>
    <w:p w14:paraId="5E802133" w14:textId="57619A73" w:rsidR="000236D4" w:rsidRPr="00986EC1" w:rsidRDefault="000236D4" w:rsidP="00B23D55">
      <w:pPr>
        <w:pStyle w:val="Tablenotes1"/>
      </w:pPr>
      <w:r>
        <w:rPr>
          <w:iCs/>
        </w:rPr>
        <w:t>Source: Commentary</w:t>
      </w:r>
      <w:r w:rsidR="00B23D55">
        <w:rPr>
          <w:iCs/>
        </w:rPr>
        <w:t>,</w:t>
      </w:r>
      <w:r>
        <w:rPr>
          <w:iCs/>
        </w:rPr>
        <w:t xml:space="preserve"> Table 17</w:t>
      </w:r>
    </w:p>
    <w:p w14:paraId="24E7AE40"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There was no statistically significant difference between X-STOP and Superion in ODI success (improvement of at least 15 points) at 24 months. There was no statistically significant difference between X-STOP and Superion in VAS back and leg pain success (improvement of at least 20 mm) at 24-months.</w:t>
      </w:r>
    </w:p>
    <w:p w14:paraId="6714A118"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Collectively, the data support a clinical conclusion of non-inferiority with respect to clinical efficacy for indirect decompression using Superion and X-STOP devices.</w:t>
      </w:r>
    </w:p>
    <w:p w14:paraId="1D74F960" w14:textId="77777777" w:rsidR="00986EC1" w:rsidRPr="00986EC1" w:rsidRDefault="00986EC1" w:rsidP="00986EC1">
      <w:pPr>
        <w:keepNext/>
        <w:keepLines/>
        <w:tabs>
          <w:tab w:val="left" w:pos="851"/>
        </w:tabs>
        <w:spacing w:before="360" w:after="200"/>
        <w:outlineLvl w:val="2"/>
        <w:rPr>
          <w:rFonts w:ascii="Franklin Gothic Medium" w:eastAsia="SimSun" w:hAnsi="Franklin Gothic Medium"/>
          <w:szCs w:val="24"/>
          <w:lang w:eastAsia="en-US"/>
        </w:rPr>
      </w:pPr>
      <w:r w:rsidRPr="00986EC1">
        <w:rPr>
          <w:rFonts w:ascii="Franklin Gothic Medium" w:eastAsia="SimSun" w:hAnsi="Franklin Gothic Medium"/>
          <w:szCs w:val="24"/>
          <w:lang w:eastAsia="en-US"/>
        </w:rPr>
        <w:t>IDS versus conservative care (supplementary analysis)</w:t>
      </w:r>
    </w:p>
    <w:p w14:paraId="2B8FA1AE" w14:textId="77777777" w:rsidR="00986EC1" w:rsidRPr="00986EC1" w:rsidRDefault="00986EC1" w:rsidP="00986EC1">
      <w:pPr>
        <w:keepNext/>
        <w:keepLines/>
        <w:tabs>
          <w:tab w:val="left" w:pos="851"/>
        </w:tabs>
        <w:spacing w:before="360" w:after="200"/>
        <w:outlineLvl w:val="3"/>
        <w:rPr>
          <w:rFonts w:ascii="Franklin Gothic Medium" w:eastAsia="SimSun" w:hAnsi="Franklin Gothic Medium"/>
          <w:i/>
          <w:szCs w:val="24"/>
          <w:lang w:eastAsia="en-US"/>
        </w:rPr>
      </w:pPr>
      <w:r w:rsidRPr="00986EC1">
        <w:rPr>
          <w:rFonts w:ascii="Franklin Gothic Medium" w:eastAsia="SimSun" w:hAnsi="Franklin Gothic Medium"/>
          <w:i/>
          <w:szCs w:val="24"/>
          <w:lang w:eastAsia="en-US"/>
        </w:rPr>
        <w:t>Patient reported outcomes</w:t>
      </w:r>
    </w:p>
    <w:p w14:paraId="403A66D4" w14:textId="78579603"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There were statistically and clinically significant differences in ZCQ scores favouring IDS over conservative care. For ZCQ success, the meta-analysis demonstrated a statistically significant benefit in favour of IDS versus conservative care for all ZCQ sub-scales ranging from 40% difference in absolute risk for both physical function and patient satisfaction (RD [95% CI] 0.40 [0.32, 0.49]) to a 43% difference in absolute risk for symptom severity (RD [95% CI] 0.43 [0.35, 0.51] (p&lt;0.00001). VAS back pain was reported in one study (Puzzilli, 2014): the mean change of -46.0 favoured IDS. The two trials</w:t>
      </w:r>
      <w:r w:rsidR="00987841">
        <w:rPr>
          <w:rFonts w:ascii="Franklin Gothic Book" w:eastAsia="Calibri" w:hAnsi="Franklin Gothic Book"/>
          <w:sz w:val="22"/>
          <w:szCs w:val="22"/>
          <w:lang w:eastAsia="en-US"/>
        </w:rPr>
        <w:t xml:space="preserve"> (Zucherman, 2005 and Puzzilli, 2014)</w:t>
      </w:r>
      <w:r w:rsidRPr="00986EC1">
        <w:rPr>
          <w:rFonts w:ascii="Franklin Gothic Book" w:eastAsia="Calibri" w:hAnsi="Franklin Gothic Book"/>
          <w:sz w:val="22"/>
          <w:szCs w:val="22"/>
          <w:lang w:eastAsia="en-US"/>
        </w:rPr>
        <w:t xml:space="preserve"> were poorly reported and have different follow-up periods; however, </w:t>
      </w:r>
      <w:r w:rsidR="008603E6">
        <w:rPr>
          <w:rFonts w:ascii="Franklin Gothic Book" w:eastAsia="Calibri" w:hAnsi="Franklin Gothic Book"/>
          <w:sz w:val="22"/>
          <w:szCs w:val="22"/>
          <w:lang w:eastAsia="en-US"/>
        </w:rPr>
        <w:t xml:space="preserve">measured </w:t>
      </w:r>
      <w:r w:rsidRPr="00986EC1">
        <w:rPr>
          <w:rFonts w:ascii="Franklin Gothic Book" w:eastAsia="Calibri" w:hAnsi="Franklin Gothic Book"/>
          <w:sz w:val="22"/>
          <w:szCs w:val="22"/>
          <w:lang w:eastAsia="en-US"/>
        </w:rPr>
        <w:t xml:space="preserve">patient reported outcomes </w:t>
      </w:r>
      <w:r w:rsidR="008603E6">
        <w:rPr>
          <w:rFonts w:ascii="Franklin Gothic Book" w:eastAsia="Calibri" w:hAnsi="Franklin Gothic Book"/>
          <w:sz w:val="22"/>
          <w:szCs w:val="22"/>
          <w:lang w:eastAsia="en-US"/>
        </w:rPr>
        <w:t>were</w:t>
      </w:r>
      <w:r w:rsidR="008603E6" w:rsidRPr="00986EC1">
        <w:rPr>
          <w:rFonts w:ascii="Franklin Gothic Book" w:eastAsia="Calibri" w:hAnsi="Franklin Gothic Book"/>
          <w:sz w:val="22"/>
          <w:szCs w:val="22"/>
          <w:lang w:eastAsia="en-US"/>
        </w:rPr>
        <w:t xml:space="preserve"> </w:t>
      </w:r>
      <w:r w:rsidRPr="00986EC1">
        <w:rPr>
          <w:rFonts w:ascii="Franklin Gothic Book" w:eastAsia="Calibri" w:hAnsi="Franklin Gothic Book"/>
          <w:sz w:val="22"/>
          <w:szCs w:val="22"/>
          <w:lang w:eastAsia="en-US"/>
        </w:rPr>
        <w:t>superior for IDS.</w:t>
      </w:r>
    </w:p>
    <w:p w14:paraId="1B87ABF5" w14:textId="77777777" w:rsidR="00986EC1" w:rsidRPr="00986EC1" w:rsidRDefault="00986EC1" w:rsidP="00986EC1">
      <w:pPr>
        <w:keepNext/>
        <w:keepLines/>
        <w:tabs>
          <w:tab w:val="left" w:pos="851"/>
        </w:tabs>
        <w:spacing w:before="360" w:after="200"/>
        <w:outlineLvl w:val="3"/>
        <w:rPr>
          <w:rFonts w:ascii="Franklin Gothic Medium" w:eastAsia="SimSun" w:hAnsi="Franklin Gothic Medium"/>
          <w:i/>
          <w:szCs w:val="24"/>
          <w:lang w:eastAsia="en-US"/>
        </w:rPr>
      </w:pPr>
      <w:r w:rsidRPr="00986EC1">
        <w:rPr>
          <w:rFonts w:ascii="Franklin Gothic Medium" w:eastAsia="SimSun" w:hAnsi="Franklin Gothic Medium"/>
          <w:i/>
          <w:szCs w:val="24"/>
          <w:lang w:eastAsia="en-US"/>
        </w:rPr>
        <w:t>Surgical reoperations</w:t>
      </w:r>
    </w:p>
    <w:p w14:paraId="3EDCA0C8"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Surgical reoperations were best reported in Puzzilli (2014). There was a lower rate of reoperations due to symptoms in the IDS arm compared with the conservative care arm; however, when reoperations for any cause were included, the difference was no longer statistically significant. The additional reoperations were due to dislocation (both symptomatic and asymptomatic). The reporting in Zucherman (2005) was unclear but the reoperation rate significantly favoured IDS. However, it should be noted that although titled ‘reoperation,’ these are index operations for the conservative care arm.</w:t>
      </w:r>
    </w:p>
    <w:p w14:paraId="3110FD23" w14:textId="691E8CA1" w:rsidR="00986EC1" w:rsidRPr="00986EC1" w:rsidRDefault="00986EC1" w:rsidP="00986EC1">
      <w:pPr>
        <w:keepNext/>
        <w:spacing w:before="360" w:after="120"/>
        <w:ind w:left="794" w:hanging="794"/>
        <w:rPr>
          <w:rFonts w:ascii="Arial Narrow" w:hAnsi="Arial Narrow"/>
          <w:b/>
          <w:bCs/>
          <w:sz w:val="20"/>
          <w:lang w:eastAsia="en-US"/>
        </w:rPr>
      </w:pPr>
      <w:bookmarkStart w:id="65" w:name="_Ref72922656"/>
      <w:bookmarkStart w:id="66" w:name="_Toc72940115"/>
      <w:r w:rsidRPr="00986EC1">
        <w:rPr>
          <w:rFonts w:ascii="Arial Narrow" w:hAnsi="Arial Narrow"/>
          <w:b/>
          <w:bCs/>
          <w:sz w:val="20"/>
          <w:lang w:eastAsia="en-US"/>
        </w:rPr>
        <w:t xml:space="preserve">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18</w:t>
      </w:r>
      <w:r w:rsidRPr="00986EC1">
        <w:rPr>
          <w:rFonts w:ascii="Arial Narrow" w:hAnsi="Arial Narrow"/>
          <w:b/>
          <w:bCs/>
          <w:noProof/>
          <w:sz w:val="20"/>
          <w:lang w:eastAsia="en-US"/>
        </w:rPr>
        <w:fldChar w:fldCharType="end"/>
      </w:r>
      <w:bookmarkEnd w:id="65"/>
      <w:r w:rsidRPr="00986EC1">
        <w:rPr>
          <w:rFonts w:ascii="Arial Narrow" w:hAnsi="Arial Narrow"/>
          <w:b/>
          <w:bCs/>
          <w:sz w:val="20"/>
          <w:lang w:eastAsia="en-US"/>
        </w:rPr>
        <w:tab/>
        <w:t>Rate of reoperations in the RCTs of IDS vs. conservative care</w:t>
      </w:r>
      <w:bookmarkEnd w:id="66"/>
      <w:r w:rsidRPr="00986EC1">
        <w:rPr>
          <w:rFonts w:ascii="Arial Narrow" w:hAnsi="Arial Narrow"/>
          <w:b/>
          <w:bCs/>
          <w:sz w:val="20"/>
          <w:lang w:eastAsia="en-US"/>
        </w:rPr>
        <w:t xml:space="preserve"> </w:t>
      </w:r>
    </w:p>
    <w:tbl>
      <w:tblPr>
        <w:tblStyle w:val="OPTUMTableNormal"/>
        <w:tblW w:w="5000" w:type="pct"/>
        <w:tblLook w:val="04A0" w:firstRow="1" w:lastRow="0" w:firstColumn="1" w:lastColumn="0" w:noHBand="0" w:noVBand="1"/>
      </w:tblPr>
      <w:tblGrid>
        <w:gridCol w:w="1838"/>
        <w:gridCol w:w="1134"/>
        <w:gridCol w:w="1278"/>
        <w:gridCol w:w="1589"/>
        <w:gridCol w:w="1527"/>
        <w:gridCol w:w="1650"/>
      </w:tblGrid>
      <w:tr w:rsidR="00986EC1" w:rsidRPr="00986EC1" w14:paraId="5BCD19E0" w14:textId="77777777" w:rsidTr="005917C2">
        <w:trPr>
          <w:cnfStyle w:val="100000000000" w:firstRow="1" w:lastRow="0" w:firstColumn="0" w:lastColumn="0" w:oddVBand="0" w:evenVBand="0" w:oddHBand="0" w:evenHBand="0" w:firstRowFirstColumn="0" w:firstRowLastColumn="0" w:lastRowFirstColumn="0" w:lastRowLastColumn="0"/>
        </w:trPr>
        <w:tc>
          <w:tcPr>
            <w:tcW w:w="1019" w:type="pct"/>
            <w:vMerge w:val="restart"/>
            <w:hideMark/>
          </w:tcPr>
          <w:p w14:paraId="73CBF171"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Trial ID, reoperation cause</w:t>
            </w:r>
          </w:p>
        </w:tc>
        <w:tc>
          <w:tcPr>
            <w:tcW w:w="629" w:type="pct"/>
            <w:hideMark/>
          </w:tcPr>
          <w:p w14:paraId="71FA720F"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IDS</w:t>
            </w:r>
          </w:p>
        </w:tc>
        <w:tc>
          <w:tcPr>
            <w:tcW w:w="709" w:type="pct"/>
            <w:hideMark/>
          </w:tcPr>
          <w:p w14:paraId="2FF6ACF3"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Conservative care</w:t>
            </w:r>
          </w:p>
        </w:tc>
        <w:tc>
          <w:tcPr>
            <w:tcW w:w="881" w:type="pct"/>
            <w:vMerge w:val="restart"/>
            <w:hideMark/>
          </w:tcPr>
          <w:p w14:paraId="2555B7BA"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OR [95% CI]</w:t>
            </w:r>
          </w:p>
          <w:p w14:paraId="64761F0E"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&lt; 1 favours IDS</w:t>
            </w:r>
          </w:p>
        </w:tc>
        <w:tc>
          <w:tcPr>
            <w:tcW w:w="847" w:type="pct"/>
            <w:vMerge w:val="restart"/>
            <w:hideMark/>
          </w:tcPr>
          <w:p w14:paraId="229236AD"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RR [95% CI]</w:t>
            </w:r>
          </w:p>
          <w:p w14:paraId="5E48557A"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&lt; 1 favours IDS</w:t>
            </w:r>
          </w:p>
        </w:tc>
        <w:tc>
          <w:tcPr>
            <w:tcW w:w="915" w:type="pct"/>
            <w:vMerge w:val="restart"/>
            <w:hideMark/>
          </w:tcPr>
          <w:p w14:paraId="1803FFDE"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RD [95% CI]</w:t>
            </w:r>
          </w:p>
          <w:p w14:paraId="6C7B9341" w14:textId="77777777" w:rsidR="00986EC1" w:rsidRPr="00986EC1" w:rsidRDefault="00986EC1" w:rsidP="00986EC1">
            <w:pPr>
              <w:spacing w:before="120" w:after="60"/>
              <w:rPr>
                <w:rFonts w:ascii="Arial Narrow" w:hAnsi="Arial Narrow"/>
                <w:b/>
                <w:sz w:val="20"/>
                <w:szCs w:val="18"/>
              </w:rPr>
            </w:pPr>
            <w:r w:rsidRPr="00986EC1">
              <w:rPr>
                <w:rFonts w:ascii="Arial Narrow" w:hAnsi="Arial Narrow"/>
                <w:b/>
                <w:sz w:val="20"/>
                <w:szCs w:val="18"/>
              </w:rPr>
              <w:t>&lt; 0 favours IDS</w:t>
            </w:r>
          </w:p>
        </w:tc>
      </w:tr>
      <w:tr w:rsidR="00986EC1" w:rsidRPr="00986EC1" w14:paraId="3DC7B2CE" w14:textId="77777777" w:rsidTr="005917C2">
        <w:tc>
          <w:tcPr>
            <w:tcW w:w="1019" w:type="pct"/>
            <w:vMerge/>
            <w:hideMark/>
          </w:tcPr>
          <w:p w14:paraId="66668A8D" w14:textId="77777777" w:rsidR="00986EC1" w:rsidRPr="00986EC1" w:rsidRDefault="00986EC1" w:rsidP="00986EC1">
            <w:pPr>
              <w:spacing w:before="120" w:after="60"/>
              <w:rPr>
                <w:rFonts w:ascii="Arial Narrow" w:hAnsi="Arial Narrow"/>
                <w:b/>
                <w:bCs/>
                <w:sz w:val="20"/>
                <w:szCs w:val="18"/>
              </w:rPr>
            </w:pPr>
          </w:p>
        </w:tc>
        <w:tc>
          <w:tcPr>
            <w:tcW w:w="629" w:type="pct"/>
            <w:hideMark/>
          </w:tcPr>
          <w:p w14:paraId="06DE3DCF" w14:textId="77777777" w:rsidR="00986EC1" w:rsidRPr="00986EC1" w:rsidRDefault="00986EC1" w:rsidP="00986EC1">
            <w:pPr>
              <w:spacing w:before="120" w:after="60"/>
              <w:rPr>
                <w:rFonts w:ascii="Arial Narrow" w:hAnsi="Arial Narrow"/>
                <w:b/>
                <w:bCs/>
                <w:sz w:val="20"/>
                <w:szCs w:val="18"/>
              </w:rPr>
            </w:pPr>
            <w:r w:rsidRPr="00986EC1">
              <w:rPr>
                <w:rFonts w:ascii="Arial Narrow" w:hAnsi="Arial Narrow"/>
                <w:b/>
                <w:bCs/>
                <w:sz w:val="20"/>
                <w:szCs w:val="18"/>
              </w:rPr>
              <w:t>n /N (%)</w:t>
            </w:r>
          </w:p>
        </w:tc>
        <w:tc>
          <w:tcPr>
            <w:tcW w:w="709" w:type="pct"/>
            <w:hideMark/>
          </w:tcPr>
          <w:p w14:paraId="16F5E7F9" w14:textId="77777777" w:rsidR="00986EC1" w:rsidRPr="00986EC1" w:rsidRDefault="00986EC1" w:rsidP="00986EC1">
            <w:pPr>
              <w:spacing w:before="120" w:after="60"/>
              <w:rPr>
                <w:rFonts w:ascii="Arial Narrow" w:hAnsi="Arial Narrow"/>
                <w:b/>
                <w:bCs/>
                <w:sz w:val="20"/>
                <w:szCs w:val="18"/>
              </w:rPr>
            </w:pPr>
            <w:r w:rsidRPr="00986EC1">
              <w:rPr>
                <w:rFonts w:ascii="Arial Narrow" w:hAnsi="Arial Narrow"/>
                <w:b/>
                <w:bCs/>
                <w:sz w:val="20"/>
                <w:szCs w:val="18"/>
              </w:rPr>
              <w:t>n /N (%)</w:t>
            </w:r>
          </w:p>
        </w:tc>
        <w:tc>
          <w:tcPr>
            <w:tcW w:w="881" w:type="pct"/>
            <w:vMerge/>
            <w:hideMark/>
          </w:tcPr>
          <w:p w14:paraId="72D0F0A7" w14:textId="77777777" w:rsidR="00986EC1" w:rsidRPr="00986EC1" w:rsidRDefault="00986EC1" w:rsidP="00986EC1">
            <w:pPr>
              <w:spacing w:after="40"/>
              <w:rPr>
                <w:rFonts w:ascii="Arial Narrow" w:hAnsi="Arial Narrow" w:cs="Tahoma"/>
                <w:sz w:val="20"/>
              </w:rPr>
            </w:pPr>
          </w:p>
        </w:tc>
        <w:tc>
          <w:tcPr>
            <w:tcW w:w="847" w:type="pct"/>
            <w:vMerge/>
            <w:hideMark/>
          </w:tcPr>
          <w:p w14:paraId="54AD3585" w14:textId="77777777" w:rsidR="00986EC1" w:rsidRPr="00986EC1" w:rsidRDefault="00986EC1" w:rsidP="00986EC1">
            <w:pPr>
              <w:spacing w:after="40"/>
              <w:rPr>
                <w:rFonts w:ascii="Arial Narrow" w:hAnsi="Arial Narrow" w:cs="Tahoma"/>
                <w:sz w:val="20"/>
              </w:rPr>
            </w:pPr>
          </w:p>
        </w:tc>
        <w:tc>
          <w:tcPr>
            <w:tcW w:w="915" w:type="pct"/>
            <w:vMerge/>
            <w:hideMark/>
          </w:tcPr>
          <w:p w14:paraId="13EB1D17" w14:textId="77777777" w:rsidR="00986EC1" w:rsidRPr="00986EC1" w:rsidRDefault="00986EC1" w:rsidP="00986EC1">
            <w:pPr>
              <w:spacing w:after="40"/>
              <w:rPr>
                <w:rFonts w:ascii="Arial Narrow" w:hAnsi="Arial Narrow" w:cs="Tahoma"/>
                <w:sz w:val="20"/>
              </w:rPr>
            </w:pPr>
          </w:p>
        </w:tc>
      </w:tr>
      <w:tr w:rsidR="00986EC1" w:rsidRPr="00986EC1" w14:paraId="1C040CCE" w14:textId="77777777" w:rsidTr="005917C2">
        <w:tc>
          <w:tcPr>
            <w:tcW w:w="1019" w:type="pct"/>
            <w:hideMark/>
          </w:tcPr>
          <w:p w14:paraId="31234C33" w14:textId="77777777" w:rsidR="00986EC1" w:rsidRPr="00986EC1" w:rsidRDefault="00986EC1" w:rsidP="00986EC1">
            <w:pPr>
              <w:spacing w:after="40"/>
              <w:rPr>
                <w:rFonts w:ascii="Arial Narrow" w:hAnsi="Arial Narrow" w:cs="Tahoma"/>
                <w:sz w:val="20"/>
              </w:rPr>
            </w:pPr>
            <w:r w:rsidRPr="00986EC1">
              <w:rPr>
                <w:rFonts w:ascii="Arial Narrow" w:hAnsi="Arial Narrow" w:cs="Tahoma"/>
                <w:sz w:val="20"/>
              </w:rPr>
              <w:t>Puzzilli (2014) – due to symptoms</w:t>
            </w:r>
          </w:p>
        </w:tc>
        <w:tc>
          <w:tcPr>
            <w:tcW w:w="629" w:type="pct"/>
            <w:hideMark/>
          </w:tcPr>
          <w:p w14:paraId="322EFF52"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24/422 (5.69%)</w:t>
            </w:r>
          </w:p>
        </w:tc>
        <w:tc>
          <w:tcPr>
            <w:tcW w:w="709" w:type="pct"/>
            <w:hideMark/>
          </w:tcPr>
          <w:p w14:paraId="5005A882"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20/120 (16.67%)</w:t>
            </w:r>
          </w:p>
        </w:tc>
        <w:tc>
          <w:tcPr>
            <w:tcW w:w="881" w:type="pct"/>
            <w:hideMark/>
          </w:tcPr>
          <w:p w14:paraId="041E5427" w14:textId="77777777" w:rsidR="00986EC1" w:rsidRPr="00986EC1" w:rsidRDefault="00986EC1" w:rsidP="00986EC1">
            <w:pPr>
              <w:spacing w:after="40"/>
              <w:rPr>
                <w:rFonts w:ascii="Arial Narrow" w:hAnsi="Arial Narrow" w:cs="Tahoma"/>
                <w:b/>
                <w:bCs/>
                <w:sz w:val="20"/>
              </w:rPr>
            </w:pPr>
            <w:r w:rsidRPr="00986EC1">
              <w:rPr>
                <w:rFonts w:ascii="Arial Narrow" w:hAnsi="Arial Narrow" w:cs="Tahoma"/>
                <w:b/>
                <w:bCs/>
                <w:sz w:val="20"/>
              </w:rPr>
              <w:t>0.30 [0.16, 0.57], p=0.0002</w:t>
            </w:r>
          </w:p>
        </w:tc>
        <w:tc>
          <w:tcPr>
            <w:tcW w:w="847" w:type="pct"/>
            <w:hideMark/>
          </w:tcPr>
          <w:p w14:paraId="1A8F163D" w14:textId="77777777" w:rsidR="00986EC1" w:rsidRPr="00986EC1" w:rsidRDefault="00986EC1" w:rsidP="00986EC1">
            <w:pPr>
              <w:spacing w:after="40"/>
              <w:rPr>
                <w:rFonts w:ascii="Arial Narrow" w:hAnsi="Arial Narrow" w:cs="Tahoma"/>
                <w:b/>
                <w:bCs/>
                <w:sz w:val="20"/>
              </w:rPr>
            </w:pPr>
            <w:r w:rsidRPr="00986EC1">
              <w:rPr>
                <w:rFonts w:ascii="Arial Narrow" w:hAnsi="Arial Narrow" w:cs="Tahoma"/>
                <w:b/>
                <w:bCs/>
                <w:sz w:val="20"/>
              </w:rPr>
              <w:t>0.34 [0.20, 0.60], p=0.0002</w:t>
            </w:r>
          </w:p>
        </w:tc>
        <w:tc>
          <w:tcPr>
            <w:tcW w:w="915" w:type="pct"/>
            <w:hideMark/>
          </w:tcPr>
          <w:p w14:paraId="7E54F33B" w14:textId="77777777" w:rsidR="00986EC1" w:rsidRPr="00986EC1" w:rsidRDefault="00986EC1" w:rsidP="00986EC1">
            <w:pPr>
              <w:spacing w:after="40"/>
              <w:rPr>
                <w:rFonts w:ascii="Arial Narrow" w:hAnsi="Arial Narrow" w:cs="Tahoma"/>
                <w:b/>
                <w:bCs/>
                <w:sz w:val="20"/>
              </w:rPr>
            </w:pPr>
            <w:r w:rsidRPr="00986EC1">
              <w:rPr>
                <w:rFonts w:ascii="Arial Narrow" w:hAnsi="Arial Narrow" w:cs="Tahoma"/>
                <w:b/>
                <w:bCs/>
                <w:sz w:val="20"/>
              </w:rPr>
              <w:t>-0.11 [-0.18, -0.04], p=0.002</w:t>
            </w:r>
          </w:p>
        </w:tc>
      </w:tr>
      <w:tr w:rsidR="00986EC1" w:rsidRPr="00986EC1" w14:paraId="0ABFDA1B" w14:textId="77777777" w:rsidTr="005917C2">
        <w:tc>
          <w:tcPr>
            <w:tcW w:w="1019" w:type="pct"/>
          </w:tcPr>
          <w:p w14:paraId="626C03BD" w14:textId="77777777" w:rsidR="00986EC1" w:rsidRPr="00986EC1" w:rsidRDefault="00986EC1" w:rsidP="00986EC1">
            <w:pPr>
              <w:spacing w:after="40"/>
              <w:rPr>
                <w:rFonts w:ascii="Arial Narrow" w:hAnsi="Arial Narrow" w:cs="Tahoma"/>
                <w:sz w:val="20"/>
              </w:rPr>
            </w:pPr>
            <w:r w:rsidRPr="00986EC1">
              <w:rPr>
                <w:rFonts w:ascii="Arial Narrow" w:hAnsi="Arial Narrow" w:cs="Tahoma"/>
                <w:sz w:val="20"/>
              </w:rPr>
              <w:t>Puzzilli (2014) – any cause</w:t>
            </w:r>
          </w:p>
        </w:tc>
        <w:tc>
          <w:tcPr>
            <w:tcW w:w="629" w:type="pct"/>
          </w:tcPr>
          <w:p w14:paraId="64D85FBF"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52/422 (12.80%)</w:t>
            </w:r>
          </w:p>
        </w:tc>
        <w:tc>
          <w:tcPr>
            <w:tcW w:w="709" w:type="pct"/>
          </w:tcPr>
          <w:p w14:paraId="5BDE066A"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20/120 (16.67%)</w:t>
            </w:r>
          </w:p>
        </w:tc>
        <w:tc>
          <w:tcPr>
            <w:tcW w:w="881" w:type="pct"/>
          </w:tcPr>
          <w:p w14:paraId="6FA8FD27" w14:textId="77777777" w:rsidR="00986EC1" w:rsidRPr="00986EC1" w:rsidRDefault="00986EC1" w:rsidP="00986EC1">
            <w:pPr>
              <w:spacing w:after="40"/>
              <w:rPr>
                <w:rFonts w:ascii="Arial Narrow" w:hAnsi="Arial Narrow" w:cs="Tahoma"/>
                <w:sz w:val="20"/>
              </w:rPr>
            </w:pPr>
            <w:r w:rsidRPr="00986EC1">
              <w:rPr>
                <w:rFonts w:ascii="Arial Narrow" w:hAnsi="Arial Narrow" w:cs="Tahoma"/>
                <w:sz w:val="20"/>
              </w:rPr>
              <w:t>0.73 [0.42, 1.28],</w:t>
            </w:r>
            <w:r w:rsidRPr="00986EC1">
              <w:rPr>
                <w:rFonts w:ascii="Arial Narrow" w:hAnsi="Arial Narrow" w:cs="Tahoma"/>
                <w:bCs/>
                <w:sz w:val="20"/>
              </w:rPr>
              <w:t xml:space="preserve"> p=0.28</w:t>
            </w:r>
          </w:p>
        </w:tc>
        <w:tc>
          <w:tcPr>
            <w:tcW w:w="847" w:type="pct"/>
          </w:tcPr>
          <w:p w14:paraId="4104A98B" w14:textId="77777777" w:rsidR="00986EC1" w:rsidRPr="00986EC1" w:rsidRDefault="00986EC1" w:rsidP="00986EC1">
            <w:pPr>
              <w:spacing w:after="40"/>
              <w:rPr>
                <w:rFonts w:ascii="Arial Narrow" w:hAnsi="Arial Narrow" w:cs="Tahoma"/>
                <w:sz w:val="20"/>
              </w:rPr>
            </w:pPr>
            <w:r w:rsidRPr="00986EC1">
              <w:rPr>
                <w:rFonts w:ascii="Arial Narrow" w:hAnsi="Arial Narrow" w:cs="Tahoma"/>
                <w:sz w:val="20"/>
              </w:rPr>
              <w:t>0.77 [0.48, 1.23], p=0.27</w:t>
            </w:r>
          </w:p>
        </w:tc>
        <w:tc>
          <w:tcPr>
            <w:tcW w:w="915" w:type="pct"/>
          </w:tcPr>
          <w:p w14:paraId="6AE91462" w14:textId="77777777" w:rsidR="00986EC1" w:rsidRPr="00986EC1" w:rsidRDefault="00986EC1" w:rsidP="00986EC1">
            <w:pPr>
              <w:spacing w:after="40"/>
              <w:rPr>
                <w:rFonts w:ascii="Arial Narrow" w:hAnsi="Arial Narrow" w:cs="Tahoma"/>
                <w:sz w:val="20"/>
              </w:rPr>
            </w:pPr>
            <w:r w:rsidRPr="00986EC1">
              <w:rPr>
                <w:rFonts w:ascii="Arial Narrow" w:hAnsi="Arial Narrow" w:cs="Tahoma"/>
                <w:sz w:val="20"/>
              </w:rPr>
              <w:t>-0.04 [-0.11, 0.04],</w:t>
            </w:r>
            <w:r w:rsidRPr="00986EC1">
              <w:rPr>
                <w:rFonts w:ascii="Arial Narrow" w:hAnsi="Arial Narrow" w:cs="Tahoma"/>
                <w:bCs/>
                <w:sz w:val="20"/>
              </w:rPr>
              <w:t xml:space="preserve"> p=0.30</w:t>
            </w:r>
          </w:p>
        </w:tc>
      </w:tr>
      <w:tr w:rsidR="00986EC1" w:rsidRPr="00986EC1" w14:paraId="582F9D4A" w14:textId="77777777" w:rsidTr="005917C2">
        <w:tc>
          <w:tcPr>
            <w:tcW w:w="1019" w:type="pct"/>
          </w:tcPr>
          <w:p w14:paraId="7D1F03DD" w14:textId="77777777" w:rsidR="00986EC1" w:rsidRPr="00986EC1" w:rsidRDefault="00986EC1" w:rsidP="00986EC1">
            <w:pPr>
              <w:spacing w:after="40"/>
              <w:rPr>
                <w:rFonts w:ascii="Arial Narrow" w:hAnsi="Arial Narrow" w:cs="Tahoma"/>
                <w:sz w:val="20"/>
              </w:rPr>
            </w:pPr>
            <w:r w:rsidRPr="00986EC1">
              <w:rPr>
                <w:rFonts w:ascii="Arial Narrow" w:hAnsi="Arial Narrow" w:cs="Tahoma"/>
                <w:sz w:val="20"/>
              </w:rPr>
              <w:t>Zucherman (2005) – due to symptoms</w:t>
            </w:r>
          </w:p>
        </w:tc>
        <w:tc>
          <w:tcPr>
            <w:tcW w:w="629" w:type="pct"/>
          </w:tcPr>
          <w:p w14:paraId="29E42F1F"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6/96 (6.25%)</w:t>
            </w:r>
          </w:p>
        </w:tc>
        <w:tc>
          <w:tcPr>
            <w:tcW w:w="709" w:type="pct"/>
          </w:tcPr>
          <w:p w14:paraId="31F0793A"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24/87 (27.59%)</w:t>
            </w:r>
          </w:p>
        </w:tc>
        <w:tc>
          <w:tcPr>
            <w:tcW w:w="881" w:type="pct"/>
          </w:tcPr>
          <w:p w14:paraId="71676C0D" w14:textId="77777777" w:rsidR="00986EC1" w:rsidRPr="00986EC1" w:rsidRDefault="00986EC1" w:rsidP="00986EC1">
            <w:pPr>
              <w:spacing w:after="40"/>
              <w:rPr>
                <w:rFonts w:ascii="Arial Narrow" w:hAnsi="Arial Narrow" w:cs="Tahoma"/>
                <w:b/>
                <w:bCs/>
                <w:sz w:val="20"/>
              </w:rPr>
            </w:pPr>
            <w:r w:rsidRPr="00986EC1">
              <w:rPr>
                <w:rFonts w:ascii="Arial Narrow" w:hAnsi="Arial Narrow" w:cs="Tahoma"/>
                <w:b/>
                <w:bCs/>
                <w:sz w:val="20"/>
              </w:rPr>
              <w:t>0.17 [0.07, 0.45], p=0.0003</w:t>
            </w:r>
          </w:p>
        </w:tc>
        <w:tc>
          <w:tcPr>
            <w:tcW w:w="847" w:type="pct"/>
          </w:tcPr>
          <w:p w14:paraId="27A92197" w14:textId="77777777" w:rsidR="00986EC1" w:rsidRPr="00986EC1" w:rsidRDefault="00986EC1" w:rsidP="00986EC1">
            <w:pPr>
              <w:spacing w:after="40"/>
              <w:rPr>
                <w:rFonts w:ascii="Arial Narrow" w:hAnsi="Arial Narrow" w:cs="Tahoma"/>
                <w:b/>
                <w:bCs/>
                <w:sz w:val="20"/>
              </w:rPr>
            </w:pPr>
            <w:r w:rsidRPr="00986EC1">
              <w:rPr>
                <w:rFonts w:ascii="Arial Narrow" w:hAnsi="Arial Narrow" w:cs="Tahoma"/>
                <w:b/>
                <w:bCs/>
                <w:sz w:val="20"/>
              </w:rPr>
              <w:t>0.23 [0.10, 0.53], p=0.0006</w:t>
            </w:r>
          </w:p>
        </w:tc>
        <w:tc>
          <w:tcPr>
            <w:tcW w:w="915" w:type="pct"/>
          </w:tcPr>
          <w:p w14:paraId="1E7A62DE" w14:textId="77777777" w:rsidR="00986EC1" w:rsidRPr="00986EC1" w:rsidRDefault="00986EC1" w:rsidP="00986EC1">
            <w:pPr>
              <w:spacing w:after="40"/>
              <w:rPr>
                <w:rFonts w:ascii="Arial Narrow" w:hAnsi="Arial Narrow" w:cs="Tahoma"/>
                <w:sz w:val="20"/>
              </w:rPr>
            </w:pPr>
            <w:r w:rsidRPr="00986EC1">
              <w:rPr>
                <w:rFonts w:ascii="Arial Narrow" w:hAnsi="Arial Narrow" w:cs="Tahoma"/>
                <w:sz w:val="20"/>
              </w:rPr>
              <w:t>-0.21 [-0.68, 0.26], p=0.37</w:t>
            </w:r>
          </w:p>
        </w:tc>
      </w:tr>
      <w:tr w:rsidR="00986EC1" w:rsidRPr="00986EC1" w14:paraId="24118F72" w14:textId="77777777" w:rsidTr="005917C2">
        <w:tc>
          <w:tcPr>
            <w:tcW w:w="1019" w:type="pct"/>
            <w:hideMark/>
          </w:tcPr>
          <w:p w14:paraId="35B1F407" w14:textId="77777777" w:rsidR="00986EC1" w:rsidRPr="00986EC1" w:rsidRDefault="00986EC1" w:rsidP="00986EC1">
            <w:pPr>
              <w:spacing w:after="40"/>
              <w:rPr>
                <w:rFonts w:ascii="Arial Narrow" w:hAnsi="Arial Narrow" w:cs="Tahoma"/>
                <w:sz w:val="20"/>
              </w:rPr>
            </w:pPr>
            <w:r w:rsidRPr="00986EC1">
              <w:rPr>
                <w:rFonts w:ascii="Arial Narrow" w:hAnsi="Arial Narrow" w:cs="Tahoma"/>
                <w:sz w:val="20"/>
              </w:rPr>
              <w:t>Zucherman (2005) – ADAR reported measure unclear</w:t>
            </w:r>
          </w:p>
        </w:tc>
        <w:tc>
          <w:tcPr>
            <w:tcW w:w="629" w:type="pct"/>
            <w:hideMark/>
          </w:tcPr>
          <w:p w14:paraId="06EB89B6"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10/96 (10.42%)</w:t>
            </w:r>
          </w:p>
        </w:tc>
        <w:tc>
          <w:tcPr>
            <w:tcW w:w="709" w:type="pct"/>
            <w:hideMark/>
          </w:tcPr>
          <w:p w14:paraId="150EC471"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30/87 (34.48%)</w:t>
            </w:r>
          </w:p>
        </w:tc>
        <w:tc>
          <w:tcPr>
            <w:tcW w:w="881" w:type="pct"/>
            <w:hideMark/>
          </w:tcPr>
          <w:p w14:paraId="7292D4CD" w14:textId="77777777" w:rsidR="00986EC1" w:rsidRPr="00986EC1" w:rsidRDefault="00986EC1" w:rsidP="00986EC1">
            <w:pPr>
              <w:spacing w:after="40"/>
              <w:rPr>
                <w:rFonts w:ascii="Arial Narrow" w:hAnsi="Arial Narrow" w:cs="Tahoma"/>
                <w:b/>
                <w:bCs/>
                <w:sz w:val="20"/>
              </w:rPr>
            </w:pPr>
            <w:r w:rsidRPr="00986EC1">
              <w:rPr>
                <w:rFonts w:ascii="Arial Narrow" w:hAnsi="Arial Narrow" w:cs="Tahoma"/>
                <w:b/>
                <w:bCs/>
                <w:sz w:val="20"/>
              </w:rPr>
              <w:t>0.22 [0.10, 0.49], p=0,0002</w:t>
            </w:r>
          </w:p>
        </w:tc>
        <w:tc>
          <w:tcPr>
            <w:tcW w:w="847" w:type="pct"/>
            <w:hideMark/>
          </w:tcPr>
          <w:p w14:paraId="05FAADB1" w14:textId="77777777" w:rsidR="00986EC1" w:rsidRPr="00986EC1" w:rsidRDefault="00986EC1" w:rsidP="00986EC1">
            <w:pPr>
              <w:spacing w:after="40"/>
              <w:rPr>
                <w:rFonts w:ascii="Arial Narrow" w:hAnsi="Arial Narrow" w:cs="Tahoma"/>
                <w:b/>
                <w:bCs/>
                <w:sz w:val="20"/>
              </w:rPr>
            </w:pPr>
            <w:r w:rsidRPr="00986EC1">
              <w:rPr>
                <w:rFonts w:ascii="Arial Narrow" w:hAnsi="Arial Narrow" w:cs="Tahoma"/>
                <w:b/>
                <w:bCs/>
                <w:sz w:val="20"/>
              </w:rPr>
              <w:t>0.30 [0.16, 0.58], p=0.0003</w:t>
            </w:r>
          </w:p>
        </w:tc>
        <w:tc>
          <w:tcPr>
            <w:tcW w:w="915" w:type="pct"/>
            <w:hideMark/>
          </w:tcPr>
          <w:p w14:paraId="7CE62475" w14:textId="77777777" w:rsidR="00986EC1" w:rsidRPr="00986EC1" w:rsidRDefault="00986EC1" w:rsidP="00986EC1">
            <w:pPr>
              <w:spacing w:after="40"/>
              <w:rPr>
                <w:rFonts w:ascii="Arial Narrow" w:hAnsi="Arial Narrow" w:cs="Tahoma"/>
                <w:sz w:val="20"/>
              </w:rPr>
            </w:pPr>
            <w:r w:rsidRPr="00986EC1">
              <w:rPr>
                <w:rFonts w:ascii="Arial Narrow" w:hAnsi="Arial Narrow" w:cs="Tahoma"/>
                <w:sz w:val="20"/>
              </w:rPr>
              <w:t>-0.24 [-0.71, 0.23], p=0.32</w:t>
            </w:r>
          </w:p>
        </w:tc>
      </w:tr>
    </w:tbl>
    <w:p w14:paraId="50B8D477" w14:textId="2FDDBBA7" w:rsidR="00986EC1" w:rsidRDefault="00986EC1" w:rsidP="00B23D55">
      <w:pPr>
        <w:pStyle w:val="Tablenotes1"/>
        <w:rPr>
          <w:rFonts w:eastAsia="Calibri"/>
        </w:rPr>
      </w:pPr>
      <w:r w:rsidRPr="00986EC1">
        <w:rPr>
          <w:rFonts w:eastAsia="Calibri"/>
        </w:rPr>
        <w:t>CI, confidence interval; IDS, interspinous decompression spacer; OR, odds ratio; RCT, randomised controlled trial; RD, risk difference; RR, relative risk.</w:t>
      </w:r>
    </w:p>
    <w:p w14:paraId="6874D054" w14:textId="70DC1B6F" w:rsidR="00B23D55" w:rsidRPr="00986EC1" w:rsidRDefault="00B23D55" w:rsidP="00B23D55">
      <w:pPr>
        <w:pStyle w:val="Tablenotes1"/>
        <w:rPr>
          <w:rFonts w:ascii="Arial" w:eastAsia="Calibri" w:hAnsi="Arial"/>
          <w:sz w:val="16"/>
          <w:szCs w:val="16"/>
        </w:rPr>
      </w:pPr>
      <w:r>
        <w:rPr>
          <w:rFonts w:eastAsia="Calibri"/>
        </w:rPr>
        <w:t>Source: Commentary, Table 18</w:t>
      </w:r>
    </w:p>
    <w:p w14:paraId="5DBBC114"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Overall, the clinical claim of superiority of IDS over conservative care is supported for both safety and effectiveness. However, the evidence for this comparison is limited and subject to a higher risk of bias due to an unblinded comparison.</w:t>
      </w:r>
    </w:p>
    <w:p w14:paraId="06EB1308" w14:textId="77777777" w:rsidR="00986EC1" w:rsidRPr="003F1D0D" w:rsidRDefault="00986EC1" w:rsidP="003F1D0D">
      <w:pPr>
        <w:keepNext/>
        <w:keepLines/>
        <w:tabs>
          <w:tab w:val="left" w:pos="851"/>
        </w:tabs>
        <w:spacing w:before="360" w:after="200"/>
        <w:outlineLvl w:val="2"/>
        <w:rPr>
          <w:rFonts w:ascii="Franklin Gothic Medium" w:eastAsia="SimSun" w:hAnsi="Franklin Gothic Medium"/>
          <w:szCs w:val="24"/>
          <w:lang w:eastAsia="en-US"/>
        </w:rPr>
      </w:pPr>
      <w:r w:rsidRPr="003F1D0D">
        <w:rPr>
          <w:rFonts w:ascii="Franklin Gothic Medium" w:eastAsia="SimSun" w:hAnsi="Franklin Gothic Medium"/>
          <w:szCs w:val="24"/>
          <w:lang w:eastAsia="en-US"/>
        </w:rPr>
        <w:t>Clinical claim</w:t>
      </w:r>
    </w:p>
    <w:p w14:paraId="0345C991"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Safety</w:t>
      </w:r>
    </w:p>
    <w:p w14:paraId="275260DF" w14:textId="77777777" w:rsidR="00986EC1" w:rsidRPr="00986EC1" w:rsidRDefault="00986EC1" w:rsidP="00986EC1">
      <w:pPr>
        <w:numPr>
          <w:ilvl w:val="0"/>
          <w:numId w:val="30"/>
        </w:numPr>
        <w:spacing w:before="120" w:after="160" w:line="259" w:lineRule="auto"/>
        <w:contextualSpacing/>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data support a conclusion of at least non-inferior (and possibly superior safety) for IDS compared to surgical decompression.</w:t>
      </w:r>
    </w:p>
    <w:p w14:paraId="1E5B1066" w14:textId="77777777" w:rsidR="00986EC1" w:rsidRPr="00986EC1" w:rsidRDefault="00986EC1" w:rsidP="00986EC1">
      <w:pPr>
        <w:numPr>
          <w:ilvl w:val="0"/>
          <w:numId w:val="30"/>
        </w:numPr>
        <w:spacing w:before="120" w:after="160" w:line="259" w:lineRule="auto"/>
        <w:contextualSpacing/>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If reoperation rates are included as a safety outcome (as per the PICO Confirmation), then IDS potentially has inferior safety compared with decompression for this measure.</w:t>
      </w:r>
    </w:p>
    <w:p w14:paraId="2690EB2E" w14:textId="77777777" w:rsidR="00986EC1" w:rsidRPr="00986EC1" w:rsidRDefault="00986EC1" w:rsidP="00986EC1">
      <w:pPr>
        <w:numPr>
          <w:ilvl w:val="0"/>
          <w:numId w:val="30"/>
        </w:numPr>
        <w:spacing w:before="120" w:after="160" w:line="259" w:lineRule="auto"/>
        <w:contextualSpacing/>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IDS has superior safety compared with decompression plus fusion on the basis of procedural complications, though long-term outcomes were not presented.</w:t>
      </w:r>
    </w:p>
    <w:p w14:paraId="209AFA30" w14:textId="77777777" w:rsidR="00986EC1" w:rsidRPr="00986EC1" w:rsidRDefault="00986EC1" w:rsidP="000B6893">
      <w:pPr>
        <w:numPr>
          <w:ilvl w:val="0"/>
          <w:numId w:val="30"/>
        </w:numPr>
        <w:spacing w:before="120" w:after="240" w:line="259" w:lineRule="auto"/>
        <w:ind w:left="1077"/>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data support a conclusion of non-inferior safety for indirect decompression using Superion compared to X-STOP.</w:t>
      </w:r>
    </w:p>
    <w:p w14:paraId="747CB8EF" w14:textId="77777777" w:rsidR="00986EC1" w:rsidRPr="00986EC1" w:rsidRDefault="00986EC1" w:rsidP="000B6893">
      <w:pPr>
        <w:spacing w:before="24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Effectiveness</w:t>
      </w:r>
    </w:p>
    <w:p w14:paraId="6FCF9D2F" w14:textId="77777777" w:rsidR="00986EC1" w:rsidRPr="00986EC1" w:rsidRDefault="00986EC1" w:rsidP="00986EC1">
      <w:pPr>
        <w:numPr>
          <w:ilvl w:val="0"/>
          <w:numId w:val="34"/>
        </w:numPr>
        <w:spacing w:before="120" w:after="160" w:line="259" w:lineRule="auto"/>
        <w:contextualSpacing/>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data suggest that IDS is non-inferior to decompression for most effectiveness outcomes, except for reoperation rates (where there is a benefit for decompression). Collectively, these data support a clinical conclusion of non-inferiority or inferiority with respect to clinical efficacy for IDS compared to decompression.</w:t>
      </w:r>
    </w:p>
    <w:p w14:paraId="0ACE17BA" w14:textId="77777777" w:rsidR="00986EC1" w:rsidRPr="00986EC1" w:rsidRDefault="00986EC1" w:rsidP="00986EC1">
      <w:pPr>
        <w:numPr>
          <w:ilvl w:val="0"/>
          <w:numId w:val="34"/>
        </w:numPr>
        <w:spacing w:before="120" w:after="160" w:line="259" w:lineRule="auto"/>
        <w:contextualSpacing/>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data suggest that IDS provides no clinically significant benefit over decompression plus fusion surgery, though reoperation rates were not reported.</w:t>
      </w:r>
    </w:p>
    <w:p w14:paraId="22519C16" w14:textId="4AC1EBB9" w:rsidR="00B23D55" w:rsidRPr="00B023E6" w:rsidRDefault="00986EC1" w:rsidP="00B023E6">
      <w:pPr>
        <w:numPr>
          <w:ilvl w:val="0"/>
          <w:numId w:val="34"/>
        </w:numPr>
        <w:spacing w:before="120" w:after="240" w:line="259" w:lineRule="auto"/>
        <w:ind w:left="1077"/>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data support a conclusion of non-inferiority for the comparison of Superion and X-STOP devices. X-STOP devices have been removed from the market due to poor long-term outcomes.</w:t>
      </w:r>
    </w:p>
    <w:p w14:paraId="4B3DCA76" w14:textId="3DA9E821"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ADAR ma</w:t>
      </w:r>
      <w:r w:rsidR="00B23D55">
        <w:rPr>
          <w:rFonts w:ascii="Franklin Gothic Book" w:eastAsia="Calibri" w:hAnsi="Franklin Gothic Book"/>
          <w:sz w:val="22"/>
          <w:szCs w:val="22"/>
          <w:lang w:eastAsia="en-US"/>
        </w:rPr>
        <w:t>d</w:t>
      </w:r>
      <w:r w:rsidRPr="00986EC1">
        <w:rPr>
          <w:rFonts w:ascii="Franklin Gothic Book" w:eastAsia="Calibri" w:hAnsi="Franklin Gothic Book"/>
          <w:sz w:val="22"/>
          <w:szCs w:val="22"/>
          <w:lang w:eastAsia="en-US"/>
        </w:rPr>
        <w:t xml:space="preserve">e a claim of at least non-inferior safety (based on reduced overall complications) and non-inferior effectiveness in which case a cost-minimisation analysis (CMA) would be appropriate. However, </w:t>
      </w:r>
      <w:r w:rsidR="00B23D55">
        <w:rPr>
          <w:rFonts w:ascii="Franklin Gothic Book" w:eastAsia="Calibri" w:hAnsi="Franklin Gothic Book"/>
          <w:sz w:val="22"/>
          <w:szCs w:val="22"/>
          <w:lang w:eastAsia="en-US"/>
        </w:rPr>
        <w:t xml:space="preserve">the commentary considered </w:t>
      </w:r>
      <w:r w:rsidRPr="00986EC1">
        <w:rPr>
          <w:rFonts w:ascii="Franklin Gothic Book" w:eastAsia="Calibri" w:hAnsi="Franklin Gothic Book"/>
          <w:sz w:val="22"/>
          <w:szCs w:val="22"/>
          <w:lang w:eastAsia="en-US"/>
        </w:rPr>
        <w:t>the non-inferiority conclusion is not satisfied for reoperation rates, which reflects effectiveness (new or persistent worsened neurological deficit at the index level) and safety (number of reoperations, need for subsequent intervention).</w:t>
      </w:r>
    </w:p>
    <w:p w14:paraId="1C8CEC35" w14:textId="3D41AADA" w:rsidR="00986EC1" w:rsidRPr="00986EC1" w:rsidRDefault="00986EC1" w:rsidP="00986EC1">
      <w:pPr>
        <w:keepNext/>
        <w:keepLines/>
        <w:spacing w:before="360" w:after="240"/>
        <w:outlineLvl w:val="1"/>
        <w:rPr>
          <w:rFonts w:ascii="Franklin Gothic Medium" w:eastAsia="SimSun" w:hAnsi="Franklin Gothic Medium"/>
          <w:color w:val="000000"/>
          <w:sz w:val="32"/>
          <w:szCs w:val="26"/>
          <w:lang w:eastAsia="en-US"/>
        </w:rPr>
      </w:pPr>
      <w:bookmarkStart w:id="67" w:name="_Toc69491425"/>
      <w:r w:rsidRPr="00986EC1">
        <w:rPr>
          <w:rFonts w:ascii="Franklin Gothic Medium" w:eastAsia="SimSun" w:hAnsi="Franklin Gothic Medium"/>
          <w:color w:val="000000"/>
          <w:sz w:val="32"/>
          <w:szCs w:val="26"/>
          <w:lang w:eastAsia="en-US"/>
        </w:rPr>
        <w:t>1</w:t>
      </w:r>
      <w:r w:rsidR="0007499C">
        <w:rPr>
          <w:rFonts w:ascii="Franklin Gothic Medium" w:eastAsia="SimSun" w:hAnsi="Franklin Gothic Medium"/>
          <w:color w:val="000000"/>
          <w:sz w:val="32"/>
          <w:szCs w:val="26"/>
          <w:lang w:eastAsia="en-US"/>
        </w:rPr>
        <w:t>3</w:t>
      </w:r>
      <w:r w:rsidRPr="00986EC1">
        <w:rPr>
          <w:rFonts w:ascii="Franklin Gothic Medium" w:eastAsia="SimSun" w:hAnsi="Franklin Gothic Medium"/>
          <w:color w:val="000000"/>
          <w:sz w:val="32"/>
          <w:szCs w:val="26"/>
          <w:lang w:eastAsia="en-US"/>
        </w:rPr>
        <w:t>.</w:t>
      </w:r>
      <w:r w:rsidRPr="00986EC1">
        <w:rPr>
          <w:rFonts w:ascii="Franklin Gothic Medium" w:eastAsia="SimSun" w:hAnsi="Franklin Gothic Medium"/>
          <w:color w:val="000000"/>
          <w:sz w:val="32"/>
          <w:szCs w:val="26"/>
          <w:lang w:eastAsia="en-US"/>
        </w:rPr>
        <w:tab/>
        <w:t>Economic evaluation</w:t>
      </w:r>
      <w:bookmarkEnd w:id="67"/>
    </w:p>
    <w:p w14:paraId="3A7FFA91" w14:textId="0E0A2007" w:rsidR="003F1D0D" w:rsidRPr="003F1D0D" w:rsidRDefault="003F1D0D" w:rsidP="003F1D0D">
      <w:pPr>
        <w:keepNext/>
        <w:keepLines/>
        <w:tabs>
          <w:tab w:val="left" w:pos="851"/>
        </w:tabs>
        <w:spacing w:before="360" w:after="200"/>
        <w:outlineLvl w:val="2"/>
        <w:rPr>
          <w:rFonts w:ascii="Franklin Gothic Medium" w:eastAsia="SimSun" w:hAnsi="Franklin Gothic Medium"/>
          <w:szCs w:val="24"/>
          <w:lang w:eastAsia="en-US"/>
        </w:rPr>
      </w:pPr>
      <w:r w:rsidRPr="003F1D0D">
        <w:rPr>
          <w:rFonts w:ascii="Franklin Gothic Medium" w:eastAsia="SimSun" w:hAnsi="Franklin Gothic Medium"/>
          <w:szCs w:val="24"/>
          <w:lang w:eastAsia="en-US"/>
        </w:rPr>
        <w:t>Primary analysis</w:t>
      </w:r>
    </w:p>
    <w:p w14:paraId="654E70D6" w14:textId="40593CD8"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Three of the included randomised controlled trials (CELAX, NICE and Lønne [2015]) in the main comparison included trial-based economic analyses. Across all three studies, the costs of IDS were higher than decompression and the utility gain was non-significant. None compared IDS with decompression weighted with fusion.</w:t>
      </w:r>
    </w:p>
    <w:p w14:paraId="0D4BBBCE" w14:textId="3A3B1A92"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ADAR present</w:t>
      </w:r>
      <w:r w:rsidR="00B23D55">
        <w:rPr>
          <w:rFonts w:ascii="Franklin Gothic Book" w:eastAsia="Calibri" w:hAnsi="Franklin Gothic Book"/>
          <w:sz w:val="22"/>
          <w:szCs w:val="22"/>
          <w:lang w:eastAsia="en-US"/>
        </w:rPr>
        <w:t>ed</w:t>
      </w:r>
      <w:r w:rsidRPr="00986EC1">
        <w:rPr>
          <w:rFonts w:ascii="Franklin Gothic Book" w:eastAsia="Calibri" w:hAnsi="Franklin Gothic Book"/>
          <w:sz w:val="22"/>
          <w:szCs w:val="22"/>
          <w:lang w:eastAsia="en-US"/>
        </w:rPr>
        <w:t xml:space="preserve"> a cost comparison of IDS versus decompression surgery ± spinal fusion, based on a hybrid method of Diagnosis-Related Group (DRG)-based costings and study-based length of stay values. A modelling component is included in which the costs of reoperations following the index operation are quantified.</w:t>
      </w:r>
    </w:p>
    <w:p w14:paraId="2D707D31" w14:textId="40F390BA"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cost minimisation approach was justified in the ADAR on the basis of the clinical evaluation demonstrating non-inferiority and the cost of the IDS procedure being lower than the comparator ($</w:t>
      </w:r>
      <w:r w:rsidR="00CE549A">
        <w:rPr>
          <w:rFonts w:ascii="Franklin Gothic Book" w:eastAsia="Calibri" w:hAnsi="Franklin Gothic Book"/>
          <w:b/>
          <w:bCs/>
          <w:sz w:val="22"/>
          <w:szCs w:val="22"/>
          <w:lang w:eastAsia="en-US"/>
        </w:rPr>
        <w:t>Redacted</w:t>
      </w:r>
      <w:r w:rsidRPr="00986EC1">
        <w:rPr>
          <w:rFonts w:ascii="Franklin Gothic Book" w:eastAsia="Calibri" w:hAnsi="Franklin Gothic Book"/>
          <w:sz w:val="22"/>
          <w:szCs w:val="22"/>
          <w:lang w:eastAsia="en-US"/>
        </w:rPr>
        <w:t xml:space="preserve"> vs $21,134). </w:t>
      </w:r>
      <w:r w:rsidR="00B23D55">
        <w:rPr>
          <w:rFonts w:ascii="Franklin Gothic Book" w:eastAsia="Calibri" w:hAnsi="Franklin Gothic Book"/>
          <w:sz w:val="22"/>
          <w:szCs w:val="22"/>
          <w:lang w:eastAsia="en-US"/>
        </w:rPr>
        <w:t>The commentary stated that n</w:t>
      </w:r>
      <w:r w:rsidRPr="00986EC1">
        <w:rPr>
          <w:rFonts w:ascii="Franklin Gothic Book" w:eastAsia="Calibri" w:hAnsi="Franklin Gothic Book"/>
          <w:sz w:val="22"/>
          <w:szCs w:val="22"/>
          <w:lang w:eastAsia="en-US"/>
        </w:rPr>
        <w:t>either of these assumptions hold. The clinical conclusions do not support a claim of non-inferiority. Furthermore, the lower procedure cost of IDS is dependent on the rate of fusion (assumed as 25% in the ADAR). When compared with decompression alone, IDS has a higher procedure cost ($</w:t>
      </w:r>
      <w:r w:rsidR="00CE549A">
        <w:rPr>
          <w:rFonts w:ascii="Franklin Gothic Book" w:eastAsia="Calibri" w:hAnsi="Franklin Gothic Book"/>
          <w:b/>
          <w:bCs/>
          <w:sz w:val="22"/>
          <w:szCs w:val="22"/>
          <w:lang w:eastAsia="en-US"/>
        </w:rPr>
        <w:t>Redacted</w:t>
      </w:r>
      <w:r w:rsidRPr="00986EC1">
        <w:rPr>
          <w:rFonts w:ascii="Franklin Gothic Book" w:eastAsia="Calibri" w:hAnsi="Franklin Gothic Book"/>
          <w:sz w:val="22"/>
          <w:szCs w:val="22"/>
          <w:lang w:eastAsia="en-US"/>
        </w:rPr>
        <w:t xml:space="preserve"> for IDS vs $15,590 for laminectomy).</w:t>
      </w:r>
    </w:p>
    <w:p w14:paraId="4F7F92D9"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two major translation issues are the rate of fusion plus decompression surgery in the eligible population and the reoperation rates. The applicant applied a rate of 25% decompression plus fusion based on the opinion of a one clinical expert (an Australian surgeon). It is known that use of fusion is often due to clinician preference and opinions and therefore the use of a single clinical opinion leads to high uncertainty. Given the uncertainty about the clinical indications, clinical value and appropriate rate of fusion surgery for the patient population, the economic evaluation should consider a range of values including no fusion.</w:t>
      </w:r>
    </w:p>
    <w:p w14:paraId="6C3164B3"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The applicant chose not to use the meta-analysis of reoperation rates performed in Section B for the economic model, justifying this on the basis of heterogeneity and limited applicability (as the studies included comparison to decompression only). This justification is not considered sufficient. The meta-analysis had an I</w:t>
      </w:r>
      <w:r w:rsidRPr="00986EC1">
        <w:rPr>
          <w:rFonts w:ascii="Franklin Gothic Book" w:eastAsia="Calibri" w:hAnsi="Franklin Gothic Book"/>
          <w:sz w:val="22"/>
          <w:szCs w:val="22"/>
          <w:vertAlign w:val="superscript"/>
          <w:lang w:eastAsia="en-US"/>
        </w:rPr>
        <w:t>2</w:t>
      </w:r>
      <w:r w:rsidRPr="00986EC1">
        <w:rPr>
          <w:rFonts w:ascii="Franklin Gothic Book" w:eastAsia="Calibri" w:hAnsi="Franklin Gothic Book"/>
          <w:sz w:val="22"/>
          <w:szCs w:val="22"/>
          <w:lang w:eastAsia="en-US"/>
        </w:rPr>
        <w:t xml:space="preserve"> value of 0% suggesting insignificant heterogeneity, while uncertainty about the clinical place of fusion has been raised throughout the assessment. However, the values selected are similar to the meta-analysis. Reoperation rates are assumed to plateau after 3 years for both arms. There is some justification for this based on the IDE data, however the evidence is limited.</w:t>
      </w:r>
    </w:p>
    <w:p w14:paraId="3DF10703" w14:textId="0E3D681C" w:rsidR="00986EC1" w:rsidRPr="00986EC1" w:rsidRDefault="00986EC1" w:rsidP="00986EC1">
      <w:pPr>
        <w:keepNext/>
        <w:spacing w:before="360" w:after="120"/>
        <w:ind w:left="794" w:hanging="794"/>
        <w:rPr>
          <w:rFonts w:ascii="Arial Narrow" w:hAnsi="Arial Narrow"/>
          <w:b/>
          <w:bCs/>
          <w:sz w:val="20"/>
          <w:lang w:eastAsia="en-US"/>
        </w:rPr>
      </w:pPr>
      <w:r w:rsidRPr="00986EC1">
        <w:rPr>
          <w:rFonts w:ascii="Arial Narrow" w:hAnsi="Arial Narrow"/>
          <w:b/>
          <w:bCs/>
          <w:sz w:val="20"/>
          <w:lang w:eastAsia="en-US"/>
        </w:rPr>
        <w:t xml:space="preserve">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19</w:t>
      </w:r>
      <w:r w:rsidRPr="00986EC1">
        <w:rPr>
          <w:rFonts w:ascii="Arial Narrow" w:hAnsi="Arial Narrow"/>
          <w:b/>
          <w:bCs/>
          <w:noProof/>
          <w:sz w:val="20"/>
          <w:lang w:eastAsia="en-US"/>
        </w:rPr>
        <w:fldChar w:fldCharType="end"/>
      </w:r>
      <w:r w:rsidRPr="00986EC1">
        <w:rPr>
          <w:rFonts w:ascii="Arial Narrow" w:hAnsi="Arial Narrow"/>
          <w:b/>
          <w:bCs/>
          <w:sz w:val="20"/>
          <w:lang w:eastAsia="en-US"/>
        </w:rPr>
        <w:tab/>
        <w:t>Summary of the economic evaluation – 5-year cost comparison between IDS and surgical decompression ± spinal fusion</w:t>
      </w:r>
    </w:p>
    <w:tbl>
      <w:tblPr>
        <w:tblStyle w:val="OPTUMTableNormal"/>
        <w:tblW w:w="5000" w:type="pct"/>
        <w:tblLook w:val="01E0" w:firstRow="1" w:lastRow="1" w:firstColumn="1" w:lastColumn="1" w:noHBand="0" w:noVBand="0"/>
        <w:tblDescription w:val="Summary of the economic evaluation – 5-year cost comparison between IDS and surgical decompression ± spinal fusion"/>
      </w:tblPr>
      <w:tblGrid>
        <w:gridCol w:w="2122"/>
        <w:gridCol w:w="6894"/>
      </w:tblGrid>
      <w:tr w:rsidR="00986EC1" w:rsidRPr="00986EC1" w14:paraId="7041CA73" w14:textId="77777777" w:rsidTr="005917C2">
        <w:trPr>
          <w:cnfStyle w:val="100000000000" w:firstRow="1" w:lastRow="0" w:firstColumn="0" w:lastColumn="0" w:oddVBand="0" w:evenVBand="0" w:oddHBand="0" w:evenHBand="0" w:firstRowFirstColumn="0" w:firstRowLastColumn="0" w:lastRowFirstColumn="0" w:lastRowLastColumn="0"/>
          <w:trHeight w:val="20"/>
        </w:trPr>
        <w:tc>
          <w:tcPr>
            <w:tcW w:w="1177" w:type="pct"/>
            <w:hideMark/>
          </w:tcPr>
          <w:p w14:paraId="62A6CBCA" w14:textId="77777777" w:rsidR="00986EC1" w:rsidRPr="00986EC1" w:rsidRDefault="00986EC1" w:rsidP="00986EC1">
            <w:pPr>
              <w:keepNext/>
              <w:rPr>
                <w:rFonts w:ascii="Arial Narrow" w:eastAsia="SimSun" w:hAnsi="Arial Narrow"/>
                <w:b/>
                <w:sz w:val="20"/>
                <w:szCs w:val="24"/>
                <w:lang w:val="en-US"/>
              </w:rPr>
            </w:pPr>
            <w:r w:rsidRPr="00986EC1">
              <w:rPr>
                <w:rFonts w:ascii="Arial Narrow" w:eastAsia="SimSun" w:hAnsi="Arial Narrow"/>
                <w:b/>
                <w:sz w:val="20"/>
                <w:szCs w:val="24"/>
                <w:lang w:val="en-US"/>
              </w:rPr>
              <w:t>Perspective</w:t>
            </w:r>
          </w:p>
        </w:tc>
        <w:tc>
          <w:tcPr>
            <w:tcW w:w="3823" w:type="pct"/>
            <w:hideMark/>
          </w:tcPr>
          <w:p w14:paraId="33E4EC16"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Australian healthcare system</w:t>
            </w:r>
          </w:p>
        </w:tc>
      </w:tr>
      <w:tr w:rsidR="00986EC1" w:rsidRPr="00986EC1" w14:paraId="19780D3E" w14:textId="77777777" w:rsidTr="005917C2">
        <w:trPr>
          <w:trHeight w:val="20"/>
        </w:trPr>
        <w:tc>
          <w:tcPr>
            <w:tcW w:w="1177" w:type="pct"/>
            <w:tcBorders>
              <w:top w:val="single" w:sz="4" w:space="0" w:color="auto"/>
              <w:left w:val="single" w:sz="4" w:space="0" w:color="auto"/>
              <w:bottom w:val="single" w:sz="4" w:space="0" w:color="auto"/>
              <w:right w:val="single" w:sz="4" w:space="0" w:color="auto"/>
            </w:tcBorders>
            <w:hideMark/>
          </w:tcPr>
          <w:p w14:paraId="2700A267" w14:textId="77777777" w:rsidR="00986EC1" w:rsidRPr="00986EC1" w:rsidRDefault="00986EC1" w:rsidP="00986EC1">
            <w:pPr>
              <w:keepNext/>
              <w:rPr>
                <w:rFonts w:ascii="Arial Narrow" w:eastAsia="SimSun" w:hAnsi="Arial Narrow"/>
                <w:b/>
                <w:sz w:val="20"/>
                <w:szCs w:val="24"/>
                <w:lang w:val="en-US"/>
              </w:rPr>
            </w:pPr>
            <w:r w:rsidRPr="00986EC1">
              <w:rPr>
                <w:rFonts w:ascii="Arial Narrow" w:eastAsia="SimSun" w:hAnsi="Arial Narrow"/>
                <w:b/>
                <w:sz w:val="20"/>
                <w:szCs w:val="24"/>
                <w:lang w:val="en-US"/>
              </w:rPr>
              <w:t>Population</w:t>
            </w:r>
          </w:p>
        </w:tc>
        <w:tc>
          <w:tcPr>
            <w:tcW w:w="3823" w:type="pct"/>
            <w:tcBorders>
              <w:top w:val="single" w:sz="4" w:space="0" w:color="auto"/>
              <w:left w:val="single" w:sz="4" w:space="0" w:color="auto"/>
              <w:bottom w:val="single" w:sz="4" w:space="0" w:color="auto"/>
              <w:right w:val="single" w:sz="4" w:space="0" w:color="auto"/>
            </w:tcBorders>
            <w:hideMark/>
          </w:tcPr>
          <w:p w14:paraId="5E631060"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Moderate LSS at 1-2 lumbar motion segments, with or without low-grade spondylolisthesis, who have failed a trial of conservative management lasting at least 6 months.</w:t>
            </w:r>
          </w:p>
        </w:tc>
      </w:tr>
      <w:tr w:rsidR="00986EC1" w:rsidRPr="00986EC1" w14:paraId="455FA498" w14:textId="77777777" w:rsidTr="005917C2">
        <w:trPr>
          <w:trHeight w:val="20"/>
        </w:trPr>
        <w:tc>
          <w:tcPr>
            <w:tcW w:w="1177" w:type="pct"/>
            <w:tcBorders>
              <w:top w:val="single" w:sz="4" w:space="0" w:color="auto"/>
              <w:left w:val="single" w:sz="4" w:space="0" w:color="auto"/>
              <w:bottom w:val="single" w:sz="4" w:space="0" w:color="auto"/>
              <w:right w:val="single" w:sz="4" w:space="0" w:color="auto"/>
            </w:tcBorders>
            <w:hideMark/>
          </w:tcPr>
          <w:p w14:paraId="2DA0B940" w14:textId="77777777" w:rsidR="00986EC1" w:rsidRPr="00986EC1" w:rsidRDefault="00986EC1" w:rsidP="00986EC1">
            <w:pPr>
              <w:keepNext/>
              <w:rPr>
                <w:rFonts w:ascii="Arial Narrow" w:eastAsia="SimSun" w:hAnsi="Arial Narrow"/>
                <w:b/>
                <w:sz w:val="20"/>
                <w:szCs w:val="24"/>
                <w:lang w:val="en-US"/>
              </w:rPr>
            </w:pPr>
            <w:r w:rsidRPr="00986EC1">
              <w:rPr>
                <w:rFonts w:ascii="Arial Narrow" w:eastAsia="SimSun" w:hAnsi="Arial Narrow"/>
                <w:b/>
                <w:sz w:val="20"/>
                <w:szCs w:val="24"/>
                <w:lang w:val="en-US"/>
              </w:rPr>
              <w:t>Comparator</w:t>
            </w:r>
          </w:p>
        </w:tc>
        <w:tc>
          <w:tcPr>
            <w:tcW w:w="3823" w:type="pct"/>
            <w:tcBorders>
              <w:top w:val="single" w:sz="4" w:space="0" w:color="auto"/>
              <w:left w:val="single" w:sz="4" w:space="0" w:color="auto"/>
              <w:bottom w:val="single" w:sz="4" w:space="0" w:color="auto"/>
              <w:right w:val="single" w:sz="4" w:space="0" w:color="auto"/>
            </w:tcBorders>
            <w:hideMark/>
          </w:tcPr>
          <w:p w14:paraId="09EF88CC"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Decompression with or without spinal fusion</w:t>
            </w:r>
          </w:p>
        </w:tc>
      </w:tr>
      <w:tr w:rsidR="00986EC1" w:rsidRPr="00986EC1" w14:paraId="7F853732" w14:textId="77777777" w:rsidTr="005917C2">
        <w:trPr>
          <w:trHeight w:val="20"/>
        </w:trPr>
        <w:tc>
          <w:tcPr>
            <w:tcW w:w="1177" w:type="pct"/>
            <w:tcBorders>
              <w:top w:val="single" w:sz="4" w:space="0" w:color="auto"/>
              <w:left w:val="single" w:sz="4" w:space="0" w:color="auto"/>
              <w:bottom w:val="single" w:sz="4" w:space="0" w:color="auto"/>
              <w:right w:val="single" w:sz="4" w:space="0" w:color="auto"/>
            </w:tcBorders>
            <w:hideMark/>
          </w:tcPr>
          <w:p w14:paraId="013A34B0" w14:textId="77777777" w:rsidR="00986EC1" w:rsidRPr="00986EC1" w:rsidRDefault="00986EC1" w:rsidP="00986EC1">
            <w:pPr>
              <w:keepNext/>
              <w:rPr>
                <w:rFonts w:ascii="Arial Narrow" w:eastAsia="SimSun" w:hAnsi="Arial Narrow"/>
                <w:b/>
                <w:sz w:val="20"/>
                <w:szCs w:val="24"/>
                <w:lang w:val="en-US"/>
              </w:rPr>
            </w:pPr>
            <w:r w:rsidRPr="00986EC1">
              <w:rPr>
                <w:rFonts w:ascii="Arial Narrow" w:eastAsia="SimSun" w:hAnsi="Arial Narrow"/>
                <w:b/>
                <w:sz w:val="20"/>
                <w:szCs w:val="24"/>
                <w:lang w:val="en-US"/>
              </w:rPr>
              <w:t>Type of economic evaluation</w:t>
            </w:r>
          </w:p>
        </w:tc>
        <w:tc>
          <w:tcPr>
            <w:tcW w:w="3823" w:type="pct"/>
            <w:tcBorders>
              <w:top w:val="single" w:sz="4" w:space="0" w:color="auto"/>
              <w:left w:val="single" w:sz="4" w:space="0" w:color="auto"/>
              <w:bottom w:val="single" w:sz="4" w:space="0" w:color="auto"/>
              <w:right w:val="single" w:sz="4" w:space="0" w:color="auto"/>
            </w:tcBorders>
            <w:hideMark/>
          </w:tcPr>
          <w:p w14:paraId="3103F2C5"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Cost comparison (IDS demonstrated to be cost saving). Quantification of QALY gains with potentially superior safety profile is unnecessary</w:t>
            </w:r>
          </w:p>
        </w:tc>
      </w:tr>
      <w:tr w:rsidR="00986EC1" w:rsidRPr="00986EC1" w14:paraId="12AD5C0D" w14:textId="77777777" w:rsidTr="005917C2">
        <w:trPr>
          <w:trHeight w:val="20"/>
        </w:trPr>
        <w:tc>
          <w:tcPr>
            <w:tcW w:w="1177" w:type="pct"/>
            <w:tcBorders>
              <w:top w:val="single" w:sz="4" w:space="0" w:color="auto"/>
              <w:left w:val="single" w:sz="4" w:space="0" w:color="auto"/>
              <w:bottom w:val="single" w:sz="4" w:space="0" w:color="auto"/>
              <w:right w:val="single" w:sz="4" w:space="0" w:color="auto"/>
            </w:tcBorders>
            <w:hideMark/>
          </w:tcPr>
          <w:p w14:paraId="34A37762" w14:textId="77777777" w:rsidR="00986EC1" w:rsidRPr="00986EC1" w:rsidRDefault="00986EC1" w:rsidP="00986EC1">
            <w:pPr>
              <w:keepNext/>
              <w:rPr>
                <w:rFonts w:ascii="Arial Narrow" w:eastAsia="SimSun" w:hAnsi="Arial Narrow"/>
                <w:b/>
                <w:sz w:val="20"/>
                <w:szCs w:val="24"/>
                <w:lang w:val="en-US"/>
              </w:rPr>
            </w:pPr>
            <w:r w:rsidRPr="00986EC1">
              <w:rPr>
                <w:rFonts w:ascii="Arial Narrow" w:eastAsia="SimSun" w:hAnsi="Arial Narrow"/>
                <w:b/>
                <w:sz w:val="20"/>
                <w:szCs w:val="24"/>
                <w:lang w:val="en-US"/>
              </w:rPr>
              <w:t>Sources of evidence</w:t>
            </w:r>
          </w:p>
        </w:tc>
        <w:tc>
          <w:tcPr>
            <w:tcW w:w="3823" w:type="pct"/>
            <w:tcBorders>
              <w:top w:val="single" w:sz="4" w:space="0" w:color="auto"/>
              <w:left w:val="single" w:sz="4" w:space="0" w:color="auto"/>
              <w:bottom w:val="single" w:sz="4" w:space="0" w:color="auto"/>
              <w:right w:val="single" w:sz="4" w:space="0" w:color="auto"/>
            </w:tcBorders>
            <w:hideMark/>
          </w:tcPr>
          <w:p w14:paraId="7E27B05B"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Reoperation rates = Superion IDE study, Deyo (2013)</w:t>
            </w:r>
          </w:p>
          <w:p w14:paraId="53A59762"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 xml:space="preserve">Cost inputs = Derived using relevant MBS fees and other resource costs, Machado (2017) </w:t>
            </w:r>
          </w:p>
        </w:tc>
      </w:tr>
      <w:tr w:rsidR="00986EC1" w:rsidRPr="00986EC1" w14:paraId="4DC86319" w14:textId="77777777" w:rsidTr="005917C2">
        <w:trPr>
          <w:trHeight w:val="20"/>
        </w:trPr>
        <w:tc>
          <w:tcPr>
            <w:tcW w:w="1177" w:type="pct"/>
            <w:tcBorders>
              <w:top w:val="single" w:sz="4" w:space="0" w:color="auto"/>
              <w:left w:val="single" w:sz="4" w:space="0" w:color="auto"/>
              <w:bottom w:val="single" w:sz="4" w:space="0" w:color="auto"/>
              <w:right w:val="single" w:sz="4" w:space="0" w:color="auto"/>
            </w:tcBorders>
            <w:hideMark/>
          </w:tcPr>
          <w:p w14:paraId="1FB12336" w14:textId="77777777" w:rsidR="00986EC1" w:rsidRPr="00986EC1" w:rsidRDefault="00986EC1" w:rsidP="00986EC1">
            <w:pPr>
              <w:keepNext/>
              <w:rPr>
                <w:rFonts w:ascii="Arial Narrow" w:eastAsia="SimSun" w:hAnsi="Arial Narrow"/>
                <w:b/>
                <w:sz w:val="20"/>
                <w:szCs w:val="24"/>
                <w:lang w:val="en-US"/>
              </w:rPr>
            </w:pPr>
            <w:r w:rsidRPr="00986EC1">
              <w:rPr>
                <w:rFonts w:ascii="Arial Narrow" w:eastAsia="SimSun" w:hAnsi="Arial Narrow"/>
                <w:b/>
                <w:sz w:val="20"/>
                <w:szCs w:val="24"/>
                <w:lang w:val="en-US"/>
              </w:rPr>
              <w:t>Time horizon</w:t>
            </w:r>
          </w:p>
        </w:tc>
        <w:tc>
          <w:tcPr>
            <w:tcW w:w="3823" w:type="pct"/>
            <w:tcBorders>
              <w:top w:val="single" w:sz="4" w:space="0" w:color="auto"/>
              <w:left w:val="single" w:sz="4" w:space="0" w:color="auto"/>
              <w:bottom w:val="single" w:sz="4" w:space="0" w:color="auto"/>
              <w:right w:val="single" w:sz="4" w:space="0" w:color="auto"/>
            </w:tcBorders>
            <w:hideMark/>
          </w:tcPr>
          <w:p w14:paraId="69A082D7"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 xml:space="preserve">5 years </w:t>
            </w:r>
          </w:p>
        </w:tc>
      </w:tr>
      <w:tr w:rsidR="00986EC1" w:rsidRPr="00986EC1" w14:paraId="41FE95FB" w14:textId="77777777" w:rsidTr="005917C2">
        <w:trPr>
          <w:trHeight w:val="20"/>
        </w:trPr>
        <w:tc>
          <w:tcPr>
            <w:tcW w:w="1177" w:type="pct"/>
            <w:tcBorders>
              <w:top w:val="single" w:sz="4" w:space="0" w:color="auto"/>
              <w:left w:val="single" w:sz="4" w:space="0" w:color="auto"/>
              <w:bottom w:val="single" w:sz="4" w:space="0" w:color="auto"/>
              <w:right w:val="single" w:sz="4" w:space="0" w:color="auto"/>
            </w:tcBorders>
            <w:hideMark/>
          </w:tcPr>
          <w:p w14:paraId="1B8E8CA0" w14:textId="77777777" w:rsidR="00986EC1" w:rsidRPr="00986EC1" w:rsidRDefault="00986EC1" w:rsidP="00986EC1">
            <w:pPr>
              <w:keepNext/>
              <w:rPr>
                <w:rFonts w:ascii="Arial Narrow" w:eastAsia="SimSun" w:hAnsi="Arial Narrow"/>
                <w:b/>
                <w:sz w:val="20"/>
                <w:szCs w:val="24"/>
                <w:lang w:val="en-US"/>
              </w:rPr>
            </w:pPr>
            <w:r w:rsidRPr="00986EC1">
              <w:rPr>
                <w:rFonts w:ascii="Arial Narrow" w:eastAsia="SimSun" w:hAnsi="Arial Narrow"/>
                <w:b/>
                <w:sz w:val="20"/>
                <w:szCs w:val="24"/>
                <w:lang w:val="en-US"/>
              </w:rPr>
              <w:t>Outcomes</w:t>
            </w:r>
          </w:p>
        </w:tc>
        <w:tc>
          <w:tcPr>
            <w:tcW w:w="3823" w:type="pct"/>
            <w:tcBorders>
              <w:top w:val="single" w:sz="4" w:space="0" w:color="auto"/>
              <w:left w:val="single" w:sz="4" w:space="0" w:color="auto"/>
              <w:bottom w:val="single" w:sz="4" w:space="0" w:color="auto"/>
              <w:right w:val="single" w:sz="4" w:space="0" w:color="auto"/>
            </w:tcBorders>
            <w:hideMark/>
          </w:tcPr>
          <w:p w14:paraId="46B5A819"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 xml:space="preserve">Not relevant </w:t>
            </w:r>
          </w:p>
        </w:tc>
      </w:tr>
      <w:tr w:rsidR="00986EC1" w:rsidRPr="00986EC1" w14:paraId="5EDD029B" w14:textId="77777777" w:rsidTr="005917C2">
        <w:trPr>
          <w:trHeight w:val="20"/>
        </w:trPr>
        <w:tc>
          <w:tcPr>
            <w:tcW w:w="1177" w:type="pct"/>
            <w:tcBorders>
              <w:top w:val="single" w:sz="4" w:space="0" w:color="auto"/>
              <w:left w:val="single" w:sz="4" w:space="0" w:color="auto"/>
              <w:bottom w:val="single" w:sz="4" w:space="0" w:color="auto"/>
              <w:right w:val="single" w:sz="4" w:space="0" w:color="auto"/>
            </w:tcBorders>
            <w:hideMark/>
          </w:tcPr>
          <w:p w14:paraId="5ECCA249" w14:textId="77777777" w:rsidR="00986EC1" w:rsidRPr="00986EC1" w:rsidRDefault="00986EC1" w:rsidP="00986EC1">
            <w:pPr>
              <w:keepNext/>
              <w:rPr>
                <w:rFonts w:ascii="Arial Narrow" w:eastAsia="SimSun" w:hAnsi="Arial Narrow"/>
                <w:b/>
                <w:sz w:val="20"/>
                <w:szCs w:val="24"/>
                <w:lang w:val="en-US"/>
              </w:rPr>
            </w:pPr>
            <w:r w:rsidRPr="00986EC1">
              <w:rPr>
                <w:rFonts w:ascii="Arial Narrow" w:eastAsia="SimSun" w:hAnsi="Arial Narrow"/>
                <w:b/>
                <w:sz w:val="20"/>
                <w:szCs w:val="24"/>
                <w:lang w:val="en-US"/>
              </w:rPr>
              <w:t>Methods used</w:t>
            </w:r>
          </w:p>
        </w:tc>
        <w:tc>
          <w:tcPr>
            <w:tcW w:w="3823" w:type="pct"/>
            <w:tcBorders>
              <w:top w:val="single" w:sz="4" w:space="0" w:color="auto"/>
              <w:left w:val="single" w:sz="4" w:space="0" w:color="auto"/>
              <w:bottom w:val="single" w:sz="4" w:space="0" w:color="auto"/>
              <w:right w:val="single" w:sz="4" w:space="0" w:color="auto"/>
            </w:tcBorders>
            <w:hideMark/>
          </w:tcPr>
          <w:p w14:paraId="6B7ABE22"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 xml:space="preserve">Cost comparison with 5-year modelling of reoperation incidence </w:t>
            </w:r>
          </w:p>
        </w:tc>
      </w:tr>
      <w:tr w:rsidR="00986EC1" w:rsidRPr="00986EC1" w14:paraId="55C3BC86" w14:textId="77777777" w:rsidTr="005917C2">
        <w:trPr>
          <w:trHeight w:val="20"/>
        </w:trPr>
        <w:tc>
          <w:tcPr>
            <w:tcW w:w="1177" w:type="pct"/>
            <w:tcBorders>
              <w:top w:val="single" w:sz="4" w:space="0" w:color="auto"/>
              <w:left w:val="single" w:sz="4" w:space="0" w:color="auto"/>
              <w:bottom w:val="single" w:sz="4" w:space="0" w:color="auto"/>
              <w:right w:val="single" w:sz="4" w:space="0" w:color="auto"/>
            </w:tcBorders>
            <w:hideMark/>
          </w:tcPr>
          <w:p w14:paraId="5FB9CFA5" w14:textId="77777777" w:rsidR="00986EC1" w:rsidRPr="00986EC1" w:rsidRDefault="00986EC1" w:rsidP="00986EC1">
            <w:pPr>
              <w:keepNext/>
              <w:rPr>
                <w:rFonts w:ascii="Arial Narrow" w:eastAsia="SimSun" w:hAnsi="Arial Narrow"/>
                <w:b/>
                <w:sz w:val="20"/>
                <w:szCs w:val="24"/>
                <w:lang w:val="en-US"/>
              </w:rPr>
            </w:pPr>
            <w:r w:rsidRPr="00986EC1">
              <w:rPr>
                <w:rFonts w:ascii="Arial Narrow" w:eastAsia="SimSun" w:hAnsi="Arial Narrow"/>
                <w:b/>
                <w:sz w:val="20"/>
                <w:szCs w:val="24"/>
                <w:lang w:val="en-US"/>
              </w:rPr>
              <w:t>Health states</w:t>
            </w:r>
          </w:p>
        </w:tc>
        <w:tc>
          <w:tcPr>
            <w:tcW w:w="3823" w:type="pct"/>
            <w:tcBorders>
              <w:top w:val="single" w:sz="4" w:space="0" w:color="auto"/>
              <w:left w:val="single" w:sz="4" w:space="0" w:color="auto"/>
              <w:bottom w:val="single" w:sz="4" w:space="0" w:color="auto"/>
              <w:right w:val="single" w:sz="4" w:space="0" w:color="auto"/>
            </w:tcBorders>
            <w:hideMark/>
          </w:tcPr>
          <w:p w14:paraId="765FD6E3"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 xml:space="preserve">Not relevant </w:t>
            </w:r>
          </w:p>
        </w:tc>
      </w:tr>
      <w:tr w:rsidR="00986EC1" w:rsidRPr="00986EC1" w14:paraId="49DB5A34" w14:textId="77777777" w:rsidTr="005917C2">
        <w:trPr>
          <w:trHeight w:val="20"/>
        </w:trPr>
        <w:tc>
          <w:tcPr>
            <w:tcW w:w="1177" w:type="pct"/>
            <w:tcBorders>
              <w:top w:val="single" w:sz="4" w:space="0" w:color="auto"/>
              <w:left w:val="single" w:sz="4" w:space="0" w:color="auto"/>
              <w:bottom w:val="single" w:sz="4" w:space="0" w:color="auto"/>
              <w:right w:val="single" w:sz="4" w:space="0" w:color="auto"/>
            </w:tcBorders>
            <w:hideMark/>
          </w:tcPr>
          <w:p w14:paraId="51243679" w14:textId="77777777" w:rsidR="00986EC1" w:rsidRPr="00986EC1" w:rsidRDefault="00986EC1" w:rsidP="00986EC1">
            <w:pPr>
              <w:keepNext/>
              <w:rPr>
                <w:rFonts w:ascii="Arial Narrow" w:eastAsia="SimSun" w:hAnsi="Arial Narrow"/>
                <w:b/>
                <w:sz w:val="20"/>
                <w:szCs w:val="24"/>
                <w:lang w:val="en-US"/>
              </w:rPr>
            </w:pPr>
            <w:r w:rsidRPr="00986EC1">
              <w:rPr>
                <w:rFonts w:ascii="Arial Narrow" w:eastAsia="SimSun" w:hAnsi="Arial Narrow"/>
                <w:b/>
                <w:sz w:val="20"/>
                <w:szCs w:val="24"/>
                <w:lang w:val="en-US"/>
              </w:rPr>
              <w:t>Cycle length</w:t>
            </w:r>
          </w:p>
        </w:tc>
        <w:tc>
          <w:tcPr>
            <w:tcW w:w="3823" w:type="pct"/>
            <w:tcBorders>
              <w:top w:val="single" w:sz="4" w:space="0" w:color="auto"/>
              <w:left w:val="single" w:sz="4" w:space="0" w:color="auto"/>
              <w:bottom w:val="single" w:sz="4" w:space="0" w:color="auto"/>
              <w:right w:val="single" w:sz="4" w:space="0" w:color="auto"/>
            </w:tcBorders>
            <w:hideMark/>
          </w:tcPr>
          <w:p w14:paraId="754A98F8"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1 year</w:t>
            </w:r>
          </w:p>
        </w:tc>
      </w:tr>
      <w:tr w:rsidR="00986EC1" w:rsidRPr="00986EC1" w14:paraId="4AFA1B3A" w14:textId="77777777" w:rsidTr="005917C2">
        <w:trPr>
          <w:trHeight w:val="20"/>
        </w:trPr>
        <w:tc>
          <w:tcPr>
            <w:tcW w:w="1177" w:type="pct"/>
            <w:tcBorders>
              <w:top w:val="single" w:sz="4" w:space="0" w:color="auto"/>
              <w:left w:val="single" w:sz="4" w:space="0" w:color="auto"/>
              <w:bottom w:val="single" w:sz="4" w:space="0" w:color="auto"/>
              <w:right w:val="single" w:sz="4" w:space="0" w:color="auto"/>
            </w:tcBorders>
            <w:hideMark/>
          </w:tcPr>
          <w:p w14:paraId="7F205D52" w14:textId="77777777" w:rsidR="00986EC1" w:rsidRPr="00986EC1" w:rsidRDefault="00986EC1" w:rsidP="00986EC1">
            <w:pPr>
              <w:keepNext/>
              <w:rPr>
                <w:rFonts w:ascii="Arial Narrow" w:eastAsia="SimSun" w:hAnsi="Arial Narrow"/>
                <w:b/>
                <w:sz w:val="20"/>
                <w:szCs w:val="24"/>
                <w:lang w:val="en-US"/>
              </w:rPr>
            </w:pPr>
            <w:r w:rsidRPr="00986EC1">
              <w:rPr>
                <w:rFonts w:ascii="Arial Narrow" w:eastAsia="SimSun" w:hAnsi="Arial Narrow"/>
                <w:b/>
                <w:sz w:val="20"/>
                <w:szCs w:val="24"/>
                <w:lang w:val="en-US"/>
              </w:rPr>
              <w:t>Discount rate</w:t>
            </w:r>
          </w:p>
        </w:tc>
        <w:tc>
          <w:tcPr>
            <w:tcW w:w="3823" w:type="pct"/>
            <w:tcBorders>
              <w:top w:val="single" w:sz="4" w:space="0" w:color="auto"/>
              <w:left w:val="single" w:sz="4" w:space="0" w:color="auto"/>
              <w:bottom w:val="single" w:sz="4" w:space="0" w:color="auto"/>
              <w:right w:val="single" w:sz="4" w:space="0" w:color="auto"/>
            </w:tcBorders>
            <w:hideMark/>
          </w:tcPr>
          <w:p w14:paraId="17A90A3A"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5%</w:t>
            </w:r>
          </w:p>
        </w:tc>
      </w:tr>
      <w:tr w:rsidR="00986EC1" w:rsidRPr="00986EC1" w14:paraId="25D73460" w14:textId="77777777" w:rsidTr="005917C2">
        <w:trPr>
          <w:trHeight w:val="20"/>
        </w:trPr>
        <w:tc>
          <w:tcPr>
            <w:tcW w:w="1177" w:type="pct"/>
            <w:tcBorders>
              <w:top w:val="single" w:sz="4" w:space="0" w:color="auto"/>
              <w:left w:val="single" w:sz="4" w:space="0" w:color="auto"/>
              <w:bottom w:val="single" w:sz="4" w:space="0" w:color="auto"/>
              <w:right w:val="single" w:sz="4" w:space="0" w:color="auto"/>
            </w:tcBorders>
          </w:tcPr>
          <w:p w14:paraId="77F356D6" w14:textId="77777777" w:rsidR="00986EC1" w:rsidRPr="00986EC1" w:rsidRDefault="00986EC1" w:rsidP="00986EC1">
            <w:pPr>
              <w:keepNext/>
              <w:rPr>
                <w:rFonts w:ascii="Arial Narrow" w:eastAsia="SimSun" w:hAnsi="Arial Narrow"/>
                <w:b/>
                <w:sz w:val="20"/>
                <w:szCs w:val="24"/>
                <w:lang w:val="en-US"/>
              </w:rPr>
            </w:pPr>
            <w:r w:rsidRPr="00986EC1">
              <w:rPr>
                <w:rFonts w:ascii="Arial Narrow" w:eastAsia="SimSun" w:hAnsi="Arial Narrow"/>
                <w:b/>
                <w:sz w:val="20"/>
                <w:szCs w:val="24"/>
                <w:lang w:val="en-US"/>
              </w:rPr>
              <w:t xml:space="preserve">Software </w:t>
            </w:r>
          </w:p>
        </w:tc>
        <w:tc>
          <w:tcPr>
            <w:tcW w:w="3823" w:type="pct"/>
            <w:tcBorders>
              <w:top w:val="single" w:sz="4" w:space="0" w:color="auto"/>
              <w:left w:val="single" w:sz="4" w:space="0" w:color="auto"/>
              <w:bottom w:val="single" w:sz="4" w:space="0" w:color="auto"/>
              <w:right w:val="single" w:sz="4" w:space="0" w:color="auto"/>
            </w:tcBorders>
          </w:tcPr>
          <w:p w14:paraId="4D57369E" w14:textId="77777777" w:rsidR="00986EC1" w:rsidRPr="00986EC1" w:rsidRDefault="00986EC1" w:rsidP="00986EC1">
            <w:pPr>
              <w:spacing w:after="40"/>
              <w:jc w:val="both"/>
              <w:rPr>
                <w:rFonts w:ascii="Arial Narrow" w:hAnsi="Arial Narrow" w:cs="Tahoma"/>
                <w:sz w:val="20"/>
              </w:rPr>
            </w:pPr>
            <w:r w:rsidRPr="00986EC1">
              <w:rPr>
                <w:rFonts w:ascii="Arial Narrow" w:hAnsi="Arial Narrow" w:cs="Tahoma"/>
                <w:sz w:val="20"/>
              </w:rPr>
              <w:t xml:space="preserve">Microsoft Excel </w:t>
            </w:r>
          </w:p>
        </w:tc>
      </w:tr>
    </w:tbl>
    <w:p w14:paraId="1EE099AA" w14:textId="712F1971" w:rsidR="00B23D55" w:rsidRDefault="00B23D55" w:rsidP="00B23D55">
      <w:pPr>
        <w:pStyle w:val="Tablenotes1"/>
        <w:rPr>
          <w:rFonts w:eastAsia="Calibri"/>
        </w:rPr>
      </w:pPr>
      <w:r>
        <w:rPr>
          <w:rFonts w:eastAsia="Calibri"/>
        </w:rPr>
        <w:t>Source: Commentary, Table 19</w:t>
      </w:r>
    </w:p>
    <w:p w14:paraId="4C010CB5" w14:textId="338EC525" w:rsidR="00986EC1" w:rsidRPr="00986EC1" w:rsidRDefault="00986EC1" w:rsidP="00986EC1">
      <w:pPr>
        <w:spacing w:before="36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 xml:space="preserve">The base case is presented in </w:t>
      </w:r>
      <w:r w:rsidRPr="00986EC1">
        <w:rPr>
          <w:rFonts w:ascii="Franklin Gothic Book" w:eastAsia="Calibri" w:hAnsi="Franklin Gothic Book"/>
          <w:sz w:val="22"/>
          <w:szCs w:val="22"/>
          <w:lang w:eastAsia="en-US"/>
        </w:rPr>
        <w:fldChar w:fldCharType="begin"/>
      </w:r>
      <w:r w:rsidRPr="00986EC1">
        <w:rPr>
          <w:rFonts w:ascii="Franklin Gothic Book" w:eastAsia="Calibri" w:hAnsi="Franklin Gothic Book"/>
          <w:sz w:val="22"/>
          <w:szCs w:val="22"/>
          <w:lang w:eastAsia="en-US"/>
        </w:rPr>
        <w:instrText xml:space="preserve"> REF _Ref79697490 \h </w:instrText>
      </w:r>
      <w:r w:rsidR="00FC6CFF">
        <w:rPr>
          <w:rFonts w:ascii="Franklin Gothic Book" w:eastAsia="Calibri" w:hAnsi="Franklin Gothic Book"/>
          <w:sz w:val="22"/>
          <w:szCs w:val="22"/>
          <w:lang w:eastAsia="en-US"/>
        </w:rPr>
        <w:instrText xml:space="preserve"> \* MERGEFORMAT </w:instrText>
      </w:r>
      <w:r w:rsidRPr="00986EC1">
        <w:rPr>
          <w:rFonts w:ascii="Franklin Gothic Book" w:eastAsia="Calibri" w:hAnsi="Franklin Gothic Book"/>
          <w:sz w:val="22"/>
          <w:szCs w:val="22"/>
          <w:lang w:eastAsia="en-US"/>
        </w:rPr>
      </w:r>
      <w:r w:rsidRPr="00986EC1">
        <w:rPr>
          <w:rFonts w:ascii="Franklin Gothic Book" w:eastAsia="Calibri" w:hAnsi="Franklin Gothic Book"/>
          <w:sz w:val="22"/>
          <w:szCs w:val="22"/>
          <w:lang w:eastAsia="en-US"/>
        </w:rPr>
        <w:fldChar w:fldCharType="separate"/>
      </w:r>
      <w:r w:rsidR="00EE4CB3" w:rsidRPr="00EE4CB3">
        <w:rPr>
          <w:rFonts w:ascii="Franklin Gothic Book" w:eastAsia="Calibri" w:hAnsi="Franklin Gothic Book"/>
          <w:sz w:val="22"/>
          <w:szCs w:val="22"/>
          <w:lang w:eastAsia="en-US"/>
        </w:rPr>
        <w:t>Table 20</w:t>
      </w:r>
      <w:r w:rsidRPr="00986EC1">
        <w:rPr>
          <w:rFonts w:ascii="Franklin Gothic Book" w:eastAsia="Calibri" w:hAnsi="Franklin Gothic Book"/>
          <w:sz w:val="22"/>
          <w:szCs w:val="22"/>
          <w:lang w:eastAsia="en-US"/>
        </w:rPr>
        <w:fldChar w:fldCharType="end"/>
      </w:r>
      <w:r w:rsidRPr="00986EC1">
        <w:rPr>
          <w:rFonts w:ascii="Franklin Gothic Book" w:eastAsia="Calibri" w:hAnsi="Franklin Gothic Book"/>
          <w:sz w:val="22"/>
          <w:szCs w:val="22"/>
          <w:lang w:eastAsia="en-US"/>
        </w:rPr>
        <w:t>. No indirect or out-of-pocket costs are included in this analysis (e.g., lost work time, travel and accommodation costs for the patients and their carers). This is likely to bias against IDS in the current analysis.</w:t>
      </w:r>
    </w:p>
    <w:p w14:paraId="5F5160AE" w14:textId="3D05C47D" w:rsidR="00986EC1" w:rsidRPr="00986EC1" w:rsidRDefault="00986EC1" w:rsidP="00986EC1">
      <w:pPr>
        <w:keepNext/>
        <w:spacing w:before="360" w:after="120"/>
        <w:ind w:left="794" w:hanging="794"/>
        <w:rPr>
          <w:rFonts w:ascii="Arial Narrow" w:hAnsi="Arial Narrow"/>
          <w:b/>
          <w:bCs/>
          <w:sz w:val="20"/>
          <w:lang w:eastAsia="en-US"/>
        </w:rPr>
      </w:pPr>
      <w:bookmarkStart w:id="68" w:name="_Ref79697490"/>
      <w:r w:rsidRPr="00986EC1">
        <w:rPr>
          <w:rFonts w:ascii="Arial Narrow" w:hAnsi="Arial Narrow"/>
          <w:b/>
          <w:bCs/>
          <w:sz w:val="20"/>
          <w:lang w:eastAsia="en-US"/>
        </w:rPr>
        <w:t xml:space="preserve">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20</w:t>
      </w:r>
      <w:r w:rsidRPr="00986EC1">
        <w:rPr>
          <w:rFonts w:ascii="Arial Narrow" w:hAnsi="Arial Narrow"/>
          <w:b/>
          <w:bCs/>
          <w:noProof/>
          <w:sz w:val="20"/>
          <w:lang w:eastAsia="en-US"/>
        </w:rPr>
        <w:fldChar w:fldCharType="end"/>
      </w:r>
      <w:bookmarkEnd w:id="68"/>
      <w:r w:rsidRPr="00986EC1">
        <w:rPr>
          <w:rFonts w:ascii="Arial Narrow" w:hAnsi="Arial Narrow"/>
          <w:b/>
          <w:bCs/>
          <w:sz w:val="20"/>
          <w:lang w:eastAsia="en-US"/>
        </w:rPr>
        <w:tab/>
        <w:t>Cost comparison between IDS and decompression ± spinal fusion (index operations only) – base case</w:t>
      </w:r>
    </w:p>
    <w:tbl>
      <w:tblPr>
        <w:tblStyle w:val="OPTUMTableNormal"/>
        <w:tblW w:w="5000" w:type="pct"/>
        <w:tblLayout w:type="fixed"/>
        <w:tblLook w:val="04A0" w:firstRow="1" w:lastRow="0" w:firstColumn="1" w:lastColumn="0" w:noHBand="0" w:noVBand="1"/>
        <w:tblDescription w:val="Cost comparison between IDS and decompression ± spinal fusion (index operations only) – base case"/>
      </w:tblPr>
      <w:tblGrid>
        <w:gridCol w:w="1555"/>
        <w:gridCol w:w="1134"/>
        <w:gridCol w:w="1488"/>
        <w:gridCol w:w="1489"/>
        <w:gridCol w:w="3350"/>
      </w:tblGrid>
      <w:tr w:rsidR="00986EC1" w:rsidRPr="00986EC1" w14:paraId="76F280E0" w14:textId="77777777" w:rsidTr="005917C2">
        <w:trPr>
          <w:cnfStyle w:val="100000000000" w:firstRow="1" w:lastRow="0" w:firstColumn="0" w:lastColumn="0" w:oddVBand="0" w:evenVBand="0" w:oddHBand="0" w:evenHBand="0" w:firstRowFirstColumn="0" w:firstRowLastColumn="0" w:lastRowFirstColumn="0" w:lastRowLastColumn="0"/>
          <w:tblHeader/>
        </w:trPr>
        <w:tc>
          <w:tcPr>
            <w:tcW w:w="862" w:type="pct"/>
            <w:vMerge w:val="restart"/>
            <w:shd w:val="clear" w:color="auto" w:fill="auto"/>
          </w:tcPr>
          <w:p w14:paraId="4FF6E6C0" w14:textId="77777777" w:rsidR="00986EC1" w:rsidRPr="00986EC1" w:rsidRDefault="00986EC1" w:rsidP="00986EC1">
            <w:pPr>
              <w:keepNext/>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Resource item / cost variable</w:t>
            </w:r>
          </w:p>
        </w:tc>
        <w:tc>
          <w:tcPr>
            <w:tcW w:w="629" w:type="pct"/>
            <w:vMerge w:val="restart"/>
          </w:tcPr>
          <w:p w14:paraId="4DFF3109" w14:textId="77777777" w:rsidR="00986EC1" w:rsidRPr="00986EC1" w:rsidRDefault="00986EC1" w:rsidP="00986EC1">
            <w:pPr>
              <w:keepNext/>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IDS</w:t>
            </w:r>
          </w:p>
        </w:tc>
        <w:tc>
          <w:tcPr>
            <w:tcW w:w="1651" w:type="pct"/>
            <w:gridSpan w:val="2"/>
          </w:tcPr>
          <w:p w14:paraId="52090594" w14:textId="77777777" w:rsidR="00986EC1" w:rsidRPr="00986EC1" w:rsidRDefault="00986EC1" w:rsidP="00986EC1">
            <w:pPr>
              <w:keepNext/>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Decompression ± spinal fusion</w:t>
            </w:r>
          </w:p>
        </w:tc>
        <w:tc>
          <w:tcPr>
            <w:tcW w:w="1858" w:type="pct"/>
            <w:vMerge w:val="restart"/>
          </w:tcPr>
          <w:p w14:paraId="3F27DA67" w14:textId="77777777" w:rsidR="00986EC1" w:rsidRPr="00986EC1" w:rsidRDefault="00986EC1" w:rsidP="00986EC1">
            <w:pPr>
              <w:keepNext/>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Source (see Section C.5)</w:t>
            </w:r>
          </w:p>
        </w:tc>
      </w:tr>
      <w:tr w:rsidR="00986EC1" w:rsidRPr="00986EC1" w14:paraId="04A5D4A6" w14:textId="77777777" w:rsidTr="005917C2">
        <w:trPr>
          <w:cnfStyle w:val="100000000000" w:firstRow="1" w:lastRow="0" w:firstColumn="0" w:lastColumn="0" w:oddVBand="0" w:evenVBand="0" w:oddHBand="0" w:evenHBand="0" w:firstRowFirstColumn="0" w:firstRowLastColumn="0" w:lastRowFirstColumn="0" w:lastRowLastColumn="0"/>
          <w:tblHeader/>
        </w:trPr>
        <w:tc>
          <w:tcPr>
            <w:tcW w:w="862" w:type="pct"/>
            <w:vMerge/>
            <w:shd w:val="clear" w:color="auto" w:fill="auto"/>
          </w:tcPr>
          <w:p w14:paraId="5046FAF3" w14:textId="77777777" w:rsidR="00986EC1" w:rsidRPr="00986EC1" w:rsidRDefault="00986EC1" w:rsidP="00986EC1">
            <w:pPr>
              <w:keepNext/>
              <w:spacing w:after="40"/>
              <w:rPr>
                <w:rFonts w:ascii="Arial Narrow" w:eastAsia="Calibri" w:hAnsi="Arial Narrow"/>
                <w:sz w:val="20"/>
                <w:szCs w:val="22"/>
                <w:lang w:eastAsia="en-US"/>
              </w:rPr>
            </w:pPr>
          </w:p>
        </w:tc>
        <w:tc>
          <w:tcPr>
            <w:tcW w:w="629" w:type="pct"/>
            <w:vMerge/>
          </w:tcPr>
          <w:p w14:paraId="4E161391" w14:textId="77777777" w:rsidR="00986EC1" w:rsidRPr="00986EC1" w:rsidRDefault="00986EC1" w:rsidP="00986EC1">
            <w:pPr>
              <w:keepNext/>
              <w:spacing w:after="40"/>
              <w:jc w:val="center"/>
              <w:rPr>
                <w:rFonts w:ascii="Arial Narrow" w:eastAsia="Calibri" w:hAnsi="Arial Narrow"/>
                <w:sz w:val="20"/>
                <w:szCs w:val="22"/>
                <w:lang w:eastAsia="en-US"/>
              </w:rPr>
            </w:pPr>
          </w:p>
        </w:tc>
        <w:tc>
          <w:tcPr>
            <w:tcW w:w="825" w:type="pct"/>
          </w:tcPr>
          <w:p w14:paraId="3FF992F8" w14:textId="77777777" w:rsidR="00986EC1" w:rsidRPr="00986EC1" w:rsidRDefault="00986EC1" w:rsidP="00986EC1">
            <w:pPr>
              <w:keepNext/>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Decompression alone</w:t>
            </w:r>
          </w:p>
        </w:tc>
        <w:tc>
          <w:tcPr>
            <w:tcW w:w="826" w:type="pct"/>
          </w:tcPr>
          <w:p w14:paraId="64880025" w14:textId="77777777" w:rsidR="00986EC1" w:rsidRPr="00986EC1" w:rsidRDefault="00986EC1" w:rsidP="00986EC1">
            <w:pPr>
              <w:keepNext/>
              <w:spacing w:before="120" w:after="60"/>
              <w:rPr>
                <w:rFonts w:ascii="Arial Narrow" w:eastAsia="Calibri" w:hAnsi="Arial Narrow"/>
                <w:b/>
                <w:sz w:val="20"/>
                <w:szCs w:val="22"/>
                <w:lang w:eastAsia="en-US"/>
              </w:rPr>
            </w:pPr>
            <w:r w:rsidRPr="00986EC1">
              <w:rPr>
                <w:rFonts w:ascii="Arial Narrow" w:eastAsia="Calibri" w:hAnsi="Arial Narrow"/>
                <w:b/>
                <w:sz w:val="20"/>
                <w:szCs w:val="22"/>
                <w:lang w:eastAsia="en-US"/>
              </w:rPr>
              <w:t>Decompression plus fusion</w:t>
            </w:r>
          </w:p>
        </w:tc>
        <w:tc>
          <w:tcPr>
            <w:tcW w:w="1858" w:type="pct"/>
            <w:vMerge/>
          </w:tcPr>
          <w:p w14:paraId="507A734B" w14:textId="77777777" w:rsidR="00986EC1" w:rsidRPr="00986EC1" w:rsidRDefault="00986EC1" w:rsidP="00986EC1">
            <w:pPr>
              <w:keepNext/>
              <w:spacing w:before="120" w:after="60"/>
              <w:rPr>
                <w:rFonts w:ascii="Arial Narrow" w:eastAsia="Calibri" w:hAnsi="Arial Narrow"/>
                <w:b/>
                <w:sz w:val="20"/>
                <w:szCs w:val="22"/>
                <w:lang w:eastAsia="en-US"/>
              </w:rPr>
            </w:pPr>
          </w:p>
        </w:tc>
      </w:tr>
      <w:tr w:rsidR="00986EC1" w:rsidRPr="00986EC1" w14:paraId="32F735F0" w14:textId="77777777" w:rsidTr="005917C2">
        <w:tc>
          <w:tcPr>
            <w:tcW w:w="862" w:type="pct"/>
            <w:shd w:val="clear" w:color="auto" w:fill="auto"/>
          </w:tcPr>
          <w:p w14:paraId="68DB93F5" w14:textId="77777777" w:rsidR="00986EC1" w:rsidRPr="00986EC1" w:rsidRDefault="00986EC1" w:rsidP="00986EC1">
            <w:pPr>
              <w:keepNext/>
              <w:spacing w:after="40"/>
              <w:rPr>
                <w:rFonts w:ascii="Arial Narrow" w:hAnsi="Arial Narrow" w:cs="Tahoma"/>
                <w:sz w:val="20"/>
              </w:rPr>
            </w:pPr>
            <w:r w:rsidRPr="00986EC1">
              <w:rPr>
                <w:rFonts w:ascii="Arial Narrow" w:hAnsi="Arial Narrow" w:cs="Tahoma"/>
                <w:sz w:val="20"/>
              </w:rPr>
              <w:t>Total, per procedure</w:t>
            </w:r>
          </w:p>
        </w:tc>
        <w:tc>
          <w:tcPr>
            <w:tcW w:w="629" w:type="pct"/>
          </w:tcPr>
          <w:p w14:paraId="4AC80BEC" w14:textId="462044D9" w:rsidR="00986EC1" w:rsidRPr="00986EC1" w:rsidRDefault="00986EC1" w:rsidP="00986EC1">
            <w:pPr>
              <w:keepNext/>
              <w:spacing w:after="40"/>
              <w:jc w:val="both"/>
              <w:rPr>
                <w:rFonts w:ascii="Arial Narrow" w:hAnsi="Arial Narrow" w:cs="Tahoma"/>
                <w:sz w:val="20"/>
              </w:rPr>
            </w:pPr>
            <w:r w:rsidRPr="00986EC1">
              <w:rPr>
                <w:rFonts w:ascii="Arial Narrow" w:hAnsi="Arial Narrow" w:cs="Tahoma"/>
                <w:sz w:val="20"/>
              </w:rPr>
              <w:t>$</w:t>
            </w:r>
            <w:r w:rsidR="00CE549A">
              <w:rPr>
                <w:rFonts w:ascii="Arial Narrow" w:hAnsi="Arial Narrow" w:cs="Tahoma"/>
                <w:b/>
                <w:bCs/>
                <w:sz w:val="20"/>
              </w:rPr>
              <w:t>Redacted</w:t>
            </w:r>
          </w:p>
        </w:tc>
        <w:tc>
          <w:tcPr>
            <w:tcW w:w="825" w:type="pct"/>
          </w:tcPr>
          <w:p w14:paraId="777E487A" w14:textId="77777777" w:rsidR="00986EC1" w:rsidRPr="00986EC1" w:rsidRDefault="00986EC1" w:rsidP="00986EC1">
            <w:pPr>
              <w:keepNext/>
              <w:spacing w:after="40"/>
              <w:jc w:val="both"/>
              <w:rPr>
                <w:rFonts w:ascii="Arial Narrow" w:hAnsi="Arial Narrow" w:cs="Tahoma"/>
                <w:sz w:val="20"/>
              </w:rPr>
            </w:pPr>
            <w:r w:rsidRPr="00986EC1">
              <w:rPr>
                <w:rFonts w:ascii="Arial Narrow" w:hAnsi="Arial Narrow" w:cs="Tahoma"/>
                <w:sz w:val="20"/>
              </w:rPr>
              <w:t>$15,589.67</w:t>
            </w:r>
          </w:p>
        </w:tc>
        <w:tc>
          <w:tcPr>
            <w:tcW w:w="826" w:type="pct"/>
          </w:tcPr>
          <w:p w14:paraId="42AF782A" w14:textId="77777777" w:rsidR="00986EC1" w:rsidRPr="00986EC1" w:rsidRDefault="00986EC1" w:rsidP="00986EC1">
            <w:pPr>
              <w:keepNext/>
              <w:spacing w:after="40"/>
              <w:jc w:val="both"/>
              <w:rPr>
                <w:rFonts w:ascii="Arial Narrow" w:hAnsi="Arial Narrow" w:cs="Tahoma"/>
                <w:sz w:val="20"/>
              </w:rPr>
            </w:pPr>
            <w:r w:rsidRPr="00986EC1">
              <w:rPr>
                <w:rFonts w:ascii="Arial Narrow" w:hAnsi="Arial Narrow" w:cs="Tahoma"/>
                <w:sz w:val="20"/>
              </w:rPr>
              <w:t>$37,767.60</w:t>
            </w:r>
          </w:p>
        </w:tc>
        <w:tc>
          <w:tcPr>
            <w:tcW w:w="1858" w:type="pct"/>
          </w:tcPr>
          <w:p w14:paraId="60A1C93C" w14:textId="77777777" w:rsidR="00986EC1" w:rsidRPr="00986EC1" w:rsidRDefault="00986EC1" w:rsidP="00986EC1">
            <w:pPr>
              <w:keepNext/>
              <w:spacing w:after="40"/>
              <w:rPr>
                <w:rFonts w:ascii="Arial Narrow" w:hAnsi="Arial Narrow" w:cs="Tahoma"/>
                <w:sz w:val="20"/>
              </w:rPr>
            </w:pPr>
            <w:r w:rsidRPr="00986EC1">
              <w:rPr>
                <w:rFonts w:ascii="Arial Narrow" w:hAnsi="Arial Narrow" w:cs="Tahoma"/>
                <w:sz w:val="20"/>
              </w:rPr>
              <w:t>Machado (2017) and Gilmore (2016)</w:t>
            </w:r>
          </w:p>
          <w:p w14:paraId="39B1E4CE" w14:textId="77777777" w:rsidR="00986EC1" w:rsidRPr="00986EC1" w:rsidRDefault="00986EC1" w:rsidP="00986EC1">
            <w:pPr>
              <w:keepNext/>
              <w:spacing w:after="40"/>
              <w:rPr>
                <w:rFonts w:ascii="Arial Narrow" w:hAnsi="Arial Narrow" w:cs="Tahoma"/>
                <w:sz w:val="20"/>
              </w:rPr>
            </w:pPr>
            <w:r w:rsidRPr="00986EC1">
              <w:rPr>
                <w:rFonts w:ascii="Arial Narrow" w:hAnsi="Arial Narrow" w:cs="Tahoma"/>
                <w:sz w:val="20"/>
              </w:rPr>
              <w:t>The IDS cost derived from the proposed prosthesis / relevant MBS costs.</w:t>
            </w:r>
          </w:p>
          <w:p w14:paraId="78A37CC9" w14:textId="77777777" w:rsidR="00986EC1" w:rsidRPr="00986EC1" w:rsidRDefault="00986EC1" w:rsidP="00986EC1">
            <w:pPr>
              <w:keepNext/>
              <w:spacing w:after="40"/>
              <w:rPr>
                <w:rFonts w:ascii="Arial Narrow" w:hAnsi="Arial Narrow" w:cs="Tahoma"/>
                <w:sz w:val="20"/>
              </w:rPr>
            </w:pPr>
            <w:r w:rsidRPr="00986EC1">
              <w:rPr>
                <w:rFonts w:ascii="Arial Narrow" w:hAnsi="Arial Narrow" w:cs="Tahoma"/>
                <w:sz w:val="20"/>
              </w:rPr>
              <w:t>50% of patients requiring weekly physiotherapy to 6 weeks for IDS and 12 weeks for conventional surgery (at $64.20 per session; MBS item 10960).</w:t>
            </w:r>
          </w:p>
        </w:tc>
      </w:tr>
      <w:tr w:rsidR="00986EC1" w:rsidRPr="00986EC1" w14:paraId="2B156CB7" w14:textId="77777777" w:rsidTr="005917C2">
        <w:tc>
          <w:tcPr>
            <w:tcW w:w="862" w:type="pct"/>
            <w:shd w:val="clear" w:color="auto" w:fill="auto"/>
          </w:tcPr>
          <w:p w14:paraId="50DD0909" w14:textId="77777777" w:rsidR="00986EC1" w:rsidRPr="00986EC1" w:rsidRDefault="00986EC1" w:rsidP="00986EC1">
            <w:pPr>
              <w:keepNext/>
              <w:spacing w:after="40"/>
              <w:rPr>
                <w:rFonts w:ascii="Arial Narrow" w:hAnsi="Arial Narrow" w:cs="Tahoma"/>
                <w:sz w:val="20"/>
              </w:rPr>
            </w:pPr>
            <w:r w:rsidRPr="00986EC1">
              <w:rPr>
                <w:rFonts w:ascii="Arial Narrow" w:hAnsi="Arial Narrow" w:cs="Tahoma"/>
                <w:sz w:val="20"/>
              </w:rPr>
              <w:t>% with concomitant fusion</w:t>
            </w:r>
          </w:p>
        </w:tc>
        <w:tc>
          <w:tcPr>
            <w:tcW w:w="629" w:type="pct"/>
          </w:tcPr>
          <w:p w14:paraId="4AB077BC" w14:textId="77777777" w:rsidR="00986EC1" w:rsidRPr="00986EC1" w:rsidRDefault="00986EC1" w:rsidP="00986EC1">
            <w:pPr>
              <w:keepNext/>
              <w:spacing w:after="40"/>
              <w:jc w:val="both"/>
              <w:rPr>
                <w:rFonts w:ascii="Arial Narrow" w:hAnsi="Arial Narrow" w:cs="Tahoma"/>
                <w:sz w:val="20"/>
              </w:rPr>
            </w:pPr>
            <w:r w:rsidRPr="00986EC1">
              <w:rPr>
                <w:rFonts w:ascii="Arial Narrow" w:hAnsi="Arial Narrow" w:cs="Tahoma"/>
                <w:sz w:val="20"/>
              </w:rPr>
              <w:t>–</w:t>
            </w:r>
          </w:p>
        </w:tc>
        <w:tc>
          <w:tcPr>
            <w:tcW w:w="1651" w:type="pct"/>
            <w:gridSpan w:val="2"/>
          </w:tcPr>
          <w:p w14:paraId="6EEE3C7D" w14:textId="77777777" w:rsidR="00986EC1" w:rsidRPr="00986EC1" w:rsidRDefault="00986EC1" w:rsidP="00986EC1">
            <w:pPr>
              <w:keepNext/>
              <w:spacing w:after="40"/>
              <w:jc w:val="both"/>
              <w:rPr>
                <w:rFonts w:ascii="Arial Narrow" w:hAnsi="Arial Narrow" w:cs="Tahoma"/>
                <w:sz w:val="20"/>
              </w:rPr>
            </w:pPr>
            <w:r w:rsidRPr="00986EC1">
              <w:rPr>
                <w:rFonts w:ascii="Arial Narrow" w:hAnsi="Arial Narrow" w:cs="Tahoma"/>
                <w:sz w:val="20"/>
              </w:rPr>
              <w:t>25%</w:t>
            </w:r>
          </w:p>
        </w:tc>
        <w:tc>
          <w:tcPr>
            <w:tcW w:w="1858" w:type="pct"/>
          </w:tcPr>
          <w:p w14:paraId="44937568" w14:textId="77777777" w:rsidR="00986EC1" w:rsidRPr="00986EC1" w:rsidRDefault="00986EC1" w:rsidP="00986EC1">
            <w:pPr>
              <w:keepNext/>
              <w:spacing w:after="40"/>
              <w:rPr>
                <w:rFonts w:ascii="Arial Narrow" w:hAnsi="Arial Narrow" w:cs="Tahoma"/>
                <w:sz w:val="20"/>
              </w:rPr>
            </w:pPr>
            <w:r w:rsidRPr="00986EC1">
              <w:rPr>
                <w:rFonts w:ascii="Arial Narrow" w:hAnsi="Arial Narrow" w:cs="Tahoma"/>
                <w:sz w:val="20"/>
              </w:rPr>
              <w:t xml:space="preserve">Australian expert opinion </w:t>
            </w:r>
          </w:p>
          <w:p w14:paraId="680BE322" w14:textId="77777777" w:rsidR="00986EC1" w:rsidRPr="00986EC1" w:rsidRDefault="00986EC1" w:rsidP="00986EC1">
            <w:pPr>
              <w:keepNext/>
              <w:spacing w:after="40"/>
              <w:rPr>
                <w:rFonts w:ascii="Arial Narrow" w:hAnsi="Arial Narrow" w:cs="Tahoma"/>
                <w:sz w:val="20"/>
              </w:rPr>
            </w:pPr>
            <w:r w:rsidRPr="00986EC1">
              <w:rPr>
                <w:rFonts w:ascii="Arial Narrow" w:hAnsi="Arial Narrow" w:cs="Tahoma"/>
                <w:sz w:val="20"/>
              </w:rPr>
              <w:t>This assumption is tested in sensitivity analyses</w:t>
            </w:r>
          </w:p>
        </w:tc>
      </w:tr>
      <w:tr w:rsidR="00986EC1" w:rsidRPr="00986EC1" w14:paraId="34829BF9" w14:textId="77777777" w:rsidTr="005917C2">
        <w:tc>
          <w:tcPr>
            <w:tcW w:w="862" w:type="pct"/>
            <w:shd w:val="clear" w:color="auto" w:fill="auto"/>
          </w:tcPr>
          <w:p w14:paraId="6FF86864" w14:textId="77777777" w:rsidR="00986EC1" w:rsidRPr="00986EC1" w:rsidRDefault="00986EC1" w:rsidP="00986EC1">
            <w:pPr>
              <w:keepNext/>
              <w:spacing w:after="40"/>
              <w:rPr>
                <w:rFonts w:ascii="Arial Narrow" w:hAnsi="Arial Narrow" w:cs="Tahoma"/>
                <w:sz w:val="20"/>
              </w:rPr>
            </w:pPr>
            <w:r w:rsidRPr="00986EC1">
              <w:rPr>
                <w:rFonts w:ascii="Arial Narrow" w:hAnsi="Arial Narrow" w:cs="Tahoma"/>
                <w:sz w:val="20"/>
              </w:rPr>
              <w:t xml:space="preserve">Mean cost, per procedure </w:t>
            </w:r>
          </w:p>
        </w:tc>
        <w:tc>
          <w:tcPr>
            <w:tcW w:w="629" w:type="pct"/>
          </w:tcPr>
          <w:p w14:paraId="27C9C236" w14:textId="5EFE2181" w:rsidR="00986EC1" w:rsidRPr="00986EC1" w:rsidRDefault="00986EC1" w:rsidP="00986EC1">
            <w:pPr>
              <w:keepNext/>
              <w:spacing w:after="40"/>
              <w:jc w:val="both"/>
              <w:rPr>
                <w:rFonts w:ascii="Arial Narrow" w:hAnsi="Arial Narrow" w:cs="Tahoma"/>
                <w:sz w:val="20"/>
              </w:rPr>
            </w:pPr>
            <w:r w:rsidRPr="00986EC1">
              <w:rPr>
                <w:rFonts w:ascii="Arial Narrow" w:hAnsi="Arial Narrow" w:cs="Tahoma"/>
                <w:sz w:val="20"/>
              </w:rPr>
              <w:t>$</w:t>
            </w:r>
            <w:r w:rsidR="00CE549A">
              <w:rPr>
                <w:rFonts w:ascii="Arial Narrow" w:hAnsi="Arial Narrow" w:cs="Tahoma"/>
                <w:b/>
                <w:bCs/>
                <w:sz w:val="20"/>
              </w:rPr>
              <w:t>Redacted</w:t>
            </w:r>
            <w:r w:rsidR="00CE549A" w:rsidRPr="00986EC1">
              <w:rPr>
                <w:rFonts w:ascii="Arial Narrow" w:hAnsi="Arial Narrow" w:cs="Tahoma"/>
                <w:sz w:val="20"/>
              </w:rPr>
              <w:t xml:space="preserve"> </w:t>
            </w:r>
          </w:p>
        </w:tc>
        <w:tc>
          <w:tcPr>
            <w:tcW w:w="1651" w:type="pct"/>
            <w:gridSpan w:val="2"/>
          </w:tcPr>
          <w:p w14:paraId="022C4B17" w14:textId="5658488C" w:rsidR="00986EC1" w:rsidRPr="00986EC1" w:rsidRDefault="00986EC1" w:rsidP="00986EC1">
            <w:pPr>
              <w:keepNext/>
              <w:spacing w:after="40"/>
              <w:jc w:val="both"/>
              <w:rPr>
                <w:rFonts w:ascii="Arial Narrow" w:hAnsi="Arial Narrow" w:cs="Tahoma"/>
                <w:sz w:val="20"/>
              </w:rPr>
            </w:pPr>
            <w:r w:rsidRPr="00986EC1">
              <w:rPr>
                <w:rFonts w:ascii="Arial Narrow" w:hAnsi="Arial Narrow" w:cs="Tahoma"/>
                <w:sz w:val="20"/>
              </w:rPr>
              <w:t>$21,134.16 (cost Δ = $</w:t>
            </w:r>
            <w:r w:rsidR="00CE549A">
              <w:rPr>
                <w:rFonts w:ascii="Arial Narrow" w:hAnsi="Arial Narrow" w:cs="Tahoma"/>
                <w:b/>
                <w:bCs/>
                <w:sz w:val="20"/>
              </w:rPr>
              <w:t>Redacted</w:t>
            </w:r>
            <w:r w:rsidR="00CE549A" w:rsidRPr="00986EC1">
              <w:rPr>
                <w:rFonts w:ascii="Arial Narrow" w:hAnsi="Arial Narrow" w:cs="Tahoma"/>
                <w:sz w:val="20"/>
              </w:rPr>
              <w:t xml:space="preserve"> </w:t>
            </w:r>
            <w:r w:rsidRPr="00986EC1">
              <w:rPr>
                <w:rFonts w:ascii="Arial Narrow" w:hAnsi="Arial Narrow" w:cs="Tahoma"/>
                <w:sz w:val="20"/>
              </w:rPr>
              <w:t>)</w:t>
            </w:r>
          </w:p>
        </w:tc>
        <w:tc>
          <w:tcPr>
            <w:tcW w:w="1858" w:type="pct"/>
          </w:tcPr>
          <w:p w14:paraId="7849710B" w14:textId="77777777" w:rsidR="00986EC1" w:rsidRPr="00986EC1" w:rsidRDefault="00986EC1" w:rsidP="00986EC1">
            <w:pPr>
              <w:keepNext/>
              <w:spacing w:after="40"/>
              <w:rPr>
                <w:rFonts w:ascii="Arial Narrow" w:hAnsi="Arial Narrow" w:cs="Tahoma"/>
                <w:sz w:val="20"/>
              </w:rPr>
            </w:pPr>
            <w:r w:rsidRPr="00986EC1">
              <w:rPr>
                <w:rFonts w:ascii="Arial Narrow" w:hAnsi="Arial Narrow" w:cs="Tahoma"/>
                <w:sz w:val="20"/>
              </w:rPr>
              <w:t>Calculated.</w:t>
            </w:r>
          </w:p>
        </w:tc>
      </w:tr>
    </w:tbl>
    <w:p w14:paraId="11A67C4C" w14:textId="36EFE622" w:rsidR="00986EC1" w:rsidRDefault="00986EC1" w:rsidP="00B23D55">
      <w:pPr>
        <w:pStyle w:val="Tablenotes1"/>
      </w:pPr>
      <w:r w:rsidRPr="00986EC1">
        <w:t xml:space="preserve">IDS, interspinous decompression spacer. </w:t>
      </w:r>
    </w:p>
    <w:p w14:paraId="2C5C775A" w14:textId="1273D6F6" w:rsidR="00B23D55" w:rsidRPr="00986EC1" w:rsidRDefault="00B23D55" w:rsidP="00B23D55">
      <w:pPr>
        <w:pStyle w:val="Tablenotes1"/>
      </w:pPr>
      <w:r>
        <w:t>Source: Commentary, Table 20</w:t>
      </w:r>
    </w:p>
    <w:p w14:paraId="3AFB251C" w14:textId="1CD6C19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 xml:space="preserve">Sensitivity analyses are presented in </w:t>
      </w:r>
      <w:r w:rsidRPr="00986EC1">
        <w:rPr>
          <w:rFonts w:ascii="Franklin Gothic Book" w:eastAsia="Calibri" w:hAnsi="Franklin Gothic Book"/>
          <w:sz w:val="22"/>
          <w:szCs w:val="22"/>
          <w:lang w:eastAsia="en-US"/>
        </w:rPr>
        <w:fldChar w:fldCharType="begin"/>
      </w:r>
      <w:r w:rsidRPr="00986EC1">
        <w:rPr>
          <w:rFonts w:ascii="Franklin Gothic Book" w:eastAsia="Calibri" w:hAnsi="Franklin Gothic Book"/>
          <w:sz w:val="22"/>
          <w:szCs w:val="22"/>
          <w:lang w:eastAsia="en-US"/>
        </w:rPr>
        <w:instrText xml:space="preserve"> REF _Ref73370063 \h </w:instrText>
      </w:r>
      <w:r w:rsidR="00FC6CFF">
        <w:rPr>
          <w:rFonts w:ascii="Franklin Gothic Book" w:eastAsia="Calibri" w:hAnsi="Franklin Gothic Book"/>
          <w:sz w:val="22"/>
          <w:szCs w:val="22"/>
          <w:lang w:eastAsia="en-US"/>
        </w:rPr>
        <w:instrText xml:space="preserve"> \* MERGEFORMAT </w:instrText>
      </w:r>
      <w:r w:rsidRPr="00986EC1">
        <w:rPr>
          <w:rFonts w:ascii="Franklin Gothic Book" w:eastAsia="Calibri" w:hAnsi="Franklin Gothic Book"/>
          <w:sz w:val="22"/>
          <w:szCs w:val="22"/>
          <w:lang w:eastAsia="en-US"/>
        </w:rPr>
      </w:r>
      <w:r w:rsidRPr="00986EC1">
        <w:rPr>
          <w:rFonts w:ascii="Franklin Gothic Book" w:eastAsia="Calibri" w:hAnsi="Franklin Gothic Book"/>
          <w:sz w:val="22"/>
          <w:szCs w:val="22"/>
          <w:lang w:eastAsia="en-US"/>
        </w:rPr>
        <w:fldChar w:fldCharType="separate"/>
      </w:r>
      <w:r w:rsidR="00EE4CB3" w:rsidRPr="00EE4CB3">
        <w:rPr>
          <w:rFonts w:ascii="Franklin Gothic Book" w:eastAsia="Calibri" w:hAnsi="Franklin Gothic Book"/>
          <w:sz w:val="22"/>
          <w:szCs w:val="22"/>
          <w:lang w:eastAsia="en-US"/>
        </w:rPr>
        <w:t>Table 21</w:t>
      </w:r>
      <w:r w:rsidRPr="00986EC1">
        <w:rPr>
          <w:rFonts w:ascii="Franklin Gothic Book" w:eastAsia="Calibri" w:hAnsi="Franklin Gothic Book"/>
          <w:sz w:val="22"/>
          <w:szCs w:val="22"/>
          <w:lang w:eastAsia="en-US"/>
        </w:rPr>
        <w:fldChar w:fldCharType="end"/>
      </w:r>
      <w:r w:rsidRPr="00986EC1">
        <w:rPr>
          <w:rFonts w:ascii="Franklin Gothic Book" w:eastAsia="Calibri" w:hAnsi="Franklin Gothic Book"/>
          <w:sz w:val="22"/>
          <w:szCs w:val="22"/>
          <w:lang w:eastAsia="en-US"/>
        </w:rPr>
        <w:t>. The cost benefits for IDS in the base case analysis become smaller when a higher reoperation rate is applied. Additional sensitivity results conducted in the commentary were most sensitive to the proportion undergoing fusion at the index comparator procedure (</w:t>
      </w:r>
      <w:r w:rsidRPr="00986EC1">
        <w:rPr>
          <w:rFonts w:ascii="Franklin Gothic Book" w:eastAsia="Calibri" w:hAnsi="Franklin Gothic Book"/>
          <w:sz w:val="22"/>
          <w:szCs w:val="22"/>
          <w:lang w:eastAsia="en-US"/>
        </w:rPr>
        <w:fldChar w:fldCharType="begin"/>
      </w:r>
      <w:r w:rsidRPr="00986EC1">
        <w:rPr>
          <w:rFonts w:ascii="Franklin Gothic Book" w:eastAsia="Calibri" w:hAnsi="Franklin Gothic Book"/>
          <w:sz w:val="22"/>
          <w:szCs w:val="22"/>
          <w:lang w:eastAsia="en-US"/>
        </w:rPr>
        <w:instrText xml:space="preserve"> REF _Ref73370063 \h </w:instrText>
      </w:r>
      <w:r w:rsidR="00FC6CFF">
        <w:rPr>
          <w:rFonts w:ascii="Franklin Gothic Book" w:eastAsia="Calibri" w:hAnsi="Franklin Gothic Book"/>
          <w:sz w:val="22"/>
          <w:szCs w:val="22"/>
          <w:lang w:eastAsia="en-US"/>
        </w:rPr>
        <w:instrText xml:space="preserve"> \* MERGEFORMAT </w:instrText>
      </w:r>
      <w:r w:rsidRPr="00986EC1">
        <w:rPr>
          <w:rFonts w:ascii="Franklin Gothic Book" w:eastAsia="Calibri" w:hAnsi="Franklin Gothic Book"/>
          <w:sz w:val="22"/>
          <w:szCs w:val="22"/>
          <w:lang w:eastAsia="en-US"/>
        </w:rPr>
      </w:r>
      <w:r w:rsidRPr="00986EC1">
        <w:rPr>
          <w:rFonts w:ascii="Franklin Gothic Book" w:eastAsia="Calibri" w:hAnsi="Franklin Gothic Book"/>
          <w:sz w:val="22"/>
          <w:szCs w:val="22"/>
          <w:lang w:eastAsia="en-US"/>
        </w:rPr>
        <w:fldChar w:fldCharType="separate"/>
      </w:r>
      <w:r w:rsidR="00EE4CB3" w:rsidRPr="00EE4CB3">
        <w:rPr>
          <w:rFonts w:ascii="Franklin Gothic Book" w:eastAsia="Calibri" w:hAnsi="Franklin Gothic Book"/>
          <w:sz w:val="22"/>
          <w:szCs w:val="22"/>
          <w:lang w:eastAsia="en-US"/>
        </w:rPr>
        <w:t>Table 21</w:t>
      </w:r>
      <w:r w:rsidRPr="00986EC1">
        <w:rPr>
          <w:rFonts w:ascii="Franklin Gothic Book" w:eastAsia="Calibri" w:hAnsi="Franklin Gothic Book"/>
          <w:sz w:val="22"/>
          <w:szCs w:val="22"/>
          <w:lang w:eastAsia="en-US"/>
        </w:rPr>
        <w:fldChar w:fldCharType="end"/>
      </w:r>
      <w:r w:rsidRPr="00986EC1">
        <w:rPr>
          <w:rFonts w:ascii="Franklin Gothic Book" w:eastAsia="Calibri" w:hAnsi="Franklin Gothic Book"/>
          <w:sz w:val="22"/>
          <w:szCs w:val="22"/>
          <w:lang w:eastAsia="en-US"/>
        </w:rPr>
        <w:t>).</w:t>
      </w:r>
    </w:p>
    <w:p w14:paraId="4FCB712C" w14:textId="6D85040C" w:rsidR="00986EC1" w:rsidRPr="00986EC1" w:rsidRDefault="00986EC1" w:rsidP="00986EC1">
      <w:pPr>
        <w:keepNext/>
        <w:spacing w:before="360" w:after="120"/>
        <w:ind w:left="794" w:hanging="794"/>
        <w:rPr>
          <w:rFonts w:ascii="Arial Narrow" w:hAnsi="Arial Narrow"/>
          <w:b/>
          <w:bCs/>
          <w:sz w:val="20"/>
          <w:lang w:eastAsia="en-US"/>
        </w:rPr>
      </w:pPr>
      <w:bookmarkStart w:id="69" w:name="_Ref73370063"/>
      <w:bookmarkStart w:id="70" w:name="_Toc79654967"/>
      <w:r w:rsidRPr="00986EC1">
        <w:rPr>
          <w:rFonts w:ascii="Arial Narrow" w:hAnsi="Arial Narrow"/>
          <w:b/>
          <w:bCs/>
          <w:sz w:val="20"/>
          <w:lang w:eastAsia="en-US"/>
        </w:rPr>
        <w:t xml:space="preserve">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21</w:t>
      </w:r>
      <w:r w:rsidRPr="00986EC1">
        <w:rPr>
          <w:rFonts w:ascii="Arial Narrow" w:hAnsi="Arial Narrow"/>
          <w:b/>
          <w:bCs/>
          <w:noProof/>
          <w:sz w:val="20"/>
          <w:lang w:eastAsia="en-US"/>
        </w:rPr>
        <w:fldChar w:fldCharType="end"/>
      </w:r>
      <w:bookmarkEnd w:id="69"/>
      <w:r w:rsidRPr="00986EC1">
        <w:rPr>
          <w:rFonts w:ascii="Arial Narrow" w:hAnsi="Arial Narrow"/>
          <w:b/>
          <w:bCs/>
          <w:sz w:val="20"/>
          <w:lang w:eastAsia="en-US"/>
        </w:rPr>
        <w:tab/>
        <w:t>Sensitivity analysis: modelled cost analysis of IDS versus decompression ± spinal fusion, 5 years discounted at 5% pa</w:t>
      </w:r>
      <w:bookmarkEnd w:id="70"/>
    </w:p>
    <w:tbl>
      <w:tblPr>
        <w:tblStyle w:val="OPTUMTableNormal"/>
        <w:tblW w:w="5000" w:type="pct"/>
        <w:tblLook w:val="04A0" w:firstRow="1" w:lastRow="0" w:firstColumn="1" w:lastColumn="0" w:noHBand="0" w:noVBand="1"/>
        <w:tblDescription w:val="Sensitivity analysis: modelled cost analysis of IDS versus decompression ± spinal fusion, 5 years discounted at 5% pa"/>
      </w:tblPr>
      <w:tblGrid>
        <w:gridCol w:w="2255"/>
        <w:gridCol w:w="2560"/>
        <w:gridCol w:w="1394"/>
        <w:gridCol w:w="1447"/>
        <w:gridCol w:w="1360"/>
      </w:tblGrid>
      <w:tr w:rsidR="00986EC1" w:rsidRPr="00986EC1" w14:paraId="0891FFFF" w14:textId="77777777" w:rsidTr="00031406">
        <w:trPr>
          <w:cnfStyle w:val="100000000000" w:firstRow="1" w:lastRow="0" w:firstColumn="0" w:lastColumn="0" w:oddVBand="0" w:evenVBand="0" w:oddHBand="0" w:evenHBand="0" w:firstRowFirstColumn="0" w:firstRowLastColumn="0" w:lastRowFirstColumn="0" w:lastRowLastColumn="0"/>
          <w:tblHeader/>
        </w:trPr>
        <w:tc>
          <w:tcPr>
            <w:tcW w:w="1251" w:type="pct"/>
            <w:shd w:val="clear" w:color="auto" w:fill="auto"/>
          </w:tcPr>
          <w:p w14:paraId="4AC18232" w14:textId="77777777" w:rsidR="00986EC1" w:rsidRPr="00986EC1" w:rsidRDefault="00986EC1" w:rsidP="00646540">
            <w:pPr>
              <w:spacing w:before="0"/>
              <w:rPr>
                <w:rFonts w:ascii="Arial Narrow" w:eastAsia="Calibri" w:hAnsi="Arial Narrow"/>
                <w:b/>
                <w:sz w:val="20"/>
                <w:szCs w:val="22"/>
                <w:lang w:eastAsia="en-US"/>
              </w:rPr>
            </w:pPr>
            <w:r w:rsidRPr="00986EC1">
              <w:rPr>
                <w:rFonts w:ascii="Arial Narrow" w:eastAsia="Calibri" w:hAnsi="Arial Narrow"/>
                <w:b/>
                <w:sz w:val="20"/>
                <w:szCs w:val="22"/>
                <w:lang w:eastAsia="en-US"/>
              </w:rPr>
              <w:t xml:space="preserve">Variable tested </w:t>
            </w:r>
          </w:p>
        </w:tc>
        <w:tc>
          <w:tcPr>
            <w:tcW w:w="1420" w:type="pct"/>
          </w:tcPr>
          <w:p w14:paraId="7CAC9080" w14:textId="77777777" w:rsidR="00986EC1" w:rsidRPr="00986EC1" w:rsidRDefault="00986EC1" w:rsidP="00646540">
            <w:pPr>
              <w:spacing w:before="0"/>
              <w:rPr>
                <w:rFonts w:ascii="Arial Narrow" w:eastAsia="Calibri" w:hAnsi="Arial Narrow"/>
                <w:b/>
                <w:sz w:val="20"/>
                <w:szCs w:val="22"/>
                <w:lang w:eastAsia="en-US"/>
              </w:rPr>
            </w:pPr>
            <w:r w:rsidRPr="00986EC1">
              <w:rPr>
                <w:rFonts w:ascii="Arial Narrow" w:eastAsia="Calibri" w:hAnsi="Arial Narrow"/>
                <w:b/>
                <w:sz w:val="20"/>
                <w:szCs w:val="22"/>
                <w:lang w:eastAsia="en-US"/>
              </w:rPr>
              <w:t>Alternative input</w:t>
            </w:r>
          </w:p>
        </w:tc>
        <w:tc>
          <w:tcPr>
            <w:tcW w:w="773" w:type="pct"/>
          </w:tcPr>
          <w:p w14:paraId="033084A0" w14:textId="77777777" w:rsidR="00986EC1" w:rsidRPr="00986EC1" w:rsidRDefault="00986EC1" w:rsidP="00646540">
            <w:pPr>
              <w:spacing w:before="0"/>
              <w:rPr>
                <w:rFonts w:ascii="Arial Narrow" w:eastAsia="Calibri" w:hAnsi="Arial Narrow"/>
                <w:b/>
                <w:sz w:val="20"/>
                <w:szCs w:val="22"/>
                <w:lang w:eastAsia="en-US"/>
              </w:rPr>
            </w:pPr>
            <w:r w:rsidRPr="00986EC1">
              <w:rPr>
                <w:rFonts w:ascii="Arial Narrow" w:eastAsia="Calibri" w:hAnsi="Arial Narrow"/>
                <w:b/>
                <w:sz w:val="20"/>
                <w:szCs w:val="22"/>
                <w:lang w:eastAsia="en-US"/>
              </w:rPr>
              <w:t>IDS, total cost</w:t>
            </w:r>
          </w:p>
        </w:tc>
        <w:tc>
          <w:tcPr>
            <w:tcW w:w="802" w:type="pct"/>
          </w:tcPr>
          <w:p w14:paraId="775CA6FE" w14:textId="77777777" w:rsidR="00986EC1" w:rsidRPr="00986EC1" w:rsidRDefault="00986EC1" w:rsidP="00646540">
            <w:pPr>
              <w:spacing w:before="0"/>
              <w:rPr>
                <w:rFonts w:ascii="Arial Narrow" w:eastAsia="Calibri" w:hAnsi="Arial Narrow"/>
                <w:b/>
                <w:sz w:val="20"/>
                <w:szCs w:val="22"/>
                <w:lang w:eastAsia="en-US"/>
              </w:rPr>
            </w:pPr>
            <w:r w:rsidRPr="00986EC1">
              <w:rPr>
                <w:rFonts w:ascii="Arial Narrow" w:eastAsia="Calibri" w:hAnsi="Arial Narrow"/>
                <w:b/>
                <w:sz w:val="20"/>
                <w:szCs w:val="22"/>
                <w:lang w:eastAsia="en-US"/>
              </w:rPr>
              <w:t>Decompression ± spinal fusion, total cost</w:t>
            </w:r>
          </w:p>
        </w:tc>
        <w:tc>
          <w:tcPr>
            <w:tcW w:w="754" w:type="pct"/>
          </w:tcPr>
          <w:p w14:paraId="387F594F" w14:textId="77777777" w:rsidR="00986EC1" w:rsidRPr="00986EC1" w:rsidRDefault="00986EC1" w:rsidP="00646540">
            <w:pPr>
              <w:spacing w:before="0"/>
              <w:rPr>
                <w:rFonts w:ascii="Arial Narrow" w:eastAsia="Calibri" w:hAnsi="Arial Narrow"/>
                <w:b/>
                <w:sz w:val="20"/>
                <w:szCs w:val="22"/>
                <w:lang w:eastAsia="en-US"/>
              </w:rPr>
            </w:pPr>
            <w:r w:rsidRPr="00986EC1">
              <w:rPr>
                <w:rFonts w:ascii="Arial Narrow" w:eastAsia="Calibri" w:hAnsi="Arial Narrow"/>
                <w:b/>
                <w:sz w:val="20"/>
                <w:szCs w:val="22"/>
                <w:lang w:eastAsia="en-US"/>
              </w:rPr>
              <w:t xml:space="preserve">Difference </w:t>
            </w:r>
          </w:p>
        </w:tc>
      </w:tr>
      <w:tr w:rsidR="00986EC1" w:rsidRPr="00986EC1" w14:paraId="6B48274A" w14:textId="77777777" w:rsidTr="00031406">
        <w:tc>
          <w:tcPr>
            <w:tcW w:w="1251" w:type="pct"/>
            <w:tcBorders>
              <w:left w:val="single" w:sz="4" w:space="0" w:color="auto"/>
              <w:bottom w:val="single" w:sz="4" w:space="0" w:color="auto"/>
              <w:right w:val="single" w:sz="4" w:space="0" w:color="auto"/>
            </w:tcBorders>
            <w:shd w:val="clear" w:color="auto" w:fill="auto"/>
          </w:tcPr>
          <w:p w14:paraId="64169A5F" w14:textId="77777777" w:rsidR="00986EC1" w:rsidRPr="00986EC1" w:rsidRDefault="00986EC1" w:rsidP="00646540">
            <w:pPr>
              <w:spacing w:before="0"/>
              <w:rPr>
                <w:rFonts w:ascii="Arial Narrow" w:eastAsia="Calibri" w:hAnsi="Arial Narrow"/>
                <w:b/>
                <w:bCs/>
                <w:sz w:val="20"/>
                <w:szCs w:val="22"/>
                <w:lang w:eastAsia="en-US"/>
              </w:rPr>
            </w:pPr>
            <w:r w:rsidRPr="00986EC1">
              <w:rPr>
                <w:rFonts w:ascii="Arial Narrow" w:eastAsia="Calibri" w:hAnsi="Arial Narrow"/>
                <w:b/>
                <w:bCs/>
                <w:sz w:val="20"/>
                <w:szCs w:val="22"/>
                <w:lang w:eastAsia="en-US"/>
              </w:rPr>
              <w:t xml:space="preserve">Base case </w:t>
            </w:r>
          </w:p>
        </w:tc>
        <w:tc>
          <w:tcPr>
            <w:tcW w:w="1420" w:type="pct"/>
            <w:tcBorders>
              <w:top w:val="single" w:sz="4" w:space="0" w:color="auto"/>
              <w:left w:val="single" w:sz="4" w:space="0" w:color="auto"/>
              <w:bottom w:val="single" w:sz="4" w:space="0" w:color="auto"/>
              <w:right w:val="single" w:sz="4" w:space="0" w:color="auto"/>
            </w:tcBorders>
          </w:tcPr>
          <w:p w14:paraId="522D2C51" w14:textId="77777777" w:rsidR="00986EC1" w:rsidRPr="00986EC1" w:rsidRDefault="00986EC1" w:rsidP="00646540">
            <w:pPr>
              <w:spacing w:before="0"/>
              <w:rPr>
                <w:rFonts w:ascii="Arial Narrow" w:eastAsia="Calibri" w:hAnsi="Arial Narrow"/>
                <w:b/>
                <w:bCs/>
                <w:sz w:val="20"/>
                <w:szCs w:val="22"/>
                <w:lang w:eastAsia="en-US"/>
              </w:rPr>
            </w:pPr>
            <w:r w:rsidRPr="00986EC1">
              <w:rPr>
                <w:rFonts w:ascii="Arial Narrow" w:eastAsia="Calibri" w:hAnsi="Arial Narrow"/>
                <w:b/>
                <w:bCs/>
                <w:sz w:val="20"/>
                <w:szCs w:val="22"/>
                <w:lang w:eastAsia="en-US"/>
              </w:rPr>
              <w:t>–</w:t>
            </w:r>
          </w:p>
        </w:tc>
        <w:tc>
          <w:tcPr>
            <w:tcW w:w="773" w:type="pct"/>
            <w:tcBorders>
              <w:top w:val="single" w:sz="4" w:space="0" w:color="auto"/>
              <w:left w:val="single" w:sz="4" w:space="0" w:color="auto"/>
              <w:bottom w:val="single" w:sz="4" w:space="0" w:color="auto"/>
              <w:right w:val="single" w:sz="4" w:space="0" w:color="auto"/>
            </w:tcBorders>
          </w:tcPr>
          <w:p w14:paraId="2A09F84B" w14:textId="13E41846" w:rsidR="00986EC1" w:rsidRPr="00986EC1" w:rsidRDefault="00986EC1" w:rsidP="00646540">
            <w:pPr>
              <w:spacing w:before="0"/>
              <w:rPr>
                <w:rFonts w:ascii="Arial Narrow" w:eastAsia="Calibri" w:hAnsi="Arial Narrow"/>
                <w:b/>
                <w:bCs/>
                <w:sz w:val="20"/>
                <w:szCs w:val="22"/>
                <w:lang w:eastAsia="en-US"/>
              </w:rPr>
            </w:pPr>
            <w:r w:rsidRPr="00986EC1">
              <w:rPr>
                <w:rFonts w:ascii="Arial Narrow" w:eastAsia="Calibri" w:hAnsi="Arial Narrow"/>
                <w:b/>
                <w:bCs/>
                <w:sz w:val="20"/>
                <w:szCs w:val="22"/>
                <w:lang w:eastAsia="en-US"/>
              </w:rPr>
              <w:t>$</w:t>
            </w:r>
            <w:r w:rsidR="00CE549A">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c>
          <w:tcPr>
            <w:tcW w:w="802" w:type="pct"/>
            <w:tcBorders>
              <w:top w:val="single" w:sz="4" w:space="0" w:color="auto"/>
              <w:left w:val="single" w:sz="4" w:space="0" w:color="auto"/>
              <w:bottom w:val="single" w:sz="4" w:space="0" w:color="auto"/>
              <w:right w:val="single" w:sz="4" w:space="0" w:color="auto"/>
            </w:tcBorders>
          </w:tcPr>
          <w:p w14:paraId="5B87190E" w14:textId="77777777" w:rsidR="00986EC1" w:rsidRPr="00986EC1" w:rsidRDefault="00986EC1" w:rsidP="00646540">
            <w:pPr>
              <w:spacing w:before="0"/>
              <w:rPr>
                <w:rFonts w:ascii="Arial Narrow" w:eastAsia="Calibri" w:hAnsi="Arial Narrow"/>
                <w:b/>
                <w:bCs/>
                <w:sz w:val="20"/>
                <w:szCs w:val="22"/>
                <w:lang w:eastAsia="en-US"/>
              </w:rPr>
            </w:pPr>
            <w:r w:rsidRPr="00986EC1">
              <w:rPr>
                <w:rFonts w:ascii="Arial Narrow" w:eastAsia="Calibri" w:hAnsi="Arial Narrow"/>
                <w:b/>
                <w:bCs/>
                <w:sz w:val="20"/>
                <w:szCs w:val="22"/>
                <w:lang w:eastAsia="en-US"/>
              </w:rPr>
              <w:t>$24,309</w:t>
            </w:r>
          </w:p>
        </w:tc>
        <w:tc>
          <w:tcPr>
            <w:tcW w:w="754" w:type="pct"/>
            <w:tcBorders>
              <w:top w:val="single" w:sz="4" w:space="0" w:color="auto"/>
              <w:left w:val="single" w:sz="4" w:space="0" w:color="auto"/>
              <w:bottom w:val="single" w:sz="4" w:space="0" w:color="auto"/>
              <w:right w:val="single" w:sz="4" w:space="0" w:color="auto"/>
            </w:tcBorders>
          </w:tcPr>
          <w:p w14:paraId="68D916AF" w14:textId="3084011C" w:rsidR="00986EC1" w:rsidRPr="00986EC1" w:rsidRDefault="00986EC1" w:rsidP="00646540">
            <w:pPr>
              <w:spacing w:before="0"/>
              <w:rPr>
                <w:rFonts w:ascii="Arial Narrow" w:eastAsia="Calibri" w:hAnsi="Arial Narrow"/>
                <w:b/>
                <w:bCs/>
                <w:sz w:val="20"/>
                <w:szCs w:val="22"/>
                <w:lang w:eastAsia="en-US"/>
              </w:rPr>
            </w:pPr>
            <w:r w:rsidRPr="00986EC1">
              <w:rPr>
                <w:rFonts w:ascii="Arial Narrow" w:eastAsia="Calibri" w:hAnsi="Arial Narrow"/>
                <w:b/>
                <w:bCs/>
                <w:sz w:val="20"/>
                <w:szCs w:val="22"/>
                <w:lang w:eastAsia="en-US"/>
              </w:rPr>
              <w:t>-$</w:t>
            </w:r>
            <w:r w:rsidR="00CE549A">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r>
      <w:tr w:rsidR="00986EC1" w:rsidRPr="00986EC1" w14:paraId="2901B770" w14:textId="77777777" w:rsidTr="00031406">
        <w:tc>
          <w:tcPr>
            <w:tcW w:w="1251" w:type="pct"/>
            <w:tcBorders>
              <w:left w:val="single" w:sz="4" w:space="0" w:color="auto"/>
              <w:bottom w:val="nil"/>
              <w:right w:val="single" w:sz="4" w:space="0" w:color="auto"/>
            </w:tcBorders>
            <w:shd w:val="clear" w:color="auto" w:fill="auto"/>
          </w:tcPr>
          <w:p w14:paraId="4A183B6B" w14:textId="21DC9997"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Superion IDE study and Deyo 2013</w:t>
            </w:r>
            <w:r w:rsidR="00A825FE">
              <w:rPr>
                <w:rStyle w:val="FootnoteReference"/>
                <w:rFonts w:ascii="Arial Narrow" w:eastAsia="Calibri" w:hAnsi="Arial Narrow"/>
                <w:sz w:val="20"/>
                <w:szCs w:val="22"/>
                <w:lang w:eastAsia="en-US"/>
              </w:rPr>
              <w:footnoteReference w:id="23"/>
            </w:r>
            <w:r w:rsidRPr="00986EC1">
              <w:rPr>
                <w:rFonts w:ascii="Arial Narrow" w:eastAsia="Calibri" w:hAnsi="Arial Narrow"/>
                <w:sz w:val="20"/>
                <w:szCs w:val="22"/>
                <w:lang w:eastAsia="en-US"/>
              </w:rPr>
              <w:t xml:space="preserve"> (reoperation rates IDS vs comparator 9.5% vs 4.5% pa plateauing at 25.8% vs 15% after 3 years)</w:t>
            </w:r>
          </w:p>
        </w:tc>
        <w:tc>
          <w:tcPr>
            <w:tcW w:w="1420" w:type="pct"/>
            <w:tcBorders>
              <w:top w:val="single" w:sz="4" w:space="0" w:color="auto"/>
              <w:left w:val="single" w:sz="4" w:space="0" w:color="auto"/>
              <w:bottom w:val="single" w:sz="4" w:space="0" w:color="auto"/>
              <w:right w:val="single" w:sz="4" w:space="0" w:color="auto"/>
            </w:tcBorders>
          </w:tcPr>
          <w:p w14:paraId="1EAC4354" w14:textId="77777777"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No plateauing  </w:t>
            </w:r>
          </w:p>
        </w:tc>
        <w:tc>
          <w:tcPr>
            <w:tcW w:w="773" w:type="pct"/>
            <w:tcBorders>
              <w:top w:val="single" w:sz="4" w:space="0" w:color="auto"/>
              <w:left w:val="single" w:sz="4" w:space="0" w:color="auto"/>
              <w:bottom w:val="single" w:sz="4" w:space="0" w:color="auto"/>
              <w:right w:val="single" w:sz="4" w:space="0" w:color="auto"/>
            </w:tcBorders>
          </w:tcPr>
          <w:p w14:paraId="519F9D9E" w14:textId="532B542E"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w:t>
            </w:r>
            <w:r w:rsidR="00CE549A">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c>
          <w:tcPr>
            <w:tcW w:w="802" w:type="pct"/>
            <w:tcBorders>
              <w:top w:val="single" w:sz="4" w:space="0" w:color="auto"/>
              <w:left w:val="single" w:sz="4" w:space="0" w:color="auto"/>
              <w:bottom w:val="single" w:sz="4" w:space="0" w:color="auto"/>
              <w:right w:val="single" w:sz="4" w:space="0" w:color="auto"/>
            </w:tcBorders>
          </w:tcPr>
          <w:p w14:paraId="736EA7C3" w14:textId="77777777"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$25,788</w:t>
            </w:r>
          </w:p>
        </w:tc>
        <w:tc>
          <w:tcPr>
            <w:tcW w:w="754" w:type="pct"/>
            <w:tcBorders>
              <w:top w:val="single" w:sz="4" w:space="0" w:color="auto"/>
              <w:left w:val="single" w:sz="4" w:space="0" w:color="auto"/>
              <w:bottom w:val="single" w:sz="4" w:space="0" w:color="auto"/>
              <w:right w:val="single" w:sz="4" w:space="0" w:color="auto"/>
            </w:tcBorders>
          </w:tcPr>
          <w:p w14:paraId="7726DD38" w14:textId="40494DB7"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w:t>
            </w:r>
            <w:r w:rsidR="0035359C">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r>
      <w:tr w:rsidR="00986EC1" w:rsidRPr="00986EC1" w14:paraId="02D41237" w14:textId="77777777" w:rsidTr="00031406">
        <w:tc>
          <w:tcPr>
            <w:tcW w:w="1251" w:type="pct"/>
            <w:tcBorders>
              <w:top w:val="nil"/>
              <w:left w:val="single" w:sz="4" w:space="0" w:color="auto"/>
              <w:bottom w:val="nil"/>
              <w:right w:val="single" w:sz="4" w:space="0" w:color="auto"/>
            </w:tcBorders>
            <w:shd w:val="clear" w:color="auto" w:fill="auto"/>
          </w:tcPr>
          <w:p w14:paraId="41E71489" w14:textId="77777777" w:rsidR="00986EC1" w:rsidRPr="00986EC1" w:rsidRDefault="00986EC1" w:rsidP="00646540">
            <w:pPr>
              <w:spacing w:before="0"/>
              <w:rPr>
                <w:rFonts w:ascii="Arial Narrow" w:eastAsia="Calibri" w:hAnsi="Arial Narrow"/>
                <w:sz w:val="20"/>
                <w:szCs w:val="22"/>
                <w:lang w:eastAsia="en-US"/>
              </w:rPr>
            </w:pPr>
          </w:p>
        </w:tc>
        <w:tc>
          <w:tcPr>
            <w:tcW w:w="1420" w:type="pct"/>
            <w:tcBorders>
              <w:top w:val="single" w:sz="4" w:space="0" w:color="auto"/>
              <w:left w:val="single" w:sz="4" w:space="0" w:color="auto"/>
              <w:bottom w:val="single" w:sz="4" w:space="0" w:color="auto"/>
              <w:right w:val="single" w:sz="4" w:space="0" w:color="auto"/>
            </w:tcBorders>
          </w:tcPr>
          <w:p w14:paraId="590BA53C" w14:textId="77777777"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No plateauing, only for conventional surgery</w:t>
            </w:r>
          </w:p>
        </w:tc>
        <w:tc>
          <w:tcPr>
            <w:tcW w:w="773" w:type="pct"/>
            <w:tcBorders>
              <w:top w:val="single" w:sz="4" w:space="0" w:color="auto"/>
              <w:left w:val="single" w:sz="4" w:space="0" w:color="auto"/>
              <w:bottom w:val="single" w:sz="4" w:space="0" w:color="auto"/>
              <w:right w:val="single" w:sz="4" w:space="0" w:color="auto"/>
            </w:tcBorders>
          </w:tcPr>
          <w:p w14:paraId="2ECEC3FE" w14:textId="573739A0"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w:t>
            </w:r>
            <w:r w:rsidR="00CE549A">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c>
          <w:tcPr>
            <w:tcW w:w="802" w:type="pct"/>
            <w:tcBorders>
              <w:top w:val="single" w:sz="4" w:space="0" w:color="auto"/>
              <w:left w:val="single" w:sz="4" w:space="0" w:color="auto"/>
              <w:bottom w:val="single" w:sz="4" w:space="0" w:color="auto"/>
              <w:right w:val="single" w:sz="4" w:space="0" w:color="auto"/>
            </w:tcBorders>
          </w:tcPr>
          <w:p w14:paraId="4D41AEE8" w14:textId="77777777"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$25,788</w:t>
            </w:r>
          </w:p>
        </w:tc>
        <w:tc>
          <w:tcPr>
            <w:tcW w:w="754" w:type="pct"/>
            <w:tcBorders>
              <w:top w:val="single" w:sz="4" w:space="0" w:color="auto"/>
              <w:left w:val="single" w:sz="4" w:space="0" w:color="auto"/>
              <w:bottom w:val="single" w:sz="4" w:space="0" w:color="auto"/>
              <w:right w:val="single" w:sz="4" w:space="0" w:color="auto"/>
            </w:tcBorders>
          </w:tcPr>
          <w:p w14:paraId="6BDFC6A1" w14:textId="7CAA8849"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w:t>
            </w:r>
            <w:r w:rsidR="0035359C">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r>
      <w:tr w:rsidR="00986EC1" w:rsidRPr="00986EC1" w14:paraId="0A9022BA" w14:textId="77777777" w:rsidTr="00031406">
        <w:tc>
          <w:tcPr>
            <w:tcW w:w="1251" w:type="pct"/>
            <w:tcBorders>
              <w:top w:val="nil"/>
              <w:left w:val="single" w:sz="4" w:space="0" w:color="auto"/>
              <w:bottom w:val="nil"/>
              <w:right w:val="single" w:sz="4" w:space="0" w:color="auto"/>
            </w:tcBorders>
            <w:shd w:val="clear" w:color="auto" w:fill="auto"/>
          </w:tcPr>
          <w:p w14:paraId="1CCB880C" w14:textId="77777777" w:rsidR="00986EC1" w:rsidRPr="00986EC1" w:rsidRDefault="00986EC1" w:rsidP="00646540">
            <w:pPr>
              <w:spacing w:before="0"/>
              <w:rPr>
                <w:rFonts w:ascii="Arial Narrow" w:eastAsia="Calibri" w:hAnsi="Arial Narrow"/>
                <w:sz w:val="20"/>
                <w:szCs w:val="22"/>
                <w:lang w:eastAsia="en-US"/>
              </w:rPr>
            </w:pPr>
          </w:p>
        </w:tc>
        <w:tc>
          <w:tcPr>
            <w:tcW w:w="1420" w:type="pct"/>
            <w:tcBorders>
              <w:top w:val="single" w:sz="4" w:space="0" w:color="auto"/>
              <w:left w:val="single" w:sz="4" w:space="0" w:color="auto"/>
              <w:bottom w:val="single" w:sz="4" w:space="0" w:color="auto"/>
              <w:right w:val="single" w:sz="4" w:space="0" w:color="auto"/>
            </w:tcBorders>
          </w:tcPr>
          <w:p w14:paraId="472EF374" w14:textId="77777777"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Superion IDE study adjusted subgroup (14.7% for IDS; plateau after 3 years)</w:t>
            </w:r>
          </w:p>
        </w:tc>
        <w:tc>
          <w:tcPr>
            <w:tcW w:w="773" w:type="pct"/>
            <w:tcBorders>
              <w:top w:val="single" w:sz="4" w:space="0" w:color="auto"/>
              <w:left w:val="single" w:sz="4" w:space="0" w:color="auto"/>
              <w:bottom w:val="single" w:sz="4" w:space="0" w:color="auto"/>
              <w:right w:val="single" w:sz="4" w:space="0" w:color="auto"/>
            </w:tcBorders>
          </w:tcPr>
          <w:p w14:paraId="6F3E715E" w14:textId="353B5E91"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w:t>
            </w:r>
            <w:r w:rsidR="00CE549A">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c>
          <w:tcPr>
            <w:tcW w:w="802" w:type="pct"/>
            <w:tcBorders>
              <w:top w:val="single" w:sz="4" w:space="0" w:color="auto"/>
              <w:left w:val="single" w:sz="4" w:space="0" w:color="auto"/>
              <w:bottom w:val="single" w:sz="4" w:space="0" w:color="auto"/>
              <w:right w:val="single" w:sz="4" w:space="0" w:color="auto"/>
            </w:tcBorders>
          </w:tcPr>
          <w:p w14:paraId="4990273F" w14:textId="77777777"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$24,309</w:t>
            </w:r>
          </w:p>
        </w:tc>
        <w:tc>
          <w:tcPr>
            <w:tcW w:w="754" w:type="pct"/>
            <w:tcBorders>
              <w:top w:val="single" w:sz="4" w:space="0" w:color="auto"/>
              <w:left w:val="single" w:sz="4" w:space="0" w:color="auto"/>
              <w:bottom w:val="single" w:sz="4" w:space="0" w:color="auto"/>
              <w:right w:val="single" w:sz="4" w:space="0" w:color="auto"/>
            </w:tcBorders>
          </w:tcPr>
          <w:p w14:paraId="3A3E7EB8" w14:textId="41A7B8DE"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w:t>
            </w:r>
            <w:r w:rsidR="0035359C">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r>
      <w:tr w:rsidR="00986EC1" w:rsidRPr="00986EC1" w14:paraId="3DC30A2E" w14:textId="77777777" w:rsidTr="00031406">
        <w:tc>
          <w:tcPr>
            <w:tcW w:w="1251" w:type="pct"/>
            <w:tcBorders>
              <w:top w:val="nil"/>
              <w:left w:val="single" w:sz="4" w:space="0" w:color="auto"/>
              <w:bottom w:val="nil"/>
              <w:right w:val="single" w:sz="4" w:space="0" w:color="auto"/>
            </w:tcBorders>
            <w:shd w:val="clear" w:color="auto" w:fill="auto"/>
          </w:tcPr>
          <w:p w14:paraId="5690F0CB" w14:textId="77777777" w:rsidR="00986EC1" w:rsidRPr="00986EC1" w:rsidRDefault="00986EC1" w:rsidP="00646540">
            <w:pPr>
              <w:spacing w:before="0"/>
              <w:rPr>
                <w:rFonts w:ascii="Arial Narrow" w:eastAsia="Calibri" w:hAnsi="Arial Narrow"/>
                <w:sz w:val="20"/>
                <w:szCs w:val="22"/>
                <w:lang w:eastAsia="en-US"/>
              </w:rPr>
            </w:pPr>
          </w:p>
        </w:tc>
        <w:tc>
          <w:tcPr>
            <w:tcW w:w="1420" w:type="pct"/>
            <w:tcBorders>
              <w:top w:val="single" w:sz="4" w:space="0" w:color="auto"/>
              <w:left w:val="single" w:sz="4" w:space="0" w:color="auto"/>
              <w:bottom w:val="single" w:sz="4" w:space="0" w:color="auto"/>
              <w:right w:val="single" w:sz="4" w:space="0" w:color="auto"/>
            </w:tcBorders>
          </w:tcPr>
          <w:p w14:paraId="11727091" w14:textId="77777777"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US Medicare data review (Deyo 2013; 21% for IDS, plateauing after 3 years)</w:t>
            </w:r>
          </w:p>
        </w:tc>
        <w:tc>
          <w:tcPr>
            <w:tcW w:w="773" w:type="pct"/>
            <w:tcBorders>
              <w:top w:val="single" w:sz="4" w:space="0" w:color="auto"/>
              <w:left w:val="single" w:sz="4" w:space="0" w:color="auto"/>
              <w:bottom w:val="single" w:sz="4" w:space="0" w:color="auto"/>
              <w:right w:val="single" w:sz="4" w:space="0" w:color="auto"/>
            </w:tcBorders>
          </w:tcPr>
          <w:p w14:paraId="6E5535D4" w14:textId="5A6BEE78"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w:t>
            </w:r>
            <w:r w:rsidR="00CE549A">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c>
          <w:tcPr>
            <w:tcW w:w="802" w:type="pct"/>
            <w:tcBorders>
              <w:top w:val="single" w:sz="4" w:space="0" w:color="auto"/>
              <w:left w:val="single" w:sz="4" w:space="0" w:color="auto"/>
              <w:bottom w:val="single" w:sz="4" w:space="0" w:color="auto"/>
              <w:right w:val="single" w:sz="4" w:space="0" w:color="auto"/>
            </w:tcBorders>
          </w:tcPr>
          <w:p w14:paraId="55FEE6F9" w14:textId="77777777"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$24,309</w:t>
            </w:r>
          </w:p>
        </w:tc>
        <w:tc>
          <w:tcPr>
            <w:tcW w:w="754" w:type="pct"/>
            <w:tcBorders>
              <w:top w:val="single" w:sz="4" w:space="0" w:color="auto"/>
              <w:left w:val="single" w:sz="4" w:space="0" w:color="auto"/>
              <w:bottom w:val="single" w:sz="4" w:space="0" w:color="auto"/>
              <w:right w:val="single" w:sz="4" w:space="0" w:color="auto"/>
            </w:tcBorders>
          </w:tcPr>
          <w:p w14:paraId="2EEFBA18" w14:textId="79A858EB"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w:t>
            </w:r>
            <w:r w:rsidR="0035359C">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r>
      <w:tr w:rsidR="00986EC1" w:rsidRPr="00986EC1" w14:paraId="08F1F5CC" w14:textId="77777777" w:rsidTr="00031406">
        <w:tc>
          <w:tcPr>
            <w:tcW w:w="1251" w:type="pct"/>
            <w:tcBorders>
              <w:top w:val="nil"/>
              <w:left w:val="single" w:sz="4" w:space="0" w:color="auto"/>
              <w:bottom w:val="nil"/>
              <w:right w:val="single" w:sz="4" w:space="0" w:color="auto"/>
            </w:tcBorders>
            <w:shd w:val="clear" w:color="auto" w:fill="auto"/>
          </w:tcPr>
          <w:p w14:paraId="7E6A49EB" w14:textId="77777777" w:rsidR="00986EC1" w:rsidRPr="00986EC1" w:rsidRDefault="00986EC1" w:rsidP="00646540">
            <w:pPr>
              <w:keepNext/>
              <w:spacing w:before="0"/>
              <w:rPr>
                <w:rFonts w:ascii="Arial Narrow" w:eastAsia="Calibri" w:hAnsi="Arial Narrow"/>
                <w:sz w:val="20"/>
                <w:szCs w:val="22"/>
                <w:lang w:eastAsia="en-US"/>
              </w:rPr>
            </w:pPr>
          </w:p>
        </w:tc>
        <w:tc>
          <w:tcPr>
            <w:tcW w:w="1420" w:type="pct"/>
            <w:tcBorders>
              <w:top w:val="single" w:sz="4" w:space="0" w:color="auto"/>
              <w:left w:val="single" w:sz="4" w:space="0" w:color="auto"/>
              <w:right w:val="single" w:sz="4" w:space="0" w:color="auto"/>
            </w:tcBorders>
          </w:tcPr>
          <w:p w14:paraId="4EA2B9F3" w14:textId="157E090D" w:rsidR="00986EC1" w:rsidRPr="00986EC1" w:rsidRDefault="00986EC1" w:rsidP="00646540">
            <w:pPr>
              <w:keepNext/>
              <w:spacing w:before="0"/>
              <w:rPr>
                <w:rFonts w:ascii="Arial Narrow" w:eastAsia="Calibri" w:hAnsi="Arial Narrow"/>
                <w:sz w:val="20"/>
                <w:szCs w:val="22"/>
                <w:lang w:eastAsia="en-US"/>
              </w:rPr>
            </w:pPr>
            <w:r w:rsidRPr="00986EC1">
              <w:rPr>
                <w:rFonts w:ascii="Arial Narrow" w:eastAsia="Calibri" w:hAnsi="Arial Narrow"/>
                <w:bCs/>
                <w:sz w:val="20"/>
                <w:lang w:eastAsia="en-US"/>
              </w:rPr>
              <w:t>Meta-analysis of reoperations due to treatment failure (</w:t>
            </w:r>
            <w:r w:rsidRPr="00986EC1">
              <w:rPr>
                <w:rFonts w:ascii="Arial Narrow" w:eastAsia="Calibri" w:hAnsi="Arial Narrow"/>
                <w:bCs/>
                <w:sz w:val="20"/>
                <w:lang w:eastAsia="en-US"/>
              </w:rPr>
              <w:fldChar w:fldCharType="begin"/>
            </w:r>
            <w:r w:rsidRPr="00986EC1">
              <w:rPr>
                <w:rFonts w:ascii="Arial Narrow" w:eastAsia="Calibri" w:hAnsi="Arial Narrow"/>
                <w:bCs/>
                <w:sz w:val="20"/>
                <w:lang w:eastAsia="en-US"/>
              </w:rPr>
              <w:instrText xml:space="preserve"> REF _Ref81597123 \h </w:instrText>
            </w:r>
            <w:r w:rsidR="000044E9">
              <w:rPr>
                <w:rFonts w:ascii="Arial Narrow" w:eastAsia="Calibri" w:hAnsi="Arial Narrow"/>
                <w:bCs/>
                <w:sz w:val="20"/>
                <w:lang w:eastAsia="en-US"/>
              </w:rPr>
              <w:instrText xml:space="preserve"> \* MERGEFORMAT </w:instrText>
            </w:r>
            <w:r w:rsidRPr="00986EC1">
              <w:rPr>
                <w:rFonts w:ascii="Arial Narrow" w:eastAsia="Calibri" w:hAnsi="Arial Narrow"/>
                <w:bCs/>
                <w:sz w:val="20"/>
                <w:lang w:eastAsia="en-US"/>
              </w:rPr>
            </w:r>
            <w:r w:rsidRPr="00986EC1">
              <w:rPr>
                <w:rFonts w:ascii="Arial Narrow" w:eastAsia="Calibri" w:hAnsi="Arial Narrow"/>
                <w:bCs/>
                <w:sz w:val="20"/>
                <w:lang w:eastAsia="en-US"/>
              </w:rPr>
              <w:fldChar w:fldCharType="separate"/>
            </w:r>
            <w:r w:rsidR="00EE4CB3" w:rsidRPr="00986EC1">
              <w:rPr>
                <w:rFonts w:ascii="Arial Narrow" w:hAnsi="Arial Narrow"/>
                <w:b/>
                <w:bCs/>
                <w:sz w:val="20"/>
                <w:lang w:eastAsia="en-US"/>
              </w:rPr>
              <w:t xml:space="preserve">Table </w:t>
            </w:r>
            <w:r w:rsidR="00EE4CB3">
              <w:rPr>
                <w:rFonts w:ascii="Arial Narrow" w:hAnsi="Arial Narrow"/>
                <w:b/>
                <w:bCs/>
                <w:noProof/>
                <w:sz w:val="20"/>
                <w:lang w:eastAsia="en-US"/>
              </w:rPr>
              <w:t>13</w:t>
            </w:r>
            <w:r w:rsidRPr="00986EC1">
              <w:rPr>
                <w:rFonts w:ascii="Arial Narrow" w:eastAsia="Calibri" w:hAnsi="Arial Narrow"/>
                <w:bCs/>
                <w:sz w:val="20"/>
                <w:lang w:eastAsia="en-US"/>
              </w:rPr>
              <w:fldChar w:fldCharType="end"/>
            </w:r>
            <w:r w:rsidRPr="00986EC1">
              <w:rPr>
                <w:rFonts w:ascii="Arial Narrow" w:eastAsia="Calibri" w:hAnsi="Arial Narrow"/>
                <w:bCs/>
                <w:sz w:val="20"/>
                <w:lang w:eastAsia="en-US"/>
              </w:rPr>
              <w:t>) 23.8% IDS vs 5.6% decompression (± fusion – assume the same rate)</w:t>
            </w:r>
          </w:p>
        </w:tc>
        <w:tc>
          <w:tcPr>
            <w:tcW w:w="773" w:type="pct"/>
            <w:tcBorders>
              <w:top w:val="single" w:sz="4" w:space="0" w:color="auto"/>
              <w:left w:val="single" w:sz="4" w:space="0" w:color="auto"/>
              <w:right w:val="single" w:sz="4" w:space="0" w:color="auto"/>
            </w:tcBorders>
          </w:tcPr>
          <w:p w14:paraId="53C4899A" w14:textId="4A681BB8" w:rsidR="00986EC1" w:rsidRPr="00986EC1" w:rsidRDefault="00986EC1" w:rsidP="00646540">
            <w:pPr>
              <w:keepNext/>
              <w:spacing w:before="0"/>
              <w:rPr>
                <w:rFonts w:ascii="Arial Narrow" w:eastAsia="Calibri" w:hAnsi="Arial Narrow"/>
                <w:sz w:val="20"/>
                <w:szCs w:val="22"/>
                <w:lang w:eastAsia="en-US"/>
              </w:rPr>
            </w:pPr>
            <w:r w:rsidRPr="00986EC1">
              <w:rPr>
                <w:rFonts w:ascii="Arial Narrow" w:eastAsia="Calibri" w:hAnsi="Arial Narrow"/>
                <w:bCs/>
                <w:sz w:val="20"/>
                <w:lang w:eastAsia="en-US"/>
              </w:rPr>
              <w:t>$</w:t>
            </w:r>
            <w:r w:rsidR="00CE549A">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c>
          <w:tcPr>
            <w:tcW w:w="802" w:type="pct"/>
            <w:tcBorders>
              <w:top w:val="single" w:sz="4" w:space="0" w:color="auto"/>
              <w:left w:val="single" w:sz="4" w:space="0" w:color="auto"/>
              <w:right w:val="single" w:sz="4" w:space="0" w:color="auto"/>
            </w:tcBorders>
          </w:tcPr>
          <w:p w14:paraId="35DFA91F" w14:textId="77777777" w:rsidR="00986EC1" w:rsidRPr="00986EC1" w:rsidRDefault="00986EC1" w:rsidP="00646540">
            <w:pPr>
              <w:keepNext/>
              <w:spacing w:before="0"/>
              <w:rPr>
                <w:rFonts w:ascii="Arial Narrow" w:eastAsia="Calibri" w:hAnsi="Arial Narrow"/>
                <w:sz w:val="20"/>
                <w:szCs w:val="22"/>
                <w:lang w:eastAsia="en-US"/>
              </w:rPr>
            </w:pPr>
            <w:r w:rsidRPr="00986EC1">
              <w:rPr>
                <w:rFonts w:ascii="Arial Narrow" w:eastAsia="Calibri" w:hAnsi="Arial Narrow"/>
                <w:bCs/>
                <w:sz w:val="20"/>
                <w:lang w:eastAsia="en-US"/>
              </w:rPr>
              <w:t>$22,533</w:t>
            </w:r>
          </w:p>
        </w:tc>
        <w:tc>
          <w:tcPr>
            <w:tcW w:w="754" w:type="pct"/>
            <w:tcBorders>
              <w:top w:val="single" w:sz="4" w:space="0" w:color="auto"/>
              <w:left w:val="single" w:sz="4" w:space="0" w:color="auto"/>
              <w:right w:val="single" w:sz="4" w:space="0" w:color="auto"/>
            </w:tcBorders>
          </w:tcPr>
          <w:p w14:paraId="6067CB5F" w14:textId="16FC2E80" w:rsidR="00986EC1" w:rsidRPr="00986EC1" w:rsidRDefault="00986EC1" w:rsidP="00646540">
            <w:pPr>
              <w:keepNext/>
              <w:spacing w:before="0"/>
              <w:rPr>
                <w:rFonts w:ascii="Arial Narrow" w:eastAsia="Calibri" w:hAnsi="Arial Narrow"/>
                <w:sz w:val="20"/>
                <w:szCs w:val="22"/>
                <w:lang w:eastAsia="en-US"/>
              </w:rPr>
            </w:pPr>
            <w:r w:rsidRPr="00986EC1">
              <w:rPr>
                <w:rFonts w:ascii="Arial Narrow" w:eastAsia="Calibri" w:hAnsi="Arial Narrow"/>
                <w:bCs/>
                <w:sz w:val="20"/>
                <w:lang w:eastAsia="en-US"/>
              </w:rPr>
              <w:t>-$</w:t>
            </w:r>
            <w:r w:rsidR="0035359C">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r>
      <w:tr w:rsidR="00986EC1" w:rsidRPr="00986EC1" w14:paraId="46A500EA" w14:textId="77777777" w:rsidTr="00031406">
        <w:tc>
          <w:tcPr>
            <w:tcW w:w="1251" w:type="pct"/>
            <w:tcBorders>
              <w:top w:val="nil"/>
              <w:left w:val="single" w:sz="4" w:space="0" w:color="auto"/>
              <w:bottom w:val="single" w:sz="4" w:space="0" w:color="auto"/>
              <w:right w:val="single" w:sz="4" w:space="0" w:color="auto"/>
            </w:tcBorders>
            <w:shd w:val="clear" w:color="auto" w:fill="auto"/>
          </w:tcPr>
          <w:p w14:paraId="456F575E" w14:textId="77777777" w:rsidR="00986EC1" w:rsidRPr="00986EC1" w:rsidRDefault="00986EC1" w:rsidP="00646540">
            <w:pPr>
              <w:spacing w:before="0"/>
              <w:rPr>
                <w:rFonts w:ascii="Arial Narrow" w:eastAsia="Calibri" w:hAnsi="Arial Narrow"/>
                <w:sz w:val="20"/>
                <w:szCs w:val="22"/>
                <w:lang w:eastAsia="en-US"/>
              </w:rPr>
            </w:pPr>
          </w:p>
        </w:tc>
        <w:tc>
          <w:tcPr>
            <w:tcW w:w="1420" w:type="pct"/>
            <w:tcBorders>
              <w:top w:val="single" w:sz="4" w:space="0" w:color="auto"/>
              <w:left w:val="single" w:sz="4" w:space="0" w:color="auto"/>
              <w:right w:val="single" w:sz="4" w:space="0" w:color="auto"/>
            </w:tcBorders>
          </w:tcPr>
          <w:p w14:paraId="5B779D32" w14:textId="1F2DE761"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bCs/>
                <w:sz w:val="20"/>
                <w:lang w:eastAsia="en-US"/>
              </w:rPr>
              <w:t>Meta-analysis of reoperations due to treatment failure (</w:t>
            </w:r>
            <w:r w:rsidRPr="00986EC1">
              <w:rPr>
                <w:rFonts w:ascii="Arial Narrow" w:eastAsia="Calibri" w:hAnsi="Arial Narrow"/>
                <w:bCs/>
                <w:sz w:val="20"/>
                <w:lang w:eastAsia="en-US"/>
              </w:rPr>
              <w:fldChar w:fldCharType="begin"/>
            </w:r>
            <w:r w:rsidRPr="00986EC1">
              <w:rPr>
                <w:rFonts w:ascii="Arial Narrow" w:eastAsia="Calibri" w:hAnsi="Arial Narrow"/>
                <w:bCs/>
                <w:sz w:val="20"/>
                <w:lang w:eastAsia="en-US"/>
              </w:rPr>
              <w:instrText xml:space="preserve"> REF _Ref81597123 \h </w:instrText>
            </w:r>
            <w:r w:rsidR="000044E9">
              <w:rPr>
                <w:rFonts w:ascii="Arial Narrow" w:eastAsia="Calibri" w:hAnsi="Arial Narrow"/>
                <w:bCs/>
                <w:sz w:val="20"/>
                <w:lang w:eastAsia="en-US"/>
              </w:rPr>
              <w:instrText xml:space="preserve"> \* MERGEFORMAT </w:instrText>
            </w:r>
            <w:r w:rsidRPr="00986EC1">
              <w:rPr>
                <w:rFonts w:ascii="Arial Narrow" w:eastAsia="Calibri" w:hAnsi="Arial Narrow"/>
                <w:bCs/>
                <w:sz w:val="20"/>
                <w:lang w:eastAsia="en-US"/>
              </w:rPr>
            </w:r>
            <w:r w:rsidRPr="00986EC1">
              <w:rPr>
                <w:rFonts w:ascii="Arial Narrow" w:eastAsia="Calibri" w:hAnsi="Arial Narrow"/>
                <w:bCs/>
                <w:sz w:val="20"/>
                <w:lang w:eastAsia="en-US"/>
              </w:rPr>
              <w:fldChar w:fldCharType="separate"/>
            </w:r>
            <w:r w:rsidR="00EE4CB3" w:rsidRPr="00986EC1">
              <w:rPr>
                <w:rFonts w:ascii="Arial Narrow" w:hAnsi="Arial Narrow"/>
                <w:b/>
                <w:bCs/>
                <w:sz w:val="20"/>
                <w:lang w:eastAsia="en-US"/>
              </w:rPr>
              <w:t xml:space="preserve">Table </w:t>
            </w:r>
            <w:r w:rsidR="00EE4CB3">
              <w:rPr>
                <w:rFonts w:ascii="Arial Narrow" w:hAnsi="Arial Narrow"/>
                <w:b/>
                <w:bCs/>
                <w:noProof/>
                <w:sz w:val="20"/>
                <w:lang w:eastAsia="en-US"/>
              </w:rPr>
              <w:t>13</w:t>
            </w:r>
            <w:r w:rsidRPr="00986EC1">
              <w:rPr>
                <w:rFonts w:ascii="Arial Narrow" w:eastAsia="Calibri" w:hAnsi="Arial Narrow"/>
                <w:bCs/>
                <w:sz w:val="20"/>
                <w:lang w:eastAsia="en-US"/>
              </w:rPr>
              <w:fldChar w:fldCharType="end"/>
            </w:r>
            <w:r w:rsidRPr="00986EC1">
              <w:rPr>
                <w:rFonts w:ascii="Arial Narrow" w:eastAsia="Calibri" w:hAnsi="Arial Narrow"/>
                <w:bCs/>
                <w:sz w:val="20"/>
                <w:lang w:eastAsia="en-US"/>
              </w:rPr>
              <w:t>) with rates inflated to 3-years: 35.7% IDS vs 8.4% decompression (± fusion – assume the same rate)</w:t>
            </w:r>
          </w:p>
        </w:tc>
        <w:tc>
          <w:tcPr>
            <w:tcW w:w="773" w:type="pct"/>
            <w:tcBorders>
              <w:top w:val="single" w:sz="4" w:space="0" w:color="auto"/>
              <w:left w:val="single" w:sz="4" w:space="0" w:color="auto"/>
              <w:right w:val="single" w:sz="4" w:space="0" w:color="auto"/>
            </w:tcBorders>
          </w:tcPr>
          <w:p w14:paraId="16D65E29" w14:textId="63909101"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bCs/>
                <w:sz w:val="20"/>
                <w:lang w:eastAsia="en-US"/>
              </w:rPr>
              <w:t>$</w:t>
            </w:r>
            <w:r w:rsidR="00CE549A">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c>
          <w:tcPr>
            <w:tcW w:w="802" w:type="pct"/>
            <w:tcBorders>
              <w:top w:val="single" w:sz="4" w:space="0" w:color="auto"/>
              <w:left w:val="single" w:sz="4" w:space="0" w:color="auto"/>
              <w:right w:val="single" w:sz="4" w:space="0" w:color="auto"/>
            </w:tcBorders>
          </w:tcPr>
          <w:p w14:paraId="38E6F9F3" w14:textId="77777777"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bCs/>
                <w:sz w:val="20"/>
                <w:lang w:eastAsia="en-US"/>
              </w:rPr>
              <w:t>$23,214</w:t>
            </w:r>
          </w:p>
        </w:tc>
        <w:tc>
          <w:tcPr>
            <w:tcW w:w="754" w:type="pct"/>
            <w:tcBorders>
              <w:top w:val="single" w:sz="4" w:space="0" w:color="auto"/>
              <w:left w:val="single" w:sz="4" w:space="0" w:color="auto"/>
              <w:right w:val="single" w:sz="4" w:space="0" w:color="auto"/>
            </w:tcBorders>
          </w:tcPr>
          <w:p w14:paraId="100FBBD1" w14:textId="3C17CF85"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bCs/>
                <w:sz w:val="20"/>
                <w:lang w:eastAsia="en-US"/>
              </w:rPr>
              <w:t>$</w:t>
            </w:r>
            <w:r w:rsidR="0035359C">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r>
      <w:tr w:rsidR="00986EC1" w:rsidRPr="00986EC1" w14:paraId="708F0719" w14:textId="77777777" w:rsidTr="00031406">
        <w:tc>
          <w:tcPr>
            <w:tcW w:w="1251" w:type="pct"/>
            <w:tcBorders>
              <w:top w:val="single" w:sz="4" w:space="0" w:color="auto"/>
              <w:left w:val="single" w:sz="4" w:space="0" w:color="auto"/>
              <w:bottom w:val="nil"/>
              <w:right w:val="single" w:sz="4" w:space="0" w:color="auto"/>
            </w:tcBorders>
            <w:shd w:val="clear" w:color="auto" w:fill="auto"/>
          </w:tcPr>
          <w:p w14:paraId="4320EF7E" w14:textId="77777777"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Index comparator patients undergoing decompression + fusion (base case 25%)</w:t>
            </w:r>
          </w:p>
        </w:tc>
        <w:tc>
          <w:tcPr>
            <w:tcW w:w="1420" w:type="pct"/>
            <w:vMerge w:val="restart"/>
            <w:tcBorders>
              <w:top w:val="single" w:sz="4" w:space="0" w:color="auto"/>
              <w:left w:val="single" w:sz="4" w:space="0" w:color="auto"/>
              <w:right w:val="single" w:sz="4" w:space="0" w:color="auto"/>
            </w:tcBorders>
          </w:tcPr>
          <w:p w14:paraId="6190907C" w14:textId="77777777"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0% concomitant fusion, arguably representing best practice in the target population</w:t>
            </w:r>
          </w:p>
        </w:tc>
        <w:tc>
          <w:tcPr>
            <w:tcW w:w="773" w:type="pct"/>
            <w:vMerge w:val="restart"/>
            <w:tcBorders>
              <w:top w:val="single" w:sz="4" w:space="0" w:color="auto"/>
              <w:left w:val="single" w:sz="4" w:space="0" w:color="auto"/>
              <w:right w:val="single" w:sz="4" w:space="0" w:color="auto"/>
            </w:tcBorders>
          </w:tcPr>
          <w:p w14:paraId="0203CB7A" w14:textId="7880FA54"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w:t>
            </w:r>
            <w:r w:rsidR="0035359C">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c>
          <w:tcPr>
            <w:tcW w:w="802" w:type="pct"/>
            <w:vMerge w:val="restart"/>
            <w:tcBorders>
              <w:top w:val="single" w:sz="4" w:space="0" w:color="auto"/>
              <w:left w:val="single" w:sz="4" w:space="0" w:color="auto"/>
              <w:right w:val="single" w:sz="4" w:space="0" w:color="auto"/>
            </w:tcBorders>
          </w:tcPr>
          <w:p w14:paraId="66A1C668" w14:textId="77777777"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$18,527</w:t>
            </w:r>
          </w:p>
        </w:tc>
        <w:tc>
          <w:tcPr>
            <w:tcW w:w="754" w:type="pct"/>
            <w:vMerge w:val="restart"/>
            <w:tcBorders>
              <w:top w:val="single" w:sz="4" w:space="0" w:color="auto"/>
              <w:left w:val="single" w:sz="4" w:space="0" w:color="auto"/>
              <w:right w:val="single" w:sz="4" w:space="0" w:color="auto"/>
            </w:tcBorders>
          </w:tcPr>
          <w:p w14:paraId="674581BC" w14:textId="071060A1"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w:t>
            </w:r>
            <w:r w:rsidR="0035359C">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r>
      <w:tr w:rsidR="00986EC1" w:rsidRPr="00986EC1" w14:paraId="7BAC9F8A" w14:textId="77777777" w:rsidTr="00646540">
        <w:trPr>
          <w:trHeight w:val="79"/>
        </w:trPr>
        <w:tc>
          <w:tcPr>
            <w:tcW w:w="1251" w:type="pct"/>
            <w:tcBorders>
              <w:top w:val="nil"/>
              <w:left w:val="single" w:sz="4" w:space="0" w:color="auto"/>
              <w:bottom w:val="nil"/>
              <w:right w:val="single" w:sz="4" w:space="0" w:color="auto"/>
            </w:tcBorders>
            <w:shd w:val="clear" w:color="auto" w:fill="auto"/>
          </w:tcPr>
          <w:p w14:paraId="3A104950" w14:textId="77777777" w:rsidR="00986EC1" w:rsidRPr="00986EC1" w:rsidRDefault="00986EC1" w:rsidP="00646540">
            <w:pPr>
              <w:spacing w:before="0"/>
              <w:rPr>
                <w:rFonts w:ascii="Arial Narrow" w:eastAsia="Calibri" w:hAnsi="Arial Narrow"/>
                <w:sz w:val="20"/>
                <w:szCs w:val="22"/>
                <w:lang w:eastAsia="en-US"/>
              </w:rPr>
            </w:pPr>
          </w:p>
        </w:tc>
        <w:tc>
          <w:tcPr>
            <w:tcW w:w="1420" w:type="pct"/>
            <w:vMerge/>
            <w:tcBorders>
              <w:left w:val="single" w:sz="4" w:space="0" w:color="auto"/>
              <w:bottom w:val="single" w:sz="4" w:space="0" w:color="auto"/>
              <w:right w:val="single" w:sz="4" w:space="0" w:color="auto"/>
            </w:tcBorders>
          </w:tcPr>
          <w:p w14:paraId="1DD94606" w14:textId="77777777" w:rsidR="00986EC1" w:rsidRPr="00986EC1" w:rsidRDefault="00986EC1" w:rsidP="00646540">
            <w:pPr>
              <w:spacing w:before="0"/>
              <w:rPr>
                <w:rFonts w:ascii="Arial Narrow" w:eastAsia="Calibri" w:hAnsi="Arial Narrow"/>
                <w:sz w:val="20"/>
                <w:szCs w:val="22"/>
                <w:lang w:eastAsia="en-US"/>
              </w:rPr>
            </w:pPr>
          </w:p>
        </w:tc>
        <w:tc>
          <w:tcPr>
            <w:tcW w:w="773" w:type="pct"/>
            <w:vMerge/>
            <w:tcBorders>
              <w:left w:val="single" w:sz="4" w:space="0" w:color="auto"/>
              <w:bottom w:val="single" w:sz="4" w:space="0" w:color="auto"/>
              <w:right w:val="single" w:sz="4" w:space="0" w:color="auto"/>
            </w:tcBorders>
          </w:tcPr>
          <w:p w14:paraId="3360245B" w14:textId="77777777" w:rsidR="00986EC1" w:rsidRPr="00986EC1" w:rsidRDefault="00986EC1" w:rsidP="00646540">
            <w:pPr>
              <w:spacing w:before="0"/>
              <w:rPr>
                <w:rFonts w:ascii="Arial Narrow" w:eastAsia="Calibri" w:hAnsi="Arial Narrow"/>
                <w:sz w:val="20"/>
                <w:szCs w:val="22"/>
                <w:lang w:eastAsia="en-US"/>
              </w:rPr>
            </w:pPr>
          </w:p>
        </w:tc>
        <w:tc>
          <w:tcPr>
            <w:tcW w:w="802" w:type="pct"/>
            <w:vMerge/>
            <w:tcBorders>
              <w:left w:val="single" w:sz="4" w:space="0" w:color="auto"/>
              <w:bottom w:val="single" w:sz="4" w:space="0" w:color="auto"/>
              <w:right w:val="single" w:sz="4" w:space="0" w:color="auto"/>
            </w:tcBorders>
          </w:tcPr>
          <w:p w14:paraId="0A5F782D" w14:textId="77777777" w:rsidR="00986EC1" w:rsidRPr="00986EC1" w:rsidRDefault="00986EC1" w:rsidP="00646540">
            <w:pPr>
              <w:spacing w:before="0"/>
              <w:rPr>
                <w:rFonts w:ascii="Arial Narrow" w:eastAsia="Calibri" w:hAnsi="Arial Narrow"/>
                <w:sz w:val="20"/>
                <w:szCs w:val="22"/>
                <w:lang w:eastAsia="en-US"/>
              </w:rPr>
            </w:pPr>
          </w:p>
        </w:tc>
        <w:tc>
          <w:tcPr>
            <w:tcW w:w="754" w:type="pct"/>
            <w:vMerge/>
            <w:tcBorders>
              <w:left w:val="single" w:sz="4" w:space="0" w:color="auto"/>
              <w:bottom w:val="single" w:sz="4" w:space="0" w:color="auto"/>
              <w:right w:val="single" w:sz="4" w:space="0" w:color="auto"/>
            </w:tcBorders>
          </w:tcPr>
          <w:p w14:paraId="0B9203E8" w14:textId="77777777" w:rsidR="00986EC1" w:rsidRPr="00986EC1" w:rsidRDefault="00986EC1" w:rsidP="00646540">
            <w:pPr>
              <w:spacing w:before="0"/>
              <w:rPr>
                <w:rFonts w:ascii="Arial Narrow" w:eastAsia="Calibri" w:hAnsi="Arial Narrow"/>
                <w:sz w:val="20"/>
                <w:szCs w:val="22"/>
                <w:lang w:eastAsia="en-US"/>
              </w:rPr>
            </w:pPr>
          </w:p>
        </w:tc>
      </w:tr>
      <w:tr w:rsidR="00986EC1" w:rsidRPr="00986EC1" w14:paraId="75DE6A86" w14:textId="77777777" w:rsidTr="00031406">
        <w:tc>
          <w:tcPr>
            <w:tcW w:w="1251" w:type="pct"/>
            <w:tcBorders>
              <w:top w:val="nil"/>
              <w:left w:val="single" w:sz="4" w:space="0" w:color="auto"/>
              <w:bottom w:val="nil"/>
              <w:right w:val="single" w:sz="4" w:space="0" w:color="auto"/>
            </w:tcBorders>
            <w:shd w:val="clear" w:color="auto" w:fill="auto"/>
          </w:tcPr>
          <w:p w14:paraId="28715D2E" w14:textId="77777777" w:rsidR="00986EC1" w:rsidRPr="00986EC1" w:rsidRDefault="00986EC1" w:rsidP="00646540">
            <w:pPr>
              <w:spacing w:before="0"/>
              <w:rPr>
                <w:rFonts w:ascii="Arial Narrow" w:eastAsia="Calibri" w:hAnsi="Arial Narrow"/>
                <w:sz w:val="20"/>
                <w:szCs w:val="22"/>
                <w:lang w:eastAsia="en-US"/>
              </w:rPr>
            </w:pPr>
          </w:p>
        </w:tc>
        <w:tc>
          <w:tcPr>
            <w:tcW w:w="1420" w:type="pct"/>
            <w:tcBorders>
              <w:top w:val="single" w:sz="4" w:space="0" w:color="auto"/>
              <w:left w:val="single" w:sz="4" w:space="0" w:color="auto"/>
              <w:bottom w:val="single" w:sz="4" w:space="0" w:color="auto"/>
              <w:right w:val="single" w:sz="4" w:space="0" w:color="auto"/>
            </w:tcBorders>
          </w:tcPr>
          <w:p w14:paraId="201084DB" w14:textId="77777777"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13.6%, approximate threshold value</w:t>
            </w:r>
          </w:p>
        </w:tc>
        <w:tc>
          <w:tcPr>
            <w:tcW w:w="773" w:type="pct"/>
            <w:tcBorders>
              <w:top w:val="single" w:sz="4" w:space="0" w:color="auto"/>
              <w:left w:val="single" w:sz="4" w:space="0" w:color="auto"/>
              <w:bottom w:val="single" w:sz="4" w:space="0" w:color="auto"/>
              <w:right w:val="single" w:sz="4" w:space="0" w:color="auto"/>
            </w:tcBorders>
          </w:tcPr>
          <w:p w14:paraId="34C5828D" w14:textId="1A57BA8F"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w:t>
            </w:r>
            <w:r w:rsidR="0035359C">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c>
          <w:tcPr>
            <w:tcW w:w="802" w:type="pct"/>
            <w:tcBorders>
              <w:top w:val="single" w:sz="4" w:space="0" w:color="auto"/>
              <w:left w:val="single" w:sz="4" w:space="0" w:color="auto"/>
              <w:bottom w:val="single" w:sz="4" w:space="0" w:color="auto"/>
              <w:right w:val="single" w:sz="4" w:space="0" w:color="auto"/>
            </w:tcBorders>
          </w:tcPr>
          <w:p w14:paraId="182E2F85" w14:textId="77777777"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$21,673</w:t>
            </w:r>
          </w:p>
        </w:tc>
        <w:tc>
          <w:tcPr>
            <w:tcW w:w="754" w:type="pct"/>
            <w:tcBorders>
              <w:top w:val="single" w:sz="4" w:space="0" w:color="auto"/>
              <w:left w:val="single" w:sz="4" w:space="0" w:color="auto"/>
              <w:bottom w:val="single" w:sz="4" w:space="0" w:color="auto"/>
              <w:right w:val="single" w:sz="4" w:space="0" w:color="auto"/>
            </w:tcBorders>
          </w:tcPr>
          <w:p w14:paraId="3EE1C20E" w14:textId="329CD106"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w:t>
            </w:r>
            <w:r w:rsidR="0035359C">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r>
      <w:tr w:rsidR="00986EC1" w:rsidRPr="00986EC1" w14:paraId="08233564" w14:textId="77777777" w:rsidTr="00031406">
        <w:tc>
          <w:tcPr>
            <w:tcW w:w="1251" w:type="pct"/>
            <w:tcBorders>
              <w:top w:val="nil"/>
              <w:left w:val="single" w:sz="4" w:space="0" w:color="auto"/>
              <w:bottom w:val="single" w:sz="4" w:space="0" w:color="auto"/>
              <w:right w:val="single" w:sz="4" w:space="0" w:color="auto"/>
            </w:tcBorders>
            <w:shd w:val="clear" w:color="auto" w:fill="auto"/>
          </w:tcPr>
          <w:p w14:paraId="70A995E8" w14:textId="77777777" w:rsidR="00986EC1" w:rsidRPr="00986EC1" w:rsidRDefault="00986EC1" w:rsidP="00646540">
            <w:pPr>
              <w:spacing w:before="0"/>
              <w:rPr>
                <w:rFonts w:ascii="Arial Narrow" w:eastAsia="Calibri" w:hAnsi="Arial Narrow"/>
                <w:sz w:val="20"/>
                <w:szCs w:val="22"/>
                <w:lang w:eastAsia="en-US"/>
              </w:rPr>
            </w:pPr>
          </w:p>
        </w:tc>
        <w:tc>
          <w:tcPr>
            <w:tcW w:w="1420" w:type="pct"/>
            <w:tcBorders>
              <w:top w:val="single" w:sz="4" w:space="0" w:color="auto"/>
              <w:left w:val="single" w:sz="4" w:space="0" w:color="auto"/>
              <w:bottom w:val="single" w:sz="4" w:space="0" w:color="auto"/>
              <w:right w:val="single" w:sz="4" w:space="0" w:color="auto"/>
            </w:tcBorders>
          </w:tcPr>
          <w:p w14:paraId="34E8CF9B" w14:textId="63EA85C6"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22%, Atlas of Variation (ACSQHC 2017)</w:t>
            </w:r>
            <w:r w:rsidR="00A825FE">
              <w:rPr>
                <w:rStyle w:val="FootnoteReference"/>
                <w:rFonts w:ascii="Arial Narrow" w:eastAsia="Calibri" w:hAnsi="Arial Narrow"/>
                <w:sz w:val="20"/>
                <w:szCs w:val="22"/>
                <w:lang w:eastAsia="en-US"/>
              </w:rPr>
              <w:footnoteReference w:id="24"/>
            </w:r>
          </w:p>
        </w:tc>
        <w:tc>
          <w:tcPr>
            <w:tcW w:w="773" w:type="pct"/>
            <w:tcBorders>
              <w:top w:val="single" w:sz="4" w:space="0" w:color="auto"/>
              <w:left w:val="single" w:sz="4" w:space="0" w:color="auto"/>
              <w:bottom w:val="single" w:sz="4" w:space="0" w:color="auto"/>
              <w:right w:val="single" w:sz="4" w:space="0" w:color="auto"/>
            </w:tcBorders>
          </w:tcPr>
          <w:p w14:paraId="62713D8E" w14:textId="450B9B30"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w:t>
            </w:r>
            <w:r w:rsidR="0035359C">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c>
          <w:tcPr>
            <w:tcW w:w="802" w:type="pct"/>
            <w:tcBorders>
              <w:top w:val="single" w:sz="4" w:space="0" w:color="auto"/>
              <w:left w:val="single" w:sz="4" w:space="0" w:color="auto"/>
              <w:bottom w:val="single" w:sz="4" w:space="0" w:color="auto"/>
              <w:right w:val="single" w:sz="4" w:space="0" w:color="auto"/>
            </w:tcBorders>
          </w:tcPr>
          <w:p w14:paraId="2D535F08" w14:textId="77777777"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$23,615</w:t>
            </w:r>
          </w:p>
        </w:tc>
        <w:tc>
          <w:tcPr>
            <w:tcW w:w="754" w:type="pct"/>
            <w:tcBorders>
              <w:top w:val="single" w:sz="4" w:space="0" w:color="auto"/>
              <w:left w:val="single" w:sz="4" w:space="0" w:color="auto"/>
              <w:bottom w:val="single" w:sz="4" w:space="0" w:color="auto"/>
              <w:right w:val="single" w:sz="4" w:space="0" w:color="auto"/>
            </w:tcBorders>
          </w:tcPr>
          <w:p w14:paraId="727185B4" w14:textId="694D4944"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w:t>
            </w:r>
            <w:r w:rsidR="0035359C">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r>
      <w:tr w:rsidR="00986EC1" w:rsidRPr="00986EC1" w14:paraId="632ECF44" w14:textId="77777777" w:rsidTr="00031406">
        <w:trPr>
          <w:trHeight w:val="998"/>
        </w:trPr>
        <w:tc>
          <w:tcPr>
            <w:tcW w:w="1251" w:type="pct"/>
            <w:tcBorders>
              <w:left w:val="single" w:sz="4" w:space="0" w:color="auto"/>
              <w:right w:val="single" w:sz="4" w:space="0" w:color="auto"/>
            </w:tcBorders>
            <w:shd w:val="clear" w:color="auto" w:fill="auto"/>
          </w:tcPr>
          <w:p w14:paraId="49C3FF7D" w14:textId="77777777"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Proportion of reoperation patients undergoing fusion (base case, assumes 50%)</w:t>
            </w:r>
          </w:p>
        </w:tc>
        <w:tc>
          <w:tcPr>
            <w:tcW w:w="1420" w:type="pct"/>
            <w:tcBorders>
              <w:top w:val="single" w:sz="4" w:space="0" w:color="auto"/>
              <w:left w:val="single" w:sz="4" w:space="0" w:color="auto"/>
              <w:right w:val="single" w:sz="4" w:space="0" w:color="auto"/>
            </w:tcBorders>
          </w:tcPr>
          <w:p w14:paraId="7F2D4728" w14:textId="77777777"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 xml:space="preserve">32.7%, from IDE study proportion of Superion reoperation patients undergoing fusion </w:t>
            </w:r>
          </w:p>
        </w:tc>
        <w:tc>
          <w:tcPr>
            <w:tcW w:w="773" w:type="pct"/>
            <w:tcBorders>
              <w:top w:val="single" w:sz="4" w:space="0" w:color="auto"/>
              <w:left w:val="single" w:sz="4" w:space="0" w:color="auto"/>
              <w:right w:val="single" w:sz="4" w:space="0" w:color="auto"/>
            </w:tcBorders>
          </w:tcPr>
          <w:p w14:paraId="070FC731" w14:textId="5500A4D2"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w:t>
            </w:r>
            <w:r w:rsidR="0035359C">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c>
          <w:tcPr>
            <w:tcW w:w="802" w:type="pct"/>
            <w:tcBorders>
              <w:top w:val="single" w:sz="4" w:space="0" w:color="auto"/>
              <w:left w:val="single" w:sz="4" w:space="0" w:color="auto"/>
              <w:right w:val="single" w:sz="4" w:space="0" w:color="auto"/>
            </w:tcBorders>
          </w:tcPr>
          <w:p w14:paraId="03594772" w14:textId="77777777"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$23,851</w:t>
            </w:r>
          </w:p>
        </w:tc>
        <w:tc>
          <w:tcPr>
            <w:tcW w:w="754" w:type="pct"/>
            <w:tcBorders>
              <w:top w:val="single" w:sz="4" w:space="0" w:color="auto"/>
              <w:left w:val="single" w:sz="4" w:space="0" w:color="auto"/>
              <w:right w:val="single" w:sz="4" w:space="0" w:color="auto"/>
            </w:tcBorders>
          </w:tcPr>
          <w:p w14:paraId="13168D13" w14:textId="14BFF471" w:rsidR="00986EC1" w:rsidRPr="00986EC1" w:rsidRDefault="00986EC1" w:rsidP="00646540">
            <w:pPr>
              <w:spacing w:before="0"/>
              <w:rPr>
                <w:rFonts w:ascii="Arial Narrow" w:eastAsia="Calibri" w:hAnsi="Arial Narrow"/>
                <w:sz w:val="20"/>
                <w:szCs w:val="22"/>
                <w:lang w:eastAsia="en-US"/>
              </w:rPr>
            </w:pPr>
            <w:r w:rsidRPr="00986EC1">
              <w:rPr>
                <w:rFonts w:ascii="Arial Narrow" w:eastAsia="Calibri" w:hAnsi="Arial Narrow"/>
                <w:sz w:val="20"/>
                <w:szCs w:val="22"/>
                <w:lang w:eastAsia="en-US"/>
              </w:rPr>
              <w:t>-$</w:t>
            </w:r>
            <w:r w:rsidR="0035359C">
              <w:rPr>
                <w:rFonts w:ascii="Arial Narrow" w:eastAsia="Calibri" w:hAnsi="Arial Narrow"/>
                <w:b/>
                <w:bCs/>
                <w:sz w:val="20"/>
                <w:szCs w:val="22"/>
                <w:lang w:eastAsia="en-US"/>
              </w:rPr>
              <w:t>Redacted</w:t>
            </w:r>
            <w:r w:rsidR="00031406">
              <w:rPr>
                <w:rFonts w:ascii="Arial Narrow" w:eastAsia="Calibri" w:hAnsi="Arial Narrow"/>
                <w:b/>
                <w:bCs/>
                <w:sz w:val="20"/>
                <w:szCs w:val="22"/>
                <w:lang w:eastAsia="en-US"/>
              </w:rPr>
              <w:t xml:space="preserve"> </w:t>
            </w:r>
          </w:p>
        </w:tc>
      </w:tr>
    </w:tbl>
    <w:p w14:paraId="27B743C1" w14:textId="77777777" w:rsidR="00B23D55" w:rsidRDefault="00986EC1" w:rsidP="00B23D55">
      <w:pPr>
        <w:pStyle w:val="Tablenotes1"/>
      </w:pPr>
      <w:r w:rsidRPr="00986EC1">
        <w:t>IDS, interspinous decompression spacer.</w:t>
      </w:r>
    </w:p>
    <w:p w14:paraId="15D25AD8" w14:textId="3003D9E8" w:rsidR="00986EC1" w:rsidRPr="00986EC1" w:rsidRDefault="00B23D55" w:rsidP="00B23D55">
      <w:pPr>
        <w:pStyle w:val="Tablenotes1"/>
      </w:pPr>
      <w:r>
        <w:t>Source: Commentary, Table 21</w:t>
      </w:r>
      <w:r w:rsidR="00986EC1" w:rsidRPr="00986EC1">
        <w:t xml:space="preserve">  </w:t>
      </w:r>
    </w:p>
    <w:p w14:paraId="41F3BC9A" w14:textId="1AE2EAD1" w:rsidR="00986EC1" w:rsidRDefault="00986EC1" w:rsidP="00986EC1">
      <w:pPr>
        <w:spacing w:before="120" w:after="160" w:line="259" w:lineRule="auto"/>
        <w:rPr>
          <w:rFonts w:ascii="Franklin Gothic Book" w:eastAsia="Calibri" w:hAnsi="Franklin Gothic Book"/>
          <w:iCs/>
          <w:sz w:val="22"/>
          <w:szCs w:val="22"/>
          <w:lang w:eastAsia="en-US"/>
        </w:rPr>
      </w:pPr>
      <w:r w:rsidRPr="00986EC1">
        <w:rPr>
          <w:rFonts w:ascii="Franklin Gothic Book" w:eastAsia="Calibri" w:hAnsi="Franklin Gothic Book"/>
          <w:sz w:val="22"/>
          <w:szCs w:val="22"/>
          <w:lang w:eastAsia="en-US"/>
        </w:rPr>
        <w:t xml:space="preserve">The most important assumption for the comparator cost values is the proportion of people in the comparator group undergoing fusion at the index surgery. The (one-way) sensitivity analysis suggests a cost neutral threshold of around 13.6%. Other factors affecting the relative costs include the proportion expected to undergo reoperation, which is higher for the IDS group compared to the comparator, and the proportion undergoing fusion at a subsequent reoperation. </w:t>
      </w:r>
      <w:r w:rsidRPr="00986EC1">
        <w:rPr>
          <w:rFonts w:ascii="Franklin Gothic Book" w:eastAsia="Calibri" w:hAnsi="Franklin Gothic Book"/>
          <w:iCs/>
          <w:sz w:val="22"/>
          <w:szCs w:val="22"/>
          <w:lang w:eastAsia="en-US"/>
        </w:rPr>
        <w:t>Using the reoperation rates from the meta-</w:t>
      </w:r>
      <w:r w:rsidRPr="00FC6CFF">
        <w:rPr>
          <w:rFonts w:ascii="Franklin Gothic Book" w:eastAsia="Calibri" w:hAnsi="Franklin Gothic Book"/>
          <w:sz w:val="22"/>
          <w:szCs w:val="22"/>
          <w:lang w:eastAsia="en-US"/>
        </w:rPr>
        <w:t xml:space="preserve">analysis in </w:t>
      </w:r>
      <w:r w:rsidRPr="00FC6CFF">
        <w:rPr>
          <w:rFonts w:ascii="Franklin Gothic Book" w:eastAsia="Calibri" w:hAnsi="Franklin Gothic Book"/>
          <w:sz w:val="22"/>
          <w:szCs w:val="22"/>
          <w:lang w:eastAsia="en-US"/>
        </w:rPr>
        <w:fldChar w:fldCharType="begin"/>
      </w:r>
      <w:r w:rsidRPr="00FC6CFF">
        <w:rPr>
          <w:rFonts w:ascii="Franklin Gothic Book" w:eastAsia="Calibri" w:hAnsi="Franklin Gothic Book"/>
          <w:sz w:val="22"/>
          <w:szCs w:val="22"/>
          <w:lang w:eastAsia="en-US"/>
        </w:rPr>
        <w:instrText xml:space="preserve"> REF _Ref81597123 \h </w:instrText>
      </w:r>
      <w:r w:rsidR="00FC6CFF">
        <w:rPr>
          <w:rFonts w:ascii="Franklin Gothic Book" w:eastAsia="Calibri" w:hAnsi="Franklin Gothic Book"/>
          <w:sz w:val="22"/>
          <w:szCs w:val="22"/>
          <w:lang w:eastAsia="en-US"/>
        </w:rPr>
        <w:instrText xml:space="preserve"> \* MERGEFORMAT </w:instrText>
      </w:r>
      <w:r w:rsidRPr="00FC6CFF">
        <w:rPr>
          <w:rFonts w:ascii="Franklin Gothic Book" w:eastAsia="Calibri" w:hAnsi="Franklin Gothic Book"/>
          <w:sz w:val="22"/>
          <w:szCs w:val="22"/>
          <w:lang w:eastAsia="en-US"/>
        </w:rPr>
      </w:r>
      <w:r w:rsidRPr="00FC6CFF">
        <w:rPr>
          <w:rFonts w:ascii="Franklin Gothic Book" w:eastAsia="Calibri" w:hAnsi="Franklin Gothic Book"/>
          <w:sz w:val="22"/>
          <w:szCs w:val="22"/>
          <w:lang w:eastAsia="en-US"/>
        </w:rPr>
        <w:fldChar w:fldCharType="separate"/>
      </w:r>
      <w:r w:rsidR="00EE4CB3" w:rsidRPr="00EE4CB3">
        <w:rPr>
          <w:rFonts w:ascii="Franklin Gothic Book" w:eastAsia="Calibri" w:hAnsi="Franklin Gothic Book"/>
          <w:sz w:val="22"/>
          <w:szCs w:val="22"/>
          <w:lang w:eastAsia="en-US"/>
        </w:rPr>
        <w:t>Table 13</w:t>
      </w:r>
      <w:r w:rsidRPr="00FC6CFF">
        <w:rPr>
          <w:rFonts w:ascii="Franklin Gothic Book" w:eastAsia="Calibri" w:hAnsi="Franklin Gothic Book"/>
          <w:sz w:val="22"/>
          <w:szCs w:val="22"/>
          <w:lang w:eastAsia="en-US"/>
        </w:rPr>
        <w:fldChar w:fldCharType="end"/>
      </w:r>
      <w:r w:rsidRPr="00986EC1">
        <w:rPr>
          <w:rFonts w:ascii="Franklin Gothic Book" w:eastAsia="Calibri" w:hAnsi="Franklin Gothic Book"/>
          <w:iCs/>
          <w:sz w:val="22"/>
          <w:szCs w:val="22"/>
          <w:lang w:eastAsia="en-US"/>
        </w:rPr>
        <w:t xml:space="preserve"> (23.8% IDS vs 5.6% decompression, not inflated over time), IDS is cost-saving when the rate of index fusion in the comparator is above 20%; the breakeven threshold is 19.5%.</w:t>
      </w:r>
    </w:p>
    <w:p w14:paraId="2D798B26" w14:textId="6B8E9AE6" w:rsidR="00F6405A" w:rsidRPr="00986EC1" w:rsidRDefault="009A7359" w:rsidP="00986EC1">
      <w:pPr>
        <w:spacing w:before="120" w:after="160" w:line="259" w:lineRule="auto"/>
        <w:rPr>
          <w:rFonts w:ascii="Franklin Gothic Book" w:eastAsia="Calibri" w:hAnsi="Franklin Gothic Book"/>
          <w:sz w:val="22"/>
          <w:szCs w:val="22"/>
          <w:lang w:eastAsia="en-US"/>
        </w:rPr>
      </w:pPr>
      <w:r>
        <w:rPr>
          <w:rFonts w:ascii="Franklin Gothic Book" w:eastAsia="Calibri" w:hAnsi="Franklin Gothic Book"/>
          <w:sz w:val="22"/>
          <w:szCs w:val="22"/>
          <w:lang w:eastAsia="en-US"/>
        </w:rPr>
        <w:t>I</w:t>
      </w:r>
      <w:r w:rsidR="00F6405A">
        <w:rPr>
          <w:rFonts w:ascii="Franklin Gothic Book" w:eastAsia="Calibri" w:hAnsi="Franklin Gothic Book"/>
          <w:sz w:val="22"/>
          <w:szCs w:val="22"/>
          <w:lang w:eastAsia="en-US"/>
        </w:rPr>
        <w:t>n the pre-ESC response, t</w:t>
      </w:r>
      <w:r w:rsidR="00F6405A" w:rsidRPr="000236D4">
        <w:rPr>
          <w:rFonts w:ascii="Franklin Gothic Book" w:eastAsia="Calibri" w:hAnsi="Franklin Gothic Book"/>
          <w:sz w:val="22"/>
          <w:szCs w:val="22"/>
          <w:lang w:eastAsia="en-US"/>
        </w:rPr>
        <w:t>he applicant proposed reducing the device cost by 10% to $</w:t>
      </w:r>
      <w:r w:rsidR="0035359C">
        <w:rPr>
          <w:rFonts w:ascii="Franklin Gothic Book" w:eastAsia="Calibri" w:hAnsi="Franklin Gothic Book"/>
          <w:b/>
          <w:bCs/>
          <w:sz w:val="22"/>
          <w:szCs w:val="22"/>
          <w:lang w:eastAsia="en-US"/>
        </w:rPr>
        <w:t>Redacted</w:t>
      </w:r>
      <w:r w:rsidR="00F6405A" w:rsidRPr="000236D4">
        <w:rPr>
          <w:rFonts w:ascii="Franklin Gothic Book" w:eastAsia="Calibri" w:hAnsi="Franklin Gothic Book"/>
          <w:sz w:val="22"/>
          <w:szCs w:val="22"/>
          <w:lang w:eastAsia="en-US"/>
        </w:rPr>
        <w:t xml:space="preserve"> per unit, to be cost-neutral even if the rate of fusion in the comparator arm was as low as 7.9%, and giving a total cost saving over five years of $</w:t>
      </w:r>
      <w:r w:rsidR="0035359C">
        <w:rPr>
          <w:rFonts w:ascii="Franklin Gothic Book" w:eastAsia="Calibri" w:hAnsi="Franklin Gothic Book"/>
          <w:b/>
          <w:bCs/>
          <w:sz w:val="22"/>
          <w:szCs w:val="22"/>
          <w:lang w:eastAsia="en-US"/>
        </w:rPr>
        <w:t>Redacted</w:t>
      </w:r>
      <w:r w:rsidR="00F6405A" w:rsidRPr="000236D4">
        <w:rPr>
          <w:rFonts w:ascii="Franklin Gothic Book" w:eastAsia="Calibri" w:hAnsi="Franklin Gothic Book"/>
          <w:sz w:val="22"/>
          <w:szCs w:val="22"/>
          <w:lang w:eastAsia="en-US"/>
        </w:rPr>
        <w:t>.</w:t>
      </w:r>
    </w:p>
    <w:p w14:paraId="4514B27F" w14:textId="77777777" w:rsidR="00082699" w:rsidRPr="003F1D0D" w:rsidRDefault="00082699" w:rsidP="00082699">
      <w:pPr>
        <w:keepNext/>
        <w:keepLines/>
        <w:tabs>
          <w:tab w:val="left" w:pos="851"/>
        </w:tabs>
        <w:spacing w:before="360" w:after="200"/>
        <w:outlineLvl w:val="2"/>
        <w:rPr>
          <w:rFonts w:ascii="Franklin Gothic Medium" w:eastAsia="SimSun" w:hAnsi="Franklin Gothic Medium"/>
          <w:szCs w:val="24"/>
          <w:lang w:eastAsia="en-US"/>
        </w:rPr>
      </w:pPr>
      <w:r>
        <w:rPr>
          <w:rFonts w:ascii="Franklin Gothic Medium" w:eastAsia="SimSun" w:hAnsi="Franklin Gothic Medium"/>
          <w:szCs w:val="24"/>
          <w:lang w:eastAsia="en-US"/>
        </w:rPr>
        <w:t>Supplementary</w:t>
      </w:r>
      <w:r w:rsidRPr="003F1D0D">
        <w:rPr>
          <w:rFonts w:ascii="Franklin Gothic Medium" w:eastAsia="SimSun" w:hAnsi="Franklin Gothic Medium"/>
          <w:szCs w:val="24"/>
          <w:lang w:eastAsia="en-US"/>
        </w:rPr>
        <w:t xml:space="preserve"> analysis</w:t>
      </w:r>
    </w:p>
    <w:p w14:paraId="0406CA69" w14:textId="138FD419" w:rsidR="000B6893" w:rsidRPr="000B6893" w:rsidRDefault="00986EC1" w:rsidP="000B6893">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 xml:space="preserve">The </w:t>
      </w:r>
      <w:r w:rsidR="00FA30F8">
        <w:rPr>
          <w:rFonts w:ascii="Franklin Gothic Book" w:eastAsia="Calibri" w:hAnsi="Franklin Gothic Book"/>
          <w:sz w:val="22"/>
          <w:szCs w:val="22"/>
          <w:lang w:eastAsia="en-US"/>
        </w:rPr>
        <w:t xml:space="preserve">ADAR’s </w:t>
      </w:r>
      <w:r w:rsidRPr="00986EC1">
        <w:rPr>
          <w:rFonts w:ascii="Franklin Gothic Book" w:eastAsia="Calibri" w:hAnsi="Franklin Gothic Book"/>
          <w:sz w:val="22"/>
          <w:szCs w:val="22"/>
          <w:lang w:eastAsia="en-US"/>
        </w:rPr>
        <w:t xml:space="preserve">supplementary analysis provides a cost-utility analysis comparing IDS to continued (and unsuccessful) conservative management, for a subpopulation in whom more invasive surgery is limited by factors such as extensive comorbidities. The supplementary analysis makes use of existing literature, though the statistical strength of the employed utility data is somewhat </w:t>
      </w:r>
      <w:bookmarkStart w:id="71" w:name="_Hlk81576988"/>
      <w:r w:rsidRPr="00986EC1">
        <w:rPr>
          <w:rFonts w:ascii="Franklin Gothic Book" w:eastAsia="Calibri" w:hAnsi="Franklin Gothic Book"/>
          <w:sz w:val="22"/>
          <w:szCs w:val="22"/>
          <w:lang w:eastAsia="en-US"/>
        </w:rPr>
        <w:t>undermined by a small sample size</w:t>
      </w:r>
      <w:bookmarkEnd w:id="71"/>
      <w:r w:rsidRPr="00986EC1">
        <w:rPr>
          <w:rFonts w:ascii="Franklin Gothic Book" w:eastAsia="Calibri" w:hAnsi="Franklin Gothic Book"/>
          <w:sz w:val="22"/>
          <w:szCs w:val="22"/>
          <w:lang w:eastAsia="en-US"/>
        </w:rPr>
        <w:t>. This limits the strength of the ADAR conclusion of an ICER less than $50,000 per quality-adjusted life year gained.</w:t>
      </w:r>
      <w:r w:rsidR="00082699">
        <w:rPr>
          <w:rFonts w:ascii="Franklin Gothic Book" w:eastAsia="Calibri" w:hAnsi="Franklin Gothic Book"/>
          <w:sz w:val="22"/>
          <w:szCs w:val="22"/>
          <w:lang w:eastAsia="en-US"/>
        </w:rPr>
        <w:t xml:space="preserve"> </w:t>
      </w:r>
      <w:r w:rsidR="00FA30F8">
        <w:rPr>
          <w:rFonts w:ascii="Franklin Gothic Book" w:eastAsia="Calibri" w:hAnsi="Franklin Gothic Book"/>
          <w:sz w:val="22"/>
          <w:szCs w:val="22"/>
          <w:lang w:eastAsia="en-US"/>
        </w:rPr>
        <w:t xml:space="preserve">The commentary noted that </w:t>
      </w:r>
      <w:r w:rsidR="00FA30F8">
        <w:rPr>
          <w:rFonts w:ascii="Franklin Gothic Book" w:eastAsia="Calibri" w:hAnsi="Franklin Gothic Book"/>
          <w:bCs/>
          <w:iCs/>
          <w:sz w:val="22"/>
          <w:szCs w:val="22"/>
          <w:lang w:eastAsia="en-US"/>
        </w:rPr>
        <w:t>t</w:t>
      </w:r>
      <w:r w:rsidR="00FA30F8" w:rsidRPr="00FA30F8">
        <w:rPr>
          <w:rFonts w:ascii="Franklin Gothic Book" w:eastAsia="Calibri" w:hAnsi="Franklin Gothic Book"/>
          <w:bCs/>
          <w:iCs/>
          <w:sz w:val="22"/>
          <w:szCs w:val="22"/>
          <w:lang w:eastAsia="en-US"/>
        </w:rPr>
        <w:t>he references cited on conservative therapy are outdated, many of them are guidelines produced by surgical societies and some have little relevance.</w:t>
      </w:r>
      <w:r w:rsidR="00FA30F8" w:rsidRPr="00FA30F8">
        <w:rPr>
          <w:rFonts w:ascii="Franklin Gothic Book" w:eastAsia="Calibri" w:hAnsi="Franklin Gothic Book"/>
          <w:bCs/>
          <w:i/>
          <w:sz w:val="22"/>
          <w:szCs w:val="22"/>
          <w:lang w:eastAsia="en-US"/>
        </w:rPr>
        <w:t xml:space="preserve"> </w:t>
      </w:r>
      <w:r w:rsidR="00FA30F8" w:rsidRPr="00FA30F8">
        <w:rPr>
          <w:rFonts w:ascii="Franklin Gothic Book" w:eastAsia="Calibri" w:hAnsi="Franklin Gothic Book"/>
          <w:bCs/>
          <w:iCs/>
          <w:sz w:val="22"/>
          <w:szCs w:val="22"/>
          <w:lang w:eastAsia="en-US"/>
        </w:rPr>
        <w:t>Two key references are a 2016 Cochrane review</w:t>
      </w:r>
      <w:r w:rsidR="00D3031D">
        <w:rPr>
          <w:rFonts w:ascii="Franklin Gothic Book" w:eastAsia="Calibri" w:hAnsi="Franklin Gothic Book"/>
          <w:bCs/>
          <w:iCs/>
          <w:sz w:val="22"/>
          <w:szCs w:val="22"/>
          <w:vertAlign w:val="superscript"/>
          <w:lang w:eastAsia="en-US"/>
        </w:rPr>
        <w:t>2</w:t>
      </w:r>
      <w:r w:rsidR="00FA30F8" w:rsidRPr="00FA30F8">
        <w:rPr>
          <w:rFonts w:ascii="Franklin Gothic Book" w:eastAsia="Calibri" w:hAnsi="Franklin Gothic Book"/>
          <w:bCs/>
          <w:iCs/>
          <w:sz w:val="22"/>
          <w:szCs w:val="22"/>
          <w:lang w:eastAsia="en-US"/>
        </w:rPr>
        <w:t>, which failed to find evidence for the benefits of surgery compared with conservative therapy, and a recently published clinical practice guideline on non-surgical interventions</w:t>
      </w:r>
      <w:r w:rsidR="00A825FE">
        <w:rPr>
          <w:rStyle w:val="FootnoteReference"/>
          <w:rFonts w:ascii="Franklin Gothic Book" w:eastAsia="Calibri" w:hAnsi="Franklin Gothic Book"/>
          <w:bCs/>
          <w:iCs/>
          <w:sz w:val="22"/>
          <w:szCs w:val="22"/>
          <w:lang w:eastAsia="en-US"/>
        </w:rPr>
        <w:footnoteReference w:id="25"/>
      </w:r>
      <w:r w:rsidR="00FA30F8" w:rsidRPr="00FA30F8">
        <w:rPr>
          <w:rFonts w:ascii="Franklin Gothic Book" w:eastAsia="Calibri" w:hAnsi="Franklin Gothic Book"/>
          <w:bCs/>
          <w:iCs/>
          <w:sz w:val="22"/>
          <w:szCs w:val="22"/>
          <w:lang w:eastAsia="en-US"/>
        </w:rPr>
        <w:t>.</w:t>
      </w:r>
      <w:r w:rsidR="00FC6CFF">
        <w:rPr>
          <w:rFonts w:ascii="Franklin Gothic Book" w:eastAsia="Calibri" w:hAnsi="Franklin Gothic Book"/>
          <w:sz w:val="22"/>
          <w:szCs w:val="22"/>
          <w:lang w:eastAsia="en-US"/>
        </w:rPr>
        <w:t xml:space="preserve"> </w:t>
      </w:r>
      <w:r w:rsidR="009D3D67">
        <w:rPr>
          <w:rFonts w:ascii="Franklin Gothic Book" w:eastAsia="Calibri" w:hAnsi="Franklin Gothic Book"/>
          <w:sz w:val="22"/>
          <w:szCs w:val="22"/>
          <w:lang w:eastAsia="en-US"/>
        </w:rPr>
        <w:t>Analysis of t</w:t>
      </w:r>
      <w:r w:rsidR="00FC6CFF">
        <w:rPr>
          <w:rFonts w:ascii="Franklin Gothic Book" w:eastAsia="Calibri" w:hAnsi="Franklin Gothic Book"/>
          <w:sz w:val="22"/>
          <w:szCs w:val="22"/>
          <w:lang w:eastAsia="en-US"/>
        </w:rPr>
        <w:t xml:space="preserve">he comparative effectiveness </w:t>
      </w:r>
      <w:r w:rsidR="009D3D67">
        <w:rPr>
          <w:rFonts w:ascii="Franklin Gothic Book" w:eastAsia="Calibri" w:hAnsi="Franklin Gothic Book"/>
          <w:sz w:val="22"/>
          <w:szCs w:val="22"/>
          <w:lang w:eastAsia="en-US"/>
        </w:rPr>
        <w:t>of conservative care</w:t>
      </w:r>
      <w:r w:rsidR="00FC6CFF">
        <w:rPr>
          <w:rFonts w:ascii="Franklin Gothic Book" w:eastAsia="Calibri" w:hAnsi="Franklin Gothic Book"/>
          <w:sz w:val="22"/>
          <w:szCs w:val="22"/>
          <w:lang w:eastAsia="en-US"/>
        </w:rPr>
        <w:t xml:space="preserve"> is provided above.</w:t>
      </w:r>
      <w:r w:rsidR="00FA30F8">
        <w:rPr>
          <w:rFonts w:ascii="Franklin Gothic Book" w:eastAsia="Calibri" w:hAnsi="Franklin Gothic Book"/>
          <w:sz w:val="22"/>
          <w:szCs w:val="22"/>
          <w:lang w:eastAsia="en-US"/>
        </w:rPr>
        <w:t xml:space="preserve"> </w:t>
      </w:r>
      <w:r w:rsidR="00FC6CFF">
        <w:rPr>
          <w:rFonts w:ascii="Franklin Gothic Book" w:eastAsia="Calibri" w:hAnsi="Franklin Gothic Book"/>
          <w:sz w:val="22"/>
          <w:szCs w:val="22"/>
          <w:lang w:eastAsia="en-US"/>
        </w:rPr>
        <w:t>The results of the supplementary CUA are provided below (</w:t>
      </w:r>
      <w:r w:rsidR="00FC6CFF">
        <w:rPr>
          <w:rFonts w:ascii="Franklin Gothic Book" w:eastAsia="Calibri" w:hAnsi="Franklin Gothic Book"/>
          <w:sz w:val="22"/>
          <w:szCs w:val="22"/>
          <w:lang w:eastAsia="en-US"/>
        </w:rPr>
        <w:fldChar w:fldCharType="begin"/>
      </w:r>
      <w:r w:rsidR="00FC6CFF">
        <w:rPr>
          <w:rFonts w:ascii="Franklin Gothic Book" w:eastAsia="Calibri" w:hAnsi="Franklin Gothic Book"/>
          <w:sz w:val="22"/>
          <w:szCs w:val="22"/>
          <w:lang w:eastAsia="en-US"/>
        </w:rPr>
        <w:instrText xml:space="preserve"> REF _Ref72499558  \* MERGEFORMAT </w:instrText>
      </w:r>
      <w:r w:rsidR="00FC6CFF">
        <w:rPr>
          <w:rFonts w:ascii="Franklin Gothic Book" w:eastAsia="Calibri" w:hAnsi="Franklin Gothic Book"/>
          <w:sz w:val="22"/>
          <w:szCs w:val="22"/>
          <w:lang w:eastAsia="en-US"/>
        </w:rPr>
        <w:fldChar w:fldCharType="separate"/>
      </w:r>
      <w:r w:rsidR="00EE4CB3" w:rsidRPr="00EE4CB3">
        <w:rPr>
          <w:rFonts w:ascii="Franklin Gothic Book" w:eastAsia="Calibri" w:hAnsi="Franklin Gothic Book"/>
          <w:sz w:val="22"/>
          <w:szCs w:val="22"/>
          <w:lang w:eastAsia="en-US"/>
        </w:rPr>
        <w:t>Table 22</w:t>
      </w:r>
      <w:r w:rsidR="00FC6CFF">
        <w:rPr>
          <w:rFonts w:ascii="Franklin Gothic Book" w:eastAsia="Calibri" w:hAnsi="Franklin Gothic Book"/>
          <w:sz w:val="22"/>
          <w:szCs w:val="22"/>
          <w:lang w:eastAsia="en-US"/>
        </w:rPr>
        <w:fldChar w:fldCharType="end"/>
      </w:r>
      <w:r w:rsidR="00FC6CFF">
        <w:rPr>
          <w:rFonts w:ascii="Franklin Gothic Book" w:eastAsia="Calibri" w:hAnsi="Franklin Gothic Book"/>
          <w:sz w:val="22"/>
          <w:szCs w:val="22"/>
          <w:lang w:eastAsia="en-US"/>
        </w:rPr>
        <w:t>).</w:t>
      </w:r>
      <w:bookmarkStart w:id="72" w:name="_Ref72499558"/>
      <w:r w:rsidR="000B6893">
        <w:br w:type="page"/>
      </w:r>
    </w:p>
    <w:p w14:paraId="72B00439" w14:textId="2F950C54" w:rsidR="00FC6CFF" w:rsidRPr="0057206B" w:rsidRDefault="00FC6CFF" w:rsidP="000044E9">
      <w:pPr>
        <w:pStyle w:val="Caption"/>
        <w:ind w:left="720" w:hanging="720"/>
      </w:pPr>
      <w:r w:rsidRPr="0057206B">
        <w:t xml:space="preserve">Table </w:t>
      </w:r>
      <w:r w:rsidR="00646540">
        <w:fldChar w:fldCharType="begin"/>
      </w:r>
      <w:r w:rsidR="00646540">
        <w:instrText xml:space="preserve"> SEQ Table \* ARABIC </w:instrText>
      </w:r>
      <w:r w:rsidR="00646540">
        <w:fldChar w:fldCharType="separate"/>
      </w:r>
      <w:r w:rsidR="00EE4CB3">
        <w:rPr>
          <w:noProof/>
        </w:rPr>
        <w:t>22</w:t>
      </w:r>
      <w:r w:rsidR="00646540">
        <w:rPr>
          <w:noProof/>
        </w:rPr>
        <w:fldChar w:fldCharType="end"/>
      </w:r>
      <w:bookmarkEnd w:id="72"/>
      <w:r w:rsidRPr="0057206B">
        <w:tab/>
        <w:t>Incremental cost-effectiveness ratios of IDSs versus extended conservative care, 5 years discounted at 5% pa</w:t>
      </w:r>
    </w:p>
    <w:tbl>
      <w:tblPr>
        <w:tblStyle w:val="OPTUMTableNormal"/>
        <w:tblW w:w="5000" w:type="pct"/>
        <w:tblLook w:val="04A0" w:firstRow="1" w:lastRow="0" w:firstColumn="1" w:lastColumn="0" w:noHBand="0" w:noVBand="1"/>
      </w:tblPr>
      <w:tblGrid>
        <w:gridCol w:w="2048"/>
        <w:gridCol w:w="2002"/>
        <w:gridCol w:w="2002"/>
        <w:gridCol w:w="2964"/>
      </w:tblGrid>
      <w:tr w:rsidR="00FC6CFF" w:rsidRPr="0057206B" w14:paraId="070460BF" w14:textId="77777777" w:rsidTr="003F3F18">
        <w:trPr>
          <w:cnfStyle w:val="100000000000" w:firstRow="1" w:lastRow="0" w:firstColumn="0" w:lastColumn="0" w:oddVBand="0" w:evenVBand="0" w:oddHBand="0" w:evenHBand="0" w:firstRowFirstColumn="0" w:firstRowLastColumn="0" w:lastRowFirstColumn="0" w:lastRowLastColumn="0"/>
          <w:trHeight w:val="176"/>
        </w:trPr>
        <w:tc>
          <w:tcPr>
            <w:tcW w:w="1136" w:type="pct"/>
            <w:vMerge w:val="restart"/>
            <w:shd w:val="clear" w:color="auto" w:fill="auto"/>
          </w:tcPr>
          <w:p w14:paraId="659EFC36" w14:textId="77777777" w:rsidR="00FC6CFF" w:rsidRPr="0057206B" w:rsidRDefault="00FC6CFF" w:rsidP="003F3F18">
            <w:pPr>
              <w:pStyle w:val="TableText0"/>
              <w:rPr>
                <w:b/>
                <w:bCs/>
              </w:rPr>
            </w:pPr>
            <w:r w:rsidRPr="0057206B">
              <w:rPr>
                <w:b/>
                <w:bCs/>
              </w:rPr>
              <w:t>Model outputs</w:t>
            </w:r>
          </w:p>
        </w:tc>
        <w:tc>
          <w:tcPr>
            <w:tcW w:w="2220" w:type="pct"/>
            <w:gridSpan w:val="2"/>
          </w:tcPr>
          <w:p w14:paraId="1F3E870D" w14:textId="77777777" w:rsidR="00FC6CFF" w:rsidRPr="0057206B" w:rsidRDefault="00FC6CFF" w:rsidP="003F3F18">
            <w:pPr>
              <w:pStyle w:val="TableText0"/>
              <w:jc w:val="center"/>
              <w:rPr>
                <w:b/>
                <w:bCs/>
              </w:rPr>
            </w:pPr>
            <w:r w:rsidRPr="0057206B">
              <w:rPr>
                <w:b/>
                <w:bCs/>
              </w:rPr>
              <w:t>Treatment arms</w:t>
            </w:r>
          </w:p>
        </w:tc>
        <w:tc>
          <w:tcPr>
            <w:tcW w:w="1644" w:type="pct"/>
            <w:vMerge w:val="restart"/>
          </w:tcPr>
          <w:p w14:paraId="3CCFB29F" w14:textId="77777777" w:rsidR="00FC6CFF" w:rsidRPr="0057206B" w:rsidRDefault="00FC6CFF" w:rsidP="003F3F18">
            <w:pPr>
              <w:pStyle w:val="TableText0"/>
              <w:rPr>
                <w:b/>
                <w:bCs/>
              </w:rPr>
            </w:pPr>
            <w:r w:rsidRPr="0057206B">
              <w:rPr>
                <w:b/>
                <w:bCs/>
              </w:rPr>
              <w:t xml:space="preserve">Difference </w:t>
            </w:r>
          </w:p>
        </w:tc>
      </w:tr>
      <w:tr w:rsidR="00FC6CFF" w:rsidRPr="0057206B" w14:paraId="3223C8E7" w14:textId="77777777" w:rsidTr="003F3F18">
        <w:trPr>
          <w:trHeight w:val="176"/>
        </w:trPr>
        <w:tc>
          <w:tcPr>
            <w:tcW w:w="1136" w:type="pct"/>
            <w:vMerge/>
            <w:shd w:val="clear" w:color="auto" w:fill="auto"/>
          </w:tcPr>
          <w:p w14:paraId="4E0030D7" w14:textId="77777777" w:rsidR="00FC6CFF" w:rsidRPr="0057206B" w:rsidRDefault="00FC6CFF" w:rsidP="003F3F18">
            <w:pPr>
              <w:pStyle w:val="TableText0"/>
              <w:rPr>
                <w:b/>
                <w:bCs/>
              </w:rPr>
            </w:pPr>
          </w:p>
        </w:tc>
        <w:tc>
          <w:tcPr>
            <w:tcW w:w="1110" w:type="pct"/>
          </w:tcPr>
          <w:p w14:paraId="785E7D72" w14:textId="77777777" w:rsidR="00FC6CFF" w:rsidRPr="0057206B" w:rsidRDefault="00FC6CFF" w:rsidP="003F3F18">
            <w:pPr>
              <w:pStyle w:val="TableText0"/>
              <w:jc w:val="center"/>
              <w:rPr>
                <w:b/>
                <w:bCs/>
              </w:rPr>
            </w:pPr>
            <w:r w:rsidRPr="0057206B">
              <w:rPr>
                <w:b/>
                <w:bCs/>
              </w:rPr>
              <w:t>IDS</w:t>
            </w:r>
          </w:p>
        </w:tc>
        <w:tc>
          <w:tcPr>
            <w:tcW w:w="1110" w:type="pct"/>
          </w:tcPr>
          <w:p w14:paraId="5BFF7A58" w14:textId="77777777" w:rsidR="00FC6CFF" w:rsidRPr="0057206B" w:rsidRDefault="00FC6CFF" w:rsidP="003F3F18">
            <w:pPr>
              <w:pStyle w:val="TableText0"/>
              <w:jc w:val="center"/>
              <w:rPr>
                <w:b/>
                <w:bCs/>
              </w:rPr>
            </w:pPr>
            <w:r w:rsidRPr="0057206B">
              <w:rPr>
                <w:b/>
                <w:bCs/>
              </w:rPr>
              <w:t>Conservative care</w:t>
            </w:r>
          </w:p>
        </w:tc>
        <w:tc>
          <w:tcPr>
            <w:tcW w:w="1644" w:type="pct"/>
            <w:vMerge/>
          </w:tcPr>
          <w:p w14:paraId="73056C97" w14:textId="77777777" w:rsidR="00FC6CFF" w:rsidRPr="0057206B" w:rsidRDefault="00FC6CFF" w:rsidP="003F3F18">
            <w:pPr>
              <w:pStyle w:val="TableText0"/>
              <w:rPr>
                <w:b/>
                <w:bCs/>
              </w:rPr>
            </w:pPr>
          </w:p>
        </w:tc>
      </w:tr>
      <w:tr w:rsidR="00FC6CFF" w:rsidRPr="0057206B" w14:paraId="076AABCF" w14:textId="77777777" w:rsidTr="003F3F18">
        <w:tc>
          <w:tcPr>
            <w:tcW w:w="5000" w:type="pct"/>
            <w:gridSpan w:val="4"/>
            <w:shd w:val="clear" w:color="auto" w:fill="auto"/>
          </w:tcPr>
          <w:p w14:paraId="21DF1D10" w14:textId="77777777" w:rsidR="00FC6CFF" w:rsidRPr="0057206B" w:rsidRDefault="00FC6CFF" w:rsidP="003F3F18">
            <w:pPr>
              <w:pStyle w:val="TableText0"/>
              <w:rPr>
                <w:b/>
                <w:bCs/>
                <w:i/>
                <w:iCs/>
              </w:rPr>
            </w:pPr>
            <w:r w:rsidRPr="0057206B">
              <w:rPr>
                <w:b/>
                <w:bCs/>
                <w:i/>
                <w:iCs/>
              </w:rPr>
              <w:t>Revision as patients require reoperation in the IDS arm</w:t>
            </w:r>
          </w:p>
        </w:tc>
      </w:tr>
      <w:tr w:rsidR="00FC6CFF" w:rsidRPr="0057206B" w14:paraId="0D49BCA2" w14:textId="77777777" w:rsidTr="003F3F18">
        <w:tc>
          <w:tcPr>
            <w:tcW w:w="1136" w:type="pct"/>
            <w:shd w:val="clear" w:color="auto" w:fill="auto"/>
          </w:tcPr>
          <w:p w14:paraId="224DD222" w14:textId="77777777" w:rsidR="00FC6CFF" w:rsidRPr="0057206B" w:rsidRDefault="00FC6CFF" w:rsidP="003F3F18">
            <w:pPr>
              <w:pStyle w:val="TableText0"/>
            </w:pPr>
            <w:r w:rsidRPr="0057206B">
              <w:t xml:space="preserve">Costs </w:t>
            </w:r>
          </w:p>
        </w:tc>
        <w:tc>
          <w:tcPr>
            <w:tcW w:w="1110" w:type="pct"/>
          </w:tcPr>
          <w:p w14:paraId="1E832318" w14:textId="58D958F9" w:rsidR="00FC6CFF" w:rsidRPr="0057206B" w:rsidRDefault="00FC6CFF" w:rsidP="003F3F18">
            <w:pPr>
              <w:pStyle w:val="TableText0"/>
            </w:pPr>
            <w:r w:rsidRPr="0057206B">
              <w:t>$</w:t>
            </w:r>
            <w:r w:rsidR="0035359C">
              <w:rPr>
                <w:b/>
                <w:bCs/>
              </w:rPr>
              <w:t>Redacted</w:t>
            </w:r>
            <w:r w:rsidR="00031406">
              <w:rPr>
                <w:b/>
                <w:bCs/>
              </w:rPr>
              <w:t xml:space="preserve"> </w:t>
            </w:r>
          </w:p>
        </w:tc>
        <w:tc>
          <w:tcPr>
            <w:tcW w:w="1110" w:type="pct"/>
          </w:tcPr>
          <w:p w14:paraId="27E600CC" w14:textId="25372632" w:rsidR="00FC6CFF" w:rsidRPr="0057206B" w:rsidRDefault="00FC6CFF" w:rsidP="003F3F18">
            <w:pPr>
              <w:pStyle w:val="TableText0"/>
            </w:pPr>
            <w:r w:rsidRPr="0057206B">
              <w:t>$</w:t>
            </w:r>
            <w:r w:rsidR="0035359C">
              <w:rPr>
                <w:b/>
                <w:bCs/>
              </w:rPr>
              <w:t>Redacted</w:t>
            </w:r>
            <w:r w:rsidR="0035359C" w:rsidRPr="0057206B" w:rsidDel="0035359C">
              <w:t xml:space="preserve"> </w:t>
            </w:r>
          </w:p>
        </w:tc>
        <w:tc>
          <w:tcPr>
            <w:tcW w:w="1644" w:type="pct"/>
          </w:tcPr>
          <w:p w14:paraId="3DB96AFA" w14:textId="4FC1088E" w:rsidR="00FC6CFF" w:rsidRPr="0057206B" w:rsidRDefault="00FC6CFF" w:rsidP="003F3F18">
            <w:pPr>
              <w:pStyle w:val="TableText0"/>
            </w:pPr>
            <w:r w:rsidRPr="0057206B">
              <w:t>$</w:t>
            </w:r>
            <w:r w:rsidR="0035359C">
              <w:rPr>
                <w:b/>
                <w:bCs/>
              </w:rPr>
              <w:t>Redacted</w:t>
            </w:r>
            <w:r w:rsidR="0035359C" w:rsidRPr="0057206B" w:rsidDel="0035359C">
              <w:t xml:space="preserve"> </w:t>
            </w:r>
          </w:p>
        </w:tc>
      </w:tr>
      <w:tr w:rsidR="00FC6CFF" w:rsidRPr="0057206B" w14:paraId="53D540F8" w14:textId="77777777" w:rsidTr="003F3F18">
        <w:tc>
          <w:tcPr>
            <w:tcW w:w="1136" w:type="pct"/>
            <w:shd w:val="clear" w:color="auto" w:fill="auto"/>
          </w:tcPr>
          <w:p w14:paraId="60D65516" w14:textId="77777777" w:rsidR="00FC6CFF" w:rsidRPr="0057206B" w:rsidRDefault="00FC6CFF" w:rsidP="003F3F18">
            <w:pPr>
              <w:pStyle w:val="TableText0"/>
            </w:pPr>
            <w:r w:rsidRPr="0057206B">
              <w:t>QALYs</w:t>
            </w:r>
          </w:p>
        </w:tc>
        <w:tc>
          <w:tcPr>
            <w:tcW w:w="1110" w:type="pct"/>
          </w:tcPr>
          <w:p w14:paraId="198B1CB7" w14:textId="77777777" w:rsidR="00FC6CFF" w:rsidRPr="0057206B" w:rsidRDefault="00FC6CFF" w:rsidP="003F3F18">
            <w:pPr>
              <w:pStyle w:val="TableText0"/>
            </w:pPr>
            <w:r w:rsidRPr="0057206B">
              <w:t>2.01</w:t>
            </w:r>
          </w:p>
        </w:tc>
        <w:tc>
          <w:tcPr>
            <w:tcW w:w="1110" w:type="pct"/>
          </w:tcPr>
          <w:p w14:paraId="08D9454B" w14:textId="77777777" w:rsidR="00FC6CFF" w:rsidRPr="0057206B" w:rsidRDefault="00FC6CFF" w:rsidP="003F3F18">
            <w:pPr>
              <w:pStyle w:val="TableText0"/>
            </w:pPr>
            <w:r w:rsidRPr="0057206B">
              <w:t>0.91</w:t>
            </w:r>
          </w:p>
        </w:tc>
        <w:tc>
          <w:tcPr>
            <w:tcW w:w="1644" w:type="pct"/>
          </w:tcPr>
          <w:p w14:paraId="1243F330" w14:textId="77777777" w:rsidR="00FC6CFF" w:rsidRPr="0057206B" w:rsidRDefault="00FC6CFF" w:rsidP="003F3F18">
            <w:pPr>
              <w:pStyle w:val="TableText0"/>
            </w:pPr>
            <w:r w:rsidRPr="0057206B">
              <w:t>1.11</w:t>
            </w:r>
          </w:p>
        </w:tc>
      </w:tr>
      <w:tr w:rsidR="00FC6CFF" w:rsidRPr="0057206B" w14:paraId="4C47F026" w14:textId="77777777" w:rsidTr="003F3F18">
        <w:tc>
          <w:tcPr>
            <w:tcW w:w="3356" w:type="pct"/>
            <w:gridSpan w:val="3"/>
            <w:shd w:val="clear" w:color="auto" w:fill="auto"/>
          </w:tcPr>
          <w:p w14:paraId="372A3D57" w14:textId="77777777" w:rsidR="00FC6CFF" w:rsidRPr="0057206B" w:rsidRDefault="00FC6CFF" w:rsidP="003F3F18">
            <w:pPr>
              <w:pStyle w:val="TableText0"/>
              <w:jc w:val="right"/>
            </w:pPr>
            <w:r w:rsidRPr="0057206B">
              <w:t>Incremental cost-effectiveness ratio:</w:t>
            </w:r>
          </w:p>
        </w:tc>
        <w:tc>
          <w:tcPr>
            <w:tcW w:w="1644" w:type="pct"/>
          </w:tcPr>
          <w:p w14:paraId="6A8004E0" w14:textId="3B7218DC" w:rsidR="00FC6CFF" w:rsidRPr="0057039F" w:rsidRDefault="00FC6CFF" w:rsidP="003F3F18">
            <w:pPr>
              <w:pStyle w:val="TableText0"/>
            </w:pPr>
            <w:r w:rsidRPr="0057039F">
              <w:t>$</w:t>
            </w:r>
            <w:r w:rsidR="0035359C">
              <w:rPr>
                <w:b/>
                <w:bCs/>
              </w:rPr>
              <w:t>Redacted</w:t>
            </w:r>
            <w:r w:rsidR="0035359C" w:rsidRPr="0035359C">
              <w:rPr>
                <w:vertAlign w:val="superscript"/>
              </w:rPr>
              <w:t>1</w:t>
            </w:r>
            <w:r w:rsidR="00031406">
              <w:rPr>
                <w:vertAlign w:val="superscript"/>
              </w:rPr>
              <w:t xml:space="preserve"> </w:t>
            </w:r>
          </w:p>
        </w:tc>
      </w:tr>
      <w:tr w:rsidR="00FC6CFF" w:rsidRPr="0057206B" w14:paraId="4140E559" w14:textId="77777777" w:rsidTr="003F3F18">
        <w:tc>
          <w:tcPr>
            <w:tcW w:w="5000" w:type="pct"/>
            <w:gridSpan w:val="4"/>
            <w:shd w:val="clear" w:color="auto" w:fill="auto"/>
          </w:tcPr>
          <w:p w14:paraId="7ED4B56C" w14:textId="77777777" w:rsidR="00FC6CFF" w:rsidRPr="0057206B" w:rsidRDefault="00FC6CFF" w:rsidP="003F3F18">
            <w:pPr>
              <w:pStyle w:val="TableText0"/>
              <w:rPr>
                <w:b/>
                <w:bCs/>
                <w:i/>
                <w:iCs/>
              </w:rPr>
            </w:pPr>
            <w:r w:rsidRPr="0057206B">
              <w:rPr>
                <w:b/>
                <w:bCs/>
                <w:i/>
                <w:iCs/>
              </w:rPr>
              <w:t>Explantation as patients require reoperation in the IDS arm</w:t>
            </w:r>
          </w:p>
        </w:tc>
      </w:tr>
      <w:tr w:rsidR="00FC6CFF" w:rsidRPr="0057206B" w14:paraId="5B3BC9B0" w14:textId="77777777" w:rsidTr="003F3F18">
        <w:tc>
          <w:tcPr>
            <w:tcW w:w="1136" w:type="pct"/>
            <w:shd w:val="clear" w:color="auto" w:fill="auto"/>
          </w:tcPr>
          <w:p w14:paraId="71AB5D92" w14:textId="77777777" w:rsidR="00FC6CFF" w:rsidRPr="0057206B" w:rsidRDefault="00FC6CFF" w:rsidP="003F3F18">
            <w:pPr>
              <w:pStyle w:val="TableText0"/>
            </w:pPr>
            <w:r w:rsidRPr="0057206B">
              <w:t xml:space="preserve">Costs </w:t>
            </w:r>
          </w:p>
        </w:tc>
        <w:tc>
          <w:tcPr>
            <w:tcW w:w="1110" w:type="pct"/>
          </w:tcPr>
          <w:p w14:paraId="5631ACDD" w14:textId="233091A1" w:rsidR="00FC6CFF" w:rsidRPr="0057206B" w:rsidRDefault="00FC6CFF" w:rsidP="003F3F18">
            <w:pPr>
              <w:pStyle w:val="TableText0"/>
            </w:pPr>
            <w:r w:rsidRPr="0057206B">
              <w:t>$</w:t>
            </w:r>
            <w:r w:rsidR="0035359C">
              <w:rPr>
                <w:b/>
                <w:bCs/>
              </w:rPr>
              <w:t>Redacted</w:t>
            </w:r>
            <w:r w:rsidR="0035359C" w:rsidRPr="0057206B" w:rsidDel="0035359C">
              <w:t xml:space="preserve"> </w:t>
            </w:r>
          </w:p>
        </w:tc>
        <w:tc>
          <w:tcPr>
            <w:tcW w:w="1110" w:type="pct"/>
          </w:tcPr>
          <w:p w14:paraId="4AC179D2" w14:textId="194FA1EF" w:rsidR="00FC6CFF" w:rsidRPr="0057206B" w:rsidRDefault="00FC6CFF" w:rsidP="003F3F18">
            <w:pPr>
              <w:pStyle w:val="TableText0"/>
            </w:pPr>
            <w:r w:rsidRPr="0057206B">
              <w:t>$</w:t>
            </w:r>
            <w:r w:rsidR="0035359C">
              <w:rPr>
                <w:b/>
                <w:bCs/>
              </w:rPr>
              <w:t>Redacted</w:t>
            </w:r>
            <w:r w:rsidR="0035359C" w:rsidRPr="0057206B" w:rsidDel="0035359C">
              <w:t xml:space="preserve"> </w:t>
            </w:r>
          </w:p>
        </w:tc>
        <w:tc>
          <w:tcPr>
            <w:tcW w:w="1644" w:type="pct"/>
          </w:tcPr>
          <w:p w14:paraId="7B6B3777" w14:textId="1F041C80" w:rsidR="00FC6CFF" w:rsidRPr="0057206B" w:rsidRDefault="00FC6CFF" w:rsidP="003F3F18">
            <w:pPr>
              <w:pStyle w:val="TableText0"/>
            </w:pPr>
            <w:r w:rsidRPr="0057206B">
              <w:t>$</w:t>
            </w:r>
            <w:r w:rsidR="0035359C" w:rsidRPr="00200662">
              <w:rPr>
                <w:b/>
                <w:bCs/>
              </w:rPr>
              <w:t>R</w:t>
            </w:r>
            <w:r w:rsidR="0035359C">
              <w:rPr>
                <w:b/>
                <w:bCs/>
              </w:rPr>
              <w:t>edacted</w:t>
            </w:r>
            <w:r w:rsidR="00031406">
              <w:rPr>
                <w:b/>
                <w:bCs/>
              </w:rPr>
              <w:t xml:space="preserve"> </w:t>
            </w:r>
          </w:p>
        </w:tc>
      </w:tr>
      <w:tr w:rsidR="00FC6CFF" w:rsidRPr="0057206B" w14:paraId="2DECC18F" w14:textId="77777777" w:rsidTr="003F3F18">
        <w:tc>
          <w:tcPr>
            <w:tcW w:w="1136" w:type="pct"/>
            <w:shd w:val="clear" w:color="auto" w:fill="auto"/>
          </w:tcPr>
          <w:p w14:paraId="1FB54FB6" w14:textId="77777777" w:rsidR="00FC6CFF" w:rsidRPr="0057206B" w:rsidRDefault="00FC6CFF" w:rsidP="003F3F18">
            <w:pPr>
              <w:pStyle w:val="TableText0"/>
            </w:pPr>
            <w:r w:rsidRPr="0057206B">
              <w:t>QALYs</w:t>
            </w:r>
          </w:p>
        </w:tc>
        <w:tc>
          <w:tcPr>
            <w:tcW w:w="1110" w:type="pct"/>
          </w:tcPr>
          <w:p w14:paraId="09BFCCBE" w14:textId="77777777" w:rsidR="00FC6CFF" w:rsidRPr="0057206B" w:rsidRDefault="00FC6CFF" w:rsidP="003F3F18">
            <w:pPr>
              <w:pStyle w:val="TableText0"/>
            </w:pPr>
            <w:r w:rsidRPr="0057206B">
              <w:t>1.81</w:t>
            </w:r>
          </w:p>
        </w:tc>
        <w:tc>
          <w:tcPr>
            <w:tcW w:w="1110" w:type="pct"/>
          </w:tcPr>
          <w:p w14:paraId="1E1E3D6A" w14:textId="77777777" w:rsidR="00FC6CFF" w:rsidRPr="0057206B" w:rsidRDefault="00FC6CFF" w:rsidP="003F3F18">
            <w:pPr>
              <w:pStyle w:val="TableText0"/>
            </w:pPr>
            <w:r w:rsidRPr="0057206B">
              <w:t>0.91</w:t>
            </w:r>
          </w:p>
        </w:tc>
        <w:tc>
          <w:tcPr>
            <w:tcW w:w="1644" w:type="pct"/>
          </w:tcPr>
          <w:p w14:paraId="0926BB51" w14:textId="77777777" w:rsidR="00FC6CFF" w:rsidRPr="0057206B" w:rsidRDefault="00FC6CFF" w:rsidP="003F3F18">
            <w:pPr>
              <w:pStyle w:val="TableText0"/>
            </w:pPr>
            <w:r w:rsidRPr="0057206B">
              <w:t>0.90</w:t>
            </w:r>
          </w:p>
        </w:tc>
      </w:tr>
      <w:tr w:rsidR="00FC6CFF" w:rsidRPr="0057206B" w14:paraId="6884656D" w14:textId="77777777" w:rsidTr="003F3F18">
        <w:tc>
          <w:tcPr>
            <w:tcW w:w="3356" w:type="pct"/>
            <w:gridSpan w:val="3"/>
            <w:shd w:val="clear" w:color="auto" w:fill="auto"/>
          </w:tcPr>
          <w:p w14:paraId="6ECA4817" w14:textId="77777777" w:rsidR="00FC6CFF" w:rsidRPr="0057206B" w:rsidRDefault="00FC6CFF" w:rsidP="003F3F18">
            <w:pPr>
              <w:pStyle w:val="TableText0"/>
              <w:jc w:val="right"/>
            </w:pPr>
            <w:r w:rsidRPr="0057206B">
              <w:t>Incremental cost-effectiveness ratio:</w:t>
            </w:r>
          </w:p>
        </w:tc>
        <w:tc>
          <w:tcPr>
            <w:tcW w:w="1644" w:type="pct"/>
          </w:tcPr>
          <w:p w14:paraId="613C7C96" w14:textId="7BC629B2" w:rsidR="00FC6CFF" w:rsidRPr="0057206B" w:rsidRDefault="00FC6CFF" w:rsidP="003F3F18">
            <w:pPr>
              <w:pStyle w:val="TableText0"/>
            </w:pPr>
            <w:r w:rsidRPr="0057206B">
              <w:t>$</w:t>
            </w:r>
            <w:r w:rsidR="0035359C">
              <w:rPr>
                <w:b/>
                <w:bCs/>
              </w:rPr>
              <w:t>Redacted</w:t>
            </w:r>
            <w:r w:rsidR="0035359C" w:rsidRPr="0035359C">
              <w:rPr>
                <w:vertAlign w:val="superscript"/>
              </w:rPr>
              <w:t>1</w:t>
            </w:r>
            <w:r w:rsidR="00031406">
              <w:rPr>
                <w:vertAlign w:val="superscript"/>
              </w:rPr>
              <w:t xml:space="preserve"> </w:t>
            </w:r>
          </w:p>
        </w:tc>
      </w:tr>
    </w:tbl>
    <w:p w14:paraId="3A33E5C2" w14:textId="77777777" w:rsidR="00FC6CFF" w:rsidRPr="0057206B" w:rsidRDefault="00FC6CFF" w:rsidP="00FC6CFF">
      <w:pPr>
        <w:pStyle w:val="Tablenotes1"/>
      </w:pPr>
      <w:r w:rsidRPr="0057206B">
        <w:t xml:space="preserve">Abbreviation: IDS, interspinous decompression spacer. </w:t>
      </w:r>
    </w:p>
    <w:p w14:paraId="7402112D" w14:textId="77777777" w:rsidR="00FC6CFF" w:rsidRPr="0057206B" w:rsidRDefault="00FC6CFF" w:rsidP="00FC6CFF">
      <w:pPr>
        <w:pStyle w:val="Tablenotes1"/>
      </w:pPr>
      <w:r w:rsidRPr="0057206B">
        <w:t xml:space="preserve">Note: All calculations can be found in the provided Excel model. </w:t>
      </w:r>
    </w:p>
    <w:p w14:paraId="1BB7BBE5" w14:textId="751D4188" w:rsidR="00FC6CFF" w:rsidRDefault="00FC6CFF" w:rsidP="00FC6CFF">
      <w:pPr>
        <w:pStyle w:val="Tablenotes1"/>
        <w:rPr>
          <w:rFonts w:eastAsia="Calibri"/>
        </w:rPr>
      </w:pPr>
      <w:r w:rsidRPr="00FC6CFF">
        <w:rPr>
          <w:rFonts w:eastAsia="Calibri"/>
        </w:rPr>
        <w:t>Source: ADAR Supplementary analysis, Table 28</w:t>
      </w:r>
    </w:p>
    <w:p w14:paraId="7E67F5FD" w14:textId="4F008C37" w:rsidR="0035359C" w:rsidRDefault="0035359C" w:rsidP="00FC6CFF">
      <w:pPr>
        <w:pStyle w:val="Tablenotes1"/>
        <w:rPr>
          <w:rFonts w:eastAsia="Calibri"/>
          <w:i/>
          <w:iCs/>
        </w:rPr>
      </w:pPr>
      <w:r>
        <w:rPr>
          <w:rFonts w:eastAsia="Calibri"/>
          <w:i/>
          <w:iCs/>
        </w:rPr>
        <w:t>The redacted values correspond to the following ranges:</w:t>
      </w:r>
    </w:p>
    <w:p w14:paraId="630FE8CE" w14:textId="4EAE4AE4" w:rsidR="0035359C" w:rsidRPr="0035359C" w:rsidRDefault="0035359C" w:rsidP="00FC6CFF">
      <w:pPr>
        <w:pStyle w:val="Tablenotes1"/>
        <w:rPr>
          <w:rFonts w:eastAsia="Calibri"/>
          <w:i/>
          <w:iCs/>
        </w:rPr>
      </w:pPr>
      <w:r>
        <w:rPr>
          <w:rFonts w:eastAsia="Calibri"/>
          <w:i/>
          <w:iCs/>
          <w:vertAlign w:val="superscript"/>
        </w:rPr>
        <w:t>1</w:t>
      </w:r>
      <w:r>
        <w:rPr>
          <w:rFonts w:eastAsia="Calibri"/>
          <w:i/>
          <w:iCs/>
        </w:rPr>
        <w:t xml:space="preserve"> </w:t>
      </w:r>
      <w:bookmarkStart w:id="73" w:name="_Hlk97033401"/>
      <w:r>
        <w:rPr>
          <w:rFonts w:eastAsia="Calibri"/>
          <w:i/>
          <w:iCs/>
        </w:rPr>
        <w:t>$15,000 to &lt;$25,000 per QALY gained</w:t>
      </w:r>
    </w:p>
    <w:bookmarkEnd w:id="73"/>
    <w:p w14:paraId="17372C1C" w14:textId="590D1F50" w:rsidR="000B6893" w:rsidRPr="000B6893" w:rsidRDefault="009D3D67" w:rsidP="000B6893">
      <w:pPr>
        <w:spacing w:before="120" w:after="160" w:line="259" w:lineRule="auto"/>
        <w:rPr>
          <w:rFonts w:ascii="Franklin Gothic Book" w:eastAsia="Calibri" w:hAnsi="Franklin Gothic Book"/>
          <w:sz w:val="22"/>
          <w:szCs w:val="22"/>
          <w:lang w:eastAsia="en-US"/>
        </w:rPr>
      </w:pPr>
      <w:r w:rsidRPr="009D3D67">
        <w:rPr>
          <w:rFonts w:ascii="Franklin Gothic Book" w:eastAsia="Calibri" w:hAnsi="Franklin Gothic Book"/>
          <w:sz w:val="22"/>
          <w:szCs w:val="22"/>
          <w:lang w:eastAsia="en-US"/>
        </w:rPr>
        <w:t>The results</w:t>
      </w:r>
      <w:r>
        <w:rPr>
          <w:rFonts w:ascii="Franklin Gothic Book" w:eastAsia="Calibri" w:hAnsi="Franklin Gothic Book"/>
          <w:sz w:val="22"/>
          <w:szCs w:val="22"/>
          <w:lang w:eastAsia="en-US"/>
        </w:rPr>
        <w:t xml:space="preserve"> of sensitivity analyses are provided below </w:t>
      </w:r>
      <w:r w:rsidR="00082699">
        <w:rPr>
          <w:rFonts w:ascii="Franklin Gothic Book" w:eastAsia="Calibri" w:hAnsi="Franklin Gothic Book"/>
          <w:sz w:val="22"/>
          <w:szCs w:val="22"/>
          <w:lang w:eastAsia="en-US"/>
        </w:rPr>
        <w:t>(</w:t>
      </w:r>
      <w:r w:rsidR="00082699">
        <w:rPr>
          <w:rFonts w:ascii="Franklin Gothic Book" w:eastAsia="Calibri" w:hAnsi="Franklin Gothic Book"/>
          <w:sz w:val="22"/>
          <w:szCs w:val="22"/>
          <w:lang w:eastAsia="en-US"/>
        </w:rPr>
        <w:fldChar w:fldCharType="begin"/>
      </w:r>
      <w:r w:rsidR="00082699">
        <w:rPr>
          <w:rFonts w:ascii="Franklin Gothic Book" w:eastAsia="Calibri" w:hAnsi="Franklin Gothic Book"/>
          <w:sz w:val="22"/>
          <w:szCs w:val="22"/>
          <w:lang w:eastAsia="en-US"/>
        </w:rPr>
        <w:instrText xml:space="preserve"> REF _Ref85025619  \* MERGEFORMAT </w:instrText>
      </w:r>
      <w:r w:rsidR="00082699">
        <w:rPr>
          <w:rFonts w:ascii="Franklin Gothic Book" w:eastAsia="Calibri" w:hAnsi="Franklin Gothic Book"/>
          <w:sz w:val="22"/>
          <w:szCs w:val="22"/>
          <w:lang w:eastAsia="en-US"/>
        </w:rPr>
        <w:fldChar w:fldCharType="separate"/>
      </w:r>
      <w:r w:rsidR="00EE4CB3" w:rsidRPr="00EE4CB3">
        <w:rPr>
          <w:rFonts w:ascii="Franklin Gothic Book" w:eastAsia="Calibri" w:hAnsi="Franklin Gothic Book"/>
          <w:sz w:val="22"/>
          <w:szCs w:val="22"/>
          <w:lang w:eastAsia="en-US"/>
        </w:rPr>
        <w:t>Table 23</w:t>
      </w:r>
      <w:r w:rsidR="00082699">
        <w:rPr>
          <w:rFonts w:ascii="Franklin Gothic Book" w:eastAsia="Calibri" w:hAnsi="Franklin Gothic Book"/>
          <w:sz w:val="22"/>
          <w:szCs w:val="22"/>
          <w:lang w:eastAsia="en-US"/>
        </w:rPr>
        <w:fldChar w:fldCharType="end"/>
      </w:r>
      <w:r>
        <w:rPr>
          <w:rFonts w:ascii="Franklin Gothic Book" w:eastAsia="Calibri" w:hAnsi="Franklin Gothic Book"/>
          <w:sz w:val="22"/>
          <w:szCs w:val="22"/>
          <w:lang w:eastAsia="en-US"/>
        </w:rPr>
        <w:t xml:space="preserve">). The ADAR noted that </w:t>
      </w:r>
      <w:r w:rsidR="00FE0DC7">
        <w:rPr>
          <w:rFonts w:ascii="Franklin Gothic Book" w:eastAsia="Calibri" w:hAnsi="Franklin Gothic Book"/>
          <w:sz w:val="22"/>
          <w:szCs w:val="22"/>
          <w:lang w:eastAsia="en-US"/>
        </w:rPr>
        <w:t>a</w:t>
      </w:r>
      <w:r w:rsidRPr="009D3D67">
        <w:rPr>
          <w:rFonts w:ascii="Franklin Gothic Book" w:eastAsia="Calibri" w:hAnsi="Franklin Gothic Book"/>
          <w:sz w:val="22"/>
          <w:szCs w:val="22"/>
          <w:lang w:eastAsia="en-US"/>
        </w:rPr>
        <w:t xml:space="preserve"> wide range of scenarios are considered; while some fluctuations in the ICER are expectedly demonstrated, this is not to the extent that the base case conclusion is overturned. As expected, the utility inputs are associated with high impacts on the ICER; the </w:t>
      </w:r>
      <w:r w:rsidR="00257E26">
        <w:rPr>
          <w:rFonts w:ascii="Franklin Gothic Book" w:eastAsia="Calibri" w:hAnsi="Franklin Gothic Book"/>
          <w:sz w:val="22"/>
          <w:szCs w:val="22"/>
          <w:lang w:eastAsia="en-US"/>
        </w:rPr>
        <w:t>a</w:t>
      </w:r>
      <w:r w:rsidRPr="009D3D67">
        <w:rPr>
          <w:rFonts w:ascii="Franklin Gothic Book" w:eastAsia="Calibri" w:hAnsi="Franklin Gothic Book"/>
          <w:sz w:val="22"/>
          <w:szCs w:val="22"/>
          <w:lang w:eastAsia="en-US"/>
        </w:rPr>
        <w:t>pplication of a highly conservative estimate</w:t>
      </w:r>
      <w:r w:rsidR="00257E26">
        <w:rPr>
          <w:rStyle w:val="FootnoteReference"/>
          <w:rFonts w:ascii="Franklin Gothic Book" w:eastAsia="Calibri" w:hAnsi="Franklin Gothic Book"/>
          <w:sz w:val="22"/>
          <w:szCs w:val="22"/>
          <w:lang w:eastAsia="en-US"/>
        </w:rPr>
        <w:footnoteReference w:id="26"/>
      </w:r>
      <w:r w:rsidRPr="009D3D67">
        <w:rPr>
          <w:rFonts w:ascii="Franklin Gothic Book" w:eastAsia="Calibri" w:hAnsi="Franklin Gothic Book"/>
          <w:sz w:val="22"/>
          <w:szCs w:val="22"/>
          <w:lang w:eastAsia="en-US"/>
        </w:rPr>
        <w:t xml:space="preserve"> (a post-surgical utility gain of 0.14 vs 0.25 in the base case) increased the ICER to </w:t>
      </w:r>
      <w:r w:rsidR="00495952" w:rsidRPr="00495952">
        <w:rPr>
          <w:rFonts w:ascii="Franklin Gothic Book" w:eastAsia="Calibri" w:hAnsi="Franklin Gothic Book"/>
          <w:i/>
          <w:iCs/>
          <w:sz w:val="22"/>
          <w:szCs w:val="22"/>
          <w:lang w:eastAsia="en-US"/>
        </w:rPr>
        <w:t>$25,000 to &lt;$35,000</w:t>
      </w:r>
      <w:r w:rsidR="00495952" w:rsidRPr="00495952">
        <w:rPr>
          <w:rFonts w:ascii="Franklin Gothic Book" w:eastAsia="Calibri" w:hAnsi="Franklin Gothic Book"/>
          <w:sz w:val="22"/>
          <w:szCs w:val="22"/>
          <w:lang w:eastAsia="en-US"/>
        </w:rPr>
        <w:t xml:space="preserve"> per QALY gained</w:t>
      </w:r>
      <w:r w:rsidRPr="009D3D67">
        <w:rPr>
          <w:rFonts w:ascii="Franklin Gothic Book" w:eastAsia="Calibri" w:hAnsi="Franklin Gothic Book"/>
          <w:sz w:val="22"/>
          <w:szCs w:val="22"/>
          <w:lang w:eastAsia="en-US"/>
        </w:rPr>
        <w:t>.</w:t>
      </w:r>
      <w:r w:rsidR="00082699">
        <w:rPr>
          <w:rFonts w:ascii="Franklin Gothic Book" w:eastAsia="Calibri" w:hAnsi="Franklin Gothic Book"/>
          <w:sz w:val="22"/>
          <w:szCs w:val="22"/>
          <w:lang w:eastAsia="en-US"/>
        </w:rPr>
        <w:t xml:space="preserve"> The commentary considered that the</w:t>
      </w:r>
      <w:r w:rsidR="00082699" w:rsidRPr="00082699">
        <w:rPr>
          <w:rFonts w:ascii="Franklin Gothic Book" w:eastAsia="Calibri" w:hAnsi="Franklin Gothic Book"/>
          <w:sz w:val="22"/>
          <w:szCs w:val="22"/>
          <w:lang w:eastAsia="en-US"/>
        </w:rPr>
        <w:t xml:space="preserve"> supplementary </w:t>
      </w:r>
      <w:r w:rsidR="00082699">
        <w:rPr>
          <w:rFonts w:ascii="Franklin Gothic Book" w:eastAsia="Calibri" w:hAnsi="Franklin Gothic Book"/>
          <w:sz w:val="22"/>
          <w:szCs w:val="22"/>
          <w:lang w:eastAsia="en-US"/>
        </w:rPr>
        <w:t xml:space="preserve">CUA </w:t>
      </w:r>
      <w:r w:rsidR="00082699" w:rsidRPr="00082699">
        <w:rPr>
          <w:rFonts w:ascii="Franklin Gothic Book" w:eastAsia="Calibri" w:hAnsi="Franklin Gothic Book"/>
          <w:sz w:val="22"/>
          <w:szCs w:val="22"/>
          <w:lang w:eastAsia="en-US"/>
        </w:rPr>
        <w:t>demonstrate</w:t>
      </w:r>
      <w:r w:rsidR="00082699">
        <w:rPr>
          <w:rFonts w:ascii="Franklin Gothic Book" w:eastAsia="Calibri" w:hAnsi="Franklin Gothic Book"/>
          <w:sz w:val="22"/>
          <w:szCs w:val="22"/>
          <w:lang w:eastAsia="en-US"/>
        </w:rPr>
        <w:t>d</w:t>
      </w:r>
      <w:r w:rsidR="00082699" w:rsidRPr="00082699">
        <w:rPr>
          <w:rFonts w:ascii="Franklin Gothic Book" w:eastAsia="Calibri" w:hAnsi="Franklin Gothic Book"/>
          <w:sz w:val="22"/>
          <w:szCs w:val="22"/>
          <w:lang w:eastAsia="en-US"/>
        </w:rPr>
        <w:t xml:space="preserve"> IDS to be cost-effective (incremental cost per QALY gained of &lt;$19,000 under a range of scenarios) when compared with extended conservative care.</w:t>
      </w:r>
      <w:bookmarkStart w:id="74" w:name="_Ref85025619"/>
      <w:r w:rsidR="000B6893">
        <w:br w:type="page"/>
      </w:r>
    </w:p>
    <w:p w14:paraId="5B190ACB" w14:textId="0FC86E2B" w:rsidR="009D3D67" w:rsidRPr="0057206B" w:rsidRDefault="009D3D67" w:rsidP="000044E9">
      <w:pPr>
        <w:pStyle w:val="Caption"/>
        <w:ind w:left="720" w:hanging="720"/>
      </w:pPr>
      <w:r w:rsidRPr="0057206B">
        <w:t xml:space="preserve">Table </w:t>
      </w:r>
      <w:r w:rsidR="00646540">
        <w:fldChar w:fldCharType="begin"/>
      </w:r>
      <w:r w:rsidR="00646540">
        <w:instrText xml:space="preserve"> SEQ Table \* ARABIC </w:instrText>
      </w:r>
      <w:r w:rsidR="00646540">
        <w:fldChar w:fldCharType="separate"/>
      </w:r>
      <w:r w:rsidR="00EE4CB3">
        <w:rPr>
          <w:noProof/>
        </w:rPr>
        <w:t>23</w:t>
      </w:r>
      <w:r w:rsidR="00646540">
        <w:rPr>
          <w:noProof/>
        </w:rPr>
        <w:fldChar w:fldCharType="end"/>
      </w:r>
      <w:bookmarkEnd w:id="74"/>
      <w:r w:rsidRPr="0057206B">
        <w:tab/>
        <w:t xml:space="preserve">Sensitivity analysis – a modelled </w:t>
      </w:r>
      <w:r>
        <w:t>CUA</w:t>
      </w:r>
      <w:r w:rsidRPr="0057206B">
        <w:t xml:space="preserve"> of IDS versus extended conservative care (revision as reoperation scenario), 5 years discounted at 5% pa </w:t>
      </w:r>
    </w:p>
    <w:tbl>
      <w:tblPr>
        <w:tblStyle w:val="OPTUMTableNormal"/>
        <w:tblW w:w="5000" w:type="pct"/>
        <w:tblLook w:val="04A0" w:firstRow="1" w:lastRow="0" w:firstColumn="1" w:lastColumn="0" w:noHBand="0" w:noVBand="1"/>
        <w:tblDescription w:val="Sensitivity analysis – a modelled CUA of IDS versus extended conservative care (revision as reoperation scenario), 5 years discounted at 5% pa "/>
      </w:tblPr>
      <w:tblGrid>
        <w:gridCol w:w="2260"/>
        <w:gridCol w:w="3121"/>
        <w:gridCol w:w="1273"/>
        <w:gridCol w:w="1138"/>
        <w:gridCol w:w="1224"/>
      </w:tblGrid>
      <w:tr w:rsidR="009D3D67" w:rsidRPr="0057206B" w14:paraId="326BB624" w14:textId="77777777" w:rsidTr="009D3D67">
        <w:trPr>
          <w:cnfStyle w:val="100000000000" w:firstRow="1" w:lastRow="0" w:firstColumn="0" w:lastColumn="0" w:oddVBand="0" w:evenVBand="0" w:oddHBand="0" w:evenHBand="0" w:firstRowFirstColumn="0" w:firstRowLastColumn="0" w:lastRowFirstColumn="0" w:lastRowLastColumn="0"/>
        </w:trPr>
        <w:tc>
          <w:tcPr>
            <w:tcW w:w="1253" w:type="pct"/>
            <w:shd w:val="clear" w:color="auto" w:fill="auto"/>
          </w:tcPr>
          <w:p w14:paraId="6AC0069A" w14:textId="77777777" w:rsidR="009D3D67" w:rsidRPr="0057206B" w:rsidRDefault="009D3D67" w:rsidP="003F3F18">
            <w:pPr>
              <w:pStyle w:val="TableText0"/>
              <w:rPr>
                <w:b/>
                <w:bCs/>
              </w:rPr>
            </w:pPr>
            <w:r w:rsidRPr="0057206B">
              <w:rPr>
                <w:b/>
                <w:bCs/>
              </w:rPr>
              <w:t xml:space="preserve">Variable tested </w:t>
            </w:r>
          </w:p>
        </w:tc>
        <w:tc>
          <w:tcPr>
            <w:tcW w:w="1731" w:type="pct"/>
          </w:tcPr>
          <w:p w14:paraId="63CA419F" w14:textId="77777777" w:rsidR="009D3D67" w:rsidRPr="0057206B" w:rsidRDefault="009D3D67" w:rsidP="003F3F18">
            <w:pPr>
              <w:pStyle w:val="TableText0"/>
              <w:jc w:val="center"/>
              <w:rPr>
                <w:b/>
                <w:bCs/>
              </w:rPr>
            </w:pPr>
            <w:r w:rsidRPr="0057206B">
              <w:rPr>
                <w:b/>
                <w:bCs/>
              </w:rPr>
              <w:t>Alternative input</w:t>
            </w:r>
          </w:p>
        </w:tc>
        <w:tc>
          <w:tcPr>
            <w:tcW w:w="706" w:type="pct"/>
          </w:tcPr>
          <w:p w14:paraId="61445E61" w14:textId="77777777" w:rsidR="009D3D67" w:rsidRPr="0057206B" w:rsidRDefault="009D3D67" w:rsidP="003F3F18">
            <w:pPr>
              <w:pStyle w:val="TableText0"/>
              <w:jc w:val="center"/>
              <w:rPr>
                <w:b/>
                <w:bCs/>
              </w:rPr>
            </w:pPr>
            <w:r w:rsidRPr="0057206B">
              <w:rPr>
                <w:b/>
                <w:bCs/>
              </w:rPr>
              <w:t>Incremental cost</w:t>
            </w:r>
          </w:p>
        </w:tc>
        <w:tc>
          <w:tcPr>
            <w:tcW w:w="631" w:type="pct"/>
          </w:tcPr>
          <w:p w14:paraId="16E5A57A" w14:textId="77777777" w:rsidR="009D3D67" w:rsidRPr="0057206B" w:rsidRDefault="009D3D67" w:rsidP="003F3F18">
            <w:pPr>
              <w:pStyle w:val="TableText0"/>
              <w:jc w:val="center"/>
              <w:rPr>
                <w:b/>
                <w:bCs/>
              </w:rPr>
            </w:pPr>
            <w:r w:rsidRPr="0057206B">
              <w:rPr>
                <w:b/>
                <w:bCs/>
              </w:rPr>
              <w:t>Incremental QALY</w:t>
            </w:r>
          </w:p>
        </w:tc>
        <w:tc>
          <w:tcPr>
            <w:tcW w:w="679" w:type="pct"/>
          </w:tcPr>
          <w:p w14:paraId="030A04ED" w14:textId="77777777" w:rsidR="009D3D67" w:rsidRPr="0057206B" w:rsidRDefault="009D3D67" w:rsidP="003F3F18">
            <w:pPr>
              <w:pStyle w:val="TableText0"/>
              <w:jc w:val="center"/>
              <w:rPr>
                <w:b/>
                <w:bCs/>
              </w:rPr>
            </w:pPr>
            <w:r w:rsidRPr="0057206B">
              <w:rPr>
                <w:b/>
                <w:bCs/>
              </w:rPr>
              <w:t>ICER</w:t>
            </w:r>
          </w:p>
        </w:tc>
      </w:tr>
      <w:tr w:rsidR="009D3D67" w:rsidRPr="0057206B" w14:paraId="186D55AA" w14:textId="77777777" w:rsidTr="009D3D67">
        <w:tc>
          <w:tcPr>
            <w:tcW w:w="1253" w:type="pct"/>
            <w:shd w:val="clear" w:color="auto" w:fill="auto"/>
          </w:tcPr>
          <w:p w14:paraId="693745D7" w14:textId="4ABDAE10" w:rsidR="009D3D67" w:rsidRPr="0057206B" w:rsidRDefault="009D3D67" w:rsidP="003F3F18">
            <w:pPr>
              <w:pStyle w:val="TableText0"/>
            </w:pPr>
            <w:r w:rsidRPr="0057206B">
              <w:t>Base</w:t>
            </w:r>
            <w:r w:rsidR="008005CF">
              <w:t xml:space="preserve"> </w:t>
            </w:r>
            <w:r w:rsidRPr="0057206B">
              <w:t>case</w:t>
            </w:r>
          </w:p>
        </w:tc>
        <w:tc>
          <w:tcPr>
            <w:tcW w:w="1731" w:type="pct"/>
          </w:tcPr>
          <w:p w14:paraId="087F33E2" w14:textId="77777777" w:rsidR="009D3D67" w:rsidRPr="0057206B" w:rsidRDefault="009D3D67" w:rsidP="003F3F18">
            <w:pPr>
              <w:pStyle w:val="TableText0"/>
              <w:jc w:val="center"/>
            </w:pPr>
            <w:r w:rsidRPr="0057206B">
              <w:t>–</w:t>
            </w:r>
          </w:p>
        </w:tc>
        <w:tc>
          <w:tcPr>
            <w:tcW w:w="706" w:type="pct"/>
          </w:tcPr>
          <w:p w14:paraId="12F6125D" w14:textId="67772B5C" w:rsidR="009D3D67" w:rsidRPr="0057206B" w:rsidRDefault="009D3D67" w:rsidP="003F3F18">
            <w:pPr>
              <w:pStyle w:val="TableText0"/>
              <w:jc w:val="center"/>
            </w:pPr>
            <w:r w:rsidRPr="0057206B">
              <w:t>$</w:t>
            </w:r>
            <w:r w:rsidR="00031406">
              <w:rPr>
                <w:b/>
                <w:bCs/>
              </w:rPr>
              <w:t xml:space="preserve">Redacted </w:t>
            </w:r>
          </w:p>
        </w:tc>
        <w:tc>
          <w:tcPr>
            <w:tcW w:w="631" w:type="pct"/>
          </w:tcPr>
          <w:p w14:paraId="052B222D" w14:textId="77777777" w:rsidR="009D3D67" w:rsidRPr="0057206B" w:rsidRDefault="009D3D67" w:rsidP="003F3F18">
            <w:pPr>
              <w:pStyle w:val="TableText0"/>
              <w:jc w:val="center"/>
            </w:pPr>
            <w:r w:rsidRPr="0057206B">
              <w:t>1.11</w:t>
            </w:r>
          </w:p>
        </w:tc>
        <w:tc>
          <w:tcPr>
            <w:tcW w:w="679" w:type="pct"/>
          </w:tcPr>
          <w:p w14:paraId="62CAC826" w14:textId="61C74675" w:rsidR="009D3D67" w:rsidRPr="0057206B" w:rsidRDefault="009D3D67" w:rsidP="003F3F18">
            <w:pPr>
              <w:pStyle w:val="TableText0"/>
              <w:jc w:val="center"/>
            </w:pPr>
            <w:r w:rsidRPr="0057206B">
              <w:t>$</w:t>
            </w:r>
            <w:r w:rsidR="00031406">
              <w:rPr>
                <w:b/>
                <w:bCs/>
              </w:rPr>
              <w:t>Redacted</w:t>
            </w:r>
            <w:r w:rsidR="005A4AD2">
              <w:rPr>
                <w:vertAlign w:val="superscript"/>
              </w:rPr>
              <w:t>1</w:t>
            </w:r>
            <w:r w:rsidR="00031406">
              <w:rPr>
                <w:b/>
                <w:bCs/>
              </w:rPr>
              <w:t xml:space="preserve"> </w:t>
            </w:r>
          </w:p>
        </w:tc>
      </w:tr>
      <w:tr w:rsidR="009D3D67" w:rsidRPr="0057206B" w14:paraId="74ADB4C8" w14:textId="77777777" w:rsidTr="003F3F18">
        <w:tc>
          <w:tcPr>
            <w:tcW w:w="5000" w:type="pct"/>
            <w:gridSpan w:val="5"/>
            <w:shd w:val="clear" w:color="auto" w:fill="auto"/>
          </w:tcPr>
          <w:p w14:paraId="357C17E6" w14:textId="77777777" w:rsidR="009D3D67" w:rsidRPr="0057206B" w:rsidRDefault="009D3D67" w:rsidP="003F3F18">
            <w:pPr>
              <w:pStyle w:val="TableText0"/>
              <w:rPr>
                <w:b/>
                <w:bCs/>
                <w:i/>
                <w:iCs/>
              </w:rPr>
            </w:pPr>
            <w:r w:rsidRPr="0057206B">
              <w:rPr>
                <w:b/>
                <w:bCs/>
                <w:i/>
                <w:iCs/>
              </w:rPr>
              <w:t xml:space="preserve">Cost inputs </w:t>
            </w:r>
          </w:p>
        </w:tc>
      </w:tr>
      <w:tr w:rsidR="009D3D67" w:rsidRPr="0057206B" w14:paraId="2162EA42" w14:textId="77777777" w:rsidTr="009D3D67">
        <w:tc>
          <w:tcPr>
            <w:tcW w:w="1253" w:type="pct"/>
            <w:vMerge w:val="restart"/>
            <w:shd w:val="clear" w:color="auto" w:fill="auto"/>
          </w:tcPr>
          <w:p w14:paraId="46FD61E1" w14:textId="77777777" w:rsidR="009D3D67" w:rsidRPr="0057206B" w:rsidRDefault="009D3D67" w:rsidP="003F3F18">
            <w:pPr>
              <w:pStyle w:val="TableText0"/>
            </w:pPr>
            <w:r w:rsidRPr="0057206B">
              <w:t>Number of hospitalisation days for IDS (50% requiring an overnight stay in base case)</w:t>
            </w:r>
          </w:p>
        </w:tc>
        <w:tc>
          <w:tcPr>
            <w:tcW w:w="1731" w:type="pct"/>
          </w:tcPr>
          <w:p w14:paraId="01A0CD15" w14:textId="77777777" w:rsidR="009D3D67" w:rsidRPr="0057206B" w:rsidRDefault="009D3D67" w:rsidP="003F3F18">
            <w:pPr>
              <w:pStyle w:val="TableText0"/>
            </w:pPr>
            <w:r w:rsidRPr="0057206B">
              <w:t>Same day</w:t>
            </w:r>
          </w:p>
        </w:tc>
        <w:tc>
          <w:tcPr>
            <w:tcW w:w="706" w:type="pct"/>
          </w:tcPr>
          <w:p w14:paraId="10E85807" w14:textId="34E6CEC5" w:rsidR="009D3D67" w:rsidRPr="0057206B" w:rsidRDefault="009D3D67" w:rsidP="003F3F18">
            <w:pPr>
              <w:pStyle w:val="TableText0"/>
              <w:jc w:val="center"/>
            </w:pPr>
            <w:r w:rsidRPr="0057206B">
              <w:t>$</w:t>
            </w:r>
            <w:r w:rsidR="00514305">
              <w:rPr>
                <w:b/>
                <w:bCs/>
              </w:rPr>
              <w:t xml:space="preserve">Redacted </w:t>
            </w:r>
          </w:p>
        </w:tc>
        <w:tc>
          <w:tcPr>
            <w:tcW w:w="631" w:type="pct"/>
          </w:tcPr>
          <w:p w14:paraId="3C85BD44" w14:textId="77777777" w:rsidR="009D3D67" w:rsidRPr="0057206B" w:rsidRDefault="009D3D67" w:rsidP="003F3F18">
            <w:pPr>
              <w:pStyle w:val="TableText0"/>
              <w:jc w:val="center"/>
            </w:pPr>
            <w:r w:rsidRPr="0057206B">
              <w:t>1.11</w:t>
            </w:r>
          </w:p>
        </w:tc>
        <w:tc>
          <w:tcPr>
            <w:tcW w:w="679" w:type="pct"/>
          </w:tcPr>
          <w:p w14:paraId="71BAABEF" w14:textId="1597345C" w:rsidR="009D3D67" w:rsidRPr="0057206B" w:rsidRDefault="009D3D67" w:rsidP="003F3F18">
            <w:pPr>
              <w:pStyle w:val="TableText0"/>
              <w:jc w:val="center"/>
            </w:pPr>
            <w:r w:rsidRPr="0057206B">
              <w:t>$</w:t>
            </w:r>
            <w:r w:rsidR="00514305">
              <w:rPr>
                <w:b/>
                <w:bCs/>
              </w:rPr>
              <w:t>Redacted</w:t>
            </w:r>
            <w:r w:rsidR="00514305">
              <w:rPr>
                <w:vertAlign w:val="superscript"/>
              </w:rPr>
              <w:t>2</w:t>
            </w:r>
            <w:r w:rsidR="00514305">
              <w:t xml:space="preserve"> </w:t>
            </w:r>
          </w:p>
        </w:tc>
      </w:tr>
      <w:tr w:rsidR="009D3D67" w:rsidRPr="0057206B" w14:paraId="24B3E2DA" w14:textId="77777777" w:rsidTr="009D3D67">
        <w:tc>
          <w:tcPr>
            <w:tcW w:w="1253" w:type="pct"/>
            <w:vMerge/>
            <w:shd w:val="clear" w:color="auto" w:fill="auto"/>
          </w:tcPr>
          <w:p w14:paraId="6AC1B852" w14:textId="77777777" w:rsidR="009D3D67" w:rsidRPr="0057206B" w:rsidRDefault="009D3D67" w:rsidP="003F3F18">
            <w:pPr>
              <w:pStyle w:val="TableText0"/>
            </w:pPr>
          </w:p>
        </w:tc>
        <w:tc>
          <w:tcPr>
            <w:tcW w:w="1731" w:type="pct"/>
          </w:tcPr>
          <w:p w14:paraId="24C91388" w14:textId="77777777" w:rsidR="009D3D67" w:rsidRPr="0057206B" w:rsidRDefault="009D3D67" w:rsidP="003F3F18">
            <w:pPr>
              <w:pStyle w:val="TableText0"/>
            </w:pPr>
            <w:r w:rsidRPr="0057206B">
              <w:t xml:space="preserve">100% overnight stay </w:t>
            </w:r>
          </w:p>
        </w:tc>
        <w:tc>
          <w:tcPr>
            <w:tcW w:w="706" w:type="pct"/>
          </w:tcPr>
          <w:p w14:paraId="50FF17E8" w14:textId="64C06A43" w:rsidR="009D3D67" w:rsidRPr="0057206B" w:rsidRDefault="009D3D67" w:rsidP="003F3F18">
            <w:pPr>
              <w:pStyle w:val="TableText0"/>
              <w:jc w:val="center"/>
            </w:pPr>
            <w:r w:rsidRPr="0057206B">
              <w:t>$</w:t>
            </w:r>
            <w:r w:rsidR="00514305">
              <w:rPr>
                <w:b/>
                <w:bCs/>
              </w:rPr>
              <w:t xml:space="preserve">Redacted </w:t>
            </w:r>
          </w:p>
        </w:tc>
        <w:tc>
          <w:tcPr>
            <w:tcW w:w="631" w:type="pct"/>
          </w:tcPr>
          <w:p w14:paraId="6544EE67" w14:textId="77777777" w:rsidR="009D3D67" w:rsidRPr="0057206B" w:rsidRDefault="009D3D67" w:rsidP="003F3F18">
            <w:pPr>
              <w:pStyle w:val="TableText0"/>
              <w:jc w:val="center"/>
            </w:pPr>
            <w:r w:rsidRPr="0057206B">
              <w:t>1.11</w:t>
            </w:r>
          </w:p>
        </w:tc>
        <w:tc>
          <w:tcPr>
            <w:tcW w:w="679" w:type="pct"/>
          </w:tcPr>
          <w:p w14:paraId="207ADE6E" w14:textId="44B97910" w:rsidR="009D3D67" w:rsidRPr="0057206B" w:rsidRDefault="009D3D67" w:rsidP="003F3F18">
            <w:pPr>
              <w:pStyle w:val="TableText0"/>
              <w:jc w:val="center"/>
            </w:pPr>
            <w:r w:rsidRPr="0057206B">
              <w:t>$</w:t>
            </w:r>
            <w:r w:rsidR="00514305">
              <w:rPr>
                <w:b/>
                <w:bCs/>
              </w:rPr>
              <w:t>Redacted</w:t>
            </w:r>
            <w:r w:rsidR="00514305">
              <w:rPr>
                <w:vertAlign w:val="superscript"/>
              </w:rPr>
              <w:t xml:space="preserve">1 </w:t>
            </w:r>
          </w:p>
        </w:tc>
      </w:tr>
      <w:tr w:rsidR="009D3D67" w:rsidRPr="0057206B" w14:paraId="7FC6A5DE" w14:textId="77777777" w:rsidTr="009D3D67">
        <w:tc>
          <w:tcPr>
            <w:tcW w:w="1253" w:type="pct"/>
            <w:vMerge w:val="restart"/>
            <w:shd w:val="clear" w:color="auto" w:fill="auto"/>
          </w:tcPr>
          <w:p w14:paraId="24128436" w14:textId="77777777" w:rsidR="009D3D67" w:rsidRPr="0057206B" w:rsidRDefault="009D3D67" w:rsidP="003F3F18">
            <w:pPr>
              <w:pStyle w:val="TableText0"/>
            </w:pPr>
            <w:r w:rsidRPr="0057206B">
              <w:t>Additional ongoing “background” cost ($0)</w:t>
            </w:r>
          </w:p>
        </w:tc>
        <w:tc>
          <w:tcPr>
            <w:tcW w:w="1731" w:type="pct"/>
          </w:tcPr>
          <w:p w14:paraId="7566DC3D" w14:textId="77777777" w:rsidR="009D3D67" w:rsidRPr="0057206B" w:rsidRDefault="009D3D67" w:rsidP="003F3F18">
            <w:pPr>
              <w:pStyle w:val="TableText0"/>
            </w:pPr>
            <w:r w:rsidRPr="0057206B">
              <w:t>$1000 per year for IDS only</w:t>
            </w:r>
          </w:p>
        </w:tc>
        <w:tc>
          <w:tcPr>
            <w:tcW w:w="706" w:type="pct"/>
          </w:tcPr>
          <w:p w14:paraId="061BFB16" w14:textId="1A6623CC" w:rsidR="009D3D67" w:rsidRPr="0057206B" w:rsidRDefault="009D3D67" w:rsidP="003F3F18">
            <w:pPr>
              <w:pStyle w:val="TableText0"/>
              <w:jc w:val="center"/>
            </w:pPr>
            <w:r w:rsidRPr="0057206B">
              <w:t>$</w:t>
            </w:r>
            <w:r w:rsidR="00514305">
              <w:rPr>
                <w:b/>
                <w:bCs/>
              </w:rPr>
              <w:t xml:space="preserve">Redacted </w:t>
            </w:r>
          </w:p>
        </w:tc>
        <w:tc>
          <w:tcPr>
            <w:tcW w:w="631" w:type="pct"/>
          </w:tcPr>
          <w:p w14:paraId="7A7C3642" w14:textId="77777777" w:rsidR="009D3D67" w:rsidRPr="0057206B" w:rsidRDefault="009D3D67" w:rsidP="003F3F18">
            <w:pPr>
              <w:pStyle w:val="TableText0"/>
              <w:jc w:val="center"/>
            </w:pPr>
            <w:r w:rsidRPr="0057206B">
              <w:t>1.11</w:t>
            </w:r>
          </w:p>
        </w:tc>
        <w:tc>
          <w:tcPr>
            <w:tcW w:w="679" w:type="pct"/>
          </w:tcPr>
          <w:p w14:paraId="0A3A75D2" w14:textId="5B77F970" w:rsidR="009D3D67" w:rsidRPr="0057206B" w:rsidRDefault="009D3D67" w:rsidP="003F3F18">
            <w:pPr>
              <w:pStyle w:val="TableText0"/>
              <w:jc w:val="center"/>
            </w:pPr>
            <w:r w:rsidRPr="0057206B">
              <w:t>$</w:t>
            </w:r>
            <w:r w:rsidR="00514305">
              <w:rPr>
                <w:b/>
                <w:bCs/>
              </w:rPr>
              <w:t>Redacted</w:t>
            </w:r>
            <w:r w:rsidR="00514305">
              <w:rPr>
                <w:vertAlign w:val="superscript"/>
              </w:rPr>
              <w:t xml:space="preserve">1 </w:t>
            </w:r>
          </w:p>
        </w:tc>
      </w:tr>
      <w:tr w:rsidR="009D3D67" w:rsidRPr="0057206B" w14:paraId="02F40E1D" w14:textId="77777777" w:rsidTr="009D3D67">
        <w:tc>
          <w:tcPr>
            <w:tcW w:w="1253" w:type="pct"/>
            <w:vMerge/>
            <w:shd w:val="clear" w:color="auto" w:fill="auto"/>
          </w:tcPr>
          <w:p w14:paraId="02D638C7" w14:textId="77777777" w:rsidR="009D3D67" w:rsidRPr="0057206B" w:rsidRDefault="009D3D67" w:rsidP="003F3F18">
            <w:pPr>
              <w:pStyle w:val="TableText0"/>
            </w:pPr>
          </w:p>
        </w:tc>
        <w:tc>
          <w:tcPr>
            <w:tcW w:w="1731" w:type="pct"/>
          </w:tcPr>
          <w:p w14:paraId="6F4CD8F9" w14:textId="77777777" w:rsidR="009D3D67" w:rsidRPr="0057206B" w:rsidRDefault="009D3D67" w:rsidP="003F3F18">
            <w:pPr>
              <w:pStyle w:val="TableText0"/>
            </w:pPr>
            <w:r w:rsidRPr="0057206B">
              <w:t>$2000 per year for IDS only</w:t>
            </w:r>
          </w:p>
        </w:tc>
        <w:tc>
          <w:tcPr>
            <w:tcW w:w="706" w:type="pct"/>
          </w:tcPr>
          <w:p w14:paraId="722CA884" w14:textId="24A91D99" w:rsidR="009D3D67" w:rsidRPr="0057206B" w:rsidRDefault="009D3D67" w:rsidP="003F3F18">
            <w:pPr>
              <w:pStyle w:val="TableText0"/>
              <w:jc w:val="center"/>
            </w:pPr>
            <w:r w:rsidRPr="0057206B">
              <w:t>$</w:t>
            </w:r>
            <w:r w:rsidR="00514305">
              <w:rPr>
                <w:b/>
                <w:bCs/>
              </w:rPr>
              <w:t xml:space="preserve">Redacted </w:t>
            </w:r>
          </w:p>
        </w:tc>
        <w:tc>
          <w:tcPr>
            <w:tcW w:w="631" w:type="pct"/>
          </w:tcPr>
          <w:p w14:paraId="3649BBA0" w14:textId="77777777" w:rsidR="009D3D67" w:rsidRPr="0057206B" w:rsidRDefault="009D3D67" w:rsidP="003F3F18">
            <w:pPr>
              <w:pStyle w:val="TableText0"/>
              <w:jc w:val="center"/>
            </w:pPr>
            <w:r w:rsidRPr="0057206B">
              <w:t>1.11</w:t>
            </w:r>
          </w:p>
        </w:tc>
        <w:tc>
          <w:tcPr>
            <w:tcW w:w="679" w:type="pct"/>
          </w:tcPr>
          <w:p w14:paraId="45AFC3B7" w14:textId="06E13D3E" w:rsidR="009D3D67" w:rsidRPr="0057206B" w:rsidRDefault="009D3D67" w:rsidP="003F3F18">
            <w:pPr>
              <w:pStyle w:val="TableText0"/>
              <w:jc w:val="center"/>
            </w:pPr>
            <w:r w:rsidRPr="0057206B">
              <w:t>$</w:t>
            </w:r>
            <w:r w:rsidR="00514305">
              <w:rPr>
                <w:b/>
                <w:bCs/>
              </w:rPr>
              <w:t>Redacted</w:t>
            </w:r>
            <w:r w:rsidR="00514305">
              <w:rPr>
                <w:vertAlign w:val="superscript"/>
              </w:rPr>
              <w:t>1</w:t>
            </w:r>
            <w:r w:rsidR="00514305">
              <w:t xml:space="preserve"> </w:t>
            </w:r>
          </w:p>
        </w:tc>
      </w:tr>
      <w:tr w:rsidR="009D3D67" w:rsidRPr="0057206B" w14:paraId="3C265FA5" w14:textId="77777777" w:rsidTr="009D3D67">
        <w:tc>
          <w:tcPr>
            <w:tcW w:w="1253" w:type="pct"/>
            <w:vMerge/>
            <w:shd w:val="clear" w:color="auto" w:fill="auto"/>
          </w:tcPr>
          <w:p w14:paraId="67CE1EB6" w14:textId="77777777" w:rsidR="009D3D67" w:rsidRPr="0057206B" w:rsidRDefault="009D3D67" w:rsidP="003F3F18">
            <w:pPr>
              <w:pStyle w:val="TableText0"/>
            </w:pPr>
          </w:p>
        </w:tc>
        <w:tc>
          <w:tcPr>
            <w:tcW w:w="1731" w:type="pct"/>
          </w:tcPr>
          <w:p w14:paraId="697D2474" w14:textId="77777777" w:rsidR="009D3D67" w:rsidRPr="0057206B" w:rsidRDefault="009D3D67" w:rsidP="003F3F18">
            <w:pPr>
              <w:pStyle w:val="TableText0"/>
            </w:pPr>
            <w:r w:rsidRPr="0057206B">
              <w:t>$1000 per year for conservative care only</w:t>
            </w:r>
          </w:p>
        </w:tc>
        <w:tc>
          <w:tcPr>
            <w:tcW w:w="706" w:type="pct"/>
          </w:tcPr>
          <w:p w14:paraId="00EC5C0C" w14:textId="09F73204" w:rsidR="009D3D67" w:rsidRPr="0057206B" w:rsidRDefault="009D3D67" w:rsidP="003F3F18">
            <w:pPr>
              <w:pStyle w:val="TableText0"/>
              <w:jc w:val="center"/>
            </w:pPr>
            <w:r w:rsidRPr="0057206B">
              <w:t>$</w:t>
            </w:r>
            <w:r w:rsidR="00514305">
              <w:rPr>
                <w:b/>
                <w:bCs/>
              </w:rPr>
              <w:t xml:space="preserve">Redacted </w:t>
            </w:r>
          </w:p>
        </w:tc>
        <w:tc>
          <w:tcPr>
            <w:tcW w:w="631" w:type="pct"/>
          </w:tcPr>
          <w:p w14:paraId="0693ED0A" w14:textId="77777777" w:rsidR="009D3D67" w:rsidRPr="0057206B" w:rsidRDefault="009D3D67" w:rsidP="003F3F18">
            <w:pPr>
              <w:pStyle w:val="TableText0"/>
              <w:jc w:val="center"/>
            </w:pPr>
            <w:r w:rsidRPr="0057206B">
              <w:t>1.11</w:t>
            </w:r>
          </w:p>
        </w:tc>
        <w:tc>
          <w:tcPr>
            <w:tcW w:w="679" w:type="pct"/>
          </w:tcPr>
          <w:p w14:paraId="73F94058" w14:textId="6B4689A9" w:rsidR="009D3D67" w:rsidRPr="0057206B" w:rsidRDefault="009D3D67" w:rsidP="003F3F18">
            <w:pPr>
              <w:pStyle w:val="TableText0"/>
              <w:jc w:val="center"/>
            </w:pPr>
            <w:r w:rsidRPr="0057206B">
              <w:t>$</w:t>
            </w:r>
            <w:r w:rsidR="00514305">
              <w:rPr>
                <w:b/>
                <w:bCs/>
              </w:rPr>
              <w:t>Redacted</w:t>
            </w:r>
            <w:r w:rsidR="00514305">
              <w:rPr>
                <w:vertAlign w:val="superscript"/>
              </w:rPr>
              <w:t>2</w:t>
            </w:r>
            <w:r w:rsidR="00514305">
              <w:t xml:space="preserve"> </w:t>
            </w:r>
          </w:p>
        </w:tc>
      </w:tr>
      <w:tr w:rsidR="009D3D67" w:rsidRPr="0057206B" w14:paraId="4FCF902E" w14:textId="77777777" w:rsidTr="009D3D67">
        <w:tc>
          <w:tcPr>
            <w:tcW w:w="1253" w:type="pct"/>
            <w:vMerge/>
            <w:shd w:val="clear" w:color="auto" w:fill="auto"/>
          </w:tcPr>
          <w:p w14:paraId="27301848" w14:textId="77777777" w:rsidR="009D3D67" w:rsidRPr="0057206B" w:rsidRDefault="009D3D67" w:rsidP="003F3F18">
            <w:pPr>
              <w:pStyle w:val="TableText0"/>
            </w:pPr>
          </w:p>
        </w:tc>
        <w:tc>
          <w:tcPr>
            <w:tcW w:w="1731" w:type="pct"/>
          </w:tcPr>
          <w:p w14:paraId="7B2045BD" w14:textId="77777777" w:rsidR="009D3D67" w:rsidRPr="0057206B" w:rsidRDefault="009D3D67" w:rsidP="003F3F18">
            <w:pPr>
              <w:pStyle w:val="TableText0"/>
            </w:pPr>
            <w:r w:rsidRPr="0057206B">
              <w:t>$2000 per year for conservative care only</w:t>
            </w:r>
          </w:p>
        </w:tc>
        <w:tc>
          <w:tcPr>
            <w:tcW w:w="706" w:type="pct"/>
          </w:tcPr>
          <w:p w14:paraId="20205DB8" w14:textId="0C1BF9CE" w:rsidR="009D3D67" w:rsidRPr="0057206B" w:rsidRDefault="009D3D67" w:rsidP="003F3F18">
            <w:pPr>
              <w:pStyle w:val="TableText0"/>
              <w:jc w:val="center"/>
            </w:pPr>
            <w:r w:rsidRPr="0057206B">
              <w:t>$</w:t>
            </w:r>
            <w:r w:rsidR="00514305">
              <w:rPr>
                <w:b/>
                <w:bCs/>
              </w:rPr>
              <w:t xml:space="preserve">Redacted </w:t>
            </w:r>
          </w:p>
        </w:tc>
        <w:tc>
          <w:tcPr>
            <w:tcW w:w="631" w:type="pct"/>
          </w:tcPr>
          <w:p w14:paraId="14B831A4" w14:textId="77777777" w:rsidR="009D3D67" w:rsidRPr="0057206B" w:rsidRDefault="009D3D67" w:rsidP="003F3F18">
            <w:pPr>
              <w:pStyle w:val="TableText0"/>
              <w:jc w:val="center"/>
            </w:pPr>
            <w:r w:rsidRPr="0057206B">
              <w:t>1.11</w:t>
            </w:r>
          </w:p>
        </w:tc>
        <w:tc>
          <w:tcPr>
            <w:tcW w:w="679" w:type="pct"/>
          </w:tcPr>
          <w:p w14:paraId="7955133A" w14:textId="284B0C69" w:rsidR="009D3D67" w:rsidRPr="0057206B" w:rsidRDefault="009D3D67" w:rsidP="003F3F18">
            <w:pPr>
              <w:pStyle w:val="TableText0"/>
              <w:jc w:val="center"/>
            </w:pPr>
            <w:r w:rsidRPr="0057206B">
              <w:t>$</w:t>
            </w:r>
            <w:r w:rsidR="00514305">
              <w:rPr>
                <w:b/>
                <w:bCs/>
              </w:rPr>
              <w:t>Redacted</w:t>
            </w:r>
            <w:r w:rsidR="00514305">
              <w:rPr>
                <w:vertAlign w:val="superscript"/>
              </w:rPr>
              <w:t>2</w:t>
            </w:r>
            <w:r w:rsidR="00514305">
              <w:t xml:space="preserve"> </w:t>
            </w:r>
          </w:p>
        </w:tc>
      </w:tr>
      <w:tr w:rsidR="009D3D67" w:rsidRPr="0057206B" w14:paraId="62D4F94E" w14:textId="77777777" w:rsidTr="009D3D67">
        <w:tc>
          <w:tcPr>
            <w:tcW w:w="1253" w:type="pct"/>
            <w:shd w:val="clear" w:color="auto" w:fill="auto"/>
          </w:tcPr>
          <w:p w14:paraId="68DB1524" w14:textId="77777777" w:rsidR="009D3D67" w:rsidRPr="0057206B" w:rsidRDefault="009D3D67" w:rsidP="003F3F18">
            <w:pPr>
              <w:pStyle w:val="TableText0"/>
            </w:pPr>
            <w:r w:rsidRPr="0057206B">
              <w:t>Cost of reoperation ($3,220.72)</w:t>
            </w:r>
          </w:p>
        </w:tc>
        <w:tc>
          <w:tcPr>
            <w:tcW w:w="1731" w:type="pct"/>
          </w:tcPr>
          <w:p w14:paraId="37C6FD84" w14:textId="77777777" w:rsidR="009D3D67" w:rsidRPr="0057206B" w:rsidRDefault="009D3D67" w:rsidP="003F3F18">
            <w:pPr>
              <w:pStyle w:val="TableText0"/>
            </w:pPr>
            <w:r w:rsidRPr="0057206B">
              <w:t>As per index surgery</w:t>
            </w:r>
          </w:p>
        </w:tc>
        <w:tc>
          <w:tcPr>
            <w:tcW w:w="706" w:type="pct"/>
          </w:tcPr>
          <w:p w14:paraId="67F878F5" w14:textId="6227D0F0" w:rsidR="009D3D67" w:rsidRPr="0057206B" w:rsidRDefault="009D3D67" w:rsidP="003F3F18">
            <w:pPr>
              <w:pStyle w:val="TableText0"/>
              <w:jc w:val="center"/>
            </w:pPr>
            <w:r w:rsidRPr="0057206B">
              <w:t>$</w:t>
            </w:r>
            <w:r w:rsidR="00514305">
              <w:rPr>
                <w:b/>
                <w:bCs/>
              </w:rPr>
              <w:t xml:space="preserve">Redacted </w:t>
            </w:r>
          </w:p>
        </w:tc>
        <w:tc>
          <w:tcPr>
            <w:tcW w:w="631" w:type="pct"/>
          </w:tcPr>
          <w:p w14:paraId="42453E33" w14:textId="77777777" w:rsidR="009D3D67" w:rsidRPr="0057206B" w:rsidRDefault="009D3D67" w:rsidP="003F3F18">
            <w:pPr>
              <w:pStyle w:val="TableText0"/>
              <w:jc w:val="center"/>
            </w:pPr>
            <w:r w:rsidRPr="0057206B">
              <w:t>1.11</w:t>
            </w:r>
          </w:p>
        </w:tc>
        <w:tc>
          <w:tcPr>
            <w:tcW w:w="679" w:type="pct"/>
          </w:tcPr>
          <w:p w14:paraId="756FF348" w14:textId="2C877B41" w:rsidR="009D3D67" w:rsidRPr="0057206B" w:rsidRDefault="009D3D67" w:rsidP="003F3F18">
            <w:pPr>
              <w:pStyle w:val="TableText0"/>
              <w:jc w:val="center"/>
            </w:pPr>
            <w:r w:rsidRPr="0057206B">
              <w:t>$</w:t>
            </w:r>
            <w:r w:rsidR="00514305">
              <w:rPr>
                <w:b/>
                <w:bCs/>
              </w:rPr>
              <w:t>Redacted</w:t>
            </w:r>
            <w:r w:rsidR="00514305">
              <w:rPr>
                <w:vertAlign w:val="superscript"/>
              </w:rPr>
              <w:t>1</w:t>
            </w:r>
            <w:r w:rsidR="00514305">
              <w:t xml:space="preserve"> </w:t>
            </w:r>
          </w:p>
        </w:tc>
      </w:tr>
      <w:tr w:rsidR="009D3D67" w:rsidRPr="0057206B" w14:paraId="364F12F3" w14:textId="77777777" w:rsidTr="003F3F18">
        <w:tc>
          <w:tcPr>
            <w:tcW w:w="5000" w:type="pct"/>
            <w:gridSpan w:val="5"/>
            <w:shd w:val="clear" w:color="auto" w:fill="auto"/>
          </w:tcPr>
          <w:p w14:paraId="1F6D11C2" w14:textId="77777777" w:rsidR="009D3D67" w:rsidRPr="0057206B" w:rsidRDefault="009D3D67" w:rsidP="003F3F18">
            <w:pPr>
              <w:pStyle w:val="TableText0"/>
              <w:rPr>
                <w:b/>
                <w:bCs/>
                <w:i/>
                <w:iCs/>
              </w:rPr>
            </w:pPr>
            <w:r w:rsidRPr="0057206B">
              <w:rPr>
                <w:b/>
                <w:bCs/>
                <w:i/>
                <w:iCs/>
              </w:rPr>
              <w:t>Utility inputs</w:t>
            </w:r>
          </w:p>
        </w:tc>
      </w:tr>
      <w:tr w:rsidR="009D3D67" w:rsidRPr="0057206B" w14:paraId="134F8408" w14:textId="77777777" w:rsidTr="009D3D67">
        <w:tc>
          <w:tcPr>
            <w:tcW w:w="1253" w:type="pct"/>
            <w:shd w:val="clear" w:color="auto" w:fill="auto"/>
          </w:tcPr>
          <w:p w14:paraId="1296B518" w14:textId="77777777" w:rsidR="009D3D67" w:rsidRPr="0057206B" w:rsidRDefault="009D3D67" w:rsidP="003F3F18">
            <w:pPr>
              <w:pStyle w:val="TableText0"/>
            </w:pPr>
            <w:r w:rsidRPr="0057206B">
              <w:t>Pre-/post surgery (0.20 &amp; 0.25; Borg 2021, EQ-5D)</w:t>
            </w:r>
          </w:p>
        </w:tc>
        <w:tc>
          <w:tcPr>
            <w:tcW w:w="1731" w:type="pct"/>
          </w:tcPr>
          <w:p w14:paraId="3AAE11C4" w14:textId="77777777" w:rsidR="009D3D67" w:rsidRPr="0057206B" w:rsidRDefault="009D3D67" w:rsidP="003F3F18">
            <w:pPr>
              <w:pStyle w:val="TableText0"/>
            </w:pPr>
            <w:r w:rsidRPr="0057206B">
              <w:t>Skidmore 2011 (0.62 &amp; 0.76; SF-36)</w:t>
            </w:r>
          </w:p>
        </w:tc>
        <w:tc>
          <w:tcPr>
            <w:tcW w:w="706" w:type="pct"/>
          </w:tcPr>
          <w:p w14:paraId="42EC60F2" w14:textId="64902DF3" w:rsidR="009D3D67" w:rsidRPr="0057206B" w:rsidRDefault="009D3D67" w:rsidP="003F3F18">
            <w:pPr>
              <w:pStyle w:val="TableText0"/>
              <w:jc w:val="center"/>
            </w:pPr>
            <w:r w:rsidRPr="0057206B">
              <w:t>$</w:t>
            </w:r>
            <w:r w:rsidR="00514305">
              <w:rPr>
                <w:b/>
                <w:bCs/>
              </w:rPr>
              <w:t xml:space="preserve">Redacted </w:t>
            </w:r>
          </w:p>
        </w:tc>
        <w:tc>
          <w:tcPr>
            <w:tcW w:w="631" w:type="pct"/>
          </w:tcPr>
          <w:p w14:paraId="01500E77" w14:textId="77777777" w:rsidR="009D3D67" w:rsidRPr="0057206B" w:rsidRDefault="009D3D67" w:rsidP="003F3F18">
            <w:pPr>
              <w:pStyle w:val="TableText0"/>
              <w:jc w:val="center"/>
            </w:pPr>
            <w:r w:rsidRPr="0057206B">
              <w:t>0.62</w:t>
            </w:r>
          </w:p>
        </w:tc>
        <w:tc>
          <w:tcPr>
            <w:tcW w:w="679" w:type="pct"/>
          </w:tcPr>
          <w:p w14:paraId="7747A9F1" w14:textId="0A3FAC1B" w:rsidR="009D3D67" w:rsidRPr="0057206B" w:rsidRDefault="009D3D67" w:rsidP="003F3F18">
            <w:pPr>
              <w:pStyle w:val="TableText0"/>
              <w:jc w:val="center"/>
            </w:pPr>
            <w:r w:rsidRPr="0057206B">
              <w:t>$</w:t>
            </w:r>
            <w:r w:rsidR="00514305">
              <w:rPr>
                <w:b/>
                <w:bCs/>
              </w:rPr>
              <w:t>Redacted</w:t>
            </w:r>
            <w:r w:rsidR="00514305">
              <w:rPr>
                <w:vertAlign w:val="superscript"/>
              </w:rPr>
              <w:t>3</w:t>
            </w:r>
            <w:r w:rsidR="00514305">
              <w:t xml:space="preserve"> </w:t>
            </w:r>
          </w:p>
        </w:tc>
      </w:tr>
      <w:tr w:rsidR="009D3D67" w:rsidRPr="0057206B" w14:paraId="1CFD9F50" w14:textId="77777777" w:rsidTr="009D3D67">
        <w:tc>
          <w:tcPr>
            <w:tcW w:w="1253" w:type="pct"/>
            <w:vMerge w:val="restart"/>
            <w:shd w:val="clear" w:color="auto" w:fill="auto"/>
          </w:tcPr>
          <w:p w14:paraId="6C88E120" w14:textId="77777777" w:rsidR="009D3D67" w:rsidRPr="0057206B" w:rsidRDefault="009D3D67" w:rsidP="003F3F18">
            <w:pPr>
              <w:pStyle w:val="TableText0"/>
            </w:pPr>
            <w:r w:rsidRPr="0057206B">
              <w:t>Utility gain with extended conservative care (nil)</w:t>
            </w:r>
          </w:p>
        </w:tc>
        <w:tc>
          <w:tcPr>
            <w:tcW w:w="1731" w:type="pct"/>
          </w:tcPr>
          <w:p w14:paraId="5A3167A2" w14:textId="77777777" w:rsidR="009D3D67" w:rsidRPr="0057206B" w:rsidRDefault="009D3D67" w:rsidP="003F3F18">
            <w:pPr>
              <w:pStyle w:val="TableText0"/>
            </w:pPr>
            <w:r w:rsidRPr="0057206B">
              <w:t>0.016 vs baseline (Parker 2015)</w:t>
            </w:r>
          </w:p>
        </w:tc>
        <w:tc>
          <w:tcPr>
            <w:tcW w:w="706" w:type="pct"/>
          </w:tcPr>
          <w:p w14:paraId="346197FB" w14:textId="47BA3FB4" w:rsidR="009D3D67" w:rsidRPr="0057206B" w:rsidRDefault="009D3D67" w:rsidP="003F3F18">
            <w:pPr>
              <w:pStyle w:val="TableText0"/>
              <w:jc w:val="center"/>
            </w:pPr>
            <w:r w:rsidRPr="0057206B">
              <w:t>$</w:t>
            </w:r>
            <w:r w:rsidR="00514305">
              <w:rPr>
                <w:b/>
                <w:bCs/>
              </w:rPr>
              <w:t xml:space="preserve">Redacted </w:t>
            </w:r>
          </w:p>
        </w:tc>
        <w:tc>
          <w:tcPr>
            <w:tcW w:w="631" w:type="pct"/>
          </w:tcPr>
          <w:p w14:paraId="1F1041C4" w14:textId="77777777" w:rsidR="009D3D67" w:rsidRPr="0057206B" w:rsidRDefault="009D3D67" w:rsidP="003F3F18">
            <w:pPr>
              <w:pStyle w:val="TableText0"/>
              <w:jc w:val="center"/>
            </w:pPr>
            <w:r w:rsidRPr="0057206B">
              <w:t>1.03</w:t>
            </w:r>
          </w:p>
        </w:tc>
        <w:tc>
          <w:tcPr>
            <w:tcW w:w="679" w:type="pct"/>
          </w:tcPr>
          <w:p w14:paraId="4DB7BDEA" w14:textId="4F2AC98F" w:rsidR="009D3D67" w:rsidRPr="0057206B" w:rsidRDefault="009D3D67" w:rsidP="003F3F18">
            <w:pPr>
              <w:pStyle w:val="TableText0"/>
              <w:jc w:val="center"/>
            </w:pPr>
            <w:r w:rsidRPr="0057206B">
              <w:t>$</w:t>
            </w:r>
            <w:r w:rsidR="00514305">
              <w:rPr>
                <w:b/>
                <w:bCs/>
              </w:rPr>
              <w:t>Redacted</w:t>
            </w:r>
            <w:r w:rsidR="00514305">
              <w:rPr>
                <w:vertAlign w:val="superscript"/>
              </w:rPr>
              <w:t xml:space="preserve">1 </w:t>
            </w:r>
          </w:p>
        </w:tc>
      </w:tr>
      <w:tr w:rsidR="009D3D67" w:rsidRPr="0057206B" w14:paraId="53DAB710" w14:textId="77777777" w:rsidTr="009D3D67">
        <w:tc>
          <w:tcPr>
            <w:tcW w:w="1253" w:type="pct"/>
            <w:vMerge/>
            <w:shd w:val="clear" w:color="auto" w:fill="auto"/>
          </w:tcPr>
          <w:p w14:paraId="48D589B8" w14:textId="77777777" w:rsidR="009D3D67" w:rsidRPr="0057206B" w:rsidRDefault="009D3D67" w:rsidP="003F3F18">
            <w:pPr>
              <w:pStyle w:val="TableText0"/>
            </w:pPr>
          </w:p>
        </w:tc>
        <w:tc>
          <w:tcPr>
            <w:tcW w:w="1731" w:type="pct"/>
          </w:tcPr>
          <w:p w14:paraId="43112086" w14:textId="77777777" w:rsidR="009D3D67" w:rsidRPr="0057206B" w:rsidRDefault="009D3D67" w:rsidP="003F3F18">
            <w:pPr>
              <w:pStyle w:val="TableText0"/>
            </w:pPr>
            <w:r w:rsidRPr="0057206B">
              <w:t>0.04 vs baseline (Skidmore 2011)</w:t>
            </w:r>
          </w:p>
        </w:tc>
        <w:tc>
          <w:tcPr>
            <w:tcW w:w="706" w:type="pct"/>
          </w:tcPr>
          <w:p w14:paraId="031995DE" w14:textId="378365BD" w:rsidR="009D3D67" w:rsidRPr="0057206B" w:rsidRDefault="009D3D67" w:rsidP="003F3F18">
            <w:pPr>
              <w:pStyle w:val="TableText0"/>
              <w:jc w:val="center"/>
            </w:pPr>
            <w:r w:rsidRPr="0057206B">
              <w:t>$</w:t>
            </w:r>
            <w:r w:rsidR="00514305">
              <w:rPr>
                <w:b/>
                <w:bCs/>
              </w:rPr>
              <w:t xml:space="preserve">Redacted </w:t>
            </w:r>
          </w:p>
        </w:tc>
        <w:tc>
          <w:tcPr>
            <w:tcW w:w="631" w:type="pct"/>
          </w:tcPr>
          <w:p w14:paraId="07970951" w14:textId="77777777" w:rsidR="009D3D67" w:rsidRPr="0057206B" w:rsidRDefault="009D3D67" w:rsidP="003F3F18">
            <w:pPr>
              <w:pStyle w:val="TableText0"/>
              <w:jc w:val="center"/>
            </w:pPr>
            <w:r w:rsidRPr="0057206B">
              <w:t>0.92</w:t>
            </w:r>
          </w:p>
        </w:tc>
        <w:tc>
          <w:tcPr>
            <w:tcW w:w="679" w:type="pct"/>
          </w:tcPr>
          <w:p w14:paraId="484D2D96" w14:textId="46E2E7FD" w:rsidR="009D3D67" w:rsidRPr="0057206B" w:rsidRDefault="009D3D67" w:rsidP="003F3F18">
            <w:pPr>
              <w:pStyle w:val="TableText0"/>
              <w:jc w:val="center"/>
            </w:pPr>
            <w:r w:rsidRPr="0057206B">
              <w:t>$</w:t>
            </w:r>
            <w:r w:rsidR="00514305">
              <w:rPr>
                <w:b/>
                <w:bCs/>
              </w:rPr>
              <w:t>Redacted</w:t>
            </w:r>
            <w:r w:rsidR="00514305">
              <w:rPr>
                <w:vertAlign w:val="superscript"/>
              </w:rPr>
              <w:t xml:space="preserve">1 </w:t>
            </w:r>
          </w:p>
        </w:tc>
      </w:tr>
      <w:tr w:rsidR="009D3D67" w:rsidRPr="0057206B" w14:paraId="0BE14A37" w14:textId="77777777" w:rsidTr="003F3F18">
        <w:tc>
          <w:tcPr>
            <w:tcW w:w="5000" w:type="pct"/>
            <w:gridSpan w:val="5"/>
            <w:tcBorders>
              <w:left w:val="single" w:sz="4" w:space="0" w:color="auto"/>
              <w:right w:val="single" w:sz="4" w:space="0" w:color="auto"/>
            </w:tcBorders>
            <w:shd w:val="clear" w:color="auto" w:fill="auto"/>
          </w:tcPr>
          <w:p w14:paraId="08ADBABB" w14:textId="77777777" w:rsidR="009D3D67" w:rsidRPr="0057206B" w:rsidRDefault="009D3D67" w:rsidP="003F3F18">
            <w:pPr>
              <w:pStyle w:val="TableText0"/>
              <w:rPr>
                <w:b/>
                <w:bCs/>
                <w:i/>
                <w:iCs/>
              </w:rPr>
            </w:pPr>
            <w:r w:rsidRPr="0057206B">
              <w:rPr>
                <w:b/>
                <w:bCs/>
                <w:i/>
                <w:iCs/>
              </w:rPr>
              <w:t>Reoperation rates</w:t>
            </w:r>
          </w:p>
        </w:tc>
      </w:tr>
      <w:tr w:rsidR="009D3D67" w:rsidRPr="0057206B" w14:paraId="0A5C92E7" w14:textId="77777777" w:rsidTr="009D3D67">
        <w:tc>
          <w:tcPr>
            <w:tcW w:w="1253" w:type="pct"/>
            <w:vMerge w:val="restart"/>
            <w:tcBorders>
              <w:left w:val="single" w:sz="4" w:space="0" w:color="auto"/>
              <w:right w:val="single" w:sz="4" w:space="0" w:color="auto"/>
            </w:tcBorders>
            <w:shd w:val="clear" w:color="auto" w:fill="auto"/>
          </w:tcPr>
          <w:p w14:paraId="5CE8CEE2" w14:textId="77777777" w:rsidR="009D3D67" w:rsidRPr="0057206B" w:rsidRDefault="009D3D67" w:rsidP="003F3F18">
            <w:pPr>
              <w:pStyle w:val="TableText0"/>
            </w:pPr>
            <w:r w:rsidRPr="0057206B">
              <w:t>Superion IDE study (9.5% pa plateauing at 25.8% after 3 years)</w:t>
            </w:r>
          </w:p>
        </w:tc>
        <w:tc>
          <w:tcPr>
            <w:tcW w:w="1731" w:type="pct"/>
            <w:tcBorders>
              <w:top w:val="single" w:sz="4" w:space="0" w:color="auto"/>
              <w:left w:val="single" w:sz="4" w:space="0" w:color="auto"/>
              <w:bottom w:val="single" w:sz="4" w:space="0" w:color="auto"/>
              <w:right w:val="single" w:sz="4" w:space="0" w:color="auto"/>
            </w:tcBorders>
          </w:tcPr>
          <w:p w14:paraId="6A55A910" w14:textId="77777777" w:rsidR="009D3D67" w:rsidRPr="0057206B" w:rsidRDefault="009D3D67" w:rsidP="003F3F18">
            <w:pPr>
              <w:pStyle w:val="TableText0"/>
            </w:pPr>
            <w:r w:rsidRPr="0057206B">
              <w:t xml:space="preserve">9.5% pa, no plateauing </w:t>
            </w:r>
          </w:p>
        </w:tc>
        <w:tc>
          <w:tcPr>
            <w:tcW w:w="706" w:type="pct"/>
            <w:tcBorders>
              <w:top w:val="single" w:sz="4" w:space="0" w:color="auto"/>
              <w:left w:val="single" w:sz="4" w:space="0" w:color="auto"/>
              <w:bottom w:val="single" w:sz="4" w:space="0" w:color="auto"/>
              <w:right w:val="single" w:sz="4" w:space="0" w:color="auto"/>
            </w:tcBorders>
          </w:tcPr>
          <w:p w14:paraId="7343B967" w14:textId="09EAB712" w:rsidR="009D3D67" w:rsidRPr="0057206B" w:rsidRDefault="009D3D67" w:rsidP="003F3F18">
            <w:pPr>
              <w:pStyle w:val="TableText0"/>
              <w:jc w:val="center"/>
            </w:pPr>
            <w:r w:rsidRPr="0057206B">
              <w:t>$</w:t>
            </w:r>
            <w:r w:rsidR="00514305">
              <w:rPr>
                <w:b/>
                <w:bCs/>
              </w:rPr>
              <w:t xml:space="preserve">Redacted </w:t>
            </w:r>
          </w:p>
        </w:tc>
        <w:tc>
          <w:tcPr>
            <w:tcW w:w="631" w:type="pct"/>
            <w:tcBorders>
              <w:top w:val="single" w:sz="4" w:space="0" w:color="auto"/>
              <w:left w:val="single" w:sz="4" w:space="0" w:color="auto"/>
              <w:bottom w:val="single" w:sz="4" w:space="0" w:color="auto"/>
              <w:right w:val="single" w:sz="4" w:space="0" w:color="auto"/>
            </w:tcBorders>
          </w:tcPr>
          <w:p w14:paraId="082CA885" w14:textId="77777777" w:rsidR="009D3D67" w:rsidRPr="0057206B" w:rsidRDefault="009D3D67" w:rsidP="003F3F18">
            <w:pPr>
              <w:pStyle w:val="TableText0"/>
              <w:jc w:val="center"/>
            </w:pPr>
            <w:r w:rsidRPr="0057206B">
              <w:t>1.11</w:t>
            </w:r>
          </w:p>
        </w:tc>
        <w:tc>
          <w:tcPr>
            <w:tcW w:w="679" w:type="pct"/>
            <w:tcBorders>
              <w:top w:val="single" w:sz="4" w:space="0" w:color="auto"/>
              <w:left w:val="single" w:sz="4" w:space="0" w:color="auto"/>
              <w:bottom w:val="single" w:sz="4" w:space="0" w:color="auto"/>
              <w:right w:val="single" w:sz="4" w:space="0" w:color="auto"/>
            </w:tcBorders>
          </w:tcPr>
          <w:p w14:paraId="3449B2C9" w14:textId="0C7DDF12" w:rsidR="009D3D67" w:rsidRPr="0057206B" w:rsidRDefault="009D3D67" w:rsidP="003F3F18">
            <w:pPr>
              <w:pStyle w:val="TableText0"/>
              <w:jc w:val="center"/>
            </w:pPr>
            <w:r w:rsidRPr="0057206B">
              <w:t>$</w:t>
            </w:r>
            <w:r w:rsidR="00514305">
              <w:rPr>
                <w:b/>
                <w:bCs/>
              </w:rPr>
              <w:t>Redacted</w:t>
            </w:r>
            <w:r w:rsidR="00514305">
              <w:rPr>
                <w:vertAlign w:val="superscript"/>
              </w:rPr>
              <w:t xml:space="preserve">1 </w:t>
            </w:r>
          </w:p>
        </w:tc>
      </w:tr>
      <w:tr w:rsidR="009D3D67" w:rsidRPr="0057206B" w14:paraId="7739CED4" w14:textId="77777777" w:rsidTr="009D3D67">
        <w:tc>
          <w:tcPr>
            <w:tcW w:w="1253" w:type="pct"/>
            <w:vMerge/>
            <w:tcBorders>
              <w:left w:val="single" w:sz="4" w:space="0" w:color="auto"/>
              <w:right w:val="single" w:sz="4" w:space="0" w:color="auto"/>
            </w:tcBorders>
            <w:shd w:val="clear" w:color="auto" w:fill="auto"/>
          </w:tcPr>
          <w:p w14:paraId="1C7C5F25" w14:textId="77777777" w:rsidR="009D3D67" w:rsidRPr="0057206B" w:rsidRDefault="009D3D67" w:rsidP="003F3F18">
            <w:pPr>
              <w:pStyle w:val="TableText0"/>
            </w:pPr>
          </w:p>
        </w:tc>
        <w:tc>
          <w:tcPr>
            <w:tcW w:w="1731" w:type="pct"/>
            <w:tcBorders>
              <w:top w:val="single" w:sz="4" w:space="0" w:color="auto"/>
              <w:left w:val="single" w:sz="4" w:space="0" w:color="auto"/>
              <w:bottom w:val="single" w:sz="4" w:space="0" w:color="auto"/>
              <w:right w:val="single" w:sz="4" w:space="0" w:color="auto"/>
            </w:tcBorders>
          </w:tcPr>
          <w:p w14:paraId="6A5ABCE5" w14:textId="77777777" w:rsidR="009D3D67" w:rsidRPr="0057206B" w:rsidRDefault="009D3D67" w:rsidP="003F3F18">
            <w:pPr>
              <w:pStyle w:val="TableText0"/>
            </w:pPr>
            <w:r w:rsidRPr="0057206B">
              <w:t>Superion IDE study adjusted subgroup (14.7%; plateau after 3 years)</w:t>
            </w:r>
          </w:p>
        </w:tc>
        <w:tc>
          <w:tcPr>
            <w:tcW w:w="706" w:type="pct"/>
            <w:tcBorders>
              <w:top w:val="single" w:sz="4" w:space="0" w:color="auto"/>
              <w:left w:val="single" w:sz="4" w:space="0" w:color="auto"/>
              <w:bottom w:val="single" w:sz="4" w:space="0" w:color="auto"/>
              <w:right w:val="single" w:sz="4" w:space="0" w:color="auto"/>
            </w:tcBorders>
          </w:tcPr>
          <w:p w14:paraId="360D8EB5" w14:textId="53E36B7D" w:rsidR="009D3D67" w:rsidRPr="0057206B" w:rsidRDefault="009D3D67" w:rsidP="003F3F18">
            <w:pPr>
              <w:pStyle w:val="TableText0"/>
              <w:jc w:val="center"/>
            </w:pPr>
            <w:r w:rsidRPr="0057206B">
              <w:t>$</w:t>
            </w:r>
            <w:r w:rsidR="00514305">
              <w:rPr>
                <w:b/>
                <w:bCs/>
              </w:rPr>
              <w:t xml:space="preserve">Redacted </w:t>
            </w:r>
          </w:p>
        </w:tc>
        <w:tc>
          <w:tcPr>
            <w:tcW w:w="631" w:type="pct"/>
            <w:tcBorders>
              <w:top w:val="single" w:sz="4" w:space="0" w:color="auto"/>
              <w:left w:val="single" w:sz="4" w:space="0" w:color="auto"/>
              <w:bottom w:val="single" w:sz="4" w:space="0" w:color="auto"/>
              <w:right w:val="single" w:sz="4" w:space="0" w:color="auto"/>
            </w:tcBorders>
          </w:tcPr>
          <w:p w14:paraId="412896B6" w14:textId="77777777" w:rsidR="009D3D67" w:rsidRPr="0057206B" w:rsidRDefault="009D3D67" w:rsidP="003F3F18">
            <w:pPr>
              <w:pStyle w:val="TableText0"/>
              <w:jc w:val="center"/>
            </w:pPr>
            <w:r w:rsidRPr="0057206B">
              <w:t>1.11</w:t>
            </w:r>
          </w:p>
        </w:tc>
        <w:tc>
          <w:tcPr>
            <w:tcW w:w="679" w:type="pct"/>
            <w:tcBorders>
              <w:top w:val="single" w:sz="4" w:space="0" w:color="auto"/>
              <w:left w:val="single" w:sz="4" w:space="0" w:color="auto"/>
              <w:bottom w:val="single" w:sz="4" w:space="0" w:color="auto"/>
              <w:right w:val="single" w:sz="4" w:space="0" w:color="auto"/>
            </w:tcBorders>
          </w:tcPr>
          <w:p w14:paraId="4D2A9F9B" w14:textId="569F6BDB" w:rsidR="009D3D67" w:rsidRPr="0057206B" w:rsidRDefault="009D3D67" w:rsidP="003F3F18">
            <w:pPr>
              <w:pStyle w:val="TableText0"/>
              <w:jc w:val="center"/>
            </w:pPr>
            <w:r w:rsidRPr="0057206B">
              <w:t>$</w:t>
            </w:r>
            <w:r w:rsidR="00514305">
              <w:rPr>
                <w:b/>
                <w:bCs/>
              </w:rPr>
              <w:t>Redacted</w:t>
            </w:r>
            <w:r w:rsidR="00514305">
              <w:rPr>
                <w:vertAlign w:val="superscript"/>
              </w:rPr>
              <w:t xml:space="preserve">1 </w:t>
            </w:r>
          </w:p>
        </w:tc>
      </w:tr>
      <w:tr w:rsidR="009D3D67" w:rsidRPr="0057206B" w14:paraId="09F3C163" w14:textId="77777777" w:rsidTr="009D3D67">
        <w:tc>
          <w:tcPr>
            <w:tcW w:w="1253" w:type="pct"/>
            <w:vMerge/>
            <w:tcBorders>
              <w:left w:val="single" w:sz="4" w:space="0" w:color="auto"/>
              <w:right w:val="single" w:sz="4" w:space="0" w:color="auto"/>
            </w:tcBorders>
            <w:shd w:val="clear" w:color="auto" w:fill="auto"/>
          </w:tcPr>
          <w:p w14:paraId="7FC08CD4" w14:textId="77777777" w:rsidR="009D3D67" w:rsidRPr="0057206B" w:rsidRDefault="009D3D67" w:rsidP="003F3F18">
            <w:pPr>
              <w:pStyle w:val="TableText0"/>
            </w:pPr>
          </w:p>
        </w:tc>
        <w:tc>
          <w:tcPr>
            <w:tcW w:w="1731" w:type="pct"/>
            <w:tcBorders>
              <w:top w:val="single" w:sz="4" w:space="0" w:color="auto"/>
              <w:left w:val="single" w:sz="4" w:space="0" w:color="auto"/>
              <w:bottom w:val="single" w:sz="4" w:space="0" w:color="auto"/>
              <w:right w:val="single" w:sz="4" w:space="0" w:color="auto"/>
            </w:tcBorders>
          </w:tcPr>
          <w:p w14:paraId="18E79DEC" w14:textId="77777777" w:rsidR="009D3D67" w:rsidRPr="0057206B" w:rsidRDefault="009D3D67" w:rsidP="003F3F18">
            <w:pPr>
              <w:pStyle w:val="TableText0"/>
            </w:pPr>
            <w:r w:rsidRPr="0057206B">
              <w:t>US Medicare data review (Deyo 2013; 21% plateauing after 3 years)</w:t>
            </w:r>
          </w:p>
        </w:tc>
        <w:tc>
          <w:tcPr>
            <w:tcW w:w="706" w:type="pct"/>
            <w:tcBorders>
              <w:top w:val="single" w:sz="4" w:space="0" w:color="auto"/>
              <w:left w:val="single" w:sz="4" w:space="0" w:color="auto"/>
              <w:bottom w:val="single" w:sz="4" w:space="0" w:color="auto"/>
              <w:right w:val="single" w:sz="4" w:space="0" w:color="auto"/>
            </w:tcBorders>
          </w:tcPr>
          <w:p w14:paraId="08A238C9" w14:textId="3CF99B68" w:rsidR="009D3D67" w:rsidRPr="0057206B" w:rsidRDefault="009D3D67" w:rsidP="003F3F18">
            <w:pPr>
              <w:pStyle w:val="TableText0"/>
              <w:jc w:val="center"/>
            </w:pPr>
            <w:r w:rsidRPr="0057206B">
              <w:t>$</w:t>
            </w:r>
            <w:r w:rsidR="00514305">
              <w:rPr>
                <w:b/>
                <w:bCs/>
              </w:rPr>
              <w:t xml:space="preserve">Redacted </w:t>
            </w:r>
          </w:p>
        </w:tc>
        <w:tc>
          <w:tcPr>
            <w:tcW w:w="631" w:type="pct"/>
            <w:tcBorders>
              <w:top w:val="single" w:sz="4" w:space="0" w:color="auto"/>
              <w:left w:val="single" w:sz="4" w:space="0" w:color="auto"/>
              <w:bottom w:val="single" w:sz="4" w:space="0" w:color="auto"/>
              <w:right w:val="single" w:sz="4" w:space="0" w:color="auto"/>
            </w:tcBorders>
          </w:tcPr>
          <w:p w14:paraId="52692686" w14:textId="77777777" w:rsidR="009D3D67" w:rsidRPr="0057206B" w:rsidRDefault="009D3D67" w:rsidP="003F3F18">
            <w:pPr>
              <w:pStyle w:val="TableText0"/>
              <w:jc w:val="center"/>
            </w:pPr>
            <w:r w:rsidRPr="0057206B">
              <w:t>1.11</w:t>
            </w:r>
          </w:p>
        </w:tc>
        <w:tc>
          <w:tcPr>
            <w:tcW w:w="679" w:type="pct"/>
            <w:tcBorders>
              <w:top w:val="single" w:sz="4" w:space="0" w:color="auto"/>
              <w:left w:val="single" w:sz="4" w:space="0" w:color="auto"/>
              <w:bottom w:val="single" w:sz="4" w:space="0" w:color="auto"/>
              <w:right w:val="single" w:sz="4" w:space="0" w:color="auto"/>
            </w:tcBorders>
          </w:tcPr>
          <w:p w14:paraId="26F7C2AA" w14:textId="4ECBBF5E" w:rsidR="009D3D67" w:rsidRPr="0057206B" w:rsidRDefault="009D3D67" w:rsidP="003F3F18">
            <w:pPr>
              <w:pStyle w:val="TableText0"/>
              <w:jc w:val="center"/>
            </w:pPr>
            <w:r w:rsidRPr="0057206B">
              <w:t>$</w:t>
            </w:r>
            <w:r w:rsidR="00514305">
              <w:rPr>
                <w:b/>
                <w:bCs/>
              </w:rPr>
              <w:t>Redacted</w:t>
            </w:r>
            <w:r w:rsidR="00514305">
              <w:rPr>
                <w:vertAlign w:val="superscript"/>
              </w:rPr>
              <w:t>1</w:t>
            </w:r>
            <w:r w:rsidR="00514305">
              <w:t xml:space="preserve"> </w:t>
            </w:r>
          </w:p>
        </w:tc>
      </w:tr>
    </w:tbl>
    <w:p w14:paraId="674EAD55" w14:textId="4DB0FB80" w:rsidR="009D3D67" w:rsidRDefault="009D3D67" w:rsidP="009D3D67">
      <w:pPr>
        <w:pStyle w:val="Tablenotes1"/>
      </w:pPr>
      <w:r w:rsidRPr="0057206B">
        <w:t>Abbreviation: ICER, incremental cost</w:t>
      </w:r>
      <w:r>
        <w:t>-</w:t>
      </w:r>
      <w:r w:rsidRPr="0057206B">
        <w:t xml:space="preserve">effectiveness ratio; IDS, interspinous decompression spacer; QALY, quality adjusted life year.  </w:t>
      </w:r>
    </w:p>
    <w:p w14:paraId="5A315806" w14:textId="112F4D24" w:rsidR="009D3D67" w:rsidRDefault="009D3D67" w:rsidP="009D3D67">
      <w:pPr>
        <w:pStyle w:val="Tablenotes1"/>
      </w:pPr>
      <w:r>
        <w:t>Source: ADAR Supplementary analysis, Table 30.</w:t>
      </w:r>
    </w:p>
    <w:p w14:paraId="00941FFB" w14:textId="77777777" w:rsidR="005A4AD2" w:rsidRDefault="005A4AD2" w:rsidP="005A4AD2">
      <w:pPr>
        <w:pStyle w:val="Tablenotes1"/>
        <w:rPr>
          <w:rFonts w:eastAsia="Calibri"/>
          <w:i/>
          <w:iCs/>
        </w:rPr>
      </w:pPr>
      <w:r>
        <w:rPr>
          <w:rFonts w:eastAsia="Calibri"/>
          <w:i/>
          <w:iCs/>
        </w:rPr>
        <w:t>The redacted values correspond to the following ranges:</w:t>
      </w:r>
    </w:p>
    <w:p w14:paraId="5EAF27BB" w14:textId="5CE35592" w:rsidR="005A4AD2" w:rsidRDefault="005A4AD2" w:rsidP="009D3D67">
      <w:pPr>
        <w:pStyle w:val="Tablenotes1"/>
        <w:rPr>
          <w:rFonts w:eastAsia="Calibri"/>
          <w:i/>
          <w:iCs/>
        </w:rPr>
      </w:pPr>
      <w:r>
        <w:rPr>
          <w:rFonts w:eastAsia="Calibri"/>
          <w:i/>
          <w:iCs/>
          <w:vertAlign w:val="superscript"/>
        </w:rPr>
        <w:t>1</w:t>
      </w:r>
      <w:r>
        <w:rPr>
          <w:rFonts w:eastAsia="Calibri"/>
          <w:i/>
          <w:iCs/>
        </w:rPr>
        <w:t xml:space="preserve"> $15,000 to &lt;$25,000 per QALY gained</w:t>
      </w:r>
    </w:p>
    <w:p w14:paraId="1856A88B" w14:textId="17732BEE" w:rsidR="00514305" w:rsidRDefault="00514305" w:rsidP="009D3D67">
      <w:pPr>
        <w:pStyle w:val="Tablenotes1"/>
        <w:rPr>
          <w:rFonts w:eastAsia="Calibri"/>
          <w:i/>
          <w:iCs/>
        </w:rPr>
      </w:pPr>
      <w:r>
        <w:rPr>
          <w:rFonts w:eastAsia="Calibri"/>
          <w:i/>
          <w:iCs/>
          <w:vertAlign w:val="superscript"/>
        </w:rPr>
        <w:t>2</w:t>
      </w:r>
      <w:r>
        <w:rPr>
          <w:rFonts w:eastAsia="Calibri"/>
          <w:i/>
          <w:iCs/>
        </w:rPr>
        <w:t xml:space="preserve"> $5,000 to &lt;$15,000 per QALY gained</w:t>
      </w:r>
    </w:p>
    <w:p w14:paraId="386914C4" w14:textId="35265D5D" w:rsidR="00514305" w:rsidRPr="00514305" w:rsidRDefault="00514305" w:rsidP="009D3D67">
      <w:pPr>
        <w:pStyle w:val="Tablenotes1"/>
        <w:rPr>
          <w:rFonts w:eastAsia="Calibri"/>
          <w:i/>
          <w:iCs/>
        </w:rPr>
      </w:pPr>
      <w:r>
        <w:rPr>
          <w:rFonts w:eastAsia="Calibri"/>
          <w:i/>
          <w:iCs/>
          <w:vertAlign w:val="superscript"/>
        </w:rPr>
        <w:t>3</w:t>
      </w:r>
      <w:r>
        <w:rPr>
          <w:rFonts w:eastAsia="Calibri"/>
          <w:i/>
          <w:iCs/>
        </w:rPr>
        <w:t xml:space="preserve"> $25,000 to &lt;$35,000 per QALY gained</w:t>
      </w:r>
    </w:p>
    <w:p w14:paraId="4BA420B2" w14:textId="41C4DE4B" w:rsidR="006C7F1D" w:rsidRDefault="006C7F1D" w:rsidP="006C7F1D">
      <w:pPr>
        <w:spacing w:before="120" w:after="160" w:line="259" w:lineRule="auto"/>
        <w:rPr>
          <w:rFonts w:ascii="Franklin Gothic Book" w:eastAsia="Calibri" w:hAnsi="Franklin Gothic Book"/>
          <w:sz w:val="22"/>
          <w:szCs w:val="22"/>
          <w:lang w:eastAsia="en-US"/>
        </w:rPr>
      </w:pPr>
      <w:r w:rsidRPr="006C7F1D">
        <w:rPr>
          <w:rFonts w:ascii="Franklin Gothic Book" w:eastAsia="Calibri" w:hAnsi="Franklin Gothic Book"/>
          <w:sz w:val="22"/>
          <w:szCs w:val="22"/>
          <w:lang w:eastAsia="en-US"/>
        </w:rPr>
        <w:t xml:space="preserve">The commentary </w:t>
      </w:r>
      <w:r>
        <w:rPr>
          <w:rFonts w:ascii="Franklin Gothic Book" w:eastAsia="Calibri" w:hAnsi="Franklin Gothic Book"/>
          <w:sz w:val="22"/>
          <w:szCs w:val="22"/>
          <w:lang w:eastAsia="en-US"/>
        </w:rPr>
        <w:t>considered</w:t>
      </w:r>
      <w:r w:rsidRPr="006C7F1D">
        <w:rPr>
          <w:rFonts w:ascii="Franklin Gothic Book" w:eastAsia="Calibri" w:hAnsi="Franklin Gothic Book"/>
          <w:sz w:val="22"/>
          <w:szCs w:val="22"/>
          <w:lang w:eastAsia="en-US"/>
        </w:rPr>
        <w:t xml:space="preserve"> that comparison to continued conservative treatment is important, as there will be a subset of the LSS population for whom surgery is not a feasible option. The costs are taken from the main analysis and, owing to the need for follow-up post IDS, the marginal cost of extended conservative management is assigned a zero value. The ICER increases with alternative utility inputs from Skidmore (2011), demonstrating a sensitivity to the utility values used. The change in utility from baseline to 12 and 24 months post-operation in the study by Borg (2021) does not reach significance, likely due to the small sample size in this study.</w:t>
      </w:r>
    </w:p>
    <w:p w14:paraId="1259ADF5" w14:textId="7750A784" w:rsidR="00511A32" w:rsidRPr="006C7F1D" w:rsidRDefault="00511A32" w:rsidP="006C7F1D">
      <w:pPr>
        <w:spacing w:before="120" w:after="160" w:line="259" w:lineRule="auto"/>
        <w:rPr>
          <w:rFonts w:ascii="Franklin Gothic Book" w:eastAsia="Calibri" w:hAnsi="Franklin Gothic Book"/>
          <w:sz w:val="22"/>
          <w:szCs w:val="22"/>
          <w:lang w:eastAsia="en-US"/>
        </w:rPr>
      </w:pPr>
      <w:r>
        <w:rPr>
          <w:rFonts w:ascii="Franklin Gothic Book" w:eastAsia="Calibri" w:hAnsi="Franklin Gothic Book"/>
          <w:sz w:val="22"/>
          <w:szCs w:val="22"/>
          <w:lang w:eastAsia="en-US"/>
        </w:rPr>
        <w:t xml:space="preserve">In the pre-ESC response, the 10% price reduction improved the base case </w:t>
      </w:r>
      <w:r w:rsidRPr="00511A32">
        <w:rPr>
          <w:rFonts w:ascii="Franklin Gothic Book" w:eastAsia="Calibri" w:hAnsi="Franklin Gothic Book"/>
          <w:sz w:val="22"/>
          <w:szCs w:val="22"/>
          <w:lang w:eastAsia="en-US"/>
        </w:rPr>
        <w:t xml:space="preserve">ICER from </w:t>
      </w:r>
      <w:r w:rsidR="00F764B9">
        <w:rPr>
          <w:rFonts w:ascii="Franklin Gothic Book" w:eastAsia="Calibri" w:hAnsi="Franklin Gothic Book"/>
          <w:i/>
          <w:iCs/>
          <w:sz w:val="22"/>
          <w:szCs w:val="22"/>
        </w:rPr>
        <w:t>$1</w:t>
      </w:r>
      <w:r w:rsidR="00F764B9" w:rsidRPr="00F764B9">
        <w:rPr>
          <w:rFonts w:ascii="Franklin Gothic Book" w:eastAsia="Calibri" w:hAnsi="Franklin Gothic Book"/>
          <w:i/>
          <w:iCs/>
          <w:sz w:val="22"/>
          <w:szCs w:val="22"/>
        </w:rPr>
        <w:t>5,000 to &lt;$25,000</w:t>
      </w:r>
      <w:r w:rsidRPr="00511A32">
        <w:rPr>
          <w:rFonts w:ascii="Franklin Gothic Book" w:eastAsia="Calibri" w:hAnsi="Franklin Gothic Book"/>
          <w:sz w:val="22"/>
          <w:szCs w:val="22"/>
          <w:lang w:eastAsia="en-US"/>
        </w:rPr>
        <w:t xml:space="preserve"> per QALY gain to </w:t>
      </w:r>
      <w:r w:rsidR="00F764B9">
        <w:rPr>
          <w:rFonts w:ascii="Franklin Gothic Book" w:eastAsia="Calibri" w:hAnsi="Franklin Gothic Book"/>
          <w:i/>
          <w:iCs/>
          <w:sz w:val="22"/>
          <w:szCs w:val="22"/>
          <w:lang w:eastAsia="en-US"/>
        </w:rPr>
        <w:t>$5,000 to &lt;$15,000</w:t>
      </w:r>
      <w:r w:rsidRPr="00511A32">
        <w:rPr>
          <w:rFonts w:ascii="Franklin Gothic Book" w:eastAsia="Calibri" w:hAnsi="Franklin Gothic Book"/>
          <w:sz w:val="22"/>
          <w:szCs w:val="22"/>
          <w:lang w:eastAsia="en-US"/>
        </w:rPr>
        <w:t xml:space="preserve"> per QALY gain for revision</w:t>
      </w:r>
      <w:r>
        <w:rPr>
          <w:rFonts w:ascii="Franklin Gothic Book" w:eastAsia="Calibri" w:hAnsi="Franklin Gothic Book"/>
          <w:sz w:val="22"/>
          <w:szCs w:val="22"/>
          <w:lang w:eastAsia="en-US"/>
        </w:rPr>
        <w:t xml:space="preserve"> or </w:t>
      </w:r>
      <w:r w:rsidRPr="00511A32">
        <w:rPr>
          <w:rFonts w:ascii="Franklin Gothic Book" w:eastAsia="Calibri" w:hAnsi="Franklin Gothic Book"/>
          <w:sz w:val="22"/>
          <w:szCs w:val="22"/>
          <w:lang w:eastAsia="en-US"/>
        </w:rPr>
        <w:t>explantation as reoperation</w:t>
      </w:r>
      <w:r>
        <w:rPr>
          <w:rFonts w:ascii="Franklin Gothic Book" w:eastAsia="Calibri" w:hAnsi="Franklin Gothic Book"/>
          <w:sz w:val="22"/>
          <w:szCs w:val="22"/>
          <w:lang w:eastAsia="en-US"/>
        </w:rPr>
        <w:t xml:space="preserve"> scenarios</w:t>
      </w:r>
      <w:r w:rsidRPr="00511A32">
        <w:rPr>
          <w:rFonts w:ascii="Franklin Gothic Book" w:eastAsia="Calibri" w:hAnsi="Franklin Gothic Book"/>
          <w:sz w:val="22"/>
          <w:szCs w:val="22"/>
          <w:lang w:eastAsia="en-US"/>
        </w:rPr>
        <w:t>, respectively</w:t>
      </w:r>
    </w:p>
    <w:p w14:paraId="4A7C8699" w14:textId="23972AC4" w:rsidR="00986EC1" w:rsidRPr="00986EC1" w:rsidRDefault="00986EC1" w:rsidP="00986EC1">
      <w:pPr>
        <w:keepNext/>
        <w:keepLines/>
        <w:spacing w:before="360" w:after="240"/>
        <w:outlineLvl w:val="1"/>
        <w:rPr>
          <w:rFonts w:ascii="Franklin Gothic Medium" w:eastAsia="SimSun" w:hAnsi="Franklin Gothic Medium"/>
          <w:color w:val="000000"/>
          <w:sz w:val="32"/>
          <w:szCs w:val="26"/>
          <w:lang w:eastAsia="en-US"/>
        </w:rPr>
      </w:pPr>
      <w:bookmarkStart w:id="75" w:name="_Toc69491426"/>
      <w:r w:rsidRPr="00986EC1">
        <w:rPr>
          <w:rFonts w:ascii="Franklin Gothic Medium" w:eastAsia="SimSun" w:hAnsi="Franklin Gothic Medium"/>
          <w:color w:val="000000"/>
          <w:sz w:val="32"/>
          <w:szCs w:val="26"/>
          <w:lang w:eastAsia="en-US"/>
        </w:rPr>
        <w:t>1</w:t>
      </w:r>
      <w:r w:rsidR="0007499C">
        <w:rPr>
          <w:rFonts w:ascii="Franklin Gothic Medium" w:eastAsia="SimSun" w:hAnsi="Franklin Gothic Medium"/>
          <w:color w:val="000000"/>
          <w:sz w:val="32"/>
          <w:szCs w:val="26"/>
          <w:lang w:eastAsia="en-US"/>
        </w:rPr>
        <w:t>4</w:t>
      </w:r>
      <w:r w:rsidRPr="00986EC1">
        <w:rPr>
          <w:rFonts w:ascii="Franklin Gothic Medium" w:eastAsia="SimSun" w:hAnsi="Franklin Gothic Medium"/>
          <w:color w:val="000000"/>
          <w:sz w:val="32"/>
          <w:szCs w:val="26"/>
          <w:lang w:eastAsia="en-US"/>
        </w:rPr>
        <w:t>.</w:t>
      </w:r>
      <w:r w:rsidRPr="00986EC1">
        <w:rPr>
          <w:rFonts w:ascii="Franklin Gothic Medium" w:eastAsia="SimSun" w:hAnsi="Franklin Gothic Medium"/>
          <w:color w:val="000000"/>
          <w:sz w:val="32"/>
          <w:szCs w:val="26"/>
          <w:lang w:eastAsia="en-US"/>
        </w:rPr>
        <w:tab/>
        <w:t>Financial/budgetary impacts</w:t>
      </w:r>
      <w:bookmarkEnd w:id="75"/>
    </w:p>
    <w:p w14:paraId="26446B75" w14:textId="68A92CE7" w:rsidR="00986EC1" w:rsidRPr="00986EC1" w:rsidRDefault="00986EC1" w:rsidP="00986EC1">
      <w:pPr>
        <w:spacing w:before="120" w:after="160" w:line="259" w:lineRule="auto"/>
        <w:rPr>
          <w:rFonts w:ascii="Franklin Gothic Book" w:eastAsia="Calibri" w:hAnsi="Franklin Gothic Book"/>
          <w:sz w:val="22"/>
          <w:szCs w:val="22"/>
          <w:lang w:eastAsia="en-US"/>
        </w:rPr>
      </w:pPr>
      <w:bookmarkStart w:id="76" w:name="_Toc69491427"/>
      <w:r w:rsidRPr="00986EC1">
        <w:rPr>
          <w:rFonts w:ascii="Franklin Gothic Book" w:eastAsia="Calibri" w:hAnsi="Franklin Gothic Book"/>
          <w:sz w:val="22"/>
          <w:szCs w:val="22"/>
          <w:lang w:eastAsia="en-US"/>
        </w:rPr>
        <w:t xml:space="preserve">The ADAR used an epidemiological approach, based on MBS utilisation, to define the potential population with LSS confined to two levels who undergo decompression. </w:t>
      </w:r>
      <w:r w:rsidR="00B23D55">
        <w:rPr>
          <w:rFonts w:ascii="Franklin Gothic Book" w:eastAsia="Calibri" w:hAnsi="Franklin Gothic Book"/>
          <w:sz w:val="22"/>
          <w:szCs w:val="22"/>
          <w:lang w:eastAsia="en-US"/>
        </w:rPr>
        <w:t>The ADAR then used a</w:t>
      </w:r>
      <w:r w:rsidRPr="00986EC1">
        <w:rPr>
          <w:rFonts w:ascii="Franklin Gothic Book" w:eastAsia="Calibri" w:hAnsi="Franklin Gothic Book"/>
          <w:sz w:val="22"/>
          <w:szCs w:val="22"/>
          <w:lang w:eastAsia="en-US"/>
        </w:rPr>
        <w:t xml:space="preserve"> market-based approach to estimate uptake within this population. </w:t>
      </w:r>
      <w:r w:rsidR="00B23D55">
        <w:rPr>
          <w:rFonts w:ascii="Franklin Gothic Book" w:eastAsia="Calibri" w:hAnsi="Franklin Gothic Book"/>
          <w:sz w:val="22"/>
          <w:szCs w:val="22"/>
          <w:lang w:eastAsia="en-US"/>
        </w:rPr>
        <w:t>The commentary stated that i</w:t>
      </w:r>
      <w:r w:rsidRPr="00986EC1">
        <w:rPr>
          <w:rFonts w:ascii="Franklin Gothic Book" w:eastAsia="Calibri" w:hAnsi="Franklin Gothic Book"/>
          <w:sz w:val="22"/>
          <w:szCs w:val="22"/>
          <w:lang w:eastAsia="en-US"/>
        </w:rPr>
        <w:t>ssues affecting the certainty of the financial analysis reflect those discussed in the economic evaluation, because the economic evaluation was a cost analysis and therefore the same assumptions un</w:t>
      </w:r>
      <w:r w:rsidR="00B23D55">
        <w:rPr>
          <w:rFonts w:ascii="Franklin Gothic Book" w:eastAsia="Calibri" w:hAnsi="Franklin Gothic Book"/>
          <w:sz w:val="22"/>
          <w:szCs w:val="22"/>
          <w:lang w:eastAsia="en-US"/>
        </w:rPr>
        <w:t>der</w:t>
      </w:r>
      <w:r w:rsidRPr="00986EC1">
        <w:rPr>
          <w:rFonts w:ascii="Franklin Gothic Book" w:eastAsia="Calibri" w:hAnsi="Franklin Gothic Book"/>
          <w:sz w:val="22"/>
          <w:szCs w:val="22"/>
          <w:lang w:eastAsia="en-US"/>
        </w:rPr>
        <w:t>pin both sections. As the sensitivity analysis conducted demonstrated a cost-neutral threshold of 13% of patients undergoing fusion at the index operation, this value has been added to the financial analysis. No other sensitivity analysis has been conducted and none was presented in the ADAR.</w:t>
      </w:r>
    </w:p>
    <w:p w14:paraId="29DB331C" w14:textId="738324BE"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 xml:space="preserve">The financial implications to the MBS resulting from the proposed listing of IDS in the base case are summarised in </w:t>
      </w:r>
      <w:r w:rsidRPr="00986EC1">
        <w:rPr>
          <w:rFonts w:ascii="Franklin Gothic Book" w:eastAsia="Calibri" w:hAnsi="Franklin Gothic Book"/>
          <w:sz w:val="22"/>
          <w:szCs w:val="22"/>
          <w:lang w:eastAsia="en-US"/>
        </w:rPr>
        <w:fldChar w:fldCharType="begin"/>
      </w:r>
      <w:r w:rsidRPr="00986EC1">
        <w:rPr>
          <w:rFonts w:ascii="Franklin Gothic Book" w:eastAsia="Calibri" w:hAnsi="Franklin Gothic Book"/>
          <w:sz w:val="22"/>
          <w:szCs w:val="22"/>
          <w:lang w:eastAsia="en-US"/>
        </w:rPr>
        <w:instrText xml:space="preserve"> REF _Ref69726382 \h  \* MERGEFORMAT </w:instrText>
      </w:r>
      <w:r w:rsidRPr="00986EC1">
        <w:rPr>
          <w:rFonts w:ascii="Franklin Gothic Book" w:eastAsia="Calibri" w:hAnsi="Franklin Gothic Book"/>
          <w:sz w:val="22"/>
          <w:szCs w:val="22"/>
          <w:lang w:eastAsia="en-US"/>
        </w:rPr>
      </w:r>
      <w:r w:rsidRPr="00986EC1">
        <w:rPr>
          <w:rFonts w:ascii="Franklin Gothic Book" w:eastAsia="Calibri" w:hAnsi="Franklin Gothic Book"/>
          <w:sz w:val="22"/>
          <w:szCs w:val="22"/>
          <w:lang w:eastAsia="en-US"/>
        </w:rPr>
        <w:fldChar w:fldCharType="separate"/>
      </w:r>
      <w:r w:rsidR="00EE4CB3" w:rsidRPr="00EE4CB3">
        <w:rPr>
          <w:rFonts w:ascii="Franklin Gothic Book" w:eastAsia="Calibri" w:hAnsi="Franklin Gothic Book"/>
          <w:sz w:val="22"/>
          <w:szCs w:val="22"/>
          <w:lang w:eastAsia="en-US"/>
        </w:rPr>
        <w:t>Table 24</w:t>
      </w:r>
      <w:r w:rsidRPr="00986EC1">
        <w:rPr>
          <w:rFonts w:ascii="Franklin Gothic Book" w:eastAsia="Calibri" w:hAnsi="Franklin Gothic Book"/>
          <w:sz w:val="22"/>
          <w:szCs w:val="22"/>
          <w:lang w:eastAsia="en-US"/>
        </w:rPr>
        <w:fldChar w:fldCharType="end"/>
      </w:r>
      <w:r w:rsidRPr="00986EC1">
        <w:rPr>
          <w:rFonts w:ascii="Franklin Gothic Book" w:eastAsia="Calibri" w:hAnsi="Franklin Gothic Book"/>
          <w:sz w:val="22"/>
          <w:szCs w:val="22"/>
          <w:lang w:eastAsia="en-US"/>
        </w:rPr>
        <w:t xml:space="preserve">. The financial implications in a sensitivity analysis in which the index rate of fusion is lowered from 25% to 13% </w:t>
      </w:r>
      <w:r w:rsidR="00B23D55">
        <w:rPr>
          <w:rFonts w:ascii="Franklin Gothic Book" w:eastAsia="Calibri" w:hAnsi="Franklin Gothic Book"/>
          <w:sz w:val="22"/>
          <w:szCs w:val="22"/>
          <w:lang w:eastAsia="en-US"/>
        </w:rPr>
        <w:t>are</w:t>
      </w:r>
      <w:r w:rsidR="00B23D55" w:rsidRPr="00986EC1">
        <w:rPr>
          <w:rFonts w:ascii="Franklin Gothic Book" w:eastAsia="Calibri" w:hAnsi="Franklin Gothic Book"/>
          <w:sz w:val="22"/>
          <w:szCs w:val="22"/>
          <w:lang w:eastAsia="en-US"/>
        </w:rPr>
        <w:t xml:space="preserve"> </w:t>
      </w:r>
      <w:r w:rsidRPr="00986EC1">
        <w:rPr>
          <w:rFonts w:ascii="Franklin Gothic Book" w:eastAsia="Calibri" w:hAnsi="Franklin Gothic Book"/>
          <w:sz w:val="22"/>
          <w:szCs w:val="22"/>
          <w:lang w:eastAsia="en-US"/>
        </w:rPr>
        <w:t xml:space="preserve">presented in </w:t>
      </w:r>
      <w:r w:rsidRPr="00986EC1">
        <w:rPr>
          <w:rFonts w:ascii="Franklin Gothic Book" w:eastAsia="Calibri" w:hAnsi="Franklin Gothic Book"/>
          <w:sz w:val="22"/>
          <w:szCs w:val="22"/>
          <w:lang w:eastAsia="en-US"/>
        </w:rPr>
        <w:fldChar w:fldCharType="begin"/>
      </w:r>
      <w:r w:rsidRPr="00986EC1">
        <w:rPr>
          <w:rFonts w:ascii="Franklin Gothic Book" w:eastAsia="Calibri" w:hAnsi="Franklin Gothic Book"/>
          <w:sz w:val="22"/>
          <w:szCs w:val="22"/>
          <w:lang w:eastAsia="en-US"/>
        </w:rPr>
        <w:instrText xml:space="preserve"> REF _Ref80013479 \h </w:instrText>
      </w:r>
      <w:r w:rsidR="00FC6CFF">
        <w:rPr>
          <w:rFonts w:ascii="Franklin Gothic Book" w:eastAsia="Calibri" w:hAnsi="Franklin Gothic Book"/>
          <w:sz w:val="22"/>
          <w:szCs w:val="22"/>
          <w:lang w:eastAsia="en-US"/>
        </w:rPr>
        <w:instrText xml:space="preserve"> \* MERGEFORMAT </w:instrText>
      </w:r>
      <w:r w:rsidRPr="00986EC1">
        <w:rPr>
          <w:rFonts w:ascii="Franklin Gothic Book" w:eastAsia="Calibri" w:hAnsi="Franklin Gothic Book"/>
          <w:sz w:val="22"/>
          <w:szCs w:val="22"/>
          <w:lang w:eastAsia="en-US"/>
        </w:rPr>
      </w:r>
      <w:r w:rsidRPr="00986EC1">
        <w:rPr>
          <w:rFonts w:ascii="Franklin Gothic Book" w:eastAsia="Calibri" w:hAnsi="Franklin Gothic Book"/>
          <w:sz w:val="22"/>
          <w:szCs w:val="22"/>
          <w:lang w:eastAsia="en-US"/>
        </w:rPr>
        <w:fldChar w:fldCharType="separate"/>
      </w:r>
      <w:r w:rsidR="00EE4CB3" w:rsidRPr="00EE4CB3">
        <w:rPr>
          <w:rFonts w:ascii="Franklin Gothic Book" w:eastAsia="Calibri" w:hAnsi="Franklin Gothic Book"/>
          <w:sz w:val="22"/>
          <w:szCs w:val="22"/>
          <w:lang w:eastAsia="en-US"/>
        </w:rPr>
        <w:t>Table 25</w:t>
      </w:r>
      <w:r w:rsidRPr="00986EC1">
        <w:rPr>
          <w:rFonts w:ascii="Franklin Gothic Book" w:eastAsia="Calibri" w:hAnsi="Franklin Gothic Book"/>
          <w:sz w:val="22"/>
          <w:szCs w:val="22"/>
          <w:lang w:eastAsia="en-US"/>
        </w:rPr>
        <w:fldChar w:fldCharType="end"/>
      </w:r>
      <w:r w:rsidRPr="00986EC1">
        <w:rPr>
          <w:rFonts w:ascii="Franklin Gothic Book" w:eastAsia="Calibri" w:hAnsi="Franklin Gothic Book"/>
          <w:sz w:val="22"/>
          <w:szCs w:val="22"/>
          <w:lang w:eastAsia="en-US"/>
        </w:rPr>
        <w:t>. Both analyses suggest a saving to the MBS due to the substitution of surgical procedures, which have a higher cost</w:t>
      </w:r>
      <w:r w:rsidR="00B23D55">
        <w:rPr>
          <w:rFonts w:ascii="Franklin Gothic Book" w:eastAsia="Calibri" w:hAnsi="Franklin Gothic Book"/>
          <w:sz w:val="22"/>
          <w:szCs w:val="22"/>
          <w:lang w:eastAsia="en-US"/>
        </w:rPr>
        <w:t>, by IDS</w:t>
      </w:r>
      <w:r w:rsidRPr="00986EC1">
        <w:rPr>
          <w:rFonts w:ascii="Franklin Gothic Book" w:eastAsia="Calibri" w:hAnsi="Franklin Gothic Book"/>
          <w:sz w:val="22"/>
          <w:szCs w:val="22"/>
          <w:lang w:eastAsia="en-US"/>
        </w:rPr>
        <w:t>. IDS is assumed to be used once per patient per lifetime and no revisions, replacements or removals were included in the analysis.</w:t>
      </w:r>
    </w:p>
    <w:p w14:paraId="59447736" w14:textId="3BE1FDD8" w:rsidR="00986EC1" w:rsidRPr="00986EC1" w:rsidRDefault="00986EC1" w:rsidP="00986EC1">
      <w:pPr>
        <w:keepNext/>
        <w:spacing w:before="360" w:after="120"/>
        <w:ind w:left="794" w:hanging="794"/>
        <w:rPr>
          <w:rFonts w:ascii="Arial Narrow" w:hAnsi="Arial Narrow"/>
          <w:b/>
          <w:bCs/>
          <w:sz w:val="20"/>
          <w:lang w:eastAsia="en-US"/>
        </w:rPr>
      </w:pPr>
      <w:bookmarkStart w:id="77" w:name="_Ref69726382"/>
      <w:r w:rsidRPr="00986EC1">
        <w:rPr>
          <w:rFonts w:ascii="Arial Narrow" w:hAnsi="Arial Narrow"/>
          <w:b/>
          <w:bCs/>
          <w:sz w:val="20"/>
          <w:lang w:eastAsia="en-US"/>
        </w:rPr>
        <w:t>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24</w:t>
      </w:r>
      <w:r w:rsidRPr="00986EC1">
        <w:rPr>
          <w:rFonts w:ascii="Arial Narrow" w:hAnsi="Arial Narrow"/>
          <w:b/>
          <w:bCs/>
          <w:noProof/>
          <w:sz w:val="20"/>
          <w:lang w:eastAsia="en-US"/>
        </w:rPr>
        <w:fldChar w:fldCharType="end"/>
      </w:r>
      <w:bookmarkEnd w:id="77"/>
      <w:r w:rsidRPr="00986EC1">
        <w:rPr>
          <w:rFonts w:ascii="Arial Narrow" w:hAnsi="Arial Narrow"/>
          <w:b/>
          <w:bCs/>
          <w:sz w:val="20"/>
          <w:lang w:eastAsia="en-US"/>
        </w:rPr>
        <w:tab/>
        <w:t>Net financial implications of IDS to the MBS – base case 25% index fusion</w:t>
      </w:r>
    </w:p>
    <w:tbl>
      <w:tblPr>
        <w:tblStyle w:val="OPTUMTableNormal"/>
        <w:tblW w:w="0" w:type="auto"/>
        <w:tblLayout w:type="fixed"/>
        <w:tblCellMar>
          <w:left w:w="0" w:type="dxa"/>
          <w:right w:w="0" w:type="dxa"/>
        </w:tblCellMar>
        <w:tblLook w:val="04A0" w:firstRow="1" w:lastRow="0" w:firstColumn="1" w:lastColumn="0" w:noHBand="0" w:noVBand="1"/>
        <w:tblDescription w:val="Net financial implications of IDS to the MBS – base case 25% index fusion"/>
      </w:tblPr>
      <w:tblGrid>
        <w:gridCol w:w="2400"/>
        <w:gridCol w:w="1321"/>
        <w:gridCol w:w="1321"/>
        <w:gridCol w:w="1321"/>
        <w:gridCol w:w="1321"/>
        <w:gridCol w:w="1322"/>
      </w:tblGrid>
      <w:tr w:rsidR="00CB6CCB" w:rsidRPr="00986EC1" w14:paraId="0E02DF63" w14:textId="77777777" w:rsidTr="00CB6CCB">
        <w:trPr>
          <w:cnfStyle w:val="100000000000" w:firstRow="1" w:lastRow="0" w:firstColumn="0" w:lastColumn="0" w:oddVBand="0" w:evenVBand="0" w:oddHBand="0" w:evenHBand="0" w:firstRowFirstColumn="0" w:firstRowLastColumn="0" w:lastRowFirstColumn="0" w:lastRowLastColumn="0"/>
          <w:tblHeader/>
        </w:trPr>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9E3BBE" w14:textId="77777777" w:rsidR="00986EC1" w:rsidRPr="00986EC1" w:rsidRDefault="00986EC1" w:rsidP="00986EC1">
            <w:pPr>
              <w:keepNext/>
              <w:spacing w:after="40" w:line="256" w:lineRule="auto"/>
              <w:rPr>
                <w:rFonts w:ascii="Arial Narrow" w:eastAsia="Calibri" w:hAnsi="Arial Narrow"/>
                <w:b/>
                <w:bCs/>
                <w:sz w:val="20"/>
                <w:szCs w:val="22"/>
                <w:lang w:eastAsia="en-US"/>
              </w:rPr>
            </w:pPr>
            <w:bookmarkStart w:id="78" w:name="Title_Table12" w:colFirst="0" w:colLast="0"/>
            <w:bookmarkStart w:id="79" w:name="_Hlk68276802"/>
            <w:r w:rsidRPr="00986EC1">
              <w:rPr>
                <w:rFonts w:ascii="Arial Narrow" w:eastAsia="Calibri" w:hAnsi="Arial Narrow"/>
                <w:b/>
                <w:bCs/>
                <w:sz w:val="20"/>
                <w:szCs w:val="22"/>
                <w:lang w:eastAsia="en-US"/>
              </w:rPr>
              <w:t xml:space="preserve">Parameter </w:t>
            </w:r>
          </w:p>
        </w:tc>
        <w:tc>
          <w:tcPr>
            <w:tcW w:w="13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66BBCA"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Year 1</w:t>
            </w:r>
          </w:p>
        </w:tc>
        <w:tc>
          <w:tcPr>
            <w:tcW w:w="13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3F376F"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Year 2</w:t>
            </w:r>
          </w:p>
        </w:tc>
        <w:tc>
          <w:tcPr>
            <w:tcW w:w="13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E6B54"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Year 3</w:t>
            </w:r>
          </w:p>
        </w:tc>
        <w:tc>
          <w:tcPr>
            <w:tcW w:w="13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A82C5E"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Year 4</w:t>
            </w:r>
          </w:p>
        </w:tc>
        <w:tc>
          <w:tcPr>
            <w:tcW w:w="13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AC420"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Year 5</w:t>
            </w:r>
          </w:p>
        </w:tc>
      </w:tr>
      <w:bookmarkEnd w:id="78"/>
      <w:tr w:rsidR="00986EC1" w:rsidRPr="00986EC1" w14:paraId="0B27936A" w14:textId="77777777" w:rsidTr="00CB6CCB">
        <w:tc>
          <w:tcPr>
            <w:tcW w:w="900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4091D6"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Estimated use and cost of the proposed health technology</w:t>
            </w:r>
          </w:p>
        </w:tc>
      </w:tr>
      <w:tr w:rsidR="00CB6CCB" w:rsidRPr="00986EC1" w14:paraId="688C10EF" w14:textId="77777777" w:rsidTr="00CB6CCB">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F06BA"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Number of people eligible for IDS (decompression ± spinal fusion (1 or 2 levels))</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5AC1D068" w14:textId="27520B62" w:rsidR="00986EC1" w:rsidRPr="00986EC1" w:rsidRDefault="00031406" w:rsidP="00986EC1">
            <w:pPr>
              <w:keepNext/>
              <w:spacing w:after="40" w:line="256" w:lineRule="auto"/>
              <w:rPr>
                <w:rFonts w:ascii="Arial Narrow" w:eastAsia="Calibri" w:hAnsi="Arial Narrow"/>
                <w:sz w:val="20"/>
                <w:szCs w:val="22"/>
                <w:lang w:eastAsia="en-US"/>
              </w:rPr>
            </w:pPr>
            <w:r w:rsidRPr="00031406">
              <w:rPr>
                <w:rFonts w:ascii="Arial Narrow" w:eastAsia="Calibri" w:hAnsi="Arial Narrow"/>
                <w:b/>
                <w:bCs/>
                <w:sz w:val="20"/>
                <w:szCs w:val="22"/>
                <w:lang w:eastAsia="en-US"/>
              </w:rPr>
              <w:t>Redacted</w:t>
            </w:r>
            <w:r w:rsidRPr="00031406">
              <w:rPr>
                <w:rFonts w:ascii="Arial Narrow" w:eastAsia="Calibri" w:hAnsi="Arial Narrow"/>
                <w:sz w:val="20"/>
                <w:szCs w:val="22"/>
                <w:vertAlign w:val="superscript"/>
                <w:lang w:eastAsia="en-US"/>
              </w:rPr>
              <w:t>1</w:t>
            </w:r>
            <w:r>
              <w:rPr>
                <w:rFonts w:ascii="Arial Narrow" w:eastAsia="Calibri" w:hAnsi="Arial Narrow"/>
                <w:sz w:val="20"/>
                <w:szCs w:val="22"/>
                <w:vertAlign w:val="superscript"/>
                <w:lang w:eastAsia="en-US"/>
              </w:rPr>
              <w:t xml:space="preserve">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58650085" w14:textId="118B6D2B" w:rsidR="00986EC1" w:rsidRPr="00986EC1" w:rsidRDefault="00031406" w:rsidP="00986EC1">
            <w:pPr>
              <w:keepNext/>
              <w:spacing w:after="40" w:line="256" w:lineRule="auto"/>
              <w:rPr>
                <w:rFonts w:ascii="Arial Narrow" w:eastAsia="Calibri" w:hAnsi="Arial Narrow"/>
                <w:sz w:val="20"/>
                <w:szCs w:val="22"/>
                <w:lang w:eastAsia="en-US"/>
              </w:rPr>
            </w:pPr>
            <w:r w:rsidRPr="00031406">
              <w:rPr>
                <w:rFonts w:ascii="Arial Narrow" w:eastAsia="Calibri" w:hAnsi="Arial Narrow"/>
                <w:b/>
                <w:bCs/>
                <w:sz w:val="20"/>
                <w:szCs w:val="22"/>
                <w:lang w:eastAsia="en-US"/>
              </w:rPr>
              <w:t>Redacted</w:t>
            </w:r>
            <w:r w:rsidRPr="00031406">
              <w:rPr>
                <w:rFonts w:ascii="Arial Narrow" w:eastAsia="Calibri" w:hAnsi="Arial Narrow"/>
                <w:sz w:val="20"/>
                <w:szCs w:val="22"/>
                <w:vertAlign w:val="superscript"/>
                <w:lang w:eastAsia="en-US"/>
              </w:rPr>
              <w:t>1</w:t>
            </w:r>
            <w:r>
              <w:rPr>
                <w:rFonts w:ascii="Arial Narrow" w:eastAsia="Calibri" w:hAnsi="Arial Narrow"/>
                <w:sz w:val="20"/>
                <w:szCs w:val="22"/>
                <w:vertAlign w:val="superscript"/>
                <w:lang w:eastAsia="en-US"/>
              </w:rPr>
              <w:t xml:space="preserve">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35D1C6E2" w14:textId="2CE7D7CC" w:rsidR="00986EC1" w:rsidRPr="00986EC1" w:rsidRDefault="00031406" w:rsidP="00986EC1">
            <w:pPr>
              <w:keepNext/>
              <w:spacing w:after="40" w:line="256" w:lineRule="auto"/>
              <w:rPr>
                <w:rFonts w:ascii="Arial Narrow" w:eastAsia="Calibri" w:hAnsi="Arial Narrow"/>
                <w:sz w:val="20"/>
                <w:szCs w:val="22"/>
                <w:lang w:eastAsia="en-US"/>
              </w:rPr>
            </w:pPr>
            <w:r w:rsidRPr="00031406">
              <w:rPr>
                <w:rFonts w:ascii="Arial Narrow" w:eastAsia="Calibri" w:hAnsi="Arial Narrow"/>
                <w:b/>
                <w:bCs/>
                <w:sz w:val="20"/>
                <w:szCs w:val="22"/>
                <w:lang w:eastAsia="en-US"/>
              </w:rPr>
              <w:t>Redacted</w:t>
            </w:r>
            <w:r w:rsidRPr="00031406">
              <w:rPr>
                <w:rFonts w:ascii="Arial Narrow" w:eastAsia="Calibri" w:hAnsi="Arial Narrow"/>
                <w:sz w:val="20"/>
                <w:szCs w:val="22"/>
                <w:vertAlign w:val="superscript"/>
                <w:lang w:eastAsia="en-US"/>
              </w:rPr>
              <w:t>1</w:t>
            </w:r>
            <w:r>
              <w:rPr>
                <w:rFonts w:ascii="Arial Narrow" w:eastAsia="Calibri" w:hAnsi="Arial Narrow"/>
                <w:sz w:val="20"/>
                <w:szCs w:val="22"/>
                <w:vertAlign w:val="superscript"/>
                <w:lang w:eastAsia="en-US"/>
              </w:rPr>
              <w:t xml:space="preserve">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4BC79A67" w14:textId="554E8A65" w:rsidR="00986EC1" w:rsidRPr="00986EC1" w:rsidRDefault="00031406" w:rsidP="00986EC1">
            <w:pPr>
              <w:keepNext/>
              <w:spacing w:after="40" w:line="256" w:lineRule="auto"/>
              <w:rPr>
                <w:rFonts w:ascii="Arial Narrow" w:eastAsia="Calibri" w:hAnsi="Arial Narrow"/>
                <w:sz w:val="20"/>
                <w:szCs w:val="22"/>
                <w:lang w:eastAsia="en-US"/>
              </w:rPr>
            </w:pPr>
            <w:r w:rsidRPr="00031406">
              <w:rPr>
                <w:rFonts w:ascii="Arial Narrow" w:eastAsia="Calibri" w:hAnsi="Arial Narrow"/>
                <w:b/>
                <w:bCs/>
                <w:sz w:val="20"/>
                <w:szCs w:val="22"/>
                <w:lang w:eastAsia="en-US"/>
              </w:rPr>
              <w:t>Redacted</w:t>
            </w:r>
            <w:r w:rsidRPr="00031406">
              <w:rPr>
                <w:rFonts w:ascii="Arial Narrow" w:eastAsia="Calibri" w:hAnsi="Arial Narrow"/>
                <w:sz w:val="20"/>
                <w:szCs w:val="22"/>
                <w:vertAlign w:val="superscript"/>
                <w:lang w:eastAsia="en-US"/>
              </w:rPr>
              <w:t>1</w:t>
            </w:r>
            <w:r>
              <w:rPr>
                <w:rFonts w:ascii="Arial Narrow" w:eastAsia="Calibri" w:hAnsi="Arial Narrow"/>
                <w:sz w:val="20"/>
                <w:szCs w:val="22"/>
                <w:vertAlign w:val="superscript"/>
                <w:lang w:eastAsia="en-US"/>
              </w:rPr>
              <w:t xml:space="preserve"> </w:t>
            </w:r>
          </w:p>
        </w:tc>
        <w:tc>
          <w:tcPr>
            <w:tcW w:w="1322" w:type="dxa"/>
            <w:tcBorders>
              <w:top w:val="nil"/>
              <w:left w:val="nil"/>
              <w:bottom w:val="single" w:sz="8" w:space="0" w:color="auto"/>
              <w:right w:val="single" w:sz="8" w:space="0" w:color="auto"/>
            </w:tcBorders>
            <w:tcMar>
              <w:top w:w="0" w:type="dxa"/>
              <w:left w:w="108" w:type="dxa"/>
              <w:bottom w:w="0" w:type="dxa"/>
              <w:right w:w="108" w:type="dxa"/>
            </w:tcMar>
          </w:tcPr>
          <w:p w14:paraId="437B3424" w14:textId="41202400" w:rsidR="00986EC1" w:rsidRPr="00986EC1" w:rsidRDefault="00031406" w:rsidP="00986EC1">
            <w:pPr>
              <w:keepNext/>
              <w:spacing w:after="40" w:line="256" w:lineRule="auto"/>
              <w:rPr>
                <w:rFonts w:ascii="Arial Narrow" w:eastAsia="Calibri" w:hAnsi="Arial Narrow"/>
                <w:sz w:val="20"/>
                <w:szCs w:val="22"/>
                <w:lang w:eastAsia="en-US"/>
              </w:rPr>
            </w:pPr>
            <w:r w:rsidRPr="00031406">
              <w:rPr>
                <w:rFonts w:ascii="Arial Narrow" w:eastAsia="Calibri" w:hAnsi="Arial Narrow"/>
                <w:b/>
                <w:bCs/>
                <w:sz w:val="20"/>
                <w:szCs w:val="22"/>
                <w:lang w:eastAsia="en-US"/>
              </w:rPr>
              <w:t>Redacted</w:t>
            </w:r>
            <w:r w:rsidRPr="00031406">
              <w:rPr>
                <w:rFonts w:ascii="Arial Narrow" w:eastAsia="Calibri" w:hAnsi="Arial Narrow"/>
                <w:sz w:val="20"/>
                <w:szCs w:val="22"/>
                <w:vertAlign w:val="superscript"/>
                <w:lang w:eastAsia="en-US"/>
              </w:rPr>
              <w:t>1</w:t>
            </w:r>
            <w:r>
              <w:rPr>
                <w:rFonts w:ascii="Arial Narrow" w:eastAsia="Calibri" w:hAnsi="Arial Narrow"/>
                <w:sz w:val="20"/>
                <w:szCs w:val="22"/>
                <w:vertAlign w:val="superscript"/>
                <w:lang w:eastAsia="en-US"/>
              </w:rPr>
              <w:t xml:space="preserve"> </w:t>
            </w:r>
          </w:p>
        </w:tc>
      </w:tr>
      <w:tr w:rsidR="00CB6CCB" w:rsidRPr="00986EC1" w14:paraId="66037DA3" w14:textId="77777777" w:rsidTr="00CB6CCB">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28214"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Number of people who receive IDS</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23F530A1" w14:textId="0911EFA4" w:rsidR="00986EC1" w:rsidRPr="00986EC1" w:rsidRDefault="00282ADD" w:rsidP="00986EC1">
            <w:pPr>
              <w:keepNext/>
              <w:spacing w:after="40" w:line="256" w:lineRule="auto"/>
              <w:rPr>
                <w:rFonts w:ascii="Arial Narrow" w:eastAsia="Calibri" w:hAnsi="Arial Narrow"/>
                <w:sz w:val="20"/>
                <w:szCs w:val="22"/>
                <w:lang w:eastAsia="en-US"/>
              </w:rPr>
            </w:pPr>
            <w:r>
              <w:rPr>
                <w:rFonts w:ascii="Arial Narrow" w:eastAsia="Calibri" w:hAnsi="Arial Narrow"/>
                <w:b/>
                <w:bCs/>
                <w:sz w:val="20"/>
                <w:szCs w:val="22"/>
                <w:lang w:eastAsia="en-US"/>
              </w:rPr>
              <w:t>Redacted</w:t>
            </w:r>
            <w:r>
              <w:rPr>
                <w:rFonts w:ascii="Arial Narrow" w:eastAsia="Calibri" w:hAnsi="Arial Narrow"/>
                <w:sz w:val="20"/>
                <w:szCs w:val="22"/>
                <w:vertAlign w:val="superscript"/>
                <w:lang w:eastAsia="en-US"/>
              </w:rPr>
              <w:t>2</w:t>
            </w:r>
            <w:r w:rsidR="00986EC1" w:rsidRPr="00986EC1">
              <w:rPr>
                <w:rFonts w:ascii="Arial Narrow" w:eastAsia="Calibri" w:hAnsi="Arial Narrow"/>
                <w:sz w:val="20"/>
                <w:szCs w:val="22"/>
                <w:lang w:eastAsia="en-US"/>
              </w:rPr>
              <w:t xml:space="preserve">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10575187" w14:textId="10231FAD" w:rsidR="00986EC1" w:rsidRPr="00986EC1" w:rsidRDefault="00282ADD" w:rsidP="00986EC1">
            <w:pPr>
              <w:keepNext/>
              <w:spacing w:after="40" w:line="256" w:lineRule="auto"/>
              <w:rPr>
                <w:rFonts w:ascii="Arial Narrow" w:eastAsia="Calibri" w:hAnsi="Arial Narrow"/>
                <w:sz w:val="20"/>
                <w:szCs w:val="22"/>
                <w:lang w:eastAsia="en-US"/>
              </w:rPr>
            </w:pPr>
            <w:r>
              <w:rPr>
                <w:rFonts w:ascii="Arial Narrow" w:eastAsia="Calibri" w:hAnsi="Arial Narrow"/>
                <w:b/>
                <w:bCs/>
                <w:sz w:val="20"/>
                <w:szCs w:val="22"/>
                <w:lang w:eastAsia="en-US"/>
              </w:rPr>
              <w:t>Redacted</w:t>
            </w:r>
            <w:r>
              <w:rPr>
                <w:rFonts w:ascii="Arial Narrow" w:eastAsia="Calibri" w:hAnsi="Arial Narrow"/>
                <w:sz w:val="20"/>
                <w:szCs w:val="22"/>
                <w:vertAlign w:val="superscript"/>
                <w:lang w:eastAsia="en-US"/>
              </w:rPr>
              <w:t>2</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00DF7500" w14:textId="2E82F30F" w:rsidR="00986EC1" w:rsidRPr="00986EC1" w:rsidRDefault="00282ADD" w:rsidP="00986EC1">
            <w:pPr>
              <w:keepNext/>
              <w:spacing w:after="40" w:line="256" w:lineRule="auto"/>
              <w:rPr>
                <w:rFonts w:ascii="Arial Narrow" w:eastAsia="Calibri" w:hAnsi="Arial Narrow"/>
                <w:sz w:val="20"/>
                <w:szCs w:val="22"/>
                <w:lang w:eastAsia="en-US"/>
              </w:rPr>
            </w:pPr>
            <w:r>
              <w:rPr>
                <w:rFonts w:ascii="Arial Narrow" w:eastAsia="Calibri" w:hAnsi="Arial Narrow"/>
                <w:b/>
                <w:bCs/>
                <w:sz w:val="20"/>
                <w:szCs w:val="22"/>
                <w:lang w:eastAsia="en-US"/>
              </w:rPr>
              <w:t>Redacted</w:t>
            </w:r>
            <w:r>
              <w:rPr>
                <w:rFonts w:ascii="Arial Narrow" w:eastAsia="Calibri" w:hAnsi="Arial Narrow"/>
                <w:sz w:val="20"/>
                <w:szCs w:val="22"/>
                <w:vertAlign w:val="superscript"/>
                <w:lang w:eastAsia="en-US"/>
              </w:rPr>
              <w:t>2</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17982305" w14:textId="70B35DAA" w:rsidR="00986EC1" w:rsidRPr="00986EC1" w:rsidRDefault="00282ADD" w:rsidP="00986EC1">
            <w:pPr>
              <w:keepNext/>
              <w:spacing w:after="40" w:line="256" w:lineRule="auto"/>
              <w:rPr>
                <w:rFonts w:ascii="Arial Narrow" w:eastAsia="Calibri" w:hAnsi="Arial Narrow"/>
                <w:sz w:val="20"/>
                <w:szCs w:val="22"/>
                <w:lang w:eastAsia="en-US"/>
              </w:rPr>
            </w:pPr>
            <w:r>
              <w:rPr>
                <w:rFonts w:ascii="Arial Narrow" w:eastAsia="Calibri" w:hAnsi="Arial Narrow"/>
                <w:b/>
                <w:bCs/>
                <w:sz w:val="20"/>
                <w:szCs w:val="22"/>
                <w:lang w:eastAsia="en-US"/>
              </w:rPr>
              <w:t>Redacted</w:t>
            </w:r>
            <w:r>
              <w:rPr>
                <w:rFonts w:ascii="Arial Narrow" w:eastAsia="Calibri" w:hAnsi="Arial Narrow"/>
                <w:sz w:val="20"/>
                <w:szCs w:val="22"/>
                <w:vertAlign w:val="superscript"/>
                <w:lang w:eastAsia="en-US"/>
              </w:rPr>
              <w:t>2</w:t>
            </w:r>
          </w:p>
        </w:tc>
        <w:tc>
          <w:tcPr>
            <w:tcW w:w="1322" w:type="dxa"/>
            <w:tcBorders>
              <w:top w:val="nil"/>
              <w:left w:val="nil"/>
              <w:bottom w:val="single" w:sz="8" w:space="0" w:color="auto"/>
              <w:right w:val="single" w:sz="8" w:space="0" w:color="auto"/>
            </w:tcBorders>
            <w:tcMar>
              <w:top w:w="0" w:type="dxa"/>
              <w:left w:w="108" w:type="dxa"/>
              <w:bottom w:w="0" w:type="dxa"/>
              <w:right w:w="108" w:type="dxa"/>
            </w:tcMar>
          </w:tcPr>
          <w:p w14:paraId="42843C20" w14:textId="2C1D2D15" w:rsidR="00986EC1" w:rsidRPr="00986EC1" w:rsidRDefault="00282ADD" w:rsidP="00986EC1">
            <w:pPr>
              <w:keepNext/>
              <w:spacing w:after="40" w:line="256" w:lineRule="auto"/>
              <w:rPr>
                <w:rFonts w:ascii="Arial Narrow" w:eastAsia="Calibri" w:hAnsi="Arial Narrow"/>
                <w:sz w:val="20"/>
                <w:szCs w:val="22"/>
                <w:lang w:eastAsia="en-US"/>
              </w:rPr>
            </w:pPr>
            <w:r>
              <w:rPr>
                <w:rFonts w:ascii="Arial Narrow" w:eastAsia="Calibri" w:hAnsi="Arial Narrow"/>
                <w:b/>
                <w:bCs/>
                <w:sz w:val="20"/>
                <w:szCs w:val="22"/>
                <w:lang w:eastAsia="en-US"/>
              </w:rPr>
              <w:t>Redacted</w:t>
            </w:r>
            <w:r>
              <w:rPr>
                <w:rFonts w:ascii="Arial Narrow" w:eastAsia="Calibri" w:hAnsi="Arial Narrow"/>
                <w:sz w:val="20"/>
                <w:szCs w:val="22"/>
                <w:vertAlign w:val="superscript"/>
                <w:lang w:eastAsia="en-US"/>
              </w:rPr>
              <w:t>2</w:t>
            </w:r>
          </w:p>
        </w:tc>
      </w:tr>
      <w:tr w:rsidR="00CB6CCB" w:rsidRPr="00986EC1" w14:paraId="3AA51918" w14:textId="77777777" w:rsidTr="00CB6CCB">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7CEDA"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Cost to the MBS (75% benefit)</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73C7459A" w14:textId="76574EE0"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282ADD">
              <w:rPr>
                <w:rFonts w:ascii="Arial Narrow" w:eastAsia="Calibri" w:hAnsi="Arial Narrow"/>
                <w:b/>
                <w:bCs/>
                <w:sz w:val="20"/>
                <w:szCs w:val="22"/>
                <w:lang w:eastAsia="en-US"/>
              </w:rPr>
              <w:t>Redacted</w:t>
            </w:r>
            <w:r w:rsidR="00282ADD">
              <w:rPr>
                <w:rFonts w:ascii="Arial Narrow" w:eastAsia="Calibri" w:hAnsi="Arial Narrow"/>
                <w:sz w:val="20"/>
                <w:szCs w:val="22"/>
                <w:vertAlign w:val="superscript"/>
                <w:lang w:eastAsia="en-US"/>
              </w:rPr>
              <w:t>3</w:t>
            </w:r>
            <w:r w:rsidR="00282ADD">
              <w:rPr>
                <w:rFonts w:ascii="Arial Narrow" w:eastAsia="Calibri" w:hAnsi="Arial Narrow"/>
                <w:b/>
                <w:bCs/>
                <w:sz w:val="20"/>
                <w:szCs w:val="22"/>
                <w:lang w:eastAsia="en-US"/>
              </w:rPr>
              <w:t xml:space="preserve">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3EC61EEE" w14:textId="0E79D5D3"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282ADD">
              <w:rPr>
                <w:rFonts w:ascii="Arial Narrow" w:eastAsia="Calibri" w:hAnsi="Arial Narrow"/>
                <w:b/>
                <w:bCs/>
                <w:sz w:val="20"/>
                <w:szCs w:val="22"/>
                <w:lang w:eastAsia="en-US"/>
              </w:rPr>
              <w:t>Redacted</w:t>
            </w:r>
            <w:r w:rsidR="00282ADD">
              <w:rPr>
                <w:rFonts w:ascii="Arial Narrow" w:eastAsia="Calibri" w:hAnsi="Arial Narrow"/>
                <w:sz w:val="20"/>
                <w:szCs w:val="22"/>
                <w:vertAlign w:val="superscript"/>
                <w:lang w:eastAsia="en-US"/>
              </w:rPr>
              <w:t>5</w:t>
            </w:r>
            <w:r w:rsidR="00200662">
              <w:rPr>
                <w:rFonts w:ascii="Arial Narrow" w:eastAsia="Calibri" w:hAnsi="Arial Narrow"/>
                <w:sz w:val="20"/>
                <w:szCs w:val="22"/>
                <w:vertAlign w:val="superscript"/>
                <w:lang w:eastAsia="en-US"/>
              </w:rPr>
              <w:t xml:space="preserve">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519D5F36" w14:textId="730CA93C"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282ADD">
              <w:rPr>
                <w:rFonts w:ascii="Arial Narrow" w:eastAsia="Calibri" w:hAnsi="Arial Narrow"/>
                <w:b/>
                <w:bCs/>
                <w:sz w:val="20"/>
                <w:szCs w:val="22"/>
                <w:lang w:eastAsia="en-US"/>
              </w:rPr>
              <w:t>Redacted</w:t>
            </w:r>
            <w:r w:rsidR="00282ADD">
              <w:rPr>
                <w:rFonts w:ascii="Arial Narrow" w:eastAsia="Calibri" w:hAnsi="Arial Narrow"/>
                <w:sz w:val="20"/>
                <w:szCs w:val="22"/>
                <w:vertAlign w:val="superscript"/>
                <w:lang w:eastAsia="en-US"/>
              </w:rPr>
              <w:t xml:space="preserve">5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1D5A70CA" w14:textId="47C55BBB"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91272F">
              <w:rPr>
                <w:rFonts w:ascii="Arial Narrow" w:eastAsia="Calibri" w:hAnsi="Arial Narrow"/>
                <w:b/>
                <w:bCs/>
                <w:sz w:val="20"/>
                <w:szCs w:val="22"/>
                <w:lang w:eastAsia="en-US"/>
              </w:rPr>
              <w:t>Redacted</w:t>
            </w:r>
            <w:r w:rsidR="0091272F">
              <w:rPr>
                <w:rFonts w:ascii="Arial Narrow" w:eastAsia="Calibri" w:hAnsi="Arial Narrow"/>
                <w:sz w:val="20"/>
                <w:szCs w:val="22"/>
                <w:vertAlign w:val="superscript"/>
                <w:lang w:eastAsia="en-US"/>
              </w:rPr>
              <w:t xml:space="preserve">6 </w:t>
            </w:r>
          </w:p>
        </w:tc>
        <w:tc>
          <w:tcPr>
            <w:tcW w:w="1322" w:type="dxa"/>
            <w:tcBorders>
              <w:top w:val="nil"/>
              <w:left w:val="nil"/>
              <w:bottom w:val="single" w:sz="8" w:space="0" w:color="auto"/>
              <w:right w:val="single" w:sz="8" w:space="0" w:color="auto"/>
            </w:tcBorders>
            <w:tcMar>
              <w:top w:w="0" w:type="dxa"/>
              <w:left w:w="108" w:type="dxa"/>
              <w:bottom w:w="0" w:type="dxa"/>
              <w:right w:w="108" w:type="dxa"/>
            </w:tcMar>
          </w:tcPr>
          <w:p w14:paraId="31A5A484" w14:textId="795CF55D"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91272F">
              <w:rPr>
                <w:rFonts w:ascii="Arial Narrow" w:eastAsia="Calibri" w:hAnsi="Arial Narrow"/>
                <w:b/>
                <w:bCs/>
                <w:sz w:val="20"/>
                <w:szCs w:val="22"/>
                <w:lang w:eastAsia="en-US"/>
              </w:rPr>
              <w:t>Redacted</w:t>
            </w:r>
            <w:r w:rsidR="0091272F">
              <w:rPr>
                <w:rFonts w:ascii="Arial Narrow" w:eastAsia="Calibri" w:hAnsi="Arial Narrow"/>
                <w:sz w:val="20"/>
                <w:szCs w:val="22"/>
                <w:vertAlign w:val="superscript"/>
                <w:lang w:eastAsia="en-US"/>
              </w:rPr>
              <w:t xml:space="preserve">6 </w:t>
            </w:r>
          </w:p>
        </w:tc>
      </w:tr>
      <w:tr w:rsidR="00CB6CCB" w:rsidRPr="00986EC1" w14:paraId="32B6409B" w14:textId="77777777" w:rsidTr="00CB6CCB">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C08FF3"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Cost to the MBS of change in use of associated services (anaesthesia)</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785F3C22" w14:textId="7E3DE838"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282ADD">
              <w:rPr>
                <w:rFonts w:ascii="Arial Narrow" w:eastAsia="Calibri" w:hAnsi="Arial Narrow"/>
                <w:b/>
                <w:bCs/>
                <w:sz w:val="20"/>
                <w:szCs w:val="22"/>
                <w:lang w:eastAsia="en-US"/>
              </w:rPr>
              <w:t>Redacted</w:t>
            </w:r>
            <w:r w:rsidR="00D90A0E">
              <w:rPr>
                <w:rFonts w:ascii="Arial Narrow" w:eastAsia="Calibri" w:hAnsi="Arial Narrow"/>
                <w:sz w:val="20"/>
                <w:szCs w:val="22"/>
                <w:vertAlign w:val="superscript"/>
                <w:lang w:eastAsia="en-US"/>
              </w:rPr>
              <w:t>3</w:t>
            </w:r>
            <w:r w:rsidR="00282ADD">
              <w:rPr>
                <w:rFonts w:ascii="Arial Narrow" w:eastAsia="Calibri" w:hAnsi="Arial Narrow"/>
                <w:sz w:val="20"/>
                <w:szCs w:val="22"/>
                <w:vertAlign w:val="superscript"/>
                <w:lang w:eastAsia="en-US"/>
              </w:rPr>
              <w:t xml:space="preserve">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7892E2E7" w14:textId="06FBE721"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282ADD">
              <w:rPr>
                <w:rFonts w:ascii="Arial Narrow" w:eastAsia="Calibri" w:hAnsi="Arial Narrow"/>
                <w:b/>
                <w:bCs/>
                <w:sz w:val="20"/>
                <w:szCs w:val="22"/>
                <w:lang w:eastAsia="en-US"/>
              </w:rPr>
              <w:t>Redacted</w:t>
            </w:r>
            <w:r w:rsidR="00D90A0E">
              <w:rPr>
                <w:rFonts w:ascii="Arial Narrow" w:eastAsia="Calibri" w:hAnsi="Arial Narrow"/>
                <w:sz w:val="20"/>
                <w:szCs w:val="22"/>
                <w:vertAlign w:val="superscript"/>
                <w:lang w:eastAsia="en-US"/>
              </w:rPr>
              <w:t>3</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3617B02E" w14:textId="08DEA479"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282ADD">
              <w:rPr>
                <w:rFonts w:ascii="Arial Narrow" w:eastAsia="Calibri" w:hAnsi="Arial Narrow"/>
                <w:b/>
                <w:bCs/>
                <w:sz w:val="20"/>
                <w:szCs w:val="22"/>
                <w:lang w:eastAsia="en-US"/>
              </w:rPr>
              <w:t>Redacted</w:t>
            </w:r>
            <w:r w:rsidR="00282ADD">
              <w:rPr>
                <w:rFonts w:ascii="Arial Narrow" w:eastAsia="Calibri" w:hAnsi="Arial Narrow"/>
                <w:sz w:val="20"/>
                <w:szCs w:val="22"/>
                <w:vertAlign w:val="superscript"/>
                <w:lang w:eastAsia="en-US"/>
              </w:rPr>
              <w:t xml:space="preserve">3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45CE9CB8" w14:textId="6058745F"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282ADD">
              <w:rPr>
                <w:rFonts w:ascii="Arial Narrow" w:eastAsia="Calibri" w:hAnsi="Arial Narrow"/>
                <w:b/>
                <w:bCs/>
                <w:sz w:val="20"/>
                <w:szCs w:val="22"/>
                <w:lang w:eastAsia="en-US"/>
              </w:rPr>
              <w:t>Redacted</w:t>
            </w:r>
            <w:r w:rsidR="00282ADD">
              <w:rPr>
                <w:rFonts w:ascii="Arial Narrow" w:eastAsia="Calibri" w:hAnsi="Arial Narrow"/>
                <w:sz w:val="20"/>
                <w:szCs w:val="22"/>
                <w:vertAlign w:val="superscript"/>
                <w:lang w:eastAsia="en-US"/>
              </w:rPr>
              <w:t>3</w:t>
            </w:r>
            <w:r w:rsidR="00282ADD">
              <w:rPr>
                <w:rFonts w:ascii="Arial Narrow" w:eastAsia="Calibri" w:hAnsi="Arial Narrow"/>
                <w:b/>
                <w:bCs/>
                <w:sz w:val="20"/>
                <w:szCs w:val="22"/>
                <w:lang w:eastAsia="en-US"/>
              </w:rPr>
              <w:t xml:space="preserve"> </w:t>
            </w:r>
          </w:p>
        </w:tc>
        <w:tc>
          <w:tcPr>
            <w:tcW w:w="1322" w:type="dxa"/>
            <w:tcBorders>
              <w:top w:val="nil"/>
              <w:left w:val="nil"/>
              <w:bottom w:val="single" w:sz="8" w:space="0" w:color="auto"/>
              <w:right w:val="single" w:sz="8" w:space="0" w:color="auto"/>
            </w:tcBorders>
            <w:tcMar>
              <w:top w:w="0" w:type="dxa"/>
              <w:left w:w="108" w:type="dxa"/>
              <w:bottom w:w="0" w:type="dxa"/>
              <w:right w:w="108" w:type="dxa"/>
            </w:tcMar>
          </w:tcPr>
          <w:p w14:paraId="225F07AD" w14:textId="3C75461D"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282ADD">
              <w:rPr>
                <w:rFonts w:ascii="Arial Narrow" w:eastAsia="Calibri" w:hAnsi="Arial Narrow"/>
                <w:b/>
                <w:bCs/>
                <w:sz w:val="20"/>
                <w:szCs w:val="22"/>
                <w:lang w:eastAsia="en-US"/>
              </w:rPr>
              <w:t>Redacted</w:t>
            </w:r>
            <w:r w:rsidR="00D90A0E">
              <w:rPr>
                <w:rFonts w:ascii="Arial Narrow" w:eastAsia="Calibri" w:hAnsi="Arial Narrow"/>
                <w:sz w:val="20"/>
                <w:szCs w:val="22"/>
                <w:vertAlign w:val="superscript"/>
                <w:lang w:eastAsia="en-US"/>
              </w:rPr>
              <w:t>4</w:t>
            </w:r>
            <w:r w:rsidR="00282ADD">
              <w:rPr>
                <w:rFonts w:ascii="Arial Narrow" w:eastAsia="Calibri" w:hAnsi="Arial Narrow"/>
                <w:sz w:val="20"/>
                <w:szCs w:val="22"/>
                <w:lang w:eastAsia="en-US"/>
              </w:rPr>
              <w:t xml:space="preserve"> </w:t>
            </w:r>
          </w:p>
        </w:tc>
      </w:tr>
      <w:tr w:rsidR="00986EC1" w:rsidRPr="00986EC1" w14:paraId="6CE350FD" w14:textId="77777777" w:rsidTr="00CB6CCB">
        <w:tc>
          <w:tcPr>
            <w:tcW w:w="900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93C19"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Change in use and cost of other health technologies</w:t>
            </w:r>
          </w:p>
        </w:tc>
      </w:tr>
      <w:tr w:rsidR="00CB6CCB" w:rsidRPr="00986EC1" w14:paraId="26B9051D" w14:textId="77777777" w:rsidTr="00CB6CCB">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A6E5CE"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Change in use of decompression due to substitution and reoperation</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08CAFF42" w14:textId="4648C05F" w:rsidR="00986EC1" w:rsidRPr="00986EC1" w:rsidRDefault="00282ADD" w:rsidP="00986EC1">
            <w:pPr>
              <w:keepNext/>
              <w:spacing w:after="40" w:line="256" w:lineRule="auto"/>
              <w:rPr>
                <w:rFonts w:ascii="Arial Narrow" w:eastAsia="Calibri" w:hAnsi="Arial Narrow"/>
                <w:sz w:val="20"/>
                <w:szCs w:val="22"/>
                <w:lang w:eastAsia="en-US"/>
              </w:rPr>
            </w:pPr>
            <w:r>
              <w:rPr>
                <w:rFonts w:ascii="Arial Narrow" w:eastAsia="Calibri" w:hAnsi="Arial Narrow"/>
                <w:b/>
                <w:bCs/>
                <w:sz w:val="20"/>
                <w:szCs w:val="22"/>
                <w:lang w:eastAsia="en-US"/>
              </w:rPr>
              <w:t>-Redacted</w:t>
            </w:r>
            <w:r>
              <w:rPr>
                <w:rFonts w:ascii="Arial Narrow" w:eastAsia="Calibri" w:hAnsi="Arial Narrow"/>
                <w:sz w:val="20"/>
                <w:szCs w:val="22"/>
                <w:vertAlign w:val="superscript"/>
                <w:lang w:eastAsia="en-US"/>
              </w:rPr>
              <w:t>2</w:t>
            </w:r>
            <w:r w:rsidRPr="00986EC1">
              <w:rPr>
                <w:rFonts w:ascii="Arial Narrow" w:eastAsia="Calibri" w:hAnsi="Arial Narrow"/>
                <w:sz w:val="20"/>
                <w:szCs w:val="22"/>
                <w:lang w:eastAsia="en-US"/>
              </w:rPr>
              <w:t xml:space="preserve"> </w:t>
            </w:r>
            <w:r w:rsidR="00986EC1" w:rsidRPr="00986EC1">
              <w:rPr>
                <w:rFonts w:ascii="Arial Narrow" w:eastAsia="Calibri" w:hAnsi="Arial Narrow"/>
                <w:sz w:val="20"/>
                <w:szCs w:val="22"/>
                <w:lang w:eastAsia="en-US"/>
              </w:rPr>
              <w:t xml:space="preserve">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6EAF3E45" w14:textId="7008DF57" w:rsidR="00986EC1" w:rsidRPr="00986EC1" w:rsidRDefault="00282ADD"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Pr>
                <w:rFonts w:ascii="Arial Narrow" w:eastAsia="Calibri" w:hAnsi="Arial Narrow"/>
                <w:b/>
                <w:bCs/>
                <w:sz w:val="20"/>
                <w:szCs w:val="22"/>
                <w:lang w:eastAsia="en-US"/>
              </w:rPr>
              <w:t>Redacted</w:t>
            </w:r>
            <w:r>
              <w:rPr>
                <w:rFonts w:ascii="Arial Narrow" w:eastAsia="Calibri" w:hAnsi="Arial Narrow"/>
                <w:sz w:val="20"/>
                <w:szCs w:val="22"/>
                <w:vertAlign w:val="superscript"/>
                <w:lang w:eastAsia="en-US"/>
              </w:rPr>
              <w:t>2</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53F4DF37" w14:textId="1F6CFCDA" w:rsidR="00986EC1" w:rsidRPr="00986EC1" w:rsidRDefault="00282ADD"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Pr>
                <w:rFonts w:ascii="Arial Narrow" w:eastAsia="Calibri" w:hAnsi="Arial Narrow"/>
                <w:b/>
                <w:bCs/>
                <w:sz w:val="20"/>
                <w:szCs w:val="22"/>
                <w:lang w:eastAsia="en-US"/>
              </w:rPr>
              <w:t>Redacted</w:t>
            </w:r>
            <w:r>
              <w:rPr>
                <w:rFonts w:ascii="Arial Narrow" w:eastAsia="Calibri" w:hAnsi="Arial Narrow"/>
                <w:sz w:val="20"/>
                <w:szCs w:val="22"/>
                <w:vertAlign w:val="superscript"/>
                <w:lang w:eastAsia="en-US"/>
              </w:rPr>
              <w:t>2</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74242E73" w14:textId="332CEE92" w:rsidR="00986EC1" w:rsidRPr="00986EC1" w:rsidRDefault="00282ADD"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Pr>
                <w:rFonts w:ascii="Arial Narrow" w:eastAsia="Calibri" w:hAnsi="Arial Narrow"/>
                <w:b/>
                <w:bCs/>
                <w:sz w:val="20"/>
                <w:szCs w:val="22"/>
                <w:lang w:eastAsia="en-US"/>
              </w:rPr>
              <w:t>Redacted</w:t>
            </w:r>
            <w:r>
              <w:rPr>
                <w:rFonts w:ascii="Arial Narrow" w:eastAsia="Calibri" w:hAnsi="Arial Narrow"/>
                <w:sz w:val="20"/>
                <w:szCs w:val="22"/>
                <w:vertAlign w:val="superscript"/>
                <w:lang w:eastAsia="en-US"/>
              </w:rPr>
              <w:t>2</w:t>
            </w:r>
          </w:p>
        </w:tc>
        <w:tc>
          <w:tcPr>
            <w:tcW w:w="1322" w:type="dxa"/>
            <w:tcBorders>
              <w:top w:val="nil"/>
              <w:left w:val="nil"/>
              <w:bottom w:val="single" w:sz="8" w:space="0" w:color="auto"/>
              <w:right w:val="single" w:sz="8" w:space="0" w:color="auto"/>
            </w:tcBorders>
            <w:tcMar>
              <w:top w:w="0" w:type="dxa"/>
              <w:left w:w="108" w:type="dxa"/>
              <w:bottom w:w="0" w:type="dxa"/>
              <w:right w:w="108" w:type="dxa"/>
            </w:tcMar>
          </w:tcPr>
          <w:p w14:paraId="2B16DA14" w14:textId="5DC9136E" w:rsidR="00986EC1" w:rsidRPr="00986EC1" w:rsidRDefault="00282ADD"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Pr>
                <w:rFonts w:ascii="Arial Narrow" w:eastAsia="Calibri" w:hAnsi="Arial Narrow"/>
                <w:b/>
                <w:bCs/>
                <w:sz w:val="20"/>
                <w:szCs w:val="22"/>
                <w:lang w:eastAsia="en-US"/>
              </w:rPr>
              <w:t>Redacted</w:t>
            </w:r>
            <w:r>
              <w:rPr>
                <w:rFonts w:ascii="Arial Narrow" w:eastAsia="Calibri" w:hAnsi="Arial Narrow"/>
                <w:sz w:val="20"/>
                <w:szCs w:val="22"/>
                <w:vertAlign w:val="superscript"/>
                <w:lang w:eastAsia="en-US"/>
              </w:rPr>
              <w:t>2</w:t>
            </w:r>
          </w:p>
        </w:tc>
      </w:tr>
      <w:tr w:rsidR="00CB6CCB" w:rsidRPr="00986EC1" w14:paraId="0D2561C7" w14:textId="77777777" w:rsidTr="00CB6CCB">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05E6D4"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Cost to the MBS of change in use of decompression due to substitution and reoperation</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34751CD2" w14:textId="05FB4C3D"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282ADD">
              <w:rPr>
                <w:rFonts w:ascii="Arial Narrow" w:eastAsia="Calibri" w:hAnsi="Arial Narrow"/>
                <w:b/>
                <w:bCs/>
                <w:sz w:val="20"/>
                <w:szCs w:val="22"/>
                <w:lang w:eastAsia="en-US"/>
              </w:rPr>
              <w:t>Redacted</w:t>
            </w:r>
            <w:r w:rsidR="00D90A0E">
              <w:rPr>
                <w:rFonts w:ascii="Arial Narrow" w:eastAsia="Calibri" w:hAnsi="Arial Narrow"/>
                <w:sz w:val="20"/>
                <w:szCs w:val="22"/>
                <w:vertAlign w:val="superscript"/>
                <w:lang w:eastAsia="en-US"/>
              </w:rPr>
              <w:t>4</w:t>
            </w:r>
            <w:r w:rsidR="00282ADD">
              <w:rPr>
                <w:rFonts w:ascii="Arial Narrow" w:eastAsia="Calibri" w:hAnsi="Arial Narrow"/>
                <w:sz w:val="20"/>
                <w:szCs w:val="22"/>
                <w:lang w:eastAsia="en-US"/>
              </w:rPr>
              <w:t xml:space="preserve">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0BDF7AE9" w14:textId="14A87B82"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282ADD">
              <w:rPr>
                <w:rFonts w:ascii="Arial Narrow" w:eastAsia="Calibri" w:hAnsi="Arial Narrow"/>
                <w:b/>
                <w:bCs/>
                <w:sz w:val="20"/>
                <w:szCs w:val="22"/>
                <w:lang w:eastAsia="en-US"/>
              </w:rPr>
              <w:t>Redacted</w:t>
            </w:r>
            <w:r w:rsidR="00D90A0E">
              <w:rPr>
                <w:rFonts w:ascii="Arial Narrow" w:eastAsia="Calibri" w:hAnsi="Arial Narrow"/>
                <w:sz w:val="20"/>
                <w:szCs w:val="22"/>
                <w:vertAlign w:val="superscript"/>
                <w:lang w:eastAsia="en-US"/>
              </w:rPr>
              <w:t>4</w:t>
            </w:r>
            <w:r w:rsidR="00282ADD">
              <w:rPr>
                <w:rFonts w:ascii="Arial Narrow" w:eastAsia="Calibri" w:hAnsi="Arial Narrow"/>
                <w:sz w:val="20"/>
                <w:szCs w:val="22"/>
                <w:lang w:eastAsia="en-US"/>
              </w:rPr>
              <w:t xml:space="preserve">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177AEF39" w14:textId="1E96D84F"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91272F">
              <w:rPr>
                <w:rFonts w:ascii="Arial Narrow" w:eastAsia="Calibri" w:hAnsi="Arial Narrow"/>
                <w:b/>
                <w:bCs/>
                <w:sz w:val="20"/>
                <w:szCs w:val="22"/>
                <w:lang w:eastAsia="en-US"/>
              </w:rPr>
              <w:t>Redacted</w:t>
            </w:r>
            <w:r w:rsidR="00D90A0E">
              <w:rPr>
                <w:rFonts w:ascii="Arial Narrow" w:eastAsia="Calibri" w:hAnsi="Arial Narrow"/>
                <w:sz w:val="20"/>
                <w:szCs w:val="22"/>
                <w:vertAlign w:val="superscript"/>
                <w:lang w:eastAsia="en-US"/>
              </w:rPr>
              <w:t>5</w:t>
            </w:r>
            <w:r w:rsidR="0091272F">
              <w:rPr>
                <w:rFonts w:ascii="Arial Narrow" w:eastAsia="Calibri" w:hAnsi="Arial Narrow"/>
                <w:sz w:val="20"/>
                <w:szCs w:val="22"/>
                <w:lang w:eastAsia="en-US"/>
              </w:rPr>
              <w:t xml:space="preserve">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6238287C" w14:textId="1BF51D60"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CB6CCB">
              <w:rPr>
                <w:rFonts w:ascii="Arial Narrow" w:eastAsia="Calibri" w:hAnsi="Arial Narrow"/>
                <w:b/>
                <w:bCs/>
                <w:sz w:val="20"/>
                <w:szCs w:val="22"/>
                <w:lang w:eastAsia="en-US"/>
              </w:rPr>
              <w:t>Redacted</w:t>
            </w:r>
            <w:r w:rsidR="00D90A0E">
              <w:rPr>
                <w:rFonts w:ascii="Arial Narrow" w:eastAsia="Calibri" w:hAnsi="Arial Narrow"/>
                <w:sz w:val="20"/>
                <w:szCs w:val="22"/>
                <w:vertAlign w:val="superscript"/>
                <w:lang w:eastAsia="en-US"/>
              </w:rPr>
              <w:t>6</w:t>
            </w:r>
            <w:r w:rsidR="00CB6CCB">
              <w:rPr>
                <w:rFonts w:ascii="Arial Narrow" w:eastAsia="Calibri" w:hAnsi="Arial Narrow"/>
                <w:sz w:val="20"/>
                <w:szCs w:val="22"/>
                <w:vertAlign w:val="superscript"/>
                <w:lang w:eastAsia="en-US"/>
              </w:rPr>
              <w:t xml:space="preserve"> </w:t>
            </w:r>
          </w:p>
        </w:tc>
        <w:tc>
          <w:tcPr>
            <w:tcW w:w="1322" w:type="dxa"/>
            <w:tcBorders>
              <w:top w:val="nil"/>
              <w:left w:val="nil"/>
              <w:bottom w:val="single" w:sz="8" w:space="0" w:color="auto"/>
              <w:right w:val="single" w:sz="8" w:space="0" w:color="auto"/>
            </w:tcBorders>
            <w:tcMar>
              <w:top w:w="0" w:type="dxa"/>
              <w:left w:w="108" w:type="dxa"/>
              <w:bottom w:w="0" w:type="dxa"/>
              <w:right w:w="108" w:type="dxa"/>
            </w:tcMar>
          </w:tcPr>
          <w:p w14:paraId="1F760187" w14:textId="2574BB13"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CB6CCB">
              <w:rPr>
                <w:rFonts w:ascii="Arial Narrow" w:eastAsia="Calibri" w:hAnsi="Arial Narrow"/>
                <w:b/>
                <w:bCs/>
                <w:sz w:val="20"/>
                <w:szCs w:val="22"/>
                <w:lang w:eastAsia="en-US"/>
              </w:rPr>
              <w:t>Redacted</w:t>
            </w:r>
            <w:r w:rsidR="00D90A0E">
              <w:rPr>
                <w:rFonts w:ascii="Arial Narrow" w:eastAsia="Calibri" w:hAnsi="Arial Narrow"/>
                <w:sz w:val="20"/>
                <w:szCs w:val="22"/>
                <w:vertAlign w:val="superscript"/>
                <w:lang w:eastAsia="en-US"/>
              </w:rPr>
              <w:t>7</w:t>
            </w:r>
            <w:r w:rsidR="00CB6CCB">
              <w:rPr>
                <w:rFonts w:ascii="Arial Narrow" w:eastAsia="Calibri" w:hAnsi="Arial Narrow"/>
                <w:sz w:val="20"/>
                <w:szCs w:val="22"/>
                <w:vertAlign w:val="superscript"/>
                <w:lang w:eastAsia="en-US"/>
              </w:rPr>
              <w:t xml:space="preserve"> </w:t>
            </w:r>
          </w:p>
        </w:tc>
      </w:tr>
      <w:tr w:rsidR="00CB6CCB" w:rsidRPr="00986EC1" w14:paraId="223EB738" w14:textId="77777777" w:rsidTr="00CB6CCB">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24B893"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Change in use of decompression + spinal fusion due to substitution and reoperation</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11C9E2D4" w14:textId="0A39A185" w:rsidR="00986EC1" w:rsidRPr="00986EC1" w:rsidRDefault="00282ADD"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Pr>
                <w:rFonts w:ascii="Arial Narrow" w:eastAsia="Calibri" w:hAnsi="Arial Narrow"/>
                <w:b/>
                <w:bCs/>
                <w:sz w:val="20"/>
                <w:szCs w:val="22"/>
                <w:lang w:eastAsia="en-US"/>
              </w:rPr>
              <w:t>Redacted</w:t>
            </w:r>
            <w:r w:rsidR="00D90A0E">
              <w:rPr>
                <w:rFonts w:ascii="Arial Narrow" w:eastAsia="Calibri" w:hAnsi="Arial Narrow"/>
                <w:sz w:val="20"/>
                <w:szCs w:val="22"/>
                <w:vertAlign w:val="superscript"/>
                <w:lang w:eastAsia="en-US"/>
              </w:rPr>
              <w:t>8</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090FA993" w14:textId="5FF62815" w:rsidR="00986EC1" w:rsidRPr="00986EC1" w:rsidRDefault="00282ADD"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Pr>
                <w:rFonts w:ascii="Arial Narrow" w:eastAsia="Calibri" w:hAnsi="Arial Narrow"/>
                <w:b/>
                <w:bCs/>
                <w:sz w:val="20"/>
                <w:szCs w:val="22"/>
                <w:lang w:eastAsia="en-US"/>
              </w:rPr>
              <w:t>Redacted</w:t>
            </w:r>
            <w:r w:rsidR="00D90A0E">
              <w:rPr>
                <w:rFonts w:ascii="Arial Narrow" w:eastAsia="Calibri" w:hAnsi="Arial Narrow"/>
                <w:sz w:val="20"/>
                <w:szCs w:val="22"/>
                <w:vertAlign w:val="superscript"/>
                <w:lang w:eastAsia="en-US"/>
              </w:rPr>
              <w:t>8</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38E9159D" w14:textId="016C9363" w:rsidR="00986EC1" w:rsidRPr="00986EC1" w:rsidRDefault="00282ADD"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Pr>
                <w:rFonts w:ascii="Arial Narrow" w:eastAsia="Calibri" w:hAnsi="Arial Narrow"/>
                <w:b/>
                <w:bCs/>
                <w:sz w:val="20"/>
                <w:szCs w:val="22"/>
                <w:lang w:eastAsia="en-US"/>
              </w:rPr>
              <w:t>Redacted</w:t>
            </w:r>
            <w:r>
              <w:rPr>
                <w:rFonts w:ascii="Arial Narrow" w:eastAsia="Calibri" w:hAnsi="Arial Narrow"/>
                <w:sz w:val="20"/>
                <w:szCs w:val="22"/>
                <w:vertAlign w:val="superscript"/>
                <w:lang w:eastAsia="en-US"/>
              </w:rPr>
              <w:t>2</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60EEFE20" w14:textId="3D5EE3B4" w:rsidR="00986EC1" w:rsidRPr="00986EC1" w:rsidRDefault="00282ADD"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Pr>
                <w:rFonts w:ascii="Arial Narrow" w:eastAsia="Calibri" w:hAnsi="Arial Narrow"/>
                <w:b/>
                <w:bCs/>
                <w:sz w:val="20"/>
                <w:szCs w:val="22"/>
                <w:lang w:eastAsia="en-US"/>
              </w:rPr>
              <w:t>Redacted</w:t>
            </w:r>
            <w:r>
              <w:rPr>
                <w:rFonts w:ascii="Arial Narrow" w:eastAsia="Calibri" w:hAnsi="Arial Narrow"/>
                <w:sz w:val="20"/>
                <w:szCs w:val="22"/>
                <w:vertAlign w:val="superscript"/>
                <w:lang w:eastAsia="en-US"/>
              </w:rPr>
              <w:t>2</w:t>
            </w:r>
          </w:p>
        </w:tc>
        <w:tc>
          <w:tcPr>
            <w:tcW w:w="1322" w:type="dxa"/>
            <w:tcBorders>
              <w:top w:val="nil"/>
              <w:left w:val="nil"/>
              <w:bottom w:val="single" w:sz="8" w:space="0" w:color="auto"/>
              <w:right w:val="single" w:sz="8" w:space="0" w:color="auto"/>
            </w:tcBorders>
            <w:tcMar>
              <w:top w:w="0" w:type="dxa"/>
              <w:left w:w="108" w:type="dxa"/>
              <w:bottom w:w="0" w:type="dxa"/>
              <w:right w:w="108" w:type="dxa"/>
            </w:tcMar>
          </w:tcPr>
          <w:p w14:paraId="4B980683" w14:textId="7C5246B5" w:rsidR="00986EC1" w:rsidRPr="00986EC1" w:rsidRDefault="00282ADD"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Pr>
                <w:rFonts w:ascii="Arial Narrow" w:eastAsia="Calibri" w:hAnsi="Arial Narrow"/>
                <w:b/>
                <w:bCs/>
                <w:sz w:val="20"/>
                <w:szCs w:val="22"/>
                <w:lang w:eastAsia="en-US"/>
              </w:rPr>
              <w:t>Redacted</w:t>
            </w:r>
            <w:r>
              <w:rPr>
                <w:rFonts w:ascii="Arial Narrow" w:eastAsia="Calibri" w:hAnsi="Arial Narrow"/>
                <w:sz w:val="20"/>
                <w:szCs w:val="22"/>
                <w:vertAlign w:val="superscript"/>
                <w:lang w:eastAsia="en-US"/>
              </w:rPr>
              <w:t>2</w:t>
            </w:r>
          </w:p>
        </w:tc>
      </w:tr>
      <w:tr w:rsidR="00CB6CCB" w:rsidRPr="00986EC1" w14:paraId="47A14F48" w14:textId="77777777" w:rsidTr="00CB6CCB">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079AD6"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Cost of change in use of decompression + spinal fusion due to substitution and reoperation</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4DCBE61F" w14:textId="7B6F7CA5"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282ADD">
              <w:rPr>
                <w:rFonts w:ascii="Arial Narrow" w:eastAsia="Calibri" w:hAnsi="Arial Narrow"/>
                <w:b/>
                <w:bCs/>
                <w:sz w:val="20"/>
                <w:szCs w:val="22"/>
                <w:lang w:eastAsia="en-US"/>
              </w:rPr>
              <w:t>Redacted</w:t>
            </w:r>
            <w:r w:rsidR="00282ADD">
              <w:rPr>
                <w:rFonts w:ascii="Arial Narrow" w:eastAsia="Calibri" w:hAnsi="Arial Narrow"/>
                <w:sz w:val="20"/>
                <w:szCs w:val="22"/>
                <w:vertAlign w:val="superscript"/>
                <w:lang w:eastAsia="en-US"/>
              </w:rPr>
              <w:t>3</w:t>
            </w:r>
            <w:r w:rsidR="00282ADD">
              <w:rPr>
                <w:rFonts w:ascii="Arial Narrow" w:eastAsia="Calibri" w:hAnsi="Arial Narrow"/>
                <w:b/>
                <w:bCs/>
                <w:sz w:val="20"/>
                <w:szCs w:val="22"/>
                <w:lang w:eastAsia="en-US"/>
              </w:rPr>
              <w:t xml:space="preserve">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2248200F" w14:textId="7F0DBF8C"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282ADD">
              <w:rPr>
                <w:rFonts w:ascii="Arial Narrow" w:eastAsia="Calibri" w:hAnsi="Arial Narrow"/>
                <w:b/>
                <w:bCs/>
                <w:sz w:val="20"/>
                <w:szCs w:val="22"/>
                <w:lang w:eastAsia="en-US"/>
              </w:rPr>
              <w:t>Redacted</w:t>
            </w:r>
            <w:r w:rsidR="00D90A0E">
              <w:rPr>
                <w:rFonts w:ascii="Arial Narrow" w:eastAsia="Calibri" w:hAnsi="Arial Narrow"/>
                <w:sz w:val="20"/>
                <w:szCs w:val="22"/>
                <w:vertAlign w:val="superscript"/>
                <w:lang w:eastAsia="en-US"/>
              </w:rPr>
              <w:t xml:space="preserve">4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4402AF66" w14:textId="4D7A5692"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91272F" w:rsidRPr="0091272F">
              <w:rPr>
                <w:rFonts w:ascii="Arial Narrow" w:eastAsia="Calibri" w:hAnsi="Arial Narrow"/>
                <w:b/>
                <w:bCs/>
                <w:sz w:val="20"/>
                <w:szCs w:val="22"/>
                <w:lang w:eastAsia="en-US"/>
              </w:rPr>
              <w:t>R</w:t>
            </w:r>
            <w:r w:rsidR="00282ADD">
              <w:rPr>
                <w:rFonts w:ascii="Arial Narrow" w:eastAsia="Calibri" w:hAnsi="Arial Narrow"/>
                <w:b/>
                <w:bCs/>
                <w:sz w:val="20"/>
                <w:szCs w:val="22"/>
                <w:lang w:eastAsia="en-US"/>
              </w:rPr>
              <w:t>edacted</w:t>
            </w:r>
            <w:r w:rsidR="00D90A0E">
              <w:rPr>
                <w:rFonts w:ascii="Arial Narrow" w:eastAsia="Calibri" w:hAnsi="Arial Narrow"/>
                <w:sz w:val="20"/>
                <w:szCs w:val="22"/>
                <w:vertAlign w:val="superscript"/>
                <w:lang w:eastAsia="en-US"/>
              </w:rPr>
              <w:t>4</w:t>
            </w:r>
            <w:r w:rsidR="00282ADD">
              <w:rPr>
                <w:rFonts w:ascii="Arial Narrow" w:eastAsia="Calibri" w:hAnsi="Arial Narrow"/>
                <w:sz w:val="20"/>
                <w:szCs w:val="22"/>
                <w:vertAlign w:val="superscript"/>
                <w:lang w:eastAsia="en-US"/>
              </w:rPr>
              <w:t xml:space="preserve">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360FAEA0" w14:textId="6957EA7D"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91272F">
              <w:rPr>
                <w:rFonts w:ascii="Arial Narrow" w:eastAsia="Calibri" w:hAnsi="Arial Narrow"/>
                <w:b/>
                <w:bCs/>
                <w:sz w:val="20"/>
                <w:szCs w:val="22"/>
                <w:lang w:eastAsia="en-US"/>
              </w:rPr>
              <w:t>Redacted</w:t>
            </w:r>
            <w:r w:rsidR="00D90A0E">
              <w:rPr>
                <w:rFonts w:ascii="Arial Narrow" w:eastAsia="Calibri" w:hAnsi="Arial Narrow"/>
                <w:sz w:val="20"/>
                <w:szCs w:val="22"/>
                <w:vertAlign w:val="superscript"/>
                <w:lang w:eastAsia="en-US"/>
              </w:rPr>
              <w:t>5</w:t>
            </w:r>
            <w:r w:rsidR="0091272F">
              <w:rPr>
                <w:rFonts w:ascii="Arial Narrow" w:eastAsia="Calibri" w:hAnsi="Arial Narrow"/>
                <w:sz w:val="20"/>
                <w:szCs w:val="22"/>
                <w:vertAlign w:val="superscript"/>
                <w:lang w:eastAsia="en-US"/>
              </w:rPr>
              <w:t xml:space="preserve"> </w:t>
            </w:r>
          </w:p>
        </w:tc>
        <w:tc>
          <w:tcPr>
            <w:tcW w:w="1322" w:type="dxa"/>
            <w:tcBorders>
              <w:top w:val="nil"/>
              <w:left w:val="nil"/>
              <w:bottom w:val="single" w:sz="8" w:space="0" w:color="auto"/>
              <w:right w:val="single" w:sz="8" w:space="0" w:color="auto"/>
            </w:tcBorders>
            <w:tcMar>
              <w:top w:w="0" w:type="dxa"/>
              <w:left w:w="108" w:type="dxa"/>
              <w:bottom w:w="0" w:type="dxa"/>
              <w:right w:w="108" w:type="dxa"/>
            </w:tcMar>
          </w:tcPr>
          <w:p w14:paraId="12AB1069" w14:textId="6CCBBA3D"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91272F">
              <w:rPr>
                <w:rFonts w:ascii="Arial Narrow" w:eastAsia="Calibri" w:hAnsi="Arial Narrow"/>
                <w:b/>
                <w:bCs/>
                <w:sz w:val="20"/>
                <w:szCs w:val="22"/>
                <w:lang w:eastAsia="en-US"/>
              </w:rPr>
              <w:t>Redacted</w:t>
            </w:r>
            <w:r w:rsidR="00D90A0E">
              <w:rPr>
                <w:rFonts w:ascii="Arial Narrow" w:eastAsia="Calibri" w:hAnsi="Arial Narrow"/>
                <w:sz w:val="20"/>
                <w:szCs w:val="22"/>
                <w:vertAlign w:val="superscript"/>
                <w:lang w:eastAsia="en-US"/>
              </w:rPr>
              <w:t>5</w:t>
            </w:r>
            <w:r w:rsidR="0091272F">
              <w:rPr>
                <w:rFonts w:ascii="Arial Narrow" w:eastAsia="Calibri" w:hAnsi="Arial Narrow"/>
                <w:sz w:val="20"/>
                <w:szCs w:val="22"/>
                <w:vertAlign w:val="superscript"/>
                <w:lang w:eastAsia="en-US"/>
              </w:rPr>
              <w:t xml:space="preserve"> </w:t>
            </w:r>
          </w:p>
        </w:tc>
      </w:tr>
      <w:tr w:rsidR="00CB6CCB" w:rsidRPr="00986EC1" w14:paraId="0B18A362" w14:textId="77777777" w:rsidTr="00CB6CCB">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6B4D68"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Net change in costs to the MBS (75% benefit)</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398556DD" w14:textId="5EB4A786"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282ADD">
              <w:rPr>
                <w:rFonts w:ascii="Arial Narrow" w:eastAsia="Calibri" w:hAnsi="Arial Narrow"/>
                <w:b/>
                <w:bCs/>
                <w:sz w:val="20"/>
                <w:szCs w:val="22"/>
                <w:lang w:eastAsia="en-US"/>
              </w:rPr>
              <w:t>Redacted</w:t>
            </w:r>
            <w:r w:rsidR="00D90A0E">
              <w:rPr>
                <w:rFonts w:ascii="Arial Narrow" w:eastAsia="Calibri" w:hAnsi="Arial Narrow"/>
                <w:sz w:val="20"/>
                <w:szCs w:val="22"/>
                <w:vertAlign w:val="superscript"/>
                <w:lang w:eastAsia="en-US"/>
              </w:rPr>
              <w:t xml:space="preserve">4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4B622C15" w14:textId="538BB923"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CB6CCB">
              <w:rPr>
                <w:rFonts w:ascii="Arial Narrow" w:eastAsia="Calibri" w:hAnsi="Arial Narrow"/>
                <w:b/>
                <w:bCs/>
                <w:sz w:val="20"/>
                <w:szCs w:val="22"/>
                <w:lang w:eastAsia="en-US"/>
              </w:rPr>
              <w:t>Redacted</w:t>
            </w:r>
            <w:r w:rsidR="00D90A0E">
              <w:rPr>
                <w:rFonts w:ascii="Arial Narrow" w:eastAsia="Calibri" w:hAnsi="Arial Narrow"/>
                <w:sz w:val="20"/>
                <w:szCs w:val="22"/>
                <w:vertAlign w:val="superscript"/>
                <w:lang w:eastAsia="en-US"/>
              </w:rPr>
              <w:t>6</w:t>
            </w:r>
            <w:r w:rsidR="00CB6CCB">
              <w:rPr>
                <w:rFonts w:ascii="Arial Narrow" w:eastAsia="Calibri" w:hAnsi="Arial Narrow"/>
                <w:sz w:val="20"/>
                <w:szCs w:val="22"/>
                <w:vertAlign w:val="superscript"/>
                <w:lang w:eastAsia="en-US"/>
              </w:rPr>
              <w:t xml:space="preserve">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10420CA1" w14:textId="324A5E6A"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CB6CCB">
              <w:rPr>
                <w:rFonts w:ascii="Arial Narrow" w:eastAsia="Calibri" w:hAnsi="Arial Narrow"/>
                <w:b/>
                <w:bCs/>
                <w:sz w:val="20"/>
                <w:szCs w:val="22"/>
                <w:lang w:eastAsia="en-US"/>
              </w:rPr>
              <w:t>Redacted</w:t>
            </w:r>
            <w:r w:rsidR="00D90A0E">
              <w:rPr>
                <w:rFonts w:ascii="Arial Narrow" w:eastAsia="Calibri" w:hAnsi="Arial Narrow"/>
                <w:sz w:val="20"/>
                <w:szCs w:val="22"/>
                <w:vertAlign w:val="superscript"/>
                <w:lang w:eastAsia="en-US"/>
              </w:rPr>
              <w:t>7</w:t>
            </w:r>
            <w:r w:rsidR="00CB6CCB">
              <w:rPr>
                <w:rFonts w:ascii="Arial Narrow" w:eastAsia="Calibri" w:hAnsi="Arial Narrow"/>
                <w:sz w:val="20"/>
                <w:szCs w:val="22"/>
                <w:lang w:eastAsia="en-US"/>
              </w:rPr>
              <w:t xml:space="preserve">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50EB3EA6" w14:textId="6A14D528"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CB6CCB">
              <w:rPr>
                <w:rFonts w:ascii="Arial Narrow" w:eastAsia="Calibri" w:hAnsi="Arial Narrow"/>
                <w:b/>
                <w:bCs/>
                <w:sz w:val="20"/>
                <w:szCs w:val="22"/>
                <w:lang w:eastAsia="en-US"/>
              </w:rPr>
              <w:t>Redacted</w:t>
            </w:r>
            <w:r w:rsidR="004D4D49">
              <w:rPr>
                <w:rFonts w:ascii="Arial Narrow" w:eastAsia="Calibri" w:hAnsi="Arial Narrow"/>
                <w:sz w:val="20"/>
                <w:szCs w:val="22"/>
                <w:vertAlign w:val="superscript"/>
                <w:lang w:eastAsia="en-US"/>
              </w:rPr>
              <w:t>9</w:t>
            </w:r>
            <w:r w:rsidR="00CB6CCB">
              <w:rPr>
                <w:rFonts w:ascii="Arial Narrow" w:eastAsia="Calibri" w:hAnsi="Arial Narrow"/>
                <w:sz w:val="20"/>
                <w:szCs w:val="22"/>
                <w:vertAlign w:val="superscript"/>
                <w:lang w:eastAsia="en-US"/>
              </w:rPr>
              <w:t xml:space="preserve"> </w:t>
            </w:r>
          </w:p>
        </w:tc>
        <w:tc>
          <w:tcPr>
            <w:tcW w:w="1322" w:type="dxa"/>
            <w:tcBorders>
              <w:top w:val="nil"/>
              <w:left w:val="nil"/>
              <w:bottom w:val="single" w:sz="8" w:space="0" w:color="auto"/>
              <w:right w:val="single" w:sz="8" w:space="0" w:color="auto"/>
            </w:tcBorders>
            <w:tcMar>
              <w:top w:w="0" w:type="dxa"/>
              <w:left w:w="108" w:type="dxa"/>
              <w:bottom w:w="0" w:type="dxa"/>
              <w:right w:w="108" w:type="dxa"/>
            </w:tcMar>
          </w:tcPr>
          <w:p w14:paraId="6BCF4F0D" w14:textId="3C4258C4"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CB6CCB">
              <w:rPr>
                <w:rFonts w:ascii="Arial Narrow" w:eastAsia="Calibri" w:hAnsi="Arial Narrow"/>
                <w:b/>
                <w:bCs/>
                <w:sz w:val="20"/>
                <w:szCs w:val="22"/>
                <w:lang w:eastAsia="en-US"/>
              </w:rPr>
              <w:t>Redacted</w:t>
            </w:r>
            <w:r w:rsidR="00CB6CCB">
              <w:rPr>
                <w:rFonts w:ascii="Arial Narrow" w:eastAsia="Calibri" w:hAnsi="Arial Narrow"/>
                <w:sz w:val="20"/>
                <w:szCs w:val="22"/>
                <w:vertAlign w:val="superscript"/>
                <w:lang w:eastAsia="en-US"/>
              </w:rPr>
              <w:t>1</w:t>
            </w:r>
            <w:r w:rsidR="004D4D49">
              <w:rPr>
                <w:rFonts w:ascii="Arial Narrow" w:eastAsia="Calibri" w:hAnsi="Arial Narrow"/>
                <w:sz w:val="20"/>
                <w:szCs w:val="22"/>
                <w:vertAlign w:val="superscript"/>
                <w:lang w:eastAsia="en-US"/>
              </w:rPr>
              <w:t>0</w:t>
            </w:r>
            <w:r w:rsidR="00CB6CCB">
              <w:rPr>
                <w:rFonts w:ascii="Arial Narrow" w:eastAsia="Calibri" w:hAnsi="Arial Narrow"/>
                <w:b/>
                <w:bCs/>
                <w:sz w:val="20"/>
                <w:szCs w:val="22"/>
                <w:lang w:eastAsia="en-US"/>
              </w:rPr>
              <w:t xml:space="preserve"> </w:t>
            </w:r>
          </w:p>
        </w:tc>
      </w:tr>
      <w:tr w:rsidR="00CB6CCB" w:rsidRPr="00986EC1" w14:paraId="4CA9B59E" w14:textId="77777777" w:rsidTr="00CB6CCB">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08B3E"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 xml:space="preserve">Net financial impact to the MBS </w:t>
            </w:r>
            <w:r w:rsidRPr="00986EC1">
              <w:rPr>
                <w:rFonts w:ascii="Arial Narrow" w:eastAsia="Calibri" w:hAnsi="Arial Narrow"/>
                <w:sz w:val="20"/>
                <w:szCs w:val="22"/>
                <w:lang w:eastAsia="en-US"/>
              </w:rPr>
              <w:t>(75% benefit)</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062A9C8C" w14:textId="58542CFF"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w:t>
            </w:r>
            <w:r w:rsidR="00282ADD">
              <w:rPr>
                <w:rFonts w:ascii="Arial Narrow" w:eastAsia="Calibri" w:hAnsi="Arial Narrow"/>
                <w:b/>
                <w:bCs/>
                <w:sz w:val="20"/>
                <w:szCs w:val="22"/>
                <w:lang w:eastAsia="en-US"/>
              </w:rPr>
              <w:t>Redacted</w:t>
            </w:r>
            <w:r w:rsidR="00282ADD">
              <w:rPr>
                <w:rFonts w:ascii="Arial Narrow" w:eastAsia="Calibri" w:hAnsi="Arial Narrow"/>
                <w:sz w:val="20"/>
                <w:szCs w:val="22"/>
                <w:vertAlign w:val="superscript"/>
                <w:lang w:eastAsia="en-US"/>
              </w:rPr>
              <w:t>3</w:t>
            </w:r>
            <w:r w:rsidR="00282ADD">
              <w:rPr>
                <w:rFonts w:ascii="Arial Narrow" w:eastAsia="Calibri" w:hAnsi="Arial Narrow"/>
                <w:b/>
                <w:bCs/>
                <w:sz w:val="20"/>
                <w:szCs w:val="22"/>
                <w:lang w:eastAsia="en-US"/>
              </w:rPr>
              <w:t xml:space="preserve">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2BC4643A" w14:textId="304F0BA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w:t>
            </w:r>
            <w:r w:rsidR="00282ADD">
              <w:rPr>
                <w:rFonts w:ascii="Arial Narrow" w:eastAsia="Calibri" w:hAnsi="Arial Narrow"/>
                <w:b/>
                <w:bCs/>
                <w:sz w:val="20"/>
                <w:szCs w:val="22"/>
                <w:lang w:eastAsia="en-US"/>
              </w:rPr>
              <w:t>Redacted</w:t>
            </w:r>
            <w:r w:rsidR="00D90A0E">
              <w:rPr>
                <w:rFonts w:ascii="Arial Narrow" w:eastAsia="Calibri" w:hAnsi="Arial Narrow"/>
                <w:sz w:val="20"/>
                <w:szCs w:val="22"/>
                <w:vertAlign w:val="superscript"/>
                <w:lang w:eastAsia="en-US"/>
              </w:rPr>
              <w:t>4</w:t>
            </w:r>
            <w:r w:rsidR="00282ADD">
              <w:rPr>
                <w:rFonts w:ascii="Arial Narrow" w:eastAsia="Calibri" w:hAnsi="Arial Narrow"/>
                <w:sz w:val="20"/>
                <w:szCs w:val="22"/>
                <w:vertAlign w:val="superscript"/>
                <w:lang w:eastAsia="en-US"/>
              </w:rPr>
              <w:t xml:space="preserve">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2845D5D8" w14:textId="637ED76A"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w:t>
            </w:r>
            <w:r w:rsidR="0091272F">
              <w:rPr>
                <w:rFonts w:ascii="Arial Narrow" w:eastAsia="Calibri" w:hAnsi="Arial Narrow"/>
                <w:b/>
                <w:bCs/>
                <w:sz w:val="20"/>
                <w:szCs w:val="22"/>
                <w:lang w:eastAsia="en-US"/>
              </w:rPr>
              <w:t>Redacted</w:t>
            </w:r>
            <w:r w:rsidR="00D90A0E">
              <w:rPr>
                <w:rFonts w:ascii="Arial Narrow" w:eastAsia="Calibri" w:hAnsi="Arial Narrow"/>
                <w:sz w:val="20"/>
                <w:szCs w:val="22"/>
                <w:vertAlign w:val="superscript"/>
                <w:lang w:eastAsia="en-US"/>
              </w:rPr>
              <w:t>5</w:t>
            </w:r>
            <w:r w:rsidR="0091272F">
              <w:rPr>
                <w:rFonts w:ascii="Arial Narrow" w:eastAsia="Calibri" w:hAnsi="Arial Narrow"/>
                <w:sz w:val="20"/>
                <w:szCs w:val="22"/>
                <w:lang w:eastAsia="en-US"/>
              </w:rPr>
              <w:t xml:space="preserve"> </w:t>
            </w:r>
          </w:p>
        </w:tc>
        <w:tc>
          <w:tcPr>
            <w:tcW w:w="1321" w:type="dxa"/>
            <w:tcBorders>
              <w:top w:val="nil"/>
              <w:left w:val="nil"/>
              <w:bottom w:val="single" w:sz="8" w:space="0" w:color="auto"/>
              <w:right w:val="single" w:sz="8" w:space="0" w:color="auto"/>
            </w:tcBorders>
            <w:tcMar>
              <w:top w:w="0" w:type="dxa"/>
              <w:left w:w="108" w:type="dxa"/>
              <w:bottom w:w="0" w:type="dxa"/>
              <w:right w:w="108" w:type="dxa"/>
            </w:tcMar>
          </w:tcPr>
          <w:p w14:paraId="1A2991F8" w14:textId="141ADDDE"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w:t>
            </w:r>
            <w:r w:rsidR="0091272F">
              <w:rPr>
                <w:rFonts w:ascii="Arial Narrow" w:eastAsia="Calibri" w:hAnsi="Arial Narrow"/>
                <w:b/>
                <w:bCs/>
                <w:sz w:val="20"/>
                <w:szCs w:val="22"/>
                <w:lang w:eastAsia="en-US"/>
              </w:rPr>
              <w:t>Redacted</w:t>
            </w:r>
            <w:r w:rsidR="00D90A0E">
              <w:rPr>
                <w:rFonts w:ascii="Arial Narrow" w:eastAsia="Calibri" w:hAnsi="Arial Narrow"/>
                <w:sz w:val="20"/>
                <w:szCs w:val="22"/>
                <w:vertAlign w:val="superscript"/>
                <w:lang w:eastAsia="en-US"/>
              </w:rPr>
              <w:t>5</w:t>
            </w:r>
            <w:r w:rsidR="0091272F">
              <w:rPr>
                <w:rFonts w:ascii="Arial Narrow" w:eastAsia="Calibri" w:hAnsi="Arial Narrow"/>
                <w:sz w:val="20"/>
                <w:szCs w:val="22"/>
                <w:lang w:eastAsia="en-US"/>
              </w:rPr>
              <w:t xml:space="preserve"> </w:t>
            </w:r>
          </w:p>
        </w:tc>
        <w:tc>
          <w:tcPr>
            <w:tcW w:w="1322" w:type="dxa"/>
            <w:tcBorders>
              <w:top w:val="nil"/>
              <w:left w:val="nil"/>
              <w:bottom w:val="single" w:sz="8" w:space="0" w:color="auto"/>
              <w:right w:val="single" w:sz="8" w:space="0" w:color="auto"/>
            </w:tcBorders>
            <w:tcMar>
              <w:top w:w="0" w:type="dxa"/>
              <w:left w:w="108" w:type="dxa"/>
              <w:bottom w:w="0" w:type="dxa"/>
              <w:right w:w="108" w:type="dxa"/>
            </w:tcMar>
          </w:tcPr>
          <w:p w14:paraId="47D18A0B" w14:textId="65BE57C0"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w:t>
            </w:r>
            <w:r w:rsidR="00CB6CCB">
              <w:rPr>
                <w:rFonts w:ascii="Arial Narrow" w:eastAsia="Calibri" w:hAnsi="Arial Narrow"/>
                <w:b/>
                <w:bCs/>
                <w:sz w:val="20"/>
                <w:szCs w:val="22"/>
                <w:lang w:eastAsia="en-US"/>
              </w:rPr>
              <w:t>Redacted</w:t>
            </w:r>
            <w:r w:rsidR="00D90A0E">
              <w:rPr>
                <w:rFonts w:ascii="Arial Narrow" w:eastAsia="Calibri" w:hAnsi="Arial Narrow"/>
                <w:sz w:val="20"/>
                <w:szCs w:val="22"/>
                <w:vertAlign w:val="superscript"/>
                <w:lang w:eastAsia="en-US"/>
              </w:rPr>
              <w:t>6</w:t>
            </w:r>
            <w:r w:rsidR="00CB6CCB">
              <w:rPr>
                <w:rFonts w:ascii="Arial Narrow" w:eastAsia="Calibri" w:hAnsi="Arial Narrow"/>
                <w:sz w:val="20"/>
                <w:szCs w:val="22"/>
                <w:lang w:eastAsia="en-US"/>
              </w:rPr>
              <w:t xml:space="preserve"> </w:t>
            </w:r>
          </w:p>
        </w:tc>
      </w:tr>
    </w:tbl>
    <w:bookmarkEnd w:id="79"/>
    <w:p w14:paraId="25A93E46" w14:textId="19799A66" w:rsidR="00986EC1" w:rsidRDefault="00986EC1" w:rsidP="00B23D55">
      <w:pPr>
        <w:pStyle w:val="Tablenotes1"/>
      </w:pPr>
      <w:r w:rsidRPr="00986EC1">
        <w:t>IDS, interspinous decompression spacer; MBS, Medicare Benefits Schedule.</w:t>
      </w:r>
    </w:p>
    <w:p w14:paraId="692506F4" w14:textId="09098F06" w:rsidR="00B23D55" w:rsidRDefault="00B23D55" w:rsidP="00B23D55">
      <w:pPr>
        <w:pStyle w:val="Tablenotes1"/>
      </w:pPr>
      <w:r>
        <w:t>Source: Commentary, Table 22</w:t>
      </w:r>
    </w:p>
    <w:p w14:paraId="4B9EBDAD" w14:textId="77777777" w:rsidR="00031406" w:rsidRDefault="00031406" w:rsidP="00031406">
      <w:pPr>
        <w:pStyle w:val="Tablenotes1"/>
        <w:rPr>
          <w:rFonts w:eastAsia="Calibri"/>
          <w:i/>
          <w:iCs/>
        </w:rPr>
      </w:pPr>
      <w:r>
        <w:rPr>
          <w:rFonts w:eastAsia="Calibri"/>
          <w:i/>
          <w:iCs/>
        </w:rPr>
        <w:t>The redacted values correspond to the following ranges:</w:t>
      </w:r>
    </w:p>
    <w:p w14:paraId="4EC08AEE" w14:textId="1CA8143E" w:rsidR="00031406" w:rsidRDefault="00031406" w:rsidP="00031406">
      <w:pPr>
        <w:pStyle w:val="Tablenotes1"/>
        <w:rPr>
          <w:rFonts w:eastAsia="Calibri"/>
          <w:i/>
          <w:iCs/>
        </w:rPr>
      </w:pPr>
      <w:r>
        <w:rPr>
          <w:rFonts w:eastAsia="Calibri"/>
          <w:i/>
          <w:iCs/>
          <w:vertAlign w:val="superscript"/>
        </w:rPr>
        <w:t>1</w:t>
      </w:r>
      <w:r>
        <w:rPr>
          <w:rFonts w:eastAsia="Calibri"/>
          <w:i/>
          <w:iCs/>
        </w:rPr>
        <w:t xml:space="preserve"> 10,000 to &lt;20,000</w:t>
      </w:r>
    </w:p>
    <w:p w14:paraId="771D552E" w14:textId="6A25B392" w:rsidR="00031406" w:rsidRDefault="00031406" w:rsidP="00031406">
      <w:pPr>
        <w:pStyle w:val="Tablenotes1"/>
        <w:rPr>
          <w:rFonts w:eastAsia="Calibri"/>
          <w:i/>
          <w:iCs/>
        </w:rPr>
      </w:pPr>
      <w:r>
        <w:rPr>
          <w:rFonts w:eastAsia="Calibri"/>
          <w:i/>
          <w:iCs/>
          <w:vertAlign w:val="superscript"/>
        </w:rPr>
        <w:t>2</w:t>
      </w:r>
      <w:r>
        <w:rPr>
          <w:rFonts w:eastAsia="Calibri"/>
          <w:i/>
          <w:iCs/>
        </w:rPr>
        <w:t xml:space="preserve"> </w:t>
      </w:r>
      <w:r w:rsidR="00282ADD">
        <w:rPr>
          <w:rFonts w:eastAsia="Calibri"/>
          <w:i/>
          <w:iCs/>
        </w:rPr>
        <w:t>500 to &lt;5,000</w:t>
      </w:r>
    </w:p>
    <w:p w14:paraId="4366DC1A" w14:textId="2D5027E2" w:rsidR="00282ADD" w:rsidRDefault="00282ADD" w:rsidP="00031406">
      <w:pPr>
        <w:pStyle w:val="Tablenotes1"/>
        <w:rPr>
          <w:rFonts w:eastAsia="Calibri"/>
          <w:i/>
          <w:iCs/>
        </w:rPr>
      </w:pPr>
      <w:r>
        <w:rPr>
          <w:rFonts w:eastAsia="Calibri"/>
          <w:i/>
          <w:iCs/>
          <w:vertAlign w:val="superscript"/>
        </w:rPr>
        <w:t>3</w:t>
      </w:r>
      <w:r>
        <w:rPr>
          <w:rFonts w:eastAsia="Calibri"/>
          <w:i/>
          <w:iCs/>
        </w:rPr>
        <w:t xml:space="preserve"> &lt;</w:t>
      </w:r>
      <w:r w:rsidR="00D90A0E">
        <w:rPr>
          <w:rFonts w:eastAsia="Calibri"/>
          <w:i/>
          <w:iCs/>
        </w:rPr>
        <w:t xml:space="preserve"> </w:t>
      </w:r>
      <w:r>
        <w:rPr>
          <w:rFonts w:eastAsia="Calibri"/>
          <w:i/>
          <w:iCs/>
        </w:rPr>
        <w:t>$1</w:t>
      </w:r>
      <w:r w:rsidR="00EF1EC0">
        <w:rPr>
          <w:rFonts w:eastAsia="Calibri"/>
          <w:i/>
          <w:iCs/>
        </w:rPr>
        <w:t xml:space="preserve"> million</w:t>
      </w:r>
    </w:p>
    <w:p w14:paraId="144F0805" w14:textId="5388BBD4" w:rsidR="00282ADD" w:rsidRDefault="00282ADD" w:rsidP="00031406">
      <w:pPr>
        <w:pStyle w:val="Tablenotes1"/>
        <w:rPr>
          <w:rFonts w:eastAsia="Calibri"/>
          <w:i/>
          <w:iCs/>
        </w:rPr>
      </w:pPr>
      <w:r>
        <w:rPr>
          <w:rFonts w:eastAsia="Calibri"/>
          <w:i/>
          <w:iCs/>
          <w:vertAlign w:val="superscript"/>
        </w:rPr>
        <w:t>4</w:t>
      </w:r>
      <w:r>
        <w:rPr>
          <w:rFonts w:eastAsia="Calibri"/>
          <w:i/>
          <w:iCs/>
        </w:rPr>
        <w:t xml:space="preserve"> $1 million to &lt;$2 million</w:t>
      </w:r>
    </w:p>
    <w:p w14:paraId="22B91B14" w14:textId="2B9DA1C0" w:rsidR="0091272F" w:rsidRDefault="00D90A0E" w:rsidP="00031406">
      <w:pPr>
        <w:pStyle w:val="Tablenotes1"/>
        <w:rPr>
          <w:rFonts w:eastAsia="Calibri"/>
          <w:i/>
          <w:iCs/>
        </w:rPr>
      </w:pPr>
      <w:r>
        <w:rPr>
          <w:rFonts w:eastAsia="Calibri"/>
          <w:i/>
          <w:iCs/>
          <w:vertAlign w:val="superscript"/>
        </w:rPr>
        <w:t>5</w:t>
      </w:r>
      <w:r w:rsidR="0091272F">
        <w:rPr>
          <w:rFonts w:eastAsia="Calibri"/>
          <w:i/>
          <w:iCs/>
        </w:rPr>
        <w:t xml:space="preserve"> $2 million to &lt;$3 million</w:t>
      </w:r>
    </w:p>
    <w:p w14:paraId="38F2630B" w14:textId="59531E89" w:rsidR="00CB6CCB" w:rsidRDefault="00D90A0E" w:rsidP="00031406">
      <w:pPr>
        <w:pStyle w:val="Tablenotes1"/>
        <w:rPr>
          <w:rFonts w:eastAsia="Calibri"/>
          <w:i/>
          <w:iCs/>
        </w:rPr>
      </w:pPr>
      <w:r>
        <w:rPr>
          <w:rFonts w:eastAsia="Calibri"/>
          <w:i/>
          <w:iCs/>
          <w:vertAlign w:val="superscript"/>
        </w:rPr>
        <w:t>6</w:t>
      </w:r>
      <w:r w:rsidR="00CB6CCB">
        <w:rPr>
          <w:rFonts w:eastAsia="Calibri"/>
          <w:i/>
          <w:iCs/>
        </w:rPr>
        <w:t xml:space="preserve"> $3 million to &lt;$4 million</w:t>
      </w:r>
    </w:p>
    <w:p w14:paraId="31FE3D37" w14:textId="64C75B2A" w:rsidR="00CB6CCB" w:rsidRDefault="00D90A0E" w:rsidP="00031406">
      <w:pPr>
        <w:pStyle w:val="Tablenotes1"/>
        <w:rPr>
          <w:rFonts w:eastAsia="Calibri"/>
          <w:i/>
          <w:iCs/>
        </w:rPr>
      </w:pPr>
      <w:r>
        <w:rPr>
          <w:rFonts w:eastAsia="Calibri"/>
          <w:i/>
          <w:iCs/>
          <w:vertAlign w:val="superscript"/>
        </w:rPr>
        <w:t>7</w:t>
      </w:r>
      <w:r w:rsidR="00CB6CCB">
        <w:rPr>
          <w:rFonts w:eastAsia="Calibri"/>
          <w:i/>
          <w:iCs/>
        </w:rPr>
        <w:t xml:space="preserve"> $4 million to &lt;$5 million</w:t>
      </w:r>
    </w:p>
    <w:p w14:paraId="7536B677" w14:textId="5239533D" w:rsidR="00CB6CCB" w:rsidRDefault="00D90A0E" w:rsidP="00031406">
      <w:pPr>
        <w:pStyle w:val="Tablenotes1"/>
        <w:rPr>
          <w:rFonts w:eastAsia="Calibri"/>
          <w:i/>
          <w:iCs/>
        </w:rPr>
      </w:pPr>
      <w:r>
        <w:rPr>
          <w:rFonts w:eastAsia="Calibri"/>
          <w:i/>
          <w:iCs/>
          <w:vertAlign w:val="superscript"/>
        </w:rPr>
        <w:t>8</w:t>
      </w:r>
      <w:r w:rsidR="00282ADD">
        <w:rPr>
          <w:rFonts w:eastAsia="Calibri"/>
          <w:i/>
          <w:iCs/>
        </w:rPr>
        <w:t xml:space="preserve"> &lt; 500</w:t>
      </w:r>
      <w:r w:rsidR="004D4D49">
        <w:rPr>
          <w:rFonts w:eastAsia="Calibri"/>
          <w:i/>
          <w:iCs/>
          <w:vertAlign w:val="superscript"/>
        </w:rPr>
        <w:t>9</w:t>
      </w:r>
      <w:r w:rsidR="00CB6CCB">
        <w:rPr>
          <w:rFonts w:eastAsia="Calibri"/>
          <w:i/>
          <w:iCs/>
        </w:rPr>
        <w:t xml:space="preserve"> $5 million to &lt;$6 million</w:t>
      </w:r>
    </w:p>
    <w:p w14:paraId="38A92EDF" w14:textId="1A5D8E23" w:rsidR="00CB6CCB" w:rsidRPr="00CB6CCB" w:rsidRDefault="00CB6CCB" w:rsidP="00031406">
      <w:pPr>
        <w:pStyle w:val="Tablenotes1"/>
        <w:rPr>
          <w:rFonts w:eastAsia="Calibri"/>
          <w:i/>
          <w:iCs/>
        </w:rPr>
      </w:pPr>
      <w:r>
        <w:rPr>
          <w:rFonts w:eastAsia="Calibri"/>
          <w:i/>
          <w:iCs/>
          <w:vertAlign w:val="superscript"/>
        </w:rPr>
        <w:t>1</w:t>
      </w:r>
      <w:r w:rsidR="004D4D49">
        <w:rPr>
          <w:rFonts w:eastAsia="Calibri"/>
          <w:i/>
          <w:iCs/>
          <w:vertAlign w:val="superscript"/>
        </w:rPr>
        <w:t>0</w:t>
      </w:r>
      <w:r>
        <w:rPr>
          <w:rFonts w:eastAsia="Calibri"/>
          <w:i/>
          <w:iCs/>
        </w:rPr>
        <w:t xml:space="preserve"> $6 million to &lt;$7 million</w:t>
      </w:r>
    </w:p>
    <w:p w14:paraId="68C6CF08" w14:textId="53847DF9" w:rsidR="00986EC1" w:rsidRPr="00986EC1" w:rsidRDefault="00986EC1" w:rsidP="00986EC1">
      <w:pPr>
        <w:keepNext/>
        <w:spacing w:before="360" w:after="120"/>
        <w:ind w:left="794" w:hanging="794"/>
        <w:rPr>
          <w:rFonts w:ascii="Arial Narrow" w:hAnsi="Arial Narrow"/>
          <w:b/>
          <w:bCs/>
          <w:sz w:val="20"/>
          <w:lang w:eastAsia="en-US"/>
        </w:rPr>
      </w:pPr>
      <w:bookmarkStart w:id="80" w:name="_Ref80013479"/>
      <w:r w:rsidRPr="00986EC1">
        <w:rPr>
          <w:rFonts w:ascii="Arial Narrow" w:hAnsi="Arial Narrow"/>
          <w:b/>
          <w:bCs/>
          <w:sz w:val="20"/>
          <w:lang w:eastAsia="en-US"/>
        </w:rPr>
        <w:t xml:space="preserve">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25</w:t>
      </w:r>
      <w:r w:rsidRPr="00986EC1">
        <w:rPr>
          <w:rFonts w:ascii="Arial Narrow" w:hAnsi="Arial Narrow"/>
          <w:b/>
          <w:bCs/>
          <w:noProof/>
          <w:sz w:val="20"/>
          <w:lang w:eastAsia="en-US"/>
        </w:rPr>
        <w:fldChar w:fldCharType="end"/>
      </w:r>
      <w:bookmarkEnd w:id="80"/>
      <w:r w:rsidRPr="00986EC1">
        <w:rPr>
          <w:rFonts w:ascii="Arial Narrow" w:hAnsi="Arial Narrow"/>
          <w:b/>
          <w:bCs/>
          <w:sz w:val="20"/>
          <w:lang w:eastAsia="en-US"/>
        </w:rPr>
        <w:tab/>
        <w:t>Net financial implications of IDS to the MBS – sensitivity analysis 13% index fusion</w:t>
      </w:r>
    </w:p>
    <w:tbl>
      <w:tblPr>
        <w:tblStyle w:val="OPTUMTableNormal"/>
        <w:tblW w:w="0" w:type="auto"/>
        <w:tblCellMar>
          <w:left w:w="0" w:type="dxa"/>
          <w:right w:w="0" w:type="dxa"/>
        </w:tblCellMar>
        <w:tblLook w:val="04A0" w:firstRow="1" w:lastRow="0" w:firstColumn="1" w:lastColumn="0" w:noHBand="0" w:noVBand="1"/>
        <w:tblDescription w:val="Net financial implications of IDS to the MBS – sensitivity analysis 13% index fusion"/>
      </w:tblPr>
      <w:tblGrid>
        <w:gridCol w:w="3109"/>
        <w:gridCol w:w="1179"/>
        <w:gridCol w:w="1179"/>
        <w:gridCol w:w="1180"/>
        <w:gridCol w:w="1179"/>
        <w:gridCol w:w="1180"/>
      </w:tblGrid>
      <w:tr w:rsidR="00C050A5" w:rsidRPr="00986EC1" w14:paraId="08D7441D" w14:textId="77777777" w:rsidTr="005917C2">
        <w:trPr>
          <w:cnfStyle w:val="100000000000" w:firstRow="1" w:lastRow="0" w:firstColumn="0" w:lastColumn="0" w:oddVBand="0" w:evenVBand="0" w:oddHBand="0" w:evenHBand="0" w:firstRowFirstColumn="0" w:firstRowLastColumn="0" w:lastRowFirstColumn="0" w:lastRowLastColumn="0"/>
          <w:tblHeader/>
        </w:trPr>
        <w:tc>
          <w:tcPr>
            <w:tcW w:w="3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014A50"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 xml:space="preserve">Parameter </w:t>
            </w:r>
          </w:p>
        </w:tc>
        <w:tc>
          <w:tcPr>
            <w:tcW w:w="11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8CA1D4"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Year 1</w:t>
            </w:r>
          </w:p>
        </w:tc>
        <w:tc>
          <w:tcPr>
            <w:tcW w:w="11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28EF6C"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Year 2</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75DEED"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Year 3</w:t>
            </w:r>
          </w:p>
        </w:tc>
        <w:tc>
          <w:tcPr>
            <w:tcW w:w="11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F5E8AA"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Year 4</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EB8EF0"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Year 5</w:t>
            </w:r>
          </w:p>
        </w:tc>
      </w:tr>
      <w:tr w:rsidR="00986EC1" w:rsidRPr="00986EC1" w14:paraId="1310DB53" w14:textId="77777777" w:rsidTr="005917C2">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CC57B"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Estimated use and cost of the proposed health technology</w:t>
            </w:r>
          </w:p>
        </w:tc>
      </w:tr>
      <w:tr w:rsidR="00C050A5" w:rsidRPr="00986EC1" w14:paraId="5FEA958D" w14:textId="77777777" w:rsidTr="005917C2">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AB840" w14:textId="77777777" w:rsidR="00EF1EC0" w:rsidRPr="00986EC1" w:rsidRDefault="00EF1EC0" w:rsidP="00EF1EC0">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Number of people eligible for IDS (decompression ± spinal fusion (1 or 2 levels))</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7E3B3275" w14:textId="7C3B39FA" w:rsidR="00EF1EC0" w:rsidRPr="00986EC1" w:rsidRDefault="00EF1EC0" w:rsidP="00EF1EC0">
            <w:pPr>
              <w:keepNext/>
              <w:spacing w:after="40" w:line="256" w:lineRule="auto"/>
              <w:rPr>
                <w:rFonts w:ascii="Arial Narrow" w:eastAsia="Calibri" w:hAnsi="Arial Narrow"/>
                <w:sz w:val="20"/>
                <w:szCs w:val="22"/>
                <w:lang w:eastAsia="en-US"/>
              </w:rPr>
            </w:pPr>
            <w:r>
              <w:rPr>
                <w:rFonts w:ascii="Arial Narrow" w:eastAsia="Calibri" w:hAnsi="Arial Narrow"/>
                <w:b/>
                <w:bCs/>
                <w:sz w:val="20"/>
                <w:szCs w:val="22"/>
                <w:lang w:eastAsia="en-US"/>
              </w:rPr>
              <w:t>Redacted</w:t>
            </w:r>
            <w:r w:rsidRPr="00EF1EC0">
              <w:rPr>
                <w:rFonts w:ascii="Arial Narrow" w:eastAsia="Calibri" w:hAnsi="Arial Narrow"/>
                <w:sz w:val="20"/>
                <w:szCs w:val="22"/>
                <w:vertAlign w:val="superscript"/>
                <w:lang w:eastAsia="en-US"/>
              </w:rPr>
              <w:t>1</w:t>
            </w:r>
            <w:r w:rsidRPr="00986EC1">
              <w:rPr>
                <w:rFonts w:ascii="Arial Narrow" w:eastAsia="Calibri" w:hAnsi="Arial Narrow"/>
                <w:sz w:val="20"/>
                <w:szCs w:val="22"/>
                <w:lang w:eastAsia="en-US"/>
              </w:rPr>
              <w:t xml:space="preserve">  </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400BB016" w14:textId="072C1E77" w:rsidR="00EF1EC0" w:rsidRPr="00986EC1" w:rsidRDefault="00EF1EC0" w:rsidP="00EF1EC0">
            <w:pPr>
              <w:keepNext/>
              <w:spacing w:after="40" w:line="256" w:lineRule="auto"/>
              <w:rPr>
                <w:rFonts w:ascii="Arial Narrow" w:eastAsia="Calibri" w:hAnsi="Arial Narrow"/>
                <w:sz w:val="20"/>
                <w:szCs w:val="22"/>
                <w:lang w:eastAsia="en-US"/>
              </w:rPr>
            </w:pPr>
            <w:r w:rsidRPr="007C34A4">
              <w:rPr>
                <w:rFonts w:ascii="Arial Narrow" w:eastAsia="Calibri" w:hAnsi="Arial Narrow"/>
                <w:b/>
                <w:bCs/>
                <w:sz w:val="20"/>
                <w:szCs w:val="22"/>
                <w:lang w:eastAsia="en-US"/>
              </w:rPr>
              <w:t>Redacted</w:t>
            </w:r>
            <w:r w:rsidRPr="007C34A4">
              <w:rPr>
                <w:rFonts w:ascii="Arial Narrow" w:eastAsia="Calibri" w:hAnsi="Arial Narrow"/>
                <w:sz w:val="20"/>
                <w:szCs w:val="22"/>
                <w:vertAlign w:val="superscript"/>
                <w:lang w:eastAsia="en-US"/>
              </w:rPr>
              <w:t>1</w:t>
            </w:r>
            <w:r w:rsidRPr="007C34A4">
              <w:rPr>
                <w:rFonts w:ascii="Arial Narrow" w:eastAsia="Calibri" w:hAnsi="Arial Narrow"/>
                <w:sz w:val="20"/>
                <w:szCs w:val="22"/>
                <w:lang w:eastAsia="en-US"/>
              </w:rPr>
              <w:t xml:space="preserve"> </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1B6EFFF4" w14:textId="42996B69" w:rsidR="00EF1EC0" w:rsidRPr="00986EC1" w:rsidRDefault="00EF1EC0" w:rsidP="00EF1EC0">
            <w:pPr>
              <w:keepNext/>
              <w:spacing w:after="40" w:line="256" w:lineRule="auto"/>
              <w:rPr>
                <w:rFonts w:ascii="Arial Narrow" w:eastAsia="Calibri" w:hAnsi="Arial Narrow"/>
                <w:sz w:val="20"/>
                <w:szCs w:val="22"/>
                <w:lang w:eastAsia="en-US"/>
              </w:rPr>
            </w:pPr>
            <w:r w:rsidRPr="007C34A4">
              <w:rPr>
                <w:rFonts w:ascii="Arial Narrow" w:eastAsia="Calibri" w:hAnsi="Arial Narrow"/>
                <w:b/>
                <w:bCs/>
                <w:sz w:val="20"/>
                <w:szCs w:val="22"/>
                <w:lang w:eastAsia="en-US"/>
              </w:rPr>
              <w:t>Redacted</w:t>
            </w:r>
            <w:r w:rsidRPr="007C34A4">
              <w:rPr>
                <w:rFonts w:ascii="Arial Narrow" w:eastAsia="Calibri" w:hAnsi="Arial Narrow"/>
                <w:sz w:val="20"/>
                <w:szCs w:val="22"/>
                <w:vertAlign w:val="superscript"/>
                <w:lang w:eastAsia="en-US"/>
              </w:rPr>
              <w:t>1</w:t>
            </w:r>
            <w:r w:rsidRPr="007C34A4">
              <w:rPr>
                <w:rFonts w:ascii="Arial Narrow" w:eastAsia="Calibri" w:hAnsi="Arial Narrow"/>
                <w:sz w:val="20"/>
                <w:szCs w:val="22"/>
                <w:lang w:eastAsia="en-US"/>
              </w:rPr>
              <w:t xml:space="preserve"> </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0C5E03D1" w14:textId="12BA6D1F" w:rsidR="00EF1EC0" w:rsidRPr="00986EC1" w:rsidRDefault="00EF1EC0" w:rsidP="00EF1EC0">
            <w:pPr>
              <w:keepNext/>
              <w:spacing w:after="40" w:line="256" w:lineRule="auto"/>
              <w:rPr>
                <w:rFonts w:ascii="Arial Narrow" w:eastAsia="Calibri" w:hAnsi="Arial Narrow"/>
                <w:sz w:val="20"/>
                <w:szCs w:val="22"/>
                <w:lang w:eastAsia="en-US"/>
              </w:rPr>
            </w:pPr>
            <w:r w:rsidRPr="007C34A4">
              <w:rPr>
                <w:rFonts w:ascii="Arial Narrow" w:eastAsia="Calibri" w:hAnsi="Arial Narrow"/>
                <w:b/>
                <w:bCs/>
                <w:sz w:val="20"/>
                <w:szCs w:val="22"/>
                <w:lang w:eastAsia="en-US"/>
              </w:rPr>
              <w:t>Redacted</w:t>
            </w:r>
            <w:r w:rsidRPr="007C34A4">
              <w:rPr>
                <w:rFonts w:ascii="Arial Narrow" w:eastAsia="Calibri" w:hAnsi="Arial Narrow"/>
                <w:sz w:val="20"/>
                <w:szCs w:val="22"/>
                <w:vertAlign w:val="superscript"/>
                <w:lang w:eastAsia="en-US"/>
              </w:rPr>
              <w:t>1</w:t>
            </w:r>
            <w:r w:rsidRPr="007C34A4">
              <w:rPr>
                <w:rFonts w:ascii="Arial Narrow" w:eastAsia="Calibri" w:hAnsi="Arial Narrow"/>
                <w:sz w:val="20"/>
                <w:szCs w:val="22"/>
                <w:lang w:eastAsia="en-US"/>
              </w:rPr>
              <w:t xml:space="preserve"> </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0DC52A0B" w14:textId="14F8E6CD" w:rsidR="00EF1EC0" w:rsidRPr="00986EC1" w:rsidRDefault="00EF1EC0" w:rsidP="00EF1EC0">
            <w:pPr>
              <w:keepNext/>
              <w:spacing w:after="40" w:line="256" w:lineRule="auto"/>
              <w:rPr>
                <w:rFonts w:ascii="Arial Narrow" w:eastAsia="Calibri" w:hAnsi="Arial Narrow"/>
                <w:sz w:val="20"/>
                <w:szCs w:val="22"/>
                <w:lang w:eastAsia="en-US"/>
              </w:rPr>
            </w:pPr>
            <w:r w:rsidRPr="007C34A4">
              <w:rPr>
                <w:rFonts w:ascii="Arial Narrow" w:eastAsia="Calibri" w:hAnsi="Arial Narrow"/>
                <w:b/>
                <w:bCs/>
                <w:sz w:val="20"/>
                <w:szCs w:val="22"/>
                <w:lang w:eastAsia="en-US"/>
              </w:rPr>
              <w:t>Redacted</w:t>
            </w:r>
            <w:r w:rsidRPr="007C34A4">
              <w:rPr>
                <w:rFonts w:ascii="Arial Narrow" w:eastAsia="Calibri" w:hAnsi="Arial Narrow"/>
                <w:sz w:val="20"/>
                <w:szCs w:val="22"/>
                <w:vertAlign w:val="superscript"/>
                <w:lang w:eastAsia="en-US"/>
              </w:rPr>
              <w:t>1</w:t>
            </w:r>
            <w:r w:rsidRPr="007C34A4">
              <w:rPr>
                <w:rFonts w:ascii="Arial Narrow" w:eastAsia="Calibri" w:hAnsi="Arial Narrow"/>
                <w:sz w:val="20"/>
                <w:szCs w:val="22"/>
                <w:lang w:eastAsia="en-US"/>
              </w:rPr>
              <w:t xml:space="preserve"> </w:t>
            </w:r>
          </w:p>
        </w:tc>
      </w:tr>
      <w:tr w:rsidR="00C050A5" w:rsidRPr="00986EC1" w14:paraId="11D2E869" w14:textId="77777777" w:rsidTr="005917C2">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82CD8" w14:textId="77777777" w:rsidR="00EF1EC0" w:rsidRPr="00986EC1" w:rsidRDefault="00EF1EC0" w:rsidP="00EF1EC0">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Number of people who receive IDS</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2E5D4684" w14:textId="2BBB0437" w:rsidR="00EF1EC0" w:rsidRPr="00986EC1" w:rsidRDefault="00EF1EC0" w:rsidP="00EF1EC0">
            <w:pPr>
              <w:keepNext/>
              <w:spacing w:after="40" w:line="256" w:lineRule="auto"/>
              <w:rPr>
                <w:rFonts w:ascii="Arial Narrow" w:eastAsia="Calibri" w:hAnsi="Arial Narrow"/>
                <w:sz w:val="20"/>
                <w:szCs w:val="22"/>
                <w:lang w:eastAsia="en-US"/>
              </w:rPr>
            </w:pPr>
            <w:r>
              <w:rPr>
                <w:rFonts w:ascii="Arial Narrow" w:eastAsia="Calibri" w:hAnsi="Arial Narrow"/>
                <w:b/>
                <w:bCs/>
                <w:sz w:val="20"/>
                <w:szCs w:val="22"/>
                <w:lang w:eastAsia="en-US"/>
              </w:rPr>
              <w:t>Redacted</w:t>
            </w:r>
            <w:r>
              <w:rPr>
                <w:rFonts w:ascii="Arial Narrow" w:eastAsia="Calibri" w:hAnsi="Arial Narrow"/>
                <w:sz w:val="20"/>
                <w:szCs w:val="22"/>
                <w:vertAlign w:val="superscript"/>
                <w:lang w:eastAsia="en-US"/>
              </w:rPr>
              <w:t>2</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4B670CF2" w14:textId="409D7F3B" w:rsidR="00EF1EC0" w:rsidRPr="00986EC1" w:rsidRDefault="00EF1EC0" w:rsidP="00EF1EC0">
            <w:pPr>
              <w:keepNext/>
              <w:spacing w:after="40" w:line="256" w:lineRule="auto"/>
              <w:rPr>
                <w:rFonts w:ascii="Arial Narrow" w:eastAsia="Calibri" w:hAnsi="Arial Narrow"/>
                <w:sz w:val="20"/>
                <w:szCs w:val="22"/>
                <w:lang w:eastAsia="en-US"/>
              </w:rPr>
            </w:pPr>
            <w:r w:rsidRPr="003074D3">
              <w:rPr>
                <w:rFonts w:ascii="Arial Narrow" w:eastAsia="Calibri" w:hAnsi="Arial Narrow"/>
                <w:b/>
                <w:bCs/>
                <w:sz w:val="20"/>
                <w:szCs w:val="22"/>
                <w:lang w:eastAsia="en-US"/>
              </w:rPr>
              <w:t>Redacted</w:t>
            </w:r>
            <w:r w:rsidRPr="003074D3">
              <w:rPr>
                <w:rFonts w:ascii="Arial Narrow" w:eastAsia="Calibri" w:hAnsi="Arial Narrow"/>
                <w:sz w:val="20"/>
                <w:szCs w:val="22"/>
                <w:vertAlign w:val="superscript"/>
                <w:lang w:eastAsia="en-US"/>
              </w:rPr>
              <w:t>2</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4B687555" w14:textId="7526DEAF" w:rsidR="00EF1EC0" w:rsidRPr="00986EC1" w:rsidRDefault="00EF1EC0" w:rsidP="00EF1EC0">
            <w:pPr>
              <w:keepNext/>
              <w:spacing w:after="40" w:line="256" w:lineRule="auto"/>
              <w:rPr>
                <w:rFonts w:ascii="Arial Narrow" w:eastAsia="Calibri" w:hAnsi="Arial Narrow"/>
                <w:sz w:val="20"/>
                <w:szCs w:val="22"/>
                <w:lang w:eastAsia="en-US"/>
              </w:rPr>
            </w:pPr>
            <w:r w:rsidRPr="003074D3">
              <w:rPr>
                <w:rFonts w:ascii="Arial Narrow" w:eastAsia="Calibri" w:hAnsi="Arial Narrow"/>
                <w:b/>
                <w:bCs/>
                <w:sz w:val="20"/>
                <w:szCs w:val="22"/>
                <w:lang w:eastAsia="en-US"/>
              </w:rPr>
              <w:t>Redacted</w:t>
            </w:r>
            <w:r w:rsidRPr="003074D3">
              <w:rPr>
                <w:rFonts w:ascii="Arial Narrow" w:eastAsia="Calibri" w:hAnsi="Arial Narrow"/>
                <w:sz w:val="20"/>
                <w:szCs w:val="22"/>
                <w:vertAlign w:val="superscript"/>
                <w:lang w:eastAsia="en-US"/>
              </w:rPr>
              <w:t>2</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016A1A6B" w14:textId="6F39E11F" w:rsidR="00EF1EC0" w:rsidRPr="00986EC1" w:rsidRDefault="00EF1EC0" w:rsidP="00EF1EC0">
            <w:pPr>
              <w:keepNext/>
              <w:spacing w:after="40" w:line="256" w:lineRule="auto"/>
              <w:rPr>
                <w:rFonts w:ascii="Arial Narrow" w:eastAsia="Calibri" w:hAnsi="Arial Narrow"/>
                <w:sz w:val="20"/>
                <w:szCs w:val="22"/>
                <w:lang w:eastAsia="en-US"/>
              </w:rPr>
            </w:pPr>
            <w:r w:rsidRPr="003074D3">
              <w:rPr>
                <w:rFonts w:ascii="Arial Narrow" w:eastAsia="Calibri" w:hAnsi="Arial Narrow"/>
                <w:b/>
                <w:bCs/>
                <w:sz w:val="20"/>
                <w:szCs w:val="22"/>
                <w:lang w:eastAsia="en-US"/>
              </w:rPr>
              <w:t>Redacted</w:t>
            </w:r>
            <w:r w:rsidRPr="003074D3">
              <w:rPr>
                <w:rFonts w:ascii="Arial Narrow" w:eastAsia="Calibri" w:hAnsi="Arial Narrow"/>
                <w:sz w:val="20"/>
                <w:szCs w:val="22"/>
                <w:vertAlign w:val="superscript"/>
                <w:lang w:eastAsia="en-US"/>
              </w:rPr>
              <w:t>2</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5E843ADC" w14:textId="1A7E64B7" w:rsidR="00EF1EC0" w:rsidRPr="00986EC1" w:rsidRDefault="00EF1EC0" w:rsidP="00EF1EC0">
            <w:pPr>
              <w:keepNext/>
              <w:spacing w:after="40" w:line="256" w:lineRule="auto"/>
              <w:rPr>
                <w:rFonts w:ascii="Arial Narrow" w:eastAsia="Calibri" w:hAnsi="Arial Narrow"/>
                <w:sz w:val="20"/>
                <w:szCs w:val="22"/>
                <w:lang w:eastAsia="en-US"/>
              </w:rPr>
            </w:pPr>
            <w:r w:rsidRPr="003074D3">
              <w:rPr>
                <w:rFonts w:ascii="Arial Narrow" w:eastAsia="Calibri" w:hAnsi="Arial Narrow"/>
                <w:b/>
                <w:bCs/>
                <w:sz w:val="20"/>
                <w:szCs w:val="22"/>
                <w:lang w:eastAsia="en-US"/>
              </w:rPr>
              <w:t>Redacted</w:t>
            </w:r>
            <w:r w:rsidRPr="003074D3">
              <w:rPr>
                <w:rFonts w:ascii="Arial Narrow" w:eastAsia="Calibri" w:hAnsi="Arial Narrow"/>
                <w:sz w:val="20"/>
                <w:szCs w:val="22"/>
                <w:vertAlign w:val="superscript"/>
                <w:lang w:eastAsia="en-US"/>
              </w:rPr>
              <w:t>2</w:t>
            </w:r>
          </w:p>
        </w:tc>
      </w:tr>
      <w:tr w:rsidR="00C050A5" w:rsidRPr="00986EC1" w14:paraId="41851278" w14:textId="77777777" w:rsidTr="005917C2">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AC4F5"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Cost to the MBS (75% benefit)</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7AD2C969" w14:textId="7DEA7D18"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EF1EC0">
              <w:rPr>
                <w:rFonts w:ascii="Arial Narrow" w:eastAsia="Calibri" w:hAnsi="Arial Narrow"/>
                <w:sz w:val="20"/>
                <w:szCs w:val="22"/>
                <w:vertAlign w:val="superscript"/>
                <w:lang w:eastAsia="en-US"/>
              </w:rPr>
              <w:t>4</w:t>
            </w:r>
            <w:r w:rsidR="00EF1EC0" w:rsidRPr="00986EC1">
              <w:rPr>
                <w:rFonts w:ascii="Arial Narrow" w:eastAsia="Calibri" w:hAnsi="Arial Narrow"/>
                <w:sz w:val="20"/>
                <w:szCs w:val="22"/>
                <w:lang w:eastAsia="en-US"/>
              </w:rPr>
              <w:t xml:space="preserve"> </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0385BC41" w14:textId="27CDFFE6"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EF1EC0">
              <w:rPr>
                <w:rFonts w:ascii="Arial Narrow" w:eastAsia="Calibri" w:hAnsi="Arial Narrow"/>
                <w:sz w:val="20"/>
                <w:szCs w:val="22"/>
                <w:vertAlign w:val="superscript"/>
                <w:lang w:eastAsia="en-US"/>
              </w:rPr>
              <w:t xml:space="preserve">4 </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3C93CDE0" w14:textId="24DEEFE6"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EF1EC0">
              <w:rPr>
                <w:rFonts w:ascii="Arial Narrow" w:eastAsia="Calibri" w:hAnsi="Arial Narrow"/>
                <w:sz w:val="20"/>
                <w:szCs w:val="22"/>
                <w:vertAlign w:val="superscript"/>
                <w:lang w:eastAsia="en-US"/>
              </w:rPr>
              <w:t xml:space="preserve">5 </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0D4DD010" w14:textId="17A62020"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EF1EC0">
              <w:rPr>
                <w:rFonts w:ascii="Arial Narrow" w:eastAsia="Calibri" w:hAnsi="Arial Narrow"/>
                <w:sz w:val="20"/>
                <w:szCs w:val="22"/>
                <w:vertAlign w:val="superscript"/>
                <w:lang w:eastAsia="en-US"/>
              </w:rPr>
              <w:t xml:space="preserve">5 </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7D33A670" w14:textId="5B2B2FBC"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EF1EC0">
              <w:rPr>
                <w:rFonts w:ascii="Arial Narrow" w:eastAsia="Calibri" w:hAnsi="Arial Narrow"/>
                <w:sz w:val="20"/>
                <w:szCs w:val="22"/>
                <w:vertAlign w:val="superscript"/>
                <w:lang w:eastAsia="en-US"/>
              </w:rPr>
              <w:t xml:space="preserve">6 </w:t>
            </w:r>
          </w:p>
        </w:tc>
      </w:tr>
      <w:tr w:rsidR="00C050A5" w:rsidRPr="00986EC1" w14:paraId="754E8FA5" w14:textId="77777777" w:rsidTr="005917C2">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226222"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Cost to the MBS of change in use of associated services (anaesthesia)</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271B7258" w14:textId="22D31D69"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5D2DFC">
              <w:rPr>
                <w:rFonts w:ascii="Arial Narrow" w:eastAsia="Calibri" w:hAnsi="Arial Narrow"/>
                <w:sz w:val="20"/>
                <w:szCs w:val="22"/>
                <w:vertAlign w:val="superscript"/>
                <w:lang w:eastAsia="en-US"/>
              </w:rPr>
              <w:t>4</w:t>
            </w:r>
            <w:r w:rsidR="00EF1EC0">
              <w:rPr>
                <w:rFonts w:ascii="Arial Narrow" w:eastAsia="Calibri" w:hAnsi="Arial Narrow"/>
                <w:sz w:val="20"/>
                <w:szCs w:val="22"/>
                <w:vertAlign w:val="superscript"/>
                <w:lang w:eastAsia="en-US"/>
              </w:rPr>
              <w:t xml:space="preserve"> </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62FE5217" w14:textId="04ECB420"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5D2DFC">
              <w:rPr>
                <w:rFonts w:ascii="Arial Narrow" w:eastAsia="Calibri" w:hAnsi="Arial Narrow"/>
                <w:sz w:val="20"/>
                <w:szCs w:val="22"/>
                <w:vertAlign w:val="superscript"/>
                <w:lang w:eastAsia="en-US"/>
              </w:rPr>
              <w:t>4</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51A01811" w14:textId="07C6ECD8"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EF1EC0">
              <w:rPr>
                <w:rFonts w:ascii="Arial Narrow" w:eastAsia="Calibri" w:hAnsi="Arial Narrow"/>
                <w:sz w:val="20"/>
                <w:szCs w:val="22"/>
                <w:vertAlign w:val="superscript"/>
                <w:lang w:eastAsia="en-US"/>
              </w:rPr>
              <w:t xml:space="preserve">4 </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05C82A9B" w14:textId="7578DD4D"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EF1EC0">
              <w:rPr>
                <w:rFonts w:ascii="Arial Narrow" w:eastAsia="Calibri" w:hAnsi="Arial Narrow"/>
                <w:sz w:val="20"/>
                <w:szCs w:val="22"/>
                <w:vertAlign w:val="superscript"/>
                <w:lang w:eastAsia="en-US"/>
              </w:rPr>
              <w:t xml:space="preserve">4 </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6B173B65" w14:textId="38CED413"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EF1EC0">
              <w:rPr>
                <w:rFonts w:ascii="Arial Narrow" w:eastAsia="Calibri" w:hAnsi="Arial Narrow"/>
                <w:sz w:val="20"/>
                <w:szCs w:val="22"/>
                <w:vertAlign w:val="superscript"/>
                <w:lang w:eastAsia="en-US"/>
              </w:rPr>
              <w:t xml:space="preserve">4 </w:t>
            </w:r>
          </w:p>
        </w:tc>
      </w:tr>
      <w:tr w:rsidR="00986EC1" w:rsidRPr="00986EC1" w14:paraId="58D8A1E6" w14:textId="77777777" w:rsidTr="005917C2">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993D1"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Change in use and cost of other health technologies</w:t>
            </w:r>
          </w:p>
        </w:tc>
      </w:tr>
      <w:tr w:rsidR="00C050A5" w:rsidRPr="00986EC1" w14:paraId="795D25F3" w14:textId="77777777" w:rsidTr="005917C2">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C7E0C1" w14:textId="77777777" w:rsidR="00EF1EC0" w:rsidRPr="00986EC1" w:rsidRDefault="00EF1EC0" w:rsidP="00EF1EC0">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Change in use of decompression due to substitution and reoperation</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54060AAD" w14:textId="71AAB58A" w:rsidR="00EF1EC0" w:rsidRPr="00986EC1" w:rsidRDefault="00EF1EC0" w:rsidP="00EF1EC0">
            <w:pPr>
              <w:keepNext/>
              <w:spacing w:after="40" w:line="256" w:lineRule="auto"/>
              <w:rPr>
                <w:rFonts w:ascii="Arial Narrow" w:eastAsia="Calibri" w:hAnsi="Arial Narrow"/>
                <w:sz w:val="20"/>
                <w:szCs w:val="22"/>
                <w:lang w:eastAsia="en-US"/>
              </w:rPr>
            </w:pPr>
            <w:r>
              <w:rPr>
                <w:rFonts w:ascii="Arial Narrow" w:eastAsia="Calibri" w:hAnsi="Arial Narrow"/>
                <w:b/>
                <w:bCs/>
                <w:sz w:val="20"/>
                <w:szCs w:val="22"/>
                <w:lang w:eastAsia="en-US"/>
              </w:rPr>
              <w:t>-Redacted</w:t>
            </w:r>
            <w:r>
              <w:rPr>
                <w:rFonts w:ascii="Arial Narrow" w:eastAsia="Calibri" w:hAnsi="Arial Narrow"/>
                <w:sz w:val="20"/>
                <w:szCs w:val="22"/>
                <w:vertAlign w:val="superscript"/>
                <w:lang w:eastAsia="en-US"/>
              </w:rPr>
              <w:t xml:space="preserve">2 </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06D48264" w14:textId="3D036AC4" w:rsidR="00EF1EC0" w:rsidRPr="00986EC1" w:rsidRDefault="00EF1EC0" w:rsidP="00EF1EC0">
            <w:pPr>
              <w:keepNext/>
              <w:spacing w:after="40" w:line="256" w:lineRule="auto"/>
              <w:rPr>
                <w:rFonts w:ascii="Arial Narrow" w:eastAsia="Calibri" w:hAnsi="Arial Narrow"/>
                <w:sz w:val="20"/>
                <w:szCs w:val="22"/>
                <w:lang w:eastAsia="en-US"/>
              </w:rPr>
            </w:pPr>
            <w:r w:rsidRPr="00831A59">
              <w:rPr>
                <w:rFonts w:ascii="Arial Narrow" w:eastAsia="Calibri" w:hAnsi="Arial Narrow"/>
                <w:b/>
                <w:bCs/>
                <w:sz w:val="20"/>
                <w:szCs w:val="22"/>
                <w:lang w:eastAsia="en-US"/>
              </w:rPr>
              <w:t>-Redacted</w:t>
            </w:r>
            <w:r w:rsidRPr="00831A59">
              <w:rPr>
                <w:rFonts w:ascii="Arial Narrow" w:eastAsia="Calibri" w:hAnsi="Arial Narrow"/>
                <w:sz w:val="20"/>
                <w:szCs w:val="22"/>
                <w:vertAlign w:val="superscript"/>
                <w:lang w:eastAsia="en-US"/>
              </w:rPr>
              <w:t xml:space="preserve">2 </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219AED41" w14:textId="4723AFF4" w:rsidR="00EF1EC0" w:rsidRPr="00986EC1" w:rsidRDefault="00EF1EC0" w:rsidP="00EF1EC0">
            <w:pPr>
              <w:keepNext/>
              <w:spacing w:after="40" w:line="256" w:lineRule="auto"/>
              <w:rPr>
                <w:rFonts w:ascii="Arial Narrow" w:eastAsia="Calibri" w:hAnsi="Arial Narrow"/>
                <w:sz w:val="20"/>
                <w:szCs w:val="22"/>
                <w:lang w:eastAsia="en-US"/>
              </w:rPr>
            </w:pPr>
            <w:r w:rsidRPr="00831A59">
              <w:rPr>
                <w:rFonts w:ascii="Arial Narrow" w:eastAsia="Calibri" w:hAnsi="Arial Narrow"/>
                <w:b/>
                <w:bCs/>
                <w:sz w:val="20"/>
                <w:szCs w:val="22"/>
                <w:lang w:eastAsia="en-US"/>
              </w:rPr>
              <w:t>-Redacted</w:t>
            </w:r>
            <w:r w:rsidRPr="00831A59">
              <w:rPr>
                <w:rFonts w:ascii="Arial Narrow" w:eastAsia="Calibri" w:hAnsi="Arial Narrow"/>
                <w:sz w:val="20"/>
                <w:szCs w:val="22"/>
                <w:vertAlign w:val="superscript"/>
                <w:lang w:eastAsia="en-US"/>
              </w:rPr>
              <w:t xml:space="preserve">2 </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4F8C8F8F" w14:textId="3F21F9CF" w:rsidR="00EF1EC0" w:rsidRPr="00986EC1" w:rsidRDefault="00EF1EC0" w:rsidP="00EF1EC0">
            <w:pPr>
              <w:keepNext/>
              <w:spacing w:after="40" w:line="256" w:lineRule="auto"/>
              <w:rPr>
                <w:rFonts w:ascii="Arial Narrow" w:eastAsia="Calibri" w:hAnsi="Arial Narrow"/>
                <w:sz w:val="20"/>
                <w:szCs w:val="22"/>
                <w:lang w:eastAsia="en-US"/>
              </w:rPr>
            </w:pPr>
            <w:r w:rsidRPr="00831A59">
              <w:rPr>
                <w:rFonts w:ascii="Arial Narrow" w:eastAsia="Calibri" w:hAnsi="Arial Narrow"/>
                <w:b/>
                <w:bCs/>
                <w:sz w:val="20"/>
                <w:szCs w:val="22"/>
                <w:lang w:eastAsia="en-US"/>
              </w:rPr>
              <w:t>-Redacted</w:t>
            </w:r>
            <w:r w:rsidRPr="00831A59">
              <w:rPr>
                <w:rFonts w:ascii="Arial Narrow" w:eastAsia="Calibri" w:hAnsi="Arial Narrow"/>
                <w:sz w:val="20"/>
                <w:szCs w:val="22"/>
                <w:vertAlign w:val="superscript"/>
                <w:lang w:eastAsia="en-US"/>
              </w:rPr>
              <w:t xml:space="preserve">2 </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5E6C3C96" w14:textId="15794FB2" w:rsidR="00EF1EC0" w:rsidRPr="00986EC1" w:rsidRDefault="00EF1EC0" w:rsidP="00EF1EC0">
            <w:pPr>
              <w:keepNext/>
              <w:spacing w:after="40" w:line="256" w:lineRule="auto"/>
              <w:rPr>
                <w:rFonts w:ascii="Arial Narrow" w:eastAsia="Calibri" w:hAnsi="Arial Narrow"/>
                <w:sz w:val="20"/>
                <w:szCs w:val="22"/>
                <w:lang w:eastAsia="en-US"/>
              </w:rPr>
            </w:pPr>
            <w:r w:rsidRPr="00831A59">
              <w:rPr>
                <w:rFonts w:ascii="Arial Narrow" w:eastAsia="Calibri" w:hAnsi="Arial Narrow"/>
                <w:b/>
                <w:bCs/>
                <w:sz w:val="20"/>
                <w:szCs w:val="22"/>
                <w:lang w:eastAsia="en-US"/>
              </w:rPr>
              <w:t>-Redacted</w:t>
            </w:r>
            <w:r w:rsidRPr="00831A59">
              <w:rPr>
                <w:rFonts w:ascii="Arial Narrow" w:eastAsia="Calibri" w:hAnsi="Arial Narrow"/>
                <w:sz w:val="20"/>
                <w:szCs w:val="22"/>
                <w:vertAlign w:val="superscript"/>
                <w:lang w:eastAsia="en-US"/>
              </w:rPr>
              <w:t xml:space="preserve">2 </w:t>
            </w:r>
          </w:p>
        </w:tc>
      </w:tr>
      <w:tr w:rsidR="00C050A5" w:rsidRPr="00986EC1" w14:paraId="190BFB85" w14:textId="77777777" w:rsidTr="005917C2">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85C4DB"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Cost to the MBS of change in use of decompression due to substitution and reoperation</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77DDB67C" w14:textId="69F31CCE"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EF1EC0">
              <w:rPr>
                <w:rFonts w:ascii="Arial Narrow" w:eastAsia="Calibri" w:hAnsi="Arial Narrow"/>
                <w:sz w:val="20"/>
                <w:szCs w:val="22"/>
                <w:vertAlign w:val="superscript"/>
                <w:lang w:eastAsia="en-US"/>
              </w:rPr>
              <w:t xml:space="preserve">5  </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0FAEA457" w14:textId="2EA4ED11"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EF1EC0">
              <w:rPr>
                <w:rFonts w:ascii="Arial Narrow" w:eastAsia="Calibri" w:hAnsi="Arial Narrow"/>
                <w:sz w:val="20"/>
                <w:szCs w:val="22"/>
                <w:vertAlign w:val="superscript"/>
                <w:lang w:eastAsia="en-US"/>
              </w:rPr>
              <w:t xml:space="preserve">5 </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39E369A9" w14:textId="0827840A"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EF1EC0">
              <w:rPr>
                <w:rFonts w:ascii="Arial Narrow" w:eastAsia="Calibri" w:hAnsi="Arial Narrow"/>
                <w:sz w:val="20"/>
                <w:szCs w:val="22"/>
                <w:vertAlign w:val="superscript"/>
                <w:lang w:eastAsia="en-US"/>
              </w:rPr>
              <w:t xml:space="preserve">6  </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645939E1" w14:textId="6F012575"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5D2DFC">
              <w:rPr>
                <w:rFonts w:ascii="Arial Narrow" w:eastAsia="Calibri" w:hAnsi="Arial Narrow"/>
                <w:sz w:val="20"/>
                <w:szCs w:val="22"/>
                <w:vertAlign w:val="superscript"/>
                <w:lang w:eastAsia="en-US"/>
              </w:rPr>
              <w:t>7</w:t>
            </w:r>
            <w:r w:rsidR="00EF1EC0">
              <w:rPr>
                <w:rFonts w:ascii="Arial Narrow" w:eastAsia="Calibri" w:hAnsi="Arial Narrow"/>
                <w:sz w:val="20"/>
                <w:szCs w:val="22"/>
                <w:vertAlign w:val="superscript"/>
                <w:lang w:eastAsia="en-US"/>
              </w:rPr>
              <w:t xml:space="preserve"> </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4E0E6380" w14:textId="1A06F1B1"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C050A5">
              <w:rPr>
                <w:rFonts w:ascii="Arial Narrow" w:eastAsia="Calibri" w:hAnsi="Arial Narrow"/>
                <w:b/>
                <w:bCs/>
                <w:sz w:val="20"/>
                <w:szCs w:val="22"/>
                <w:lang w:eastAsia="en-US"/>
              </w:rPr>
              <w:t>Redacted</w:t>
            </w:r>
            <w:r w:rsidR="005D2DFC">
              <w:rPr>
                <w:rFonts w:ascii="Arial Narrow" w:eastAsia="Calibri" w:hAnsi="Arial Narrow"/>
                <w:sz w:val="20"/>
                <w:szCs w:val="22"/>
                <w:vertAlign w:val="superscript"/>
                <w:lang w:eastAsia="en-US"/>
              </w:rPr>
              <w:t>8</w:t>
            </w:r>
            <w:r w:rsidR="00C050A5">
              <w:rPr>
                <w:rFonts w:ascii="Arial Narrow" w:eastAsia="Calibri" w:hAnsi="Arial Narrow"/>
                <w:sz w:val="20"/>
                <w:szCs w:val="22"/>
                <w:vertAlign w:val="superscript"/>
                <w:lang w:eastAsia="en-US"/>
              </w:rPr>
              <w:t xml:space="preserve"> </w:t>
            </w:r>
          </w:p>
        </w:tc>
      </w:tr>
      <w:tr w:rsidR="00C050A5" w:rsidRPr="00986EC1" w14:paraId="4F5A3434" w14:textId="77777777" w:rsidTr="005917C2">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CE4DF" w14:textId="77777777" w:rsidR="00EF1EC0" w:rsidRPr="00986EC1" w:rsidRDefault="00EF1EC0" w:rsidP="00EF1EC0">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Change in use of decompression + spinal fusion due to substitution and reoperation</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18A52AC3" w14:textId="1772D444" w:rsidR="00EF1EC0" w:rsidRPr="00986EC1" w:rsidRDefault="00EF1EC0" w:rsidP="00EF1EC0">
            <w:pPr>
              <w:keepNext/>
              <w:spacing w:after="40" w:line="256" w:lineRule="auto"/>
              <w:rPr>
                <w:rFonts w:ascii="Arial Narrow" w:eastAsia="Calibri" w:hAnsi="Arial Narrow"/>
                <w:sz w:val="20"/>
                <w:szCs w:val="22"/>
                <w:lang w:eastAsia="en-US"/>
              </w:rPr>
            </w:pPr>
            <w:r>
              <w:rPr>
                <w:rFonts w:ascii="Arial Narrow" w:eastAsia="Calibri" w:hAnsi="Arial Narrow"/>
                <w:b/>
                <w:bCs/>
                <w:sz w:val="20"/>
                <w:szCs w:val="22"/>
                <w:lang w:eastAsia="en-US"/>
              </w:rPr>
              <w:t>-Redacted</w:t>
            </w:r>
            <w:r>
              <w:rPr>
                <w:rFonts w:ascii="Arial Narrow" w:eastAsia="Calibri" w:hAnsi="Arial Narrow"/>
                <w:sz w:val="20"/>
                <w:szCs w:val="22"/>
                <w:vertAlign w:val="superscript"/>
                <w:lang w:eastAsia="en-US"/>
              </w:rPr>
              <w:t xml:space="preserve">3 </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1366361C" w14:textId="2B45FAB0" w:rsidR="00EF1EC0" w:rsidRPr="00986EC1" w:rsidRDefault="00EF1EC0" w:rsidP="00EF1EC0">
            <w:pPr>
              <w:keepNext/>
              <w:spacing w:after="40" w:line="256" w:lineRule="auto"/>
              <w:rPr>
                <w:rFonts w:ascii="Arial Narrow" w:eastAsia="Calibri" w:hAnsi="Arial Narrow"/>
                <w:sz w:val="20"/>
                <w:szCs w:val="22"/>
                <w:lang w:eastAsia="en-US"/>
              </w:rPr>
            </w:pPr>
            <w:r w:rsidRPr="00886C0D">
              <w:rPr>
                <w:rFonts w:ascii="Arial Narrow" w:eastAsia="Calibri" w:hAnsi="Arial Narrow"/>
                <w:b/>
                <w:bCs/>
                <w:sz w:val="20"/>
                <w:szCs w:val="22"/>
                <w:lang w:eastAsia="en-US"/>
              </w:rPr>
              <w:t>-Redacted</w:t>
            </w:r>
            <w:r w:rsidRPr="00886C0D">
              <w:rPr>
                <w:rFonts w:ascii="Arial Narrow" w:eastAsia="Calibri" w:hAnsi="Arial Narrow"/>
                <w:sz w:val="20"/>
                <w:szCs w:val="22"/>
                <w:vertAlign w:val="superscript"/>
                <w:lang w:eastAsia="en-US"/>
              </w:rPr>
              <w:t xml:space="preserve">3 </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53369DA6" w14:textId="36AEFE71" w:rsidR="00EF1EC0" w:rsidRPr="00986EC1" w:rsidRDefault="00EF1EC0" w:rsidP="00EF1EC0">
            <w:pPr>
              <w:keepNext/>
              <w:spacing w:after="40" w:line="256" w:lineRule="auto"/>
              <w:rPr>
                <w:rFonts w:ascii="Arial Narrow" w:eastAsia="Calibri" w:hAnsi="Arial Narrow"/>
                <w:sz w:val="20"/>
                <w:szCs w:val="22"/>
                <w:lang w:eastAsia="en-US"/>
              </w:rPr>
            </w:pPr>
            <w:r w:rsidRPr="00886C0D">
              <w:rPr>
                <w:rFonts w:ascii="Arial Narrow" w:eastAsia="Calibri" w:hAnsi="Arial Narrow"/>
                <w:b/>
                <w:bCs/>
                <w:sz w:val="20"/>
                <w:szCs w:val="22"/>
                <w:lang w:eastAsia="en-US"/>
              </w:rPr>
              <w:t>-Redacted</w:t>
            </w:r>
            <w:r w:rsidRPr="00886C0D">
              <w:rPr>
                <w:rFonts w:ascii="Arial Narrow" w:eastAsia="Calibri" w:hAnsi="Arial Narrow"/>
                <w:sz w:val="20"/>
                <w:szCs w:val="22"/>
                <w:vertAlign w:val="superscript"/>
                <w:lang w:eastAsia="en-US"/>
              </w:rPr>
              <w:t xml:space="preserve">3 </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714ABC19" w14:textId="7263F9FB" w:rsidR="00EF1EC0" w:rsidRPr="00986EC1" w:rsidRDefault="00EF1EC0" w:rsidP="00EF1EC0">
            <w:pPr>
              <w:keepNext/>
              <w:spacing w:after="40" w:line="256" w:lineRule="auto"/>
              <w:rPr>
                <w:rFonts w:ascii="Arial Narrow" w:eastAsia="Calibri" w:hAnsi="Arial Narrow"/>
                <w:sz w:val="20"/>
                <w:szCs w:val="22"/>
                <w:lang w:eastAsia="en-US"/>
              </w:rPr>
            </w:pPr>
            <w:r w:rsidRPr="00886C0D">
              <w:rPr>
                <w:rFonts w:ascii="Arial Narrow" w:eastAsia="Calibri" w:hAnsi="Arial Narrow"/>
                <w:b/>
                <w:bCs/>
                <w:sz w:val="20"/>
                <w:szCs w:val="22"/>
                <w:lang w:eastAsia="en-US"/>
              </w:rPr>
              <w:t>-Redacted</w:t>
            </w:r>
            <w:r w:rsidRPr="00886C0D">
              <w:rPr>
                <w:rFonts w:ascii="Arial Narrow" w:eastAsia="Calibri" w:hAnsi="Arial Narrow"/>
                <w:sz w:val="20"/>
                <w:szCs w:val="22"/>
                <w:vertAlign w:val="superscript"/>
                <w:lang w:eastAsia="en-US"/>
              </w:rPr>
              <w:t xml:space="preserve">3 </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5B1F0045" w14:textId="007A1696" w:rsidR="00EF1EC0" w:rsidRPr="00986EC1" w:rsidRDefault="00EF1EC0" w:rsidP="00EF1EC0">
            <w:pPr>
              <w:keepNext/>
              <w:spacing w:after="40" w:line="256" w:lineRule="auto"/>
              <w:rPr>
                <w:rFonts w:ascii="Arial Narrow" w:eastAsia="Calibri" w:hAnsi="Arial Narrow"/>
                <w:sz w:val="20"/>
                <w:szCs w:val="22"/>
                <w:lang w:eastAsia="en-US"/>
              </w:rPr>
            </w:pPr>
            <w:r w:rsidRPr="00886C0D">
              <w:rPr>
                <w:rFonts w:ascii="Arial Narrow" w:eastAsia="Calibri" w:hAnsi="Arial Narrow"/>
                <w:b/>
                <w:bCs/>
                <w:sz w:val="20"/>
                <w:szCs w:val="22"/>
                <w:lang w:eastAsia="en-US"/>
              </w:rPr>
              <w:t>-Redacted</w:t>
            </w:r>
            <w:r w:rsidRPr="00886C0D">
              <w:rPr>
                <w:rFonts w:ascii="Arial Narrow" w:eastAsia="Calibri" w:hAnsi="Arial Narrow"/>
                <w:sz w:val="20"/>
                <w:szCs w:val="22"/>
                <w:vertAlign w:val="superscript"/>
                <w:lang w:eastAsia="en-US"/>
              </w:rPr>
              <w:t xml:space="preserve">3 </w:t>
            </w:r>
          </w:p>
        </w:tc>
      </w:tr>
      <w:tr w:rsidR="00C050A5" w:rsidRPr="00986EC1" w14:paraId="341F810E" w14:textId="77777777" w:rsidTr="005917C2">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918043"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Cost of change in use of decompression + spinal fusion due to substitution and reoperation</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32F26E38" w14:textId="66C12A78"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5D2DFC">
              <w:rPr>
                <w:rFonts w:ascii="Arial Narrow" w:eastAsia="Calibri" w:hAnsi="Arial Narrow"/>
                <w:sz w:val="20"/>
                <w:szCs w:val="22"/>
                <w:vertAlign w:val="superscript"/>
                <w:lang w:eastAsia="en-US"/>
              </w:rPr>
              <w:t>4</w:t>
            </w:r>
            <w:r w:rsidR="00EF1EC0">
              <w:rPr>
                <w:rFonts w:ascii="Arial Narrow" w:eastAsia="Calibri" w:hAnsi="Arial Narrow"/>
                <w:sz w:val="20"/>
                <w:szCs w:val="22"/>
                <w:vertAlign w:val="superscript"/>
                <w:lang w:eastAsia="en-US"/>
              </w:rPr>
              <w:t xml:space="preserve"> </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197B390E" w14:textId="1B871D5B"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5D2DFC">
              <w:rPr>
                <w:rFonts w:ascii="Arial Narrow" w:eastAsia="Calibri" w:hAnsi="Arial Narrow"/>
                <w:sz w:val="20"/>
                <w:szCs w:val="22"/>
                <w:vertAlign w:val="superscript"/>
                <w:lang w:eastAsia="en-US"/>
              </w:rPr>
              <w:t>4</w:t>
            </w:r>
            <w:r w:rsidR="00EF1EC0">
              <w:rPr>
                <w:rFonts w:ascii="Arial Narrow" w:eastAsia="Calibri" w:hAnsi="Arial Narrow"/>
                <w:sz w:val="20"/>
                <w:szCs w:val="22"/>
                <w:vertAlign w:val="superscript"/>
                <w:lang w:eastAsia="en-US"/>
              </w:rPr>
              <w:t xml:space="preserve"> </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27489857" w14:textId="297DF03F"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EF1EC0">
              <w:rPr>
                <w:rFonts w:ascii="Arial Narrow" w:eastAsia="Calibri" w:hAnsi="Arial Narrow"/>
                <w:sz w:val="20"/>
                <w:szCs w:val="22"/>
                <w:vertAlign w:val="superscript"/>
                <w:lang w:eastAsia="en-US"/>
              </w:rPr>
              <w:t xml:space="preserve">4 </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27091BAC" w14:textId="5F765F9A"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EF1EC0">
              <w:rPr>
                <w:rFonts w:ascii="Arial Narrow" w:eastAsia="Calibri" w:hAnsi="Arial Narrow"/>
                <w:sz w:val="20"/>
                <w:szCs w:val="22"/>
                <w:vertAlign w:val="superscript"/>
                <w:lang w:eastAsia="en-US"/>
              </w:rPr>
              <w:t xml:space="preserve">4 </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237755B3" w14:textId="5B3E720F"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EF1EC0">
              <w:rPr>
                <w:rFonts w:ascii="Arial Narrow" w:eastAsia="Calibri" w:hAnsi="Arial Narrow"/>
                <w:sz w:val="20"/>
                <w:szCs w:val="22"/>
                <w:vertAlign w:val="superscript"/>
                <w:lang w:eastAsia="en-US"/>
              </w:rPr>
              <w:t>5</w:t>
            </w:r>
            <w:r w:rsidR="00EF1EC0">
              <w:rPr>
                <w:rFonts w:ascii="Arial Narrow" w:eastAsia="Calibri" w:hAnsi="Arial Narrow"/>
                <w:sz w:val="20"/>
                <w:szCs w:val="22"/>
                <w:lang w:eastAsia="en-US"/>
              </w:rPr>
              <w:t xml:space="preserve"> </w:t>
            </w:r>
          </w:p>
        </w:tc>
      </w:tr>
      <w:tr w:rsidR="00C050A5" w:rsidRPr="00986EC1" w14:paraId="36D8B0A3" w14:textId="77777777" w:rsidTr="005917C2">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6C570"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Net change in costs to the MBS (75% benefit)</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13F11AE1" w14:textId="05AA7E7F"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EF1EC0">
              <w:rPr>
                <w:rFonts w:ascii="Arial Narrow" w:eastAsia="Calibri" w:hAnsi="Arial Narrow"/>
                <w:sz w:val="20"/>
                <w:szCs w:val="22"/>
                <w:vertAlign w:val="superscript"/>
                <w:lang w:eastAsia="en-US"/>
              </w:rPr>
              <w:t>5</w:t>
            </w:r>
            <w:r w:rsidR="00EF1EC0">
              <w:rPr>
                <w:rFonts w:ascii="Arial Narrow" w:eastAsia="Calibri" w:hAnsi="Arial Narrow"/>
                <w:sz w:val="20"/>
                <w:szCs w:val="22"/>
                <w:lang w:eastAsia="en-US"/>
              </w:rPr>
              <w:t xml:space="preserve"> </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23A0DE44" w14:textId="78C387D4"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EF1EC0">
              <w:rPr>
                <w:rFonts w:ascii="Arial Narrow" w:eastAsia="Calibri" w:hAnsi="Arial Narrow"/>
                <w:sz w:val="20"/>
                <w:szCs w:val="22"/>
                <w:vertAlign w:val="superscript"/>
                <w:lang w:eastAsia="en-US"/>
              </w:rPr>
              <w:t>6</w:t>
            </w:r>
            <w:r w:rsidR="00EF1EC0">
              <w:rPr>
                <w:rFonts w:ascii="Arial Narrow" w:eastAsia="Calibri" w:hAnsi="Arial Narrow"/>
                <w:sz w:val="20"/>
                <w:szCs w:val="22"/>
                <w:lang w:eastAsia="en-US"/>
              </w:rPr>
              <w:t xml:space="preserve"> </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6D7B96D7" w14:textId="003ECAFA"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5D2DFC">
              <w:rPr>
                <w:rFonts w:ascii="Arial Narrow" w:eastAsia="Calibri" w:hAnsi="Arial Narrow"/>
                <w:sz w:val="20"/>
                <w:szCs w:val="22"/>
                <w:vertAlign w:val="superscript"/>
                <w:lang w:eastAsia="en-US"/>
              </w:rPr>
              <w:t>7</w:t>
            </w:r>
            <w:r w:rsidR="00EF1EC0">
              <w:rPr>
                <w:rFonts w:ascii="Arial Narrow" w:eastAsia="Calibri" w:hAnsi="Arial Narrow"/>
                <w:sz w:val="20"/>
                <w:szCs w:val="22"/>
                <w:lang w:eastAsia="en-US"/>
              </w:rPr>
              <w:t xml:space="preserve"> </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3956A287" w14:textId="03FD8F26"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C050A5">
              <w:rPr>
                <w:rFonts w:ascii="Arial Narrow" w:eastAsia="Calibri" w:hAnsi="Arial Narrow"/>
                <w:b/>
                <w:bCs/>
                <w:sz w:val="20"/>
                <w:szCs w:val="22"/>
                <w:lang w:eastAsia="en-US"/>
              </w:rPr>
              <w:t>Redacted</w:t>
            </w:r>
            <w:r w:rsidR="005D2DFC">
              <w:rPr>
                <w:rFonts w:ascii="Arial Narrow" w:eastAsia="Calibri" w:hAnsi="Arial Narrow"/>
                <w:sz w:val="20"/>
                <w:szCs w:val="22"/>
                <w:vertAlign w:val="superscript"/>
                <w:lang w:eastAsia="en-US"/>
              </w:rPr>
              <w:t>8</w:t>
            </w:r>
            <w:r w:rsidR="00C050A5">
              <w:rPr>
                <w:rFonts w:ascii="Arial Narrow" w:eastAsia="Calibri" w:hAnsi="Arial Narrow"/>
                <w:sz w:val="20"/>
                <w:szCs w:val="22"/>
                <w:lang w:eastAsia="en-US"/>
              </w:rPr>
              <w:t xml:space="preserve"> </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4BA5E896" w14:textId="31694C5F"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C050A5">
              <w:rPr>
                <w:rFonts w:ascii="Arial Narrow" w:eastAsia="Calibri" w:hAnsi="Arial Narrow"/>
                <w:b/>
                <w:bCs/>
                <w:sz w:val="20"/>
                <w:szCs w:val="22"/>
                <w:lang w:eastAsia="en-US"/>
              </w:rPr>
              <w:t>Redacted</w:t>
            </w:r>
            <w:r w:rsidR="005D2DFC">
              <w:rPr>
                <w:rFonts w:ascii="Arial Narrow" w:eastAsia="Calibri" w:hAnsi="Arial Narrow"/>
                <w:sz w:val="20"/>
                <w:szCs w:val="22"/>
                <w:vertAlign w:val="superscript"/>
                <w:lang w:eastAsia="en-US"/>
              </w:rPr>
              <w:t>9</w:t>
            </w:r>
            <w:r w:rsidR="00C050A5">
              <w:rPr>
                <w:rFonts w:ascii="Arial Narrow" w:eastAsia="Calibri" w:hAnsi="Arial Narrow"/>
                <w:sz w:val="20"/>
                <w:szCs w:val="22"/>
                <w:vertAlign w:val="superscript"/>
                <w:lang w:eastAsia="en-US"/>
              </w:rPr>
              <w:t xml:space="preserve"> </w:t>
            </w:r>
          </w:p>
        </w:tc>
      </w:tr>
      <w:tr w:rsidR="00C050A5" w:rsidRPr="00986EC1" w14:paraId="4B981D52" w14:textId="77777777" w:rsidTr="005917C2">
        <w:tc>
          <w:tcPr>
            <w:tcW w:w="3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FD3781"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 xml:space="preserve">Net financial impact to the MBS </w:t>
            </w:r>
            <w:r w:rsidRPr="00986EC1">
              <w:rPr>
                <w:rFonts w:ascii="Arial Narrow" w:eastAsia="Calibri" w:hAnsi="Arial Narrow"/>
                <w:sz w:val="20"/>
                <w:szCs w:val="22"/>
                <w:lang w:eastAsia="en-US"/>
              </w:rPr>
              <w:t>(75% benefit)</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5A4724FB" w14:textId="2FA396C4"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EF1EC0">
              <w:rPr>
                <w:rFonts w:ascii="Arial Narrow" w:eastAsia="Calibri" w:hAnsi="Arial Narrow"/>
                <w:sz w:val="20"/>
                <w:szCs w:val="22"/>
                <w:vertAlign w:val="superscript"/>
                <w:lang w:eastAsia="en-US"/>
              </w:rPr>
              <w:t xml:space="preserve">4 </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76629835" w14:textId="31DB9DFB"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EF1EC0">
              <w:rPr>
                <w:rFonts w:ascii="Arial Narrow" w:eastAsia="Calibri" w:hAnsi="Arial Narrow"/>
                <w:sz w:val="20"/>
                <w:szCs w:val="22"/>
                <w:vertAlign w:val="superscript"/>
                <w:lang w:eastAsia="en-US"/>
              </w:rPr>
              <w:t xml:space="preserve">5 </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3F762017" w14:textId="51486DED"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EF1EC0">
              <w:rPr>
                <w:rFonts w:ascii="Arial Narrow" w:eastAsia="Calibri" w:hAnsi="Arial Narrow"/>
                <w:sz w:val="20"/>
                <w:szCs w:val="22"/>
                <w:vertAlign w:val="superscript"/>
                <w:lang w:eastAsia="en-US"/>
              </w:rPr>
              <w:t xml:space="preserve">5 </w:t>
            </w:r>
          </w:p>
        </w:tc>
        <w:tc>
          <w:tcPr>
            <w:tcW w:w="1179" w:type="dxa"/>
            <w:tcBorders>
              <w:top w:val="nil"/>
              <w:left w:val="nil"/>
              <w:bottom w:val="single" w:sz="8" w:space="0" w:color="auto"/>
              <w:right w:val="single" w:sz="8" w:space="0" w:color="auto"/>
            </w:tcBorders>
            <w:tcMar>
              <w:top w:w="0" w:type="dxa"/>
              <w:left w:w="108" w:type="dxa"/>
              <w:bottom w:w="0" w:type="dxa"/>
              <w:right w:w="108" w:type="dxa"/>
            </w:tcMar>
          </w:tcPr>
          <w:p w14:paraId="31B9EF7E" w14:textId="62AE0715"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EF1EC0">
              <w:rPr>
                <w:rFonts w:ascii="Arial Narrow" w:eastAsia="Calibri" w:hAnsi="Arial Narrow"/>
                <w:sz w:val="20"/>
                <w:szCs w:val="22"/>
                <w:vertAlign w:val="superscript"/>
                <w:lang w:eastAsia="en-US"/>
              </w:rPr>
              <w:t>5</w:t>
            </w:r>
            <w:r w:rsidR="00EF1EC0">
              <w:rPr>
                <w:rFonts w:ascii="Arial Narrow" w:eastAsia="Calibri" w:hAnsi="Arial Narrow"/>
                <w:sz w:val="20"/>
                <w:szCs w:val="22"/>
                <w:lang w:eastAsia="en-US"/>
              </w:rPr>
              <w:t xml:space="preserve"> </w:t>
            </w:r>
          </w:p>
        </w:tc>
        <w:tc>
          <w:tcPr>
            <w:tcW w:w="1180" w:type="dxa"/>
            <w:tcBorders>
              <w:top w:val="nil"/>
              <w:left w:val="nil"/>
              <w:bottom w:val="single" w:sz="8" w:space="0" w:color="auto"/>
              <w:right w:val="single" w:sz="8" w:space="0" w:color="auto"/>
            </w:tcBorders>
            <w:tcMar>
              <w:top w:w="0" w:type="dxa"/>
              <w:left w:w="108" w:type="dxa"/>
              <w:bottom w:w="0" w:type="dxa"/>
              <w:right w:w="108" w:type="dxa"/>
            </w:tcMar>
          </w:tcPr>
          <w:p w14:paraId="45258625" w14:textId="49529B0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w:t>
            </w:r>
            <w:r w:rsidR="00EF1EC0">
              <w:rPr>
                <w:rFonts w:ascii="Arial Narrow" w:eastAsia="Calibri" w:hAnsi="Arial Narrow"/>
                <w:b/>
                <w:bCs/>
                <w:sz w:val="20"/>
                <w:szCs w:val="22"/>
                <w:lang w:eastAsia="en-US"/>
              </w:rPr>
              <w:t>Redacted</w:t>
            </w:r>
            <w:r w:rsidR="00EF1EC0">
              <w:rPr>
                <w:rFonts w:ascii="Arial Narrow" w:eastAsia="Calibri" w:hAnsi="Arial Narrow"/>
                <w:sz w:val="20"/>
                <w:szCs w:val="22"/>
                <w:vertAlign w:val="superscript"/>
                <w:lang w:eastAsia="en-US"/>
              </w:rPr>
              <w:t xml:space="preserve">6 </w:t>
            </w:r>
          </w:p>
        </w:tc>
      </w:tr>
    </w:tbl>
    <w:p w14:paraId="25A9B180" w14:textId="193D4FE9" w:rsidR="00986EC1" w:rsidRDefault="00986EC1" w:rsidP="00B23D55">
      <w:pPr>
        <w:pStyle w:val="Tablenotes1"/>
      </w:pPr>
      <w:r w:rsidRPr="00986EC1">
        <w:t>IDS, interspinous decompression spacer; MBS, Medicare Benefits Schedule.</w:t>
      </w:r>
    </w:p>
    <w:p w14:paraId="602F6AF8" w14:textId="2E7EDBD4" w:rsidR="00B23D55" w:rsidRDefault="00B23D55" w:rsidP="00B23D55">
      <w:pPr>
        <w:pStyle w:val="Tablenotes1"/>
      </w:pPr>
      <w:r>
        <w:t>Source: Commentary, Table 23</w:t>
      </w:r>
    </w:p>
    <w:p w14:paraId="2C628F40" w14:textId="77777777" w:rsidR="00CB6CCB" w:rsidRDefault="00CB6CCB" w:rsidP="00CB6CCB">
      <w:pPr>
        <w:pStyle w:val="Tablenotes1"/>
        <w:rPr>
          <w:rFonts w:eastAsia="Calibri"/>
          <w:i/>
          <w:iCs/>
        </w:rPr>
      </w:pPr>
      <w:r>
        <w:rPr>
          <w:rFonts w:eastAsia="Calibri"/>
          <w:i/>
          <w:iCs/>
        </w:rPr>
        <w:t>The redacted values correspond to the following ranges:</w:t>
      </w:r>
    </w:p>
    <w:p w14:paraId="5C1E42D2" w14:textId="23B2E2E7" w:rsidR="00CB6CCB" w:rsidRDefault="00CB6CCB" w:rsidP="00CB6CCB">
      <w:pPr>
        <w:pStyle w:val="Tablenotes1"/>
        <w:rPr>
          <w:rFonts w:eastAsia="Calibri"/>
          <w:i/>
          <w:iCs/>
        </w:rPr>
      </w:pPr>
      <w:r>
        <w:rPr>
          <w:rFonts w:eastAsia="Calibri"/>
          <w:i/>
          <w:iCs/>
          <w:vertAlign w:val="superscript"/>
        </w:rPr>
        <w:t>1</w:t>
      </w:r>
      <w:r>
        <w:rPr>
          <w:rFonts w:eastAsia="Calibri"/>
          <w:i/>
          <w:iCs/>
        </w:rPr>
        <w:t xml:space="preserve"> 10,000 to &lt;20,000</w:t>
      </w:r>
    </w:p>
    <w:p w14:paraId="20B7852C" w14:textId="379A6A71" w:rsidR="00EF1EC0" w:rsidRDefault="00EF1EC0" w:rsidP="00CB6CCB">
      <w:pPr>
        <w:pStyle w:val="Tablenotes1"/>
        <w:rPr>
          <w:rFonts w:eastAsia="Calibri"/>
          <w:i/>
          <w:iCs/>
        </w:rPr>
      </w:pPr>
      <w:r>
        <w:rPr>
          <w:rFonts w:eastAsia="Calibri"/>
          <w:i/>
          <w:iCs/>
          <w:vertAlign w:val="superscript"/>
        </w:rPr>
        <w:t>2</w:t>
      </w:r>
      <w:r>
        <w:rPr>
          <w:rFonts w:eastAsia="Calibri"/>
          <w:i/>
          <w:iCs/>
        </w:rPr>
        <w:t xml:space="preserve"> 500 to &lt;5,000</w:t>
      </w:r>
    </w:p>
    <w:p w14:paraId="39F249D7" w14:textId="0EE99352" w:rsidR="00EF1EC0" w:rsidRDefault="00EF1EC0" w:rsidP="00CB6CCB">
      <w:pPr>
        <w:pStyle w:val="Tablenotes1"/>
        <w:rPr>
          <w:rFonts w:eastAsia="Calibri"/>
          <w:i/>
          <w:iCs/>
        </w:rPr>
      </w:pPr>
      <w:r>
        <w:rPr>
          <w:rFonts w:eastAsia="Calibri"/>
          <w:i/>
          <w:iCs/>
          <w:vertAlign w:val="superscript"/>
        </w:rPr>
        <w:t>3</w:t>
      </w:r>
      <w:r>
        <w:rPr>
          <w:rFonts w:eastAsia="Calibri"/>
          <w:i/>
          <w:iCs/>
        </w:rPr>
        <w:t xml:space="preserve"> &lt; 500</w:t>
      </w:r>
    </w:p>
    <w:p w14:paraId="31C56B4F" w14:textId="141D6729" w:rsidR="00EF1EC0" w:rsidRDefault="00EF1EC0" w:rsidP="00CB6CCB">
      <w:pPr>
        <w:pStyle w:val="Tablenotes1"/>
        <w:rPr>
          <w:rFonts w:eastAsia="Calibri"/>
          <w:i/>
          <w:iCs/>
        </w:rPr>
      </w:pPr>
      <w:r>
        <w:rPr>
          <w:rFonts w:eastAsia="Calibri"/>
          <w:i/>
          <w:iCs/>
          <w:vertAlign w:val="superscript"/>
        </w:rPr>
        <w:t>4</w:t>
      </w:r>
      <w:r>
        <w:rPr>
          <w:rFonts w:eastAsia="Calibri"/>
          <w:i/>
          <w:iCs/>
        </w:rPr>
        <w:t xml:space="preserve"> &lt;</w:t>
      </w:r>
      <w:r w:rsidR="005D2DFC">
        <w:rPr>
          <w:rFonts w:eastAsia="Calibri"/>
          <w:i/>
          <w:iCs/>
        </w:rPr>
        <w:t xml:space="preserve"> </w:t>
      </w:r>
      <w:r>
        <w:rPr>
          <w:rFonts w:eastAsia="Calibri"/>
          <w:i/>
          <w:iCs/>
        </w:rPr>
        <w:t>$1 million</w:t>
      </w:r>
    </w:p>
    <w:p w14:paraId="1AB36D00" w14:textId="10879C16" w:rsidR="00EF1EC0" w:rsidRDefault="00EF1EC0" w:rsidP="00CB6CCB">
      <w:pPr>
        <w:pStyle w:val="Tablenotes1"/>
        <w:rPr>
          <w:rFonts w:eastAsia="Calibri"/>
          <w:i/>
          <w:iCs/>
        </w:rPr>
      </w:pPr>
      <w:r>
        <w:rPr>
          <w:rFonts w:eastAsia="Calibri"/>
          <w:i/>
          <w:iCs/>
          <w:vertAlign w:val="superscript"/>
        </w:rPr>
        <w:t>5</w:t>
      </w:r>
      <w:r>
        <w:rPr>
          <w:rFonts w:eastAsia="Calibri"/>
          <w:i/>
          <w:iCs/>
        </w:rPr>
        <w:t xml:space="preserve"> $1 million to &lt;$2 million</w:t>
      </w:r>
    </w:p>
    <w:p w14:paraId="3D7BB6EF" w14:textId="68929667" w:rsidR="00EF1EC0" w:rsidRDefault="00EF1EC0" w:rsidP="00CB6CCB">
      <w:pPr>
        <w:pStyle w:val="Tablenotes1"/>
        <w:rPr>
          <w:rFonts w:eastAsia="Calibri"/>
          <w:i/>
          <w:iCs/>
        </w:rPr>
      </w:pPr>
      <w:r>
        <w:rPr>
          <w:rFonts w:eastAsia="Calibri"/>
          <w:i/>
          <w:iCs/>
          <w:vertAlign w:val="superscript"/>
        </w:rPr>
        <w:t>6</w:t>
      </w:r>
      <w:r>
        <w:rPr>
          <w:rFonts w:eastAsia="Calibri"/>
          <w:i/>
          <w:iCs/>
        </w:rPr>
        <w:t xml:space="preserve"> $2 million to &lt;$3 million</w:t>
      </w:r>
    </w:p>
    <w:p w14:paraId="59153A6A" w14:textId="11BA5D44" w:rsidR="00EF1EC0" w:rsidRDefault="00EF1EC0" w:rsidP="00CB6CCB">
      <w:pPr>
        <w:pStyle w:val="Tablenotes1"/>
        <w:rPr>
          <w:rFonts w:eastAsia="Calibri"/>
          <w:i/>
          <w:iCs/>
        </w:rPr>
      </w:pPr>
      <w:r>
        <w:rPr>
          <w:rFonts w:eastAsia="Calibri"/>
          <w:i/>
          <w:iCs/>
          <w:vertAlign w:val="superscript"/>
        </w:rPr>
        <w:t>7</w:t>
      </w:r>
      <w:r>
        <w:rPr>
          <w:rFonts w:eastAsia="Calibri"/>
          <w:i/>
          <w:iCs/>
        </w:rPr>
        <w:t xml:space="preserve"> $3 million to &lt;$4 million</w:t>
      </w:r>
    </w:p>
    <w:p w14:paraId="348AD447" w14:textId="3598B5DF" w:rsidR="00EF1EC0" w:rsidRDefault="005D2DFC" w:rsidP="00CB6CCB">
      <w:pPr>
        <w:pStyle w:val="Tablenotes1"/>
        <w:rPr>
          <w:rFonts w:eastAsia="Calibri"/>
          <w:i/>
          <w:iCs/>
        </w:rPr>
      </w:pPr>
      <w:r>
        <w:rPr>
          <w:rFonts w:eastAsia="Calibri"/>
          <w:i/>
          <w:iCs/>
          <w:vertAlign w:val="superscript"/>
        </w:rPr>
        <w:t>8</w:t>
      </w:r>
      <w:r w:rsidR="00EF1EC0">
        <w:rPr>
          <w:rFonts w:eastAsia="Calibri"/>
          <w:i/>
          <w:iCs/>
        </w:rPr>
        <w:t xml:space="preserve"> $4 million to &lt;$5 million</w:t>
      </w:r>
    </w:p>
    <w:p w14:paraId="53C43187" w14:textId="6CC03CC4" w:rsidR="00CB6CCB" w:rsidRPr="00D90A0E" w:rsidRDefault="005D2DFC" w:rsidP="00B23D55">
      <w:pPr>
        <w:pStyle w:val="Tablenotes1"/>
        <w:rPr>
          <w:rFonts w:eastAsia="Calibri"/>
          <w:i/>
          <w:iCs/>
        </w:rPr>
      </w:pPr>
      <w:r>
        <w:rPr>
          <w:rFonts w:eastAsia="Calibri"/>
          <w:i/>
          <w:iCs/>
          <w:vertAlign w:val="superscript"/>
        </w:rPr>
        <w:t>9</w:t>
      </w:r>
      <w:r w:rsidR="00EF1EC0">
        <w:rPr>
          <w:rFonts w:eastAsia="Calibri"/>
          <w:i/>
          <w:iCs/>
        </w:rPr>
        <w:t xml:space="preserve"> $5 million to &lt;$6 million</w:t>
      </w:r>
    </w:p>
    <w:p w14:paraId="7A0B45C0" w14:textId="71481CC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 xml:space="preserve">Although a net cost saving to MBS is suggested, the high-cost component of the proposed medical service is not the service but the prostheses. The financial implications for the Australian healthcare system are presented in </w:t>
      </w:r>
      <w:r w:rsidRPr="00986EC1">
        <w:rPr>
          <w:rFonts w:ascii="Franklin Gothic Book" w:eastAsia="Calibri" w:hAnsi="Franklin Gothic Book"/>
          <w:sz w:val="22"/>
          <w:szCs w:val="22"/>
          <w:lang w:eastAsia="en-US"/>
        </w:rPr>
        <w:fldChar w:fldCharType="begin"/>
      </w:r>
      <w:r w:rsidRPr="00986EC1">
        <w:rPr>
          <w:rFonts w:ascii="Franklin Gothic Book" w:eastAsia="Calibri" w:hAnsi="Franklin Gothic Book"/>
          <w:sz w:val="22"/>
          <w:szCs w:val="22"/>
          <w:lang w:eastAsia="en-US"/>
        </w:rPr>
        <w:instrText xml:space="preserve"> REF _Ref80014359 \h </w:instrText>
      </w:r>
      <w:r w:rsidR="00FA30F8">
        <w:rPr>
          <w:rFonts w:ascii="Franklin Gothic Book" w:eastAsia="Calibri" w:hAnsi="Franklin Gothic Book"/>
          <w:sz w:val="22"/>
          <w:szCs w:val="22"/>
          <w:lang w:eastAsia="en-US"/>
        </w:rPr>
        <w:instrText xml:space="preserve"> \* MERGEFORMAT </w:instrText>
      </w:r>
      <w:r w:rsidRPr="00986EC1">
        <w:rPr>
          <w:rFonts w:ascii="Franklin Gothic Book" w:eastAsia="Calibri" w:hAnsi="Franklin Gothic Book"/>
          <w:sz w:val="22"/>
          <w:szCs w:val="22"/>
          <w:lang w:eastAsia="en-US"/>
        </w:rPr>
      </w:r>
      <w:r w:rsidRPr="00986EC1">
        <w:rPr>
          <w:rFonts w:ascii="Franklin Gothic Book" w:eastAsia="Calibri" w:hAnsi="Franklin Gothic Book"/>
          <w:sz w:val="22"/>
          <w:szCs w:val="22"/>
          <w:lang w:eastAsia="en-US"/>
        </w:rPr>
        <w:fldChar w:fldCharType="separate"/>
      </w:r>
      <w:r w:rsidR="00EE4CB3" w:rsidRPr="00EE4CB3">
        <w:rPr>
          <w:rFonts w:ascii="Franklin Gothic Book" w:eastAsia="Calibri" w:hAnsi="Franklin Gothic Book"/>
          <w:sz w:val="22"/>
          <w:szCs w:val="22"/>
          <w:lang w:eastAsia="en-US"/>
        </w:rPr>
        <w:t>Table 26</w:t>
      </w:r>
      <w:r w:rsidRPr="00986EC1">
        <w:rPr>
          <w:rFonts w:ascii="Franklin Gothic Book" w:eastAsia="Calibri" w:hAnsi="Franklin Gothic Book"/>
          <w:sz w:val="22"/>
          <w:szCs w:val="22"/>
          <w:lang w:eastAsia="en-US"/>
        </w:rPr>
        <w:fldChar w:fldCharType="end"/>
      </w:r>
      <w:r w:rsidRPr="00986EC1">
        <w:rPr>
          <w:rFonts w:ascii="Franklin Gothic Book" w:eastAsia="Calibri" w:hAnsi="Franklin Gothic Book"/>
          <w:sz w:val="22"/>
          <w:szCs w:val="22"/>
          <w:lang w:eastAsia="en-US"/>
        </w:rPr>
        <w:t xml:space="preserve"> (base case) and </w:t>
      </w:r>
      <w:r w:rsidRPr="00986EC1">
        <w:rPr>
          <w:rFonts w:ascii="Franklin Gothic Book" w:eastAsia="Calibri" w:hAnsi="Franklin Gothic Book"/>
          <w:sz w:val="22"/>
          <w:szCs w:val="22"/>
          <w:lang w:eastAsia="en-US"/>
        </w:rPr>
        <w:fldChar w:fldCharType="begin"/>
      </w:r>
      <w:r w:rsidRPr="00986EC1">
        <w:rPr>
          <w:rFonts w:ascii="Franklin Gothic Book" w:eastAsia="Calibri" w:hAnsi="Franklin Gothic Book"/>
          <w:sz w:val="22"/>
          <w:szCs w:val="22"/>
          <w:lang w:eastAsia="en-US"/>
        </w:rPr>
        <w:instrText xml:space="preserve"> REF _Ref80014402 \h </w:instrText>
      </w:r>
      <w:r w:rsidR="00B23D55">
        <w:rPr>
          <w:rFonts w:ascii="Franklin Gothic Book" w:eastAsia="Calibri" w:hAnsi="Franklin Gothic Book"/>
          <w:sz w:val="22"/>
          <w:szCs w:val="22"/>
          <w:lang w:eastAsia="en-US"/>
        </w:rPr>
        <w:instrText xml:space="preserve"> \* MERGEFORMAT </w:instrText>
      </w:r>
      <w:r w:rsidRPr="00986EC1">
        <w:rPr>
          <w:rFonts w:ascii="Franklin Gothic Book" w:eastAsia="Calibri" w:hAnsi="Franklin Gothic Book"/>
          <w:sz w:val="22"/>
          <w:szCs w:val="22"/>
          <w:lang w:eastAsia="en-US"/>
        </w:rPr>
      </w:r>
      <w:r w:rsidRPr="00986EC1">
        <w:rPr>
          <w:rFonts w:ascii="Franklin Gothic Book" w:eastAsia="Calibri" w:hAnsi="Franklin Gothic Book"/>
          <w:sz w:val="22"/>
          <w:szCs w:val="22"/>
          <w:lang w:eastAsia="en-US"/>
        </w:rPr>
        <w:fldChar w:fldCharType="separate"/>
      </w:r>
      <w:r w:rsidR="00EE4CB3" w:rsidRPr="00EE4CB3">
        <w:rPr>
          <w:rFonts w:ascii="Franklin Gothic Book" w:eastAsia="Calibri" w:hAnsi="Franklin Gothic Book"/>
          <w:sz w:val="22"/>
          <w:szCs w:val="22"/>
          <w:lang w:eastAsia="en-US"/>
        </w:rPr>
        <w:t>Table 27</w:t>
      </w:r>
      <w:r w:rsidRPr="00986EC1">
        <w:rPr>
          <w:rFonts w:ascii="Franklin Gothic Book" w:eastAsia="Calibri" w:hAnsi="Franklin Gothic Book"/>
          <w:sz w:val="22"/>
          <w:szCs w:val="22"/>
          <w:lang w:eastAsia="en-US"/>
        </w:rPr>
        <w:fldChar w:fldCharType="end"/>
      </w:r>
      <w:r w:rsidRPr="00986EC1">
        <w:rPr>
          <w:rFonts w:ascii="Franklin Gothic Book" w:eastAsia="Calibri" w:hAnsi="Franklin Gothic Book"/>
          <w:sz w:val="22"/>
          <w:szCs w:val="22"/>
          <w:lang w:eastAsia="en-US"/>
        </w:rPr>
        <w:t xml:space="preserve"> (sensitivity analysis). Consistent with the economic analysis, the cost-saving presented in the base case is not predicted in the sensitivity analysis.</w:t>
      </w:r>
    </w:p>
    <w:p w14:paraId="1D7FD72E"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 xml:space="preserve">The inclusion of the decompression ineligible population (presented as supplementary analysis) increases costs to the MBS without any offsets and therefore any addition of patients from this population increases both the predicted financial impact to the MBS and the predicted overall financial implications. </w:t>
      </w:r>
    </w:p>
    <w:p w14:paraId="4C6EC013" w14:textId="5437DA07" w:rsid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No out-of-pocket costs were discussed in the ADAR.</w:t>
      </w:r>
    </w:p>
    <w:p w14:paraId="7DB411B6" w14:textId="17013F56" w:rsidR="00D84FC8" w:rsidRPr="00986EC1" w:rsidRDefault="00D84FC8" w:rsidP="00986EC1">
      <w:pPr>
        <w:spacing w:before="120" w:after="160" w:line="259" w:lineRule="auto"/>
        <w:rPr>
          <w:rFonts w:ascii="Franklin Gothic Book" w:eastAsia="Calibri" w:hAnsi="Franklin Gothic Book"/>
          <w:sz w:val="22"/>
          <w:szCs w:val="22"/>
          <w:lang w:eastAsia="en-US"/>
        </w:rPr>
      </w:pPr>
      <w:r>
        <w:rPr>
          <w:rFonts w:ascii="Franklin Gothic Book" w:eastAsia="Calibri" w:hAnsi="Franklin Gothic Book"/>
          <w:sz w:val="22"/>
          <w:szCs w:val="22"/>
          <w:lang w:eastAsia="en-US"/>
        </w:rPr>
        <w:t xml:space="preserve">The pre-ESC response revised financial estimates (with a 10% discount on the device cost) are included in Table 26. </w:t>
      </w:r>
    </w:p>
    <w:p w14:paraId="4FCB73DD" w14:textId="50D85364" w:rsidR="00986EC1" w:rsidRPr="00986EC1" w:rsidRDefault="00986EC1" w:rsidP="00986EC1">
      <w:pPr>
        <w:keepNext/>
        <w:spacing w:before="360" w:after="120"/>
        <w:ind w:left="794" w:hanging="794"/>
        <w:rPr>
          <w:rFonts w:ascii="Arial Narrow" w:hAnsi="Arial Narrow"/>
          <w:b/>
          <w:bCs/>
          <w:sz w:val="20"/>
          <w:lang w:eastAsia="en-US"/>
        </w:rPr>
      </w:pPr>
      <w:bookmarkStart w:id="81" w:name="_Ref80014359"/>
      <w:r w:rsidRPr="00986EC1">
        <w:rPr>
          <w:rFonts w:ascii="Arial Narrow" w:hAnsi="Arial Narrow"/>
          <w:b/>
          <w:bCs/>
          <w:sz w:val="20"/>
          <w:lang w:eastAsia="en-US"/>
        </w:rPr>
        <w:t xml:space="preserve">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26</w:t>
      </w:r>
      <w:r w:rsidRPr="00986EC1">
        <w:rPr>
          <w:rFonts w:ascii="Arial Narrow" w:hAnsi="Arial Narrow"/>
          <w:b/>
          <w:bCs/>
          <w:noProof/>
          <w:sz w:val="20"/>
          <w:lang w:eastAsia="en-US"/>
        </w:rPr>
        <w:fldChar w:fldCharType="end"/>
      </w:r>
      <w:bookmarkEnd w:id="81"/>
      <w:r w:rsidRPr="00986EC1">
        <w:rPr>
          <w:rFonts w:ascii="Arial Narrow" w:hAnsi="Arial Narrow"/>
          <w:b/>
          <w:bCs/>
          <w:sz w:val="20"/>
          <w:lang w:eastAsia="en-US"/>
        </w:rPr>
        <w:tab/>
        <w:t>Net financial implications of the proposed listing of IDS to the Australian healthcare system – base case 25% index fusion</w:t>
      </w:r>
    </w:p>
    <w:tbl>
      <w:tblPr>
        <w:tblStyle w:val="OPTUMTableNormal"/>
        <w:tblW w:w="0" w:type="auto"/>
        <w:tblCellMar>
          <w:left w:w="0" w:type="dxa"/>
          <w:right w:w="0" w:type="dxa"/>
        </w:tblCellMar>
        <w:tblLook w:val="04A0" w:firstRow="1" w:lastRow="0" w:firstColumn="1" w:lastColumn="0" w:noHBand="0" w:noVBand="1"/>
        <w:tblDescription w:val="Net financial implications of the proposed listing of IDS to the Australian healthcare system – base case 25% index fusion"/>
      </w:tblPr>
      <w:tblGrid>
        <w:gridCol w:w="2967"/>
        <w:gridCol w:w="1207"/>
        <w:gridCol w:w="1208"/>
        <w:gridCol w:w="1208"/>
        <w:gridCol w:w="1208"/>
        <w:gridCol w:w="1208"/>
      </w:tblGrid>
      <w:tr w:rsidR="00986EC1" w:rsidRPr="00986EC1" w14:paraId="67B2C75D" w14:textId="77777777" w:rsidTr="00BB3E71">
        <w:trPr>
          <w:cnfStyle w:val="100000000000" w:firstRow="1" w:lastRow="0" w:firstColumn="0" w:lastColumn="0" w:oddVBand="0" w:evenVBand="0" w:oddHBand="0" w:evenHBand="0" w:firstRowFirstColumn="0" w:firstRowLastColumn="0" w:lastRowFirstColumn="0" w:lastRowLastColumn="0"/>
          <w:tblHeader/>
        </w:trPr>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28D2C1"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 xml:space="preserve">Parameter </w:t>
            </w:r>
          </w:p>
        </w:tc>
        <w:tc>
          <w:tcPr>
            <w:tcW w:w="1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2A1E69"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Year 1</w:t>
            </w:r>
          </w:p>
        </w:tc>
        <w:tc>
          <w:tcPr>
            <w:tcW w:w="12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DD9C5B"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Year 2</w:t>
            </w:r>
          </w:p>
        </w:tc>
        <w:tc>
          <w:tcPr>
            <w:tcW w:w="12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C40C6E"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Year 3</w:t>
            </w:r>
          </w:p>
        </w:tc>
        <w:tc>
          <w:tcPr>
            <w:tcW w:w="12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1D8260"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Year 4</w:t>
            </w:r>
          </w:p>
        </w:tc>
        <w:tc>
          <w:tcPr>
            <w:tcW w:w="12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1F6000"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Year 5</w:t>
            </w:r>
          </w:p>
        </w:tc>
      </w:tr>
      <w:tr w:rsidR="00986EC1" w:rsidRPr="00986EC1" w14:paraId="4F6C4AE2" w14:textId="77777777" w:rsidTr="005917C2">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971779"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Net financial implications of the proposed listing of IDS on hospital resource use</w:t>
            </w:r>
          </w:p>
        </w:tc>
      </w:tr>
      <w:tr w:rsidR="00986EC1" w:rsidRPr="00986EC1" w14:paraId="432C2992" w14:textId="77777777" w:rsidTr="00BB3E7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19659"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 xml:space="preserve">Other hospital costs with IDS, total </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14:paraId="6E718A6E"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$1,707,482</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14D87D59"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$3,037,546</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504D7BA6"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$4,409,998</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478D719C"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$5,824,839</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184C5381"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$7,282,067</w:t>
            </w:r>
          </w:p>
        </w:tc>
      </w:tr>
      <w:tr w:rsidR="00986EC1" w:rsidRPr="00986EC1" w14:paraId="05F7C56A" w14:textId="77777777" w:rsidTr="00BB3E7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3983D"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Changes in other hospital costs (via reduction in decompression ± spinal fusion)</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14:paraId="0C34199B" w14:textId="2674B362"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-$11,694,207</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45C700B0" w14:textId="71C330A1"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-$20,310,064</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7E722E4F"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-$28,908,046</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7D678CC0"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-$37,876,314</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088F8BED"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-$47,112,282</w:t>
            </w:r>
          </w:p>
        </w:tc>
      </w:tr>
      <w:tr w:rsidR="00986EC1" w:rsidRPr="00986EC1" w14:paraId="2B39433E" w14:textId="77777777" w:rsidTr="00BB3E7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D1D79"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Net financial implications</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14:paraId="484053A5"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-$9,986,725</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66D5AC9E" w14:textId="7F64F5E6"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-$17,272,518</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2E4C14C6"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-$24,498,047</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37C5AE92"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-$32,051,476</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35C6EB2F"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-$39,830,215</w:t>
            </w:r>
          </w:p>
        </w:tc>
      </w:tr>
      <w:tr w:rsidR="00986EC1" w:rsidRPr="00986EC1" w14:paraId="6A0AE895" w14:textId="77777777" w:rsidTr="005917C2">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55AD8"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Net financial implications of the proposed listing of IDS in terms of prostheses costs</w:t>
            </w:r>
          </w:p>
        </w:tc>
      </w:tr>
      <w:tr w:rsidR="00986EC1" w:rsidRPr="00986EC1" w14:paraId="7B3B3DA7" w14:textId="77777777" w:rsidTr="00BB3E7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898D59"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 xml:space="preserve">Prosthesis costs with IDS, total </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14:paraId="1B00546B" w14:textId="011232B0"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F764B9">
              <w:rPr>
                <w:rFonts w:ascii="Arial Narrow" w:eastAsia="Calibri" w:hAnsi="Arial Narrow"/>
                <w:b/>
                <w:bCs/>
                <w:sz w:val="20"/>
                <w:szCs w:val="22"/>
                <w:lang w:eastAsia="en-US"/>
              </w:rPr>
              <w:t>Redacted</w:t>
            </w:r>
            <w:r w:rsidR="00F764B9">
              <w:rPr>
                <w:rFonts w:ascii="Arial Narrow" w:eastAsia="Calibri" w:hAnsi="Arial Narrow"/>
                <w:sz w:val="20"/>
                <w:szCs w:val="22"/>
                <w:vertAlign w:val="superscript"/>
                <w:lang w:eastAsia="en-US"/>
              </w:rPr>
              <w:t>1</w:t>
            </w:r>
            <w:r w:rsidR="00F764B9">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76B3527A" w14:textId="322F46EE"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DF4734">
              <w:rPr>
                <w:rFonts w:ascii="Arial Narrow" w:eastAsia="Calibri" w:hAnsi="Arial Narrow"/>
                <w:b/>
                <w:bCs/>
                <w:sz w:val="20"/>
                <w:szCs w:val="22"/>
                <w:lang w:eastAsia="en-US"/>
              </w:rPr>
              <w:t>Redacted</w:t>
            </w:r>
            <w:r w:rsidR="00DF4734">
              <w:rPr>
                <w:rFonts w:ascii="Arial Narrow" w:eastAsia="Calibri" w:hAnsi="Arial Narrow"/>
                <w:sz w:val="20"/>
                <w:szCs w:val="22"/>
                <w:vertAlign w:val="superscript"/>
                <w:lang w:eastAsia="en-US"/>
              </w:rPr>
              <w:t>2</w:t>
            </w:r>
            <w:r w:rsidR="00DF4734">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587008B5" w14:textId="5AC0ECC1"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DF4734">
              <w:rPr>
                <w:rFonts w:ascii="Arial Narrow" w:eastAsia="Calibri" w:hAnsi="Arial Narrow"/>
                <w:b/>
                <w:bCs/>
                <w:sz w:val="20"/>
                <w:szCs w:val="22"/>
                <w:lang w:eastAsia="en-US"/>
              </w:rPr>
              <w:t>Redacted</w:t>
            </w:r>
            <w:r w:rsidR="00DF4734">
              <w:rPr>
                <w:rFonts w:ascii="Arial Narrow" w:eastAsia="Calibri" w:hAnsi="Arial Narrow"/>
                <w:sz w:val="20"/>
                <w:szCs w:val="22"/>
                <w:vertAlign w:val="superscript"/>
                <w:lang w:eastAsia="en-US"/>
              </w:rPr>
              <w:t>3</w:t>
            </w:r>
            <w:r w:rsidR="00DF4734">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5D0AE14B" w14:textId="36479AB8"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DF4734">
              <w:rPr>
                <w:rFonts w:ascii="Arial Narrow" w:eastAsia="Calibri" w:hAnsi="Arial Narrow"/>
                <w:b/>
                <w:bCs/>
                <w:sz w:val="20"/>
                <w:szCs w:val="22"/>
                <w:lang w:eastAsia="en-US"/>
              </w:rPr>
              <w:t>Redacted</w:t>
            </w:r>
            <w:r w:rsidR="00DF4734">
              <w:rPr>
                <w:rFonts w:ascii="Arial Narrow" w:eastAsia="Calibri" w:hAnsi="Arial Narrow"/>
                <w:sz w:val="20"/>
                <w:szCs w:val="22"/>
                <w:vertAlign w:val="superscript"/>
                <w:lang w:eastAsia="en-US"/>
              </w:rPr>
              <w:t xml:space="preserve">4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0571D669" w14:textId="74074488"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DF4734">
              <w:rPr>
                <w:rFonts w:ascii="Arial Narrow" w:eastAsia="Calibri" w:hAnsi="Arial Narrow"/>
                <w:b/>
                <w:bCs/>
                <w:sz w:val="20"/>
                <w:szCs w:val="22"/>
                <w:lang w:eastAsia="en-US"/>
              </w:rPr>
              <w:t>Redacted</w:t>
            </w:r>
            <w:r w:rsidR="00DF4734">
              <w:rPr>
                <w:rFonts w:ascii="Arial Narrow" w:eastAsia="Calibri" w:hAnsi="Arial Narrow"/>
                <w:sz w:val="20"/>
                <w:szCs w:val="22"/>
                <w:vertAlign w:val="superscript"/>
                <w:lang w:eastAsia="en-US"/>
              </w:rPr>
              <w:t>5</w:t>
            </w:r>
            <w:r w:rsidR="00DF4734">
              <w:rPr>
                <w:rFonts w:ascii="Arial Narrow" w:eastAsia="Calibri" w:hAnsi="Arial Narrow"/>
                <w:sz w:val="20"/>
                <w:szCs w:val="22"/>
                <w:lang w:eastAsia="en-US"/>
              </w:rPr>
              <w:t xml:space="preserve"> </w:t>
            </w:r>
          </w:p>
        </w:tc>
      </w:tr>
      <w:tr w:rsidR="00986EC1" w:rsidRPr="00986EC1" w14:paraId="3E799575" w14:textId="77777777" w:rsidTr="00BB3E7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B922C2"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Changes in prosthesis (via reduction in spinal fusion)</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14:paraId="1B774651" w14:textId="55DCFE61"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DF4734" w:rsidRPr="00DF4734">
              <w:rPr>
                <w:rFonts w:ascii="Arial Narrow" w:eastAsia="Calibri" w:hAnsi="Arial Narrow"/>
                <w:b/>
                <w:bCs/>
                <w:sz w:val="20"/>
                <w:szCs w:val="22"/>
                <w:lang w:eastAsia="en-US"/>
              </w:rPr>
              <w:t>Redacted</w:t>
            </w:r>
            <w:r w:rsidR="00DF4734">
              <w:rPr>
                <w:rFonts w:ascii="Arial Narrow" w:eastAsia="Calibri" w:hAnsi="Arial Narrow"/>
                <w:sz w:val="20"/>
                <w:szCs w:val="22"/>
                <w:vertAlign w:val="superscript"/>
                <w:lang w:eastAsia="en-US"/>
              </w:rPr>
              <w:t>6</w:t>
            </w:r>
            <w:r w:rsidR="00DF4734">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49D16319" w14:textId="1A17BB83"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DF4734" w:rsidRPr="00DF4734">
              <w:rPr>
                <w:rFonts w:ascii="Arial Narrow" w:eastAsia="Calibri" w:hAnsi="Arial Narrow"/>
                <w:b/>
                <w:bCs/>
                <w:sz w:val="20"/>
                <w:szCs w:val="22"/>
                <w:lang w:eastAsia="en-US"/>
              </w:rPr>
              <w:t>Redacted</w:t>
            </w:r>
            <w:r w:rsidR="00DF4734">
              <w:rPr>
                <w:rFonts w:ascii="Arial Narrow" w:eastAsia="Calibri" w:hAnsi="Arial Narrow"/>
                <w:sz w:val="20"/>
                <w:szCs w:val="22"/>
                <w:vertAlign w:val="superscript"/>
                <w:lang w:eastAsia="en-US"/>
              </w:rPr>
              <w:t>7</w:t>
            </w:r>
            <w:r w:rsidR="00DF4734">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00D38F7A" w14:textId="1B815620"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DF4734" w:rsidRPr="00DF4734">
              <w:rPr>
                <w:rFonts w:ascii="Arial Narrow" w:eastAsia="Calibri" w:hAnsi="Arial Narrow"/>
                <w:b/>
                <w:bCs/>
                <w:sz w:val="20"/>
                <w:szCs w:val="22"/>
                <w:lang w:eastAsia="en-US"/>
              </w:rPr>
              <w:t>Redacted</w:t>
            </w:r>
            <w:r w:rsidR="00DF4734">
              <w:rPr>
                <w:rFonts w:ascii="Arial Narrow" w:eastAsia="Calibri" w:hAnsi="Arial Narrow"/>
                <w:sz w:val="20"/>
                <w:szCs w:val="22"/>
                <w:vertAlign w:val="superscript"/>
                <w:lang w:eastAsia="en-US"/>
              </w:rPr>
              <w:t>8</w:t>
            </w:r>
            <w:r w:rsidR="00DF4734">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4F33E32E" w14:textId="4BD1D2AE"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F764B9">
              <w:rPr>
                <w:rFonts w:ascii="Arial Narrow" w:eastAsia="Calibri" w:hAnsi="Arial Narrow"/>
                <w:b/>
                <w:bCs/>
                <w:sz w:val="20"/>
                <w:szCs w:val="22"/>
                <w:lang w:eastAsia="en-US"/>
              </w:rPr>
              <w:t>Redacted</w:t>
            </w:r>
            <w:r w:rsidR="00F764B9">
              <w:rPr>
                <w:rFonts w:ascii="Arial Narrow" w:eastAsia="Calibri" w:hAnsi="Arial Narrow"/>
                <w:sz w:val="20"/>
                <w:szCs w:val="22"/>
                <w:vertAlign w:val="superscript"/>
                <w:lang w:eastAsia="en-US"/>
              </w:rPr>
              <w:t>1</w:t>
            </w:r>
            <w:r w:rsidR="00F764B9">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149F4DD5" w14:textId="4B8C3ADF"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F764B9">
              <w:rPr>
                <w:rFonts w:ascii="Arial Narrow" w:eastAsia="Calibri" w:hAnsi="Arial Narrow"/>
                <w:b/>
                <w:bCs/>
                <w:sz w:val="20"/>
                <w:szCs w:val="22"/>
                <w:lang w:eastAsia="en-US"/>
              </w:rPr>
              <w:t>Redacted</w:t>
            </w:r>
            <w:r w:rsidR="00F764B9">
              <w:rPr>
                <w:rFonts w:ascii="Arial Narrow" w:eastAsia="Calibri" w:hAnsi="Arial Narrow"/>
                <w:sz w:val="20"/>
                <w:szCs w:val="22"/>
                <w:vertAlign w:val="superscript"/>
                <w:lang w:eastAsia="en-US"/>
              </w:rPr>
              <w:t>1</w:t>
            </w:r>
            <w:r w:rsidR="00F764B9">
              <w:rPr>
                <w:rFonts w:ascii="Arial Narrow" w:eastAsia="Calibri" w:hAnsi="Arial Narrow"/>
                <w:sz w:val="20"/>
                <w:szCs w:val="22"/>
                <w:lang w:eastAsia="en-US"/>
              </w:rPr>
              <w:t xml:space="preserve"> </w:t>
            </w:r>
          </w:p>
        </w:tc>
      </w:tr>
      <w:tr w:rsidR="00986EC1" w:rsidRPr="00986EC1" w14:paraId="1E5099D5" w14:textId="77777777" w:rsidTr="00BB3E7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7825E"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Net financial implications</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14:paraId="73013A52" w14:textId="5DBB58CC"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DF4734" w:rsidRPr="00DF4734">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9</w:t>
            </w:r>
            <w:r w:rsidR="00DF4734">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11274464" w14:textId="774A7780"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F764B9">
              <w:rPr>
                <w:rFonts w:ascii="Arial Narrow" w:eastAsia="Calibri" w:hAnsi="Arial Narrow"/>
                <w:b/>
                <w:bCs/>
                <w:sz w:val="20"/>
                <w:szCs w:val="22"/>
                <w:lang w:eastAsia="en-US"/>
              </w:rPr>
              <w:t>Redacted</w:t>
            </w:r>
            <w:r w:rsidR="00F764B9">
              <w:rPr>
                <w:rFonts w:ascii="Arial Narrow" w:eastAsia="Calibri" w:hAnsi="Arial Narrow"/>
                <w:sz w:val="20"/>
                <w:szCs w:val="22"/>
                <w:vertAlign w:val="superscript"/>
                <w:lang w:eastAsia="en-US"/>
              </w:rPr>
              <w:t>1</w:t>
            </w:r>
            <w:r w:rsidR="00F764B9">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2A7779AF" w14:textId="7ED77131"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DF4734">
              <w:rPr>
                <w:rFonts w:ascii="Arial Narrow" w:eastAsia="Calibri" w:hAnsi="Arial Narrow"/>
                <w:b/>
                <w:bCs/>
                <w:sz w:val="20"/>
                <w:szCs w:val="22"/>
                <w:lang w:eastAsia="en-US"/>
              </w:rPr>
              <w:t>Redacted</w:t>
            </w:r>
            <w:r w:rsidR="00DF4734">
              <w:rPr>
                <w:rFonts w:ascii="Arial Narrow" w:eastAsia="Calibri" w:hAnsi="Arial Narrow"/>
                <w:sz w:val="20"/>
                <w:szCs w:val="22"/>
                <w:vertAlign w:val="superscript"/>
                <w:lang w:eastAsia="en-US"/>
              </w:rPr>
              <w:t>2</w:t>
            </w:r>
            <w:r w:rsidR="00DF4734">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448401BF" w14:textId="2A1E6335"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DF4734">
              <w:rPr>
                <w:rFonts w:ascii="Arial Narrow" w:eastAsia="Calibri" w:hAnsi="Arial Narrow"/>
                <w:b/>
                <w:bCs/>
                <w:sz w:val="20"/>
                <w:szCs w:val="22"/>
                <w:lang w:eastAsia="en-US"/>
              </w:rPr>
              <w:t>Redacted</w:t>
            </w:r>
            <w:r w:rsidR="00DF4734">
              <w:rPr>
                <w:rFonts w:ascii="Arial Narrow" w:eastAsia="Calibri" w:hAnsi="Arial Narrow"/>
                <w:sz w:val="20"/>
                <w:szCs w:val="22"/>
                <w:vertAlign w:val="superscript"/>
                <w:lang w:eastAsia="en-US"/>
              </w:rPr>
              <w:t>2</w:t>
            </w:r>
            <w:r w:rsidR="00DF4734">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1743C7B1" w14:textId="6AD0AC36"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DF4734">
              <w:rPr>
                <w:rFonts w:ascii="Arial Narrow" w:eastAsia="Calibri" w:hAnsi="Arial Narrow"/>
                <w:b/>
                <w:bCs/>
                <w:sz w:val="20"/>
                <w:szCs w:val="22"/>
                <w:lang w:eastAsia="en-US"/>
              </w:rPr>
              <w:t>Redacted</w:t>
            </w:r>
            <w:r w:rsidR="00DF4734">
              <w:rPr>
                <w:rFonts w:ascii="Arial Narrow" w:eastAsia="Calibri" w:hAnsi="Arial Narrow"/>
                <w:sz w:val="20"/>
                <w:szCs w:val="22"/>
                <w:vertAlign w:val="superscript"/>
                <w:lang w:eastAsia="en-US"/>
              </w:rPr>
              <w:t>3</w:t>
            </w:r>
            <w:r w:rsidR="00DF4734">
              <w:rPr>
                <w:rFonts w:ascii="Arial Narrow" w:eastAsia="Calibri" w:hAnsi="Arial Narrow"/>
                <w:sz w:val="20"/>
                <w:szCs w:val="22"/>
                <w:lang w:eastAsia="en-US"/>
              </w:rPr>
              <w:t xml:space="preserve"> </w:t>
            </w:r>
          </w:p>
        </w:tc>
      </w:tr>
      <w:tr w:rsidR="00986EC1" w:rsidRPr="00986EC1" w14:paraId="13D6F366" w14:textId="77777777" w:rsidTr="005917C2">
        <w:tc>
          <w:tcPr>
            <w:tcW w:w="900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152A53A1"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Net financial implications of the proposed listing of IDS to the Australian healthcare system</w:t>
            </w:r>
          </w:p>
        </w:tc>
      </w:tr>
      <w:tr w:rsidR="00986EC1" w:rsidRPr="00986EC1" w14:paraId="3F55C36F" w14:textId="77777777" w:rsidTr="00BB3E7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45477"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 xml:space="preserve">IDS costs, all resource items </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14:paraId="30692CDA" w14:textId="626B8A2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F764B9">
              <w:rPr>
                <w:rFonts w:ascii="Arial Narrow" w:eastAsia="Calibri" w:hAnsi="Arial Narrow"/>
                <w:b/>
                <w:bCs/>
                <w:sz w:val="20"/>
                <w:szCs w:val="22"/>
                <w:lang w:eastAsia="en-US"/>
              </w:rPr>
              <w:t>Redacted</w:t>
            </w:r>
            <w:r w:rsidR="00F764B9">
              <w:rPr>
                <w:rFonts w:ascii="Arial Narrow" w:eastAsia="Calibri" w:hAnsi="Arial Narrow"/>
                <w:sz w:val="20"/>
                <w:szCs w:val="22"/>
                <w:vertAlign w:val="superscript"/>
                <w:lang w:eastAsia="en-US"/>
              </w:rPr>
              <w:t>1</w:t>
            </w:r>
            <w:r w:rsidR="00F764B9">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4DEA75F2" w14:textId="529FE1CB"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DF4734">
              <w:rPr>
                <w:rFonts w:ascii="Arial Narrow" w:eastAsia="Calibri" w:hAnsi="Arial Narrow"/>
                <w:b/>
                <w:bCs/>
                <w:sz w:val="20"/>
                <w:szCs w:val="22"/>
                <w:lang w:eastAsia="en-US"/>
              </w:rPr>
              <w:t>Redacted</w:t>
            </w:r>
            <w:r w:rsidR="00DF4734">
              <w:rPr>
                <w:rFonts w:ascii="Arial Narrow" w:eastAsia="Calibri" w:hAnsi="Arial Narrow"/>
                <w:sz w:val="20"/>
                <w:szCs w:val="22"/>
                <w:vertAlign w:val="superscript"/>
                <w:lang w:eastAsia="en-US"/>
              </w:rPr>
              <w:t>2</w:t>
            </w:r>
            <w:r w:rsidR="00DF4734">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36BB9B15" w14:textId="5AA60A9A"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DF4734">
              <w:rPr>
                <w:rFonts w:ascii="Arial Narrow" w:eastAsia="Calibri" w:hAnsi="Arial Narrow"/>
                <w:b/>
                <w:bCs/>
                <w:sz w:val="20"/>
                <w:szCs w:val="22"/>
                <w:lang w:eastAsia="en-US"/>
              </w:rPr>
              <w:t>Redacted</w:t>
            </w:r>
            <w:r w:rsidR="00DF4734">
              <w:rPr>
                <w:rFonts w:ascii="Arial Narrow" w:eastAsia="Calibri" w:hAnsi="Arial Narrow"/>
                <w:sz w:val="20"/>
                <w:szCs w:val="22"/>
                <w:vertAlign w:val="superscript"/>
                <w:lang w:eastAsia="en-US"/>
              </w:rPr>
              <w:t>3</w:t>
            </w:r>
            <w:r w:rsidR="00DF4734">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56394A1F" w14:textId="2EF19854"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DF4734">
              <w:rPr>
                <w:rFonts w:ascii="Arial Narrow" w:eastAsia="Calibri" w:hAnsi="Arial Narrow"/>
                <w:b/>
                <w:bCs/>
                <w:sz w:val="20"/>
                <w:szCs w:val="22"/>
                <w:lang w:eastAsia="en-US"/>
              </w:rPr>
              <w:t>Redacted</w:t>
            </w:r>
            <w:r w:rsidR="00DF4734">
              <w:rPr>
                <w:rFonts w:ascii="Arial Narrow" w:eastAsia="Calibri" w:hAnsi="Arial Narrow"/>
                <w:sz w:val="20"/>
                <w:szCs w:val="22"/>
                <w:vertAlign w:val="superscript"/>
                <w:lang w:eastAsia="en-US"/>
              </w:rPr>
              <w:t>4</w:t>
            </w:r>
            <w:r w:rsidR="00DF4734">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6EDD6AC4" w14:textId="056D94F4"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DF4734" w:rsidRPr="00DF4734">
              <w:rPr>
                <w:rFonts w:ascii="Arial Narrow" w:eastAsia="Calibri" w:hAnsi="Arial Narrow"/>
                <w:b/>
                <w:bCs/>
                <w:sz w:val="20"/>
                <w:szCs w:val="22"/>
                <w:lang w:eastAsia="en-US"/>
              </w:rPr>
              <w:t>Redacted</w:t>
            </w:r>
            <w:r w:rsidR="005D2DFC">
              <w:rPr>
                <w:rFonts w:ascii="Arial Narrow" w:eastAsia="Calibri" w:hAnsi="Arial Narrow"/>
                <w:sz w:val="20"/>
                <w:szCs w:val="22"/>
                <w:vertAlign w:val="superscript"/>
                <w:lang w:eastAsia="en-US"/>
              </w:rPr>
              <w:t>10</w:t>
            </w:r>
            <w:r w:rsidR="00DF4734">
              <w:rPr>
                <w:rFonts w:ascii="Arial Narrow" w:eastAsia="Calibri" w:hAnsi="Arial Narrow"/>
                <w:sz w:val="20"/>
                <w:szCs w:val="22"/>
                <w:lang w:eastAsia="en-US"/>
              </w:rPr>
              <w:t xml:space="preserve"> </w:t>
            </w:r>
          </w:p>
        </w:tc>
      </w:tr>
      <w:tr w:rsidR="00986EC1" w:rsidRPr="00986EC1" w14:paraId="1B2151DA" w14:textId="77777777" w:rsidTr="00BB3E71">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375842"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Changes in overall healthcare costs, including prosthesis (via reduction in decompression ± spinal fusion)</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14:paraId="5E41BB22" w14:textId="57F7FE3A"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F764B9">
              <w:rPr>
                <w:rFonts w:ascii="Arial Narrow" w:eastAsia="Calibri" w:hAnsi="Arial Narrow"/>
                <w:b/>
                <w:bCs/>
                <w:sz w:val="20"/>
                <w:szCs w:val="22"/>
                <w:lang w:eastAsia="en-US"/>
              </w:rPr>
              <w:t>Redacted</w:t>
            </w:r>
            <w:r w:rsidR="00F764B9">
              <w:rPr>
                <w:rFonts w:ascii="Arial Narrow" w:eastAsia="Calibri" w:hAnsi="Arial Narrow"/>
                <w:sz w:val="20"/>
                <w:szCs w:val="22"/>
                <w:vertAlign w:val="superscript"/>
                <w:lang w:eastAsia="en-US"/>
              </w:rPr>
              <w:t>1</w:t>
            </w:r>
            <w:r w:rsidR="00F764B9">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1AB4FB6B" w14:textId="5FE0C9A4"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DF4734">
              <w:rPr>
                <w:rFonts w:ascii="Arial Narrow" w:eastAsia="Calibri" w:hAnsi="Arial Narrow"/>
                <w:b/>
                <w:bCs/>
                <w:sz w:val="20"/>
                <w:szCs w:val="22"/>
                <w:lang w:eastAsia="en-US"/>
              </w:rPr>
              <w:t>Redacted</w:t>
            </w:r>
            <w:r w:rsidR="00DF4734">
              <w:rPr>
                <w:rFonts w:ascii="Arial Narrow" w:eastAsia="Calibri" w:hAnsi="Arial Narrow"/>
                <w:sz w:val="20"/>
                <w:szCs w:val="22"/>
                <w:vertAlign w:val="superscript"/>
                <w:lang w:eastAsia="en-US"/>
              </w:rPr>
              <w:t>2</w:t>
            </w:r>
            <w:r w:rsidR="00DF4734">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2C1DF936" w14:textId="4DA478DC"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DF4734">
              <w:rPr>
                <w:rFonts w:ascii="Arial Narrow" w:eastAsia="Calibri" w:hAnsi="Arial Narrow"/>
                <w:b/>
                <w:bCs/>
                <w:sz w:val="20"/>
                <w:szCs w:val="22"/>
                <w:lang w:eastAsia="en-US"/>
              </w:rPr>
              <w:t>Redacted</w:t>
            </w:r>
            <w:r w:rsidR="00DF4734">
              <w:rPr>
                <w:rFonts w:ascii="Arial Narrow" w:eastAsia="Calibri" w:hAnsi="Arial Narrow"/>
                <w:sz w:val="20"/>
                <w:szCs w:val="22"/>
                <w:vertAlign w:val="superscript"/>
                <w:lang w:eastAsia="en-US"/>
              </w:rPr>
              <w:t>4</w:t>
            </w:r>
            <w:r w:rsidR="00DF4734">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14EE4F15" w14:textId="39BD796C"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DF4734">
              <w:rPr>
                <w:rFonts w:ascii="Arial Narrow" w:eastAsia="Calibri" w:hAnsi="Arial Narrow"/>
                <w:b/>
                <w:bCs/>
                <w:sz w:val="20"/>
                <w:szCs w:val="22"/>
                <w:lang w:eastAsia="en-US"/>
              </w:rPr>
              <w:t>Redacted</w:t>
            </w:r>
            <w:r w:rsidR="00DF4734">
              <w:rPr>
                <w:rFonts w:ascii="Arial Narrow" w:eastAsia="Calibri" w:hAnsi="Arial Narrow"/>
                <w:sz w:val="20"/>
                <w:szCs w:val="22"/>
                <w:vertAlign w:val="superscript"/>
                <w:lang w:eastAsia="en-US"/>
              </w:rPr>
              <w:t>5</w:t>
            </w:r>
            <w:r w:rsidR="00DF4734">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155C9087" w14:textId="34E7F47C"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DF4734" w:rsidRPr="00DF4734">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10</w:t>
            </w:r>
            <w:r w:rsidR="00DF4734">
              <w:rPr>
                <w:rFonts w:ascii="Arial Narrow" w:eastAsia="Calibri" w:hAnsi="Arial Narrow"/>
                <w:sz w:val="20"/>
                <w:szCs w:val="22"/>
                <w:lang w:eastAsia="en-US"/>
              </w:rPr>
              <w:t xml:space="preserve"> </w:t>
            </w:r>
          </w:p>
        </w:tc>
      </w:tr>
      <w:tr w:rsidR="00986EC1" w:rsidRPr="00986EC1" w14:paraId="7988095D" w14:textId="77777777" w:rsidTr="00BB3E71">
        <w:tc>
          <w:tcPr>
            <w:tcW w:w="296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84DE49F"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Net financial implications</w:t>
            </w:r>
          </w:p>
        </w:tc>
        <w:tc>
          <w:tcPr>
            <w:tcW w:w="1207" w:type="dxa"/>
            <w:tcBorders>
              <w:top w:val="nil"/>
              <w:left w:val="nil"/>
              <w:bottom w:val="single" w:sz="4" w:space="0" w:color="auto"/>
              <w:right w:val="single" w:sz="8" w:space="0" w:color="auto"/>
            </w:tcBorders>
            <w:tcMar>
              <w:top w:w="0" w:type="dxa"/>
              <w:left w:w="108" w:type="dxa"/>
              <w:bottom w:w="0" w:type="dxa"/>
              <w:right w:w="108" w:type="dxa"/>
            </w:tcMar>
          </w:tcPr>
          <w:p w14:paraId="0F488C18" w14:textId="419B0121"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w:t>
            </w:r>
            <w:r w:rsidR="00DF4734" w:rsidRPr="00DF4734">
              <w:rPr>
                <w:rFonts w:ascii="Arial Narrow" w:eastAsia="Calibri" w:hAnsi="Arial Narrow"/>
                <w:b/>
                <w:bCs/>
                <w:sz w:val="20"/>
                <w:szCs w:val="22"/>
                <w:lang w:eastAsia="en-US"/>
              </w:rPr>
              <w:t>Redacted</w:t>
            </w:r>
            <w:r w:rsidR="00DF4734" w:rsidRPr="00DF4734">
              <w:rPr>
                <w:rFonts w:ascii="Arial Narrow" w:eastAsia="Calibri" w:hAnsi="Arial Narrow"/>
                <w:sz w:val="20"/>
                <w:szCs w:val="22"/>
                <w:vertAlign w:val="superscript"/>
                <w:lang w:eastAsia="en-US"/>
              </w:rPr>
              <w:t>1</w:t>
            </w:r>
            <w:r w:rsidR="00EA641E">
              <w:rPr>
                <w:rFonts w:ascii="Arial Narrow" w:eastAsia="Calibri" w:hAnsi="Arial Narrow"/>
                <w:sz w:val="20"/>
                <w:szCs w:val="22"/>
                <w:vertAlign w:val="superscript"/>
                <w:lang w:eastAsia="en-US"/>
              </w:rPr>
              <w:t>1</w:t>
            </w:r>
            <w:r w:rsidR="00DF4734">
              <w:rPr>
                <w:rFonts w:ascii="Arial Narrow" w:eastAsia="Calibri" w:hAnsi="Arial Narrow"/>
                <w:sz w:val="20"/>
                <w:szCs w:val="22"/>
                <w:lang w:eastAsia="en-US"/>
              </w:rPr>
              <w:t xml:space="preserve"> </w:t>
            </w:r>
          </w:p>
        </w:tc>
        <w:tc>
          <w:tcPr>
            <w:tcW w:w="1208" w:type="dxa"/>
            <w:tcBorders>
              <w:top w:val="nil"/>
              <w:left w:val="nil"/>
              <w:bottom w:val="single" w:sz="4" w:space="0" w:color="auto"/>
              <w:right w:val="single" w:sz="8" w:space="0" w:color="auto"/>
            </w:tcBorders>
            <w:tcMar>
              <w:top w:w="0" w:type="dxa"/>
              <w:left w:w="108" w:type="dxa"/>
              <w:bottom w:w="0" w:type="dxa"/>
              <w:right w:w="108" w:type="dxa"/>
            </w:tcMar>
          </w:tcPr>
          <w:p w14:paraId="6D333082" w14:textId="72871EC9"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w:t>
            </w:r>
            <w:r w:rsidR="00EA641E" w:rsidRPr="00DF4734">
              <w:rPr>
                <w:rFonts w:ascii="Arial Narrow" w:eastAsia="Calibri" w:hAnsi="Arial Narrow"/>
                <w:b/>
                <w:bCs/>
                <w:sz w:val="20"/>
                <w:szCs w:val="22"/>
                <w:lang w:eastAsia="en-US"/>
              </w:rPr>
              <w:t>Redacted</w:t>
            </w:r>
            <w:r w:rsidR="00EA641E">
              <w:rPr>
                <w:rFonts w:ascii="Arial Narrow" w:eastAsia="Calibri" w:hAnsi="Arial Narrow"/>
                <w:sz w:val="20"/>
                <w:szCs w:val="22"/>
                <w:vertAlign w:val="superscript"/>
                <w:lang w:eastAsia="en-US"/>
              </w:rPr>
              <w:t>12</w:t>
            </w:r>
            <w:r w:rsidR="00EA641E">
              <w:rPr>
                <w:rFonts w:ascii="Arial Narrow" w:eastAsia="Calibri" w:hAnsi="Arial Narrow"/>
                <w:sz w:val="20"/>
                <w:szCs w:val="22"/>
                <w:lang w:eastAsia="en-US"/>
              </w:rPr>
              <w:t xml:space="preserve"> </w:t>
            </w:r>
          </w:p>
        </w:tc>
        <w:tc>
          <w:tcPr>
            <w:tcW w:w="1208" w:type="dxa"/>
            <w:tcBorders>
              <w:top w:val="nil"/>
              <w:left w:val="nil"/>
              <w:bottom w:val="single" w:sz="4" w:space="0" w:color="auto"/>
              <w:right w:val="single" w:sz="8" w:space="0" w:color="auto"/>
            </w:tcBorders>
            <w:tcMar>
              <w:top w:w="0" w:type="dxa"/>
              <w:left w:w="108" w:type="dxa"/>
              <w:bottom w:w="0" w:type="dxa"/>
              <w:right w:w="108" w:type="dxa"/>
            </w:tcMar>
          </w:tcPr>
          <w:p w14:paraId="5FD8E97B" w14:textId="44B4F004"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w:t>
            </w:r>
            <w:r w:rsidR="00EA641E" w:rsidRPr="00DF4734">
              <w:rPr>
                <w:rFonts w:ascii="Arial Narrow" w:eastAsia="Calibri" w:hAnsi="Arial Narrow"/>
                <w:b/>
                <w:bCs/>
                <w:sz w:val="20"/>
                <w:szCs w:val="22"/>
                <w:lang w:eastAsia="en-US"/>
              </w:rPr>
              <w:t xml:space="preserve"> Redacted</w:t>
            </w:r>
            <w:r w:rsidR="00EA641E">
              <w:rPr>
                <w:rFonts w:ascii="Arial Narrow" w:eastAsia="Calibri" w:hAnsi="Arial Narrow"/>
                <w:sz w:val="20"/>
                <w:szCs w:val="22"/>
                <w:vertAlign w:val="superscript"/>
                <w:lang w:eastAsia="en-US"/>
              </w:rPr>
              <w:t>13</w:t>
            </w:r>
            <w:r w:rsidR="00EA641E">
              <w:rPr>
                <w:rFonts w:ascii="Arial Narrow" w:eastAsia="Calibri" w:hAnsi="Arial Narrow"/>
                <w:sz w:val="20"/>
                <w:szCs w:val="22"/>
                <w:lang w:eastAsia="en-US"/>
              </w:rPr>
              <w:t xml:space="preserve"> </w:t>
            </w:r>
          </w:p>
        </w:tc>
        <w:tc>
          <w:tcPr>
            <w:tcW w:w="1208" w:type="dxa"/>
            <w:tcBorders>
              <w:top w:val="nil"/>
              <w:left w:val="nil"/>
              <w:bottom w:val="single" w:sz="4" w:space="0" w:color="auto"/>
              <w:right w:val="single" w:sz="8" w:space="0" w:color="auto"/>
            </w:tcBorders>
            <w:tcMar>
              <w:top w:w="0" w:type="dxa"/>
              <w:left w:w="108" w:type="dxa"/>
              <w:bottom w:w="0" w:type="dxa"/>
              <w:right w:w="108" w:type="dxa"/>
            </w:tcMar>
          </w:tcPr>
          <w:p w14:paraId="1F81F013" w14:textId="6C68B1FA"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w:t>
            </w:r>
            <w:r w:rsidR="00DF4734" w:rsidRPr="00DF4734">
              <w:rPr>
                <w:rFonts w:ascii="Arial Narrow" w:eastAsia="Calibri" w:hAnsi="Arial Narrow"/>
                <w:b/>
                <w:bCs/>
                <w:sz w:val="20"/>
                <w:szCs w:val="22"/>
                <w:lang w:eastAsia="en-US"/>
              </w:rPr>
              <w:t>Redacted</w:t>
            </w:r>
            <w:r w:rsidR="00DF4734">
              <w:rPr>
                <w:rFonts w:ascii="Arial Narrow" w:eastAsia="Calibri" w:hAnsi="Arial Narrow"/>
                <w:sz w:val="20"/>
                <w:szCs w:val="22"/>
                <w:vertAlign w:val="superscript"/>
                <w:lang w:eastAsia="en-US"/>
              </w:rPr>
              <w:t>7</w:t>
            </w:r>
            <w:r w:rsidR="00DF4734">
              <w:rPr>
                <w:rFonts w:ascii="Arial Narrow" w:eastAsia="Calibri" w:hAnsi="Arial Narrow"/>
                <w:sz w:val="20"/>
                <w:szCs w:val="22"/>
                <w:lang w:eastAsia="en-US"/>
              </w:rPr>
              <w:t xml:space="preserve"> </w:t>
            </w:r>
          </w:p>
        </w:tc>
        <w:tc>
          <w:tcPr>
            <w:tcW w:w="1208" w:type="dxa"/>
            <w:tcBorders>
              <w:top w:val="nil"/>
              <w:left w:val="nil"/>
              <w:bottom w:val="single" w:sz="4" w:space="0" w:color="auto"/>
              <w:right w:val="single" w:sz="8" w:space="0" w:color="auto"/>
            </w:tcBorders>
            <w:tcMar>
              <w:top w:w="0" w:type="dxa"/>
              <w:left w:w="108" w:type="dxa"/>
              <w:bottom w:w="0" w:type="dxa"/>
              <w:right w:w="108" w:type="dxa"/>
            </w:tcMar>
          </w:tcPr>
          <w:p w14:paraId="56E3BAF4" w14:textId="0780AC93"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w:t>
            </w:r>
            <w:r w:rsidR="00EA641E" w:rsidRPr="00DF4734">
              <w:rPr>
                <w:rFonts w:ascii="Arial Narrow" w:eastAsia="Calibri" w:hAnsi="Arial Narrow"/>
                <w:b/>
                <w:bCs/>
                <w:sz w:val="20"/>
                <w:szCs w:val="22"/>
                <w:lang w:eastAsia="en-US"/>
              </w:rPr>
              <w:t xml:space="preserve"> Redacted</w:t>
            </w:r>
            <w:r w:rsidR="00EA641E">
              <w:rPr>
                <w:rFonts w:ascii="Arial Narrow" w:eastAsia="Calibri" w:hAnsi="Arial Narrow"/>
                <w:sz w:val="20"/>
                <w:szCs w:val="22"/>
                <w:vertAlign w:val="superscript"/>
                <w:lang w:eastAsia="en-US"/>
              </w:rPr>
              <w:t>14</w:t>
            </w:r>
            <w:r w:rsidR="00EA641E">
              <w:rPr>
                <w:rFonts w:ascii="Arial Narrow" w:eastAsia="Calibri" w:hAnsi="Arial Narrow"/>
                <w:sz w:val="20"/>
                <w:szCs w:val="22"/>
                <w:lang w:eastAsia="en-US"/>
              </w:rPr>
              <w:t xml:space="preserve"> </w:t>
            </w:r>
          </w:p>
        </w:tc>
      </w:tr>
      <w:tr w:rsidR="00511A32" w:rsidRPr="00986EC1" w14:paraId="3336B227" w14:textId="77777777" w:rsidTr="00ED1F47">
        <w:tc>
          <w:tcPr>
            <w:tcW w:w="9006"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E60411" w14:textId="59D60906" w:rsidR="00511A32" w:rsidRPr="00BB3E71" w:rsidRDefault="00511A32" w:rsidP="00986EC1">
            <w:pPr>
              <w:keepNext/>
              <w:spacing w:after="40" w:line="256" w:lineRule="auto"/>
              <w:rPr>
                <w:rFonts w:ascii="Arial Narrow" w:eastAsia="Calibri" w:hAnsi="Arial Narrow"/>
                <w:b/>
                <w:bCs/>
                <w:i/>
                <w:iCs/>
                <w:sz w:val="20"/>
                <w:szCs w:val="22"/>
                <w:lang w:eastAsia="en-US"/>
              </w:rPr>
            </w:pPr>
            <w:r>
              <w:rPr>
                <w:rFonts w:ascii="Arial Narrow" w:eastAsia="Calibri" w:hAnsi="Arial Narrow"/>
                <w:b/>
                <w:bCs/>
                <w:i/>
                <w:iCs/>
                <w:sz w:val="20"/>
                <w:szCs w:val="22"/>
                <w:lang w:eastAsia="en-US"/>
              </w:rPr>
              <w:t xml:space="preserve">Revised in pre-ESC </w:t>
            </w:r>
            <w:r w:rsidR="00D84FC8">
              <w:rPr>
                <w:rFonts w:ascii="Arial Narrow" w:eastAsia="Calibri" w:hAnsi="Arial Narrow"/>
                <w:b/>
                <w:bCs/>
                <w:i/>
                <w:iCs/>
                <w:sz w:val="20"/>
                <w:szCs w:val="22"/>
                <w:lang w:eastAsia="en-US"/>
              </w:rPr>
              <w:t>response to reflect 10% discount</w:t>
            </w:r>
          </w:p>
        </w:tc>
      </w:tr>
      <w:tr w:rsidR="00D84FC8" w:rsidRPr="00986EC1" w14:paraId="12E168B5" w14:textId="77777777" w:rsidTr="00BB3E71">
        <w:tc>
          <w:tcPr>
            <w:tcW w:w="2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59AFDA" w14:textId="197B43B6" w:rsidR="00D84FC8" w:rsidRPr="00BB3E71" w:rsidRDefault="00D84FC8" w:rsidP="00D84FC8">
            <w:pPr>
              <w:keepNext/>
              <w:spacing w:after="40" w:line="256" w:lineRule="auto"/>
              <w:rPr>
                <w:rFonts w:ascii="Arial Narrow" w:eastAsia="Calibri" w:hAnsi="Arial Narrow"/>
                <w:i/>
                <w:iCs/>
                <w:sz w:val="20"/>
                <w:szCs w:val="22"/>
                <w:lang w:eastAsia="en-US"/>
              </w:rPr>
            </w:pPr>
            <w:r w:rsidRPr="00BB3E71">
              <w:rPr>
                <w:rFonts w:ascii="Arial Narrow" w:eastAsia="Calibri" w:hAnsi="Arial Narrow"/>
                <w:i/>
                <w:iCs/>
                <w:sz w:val="20"/>
                <w:szCs w:val="22"/>
                <w:lang w:eastAsia="en-US"/>
              </w:rPr>
              <w:t xml:space="preserve">IDS costs, all resource items </w:t>
            </w:r>
          </w:p>
        </w:tc>
        <w:tc>
          <w:tcPr>
            <w:tcW w:w="1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BC1557" w14:textId="6E69347A" w:rsidR="00D84FC8" w:rsidRPr="00BB3E71" w:rsidRDefault="00D84FC8" w:rsidP="00D84FC8">
            <w:pPr>
              <w:keepNext/>
              <w:spacing w:after="40" w:line="256" w:lineRule="auto"/>
              <w:rPr>
                <w:rFonts w:ascii="Arial Narrow" w:eastAsia="Calibri" w:hAnsi="Arial Narrow"/>
                <w:i/>
                <w:iCs/>
                <w:sz w:val="20"/>
                <w:szCs w:val="16"/>
                <w:lang w:eastAsia="en-US"/>
              </w:rPr>
            </w:pPr>
            <w:r w:rsidRPr="00BB3E71">
              <w:rPr>
                <w:rFonts w:ascii="Arial Narrow" w:hAnsi="Arial Narrow"/>
                <w:i/>
                <w:iCs/>
                <w:sz w:val="20"/>
                <w:szCs w:val="16"/>
              </w:rPr>
              <w:t>$</w:t>
            </w:r>
            <w:r w:rsidR="00F764B9" w:rsidRPr="00F764B9">
              <w:rPr>
                <w:rFonts w:ascii="Arial Narrow" w:eastAsia="Calibri" w:hAnsi="Arial Narrow"/>
                <w:b/>
                <w:bCs/>
                <w:i/>
                <w:iCs/>
                <w:sz w:val="20"/>
                <w:szCs w:val="22"/>
                <w:lang w:eastAsia="en-US"/>
              </w:rPr>
              <w:t>Redacted</w:t>
            </w:r>
            <w:r w:rsidR="00F764B9" w:rsidRPr="00F764B9">
              <w:rPr>
                <w:rFonts w:ascii="Arial Narrow" w:eastAsia="Calibri" w:hAnsi="Arial Narrow"/>
                <w:i/>
                <w:iCs/>
                <w:sz w:val="20"/>
                <w:szCs w:val="22"/>
                <w:vertAlign w:val="superscript"/>
                <w:lang w:eastAsia="en-US"/>
              </w:rPr>
              <w:t>1</w:t>
            </w:r>
            <w:r w:rsidR="00F764B9" w:rsidRPr="00F764B9">
              <w:rPr>
                <w:rFonts w:ascii="Arial Narrow" w:eastAsia="Calibri" w:hAnsi="Arial Narrow"/>
                <w:i/>
                <w:iCs/>
                <w:sz w:val="20"/>
                <w:szCs w:val="22"/>
                <w:lang w:eastAsia="en-US"/>
              </w:rPr>
              <w:t xml:space="preserve"> </w:t>
            </w: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8B6799" w14:textId="550F2B8C" w:rsidR="00D84FC8" w:rsidRPr="00BB3E71" w:rsidRDefault="00D84FC8" w:rsidP="00D84FC8">
            <w:pPr>
              <w:keepNext/>
              <w:spacing w:after="40" w:line="256" w:lineRule="auto"/>
              <w:rPr>
                <w:rFonts w:ascii="Arial Narrow" w:eastAsia="Calibri" w:hAnsi="Arial Narrow"/>
                <w:i/>
                <w:iCs/>
                <w:sz w:val="20"/>
                <w:szCs w:val="16"/>
                <w:lang w:eastAsia="en-US"/>
              </w:rPr>
            </w:pPr>
            <w:r w:rsidRPr="00BB3E71">
              <w:rPr>
                <w:rFonts w:ascii="Arial Narrow" w:hAnsi="Arial Narrow"/>
                <w:i/>
                <w:iCs/>
                <w:sz w:val="20"/>
                <w:szCs w:val="16"/>
              </w:rPr>
              <w:t>$</w:t>
            </w:r>
            <w:r w:rsidR="00DF4734" w:rsidRPr="00DF4734">
              <w:rPr>
                <w:rFonts w:ascii="Arial Narrow" w:eastAsia="Calibri" w:hAnsi="Arial Narrow"/>
                <w:b/>
                <w:bCs/>
                <w:i/>
                <w:iCs/>
                <w:sz w:val="20"/>
                <w:szCs w:val="22"/>
                <w:lang w:eastAsia="en-US"/>
              </w:rPr>
              <w:t>Redacted</w:t>
            </w:r>
            <w:r w:rsidR="00DF4734" w:rsidRPr="00DF4734">
              <w:rPr>
                <w:rFonts w:ascii="Arial Narrow" w:eastAsia="Calibri" w:hAnsi="Arial Narrow"/>
                <w:i/>
                <w:iCs/>
                <w:sz w:val="20"/>
                <w:szCs w:val="22"/>
                <w:vertAlign w:val="superscript"/>
                <w:lang w:eastAsia="en-US"/>
              </w:rPr>
              <w:t>2</w:t>
            </w:r>
            <w:r w:rsidR="00DF4734" w:rsidRPr="00DF4734">
              <w:rPr>
                <w:rFonts w:ascii="Arial Narrow" w:hAnsi="Arial Narrow"/>
                <w:i/>
                <w:iCs/>
                <w:sz w:val="20"/>
                <w:szCs w:val="16"/>
              </w:rPr>
              <w:t xml:space="preserve"> </w:t>
            </w: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122CE1" w14:textId="4206842F" w:rsidR="00D84FC8" w:rsidRPr="00BB3E71" w:rsidRDefault="00D84FC8" w:rsidP="00D84FC8">
            <w:pPr>
              <w:keepNext/>
              <w:spacing w:after="40" w:line="256" w:lineRule="auto"/>
              <w:rPr>
                <w:rFonts w:ascii="Arial Narrow" w:eastAsia="Calibri" w:hAnsi="Arial Narrow"/>
                <w:i/>
                <w:iCs/>
                <w:sz w:val="20"/>
                <w:szCs w:val="16"/>
                <w:lang w:eastAsia="en-US"/>
              </w:rPr>
            </w:pPr>
            <w:r w:rsidRPr="00BB3E71">
              <w:rPr>
                <w:rFonts w:ascii="Arial Narrow" w:hAnsi="Arial Narrow"/>
                <w:i/>
                <w:iCs/>
                <w:sz w:val="20"/>
                <w:szCs w:val="16"/>
              </w:rPr>
              <w:t>$</w:t>
            </w:r>
            <w:r w:rsidR="00DF4734" w:rsidRPr="00DF4734">
              <w:rPr>
                <w:rFonts w:ascii="Arial Narrow" w:eastAsia="Calibri" w:hAnsi="Arial Narrow"/>
                <w:b/>
                <w:bCs/>
                <w:i/>
                <w:iCs/>
                <w:sz w:val="20"/>
                <w:szCs w:val="22"/>
                <w:lang w:eastAsia="en-US"/>
              </w:rPr>
              <w:t>Redacted</w:t>
            </w:r>
            <w:r w:rsidR="00DF4734" w:rsidRPr="00DF4734">
              <w:rPr>
                <w:rFonts w:ascii="Arial Narrow" w:eastAsia="Calibri" w:hAnsi="Arial Narrow"/>
                <w:i/>
                <w:iCs/>
                <w:sz w:val="20"/>
                <w:szCs w:val="22"/>
                <w:vertAlign w:val="superscript"/>
                <w:lang w:eastAsia="en-US"/>
              </w:rPr>
              <w:t xml:space="preserve">3 </w:t>
            </w: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50747A" w14:textId="0F09CF40" w:rsidR="00D84FC8" w:rsidRPr="00BB3E71" w:rsidRDefault="00D84FC8" w:rsidP="00D84FC8">
            <w:pPr>
              <w:keepNext/>
              <w:spacing w:after="40" w:line="256" w:lineRule="auto"/>
              <w:rPr>
                <w:rFonts w:ascii="Arial Narrow" w:eastAsia="Calibri" w:hAnsi="Arial Narrow"/>
                <w:i/>
                <w:iCs/>
                <w:sz w:val="20"/>
                <w:szCs w:val="16"/>
                <w:lang w:eastAsia="en-US"/>
              </w:rPr>
            </w:pPr>
            <w:r w:rsidRPr="00BB3E71">
              <w:rPr>
                <w:rFonts w:ascii="Arial Narrow" w:hAnsi="Arial Narrow"/>
                <w:i/>
                <w:iCs/>
                <w:sz w:val="20"/>
                <w:szCs w:val="16"/>
              </w:rPr>
              <w:t>$</w:t>
            </w:r>
            <w:r w:rsidR="00DF4734" w:rsidRPr="00DF4734">
              <w:rPr>
                <w:rFonts w:ascii="Arial Narrow" w:hAnsi="Arial Narrow"/>
                <w:b/>
                <w:bCs/>
                <w:i/>
                <w:iCs/>
                <w:sz w:val="20"/>
                <w:szCs w:val="16"/>
              </w:rPr>
              <w:t>Redacted</w:t>
            </w:r>
            <w:r w:rsidR="00DF4734" w:rsidRPr="00DF4734">
              <w:rPr>
                <w:rFonts w:ascii="Arial Narrow" w:hAnsi="Arial Narrow"/>
                <w:i/>
                <w:iCs/>
                <w:sz w:val="20"/>
                <w:szCs w:val="16"/>
                <w:vertAlign w:val="superscript"/>
              </w:rPr>
              <w:t>4</w:t>
            </w:r>
            <w:r w:rsidR="00DF4734">
              <w:rPr>
                <w:rFonts w:ascii="Arial Narrow" w:hAnsi="Arial Narrow"/>
                <w:i/>
                <w:iCs/>
                <w:sz w:val="20"/>
                <w:szCs w:val="16"/>
              </w:rPr>
              <w:t xml:space="preserve"> </w:t>
            </w: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143C3" w14:textId="06608B5E" w:rsidR="00D84FC8" w:rsidRPr="00BB3E71" w:rsidRDefault="00D84FC8" w:rsidP="00D84FC8">
            <w:pPr>
              <w:keepNext/>
              <w:spacing w:after="40" w:line="256" w:lineRule="auto"/>
              <w:rPr>
                <w:rFonts w:ascii="Arial Narrow" w:eastAsia="Calibri" w:hAnsi="Arial Narrow"/>
                <w:i/>
                <w:iCs/>
                <w:sz w:val="20"/>
                <w:szCs w:val="16"/>
                <w:lang w:eastAsia="en-US"/>
              </w:rPr>
            </w:pPr>
            <w:r w:rsidRPr="00BB3E71">
              <w:rPr>
                <w:rFonts w:ascii="Arial Narrow" w:hAnsi="Arial Narrow"/>
                <w:i/>
                <w:iCs/>
                <w:sz w:val="20"/>
                <w:szCs w:val="16"/>
              </w:rPr>
              <w:t>$</w:t>
            </w:r>
            <w:r w:rsidR="00DF4734" w:rsidRPr="00DF4734">
              <w:rPr>
                <w:rFonts w:ascii="Arial Narrow" w:hAnsi="Arial Narrow"/>
                <w:b/>
                <w:bCs/>
                <w:i/>
                <w:iCs/>
                <w:sz w:val="20"/>
                <w:szCs w:val="16"/>
              </w:rPr>
              <w:t>Redacted</w:t>
            </w:r>
            <w:r w:rsidR="00DF4734" w:rsidRPr="00DF4734">
              <w:rPr>
                <w:rFonts w:ascii="Arial Narrow" w:hAnsi="Arial Narrow"/>
                <w:i/>
                <w:iCs/>
                <w:sz w:val="20"/>
                <w:szCs w:val="16"/>
                <w:vertAlign w:val="superscript"/>
              </w:rPr>
              <w:t>5</w:t>
            </w:r>
            <w:r w:rsidR="00DF4734">
              <w:rPr>
                <w:rFonts w:ascii="Arial Narrow" w:hAnsi="Arial Narrow"/>
                <w:i/>
                <w:iCs/>
                <w:sz w:val="20"/>
                <w:szCs w:val="16"/>
              </w:rPr>
              <w:t xml:space="preserve"> </w:t>
            </w:r>
          </w:p>
        </w:tc>
      </w:tr>
      <w:tr w:rsidR="00D84FC8" w:rsidRPr="00986EC1" w14:paraId="34ECE011" w14:textId="77777777" w:rsidTr="00511A32">
        <w:tc>
          <w:tcPr>
            <w:tcW w:w="2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45D6E0" w14:textId="28E14E59" w:rsidR="00D84FC8" w:rsidRPr="00BB3E71" w:rsidRDefault="00D84FC8" w:rsidP="00D84FC8">
            <w:pPr>
              <w:keepNext/>
              <w:spacing w:after="40" w:line="256" w:lineRule="auto"/>
              <w:rPr>
                <w:rFonts w:ascii="Arial Narrow" w:eastAsia="Calibri" w:hAnsi="Arial Narrow"/>
                <w:i/>
                <w:iCs/>
                <w:sz w:val="20"/>
                <w:szCs w:val="22"/>
                <w:lang w:eastAsia="en-US"/>
              </w:rPr>
            </w:pPr>
            <w:r w:rsidRPr="00BB3E71">
              <w:rPr>
                <w:rFonts w:ascii="Arial Narrow" w:eastAsia="Calibri" w:hAnsi="Arial Narrow"/>
                <w:i/>
                <w:iCs/>
                <w:sz w:val="20"/>
                <w:szCs w:val="22"/>
                <w:lang w:eastAsia="en-US"/>
              </w:rPr>
              <w:t>Changes in overall healthcare costs, including prosthesis (via reduction in decompression ± spinal fusion)</w:t>
            </w:r>
          </w:p>
        </w:tc>
        <w:tc>
          <w:tcPr>
            <w:tcW w:w="1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511E0C" w14:textId="40CF42B5" w:rsidR="00D84FC8" w:rsidRPr="00BB3E71" w:rsidRDefault="00D84FC8" w:rsidP="00D84FC8">
            <w:pPr>
              <w:keepNext/>
              <w:spacing w:after="40" w:line="256" w:lineRule="auto"/>
              <w:rPr>
                <w:rFonts w:ascii="Arial Narrow" w:eastAsia="Calibri" w:hAnsi="Arial Narrow"/>
                <w:i/>
                <w:iCs/>
                <w:sz w:val="20"/>
                <w:szCs w:val="16"/>
                <w:lang w:eastAsia="en-US"/>
              </w:rPr>
            </w:pPr>
            <w:r w:rsidRPr="00BB3E71">
              <w:rPr>
                <w:rFonts w:ascii="Arial Narrow" w:hAnsi="Arial Narrow"/>
                <w:i/>
                <w:iCs/>
                <w:sz w:val="20"/>
                <w:szCs w:val="16"/>
              </w:rPr>
              <w:t>-$</w:t>
            </w:r>
            <w:r w:rsidR="00F764B9" w:rsidRPr="00F764B9">
              <w:rPr>
                <w:rFonts w:ascii="Arial Narrow" w:eastAsia="Calibri" w:hAnsi="Arial Narrow"/>
                <w:b/>
                <w:bCs/>
                <w:i/>
                <w:iCs/>
                <w:sz w:val="20"/>
                <w:szCs w:val="22"/>
                <w:lang w:eastAsia="en-US"/>
              </w:rPr>
              <w:t>Redacted</w:t>
            </w:r>
            <w:r w:rsidR="00F764B9" w:rsidRPr="00F764B9">
              <w:rPr>
                <w:rFonts w:ascii="Arial Narrow" w:eastAsia="Calibri" w:hAnsi="Arial Narrow"/>
                <w:i/>
                <w:iCs/>
                <w:sz w:val="20"/>
                <w:szCs w:val="22"/>
                <w:vertAlign w:val="superscript"/>
                <w:lang w:eastAsia="en-US"/>
              </w:rPr>
              <w:t>1</w:t>
            </w:r>
            <w:r w:rsidR="00F764B9">
              <w:rPr>
                <w:rFonts w:ascii="Arial Narrow" w:hAnsi="Arial Narrow"/>
                <w:i/>
                <w:iCs/>
                <w:sz w:val="20"/>
                <w:szCs w:val="16"/>
              </w:rPr>
              <w:t xml:space="preserve"> </w:t>
            </w: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AA7EC" w14:textId="6A3EDE03" w:rsidR="00D84FC8" w:rsidRPr="00BB3E71" w:rsidRDefault="00D84FC8" w:rsidP="00D84FC8">
            <w:pPr>
              <w:keepNext/>
              <w:spacing w:after="40" w:line="256" w:lineRule="auto"/>
              <w:rPr>
                <w:rFonts w:ascii="Arial Narrow" w:eastAsia="Calibri" w:hAnsi="Arial Narrow"/>
                <w:i/>
                <w:iCs/>
                <w:sz w:val="20"/>
                <w:szCs w:val="16"/>
                <w:lang w:eastAsia="en-US"/>
              </w:rPr>
            </w:pPr>
            <w:r w:rsidRPr="00BB3E71">
              <w:rPr>
                <w:rFonts w:ascii="Arial Narrow" w:hAnsi="Arial Narrow"/>
                <w:i/>
                <w:iCs/>
                <w:sz w:val="20"/>
                <w:szCs w:val="16"/>
              </w:rPr>
              <w:t>-$</w:t>
            </w:r>
            <w:r w:rsidR="00DF4734" w:rsidRPr="00DF4734">
              <w:rPr>
                <w:rFonts w:ascii="Arial Narrow" w:eastAsia="Calibri" w:hAnsi="Arial Narrow"/>
                <w:b/>
                <w:bCs/>
                <w:i/>
                <w:iCs/>
                <w:sz w:val="20"/>
                <w:szCs w:val="22"/>
                <w:lang w:eastAsia="en-US"/>
              </w:rPr>
              <w:t>Redacted</w:t>
            </w:r>
            <w:r w:rsidR="00DF4734" w:rsidRPr="00DF4734">
              <w:rPr>
                <w:rFonts w:ascii="Arial Narrow" w:eastAsia="Calibri" w:hAnsi="Arial Narrow"/>
                <w:i/>
                <w:iCs/>
                <w:sz w:val="20"/>
                <w:szCs w:val="22"/>
                <w:vertAlign w:val="superscript"/>
                <w:lang w:eastAsia="en-US"/>
              </w:rPr>
              <w:t>2</w:t>
            </w:r>
            <w:r w:rsidR="00DF4734">
              <w:rPr>
                <w:rFonts w:ascii="Arial Narrow" w:hAnsi="Arial Narrow"/>
                <w:i/>
                <w:iCs/>
                <w:sz w:val="20"/>
                <w:szCs w:val="16"/>
              </w:rPr>
              <w:t xml:space="preserve"> </w:t>
            </w: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08E26C" w14:textId="08D80524" w:rsidR="00D84FC8" w:rsidRPr="00BB3E71" w:rsidRDefault="00D84FC8" w:rsidP="00D84FC8">
            <w:pPr>
              <w:keepNext/>
              <w:spacing w:after="40" w:line="256" w:lineRule="auto"/>
              <w:rPr>
                <w:rFonts w:ascii="Arial Narrow" w:eastAsia="Calibri" w:hAnsi="Arial Narrow"/>
                <w:i/>
                <w:iCs/>
                <w:sz w:val="20"/>
                <w:szCs w:val="16"/>
                <w:lang w:eastAsia="en-US"/>
              </w:rPr>
            </w:pPr>
            <w:r w:rsidRPr="00BB3E71">
              <w:rPr>
                <w:rFonts w:ascii="Arial Narrow" w:hAnsi="Arial Narrow"/>
                <w:i/>
                <w:iCs/>
                <w:sz w:val="20"/>
                <w:szCs w:val="16"/>
              </w:rPr>
              <w:t>-$</w:t>
            </w:r>
            <w:r w:rsidR="00DF4734" w:rsidRPr="00DF4734">
              <w:rPr>
                <w:rFonts w:ascii="Arial Narrow" w:hAnsi="Arial Narrow"/>
                <w:b/>
                <w:bCs/>
                <w:i/>
                <w:iCs/>
                <w:sz w:val="20"/>
                <w:szCs w:val="16"/>
              </w:rPr>
              <w:t>Redacted</w:t>
            </w:r>
            <w:r w:rsidR="00DF4734" w:rsidRPr="00DF4734">
              <w:rPr>
                <w:rFonts w:ascii="Arial Narrow" w:hAnsi="Arial Narrow"/>
                <w:i/>
                <w:iCs/>
                <w:sz w:val="20"/>
                <w:szCs w:val="16"/>
                <w:vertAlign w:val="superscript"/>
              </w:rPr>
              <w:t>4</w:t>
            </w:r>
            <w:r w:rsidR="00DF4734">
              <w:rPr>
                <w:rFonts w:ascii="Arial Narrow" w:hAnsi="Arial Narrow"/>
                <w:i/>
                <w:iCs/>
                <w:sz w:val="20"/>
                <w:szCs w:val="16"/>
              </w:rPr>
              <w:t xml:space="preserve"> </w:t>
            </w: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33355" w14:textId="6249E6B4" w:rsidR="00D84FC8" w:rsidRPr="00BB3E71" w:rsidRDefault="00D84FC8" w:rsidP="00D84FC8">
            <w:pPr>
              <w:keepNext/>
              <w:spacing w:after="40" w:line="256" w:lineRule="auto"/>
              <w:rPr>
                <w:rFonts w:ascii="Arial Narrow" w:eastAsia="Calibri" w:hAnsi="Arial Narrow"/>
                <w:i/>
                <w:iCs/>
                <w:sz w:val="20"/>
                <w:szCs w:val="16"/>
                <w:lang w:eastAsia="en-US"/>
              </w:rPr>
            </w:pPr>
            <w:r w:rsidRPr="00BB3E71">
              <w:rPr>
                <w:rFonts w:ascii="Arial Narrow" w:hAnsi="Arial Narrow"/>
                <w:i/>
                <w:iCs/>
                <w:sz w:val="20"/>
                <w:szCs w:val="16"/>
              </w:rPr>
              <w:t>-$</w:t>
            </w:r>
            <w:r w:rsidR="00DF4734" w:rsidRPr="00DF4734">
              <w:rPr>
                <w:rFonts w:ascii="Arial Narrow" w:hAnsi="Arial Narrow"/>
                <w:b/>
                <w:bCs/>
                <w:i/>
                <w:iCs/>
                <w:sz w:val="20"/>
                <w:szCs w:val="16"/>
              </w:rPr>
              <w:t>Redacted</w:t>
            </w:r>
            <w:r w:rsidR="00DF4734" w:rsidRPr="00DF4734">
              <w:rPr>
                <w:rFonts w:ascii="Arial Narrow" w:hAnsi="Arial Narrow"/>
                <w:i/>
                <w:iCs/>
                <w:sz w:val="20"/>
                <w:szCs w:val="16"/>
                <w:vertAlign w:val="superscript"/>
              </w:rPr>
              <w:t>5</w:t>
            </w:r>
            <w:r w:rsidR="00DF4734" w:rsidRPr="00DF4734">
              <w:rPr>
                <w:rFonts w:ascii="Arial Narrow" w:hAnsi="Arial Narrow"/>
                <w:i/>
                <w:iCs/>
                <w:sz w:val="20"/>
                <w:szCs w:val="16"/>
              </w:rPr>
              <w:t xml:space="preserve"> </w:t>
            </w: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352582" w14:textId="4824832C" w:rsidR="00D84FC8" w:rsidRPr="00BB3E71" w:rsidRDefault="00D84FC8" w:rsidP="00D84FC8">
            <w:pPr>
              <w:keepNext/>
              <w:spacing w:after="40" w:line="256" w:lineRule="auto"/>
              <w:rPr>
                <w:rFonts w:ascii="Arial Narrow" w:eastAsia="Calibri" w:hAnsi="Arial Narrow"/>
                <w:i/>
                <w:iCs/>
                <w:sz w:val="20"/>
                <w:szCs w:val="16"/>
                <w:lang w:eastAsia="en-US"/>
              </w:rPr>
            </w:pPr>
            <w:r w:rsidRPr="00BB3E71">
              <w:rPr>
                <w:rFonts w:ascii="Arial Narrow" w:hAnsi="Arial Narrow"/>
                <w:i/>
                <w:iCs/>
                <w:sz w:val="20"/>
                <w:szCs w:val="16"/>
              </w:rPr>
              <w:t>-$</w:t>
            </w:r>
            <w:r w:rsidR="00DF4734" w:rsidRPr="00DF4734">
              <w:rPr>
                <w:rFonts w:ascii="Arial Narrow" w:eastAsia="Calibri" w:hAnsi="Arial Narrow"/>
                <w:b/>
                <w:bCs/>
                <w:i/>
                <w:iCs/>
                <w:sz w:val="20"/>
                <w:szCs w:val="22"/>
                <w:lang w:eastAsia="en-US"/>
              </w:rPr>
              <w:t>Redacted</w:t>
            </w:r>
            <w:r w:rsidR="005D2DFC">
              <w:rPr>
                <w:rFonts w:ascii="Arial Narrow" w:eastAsia="Calibri" w:hAnsi="Arial Narrow"/>
                <w:i/>
                <w:iCs/>
                <w:sz w:val="20"/>
                <w:szCs w:val="22"/>
                <w:vertAlign w:val="superscript"/>
                <w:lang w:eastAsia="en-US"/>
              </w:rPr>
              <w:t>10</w:t>
            </w:r>
            <w:r w:rsidR="00DF4734">
              <w:rPr>
                <w:rFonts w:ascii="Arial Narrow" w:hAnsi="Arial Narrow"/>
                <w:i/>
                <w:iCs/>
                <w:sz w:val="20"/>
                <w:szCs w:val="16"/>
              </w:rPr>
              <w:t xml:space="preserve"> </w:t>
            </w:r>
          </w:p>
        </w:tc>
      </w:tr>
      <w:tr w:rsidR="00D84FC8" w:rsidRPr="00986EC1" w14:paraId="52E10A30" w14:textId="77777777" w:rsidTr="00511A32">
        <w:tc>
          <w:tcPr>
            <w:tcW w:w="2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4B3EA4" w14:textId="66876CC5" w:rsidR="00D84FC8" w:rsidRPr="00BB3E71" w:rsidRDefault="00D84FC8" w:rsidP="00D84FC8">
            <w:pPr>
              <w:keepNext/>
              <w:spacing w:after="40" w:line="256" w:lineRule="auto"/>
              <w:rPr>
                <w:rFonts w:ascii="Arial Narrow" w:eastAsia="Calibri" w:hAnsi="Arial Narrow"/>
                <w:i/>
                <w:iCs/>
                <w:sz w:val="20"/>
                <w:szCs w:val="22"/>
                <w:lang w:eastAsia="en-US"/>
              </w:rPr>
            </w:pPr>
            <w:r w:rsidRPr="00BB3E71">
              <w:rPr>
                <w:rFonts w:ascii="Arial Narrow" w:eastAsia="Calibri" w:hAnsi="Arial Narrow"/>
                <w:i/>
                <w:iCs/>
                <w:sz w:val="20"/>
                <w:szCs w:val="22"/>
                <w:lang w:eastAsia="en-US"/>
              </w:rPr>
              <w:t>Net financial implications</w:t>
            </w:r>
          </w:p>
        </w:tc>
        <w:tc>
          <w:tcPr>
            <w:tcW w:w="1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ECE7A" w14:textId="3BC90B85" w:rsidR="00D84FC8" w:rsidRPr="00BB3E71" w:rsidRDefault="00D84FC8" w:rsidP="00D84FC8">
            <w:pPr>
              <w:keepNext/>
              <w:spacing w:after="40" w:line="256" w:lineRule="auto"/>
              <w:rPr>
                <w:rFonts w:ascii="Arial Narrow" w:eastAsia="Calibri" w:hAnsi="Arial Narrow"/>
                <w:i/>
                <w:iCs/>
                <w:sz w:val="20"/>
                <w:szCs w:val="16"/>
                <w:lang w:eastAsia="en-US"/>
              </w:rPr>
            </w:pPr>
            <w:r w:rsidRPr="00BB3E71">
              <w:rPr>
                <w:rFonts w:ascii="Arial Narrow" w:hAnsi="Arial Narrow"/>
                <w:i/>
                <w:iCs/>
                <w:sz w:val="20"/>
                <w:szCs w:val="16"/>
              </w:rPr>
              <w:t>-$</w:t>
            </w:r>
            <w:r w:rsidR="00DF4734" w:rsidRPr="00DF4734">
              <w:rPr>
                <w:rFonts w:ascii="Arial Narrow" w:hAnsi="Arial Narrow"/>
                <w:b/>
                <w:bCs/>
                <w:i/>
                <w:iCs/>
                <w:sz w:val="20"/>
                <w:szCs w:val="16"/>
              </w:rPr>
              <w:t>Redacted</w:t>
            </w:r>
            <w:r w:rsidR="00DF4734" w:rsidRPr="00DF4734">
              <w:rPr>
                <w:rFonts w:ascii="Arial Narrow" w:hAnsi="Arial Narrow"/>
                <w:i/>
                <w:iCs/>
                <w:sz w:val="20"/>
                <w:szCs w:val="16"/>
                <w:vertAlign w:val="superscript"/>
              </w:rPr>
              <w:t>6</w:t>
            </w:r>
            <w:r w:rsidR="00DF4734">
              <w:rPr>
                <w:rFonts w:ascii="Arial Narrow" w:hAnsi="Arial Narrow"/>
                <w:i/>
                <w:iCs/>
                <w:sz w:val="20"/>
                <w:szCs w:val="16"/>
              </w:rPr>
              <w:t xml:space="preserve"> </w:t>
            </w: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34014C" w14:textId="2ACBD3AC" w:rsidR="00D84FC8" w:rsidRPr="00BB3E71" w:rsidRDefault="00D84FC8" w:rsidP="00D84FC8">
            <w:pPr>
              <w:keepNext/>
              <w:spacing w:after="40" w:line="256" w:lineRule="auto"/>
              <w:rPr>
                <w:rFonts w:ascii="Arial Narrow" w:eastAsia="Calibri" w:hAnsi="Arial Narrow"/>
                <w:i/>
                <w:iCs/>
                <w:sz w:val="20"/>
                <w:szCs w:val="16"/>
                <w:lang w:eastAsia="en-US"/>
              </w:rPr>
            </w:pPr>
            <w:r w:rsidRPr="00BB3E71">
              <w:rPr>
                <w:rFonts w:ascii="Arial Narrow" w:hAnsi="Arial Narrow"/>
                <w:i/>
                <w:iCs/>
                <w:sz w:val="20"/>
                <w:szCs w:val="16"/>
              </w:rPr>
              <w:t>-$</w:t>
            </w:r>
            <w:r w:rsidR="00DF4734" w:rsidRPr="00DF4734">
              <w:rPr>
                <w:rFonts w:ascii="Arial Narrow" w:hAnsi="Arial Narrow"/>
                <w:b/>
                <w:bCs/>
                <w:i/>
                <w:iCs/>
                <w:sz w:val="20"/>
                <w:szCs w:val="16"/>
              </w:rPr>
              <w:t>Redacted</w:t>
            </w:r>
            <w:r w:rsidR="00DF4734" w:rsidRPr="00DF4734">
              <w:rPr>
                <w:rFonts w:ascii="Arial Narrow" w:hAnsi="Arial Narrow"/>
                <w:i/>
                <w:iCs/>
                <w:sz w:val="20"/>
                <w:szCs w:val="16"/>
                <w:vertAlign w:val="superscript"/>
              </w:rPr>
              <w:t>7</w:t>
            </w:r>
            <w:r w:rsidR="00DF4734">
              <w:rPr>
                <w:rFonts w:ascii="Arial Narrow" w:hAnsi="Arial Narrow"/>
                <w:i/>
                <w:iCs/>
                <w:sz w:val="20"/>
                <w:szCs w:val="16"/>
              </w:rPr>
              <w:t xml:space="preserve"> </w:t>
            </w: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2BEC9" w14:textId="30A38706" w:rsidR="00D84FC8" w:rsidRPr="00BB3E71" w:rsidRDefault="00D84FC8" w:rsidP="00D84FC8">
            <w:pPr>
              <w:keepNext/>
              <w:spacing w:after="40" w:line="256" w:lineRule="auto"/>
              <w:rPr>
                <w:rFonts w:ascii="Arial Narrow" w:eastAsia="Calibri" w:hAnsi="Arial Narrow"/>
                <w:i/>
                <w:iCs/>
                <w:sz w:val="20"/>
                <w:szCs w:val="16"/>
                <w:lang w:eastAsia="en-US"/>
              </w:rPr>
            </w:pPr>
            <w:r w:rsidRPr="00BB3E71">
              <w:rPr>
                <w:rFonts w:ascii="Arial Narrow" w:hAnsi="Arial Narrow"/>
                <w:i/>
                <w:iCs/>
                <w:sz w:val="20"/>
                <w:szCs w:val="16"/>
              </w:rPr>
              <w:t>-$</w:t>
            </w:r>
            <w:r w:rsidR="00DF4734" w:rsidRPr="00DF4734">
              <w:rPr>
                <w:rFonts w:ascii="Arial Narrow" w:hAnsi="Arial Narrow"/>
                <w:b/>
                <w:bCs/>
                <w:i/>
                <w:iCs/>
                <w:sz w:val="20"/>
                <w:szCs w:val="16"/>
              </w:rPr>
              <w:t>Redacted</w:t>
            </w:r>
            <w:r w:rsidR="00DF4734" w:rsidRPr="00DF4734">
              <w:rPr>
                <w:rFonts w:ascii="Arial Narrow" w:hAnsi="Arial Narrow"/>
                <w:i/>
                <w:iCs/>
                <w:sz w:val="20"/>
                <w:szCs w:val="16"/>
              </w:rPr>
              <w:t xml:space="preserve"> </w:t>
            </w: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FE20BA" w14:textId="0C7FB13F" w:rsidR="00D84FC8" w:rsidRPr="00BB3E71" w:rsidRDefault="00D84FC8" w:rsidP="00D84FC8">
            <w:pPr>
              <w:keepNext/>
              <w:spacing w:after="40" w:line="256" w:lineRule="auto"/>
              <w:rPr>
                <w:rFonts w:ascii="Arial Narrow" w:eastAsia="Calibri" w:hAnsi="Arial Narrow"/>
                <w:i/>
                <w:iCs/>
                <w:sz w:val="20"/>
                <w:szCs w:val="16"/>
                <w:lang w:eastAsia="en-US"/>
              </w:rPr>
            </w:pPr>
            <w:r w:rsidRPr="00BB3E71">
              <w:rPr>
                <w:rFonts w:ascii="Arial Narrow" w:hAnsi="Arial Narrow"/>
                <w:i/>
                <w:iCs/>
                <w:sz w:val="20"/>
                <w:szCs w:val="16"/>
              </w:rPr>
              <w:t>-$</w:t>
            </w:r>
            <w:r w:rsidR="00F764B9" w:rsidRPr="00F764B9">
              <w:rPr>
                <w:rFonts w:ascii="Arial Narrow" w:eastAsia="Calibri" w:hAnsi="Arial Narrow"/>
                <w:b/>
                <w:bCs/>
                <w:i/>
                <w:iCs/>
                <w:sz w:val="20"/>
                <w:szCs w:val="22"/>
                <w:lang w:eastAsia="en-US"/>
              </w:rPr>
              <w:t>Redacted</w:t>
            </w:r>
            <w:r w:rsidR="00F764B9" w:rsidRPr="00F764B9">
              <w:rPr>
                <w:rFonts w:ascii="Arial Narrow" w:eastAsia="Calibri" w:hAnsi="Arial Narrow"/>
                <w:i/>
                <w:iCs/>
                <w:sz w:val="20"/>
                <w:szCs w:val="22"/>
                <w:vertAlign w:val="superscript"/>
                <w:lang w:eastAsia="en-US"/>
              </w:rPr>
              <w:t>1</w:t>
            </w:r>
            <w:r w:rsidR="00F764B9">
              <w:rPr>
                <w:rFonts w:ascii="Arial Narrow" w:hAnsi="Arial Narrow"/>
                <w:i/>
                <w:iCs/>
                <w:sz w:val="20"/>
                <w:szCs w:val="16"/>
              </w:rPr>
              <w:t xml:space="preserve"> </w:t>
            </w: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3A5523" w14:textId="19BF7CFB" w:rsidR="00D84FC8" w:rsidRPr="00BB3E71" w:rsidRDefault="00D84FC8" w:rsidP="00D84FC8">
            <w:pPr>
              <w:keepNext/>
              <w:spacing w:after="40" w:line="256" w:lineRule="auto"/>
              <w:rPr>
                <w:rFonts w:ascii="Arial Narrow" w:eastAsia="Calibri" w:hAnsi="Arial Narrow"/>
                <w:i/>
                <w:iCs/>
                <w:sz w:val="20"/>
                <w:szCs w:val="16"/>
                <w:lang w:eastAsia="en-US"/>
              </w:rPr>
            </w:pPr>
            <w:r w:rsidRPr="00BB3E71">
              <w:rPr>
                <w:rFonts w:ascii="Arial Narrow" w:hAnsi="Arial Narrow"/>
                <w:i/>
                <w:iCs/>
                <w:sz w:val="20"/>
                <w:szCs w:val="16"/>
              </w:rPr>
              <w:t>-$</w:t>
            </w:r>
            <w:r w:rsidR="00F764B9" w:rsidRPr="00F764B9">
              <w:rPr>
                <w:rFonts w:ascii="Arial Narrow" w:eastAsia="Calibri" w:hAnsi="Arial Narrow"/>
                <w:b/>
                <w:bCs/>
                <w:i/>
                <w:iCs/>
                <w:sz w:val="20"/>
                <w:szCs w:val="22"/>
                <w:lang w:eastAsia="en-US"/>
              </w:rPr>
              <w:t>Redacted</w:t>
            </w:r>
            <w:r w:rsidR="00F764B9" w:rsidRPr="00F764B9">
              <w:rPr>
                <w:rFonts w:ascii="Arial Narrow" w:eastAsia="Calibri" w:hAnsi="Arial Narrow"/>
                <w:i/>
                <w:iCs/>
                <w:sz w:val="20"/>
                <w:szCs w:val="22"/>
                <w:vertAlign w:val="superscript"/>
                <w:lang w:eastAsia="en-US"/>
              </w:rPr>
              <w:t>1</w:t>
            </w:r>
            <w:r w:rsidR="00F764B9" w:rsidRPr="00F764B9">
              <w:rPr>
                <w:rFonts w:ascii="Arial Narrow" w:eastAsia="Calibri" w:hAnsi="Arial Narrow"/>
                <w:i/>
                <w:iCs/>
                <w:sz w:val="20"/>
                <w:szCs w:val="22"/>
                <w:lang w:eastAsia="en-US"/>
              </w:rPr>
              <w:t xml:space="preserve"> </w:t>
            </w:r>
          </w:p>
        </w:tc>
      </w:tr>
    </w:tbl>
    <w:p w14:paraId="72DC361C" w14:textId="210ECE89" w:rsidR="00986EC1" w:rsidRDefault="00986EC1" w:rsidP="00B23D55">
      <w:pPr>
        <w:pStyle w:val="Tablenotes1"/>
      </w:pPr>
      <w:r w:rsidRPr="00986EC1">
        <w:t>IDS, interspinous decompression spacer; MBS, Medicare Benefits Schedule</w:t>
      </w:r>
    </w:p>
    <w:p w14:paraId="5BD05675" w14:textId="3CFE6557" w:rsidR="00B23D55" w:rsidRDefault="00B23D55" w:rsidP="00FA30F8">
      <w:pPr>
        <w:pStyle w:val="Tablenotes1"/>
      </w:pPr>
      <w:r>
        <w:t>Source: Commentary, Table 24</w:t>
      </w:r>
      <w:r w:rsidR="00D84FC8">
        <w:t xml:space="preserve"> and Table 4, pre-ESC response</w:t>
      </w:r>
    </w:p>
    <w:p w14:paraId="59B99444" w14:textId="4A2A9456" w:rsidR="005E765C" w:rsidRDefault="005E765C" w:rsidP="005E765C">
      <w:pPr>
        <w:pStyle w:val="Tablenotes1"/>
        <w:rPr>
          <w:rFonts w:eastAsia="Calibri"/>
          <w:i/>
          <w:iCs/>
        </w:rPr>
      </w:pPr>
      <w:r>
        <w:rPr>
          <w:rFonts w:eastAsia="Calibri"/>
          <w:i/>
          <w:iCs/>
        </w:rPr>
        <w:t>The redacted values correspond to the following ranges:</w:t>
      </w:r>
    </w:p>
    <w:p w14:paraId="5E897936" w14:textId="2461CEEA" w:rsidR="00F764B9" w:rsidRDefault="00F764B9" w:rsidP="005E765C">
      <w:pPr>
        <w:pStyle w:val="Tablenotes1"/>
        <w:rPr>
          <w:rFonts w:eastAsia="Calibri"/>
          <w:i/>
          <w:iCs/>
        </w:rPr>
      </w:pPr>
      <w:r>
        <w:rPr>
          <w:rFonts w:eastAsia="Calibri"/>
          <w:i/>
          <w:iCs/>
          <w:vertAlign w:val="superscript"/>
        </w:rPr>
        <w:t>1</w:t>
      </w:r>
      <w:r>
        <w:rPr>
          <w:rFonts w:eastAsia="Calibri"/>
          <w:i/>
          <w:iCs/>
        </w:rPr>
        <w:t xml:space="preserve"> $10 million to &lt;$20 million</w:t>
      </w:r>
    </w:p>
    <w:p w14:paraId="574B9F47" w14:textId="0E207F44" w:rsidR="00F764B9" w:rsidRDefault="00F764B9" w:rsidP="005E765C">
      <w:pPr>
        <w:pStyle w:val="Tablenotes1"/>
        <w:rPr>
          <w:rFonts w:eastAsia="Calibri"/>
          <w:i/>
          <w:iCs/>
        </w:rPr>
      </w:pPr>
      <w:r>
        <w:rPr>
          <w:rFonts w:eastAsia="Calibri"/>
          <w:i/>
          <w:iCs/>
          <w:vertAlign w:val="superscript"/>
        </w:rPr>
        <w:t>2</w:t>
      </w:r>
      <w:r>
        <w:rPr>
          <w:rFonts w:eastAsia="Calibri"/>
          <w:i/>
          <w:iCs/>
        </w:rPr>
        <w:t xml:space="preserve"> $20 million to &lt;$30 million</w:t>
      </w:r>
    </w:p>
    <w:p w14:paraId="0FBF0070" w14:textId="5748F43C" w:rsidR="00DF4734" w:rsidRDefault="00DF4734" w:rsidP="005E765C">
      <w:pPr>
        <w:pStyle w:val="Tablenotes1"/>
        <w:rPr>
          <w:rFonts w:eastAsia="Calibri"/>
          <w:i/>
          <w:iCs/>
        </w:rPr>
      </w:pPr>
      <w:r>
        <w:rPr>
          <w:rFonts w:eastAsia="Calibri"/>
          <w:i/>
          <w:iCs/>
          <w:vertAlign w:val="superscript"/>
        </w:rPr>
        <w:t>3</w:t>
      </w:r>
      <w:r>
        <w:rPr>
          <w:rFonts w:eastAsia="Calibri"/>
          <w:i/>
          <w:iCs/>
        </w:rPr>
        <w:t xml:space="preserve"> $30 million to &lt;$40 million</w:t>
      </w:r>
    </w:p>
    <w:p w14:paraId="24CE786A" w14:textId="6523EAFC" w:rsidR="00DF4734" w:rsidRDefault="00DF4734" w:rsidP="005E765C">
      <w:pPr>
        <w:pStyle w:val="Tablenotes1"/>
        <w:rPr>
          <w:rFonts w:eastAsia="Calibri"/>
          <w:i/>
          <w:iCs/>
        </w:rPr>
      </w:pPr>
      <w:r>
        <w:rPr>
          <w:rFonts w:eastAsia="Calibri"/>
          <w:i/>
          <w:iCs/>
          <w:vertAlign w:val="superscript"/>
        </w:rPr>
        <w:t>4</w:t>
      </w:r>
      <w:r>
        <w:rPr>
          <w:rFonts w:eastAsia="Calibri"/>
          <w:i/>
          <w:iCs/>
        </w:rPr>
        <w:t xml:space="preserve"> $40 million to &lt;$50 million</w:t>
      </w:r>
    </w:p>
    <w:p w14:paraId="2DFAC24E" w14:textId="4B09592A" w:rsidR="00DF4734" w:rsidRDefault="00DF4734" w:rsidP="005E765C">
      <w:pPr>
        <w:pStyle w:val="Tablenotes1"/>
        <w:rPr>
          <w:rFonts w:eastAsia="Calibri"/>
          <w:i/>
          <w:iCs/>
        </w:rPr>
      </w:pPr>
      <w:r>
        <w:rPr>
          <w:rFonts w:eastAsia="Calibri"/>
          <w:i/>
          <w:iCs/>
          <w:vertAlign w:val="superscript"/>
        </w:rPr>
        <w:t>5</w:t>
      </w:r>
      <w:r>
        <w:rPr>
          <w:rFonts w:eastAsia="Calibri"/>
          <w:i/>
          <w:iCs/>
        </w:rPr>
        <w:t xml:space="preserve"> $50 million to &lt;$60 million</w:t>
      </w:r>
    </w:p>
    <w:p w14:paraId="40AE6C4F" w14:textId="06531621" w:rsidR="00DF4734" w:rsidRDefault="00DF4734" w:rsidP="005E765C">
      <w:pPr>
        <w:pStyle w:val="Tablenotes1"/>
        <w:rPr>
          <w:rFonts w:eastAsia="Calibri"/>
          <w:i/>
          <w:iCs/>
        </w:rPr>
      </w:pPr>
      <w:r>
        <w:rPr>
          <w:rFonts w:eastAsia="Calibri"/>
          <w:i/>
          <w:iCs/>
          <w:vertAlign w:val="superscript"/>
        </w:rPr>
        <w:t>6</w:t>
      </w:r>
      <w:r>
        <w:rPr>
          <w:rFonts w:eastAsia="Calibri"/>
          <w:i/>
          <w:iCs/>
        </w:rPr>
        <w:t xml:space="preserve"> $3 million to &lt;$4 million</w:t>
      </w:r>
    </w:p>
    <w:p w14:paraId="3C8491C8" w14:textId="109F4477" w:rsidR="00DF4734" w:rsidRDefault="00DF4734" w:rsidP="005E765C">
      <w:pPr>
        <w:pStyle w:val="Tablenotes1"/>
        <w:rPr>
          <w:rFonts w:eastAsia="Calibri"/>
          <w:i/>
          <w:iCs/>
        </w:rPr>
      </w:pPr>
      <w:r>
        <w:rPr>
          <w:rFonts w:eastAsia="Calibri"/>
          <w:i/>
          <w:iCs/>
          <w:vertAlign w:val="superscript"/>
        </w:rPr>
        <w:t>7</w:t>
      </w:r>
      <w:r>
        <w:rPr>
          <w:rFonts w:eastAsia="Calibri"/>
          <w:i/>
          <w:iCs/>
        </w:rPr>
        <w:t xml:space="preserve"> $6 million to &lt;$7 million</w:t>
      </w:r>
    </w:p>
    <w:p w14:paraId="49123596" w14:textId="78BDB5B6" w:rsidR="00DF4734" w:rsidRDefault="00DF4734" w:rsidP="005E765C">
      <w:pPr>
        <w:pStyle w:val="Tablenotes1"/>
        <w:rPr>
          <w:rFonts w:eastAsia="Calibri"/>
          <w:i/>
          <w:iCs/>
        </w:rPr>
      </w:pPr>
      <w:r>
        <w:rPr>
          <w:rFonts w:eastAsia="Calibri"/>
          <w:i/>
          <w:iCs/>
          <w:vertAlign w:val="superscript"/>
        </w:rPr>
        <w:t>8</w:t>
      </w:r>
      <w:r>
        <w:rPr>
          <w:rFonts w:eastAsia="Calibri"/>
          <w:i/>
          <w:iCs/>
        </w:rPr>
        <w:t xml:space="preserve"> $9 million to &lt;$10 million</w:t>
      </w:r>
    </w:p>
    <w:p w14:paraId="509D6E78" w14:textId="5D48CA0E" w:rsidR="00B341CA" w:rsidRDefault="00B341CA" w:rsidP="00B341CA">
      <w:pPr>
        <w:pStyle w:val="Tablenotes1"/>
        <w:rPr>
          <w:rFonts w:eastAsia="Calibri"/>
          <w:i/>
          <w:iCs/>
        </w:rPr>
      </w:pPr>
      <w:r>
        <w:rPr>
          <w:rFonts w:eastAsia="Calibri"/>
          <w:i/>
          <w:iCs/>
          <w:vertAlign w:val="superscript"/>
        </w:rPr>
        <w:t>9</w:t>
      </w:r>
      <w:r>
        <w:rPr>
          <w:rFonts w:eastAsia="Calibri"/>
          <w:i/>
          <w:iCs/>
        </w:rPr>
        <w:t xml:space="preserve"> $8 million to &lt;$9 million</w:t>
      </w:r>
    </w:p>
    <w:p w14:paraId="20F1115D" w14:textId="4C7C61BD" w:rsidR="00DF4734" w:rsidRDefault="00B341CA" w:rsidP="005E765C">
      <w:pPr>
        <w:pStyle w:val="Tablenotes1"/>
        <w:rPr>
          <w:rFonts w:eastAsia="Calibri"/>
          <w:i/>
          <w:iCs/>
        </w:rPr>
      </w:pPr>
      <w:r>
        <w:rPr>
          <w:rFonts w:eastAsia="Calibri"/>
          <w:i/>
          <w:iCs/>
          <w:vertAlign w:val="superscript"/>
        </w:rPr>
        <w:t>10</w:t>
      </w:r>
      <w:r w:rsidR="00DF4734">
        <w:rPr>
          <w:rFonts w:eastAsia="Calibri"/>
          <w:i/>
          <w:iCs/>
        </w:rPr>
        <w:t xml:space="preserve"> $60 million to &lt;$70 million</w:t>
      </w:r>
    </w:p>
    <w:p w14:paraId="58EC05C8" w14:textId="2E55310D" w:rsidR="00DF4734" w:rsidRDefault="00DF4734" w:rsidP="005E765C">
      <w:pPr>
        <w:pStyle w:val="Tablenotes1"/>
        <w:rPr>
          <w:rFonts w:eastAsia="Calibri"/>
          <w:i/>
          <w:iCs/>
        </w:rPr>
      </w:pPr>
      <w:r>
        <w:rPr>
          <w:rFonts w:eastAsia="Calibri"/>
          <w:i/>
          <w:iCs/>
          <w:vertAlign w:val="superscript"/>
        </w:rPr>
        <w:t>11</w:t>
      </w:r>
      <w:r>
        <w:rPr>
          <w:rFonts w:eastAsia="Calibri"/>
          <w:i/>
          <w:iCs/>
        </w:rPr>
        <w:t xml:space="preserve"> $2 million to &lt;$3 million</w:t>
      </w:r>
    </w:p>
    <w:p w14:paraId="15477EF7" w14:textId="5660DF9A" w:rsidR="00DF4734" w:rsidRDefault="00DF4734" w:rsidP="005E765C">
      <w:pPr>
        <w:pStyle w:val="Tablenotes1"/>
        <w:rPr>
          <w:rFonts w:eastAsia="Calibri"/>
          <w:i/>
          <w:iCs/>
        </w:rPr>
      </w:pPr>
      <w:r>
        <w:rPr>
          <w:rFonts w:eastAsia="Calibri"/>
          <w:i/>
          <w:iCs/>
          <w:vertAlign w:val="superscript"/>
        </w:rPr>
        <w:t>12</w:t>
      </w:r>
      <w:r>
        <w:rPr>
          <w:rFonts w:eastAsia="Calibri"/>
          <w:i/>
          <w:iCs/>
        </w:rPr>
        <w:t xml:space="preserve"> $4 million to </w:t>
      </w:r>
      <w:r w:rsidR="00EA641E">
        <w:rPr>
          <w:rFonts w:eastAsia="Calibri"/>
          <w:i/>
          <w:iCs/>
        </w:rPr>
        <w:t>&lt;</w:t>
      </w:r>
      <w:r>
        <w:rPr>
          <w:rFonts w:eastAsia="Calibri"/>
          <w:i/>
          <w:iCs/>
        </w:rPr>
        <w:t>$5 million</w:t>
      </w:r>
    </w:p>
    <w:p w14:paraId="6BA2BCC8" w14:textId="58232548" w:rsidR="00EA641E" w:rsidRDefault="00EA641E" w:rsidP="005E765C">
      <w:pPr>
        <w:pStyle w:val="Tablenotes1"/>
        <w:rPr>
          <w:rFonts w:eastAsia="Calibri"/>
          <w:i/>
          <w:iCs/>
        </w:rPr>
      </w:pPr>
      <w:r>
        <w:rPr>
          <w:rFonts w:eastAsia="Calibri"/>
          <w:i/>
          <w:iCs/>
          <w:vertAlign w:val="superscript"/>
        </w:rPr>
        <w:t>13</w:t>
      </w:r>
      <w:r>
        <w:rPr>
          <w:rFonts w:eastAsia="Calibri"/>
          <w:i/>
          <w:iCs/>
        </w:rPr>
        <w:t xml:space="preserve"> $5 million to &lt;$6 million</w:t>
      </w:r>
    </w:p>
    <w:p w14:paraId="06828F21" w14:textId="3DD09C9B" w:rsidR="005E765C" w:rsidRPr="00FA30F8" w:rsidRDefault="00EA641E" w:rsidP="00FA30F8">
      <w:pPr>
        <w:pStyle w:val="Tablenotes1"/>
      </w:pPr>
      <w:r>
        <w:rPr>
          <w:rFonts w:eastAsia="Calibri"/>
          <w:i/>
          <w:iCs/>
          <w:vertAlign w:val="superscript"/>
        </w:rPr>
        <w:t>14</w:t>
      </w:r>
      <w:r>
        <w:rPr>
          <w:rFonts w:eastAsia="Calibri"/>
          <w:i/>
          <w:iCs/>
        </w:rPr>
        <w:t xml:space="preserve"> $7 million to &lt;$8 million</w:t>
      </w:r>
    </w:p>
    <w:p w14:paraId="0514BDCC" w14:textId="393C207A" w:rsidR="00986EC1" w:rsidRPr="00986EC1" w:rsidRDefault="00986EC1" w:rsidP="00986EC1">
      <w:pPr>
        <w:keepNext/>
        <w:spacing w:before="360" w:after="120"/>
        <w:ind w:left="794" w:hanging="794"/>
        <w:rPr>
          <w:rFonts w:ascii="Arial Narrow" w:hAnsi="Arial Narrow"/>
          <w:b/>
          <w:bCs/>
          <w:sz w:val="20"/>
          <w:lang w:eastAsia="en-US"/>
        </w:rPr>
      </w:pPr>
      <w:bookmarkStart w:id="82" w:name="_Ref80014402"/>
      <w:r w:rsidRPr="00986EC1">
        <w:rPr>
          <w:rFonts w:ascii="Arial Narrow" w:hAnsi="Arial Narrow"/>
          <w:b/>
          <w:bCs/>
          <w:sz w:val="20"/>
          <w:lang w:eastAsia="en-US"/>
        </w:rPr>
        <w:t xml:space="preserve">Table </w:t>
      </w:r>
      <w:r w:rsidRPr="00986EC1">
        <w:rPr>
          <w:rFonts w:ascii="Arial Narrow" w:hAnsi="Arial Narrow"/>
          <w:b/>
          <w:bCs/>
          <w:sz w:val="20"/>
          <w:lang w:eastAsia="en-US"/>
        </w:rPr>
        <w:fldChar w:fldCharType="begin"/>
      </w:r>
      <w:r w:rsidRPr="00986EC1">
        <w:rPr>
          <w:rFonts w:ascii="Arial Narrow" w:hAnsi="Arial Narrow"/>
          <w:b/>
          <w:bCs/>
          <w:sz w:val="20"/>
          <w:lang w:eastAsia="en-US"/>
        </w:rPr>
        <w:instrText xml:space="preserve"> SEQ Table \* ARABIC </w:instrText>
      </w:r>
      <w:r w:rsidRPr="00986EC1">
        <w:rPr>
          <w:rFonts w:ascii="Arial Narrow" w:hAnsi="Arial Narrow"/>
          <w:b/>
          <w:bCs/>
          <w:sz w:val="20"/>
          <w:lang w:eastAsia="en-US"/>
        </w:rPr>
        <w:fldChar w:fldCharType="separate"/>
      </w:r>
      <w:r w:rsidR="00EE4CB3">
        <w:rPr>
          <w:rFonts w:ascii="Arial Narrow" w:hAnsi="Arial Narrow"/>
          <w:b/>
          <w:bCs/>
          <w:noProof/>
          <w:sz w:val="20"/>
          <w:lang w:eastAsia="en-US"/>
        </w:rPr>
        <w:t>27</w:t>
      </w:r>
      <w:r w:rsidRPr="00986EC1">
        <w:rPr>
          <w:rFonts w:ascii="Arial Narrow" w:hAnsi="Arial Narrow"/>
          <w:b/>
          <w:bCs/>
          <w:noProof/>
          <w:sz w:val="20"/>
          <w:lang w:eastAsia="en-US"/>
        </w:rPr>
        <w:fldChar w:fldCharType="end"/>
      </w:r>
      <w:bookmarkEnd w:id="82"/>
      <w:r w:rsidRPr="00986EC1">
        <w:rPr>
          <w:rFonts w:ascii="Arial Narrow" w:hAnsi="Arial Narrow"/>
          <w:b/>
          <w:bCs/>
          <w:sz w:val="20"/>
          <w:lang w:eastAsia="en-US"/>
        </w:rPr>
        <w:tab/>
        <w:t>Net financial implications of the proposed listing of IDS to the Australian healthcare system – sensitivity analysis 13% index fusion</w:t>
      </w:r>
    </w:p>
    <w:tbl>
      <w:tblPr>
        <w:tblStyle w:val="OPTUMTableNormal"/>
        <w:tblW w:w="0" w:type="auto"/>
        <w:tblCellMar>
          <w:left w:w="0" w:type="dxa"/>
          <w:right w:w="0" w:type="dxa"/>
        </w:tblCellMar>
        <w:tblLook w:val="04A0" w:firstRow="1" w:lastRow="0" w:firstColumn="1" w:lastColumn="0" w:noHBand="0" w:noVBand="1"/>
        <w:tblDescription w:val="Net financial implications of the proposed listing of IDS to the Australian healthcare system – sensitivity analysis 13% index fusion"/>
      </w:tblPr>
      <w:tblGrid>
        <w:gridCol w:w="2825"/>
        <w:gridCol w:w="1349"/>
        <w:gridCol w:w="1208"/>
        <w:gridCol w:w="1208"/>
        <w:gridCol w:w="1208"/>
        <w:gridCol w:w="1208"/>
      </w:tblGrid>
      <w:tr w:rsidR="00986EC1" w:rsidRPr="00986EC1" w14:paraId="04DB0061" w14:textId="77777777" w:rsidTr="00DB6762">
        <w:trPr>
          <w:cnfStyle w:val="100000000000" w:firstRow="1" w:lastRow="0" w:firstColumn="0" w:lastColumn="0" w:oddVBand="0" w:evenVBand="0" w:oddHBand="0" w:evenHBand="0" w:firstRowFirstColumn="0" w:firstRowLastColumn="0" w:lastRowFirstColumn="0" w:lastRowLastColumn="0"/>
          <w:tblHeader/>
        </w:trPr>
        <w:tc>
          <w:tcPr>
            <w:tcW w:w="28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C1E4B3"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 xml:space="preserve">Parameter </w:t>
            </w:r>
          </w:p>
        </w:tc>
        <w:tc>
          <w:tcPr>
            <w:tcW w:w="1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6F533C"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Year 1</w:t>
            </w:r>
          </w:p>
        </w:tc>
        <w:tc>
          <w:tcPr>
            <w:tcW w:w="12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D90515"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Year 2</w:t>
            </w:r>
          </w:p>
        </w:tc>
        <w:tc>
          <w:tcPr>
            <w:tcW w:w="12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A4B9C3"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Year 3</w:t>
            </w:r>
          </w:p>
        </w:tc>
        <w:tc>
          <w:tcPr>
            <w:tcW w:w="12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776474"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Year 4</w:t>
            </w:r>
          </w:p>
        </w:tc>
        <w:tc>
          <w:tcPr>
            <w:tcW w:w="12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557E4B"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Year 5</w:t>
            </w:r>
          </w:p>
        </w:tc>
      </w:tr>
      <w:tr w:rsidR="00986EC1" w:rsidRPr="00986EC1" w14:paraId="7FDC33A5" w14:textId="77777777" w:rsidTr="005917C2">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AA49C0"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Net financial implications of the proposed listing of IDS on hospital resource use</w:t>
            </w:r>
          </w:p>
        </w:tc>
      </w:tr>
      <w:tr w:rsidR="00986EC1" w:rsidRPr="00986EC1" w14:paraId="787ECF51" w14:textId="77777777" w:rsidTr="00DB6762">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64C89"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 xml:space="preserve">Other hospital costs with IDS, total </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15A2E689"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$1,471,967</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2572C32E"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$2,618,574</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3EB67209"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$3,801,723</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78419131"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$5,021,413</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066C0169"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$6,277,644</w:t>
            </w:r>
          </w:p>
        </w:tc>
      </w:tr>
      <w:tr w:rsidR="00986EC1" w:rsidRPr="00986EC1" w14:paraId="42FCDE7E" w14:textId="77777777" w:rsidTr="00DB6762">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43CC7"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Changes in other hospital costs (via reduction in decompression ± spinal fusion)</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55FC7CED"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-$9,444,097</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525179BF"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-$16,375,271</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1AB87293"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-$23,275,218</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3110313E"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-$30,478,562</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553DE812"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-$37,896,865</w:t>
            </w:r>
          </w:p>
        </w:tc>
      </w:tr>
      <w:tr w:rsidR="00986EC1" w:rsidRPr="00986EC1" w14:paraId="2F23A027" w14:textId="77777777" w:rsidTr="00DB6762">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06D73"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Net financial implications</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17A3C147"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-$7,972,130</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003A74DF"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-$13,756,697</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5DA24BB4"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-$19,473,495</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363F172D"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-$25,457,150</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2D68F8F5"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-$31,619,221</w:t>
            </w:r>
          </w:p>
        </w:tc>
      </w:tr>
      <w:tr w:rsidR="00986EC1" w:rsidRPr="00986EC1" w14:paraId="65BB9B26" w14:textId="77777777" w:rsidTr="005917C2">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3C725"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Net financial implications of the proposed listing of IDS in terms of prostheses costs</w:t>
            </w:r>
          </w:p>
        </w:tc>
      </w:tr>
      <w:tr w:rsidR="00986EC1" w:rsidRPr="00986EC1" w14:paraId="08BDC8E4" w14:textId="77777777" w:rsidTr="00DB6762">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3BF04C"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 xml:space="preserve">Prosthesis costs with IDS, total </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3B7E783D" w14:textId="622A5A69"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 xml:space="preserve">1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7DD793D3" w14:textId="0DDB54F3"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1</w:t>
            </w:r>
            <w:r w:rsidR="00B341CA">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524EF36C" w14:textId="3256A9D9"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2</w:t>
            </w:r>
            <w:r w:rsidR="00B341CA">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39DD541F" w14:textId="41BEACD1"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3</w:t>
            </w:r>
            <w:r w:rsidR="00B341CA">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7AF0F396" w14:textId="4AF8B69A"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4</w:t>
            </w:r>
            <w:r w:rsidR="00B341CA">
              <w:rPr>
                <w:rFonts w:ascii="Arial Narrow" w:eastAsia="Calibri" w:hAnsi="Arial Narrow"/>
                <w:sz w:val="20"/>
                <w:szCs w:val="22"/>
                <w:lang w:eastAsia="en-US"/>
              </w:rPr>
              <w:t xml:space="preserve"> </w:t>
            </w:r>
          </w:p>
        </w:tc>
      </w:tr>
      <w:tr w:rsidR="00986EC1" w:rsidRPr="00986EC1" w14:paraId="297E4685" w14:textId="77777777" w:rsidTr="00DB6762">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D08EFE"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Changes in prosthesis (via reduction in spinal fusion)</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230AA102" w14:textId="42820245"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 xml:space="preserve">5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69CF9195" w14:textId="109DE01E"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sidRPr="00DF4734">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6</w:t>
            </w:r>
            <w:r w:rsidR="00B341CA">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5B10E262" w14:textId="13ABAA94"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sidRPr="00DF4734">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7</w:t>
            </w:r>
            <w:r w:rsidR="00B341CA">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31C9C0F7" w14:textId="3BBBB4C6"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sidRPr="00DF4734">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8</w:t>
            </w:r>
            <w:r w:rsidR="00B341CA">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23FC84C5" w14:textId="2B12F4EF"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5D2DFC" w:rsidRPr="005D2DFC">
              <w:rPr>
                <w:rFonts w:ascii="Arial Narrow" w:eastAsia="Calibri" w:hAnsi="Arial Narrow"/>
                <w:b/>
                <w:bCs/>
                <w:sz w:val="20"/>
                <w:szCs w:val="22"/>
                <w:lang w:eastAsia="en-US"/>
              </w:rPr>
              <w:t>R</w:t>
            </w:r>
            <w:r w:rsidR="005D2DFC" w:rsidRPr="00DF4734">
              <w:rPr>
                <w:rFonts w:ascii="Arial Narrow" w:eastAsia="Calibri" w:hAnsi="Arial Narrow"/>
                <w:b/>
                <w:bCs/>
                <w:sz w:val="20"/>
                <w:szCs w:val="22"/>
                <w:lang w:eastAsia="en-US"/>
              </w:rPr>
              <w:t>edacted</w:t>
            </w:r>
            <w:r w:rsidR="005D2DFC">
              <w:rPr>
                <w:rFonts w:ascii="Arial Narrow" w:eastAsia="Calibri" w:hAnsi="Arial Narrow"/>
                <w:sz w:val="20"/>
                <w:szCs w:val="22"/>
                <w:vertAlign w:val="superscript"/>
                <w:lang w:eastAsia="en-US"/>
              </w:rPr>
              <w:t>9</w:t>
            </w:r>
            <w:r w:rsidR="005D2DFC">
              <w:rPr>
                <w:rFonts w:ascii="Arial Narrow" w:eastAsia="Calibri" w:hAnsi="Arial Narrow"/>
                <w:sz w:val="20"/>
                <w:szCs w:val="22"/>
                <w:lang w:eastAsia="en-US"/>
              </w:rPr>
              <w:t xml:space="preserve"> </w:t>
            </w:r>
          </w:p>
        </w:tc>
      </w:tr>
      <w:tr w:rsidR="00986EC1" w:rsidRPr="00986EC1" w14:paraId="3122C5AF" w14:textId="77777777" w:rsidTr="00DB6762">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424B2"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Net financial implications</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58E0AC56" w14:textId="114B48F9"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AD48C8" w:rsidRPr="00DF4734">
              <w:rPr>
                <w:rFonts w:ascii="Arial Narrow" w:eastAsia="Calibri" w:hAnsi="Arial Narrow"/>
                <w:b/>
                <w:bCs/>
                <w:sz w:val="20"/>
                <w:szCs w:val="22"/>
                <w:lang w:eastAsia="en-US"/>
              </w:rPr>
              <w:t>Redacted</w:t>
            </w:r>
            <w:r w:rsidR="00AD48C8">
              <w:rPr>
                <w:rFonts w:ascii="Arial Narrow" w:eastAsia="Calibri" w:hAnsi="Arial Narrow"/>
                <w:sz w:val="20"/>
                <w:szCs w:val="22"/>
                <w:vertAlign w:val="superscript"/>
                <w:lang w:eastAsia="en-US"/>
              </w:rPr>
              <w:t>10</w:t>
            </w:r>
            <w:r w:rsidR="00AD48C8">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3E4039D5" w14:textId="103B2B43"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1</w:t>
            </w:r>
            <w:r w:rsidR="00B341CA">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40F76B02" w14:textId="48F762A9"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2</w:t>
            </w:r>
            <w:r w:rsidR="00B341CA">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6ED10244" w14:textId="5590C582"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2</w:t>
            </w:r>
            <w:r w:rsidR="00B341CA">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6350E309" w14:textId="2DF5FD72"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3</w:t>
            </w:r>
            <w:r w:rsidR="00B341CA">
              <w:rPr>
                <w:rFonts w:ascii="Arial Narrow" w:eastAsia="Calibri" w:hAnsi="Arial Narrow"/>
                <w:sz w:val="20"/>
                <w:szCs w:val="22"/>
                <w:lang w:eastAsia="en-US"/>
              </w:rPr>
              <w:t xml:space="preserve"> </w:t>
            </w:r>
          </w:p>
        </w:tc>
      </w:tr>
      <w:tr w:rsidR="00986EC1" w:rsidRPr="00986EC1" w14:paraId="7DBF009E" w14:textId="77777777" w:rsidTr="005917C2">
        <w:tc>
          <w:tcPr>
            <w:tcW w:w="900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1E069641"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b/>
                <w:bCs/>
                <w:sz w:val="20"/>
                <w:szCs w:val="22"/>
                <w:lang w:eastAsia="en-US"/>
              </w:rPr>
              <w:t>Net financial implications of the proposed listing of IDS to the Australian healthcare system</w:t>
            </w:r>
          </w:p>
        </w:tc>
      </w:tr>
      <w:tr w:rsidR="00986EC1" w:rsidRPr="00986EC1" w14:paraId="6D35F34C" w14:textId="77777777" w:rsidTr="00DB6762">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7B8C4"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 xml:space="preserve">IDS costs, all resource items </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28C80B59" w14:textId="5108C37F"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1</w:t>
            </w:r>
            <w:r w:rsidR="00B341CA">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1D682E80" w14:textId="5840CB1B"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2</w:t>
            </w:r>
            <w:r w:rsidR="00B341CA">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40CC9DD2" w14:textId="48BCC132"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3</w:t>
            </w:r>
            <w:r w:rsidR="00B341CA">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04CF5969" w14:textId="0C4C74B5"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4</w:t>
            </w:r>
            <w:r w:rsidR="00B341CA">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21A5B5A3" w14:textId="6C25F98D"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5D2DFC" w:rsidRPr="00DF4734">
              <w:rPr>
                <w:rFonts w:ascii="Arial Narrow" w:eastAsia="Calibri" w:hAnsi="Arial Narrow"/>
                <w:b/>
                <w:bCs/>
                <w:sz w:val="20"/>
                <w:szCs w:val="22"/>
                <w:lang w:eastAsia="en-US"/>
              </w:rPr>
              <w:t>Redacted</w:t>
            </w:r>
            <w:r w:rsidR="005D2DFC">
              <w:rPr>
                <w:rFonts w:ascii="Arial Narrow" w:eastAsia="Calibri" w:hAnsi="Arial Narrow"/>
                <w:sz w:val="20"/>
                <w:szCs w:val="22"/>
                <w:vertAlign w:val="superscript"/>
                <w:lang w:eastAsia="en-US"/>
              </w:rPr>
              <w:t>1</w:t>
            </w:r>
            <w:r w:rsidR="00AD48C8">
              <w:rPr>
                <w:rFonts w:ascii="Arial Narrow" w:eastAsia="Calibri" w:hAnsi="Arial Narrow"/>
                <w:sz w:val="20"/>
                <w:szCs w:val="22"/>
                <w:vertAlign w:val="superscript"/>
                <w:lang w:eastAsia="en-US"/>
              </w:rPr>
              <w:t>1</w:t>
            </w:r>
            <w:r w:rsidR="005D2DFC">
              <w:rPr>
                <w:rFonts w:ascii="Arial Narrow" w:eastAsia="Calibri" w:hAnsi="Arial Narrow"/>
                <w:sz w:val="20"/>
                <w:szCs w:val="22"/>
                <w:lang w:eastAsia="en-US"/>
              </w:rPr>
              <w:t xml:space="preserve"> </w:t>
            </w:r>
          </w:p>
        </w:tc>
      </w:tr>
      <w:tr w:rsidR="00986EC1" w:rsidRPr="00986EC1" w14:paraId="514B4FC3" w14:textId="77777777" w:rsidTr="00DB6762">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C39695" w14:textId="77777777"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Changes in overall healthcare costs, including prosthesis (via reduction in decompression ± spinal fusion)</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6F74A23A" w14:textId="07E3801A"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1</w:t>
            </w:r>
            <w:r w:rsidR="00B341CA">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68806B93" w14:textId="3DB60BE2"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2</w:t>
            </w:r>
            <w:r w:rsidR="00B341CA">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21ABE4CF" w14:textId="0BF2BDEA"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3</w:t>
            </w:r>
            <w:r w:rsidR="00B341CA">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5A759D15" w14:textId="7A6C6131"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3</w:t>
            </w:r>
            <w:r w:rsidR="00B341CA">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6D181E32" w14:textId="2AD994EE" w:rsidR="00986EC1" w:rsidRPr="00986EC1" w:rsidRDefault="00986EC1" w:rsidP="00986EC1">
            <w:pPr>
              <w:keepNext/>
              <w:spacing w:after="40" w:line="256" w:lineRule="auto"/>
              <w:rPr>
                <w:rFonts w:ascii="Arial Narrow" w:eastAsia="Calibri" w:hAnsi="Arial Narrow"/>
                <w:sz w:val="20"/>
                <w:szCs w:val="22"/>
                <w:lang w:eastAsia="en-US"/>
              </w:rPr>
            </w:pPr>
            <w:r w:rsidRPr="00986EC1">
              <w:rPr>
                <w:rFonts w:ascii="Arial Narrow" w:eastAsia="Calibri" w:hAnsi="Arial Narrow"/>
                <w:sz w:val="20"/>
                <w:szCs w:val="22"/>
                <w:lang w:eastAsia="en-US"/>
              </w:rPr>
              <w:t>-$</w:t>
            </w:r>
            <w:r w:rsidR="00B341CA">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 xml:space="preserve">4 </w:t>
            </w:r>
          </w:p>
        </w:tc>
      </w:tr>
      <w:tr w:rsidR="00986EC1" w:rsidRPr="00986EC1" w14:paraId="6441A943" w14:textId="77777777" w:rsidTr="00DB6762">
        <w:tc>
          <w:tcPr>
            <w:tcW w:w="28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3FBF62" w14:textId="77777777"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Net financial implications</w:t>
            </w:r>
          </w:p>
        </w:tc>
        <w:tc>
          <w:tcPr>
            <w:tcW w:w="1349" w:type="dxa"/>
            <w:tcBorders>
              <w:top w:val="nil"/>
              <w:left w:val="nil"/>
              <w:bottom w:val="single" w:sz="8" w:space="0" w:color="auto"/>
              <w:right w:val="single" w:sz="8" w:space="0" w:color="auto"/>
            </w:tcBorders>
            <w:tcMar>
              <w:top w:w="0" w:type="dxa"/>
              <w:left w:w="108" w:type="dxa"/>
              <w:bottom w:w="0" w:type="dxa"/>
              <w:right w:w="108" w:type="dxa"/>
            </w:tcMar>
          </w:tcPr>
          <w:p w14:paraId="159E00C0" w14:textId="78333950"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w:t>
            </w:r>
            <w:r w:rsidR="005D2DFC" w:rsidRPr="00DF4734">
              <w:rPr>
                <w:rFonts w:ascii="Arial Narrow" w:eastAsia="Calibri" w:hAnsi="Arial Narrow"/>
                <w:b/>
                <w:bCs/>
                <w:sz w:val="20"/>
                <w:szCs w:val="22"/>
                <w:lang w:eastAsia="en-US"/>
              </w:rPr>
              <w:t>Redacted</w:t>
            </w:r>
            <w:r w:rsidR="005D2DFC">
              <w:rPr>
                <w:rFonts w:ascii="Arial Narrow" w:eastAsia="Calibri" w:hAnsi="Arial Narrow"/>
                <w:sz w:val="20"/>
                <w:szCs w:val="22"/>
                <w:vertAlign w:val="superscript"/>
                <w:lang w:eastAsia="en-US"/>
              </w:rPr>
              <w:t>1</w:t>
            </w:r>
            <w:r w:rsidR="00AD48C8">
              <w:rPr>
                <w:rFonts w:ascii="Arial Narrow" w:eastAsia="Calibri" w:hAnsi="Arial Narrow"/>
                <w:sz w:val="20"/>
                <w:szCs w:val="22"/>
                <w:vertAlign w:val="superscript"/>
                <w:lang w:eastAsia="en-US"/>
              </w:rPr>
              <w:t>2</w:t>
            </w:r>
            <w:r w:rsidR="005D2DFC">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698F79AC" w14:textId="602A9D82"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w:t>
            </w:r>
            <w:r w:rsidR="00AD48C8" w:rsidRPr="00DF4734">
              <w:rPr>
                <w:rFonts w:ascii="Arial Narrow" w:eastAsia="Calibri" w:hAnsi="Arial Narrow"/>
                <w:b/>
                <w:bCs/>
                <w:sz w:val="20"/>
                <w:szCs w:val="22"/>
                <w:lang w:eastAsia="en-US"/>
              </w:rPr>
              <w:t>Redacted</w:t>
            </w:r>
            <w:r w:rsidR="00AD48C8">
              <w:rPr>
                <w:rFonts w:ascii="Arial Narrow" w:eastAsia="Calibri" w:hAnsi="Arial Narrow"/>
                <w:sz w:val="20"/>
                <w:szCs w:val="22"/>
                <w:vertAlign w:val="superscript"/>
                <w:lang w:eastAsia="en-US"/>
              </w:rPr>
              <w:t>12</w:t>
            </w:r>
            <w:r w:rsidR="00AD48C8">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403BB6F7" w14:textId="5DE97059"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w:t>
            </w:r>
            <w:r w:rsidR="00B341CA">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5</w:t>
            </w:r>
            <w:r w:rsidR="00B341CA">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4DE708C2" w14:textId="5F87E44A"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w:t>
            </w:r>
            <w:r w:rsidR="00B341CA" w:rsidRPr="00DF4734">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6</w:t>
            </w:r>
            <w:r w:rsidR="00B341CA">
              <w:rPr>
                <w:rFonts w:ascii="Arial Narrow" w:eastAsia="Calibri" w:hAnsi="Arial Narrow"/>
                <w:sz w:val="20"/>
                <w:szCs w:val="22"/>
                <w:lang w:eastAsia="en-US"/>
              </w:rPr>
              <w:t xml:space="preserve"> </w:t>
            </w:r>
          </w:p>
        </w:tc>
        <w:tc>
          <w:tcPr>
            <w:tcW w:w="1208" w:type="dxa"/>
            <w:tcBorders>
              <w:top w:val="nil"/>
              <w:left w:val="nil"/>
              <w:bottom w:val="single" w:sz="8" w:space="0" w:color="auto"/>
              <w:right w:val="single" w:sz="8" w:space="0" w:color="auto"/>
            </w:tcBorders>
            <w:tcMar>
              <w:top w:w="0" w:type="dxa"/>
              <w:left w:w="108" w:type="dxa"/>
              <w:bottom w:w="0" w:type="dxa"/>
              <w:right w:w="108" w:type="dxa"/>
            </w:tcMar>
          </w:tcPr>
          <w:p w14:paraId="3347CAF3" w14:textId="7B4DE28A" w:rsidR="00986EC1" w:rsidRPr="00986EC1" w:rsidRDefault="00986EC1" w:rsidP="00986EC1">
            <w:pPr>
              <w:keepNext/>
              <w:spacing w:after="40" w:line="256" w:lineRule="auto"/>
              <w:rPr>
                <w:rFonts w:ascii="Arial Narrow" w:eastAsia="Calibri" w:hAnsi="Arial Narrow"/>
                <w:b/>
                <w:bCs/>
                <w:sz w:val="20"/>
                <w:szCs w:val="22"/>
                <w:lang w:eastAsia="en-US"/>
              </w:rPr>
            </w:pPr>
            <w:r w:rsidRPr="00986EC1">
              <w:rPr>
                <w:rFonts w:ascii="Arial Narrow" w:eastAsia="Calibri" w:hAnsi="Arial Narrow"/>
                <w:sz w:val="20"/>
                <w:szCs w:val="22"/>
                <w:lang w:eastAsia="en-US"/>
              </w:rPr>
              <w:t>$</w:t>
            </w:r>
            <w:r w:rsidR="00B341CA" w:rsidRPr="00DF4734">
              <w:rPr>
                <w:rFonts w:ascii="Arial Narrow" w:eastAsia="Calibri" w:hAnsi="Arial Narrow"/>
                <w:b/>
                <w:bCs/>
                <w:sz w:val="20"/>
                <w:szCs w:val="22"/>
                <w:lang w:eastAsia="en-US"/>
              </w:rPr>
              <w:t>Redacted</w:t>
            </w:r>
            <w:r w:rsidR="00B341CA">
              <w:rPr>
                <w:rFonts w:ascii="Arial Narrow" w:eastAsia="Calibri" w:hAnsi="Arial Narrow"/>
                <w:sz w:val="20"/>
                <w:szCs w:val="22"/>
                <w:vertAlign w:val="superscript"/>
                <w:lang w:eastAsia="en-US"/>
              </w:rPr>
              <w:t>7</w:t>
            </w:r>
            <w:r w:rsidR="00B341CA">
              <w:rPr>
                <w:rFonts w:ascii="Arial Narrow" w:eastAsia="Calibri" w:hAnsi="Arial Narrow"/>
                <w:sz w:val="20"/>
                <w:szCs w:val="22"/>
                <w:lang w:eastAsia="en-US"/>
              </w:rPr>
              <w:t xml:space="preserve"> </w:t>
            </w:r>
          </w:p>
        </w:tc>
      </w:tr>
    </w:tbl>
    <w:p w14:paraId="46075923" w14:textId="0FC9A816" w:rsidR="00986EC1" w:rsidRDefault="00986EC1" w:rsidP="00B23D55">
      <w:pPr>
        <w:pStyle w:val="Tablenotes1"/>
      </w:pPr>
      <w:r w:rsidRPr="00986EC1">
        <w:t>IDS, interspinous decompression spacer; MBS, Medicare Benefits Schedule</w:t>
      </w:r>
    </w:p>
    <w:p w14:paraId="464214CE" w14:textId="3A305A10" w:rsidR="00B23D55" w:rsidRDefault="00B23D55" w:rsidP="00B23D55">
      <w:pPr>
        <w:pStyle w:val="Tablenotes1"/>
      </w:pPr>
      <w:r>
        <w:t>Source: Commentary, Table 25</w:t>
      </w:r>
    </w:p>
    <w:p w14:paraId="3C249D52" w14:textId="77777777" w:rsidR="00B341CA" w:rsidRDefault="00B341CA" w:rsidP="00B341CA">
      <w:pPr>
        <w:pStyle w:val="Tablenotes1"/>
        <w:rPr>
          <w:rFonts w:eastAsia="Calibri"/>
          <w:i/>
          <w:iCs/>
        </w:rPr>
      </w:pPr>
      <w:r>
        <w:rPr>
          <w:rFonts w:eastAsia="Calibri"/>
          <w:i/>
          <w:iCs/>
        </w:rPr>
        <w:t>The redacted values correspond to the following ranges:</w:t>
      </w:r>
    </w:p>
    <w:p w14:paraId="63B43937" w14:textId="77777777" w:rsidR="00B341CA" w:rsidRDefault="00B341CA" w:rsidP="00B341CA">
      <w:pPr>
        <w:pStyle w:val="Tablenotes1"/>
        <w:rPr>
          <w:rFonts w:eastAsia="Calibri"/>
          <w:i/>
          <w:iCs/>
        </w:rPr>
      </w:pPr>
      <w:r>
        <w:rPr>
          <w:rFonts w:eastAsia="Calibri"/>
          <w:i/>
          <w:iCs/>
          <w:vertAlign w:val="superscript"/>
        </w:rPr>
        <w:t>1</w:t>
      </w:r>
      <w:r>
        <w:rPr>
          <w:rFonts w:eastAsia="Calibri"/>
          <w:i/>
          <w:iCs/>
        </w:rPr>
        <w:t xml:space="preserve"> $10 million to &lt;$20 million</w:t>
      </w:r>
    </w:p>
    <w:p w14:paraId="61D78E6A" w14:textId="77777777" w:rsidR="00B341CA" w:rsidRDefault="00B341CA" w:rsidP="00B341CA">
      <w:pPr>
        <w:pStyle w:val="Tablenotes1"/>
        <w:rPr>
          <w:rFonts w:eastAsia="Calibri"/>
          <w:i/>
          <w:iCs/>
        </w:rPr>
      </w:pPr>
      <w:r>
        <w:rPr>
          <w:rFonts w:eastAsia="Calibri"/>
          <w:i/>
          <w:iCs/>
          <w:vertAlign w:val="superscript"/>
        </w:rPr>
        <w:t>2</w:t>
      </w:r>
      <w:r>
        <w:rPr>
          <w:rFonts w:eastAsia="Calibri"/>
          <w:i/>
          <w:iCs/>
        </w:rPr>
        <w:t xml:space="preserve"> $20 million to &lt;$30 million</w:t>
      </w:r>
    </w:p>
    <w:p w14:paraId="6A0EB054" w14:textId="77777777" w:rsidR="00B341CA" w:rsidRDefault="00B341CA" w:rsidP="00B341CA">
      <w:pPr>
        <w:pStyle w:val="Tablenotes1"/>
        <w:rPr>
          <w:rFonts w:eastAsia="Calibri"/>
          <w:i/>
          <w:iCs/>
        </w:rPr>
      </w:pPr>
      <w:r>
        <w:rPr>
          <w:rFonts w:eastAsia="Calibri"/>
          <w:i/>
          <w:iCs/>
          <w:vertAlign w:val="superscript"/>
        </w:rPr>
        <w:t>3</w:t>
      </w:r>
      <w:r>
        <w:rPr>
          <w:rFonts w:eastAsia="Calibri"/>
          <w:i/>
          <w:iCs/>
        </w:rPr>
        <w:t xml:space="preserve"> $30 million to &lt;$40 million</w:t>
      </w:r>
    </w:p>
    <w:p w14:paraId="67B35C05" w14:textId="77777777" w:rsidR="00B341CA" w:rsidRDefault="00B341CA" w:rsidP="00B341CA">
      <w:pPr>
        <w:pStyle w:val="Tablenotes1"/>
        <w:rPr>
          <w:rFonts w:eastAsia="Calibri"/>
          <w:i/>
          <w:iCs/>
        </w:rPr>
      </w:pPr>
      <w:r>
        <w:rPr>
          <w:rFonts w:eastAsia="Calibri"/>
          <w:i/>
          <w:iCs/>
          <w:vertAlign w:val="superscript"/>
        </w:rPr>
        <w:t>4</w:t>
      </w:r>
      <w:r>
        <w:rPr>
          <w:rFonts w:eastAsia="Calibri"/>
          <w:i/>
          <w:iCs/>
        </w:rPr>
        <w:t xml:space="preserve"> $40 million to &lt;$50 million</w:t>
      </w:r>
    </w:p>
    <w:p w14:paraId="3775C21F" w14:textId="0EC10CC7" w:rsidR="00B341CA" w:rsidRDefault="00B341CA" w:rsidP="00B341CA">
      <w:pPr>
        <w:pStyle w:val="Tablenotes1"/>
        <w:rPr>
          <w:rFonts w:eastAsia="Calibri"/>
          <w:i/>
          <w:iCs/>
        </w:rPr>
      </w:pPr>
      <w:r>
        <w:rPr>
          <w:rFonts w:eastAsia="Calibri"/>
          <w:i/>
          <w:iCs/>
          <w:vertAlign w:val="superscript"/>
        </w:rPr>
        <w:t>5</w:t>
      </w:r>
      <w:r>
        <w:rPr>
          <w:rFonts w:eastAsia="Calibri"/>
          <w:i/>
          <w:iCs/>
        </w:rPr>
        <w:t xml:space="preserve"> $1 million to &lt;$2 million</w:t>
      </w:r>
    </w:p>
    <w:p w14:paraId="1918185A" w14:textId="3EFD3344" w:rsidR="00B341CA" w:rsidRDefault="00B341CA" w:rsidP="00B341CA">
      <w:pPr>
        <w:pStyle w:val="Tablenotes1"/>
        <w:rPr>
          <w:rFonts w:eastAsia="Calibri"/>
          <w:i/>
          <w:iCs/>
        </w:rPr>
      </w:pPr>
      <w:r>
        <w:rPr>
          <w:rFonts w:eastAsia="Calibri"/>
          <w:i/>
          <w:iCs/>
          <w:vertAlign w:val="superscript"/>
        </w:rPr>
        <w:t>6</w:t>
      </w:r>
      <w:r>
        <w:rPr>
          <w:rFonts w:eastAsia="Calibri"/>
          <w:i/>
          <w:iCs/>
        </w:rPr>
        <w:t xml:space="preserve"> $2 million to &lt;$3 million</w:t>
      </w:r>
    </w:p>
    <w:p w14:paraId="3C805409" w14:textId="76F5EECE" w:rsidR="00B341CA" w:rsidRDefault="00B341CA" w:rsidP="00B341CA">
      <w:pPr>
        <w:pStyle w:val="Tablenotes1"/>
        <w:rPr>
          <w:rFonts w:eastAsia="Calibri"/>
          <w:i/>
          <w:iCs/>
        </w:rPr>
      </w:pPr>
      <w:r>
        <w:rPr>
          <w:rFonts w:eastAsia="Calibri"/>
          <w:i/>
          <w:iCs/>
          <w:vertAlign w:val="superscript"/>
        </w:rPr>
        <w:t>7</w:t>
      </w:r>
      <w:r>
        <w:rPr>
          <w:rFonts w:eastAsia="Calibri"/>
          <w:i/>
          <w:iCs/>
        </w:rPr>
        <w:t xml:space="preserve"> $3 million to &lt;$4 million</w:t>
      </w:r>
    </w:p>
    <w:p w14:paraId="3DF0E30A" w14:textId="64E03F2C" w:rsidR="00B341CA" w:rsidRDefault="00B341CA" w:rsidP="00B341CA">
      <w:pPr>
        <w:pStyle w:val="Tablenotes1"/>
        <w:rPr>
          <w:rFonts w:eastAsia="Calibri"/>
          <w:i/>
          <w:iCs/>
        </w:rPr>
      </w:pPr>
      <w:r>
        <w:rPr>
          <w:rFonts w:eastAsia="Calibri"/>
          <w:i/>
          <w:iCs/>
          <w:vertAlign w:val="superscript"/>
        </w:rPr>
        <w:t>8</w:t>
      </w:r>
      <w:r>
        <w:rPr>
          <w:rFonts w:eastAsia="Calibri"/>
          <w:i/>
          <w:iCs/>
        </w:rPr>
        <w:t xml:space="preserve"> $5 million to &lt;$6 million</w:t>
      </w:r>
    </w:p>
    <w:p w14:paraId="320C9929" w14:textId="706289E1" w:rsidR="00B341CA" w:rsidRDefault="00B341CA" w:rsidP="00B341CA">
      <w:pPr>
        <w:pStyle w:val="Tablenotes1"/>
        <w:rPr>
          <w:rFonts w:eastAsia="Calibri"/>
          <w:i/>
          <w:iCs/>
        </w:rPr>
      </w:pPr>
      <w:r>
        <w:rPr>
          <w:rFonts w:eastAsia="Calibri"/>
          <w:i/>
          <w:iCs/>
          <w:vertAlign w:val="superscript"/>
        </w:rPr>
        <w:t>9</w:t>
      </w:r>
      <w:r>
        <w:rPr>
          <w:rFonts w:eastAsia="Calibri"/>
          <w:i/>
          <w:iCs/>
        </w:rPr>
        <w:t xml:space="preserve"> $6 million to &lt;$7 million</w:t>
      </w:r>
    </w:p>
    <w:p w14:paraId="0F5082F0" w14:textId="1B97CAB9" w:rsidR="00AD48C8" w:rsidRPr="00AD48C8" w:rsidRDefault="00AD48C8" w:rsidP="00B341CA">
      <w:pPr>
        <w:pStyle w:val="Tablenotes1"/>
        <w:rPr>
          <w:rFonts w:eastAsia="Calibri"/>
          <w:i/>
          <w:iCs/>
        </w:rPr>
      </w:pPr>
      <w:r>
        <w:rPr>
          <w:rFonts w:eastAsia="Calibri"/>
          <w:i/>
          <w:iCs/>
          <w:vertAlign w:val="superscript"/>
        </w:rPr>
        <w:t>10</w:t>
      </w:r>
      <w:r>
        <w:rPr>
          <w:rFonts w:eastAsia="Calibri"/>
          <w:i/>
          <w:iCs/>
        </w:rPr>
        <w:t xml:space="preserve"> $8 million to &lt;$9 million</w:t>
      </w:r>
    </w:p>
    <w:p w14:paraId="35385B67" w14:textId="76566495" w:rsidR="005D2DFC" w:rsidRDefault="005D2DFC" w:rsidP="00B341CA">
      <w:pPr>
        <w:pStyle w:val="Tablenotes1"/>
        <w:rPr>
          <w:rFonts w:eastAsia="Calibri"/>
          <w:i/>
          <w:iCs/>
        </w:rPr>
      </w:pPr>
      <w:r>
        <w:rPr>
          <w:rFonts w:eastAsia="Calibri"/>
          <w:i/>
          <w:iCs/>
          <w:vertAlign w:val="superscript"/>
        </w:rPr>
        <w:t>1</w:t>
      </w:r>
      <w:r w:rsidR="00AD48C8">
        <w:rPr>
          <w:rFonts w:eastAsia="Calibri"/>
          <w:i/>
          <w:iCs/>
          <w:vertAlign w:val="superscript"/>
        </w:rPr>
        <w:t>1</w:t>
      </w:r>
      <w:r>
        <w:rPr>
          <w:rFonts w:eastAsia="Calibri"/>
          <w:i/>
          <w:iCs/>
        </w:rPr>
        <w:t xml:space="preserve"> $50 million to &lt;$60 million</w:t>
      </w:r>
    </w:p>
    <w:p w14:paraId="05066A86" w14:textId="6B5D8DCE" w:rsidR="00AD48C8" w:rsidRPr="00AD48C8" w:rsidRDefault="005D2DFC" w:rsidP="00B341CA">
      <w:pPr>
        <w:pStyle w:val="Tablenotes1"/>
        <w:rPr>
          <w:rFonts w:eastAsia="Calibri"/>
          <w:i/>
          <w:iCs/>
        </w:rPr>
      </w:pPr>
      <w:r>
        <w:rPr>
          <w:rFonts w:eastAsia="Calibri"/>
          <w:i/>
          <w:iCs/>
          <w:vertAlign w:val="superscript"/>
        </w:rPr>
        <w:t>1</w:t>
      </w:r>
      <w:r w:rsidR="00AD48C8">
        <w:rPr>
          <w:rFonts w:eastAsia="Calibri"/>
          <w:i/>
          <w:iCs/>
          <w:vertAlign w:val="superscript"/>
        </w:rPr>
        <w:t>2</w:t>
      </w:r>
      <w:r>
        <w:rPr>
          <w:rFonts w:eastAsia="Calibri"/>
          <w:i/>
          <w:iCs/>
        </w:rPr>
        <w:t xml:space="preserve"> &lt; $</w:t>
      </w:r>
      <w:r w:rsidR="00AD48C8">
        <w:rPr>
          <w:rFonts w:eastAsia="Calibri"/>
          <w:i/>
          <w:iCs/>
        </w:rPr>
        <w:t xml:space="preserve">1 million </w:t>
      </w:r>
    </w:p>
    <w:p w14:paraId="22F37FD7" w14:textId="1B6E3622" w:rsidR="00986EC1" w:rsidRPr="00986EC1" w:rsidRDefault="00986EC1" w:rsidP="00986EC1">
      <w:pPr>
        <w:keepNext/>
        <w:keepLines/>
        <w:spacing w:before="360" w:after="240"/>
        <w:outlineLvl w:val="1"/>
        <w:rPr>
          <w:rFonts w:ascii="Franklin Gothic Medium" w:eastAsia="SimSun" w:hAnsi="Franklin Gothic Medium"/>
          <w:color w:val="000000"/>
          <w:sz w:val="32"/>
          <w:szCs w:val="26"/>
          <w:lang w:eastAsia="en-US"/>
        </w:rPr>
      </w:pPr>
      <w:r w:rsidRPr="00986EC1">
        <w:rPr>
          <w:rFonts w:ascii="Franklin Gothic Medium" w:eastAsia="SimSun" w:hAnsi="Franklin Gothic Medium"/>
          <w:color w:val="000000"/>
          <w:sz w:val="32"/>
          <w:szCs w:val="26"/>
          <w:lang w:eastAsia="en-US"/>
        </w:rPr>
        <w:t>1</w:t>
      </w:r>
      <w:r w:rsidR="0007499C">
        <w:rPr>
          <w:rFonts w:ascii="Franklin Gothic Medium" w:eastAsia="SimSun" w:hAnsi="Franklin Gothic Medium"/>
          <w:color w:val="000000"/>
          <w:sz w:val="32"/>
          <w:szCs w:val="26"/>
          <w:lang w:eastAsia="en-US"/>
        </w:rPr>
        <w:t>5</w:t>
      </w:r>
      <w:r w:rsidRPr="00986EC1">
        <w:rPr>
          <w:rFonts w:ascii="Franklin Gothic Medium" w:eastAsia="SimSun" w:hAnsi="Franklin Gothic Medium"/>
          <w:color w:val="000000"/>
          <w:sz w:val="32"/>
          <w:szCs w:val="26"/>
          <w:lang w:eastAsia="en-US"/>
        </w:rPr>
        <w:t>.</w:t>
      </w:r>
      <w:r w:rsidRPr="00986EC1">
        <w:rPr>
          <w:rFonts w:ascii="Franklin Gothic Medium" w:eastAsia="SimSun" w:hAnsi="Franklin Gothic Medium"/>
          <w:color w:val="000000"/>
          <w:sz w:val="32"/>
          <w:szCs w:val="26"/>
          <w:lang w:eastAsia="en-US"/>
        </w:rPr>
        <w:tab/>
        <w:t xml:space="preserve">Other relevant </w:t>
      </w:r>
      <w:bookmarkEnd w:id="76"/>
      <w:r w:rsidRPr="00986EC1">
        <w:rPr>
          <w:rFonts w:ascii="Franklin Gothic Medium" w:eastAsia="SimSun" w:hAnsi="Franklin Gothic Medium"/>
          <w:color w:val="000000"/>
          <w:sz w:val="32"/>
          <w:szCs w:val="26"/>
          <w:lang w:eastAsia="en-US"/>
        </w:rPr>
        <w:t>information</w:t>
      </w:r>
    </w:p>
    <w:p w14:paraId="727C12B3" w14:textId="77777777" w:rsidR="00986EC1" w:rsidRPr="00986EC1" w:rsidRDefault="00986EC1" w:rsidP="00986EC1">
      <w:pPr>
        <w:spacing w:before="120" w:after="160" w:line="259" w:lineRule="auto"/>
        <w:rPr>
          <w:rFonts w:ascii="Franklin Gothic Book" w:eastAsia="Calibri" w:hAnsi="Franklin Gothic Book"/>
          <w:sz w:val="22"/>
          <w:szCs w:val="22"/>
          <w:lang w:eastAsia="en-US"/>
        </w:rPr>
      </w:pPr>
      <w:r w:rsidRPr="00986EC1">
        <w:rPr>
          <w:rFonts w:ascii="Franklin Gothic Book" w:eastAsia="Calibri" w:hAnsi="Franklin Gothic Book"/>
          <w:sz w:val="22"/>
          <w:szCs w:val="22"/>
          <w:lang w:eastAsia="en-US"/>
        </w:rPr>
        <w:t>Nil</w:t>
      </w:r>
    </w:p>
    <w:p w14:paraId="7F8C4BF3" w14:textId="1A3A6B33" w:rsidR="00930B23" w:rsidRPr="0007499C" w:rsidRDefault="0007499C" w:rsidP="0007499C">
      <w:pPr>
        <w:keepNext/>
        <w:keepLines/>
        <w:spacing w:before="360" w:after="240"/>
        <w:outlineLvl w:val="1"/>
        <w:rPr>
          <w:rFonts w:ascii="Franklin Gothic Medium" w:eastAsia="SimSun" w:hAnsi="Franklin Gothic Medium"/>
          <w:color w:val="000000"/>
          <w:sz w:val="32"/>
          <w:szCs w:val="26"/>
          <w:lang w:eastAsia="en-US"/>
        </w:rPr>
      </w:pPr>
      <w:r>
        <w:rPr>
          <w:rFonts w:ascii="Franklin Gothic Medium" w:eastAsia="SimSun" w:hAnsi="Franklin Gothic Medium"/>
          <w:color w:val="000000"/>
          <w:sz w:val="32"/>
          <w:szCs w:val="26"/>
          <w:lang w:eastAsia="en-US"/>
        </w:rPr>
        <w:t>16.</w:t>
      </w:r>
      <w:r>
        <w:rPr>
          <w:rFonts w:ascii="Franklin Gothic Medium" w:eastAsia="SimSun" w:hAnsi="Franklin Gothic Medium"/>
          <w:color w:val="000000"/>
          <w:sz w:val="32"/>
          <w:szCs w:val="26"/>
          <w:lang w:eastAsia="en-US"/>
        </w:rPr>
        <w:tab/>
      </w:r>
      <w:r w:rsidR="00930B23" w:rsidRPr="0007499C">
        <w:rPr>
          <w:rFonts w:ascii="Franklin Gothic Medium" w:eastAsia="SimSun" w:hAnsi="Franklin Gothic Medium"/>
          <w:color w:val="000000"/>
          <w:sz w:val="32"/>
          <w:szCs w:val="26"/>
          <w:lang w:eastAsia="en-US"/>
        </w:rPr>
        <w:t>Key issues from ESC to MSAC</w:t>
      </w:r>
    </w:p>
    <w:tbl>
      <w:tblPr>
        <w:tblStyle w:val="TableGrid3"/>
        <w:tblW w:w="0" w:type="auto"/>
        <w:tblInd w:w="0" w:type="dxa"/>
        <w:tblLook w:val="04A0" w:firstRow="1" w:lastRow="0" w:firstColumn="1" w:lastColumn="0" w:noHBand="0" w:noVBand="1"/>
      </w:tblPr>
      <w:tblGrid>
        <w:gridCol w:w="1980"/>
        <w:gridCol w:w="6940"/>
      </w:tblGrid>
      <w:tr w:rsidR="00930B23" w:rsidRPr="0007499C" w14:paraId="10CE798A" w14:textId="77777777" w:rsidTr="006B7577">
        <w:tc>
          <w:tcPr>
            <w:tcW w:w="1980" w:type="dxa"/>
            <w:tcBorders>
              <w:top w:val="single" w:sz="4" w:space="0" w:color="auto"/>
              <w:left w:val="single" w:sz="4" w:space="0" w:color="auto"/>
              <w:bottom w:val="single" w:sz="4" w:space="0" w:color="auto"/>
              <w:right w:val="single" w:sz="4" w:space="0" w:color="auto"/>
            </w:tcBorders>
            <w:hideMark/>
          </w:tcPr>
          <w:p w14:paraId="444AA954" w14:textId="77777777" w:rsidR="00930B23" w:rsidRPr="0007499C" w:rsidRDefault="00930B23" w:rsidP="006B7577">
            <w:pPr>
              <w:widowControl w:val="0"/>
              <w:spacing w:before="60" w:after="60"/>
              <w:rPr>
                <w:rFonts w:ascii="Arial Narrow" w:hAnsi="Arial Narrow"/>
                <w:b/>
                <w:bCs/>
                <w:color w:val="000000"/>
              </w:rPr>
            </w:pPr>
            <w:r w:rsidRPr="0007499C">
              <w:rPr>
                <w:rFonts w:ascii="Arial Narrow" w:hAnsi="Arial Narrow"/>
                <w:b/>
                <w:bCs/>
                <w:color w:val="000000"/>
              </w:rPr>
              <w:t>ESC key issue</w:t>
            </w:r>
          </w:p>
        </w:tc>
        <w:tc>
          <w:tcPr>
            <w:tcW w:w="6940" w:type="dxa"/>
            <w:tcBorders>
              <w:top w:val="single" w:sz="4" w:space="0" w:color="auto"/>
              <w:left w:val="single" w:sz="4" w:space="0" w:color="auto"/>
              <w:bottom w:val="single" w:sz="4" w:space="0" w:color="auto"/>
              <w:right w:val="single" w:sz="4" w:space="0" w:color="auto"/>
            </w:tcBorders>
            <w:hideMark/>
          </w:tcPr>
          <w:p w14:paraId="7F4EE5AF" w14:textId="77777777" w:rsidR="00930B23" w:rsidRPr="0007499C" w:rsidRDefault="00930B23" w:rsidP="006B7577">
            <w:pPr>
              <w:widowControl w:val="0"/>
              <w:spacing w:before="60" w:after="60"/>
              <w:rPr>
                <w:rFonts w:ascii="Arial Narrow" w:hAnsi="Arial Narrow"/>
                <w:b/>
                <w:bCs/>
                <w:color w:val="000000"/>
              </w:rPr>
            </w:pPr>
            <w:r w:rsidRPr="0007499C">
              <w:rPr>
                <w:rFonts w:ascii="Arial Narrow" w:hAnsi="Arial Narrow"/>
                <w:b/>
                <w:bCs/>
                <w:color w:val="000000"/>
              </w:rPr>
              <w:t>ESC advice to MSAC</w:t>
            </w:r>
          </w:p>
        </w:tc>
      </w:tr>
      <w:tr w:rsidR="00930B23" w:rsidRPr="0007499C" w14:paraId="4D5F816E" w14:textId="77777777" w:rsidTr="006B7577">
        <w:tc>
          <w:tcPr>
            <w:tcW w:w="1980" w:type="dxa"/>
            <w:tcBorders>
              <w:top w:val="single" w:sz="4" w:space="0" w:color="auto"/>
              <w:left w:val="single" w:sz="4" w:space="0" w:color="auto"/>
              <w:bottom w:val="single" w:sz="4" w:space="0" w:color="auto"/>
              <w:right w:val="single" w:sz="4" w:space="0" w:color="auto"/>
            </w:tcBorders>
          </w:tcPr>
          <w:p w14:paraId="5C196C7C" w14:textId="77777777" w:rsidR="00930B23" w:rsidRPr="0007499C" w:rsidRDefault="00930B23" w:rsidP="006B7577">
            <w:pPr>
              <w:widowControl w:val="0"/>
              <w:spacing w:before="60" w:after="60"/>
              <w:rPr>
                <w:rFonts w:ascii="Arial Narrow" w:hAnsi="Arial Narrow"/>
                <w:color w:val="000000"/>
              </w:rPr>
            </w:pPr>
            <w:r w:rsidRPr="0007499C">
              <w:rPr>
                <w:rFonts w:ascii="Arial Narrow" w:hAnsi="Arial Narrow"/>
                <w:color w:val="000000"/>
              </w:rPr>
              <w:t>Non-inferiority clinical claim against decompression ± fusion</w:t>
            </w:r>
          </w:p>
        </w:tc>
        <w:tc>
          <w:tcPr>
            <w:tcW w:w="6940" w:type="dxa"/>
            <w:tcBorders>
              <w:top w:val="single" w:sz="4" w:space="0" w:color="auto"/>
              <w:left w:val="single" w:sz="4" w:space="0" w:color="auto"/>
              <w:bottom w:val="single" w:sz="4" w:space="0" w:color="auto"/>
              <w:right w:val="single" w:sz="4" w:space="0" w:color="auto"/>
            </w:tcBorders>
          </w:tcPr>
          <w:p w14:paraId="5663CA94" w14:textId="77777777" w:rsidR="00930B23" w:rsidRPr="0007499C" w:rsidRDefault="00930B23" w:rsidP="006B7577">
            <w:pPr>
              <w:widowControl w:val="0"/>
              <w:spacing w:before="60" w:after="60"/>
              <w:rPr>
                <w:rFonts w:ascii="Arial Narrow" w:hAnsi="Arial Narrow"/>
                <w:color w:val="000000"/>
              </w:rPr>
            </w:pPr>
            <w:r w:rsidRPr="0007499C">
              <w:rPr>
                <w:rFonts w:ascii="Arial Narrow" w:hAnsi="Arial Narrow"/>
                <w:color w:val="000000"/>
              </w:rPr>
              <w:t>The ADAR made a clinical claim of at least non-inferior safety (possibly superior) and non-inferior efficacy for IDS compared to decompression with or without fusion. This may not be reasonable because reoperation rates do not support these claims. This discrepancy had flow on effects to the model selection in the economic evaluation.</w:t>
            </w:r>
          </w:p>
        </w:tc>
      </w:tr>
      <w:tr w:rsidR="00930B23" w:rsidRPr="0007499C" w14:paraId="4B18041B" w14:textId="77777777" w:rsidTr="006B7577">
        <w:tc>
          <w:tcPr>
            <w:tcW w:w="1980" w:type="dxa"/>
            <w:tcBorders>
              <w:top w:val="single" w:sz="4" w:space="0" w:color="auto"/>
              <w:left w:val="single" w:sz="4" w:space="0" w:color="auto"/>
              <w:bottom w:val="single" w:sz="4" w:space="0" w:color="auto"/>
              <w:right w:val="single" w:sz="4" w:space="0" w:color="auto"/>
            </w:tcBorders>
          </w:tcPr>
          <w:p w14:paraId="63F547DA" w14:textId="77777777" w:rsidR="00930B23" w:rsidRPr="0007499C" w:rsidRDefault="00930B23" w:rsidP="006B7577">
            <w:pPr>
              <w:widowControl w:val="0"/>
              <w:spacing w:before="60" w:after="60"/>
              <w:rPr>
                <w:rFonts w:ascii="Arial Narrow" w:hAnsi="Arial Narrow"/>
                <w:color w:val="000000"/>
              </w:rPr>
            </w:pPr>
            <w:r w:rsidRPr="0007499C">
              <w:rPr>
                <w:rFonts w:ascii="Arial Narrow" w:hAnsi="Arial Narrow"/>
                <w:color w:val="000000"/>
              </w:rPr>
              <w:t>Uncertain comparator</w:t>
            </w:r>
          </w:p>
        </w:tc>
        <w:tc>
          <w:tcPr>
            <w:tcW w:w="6940" w:type="dxa"/>
            <w:tcBorders>
              <w:top w:val="single" w:sz="4" w:space="0" w:color="auto"/>
              <w:left w:val="single" w:sz="4" w:space="0" w:color="auto"/>
              <w:bottom w:val="single" w:sz="4" w:space="0" w:color="auto"/>
              <w:right w:val="single" w:sz="4" w:space="0" w:color="auto"/>
            </w:tcBorders>
          </w:tcPr>
          <w:p w14:paraId="53D26FCE" w14:textId="77777777" w:rsidR="00930B23" w:rsidRPr="0007499C" w:rsidRDefault="00930B23" w:rsidP="006B7577">
            <w:pPr>
              <w:widowControl w:val="0"/>
              <w:spacing w:before="60" w:after="60"/>
              <w:rPr>
                <w:rFonts w:ascii="Arial Narrow" w:hAnsi="Arial Narrow"/>
                <w:color w:val="000000"/>
              </w:rPr>
            </w:pPr>
            <w:r w:rsidRPr="0007499C">
              <w:rPr>
                <w:rFonts w:ascii="Arial Narrow" w:hAnsi="Arial Narrow"/>
                <w:color w:val="000000"/>
              </w:rPr>
              <w:t>The appropriate proportion of fusion in the comparator is uncertain, which is a key driver in the economic evaluation (primary analysis). In addition, it was noted that IDS may be a second-line treatment before decompression with or without fusion, which would make conservative care a more appropriate comparator (included in the supplementary analysis), or a weighted comparator comprised of conservative care and decompression with or without spinal fusion; a cost-utility analysis with all comparators would be informative.</w:t>
            </w:r>
          </w:p>
        </w:tc>
      </w:tr>
      <w:tr w:rsidR="00930B23" w:rsidRPr="0007499C" w14:paraId="5AF4E2F1" w14:textId="77777777" w:rsidTr="006B7577">
        <w:tc>
          <w:tcPr>
            <w:tcW w:w="1980" w:type="dxa"/>
            <w:tcBorders>
              <w:top w:val="single" w:sz="4" w:space="0" w:color="auto"/>
              <w:left w:val="single" w:sz="4" w:space="0" w:color="auto"/>
              <w:bottom w:val="single" w:sz="4" w:space="0" w:color="auto"/>
              <w:right w:val="single" w:sz="4" w:space="0" w:color="auto"/>
            </w:tcBorders>
            <w:hideMark/>
          </w:tcPr>
          <w:p w14:paraId="73626A94" w14:textId="77777777" w:rsidR="00930B23" w:rsidRPr="0007499C" w:rsidRDefault="00930B23" w:rsidP="006B7577">
            <w:pPr>
              <w:widowControl w:val="0"/>
              <w:spacing w:before="60" w:after="60"/>
              <w:rPr>
                <w:rFonts w:ascii="Arial Narrow" w:hAnsi="Arial Narrow"/>
                <w:color w:val="000000"/>
              </w:rPr>
            </w:pPr>
            <w:r w:rsidRPr="0007499C">
              <w:rPr>
                <w:rFonts w:ascii="Arial Narrow" w:hAnsi="Arial Narrow"/>
                <w:color w:val="000000"/>
              </w:rPr>
              <w:t>Item descriptor: population definition and fee</w:t>
            </w:r>
          </w:p>
        </w:tc>
        <w:tc>
          <w:tcPr>
            <w:tcW w:w="6940" w:type="dxa"/>
            <w:tcBorders>
              <w:top w:val="single" w:sz="4" w:space="0" w:color="auto"/>
              <w:left w:val="single" w:sz="4" w:space="0" w:color="auto"/>
              <w:bottom w:val="single" w:sz="4" w:space="0" w:color="auto"/>
              <w:right w:val="single" w:sz="4" w:space="0" w:color="auto"/>
            </w:tcBorders>
            <w:hideMark/>
          </w:tcPr>
          <w:p w14:paraId="219FA9C0" w14:textId="77777777" w:rsidR="00930B23" w:rsidRPr="0007499C" w:rsidRDefault="00930B23" w:rsidP="006B7577">
            <w:pPr>
              <w:widowControl w:val="0"/>
              <w:spacing w:before="60" w:after="60"/>
              <w:rPr>
                <w:rFonts w:ascii="Arial Narrow" w:hAnsi="Arial Narrow"/>
                <w:color w:val="000000"/>
              </w:rPr>
            </w:pPr>
            <w:r w:rsidRPr="0007499C">
              <w:rPr>
                <w:rFonts w:ascii="Arial Narrow" w:hAnsi="Arial Narrow"/>
                <w:color w:val="000000"/>
              </w:rPr>
              <w:t>The item descriptor should specify:</w:t>
            </w:r>
          </w:p>
          <w:p w14:paraId="053FF981" w14:textId="77777777" w:rsidR="00930B23" w:rsidRPr="0007499C" w:rsidRDefault="00930B23" w:rsidP="006B7577">
            <w:pPr>
              <w:widowControl w:val="0"/>
              <w:numPr>
                <w:ilvl w:val="0"/>
                <w:numId w:val="41"/>
              </w:numPr>
              <w:spacing w:before="60" w:after="60"/>
              <w:ind w:left="226" w:hanging="113"/>
              <w:rPr>
                <w:rFonts w:ascii="Arial Narrow" w:hAnsi="Arial Narrow"/>
                <w:color w:val="000000"/>
              </w:rPr>
            </w:pPr>
            <w:r w:rsidRPr="0007499C">
              <w:rPr>
                <w:rFonts w:ascii="Arial Narrow" w:hAnsi="Arial Narrow"/>
                <w:color w:val="000000"/>
              </w:rPr>
              <w:t xml:space="preserve">the degree of spondylolisthesis as less than 25% shifting of a vertebral body </w:t>
            </w:r>
          </w:p>
          <w:p w14:paraId="025379AC" w14:textId="77777777" w:rsidR="00930B23" w:rsidRPr="0007499C" w:rsidRDefault="00930B23" w:rsidP="006B7577">
            <w:pPr>
              <w:widowControl w:val="0"/>
              <w:numPr>
                <w:ilvl w:val="0"/>
                <w:numId w:val="41"/>
              </w:numPr>
              <w:spacing w:before="60" w:after="60"/>
              <w:ind w:left="226" w:hanging="113"/>
              <w:rPr>
                <w:rFonts w:ascii="Arial Narrow" w:hAnsi="Arial Narrow"/>
                <w:color w:val="000000"/>
              </w:rPr>
            </w:pPr>
            <w:bookmarkStart w:id="83" w:name="_Hlk86306128"/>
            <w:r w:rsidRPr="0007499C">
              <w:rPr>
                <w:rFonts w:ascii="Arial Narrow" w:hAnsi="Arial Narrow"/>
                <w:color w:val="000000"/>
              </w:rPr>
              <w:t>clinical signs of compression, based on clinical and radiological evidence of any one of the following: the thecal sac and/or cauda equina compression; nerve root displacement or compression by either osseous or non-osseous elements; hypertrophic facets with canal encroachment</w:t>
            </w:r>
          </w:p>
          <w:bookmarkEnd w:id="83"/>
          <w:p w14:paraId="576F6A9D" w14:textId="77777777" w:rsidR="00930B23" w:rsidRPr="0007499C" w:rsidRDefault="00930B23" w:rsidP="006B7577">
            <w:pPr>
              <w:widowControl w:val="0"/>
              <w:numPr>
                <w:ilvl w:val="0"/>
                <w:numId w:val="41"/>
              </w:numPr>
              <w:spacing w:before="60" w:after="60"/>
              <w:ind w:left="226" w:hanging="113"/>
              <w:rPr>
                <w:rFonts w:ascii="Arial Narrow" w:hAnsi="Arial Narrow"/>
                <w:color w:val="000000"/>
              </w:rPr>
            </w:pPr>
            <w:r w:rsidRPr="0007499C">
              <w:rPr>
                <w:rFonts w:ascii="Arial Narrow" w:hAnsi="Arial Narrow"/>
                <w:color w:val="000000"/>
              </w:rPr>
              <w:t>the eligible population as those aged 45 years and older.</w:t>
            </w:r>
          </w:p>
          <w:p w14:paraId="6859EC8A" w14:textId="77777777" w:rsidR="00930B23" w:rsidRPr="0007499C" w:rsidRDefault="00930B23" w:rsidP="006B7577">
            <w:pPr>
              <w:widowControl w:val="0"/>
              <w:spacing w:before="60" w:after="60"/>
              <w:rPr>
                <w:rFonts w:ascii="Arial Narrow" w:hAnsi="Arial Narrow"/>
                <w:color w:val="000000"/>
              </w:rPr>
            </w:pPr>
            <w:r w:rsidRPr="0007499C">
              <w:rPr>
                <w:rFonts w:ascii="Arial Narrow" w:hAnsi="Arial Narrow"/>
                <w:color w:val="000000"/>
              </w:rPr>
              <w:t xml:space="preserve">It is not appropriate to include a precise description of moderate lumbar spinal stenosis (LSS) as a compression ratio of 33–66% is unlikely to be seen over only one or two segments. </w:t>
            </w:r>
          </w:p>
          <w:p w14:paraId="5CD4635E" w14:textId="77777777" w:rsidR="00930B23" w:rsidRPr="0007499C" w:rsidRDefault="00930B23" w:rsidP="006B7577">
            <w:pPr>
              <w:widowControl w:val="0"/>
              <w:spacing w:before="60" w:after="60"/>
              <w:rPr>
                <w:rFonts w:ascii="Arial Narrow" w:hAnsi="Arial Narrow"/>
                <w:color w:val="000000"/>
              </w:rPr>
            </w:pPr>
            <w:r w:rsidRPr="0007499C">
              <w:rPr>
                <w:rFonts w:ascii="Arial Narrow" w:hAnsi="Arial Narrow"/>
                <w:color w:val="000000"/>
              </w:rPr>
              <w:t>Additional justification is required for the MBS fee, which is based on an existing MBS fee for an open procedure. The proposed percutaneous implantation procedure would require less time than the open procedure on which the fee is based, so will have a lower cost.</w:t>
            </w:r>
          </w:p>
        </w:tc>
      </w:tr>
      <w:tr w:rsidR="00930B23" w:rsidRPr="0007499C" w14:paraId="1B6A2032" w14:textId="77777777" w:rsidTr="006B7577">
        <w:tc>
          <w:tcPr>
            <w:tcW w:w="1980" w:type="dxa"/>
            <w:tcBorders>
              <w:top w:val="single" w:sz="4" w:space="0" w:color="auto"/>
              <w:left w:val="single" w:sz="4" w:space="0" w:color="auto"/>
              <w:bottom w:val="single" w:sz="4" w:space="0" w:color="auto"/>
              <w:right w:val="single" w:sz="4" w:space="0" w:color="auto"/>
            </w:tcBorders>
            <w:hideMark/>
          </w:tcPr>
          <w:p w14:paraId="7FB31090" w14:textId="77777777" w:rsidR="00930B23" w:rsidRPr="0007499C" w:rsidRDefault="00930B23" w:rsidP="006B7577">
            <w:pPr>
              <w:widowControl w:val="0"/>
              <w:spacing w:before="60" w:after="60"/>
              <w:rPr>
                <w:rFonts w:ascii="Arial Narrow" w:hAnsi="Arial Narrow"/>
                <w:color w:val="000000"/>
              </w:rPr>
            </w:pPr>
            <w:r w:rsidRPr="0007499C">
              <w:rPr>
                <w:rFonts w:ascii="Arial Narrow" w:hAnsi="Arial Narrow"/>
                <w:color w:val="000000"/>
              </w:rPr>
              <w:t>Restriction of clinical providers</w:t>
            </w:r>
          </w:p>
        </w:tc>
        <w:tc>
          <w:tcPr>
            <w:tcW w:w="6940" w:type="dxa"/>
            <w:tcBorders>
              <w:top w:val="single" w:sz="4" w:space="0" w:color="auto"/>
              <w:left w:val="single" w:sz="4" w:space="0" w:color="auto"/>
              <w:bottom w:val="single" w:sz="4" w:space="0" w:color="auto"/>
              <w:right w:val="single" w:sz="4" w:space="0" w:color="auto"/>
            </w:tcBorders>
            <w:hideMark/>
          </w:tcPr>
          <w:p w14:paraId="138F5C6D" w14:textId="77777777" w:rsidR="00930B23" w:rsidRPr="0007499C" w:rsidRDefault="00930B23" w:rsidP="006B7577">
            <w:pPr>
              <w:widowControl w:val="0"/>
              <w:spacing w:before="60" w:after="60"/>
              <w:rPr>
                <w:rFonts w:ascii="Arial Narrow" w:hAnsi="Arial Narrow"/>
                <w:color w:val="000000"/>
              </w:rPr>
            </w:pPr>
            <w:r w:rsidRPr="0007499C">
              <w:rPr>
                <w:rFonts w:ascii="Arial Narrow" w:hAnsi="Arial Narrow"/>
                <w:color w:val="000000"/>
              </w:rPr>
              <w:t>The device should be restricted to use by clinicians who are trained in selecting appropriate patients and implanting the device.</w:t>
            </w:r>
          </w:p>
          <w:p w14:paraId="7DD97BAA" w14:textId="77777777" w:rsidR="00930B23" w:rsidRPr="0007499C" w:rsidRDefault="00930B23" w:rsidP="006B7577">
            <w:pPr>
              <w:widowControl w:val="0"/>
              <w:spacing w:before="60" w:after="60"/>
              <w:rPr>
                <w:rFonts w:ascii="Arial Narrow" w:hAnsi="Arial Narrow"/>
                <w:color w:val="000000"/>
              </w:rPr>
            </w:pPr>
            <w:r w:rsidRPr="0007499C">
              <w:rPr>
                <w:rFonts w:ascii="Arial Narrow" w:hAnsi="Arial Narrow"/>
                <w:color w:val="000000"/>
              </w:rPr>
              <w:t>If the device is implemented in Australia, it should be considered as part of a surgical intervention set for LSS.</w:t>
            </w:r>
          </w:p>
        </w:tc>
      </w:tr>
    </w:tbl>
    <w:p w14:paraId="5161E652" w14:textId="77777777" w:rsidR="00930B23" w:rsidRPr="0007499C" w:rsidRDefault="00930B23" w:rsidP="0007499C">
      <w:pPr>
        <w:keepNext/>
        <w:keepLines/>
        <w:tabs>
          <w:tab w:val="left" w:pos="851"/>
        </w:tabs>
        <w:spacing w:before="360" w:after="200"/>
        <w:outlineLvl w:val="2"/>
        <w:rPr>
          <w:rFonts w:ascii="Franklin Gothic Medium" w:eastAsia="SimSun" w:hAnsi="Franklin Gothic Medium"/>
          <w:szCs w:val="24"/>
          <w:lang w:eastAsia="en-US"/>
        </w:rPr>
      </w:pPr>
      <w:r w:rsidRPr="0007499C">
        <w:rPr>
          <w:rFonts w:ascii="Franklin Gothic Medium" w:eastAsia="SimSun" w:hAnsi="Franklin Gothic Medium"/>
          <w:szCs w:val="24"/>
          <w:lang w:eastAsia="en-US"/>
        </w:rPr>
        <w:t>ESC discussion</w:t>
      </w:r>
    </w:p>
    <w:p w14:paraId="33CDAE8F"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ESC noted that this application was for Medicare Benefits Schedule (MBS) listing of the implantation of minimally invasive interspinous decompression spacer (IDS) devices for one- or two-level lumbar spinal stenosis (LSS). ESC noted that an application will be made to list an IDS device, the Superion Indirect Decompression System, on the Protheses List (PL). Currently, IDS devices are not broadly used in Australia.</w:t>
      </w:r>
    </w:p>
    <w:p w14:paraId="74AE6476"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ESC noted that there have been two previous applications to MSAC for IDS devices: application 1099 in 2007 and application 1422 in 2017. Both applications were not supported by MSAC because there was insufficient evidence for their effectiveness. ESC noted that only one of the previously proposed devices, the X-STOP®, was similar to the Superion device; that is, a minimally invasive standalone implant that does not require open surgery. The other devices were designed to be used in conjunction with surgical decompression. The population nominated for the X-STOP device is similar to that for the current application.</w:t>
      </w:r>
    </w:p>
    <w:p w14:paraId="6150EBC4"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ESC noted that the X-STOP device has been withdrawn from the market. The commentary stated that this was due to poor results in long-term follow-up and raised concern that comparisons between the Superion and X-STOP devices may not be sufficient to justify the safety and effectiveness of Superion vs. the comparator. ESC raised concern whether the X-STOP device was withdrawn due to safety concerns and if that was so, considered that more data on this would be informative. ESC noted that the pre-ESC response stated that the X-STOP device was withdrawn from the US market because it was not commercially viable for the company. ESC noted that the commentary referenced an editorial</w:t>
      </w:r>
      <w:r w:rsidRPr="00BA4976">
        <w:rPr>
          <w:rFonts w:ascii="Franklin Gothic Book" w:eastAsia="Calibri" w:hAnsi="Franklin Gothic Book"/>
          <w:sz w:val="22"/>
          <w:szCs w:val="22"/>
          <w:vertAlign w:val="superscript"/>
          <w:lang w:eastAsia="en-US"/>
        </w:rPr>
        <w:footnoteReference w:id="27"/>
      </w:r>
      <w:r w:rsidRPr="0007499C">
        <w:rPr>
          <w:rFonts w:ascii="Franklin Gothic Book" w:eastAsia="Calibri" w:hAnsi="Franklin Gothic Book"/>
          <w:sz w:val="22"/>
          <w:szCs w:val="22"/>
          <w:lang w:eastAsia="en-US"/>
        </w:rPr>
        <w:t xml:space="preserve"> as the source of its information, not a direct study.</w:t>
      </w:r>
    </w:p>
    <w:p w14:paraId="7871A36E"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ESC noted that the applicant is proposing two new MBS items, covering procedures for one and two lumbar motion segments respectively.</w:t>
      </w:r>
    </w:p>
    <w:p w14:paraId="3A979C03"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ESC noted that the population defined in the item descriptor was consistent with the inclusion criteria of the Investigational Device Exemption (FDA-IDE, i.e. IDE) randomised control trial (RCT) and Australian Instructions for Use (IFU) approved by the Therapeutic Goods Administration (TGA). ESC noted the complexities associated with the population as discussed at PASC.</w:t>
      </w:r>
    </w:p>
    <w:p w14:paraId="6548EC0A"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ESC considered that it would not be appropriate to include a precise description of moderate LSS as a compression ratio of 1/3 to 2/3 (33–66%) in the item descriptor, as it would be unusual to see a compression ratio this high over only one or two motion segments. However, ESC considered that certain requirements for clinical signs of compression, based on various conditions, should be considered, such as clinical and radiological evidence of any one of the following: the thecal sac and/or cauda equina compression; nerve root displacement or compression by either osseous or non-osseous elements; hypertrophic facets with canal encroachments. ESC also considered that it would not be appropriate to include a measure of functional impairment such as a Zurich Claudication Questionnaire (ZCQ) score of greater than 2.5 (as suggested by the Spine Society of Australia [SSA]), because the ZCQ is subjective and not broadly used in Australia.</w:t>
      </w:r>
    </w:p>
    <w:p w14:paraId="39942A61"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ESC considered that, consistent with the IDE trial, the item descriptor should also specify:</w:t>
      </w:r>
    </w:p>
    <w:p w14:paraId="042A908D" w14:textId="77777777" w:rsidR="00930B23" w:rsidRPr="00FE71A9" w:rsidRDefault="00930B23" w:rsidP="007D38B5">
      <w:pPr>
        <w:pStyle w:val="ListParagraph"/>
        <w:numPr>
          <w:ilvl w:val="0"/>
          <w:numId w:val="52"/>
        </w:numPr>
        <w:spacing w:before="120" w:after="160" w:line="259" w:lineRule="auto"/>
        <w:rPr>
          <w:rFonts w:ascii="Franklin Gothic Book" w:eastAsia="Calibri" w:hAnsi="Franklin Gothic Book"/>
          <w:sz w:val="22"/>
          <w:szCs w:val="22"/>
          <w:lang w:eastAsia="en-US"/>
        </w:rPr>
      </w:pPr>
      <w:r w:rsidRPr="00FE71A9">
        <w:rPr>
          <w:rFonts w:ascii="Franklin Gothic Book" w:eastAsia="Calibri" w:hAnsi="Franklin Gothic Book"/>
          <w:sz w:val="22"/>
          <w:szCs w:val="22"/>
          <w:lang w:eastAsia="en-US"/>
        </w:rPr>
        <w:t>the degree of degenerative spondylolisthesis as less than 25% shifting of a vertebral body (i.e. grade 1 or low grade spondylolisthesis)</w:t>
      </w:r>
    </w:p>
    <w:p w14:paraId="6FF8255F" w14:textId="77777777" w:rsidR="00930B23" w:rsidRPr="00FE71A9" w:rsidRDefault="00930B23" w:rsidP="007D38B5">
      <w:pPr>
        <w:pStyle w:val="ListParagraph"/>
        <w:numPr>
          <w:ilvl w:val="0"/>
          <w:numId w:val="52"/>
        </w:numPr>
        <w:spacing w:before="120" w:after="160" w:line="259" w:lineRule="auto"/>
        <w:rPr>
          <w:rFonts w:ascii="Franklin Gothic Book" w:eastAsia="Calibri" w:hAnsi="Franklin Gothic Book"/>
          <w:sz w:val="22"/>
          <w:szCs w:val="22"/>
          <w:lang w:eastAsia="en-US"/>
        </w:rPr>
      </w:pPr>
      <w:r w:rsidRPr="00FE71A9">
        <w:rPr>
          <w:rFonts w:ascii="Franklin Gothic Book" w:eastAsia="Calibri" w:hAnsi="Franklin Gothic Book"/>
          <w:sz w:val="22"/>
          <w:szCs w:val="22"/>
          <w:lang w:eastAsia="en-US"/>
        </w:rPr>
        <w:t>clinical signs of compression, based on clinical and radiological evidence of any one of the following: the thecal sac and/or cauda equina compression; nerve root displacement or compression by either osseous or non-osseous elements; hypertrophic facets with canal encroachments</w:t>
      </w:r>
    </w:p>
    <w:p w14:paraId="1DBE978A" w14:textId="77777777" w:rsidR="00930B23" w:rsidRPr="00FE71A9" w:rsidRDefault="00930B23" w:rsidP="007D38B5">
      <w:pPr>
        <w:pStyle w:val="ListParagraph"/>
        <w:numPr>
          <w:ilvl w:val="0"/>
          <w:numId w:val="52"/>
        </w:numPr>
        <w:spacing w:before="120" w:after="160" w:line="259" w:lineRule="auto"/>
        <w:rPr>
          <w:rFonts w:ascii="Franklin Gothic Book" w:eastAsia="Calibri" w:hAnsi="Franklin Gothic Book"/>
          <w:sz w:val="22"/>
          <w:szCs w:val="22"/>
          <w:lang w:eastAsia="en-US"/>
        </w:rPr>
      </w:pPr>
      <w:r w:rsidRPr="00FE71A9">
        <w:rPr>
          <w:rFonts w:ascii="Franklin Gothic Book" w:eastAsia="Calibri" w:hAnsi="Franklin Gothic Book"/>
          <w:sz w:val="22"/>
          <w:szCs w:val="22"/>
          <w:lang w:eastAsia="en-US"/>
        </w:rPr>
        <w:t>the eligible population as those aged 45 years and older.</w:t>
      </w:r>
    </w:p>
    <w:p w14:paraId="33C83D82"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ESC confirmed the remaining criteria in the proposed item descriptor were appropriate, including the requirement for failure of conservative management for at least 6 months.</w:t>
      </w:r>
    </w:p>
    <w:p w14:paraId="23EC7CCB"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 xml:space="preserve">In addition, ESC advised that the item should be restricted to certain providers, as it necessitates a surgical approach that requires skill to ensure the device is placed in the correct position. ESC considered that if the device is implemented in Australia, it should be considered as part of a surgical intervention set for LSS. </w:t>
      </w:r>
    </w:p>
    <w:p w14:paraId="427C460C"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Regarding the proposed fee, ESC considered that the proposed percutaneous implantation procedure would require less time than the open procedure on which the fee is based; ESC considered that a lower cost than open surgery was reasonable for IDS if the procedure takes less time.</w:t>
      </w:r>
    </w:p>
    <w:p w14:paraId="34980D15"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ESC noted that, in the clinical care pathway, conservative care is needed for 6 months before surgical approaches (spinal fusion, or decompression with or without spinal fusion) can be undertaken. The Superion device addresses moderate LSS, which traditionally requires indirect compression surgery or a laminectomy, in a minimally invasive approach. However, ESC also noted that after the device is inserted, the disease might continue to progress to a severity that requires a laminectomy or fusion surgery, which was not reflected in the clinical management algorithm. Thus, ESC considered the clinical place of this therapy was a complex issue.</w:t>
      </w:r>
    </w:p>
    <w:p w14:paraId="483AA67C"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ESC noted that a weighted comparator of surgical decompression with or without spinal fusion was consistent with the Ratified PICO. ESC agreed with the commentary and considered that the weighting given to fusion surgery and its justification based on a single clinical expert is uncertain. ESC advised that clinical practice should determine the appropriate proportion of fusion in the comparator.</w:t>
      </w:r>
    </w:p>
    <w:p w14:paraId="0D11C44F"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In addition, ESC noted the Spine Society of Australia (SSA) had disagreed with the comparator, stating that this group of patients would not have any surgical intervention. ESC also noted that decompression is commonly performed as part of reconstruction surgery (and not in isolation) as most patients have vertebral instability, and IDS would not be indicated in these patients. ESC considered that, if this is the case, IDS may be a second-line treatment before decompression with or without surgery (i.e. bridge to surgery, rather than a replacement) therefore a more appropriate comparator may be conservative care (included in the ADAR’s supplementary analysis), or a weighted comparator comprised of conservative care and decompression with or without spinal fusion.</w:t>
      </w:r>
    </w:p>
    <w:p w14:paraId="7DA4B554"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ESC noted that the ADAR appropriately included the comparison to conservative care in the submission (in a supplementary analysis). The ADAR considered that PASC suggested this group would be a subpopulation with mild disease ineligible for surgery according to clinical practice. Rather the applicant considered that this population are those who cannot undergo surgery due to the risk of complications and extensive recovery time but will only be a small subgroup. ESC considered that due to the complexities associated with the comparator and clinical place, that this supplementary comparison may still be a relevant comparison for MSAC to consider.</w:t>
      </w:r>
    </w:p>
    <w:p w14:paraId="32CD6548"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 xml:space="preserve">ESC noted that the applicant-developed assessment report (ADAR) included six clinical trials that compared IDS separately against surgical decompression, and surgical decompression plus spinal fusion. As none of these studies included the Superion device, ESC noted the ADAR addressed this applicability concern by including a trial comparing the Superion vs. X-STOP IDS devices. The trial populations were predominantly in patients aged 40 years and over. All studies were defined for moderate LSS at one or </w:t>
      </w:r>
      <w:r w:rsidR="00EC42C0">
        <w:rPr>
          <w:rFonts w:ascii="Franklin Gothic Book" w:eastAsia="Calibri" w:hAnsi="Franklin Gothic Book"/>
          <w:sz w:val="22"/>
          <w:szCs w:val="22"/>
          <w:lang w:eastAsia="en-US"/>
        </w:rPr>
        <w:t>two</w:t>
      </w:r>
      <w:r w:rsidRPr="0007499C">
        <w:rPr>
          <w:rFonts w:ascii="Franklin Gothic Book" w:eastAsia="Calibri" w:hAnsi="Franklin Gothic Book"/>
          <w:sz w:val="22"/>
          <w:szCs w:val="22"/>
          <w:lang w:eastAsia="en-US"/>
        </w:rPr>
        <w:t xml:space="preserve"> levels and provided trial follow-up data to two years, with one providing up to five years. ESC considered that all trials had a high risk of bias in multiple domains, but acknowledged that it is a challenge to conduct a very high quality RCT comparing a minimally invasive surgery with open surgery.</w:t>
      </w:r>
    </w:p>
    <w:p w14:paraId="0CB3481C"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ESC considered the clinical claim for at least non-inferior and possibly superior safety of indirect compression with IDS compared with surgical decompression with or without fusion. Open surgery has a higher rate of complications such as infections. ESC noted the data suggested clinical conclusions of:</w:t>
      </w:r>
    </w:p>
    <w:p w14:paraId="54E2228D" w14:textId="77777777" w:rsidR="00930B23" w:rsidRPr="007D38B5" w:rsidRDefault="00930B23" w:rsidP="00FE71A9">
      <w:pPr>
        <w:pStyle w:val="ListParagraph"/>
        <w:numPr>
          <w:ilvl w:val="0"/>
          <w:numId w:val="53"/>
        </w:numPr>
        <w:spacing w:before="120" w:after="160" w:line="259" w:lineRule="auto"/>
        <w:rPr>
          <w:rFonts w:ascii="Franklin Gothic Book" w:eastAsia="Calibri" w:hAnsi="Franklin Gothic Book"/>
          <w:sz w:val="22"/>
          <w:szCs w:val="22"/>
          <w:lang w:eastAsia="en-US"/>
        </w:rPr>
      </w:pPr>
      <w:r w:rsidRPr="007D38B5">
        <w:rPr>
          <w:rFonts w:ascii="Franklin Gothic Book" w:eastAsia="Calibri" w:hAnsi="Franklin Gothic Book"/>
          <w:sz w:val="22"/>
          <w:szCs w:val="22"/>
          <w:lang w:eastAsia="en-US"/>
        </w:rPr>
        <w:t>at least non-inferior safety for IDS compared to decompression surgery alone, though no long-term safety data were presented. ESC noted that the commentary did not agree with the claim of non-inferior safety as the reoperation rate was higher (i.e. inferior) in IDS than decompression surgery alone; ESC considered that there was uncertainty around this result</w:t>
      </w:r>
    </w:p>
    <w:p w14:paraId="025466E6" w14:textId="77777777" w:rsidR="00930B23" w:rsidRPr="007D38B5" w:rsidRDefault="00930B23" w:rsidP="00FE71A9">
      <w:pPr>
        <w:pStyle w:val="ListParagraph"/>
        <w:numPr>
          <w:ilvl w:val="0"/>
          <w:numId w:val="53"/>
        </w:numPr>
        <w:spacing w:before="120" w:after="160" w:line="259" w:lineRule="auto"/>
        <w:rPr>
          <w:rFonts w:ascii="Franklin Gothic Book" w:eastAsia="Calibri" w:hAnsi="Franklin Gothic Book"/>
          <w:sz w:val="22"/>
          <w:szCs w:val="22"/>
          <w:lang w:eastAsia="en-US"/>
        </w:rPr>
      </w:pPr>
      <w:r w:rsidRPr="007D38B5">
        <w:rPr>
          <w:rFonts w:ascii="Franklin Gothic Book" w:eastAsia="Calibri" w:hAnsi="Franklin Gothic Book"/>
          <w:sz w:val="22"/>
          <w:szCs w:val="22"/>
          <w:lang w:eastAsia="en-US"/>
        </w:rPr>
        <w:t>superior safety for IDS compared to decompression surgery plus fusion surgery; however, long-term outcomes and reoperation rates were not reported</w:t>
      </w:r>
    </w:p>
    <w:p w14:paraId="7AFC39B4" w14:textId="77777777" w:rsidR="00930B23" w:rsidRPr="007D38B5" w:rsidRDefault="00930B23" w:rsidP="00FE71A9">
      <w:pPr>
        <w:pStyle w:val="ListParagraph"/>
        <w:numPr>
          <w:ilvl w:val="0"/>
          <w:numId w:val="53"/>
        </w:numPr>
        <w:spacing w:before="120" w:after="160" w:line="259" w:lineRule="auto"/>
        <w:rPr>
          <w:rFonts w:ascii="Franklin Gothic Book" w:eastAsia="Calibri" w:hAnsi="Franklin Gothic Book"/>
          <w:sz w:val="22"/>
          <w:szCs w:val="22"/>
          <w:lang w:eastAsia="en-US"/>
        </w:rPr>
      </w:pPr>
      <w:r w:rsidRPr="007D38B5">
        <w:rPr>
          <w:rFonts w:ascii="Franklin Gothic Book" w:eastAsia="Calibri" w:hAnsi="Franklin Gothic Book"/>
          <w:sz w:val="22"/>
          <w:szCs w:val="22"/>
          <w:lang w:eastAsia="en-US"/>
        </w:rPr>
        <w:t>non-inferior safety for Superion compared to X-STOP IDS devices.</w:t>
      </w:r>
    </w:p>
    <w:p w14:paraId="393E986B"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Regarding the clinical claim of non-inferior effectiveness, ESC noted that the data suggested:</w:t>
      </w:r>
    </w:p>
    <w:p w14:paraId="316A0C2D" w14:textId="77777777" w:rsidR="00930B23" w:rsidRPr="00FE71A9" w:rsidRDefault="00930B23" w:rsidP="00F20F86">
      <w:pPr>
        <w:pStyle w:val="ListParagraph"/>
        <w:numPr>
          <w:ilvl w:val="0"/>
          <w:numId w:val="54"/>
        </w:numPr>
        <w:spacing w:before="120" w:after="160" w:line="259" w:lineRule="auto"/>
        <w:rPr>
          <w:rFonts w:ascii="Franklin Gothic Book" w:eastAsia="Calibri" w:hAnsi="Franklin Gothic Book"/>
          <w:sz w:val="22"/>
          <w:szCs w:val="22"/>
          <w:lang w:eastAsia="en-US"/>
        </w:rPr>
      </w:pPr>
      <w:r w:rsidRPr="00FE71A9">
        <w:rPr>
          <w:rFonts w:ascii="Franklin Gothic Book" w:eastAsia="Calibri" w:hAnsi="Franklin Gothic Book"/>
          <w:sz w:val="22"/>
          <w:szCs w:val="22"/>
          <w:lang w:eastAsia="en-US"/>
        </w:rPr>
        <w:t xml:space="preserve">that IDS provided a numerical benefit over decompression surgery for most effectiveness outcomes, except for visual analogue scale (VAS) back and leg pain (where the results are inconsistent), ZCQ (where the results for physical function and patient satisfaction were mixed), and reoperation rates (where there is a benefit for decompression); the data also may suggest a clinical conclusion of non-inferiority with respect to clinically efficacy, </w:t>
      </w:r>
    </w:p>
    <w:p w14:paraId="4C61E2E1" w14:textId="77777777" w:rsidR="00930B23" w:rsidRPr="00FE71A9" w:rsidRDefault="00930B23" w:rsidP="00F20F86">
      <w:pPr>
        <w:pStyle w:val="ListParagraph"/>
        <w:numPr>
          <w:ilvl w:val="0"/>
          <w:numId w:val="54"/>
        </w:numPr>
        <w:spacing w:before="120" w:after="160" w:line="259" w:lineRule="auto"/>
        <w:rPr>
          <w:rFonts w:ascii="Franklin Gothic Book" w:eastAsia="Calibri" w:hAnsi="Franklin Gothic Book"/>
          <w:sz w:val="22"/>
          <w:szCs w:val="22"/>
          <w:lang w:eastAsia="en-US"/>
        </w:rPr>
      </w:pPr>
      <w:r w:rsidRPr="00FE71A9">
        <w:rPr>
          <w:rFonts w:ascii="Franklin Gothic Book" w:eastAsia="Calibri" w:hAnsi="Franklin Gothic Book"/>
          <w:sz w:val="22"/>
          <w:szCs w:val="22"/>
          <w:lang w:eastAsia="en-US"/>
        </w:rPr>
        <w:t>that IDS provides a numerical benefit over decompression plus fusion surgery for all effectiveness outcomes; the data also may suggest a clinical conclusion of non-inferiority with respect to clinical efficacy</w:t>
      </w:r>
    </w:p>
    <w:p w14:paraId="6249A4FB" w14:textId="77777777" w:rsidR="00930B23" w:rsidRPr="00FE71A9" w:rsidRDefault="00930B23" w:rsidP="00F20F86">
      <w:pPr>
        <w:pStyle w:val="ListParagraph"/>
        <w:numPr>
          <w:ilvl w:val="0"/>
          <w:numId w:val="54"/>
        </w:numPr>
        <w:spacing w:before="120" w:after="160" w:line="259" w:lineRule="auto"/>
        <w:rPr>
          <w:rFonts w:ascii="Franklin Gothic Book" w:eastAsia="Calibri" w:hAnsi="Franklin Gothic Book"/>
          <w:sz w:val="22"/>
          <w:szCs w:val="22"/>
          <w:lang w:eastAsia="en-US"/>
        </w:rPr>
      </w:pPr>
      <w:r w:rsidRPr="00FE71A9">
        <w:rPr>
          <w:rFonts w:ascii="Franklin Gothic Book" w:eastAsia="Calibri" w:hAnsi="Franklin Gothic Book"/>
          <w:sz w:val="22"/>
          <w:szCs w:val="22"/>
          <w:lang w:eastAsia="en-US"/>
        </w:rPr>
        <w:t>a clinical conclusion of non-inferiority with respect to clinical efficacy for Superion and X-STOP devices.</w:t>
      </w:r>
    </w:p>
    <w:p w14:paraId="3E4B29D2"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ESC considered that the ADAR’s clinical claim of at least non-inferior safety (possibly superior) and non-inferior efficacy may not be reasonable because reoperation rates do not support these conclusions.</w:t>
      </w:r>
    </w:p>
    <w:p w14:paraId="649021B2"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ESC considered the supplementary comparison of IDS vs. conservative care, informed from two trials. ESC considered that IDS showed superior effectiveness in all ZCQ subscales, including physical function and patient satisfaction, symptom severity and VAS back pain. IDS showed inferior safety compared to conservative care. The commentary noted that the trials were poorly reported and there was a high risk of bias for some outcomes, particularly reoperation. ESC considered that this did not change the direction of superiority, though it reduced confidence in the findings, and the economic evaluation using these data.</w:t>
      </w:r>
    </w:p>
    <w:p w14:paraId="0869A3A7"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ESC noted that the economic model for the primary analysis did not align with the Ratified PICO. PASC had advised that a cost-utility analysis (CUA) would be the most appropriate, but the ADAR provided a cost-minimisation analysis (CMA) on the basis of the non-inferiority claim and considered that quantifying the benefits associated with health-related quality of life may introduce model-related uncertainties. ESC considered that the claim of non-inferiority for safety and efficacy may not be reasonable, and therefore a CUA may be warranted. In addition, ESC considered that a CUA would be achievable as the necessary inputs for IDS versus decompression alone and decompression plus fusion surgery were available – that is, incremental costs and quality-adjusted life year (QALY) gains (for lower complications) and losses (for higher reoperation). ESC considered that the timing of QALY gains and losses should be examined, as it noted that both the IDS device and laminectomy were shown to have a statistically significant benefit at 6 months post-operation; however, while laminectomy sustained its significant benefit at 12- and 24-months post-operation, the IDS device (X-STOP) did not and appeared to have a waning effect.</w:t>
      </w:r>
    </w:p>
    <w:p w14:paraId="57B7E60E"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ESC noted the key inputs for the CMA were the rate of fusion plus decompression surgery in the eligible population and the reoperation rates, modelled over five years. The base case rate of fusion (25%) in the comparator was based on the opinion of a single clinical expert. ESC agreed with the commentary and noted that the use of fusion is variable due to clinician preference and opinion; therefore, the use of a single clinical opinion leads to high uncertainty. ESC considered that the rationale of the ADAR to not use the meta-analysis of reoperation rates provided in the clinical evidence for the economic model on the basis of heterogeneity and limited applicability was not well justified.</w:t>
      </w:r>
    </w:p>
    <w:p w14:paraId="45017D41"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ESC noted that, when compared with decompression surgery alone (i.e. laminectomy), IDS has a higher procedure cost (see Table 20). ESC also noted that when the weighting with concomitant fusion and reoperation rates are included (which include concomitant fusion), that IDS was cost saving compared with decompression weighted with concomitant fusion (see Table 21).</w:t>
      </w:r>
    </w:p>
    <w:p w14:paraId="652EFC1B" w14:textId="1054A684"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ESC also noted that the commentary included additional sensitivity analysis using the meta-analysis of reoperations due to treatment failure (rather than using the Superion IDE study). At the lower limit of reoperation rates the total cost of IDS was $1,226 less than the cost of decompression with or without spinal fusion; however, at the higher limit of reoperation rates, the total cost of IDS was $210 more. ESC also noted that as the percentage of patients who have decompression plus fusion surgery increases, the cost savings of IDS also increase, with a break-even point demonstrated at 13.6% of patients undergoing decompression plus fusion. In addition, the commentary’s sensitivity analysis using 0% concomitant fusion (i.e. decompression alone) which it considered may represent best clinical practice in the target population resulted in additional cost of $</w:t>
      </w:r>
      <w:r w:rsidR="004C2684">
        <w:rPr>
          <w:rFonts w:ascii="Franklin Gothic Book" w:eastAsia="Calibri" w:hAnsi="Franklin Gothic Book"/>
          <w:b/>
          <w:bCs/>
          <w:sz w:val="22"/>
          <w:szCs w:val="22"/>
          <w:lang w:eastAsia="en-US"/>
        </w:rPr>
        <w:t>Redacted</w:t>
      </w:r>
      <w:r w:rsidRPr="0007499C">
        <w:rPr>
          <w:rFonts w:ascii="Franklin Gothic Book" w:eastAsia="Calibri" w:hAnsi="Franklin Gothic Book"/>
          <w:sz w:val="22"/>
          <w:szCs w:val="22"/>
          <w:lang w:eastAsia="en-US"/>
        </w:rPr>
        <w:t xml:space="preserve">. Overall, ESC considered that the cost neutrality associated with the ADARs base-case model was driven by the rate of fusion in the comparator. </w:t>
      </w:r>
    </w:p>
    <w:p w14:paraId="568A7B50" w14:textId="723EDD7E"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 xml:space="preserve">In addition, ESC noted that the ADAR included a supplementary cost-utility analysis (CUA) comparing IDS to extended conservative care. The key inputs were an annualised reoperation rate of 9.5% for IDS (also used in the ADARs base case CMA model) compared to 0% for conservative care. As discussed above, ESC considered that the reoperation rates for IDS were not well justified. ESC noted the incremental cost-effectiveness ratios (ICERs) under the two alternative scenarios of revision only and when patients were assumed to undergo explantation were </w:t>
      </w:r>
      <w:r w:rsidR="004C2684">
        <w:rPr>
          <w:rFonts w:ascii="Franklin Gothic Book" w:eastAsia="Calibri" w:hAnsi="Franklin Gothic Book"/>
          <w:i/>
          <w:iCs/>
          <w:sz w:val="22"/>
          <w:szCs w:val="22"/>
        </w:rPr>
        <w:t>$1</w:t>
      </w:r>
      <w:r w:rsidR="004C2684" w:rsidRPr="00F764B9">
        <w:rPr>
          <w:rFonts w:ascii="Franklin Gothic Book" w:eastAsia="Calibri" w:hAnsi="Franklin Gothic Book"/>
          <w:i/>
          <w:iCs/>
          <w:sz w:val="22"/>
          <w:szCs w:val="22"/>
        </w:rPr>
        <w:t>5,000 to &lt;$25,000</w:t>
      </w:r>
      <w:r w:rsidRPr="0007499C">
        <w:rPr>
          <w:rFonts w:ascii="Franklin Gothic Book" w:eastAsia="Calibri" w:hAnsi="Franklin Gothic Book"/>
          <w:sz w:val="22"/>
          <w:szCs w:val="22"/>
          <w:lang w:eastAsia="en-US"/>
        </w:rPr>
        <w:t xml:space="preserve"> and </w:t>
      </w:r>
      <w:r w:rsidR="004C2684">
        <w:rPr>
          <w:rFonts w:ascii="Franklin Gothic Book" w:eastAsia="Calibri" w:hAnsi="Franklin Gothic Book"/>
          <w:i/>
          <w:iCs/>
          <w:sz w:val="22"/>
          <w:szCs w:val="22"/>
        </w:rPr>
        <w:t>$1</w:t>
      </w:r>
      <w:r w:rsidR="004C2684" w:rsidRPr="00F764B9">
        <w:rPr>
          <w:rFonts w:ascii="Franklin Gothic Book" w:eastAsia="Calibri" w:hAnsi="Franklin Gothic Book"/>
          <w:i/>
          <w:iCs/>
          <w:sz w:val="22"/>
          <w:szCs w:val="22"/>
        </w:rPr>
        <w:t>5,000 to &lt;$25,000</w:t>
      </w:r>
      <w:r w:rsidRPr="0007499C">
        <w:rPr>
          <w:rFonts w:ascii="Franklin Gothic Book" w:eastAsia="Calibri" w:hAnsi="Franklin Gothic Book"/>
          <w:sz w:val="22"/>
          <w:szCs w:val="22"/>
          <w:lang w:eastAsia="en-US"/>
        </w:rPr>
        <w:t>, respectively. ESC noted that sensitivity analysis demonstrated using alternative sources of utility inputs had a large effect on the ICER, but that these remained under $50,000 per QALY.</w:t>
      </w:r>
    </w:p>
    <w:p w14:paraId="19A98E4C" w14:textId="77777777" w:rsidR="00930B23" w:rsidRPr="0007499C" w:rsidRDefault="00930B23" w:rsidP="0007499C">
      <w:pPr>
        <w:spacing w:before="120" w:after="16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ESC noted consistent with the economic analysis, the financial estimates to the MBS (and more broadly to the to the Australian healthcare system) were sensitive to the comparator and the weighting given to fusion, and that cost savings to the MBS will be less if this lower. ESC noted cost savings were estimated to the MBS under the sensitivity analysis using the modelled cost neutral position of 13% for index fusion but queried if this scenario would align with clinical practice. In addition, ESC considered that the MBS offsets may not be realised if the comparator was conservative care or included a proportion of conservative care, where surgical approaches are not supplemented, and this increases costs without any offset.</w:t>
      </w:r>
    </w:p>
    <w:p w14:paraId="18C4B21C" w14:textId="77777777" w:rsidR="00930B23" w:rsidRPr="0007499C" w:rsidRDefault="00930B23" w:rsidP="00306C1D">
      <w:pPr>
        <w:spacing w:before="120" w:line="259" w:lineRule="auto"/>
        <w:rPr>
          <w:rFonts w:ascii="Franklin Gothic Book" w:eastAsia="Calibri" w:hAnsi="Franklin Gothic Book"/>
          <w:sz w:val="22"/>
          <w:szCs w:val="22"/>
          <w:lang w:eastAsia="en-US"/>
        </w:rPr>
      </w:pPr>
      <w:r w:rsidRPr="0007499C">
        <w:rPr>
          <w:rFonts w:ascii="Franklin Gothic Book" w:eastAsia="Calibri" w:hAnsi="Franklin Gothic Book"/>
          <w:sz w:val="22"/>
          <w:szCs w:val="22"/>
          <w:lang w:eastAsia="en-US"/>
        </w:rPr>
        <w:t>The ESC noted no consumer feedback was received for the ADAR. ESC raised consumer issues noting most primary outcomes were patient-reported outcomes and subjective. ESC noted the pre-ESC response indicated that the patient-reported efficacy outcomes already accounted for the impact of revision surgery. ESC also noted a quality issue with the evidence for IDS reoperations. The ADAR stated that 3.7% of patients who participated in a phone survey underwent revision surgery or a reoperation during a 6–12-month follow-up period. However, the ADAR noted that the low rate of revision may have been due to compliant patients with better outcomes being more likely to participate in follow-up surveys. This suggests that there may be data missing for a large group of the population who have received IDS. ESC also considered that involving affected people (i.e. consumers) to identify the outcomes of importance would improve the data.</w:t>
      </w:r>
    </w:p>
    <w:p w14:paraId="581BC9BF" w14:textId="6751B9D0" w:rsidR="00306C1D" w:rsidRPr="00306C1D" w:rsidRDefault="00306C1D" w:rsidP="00306C1D">
      <w:pPr>
        <w:keepNext/>
        <w:keepLines/>
        <w:spacing w:before="360" w:after="240"/>
        <w:outlineLvl w:val="1"/>
        <w:rPr>
          <w:rFonts w:ascii="Franklin Gothic Medium" w:eastAsia="SimSun" w:hAnsi="Franklin Gothic Medium"/>
          <w:color w:val="000000"/>
          <w:sz w:val="32"/>
          <w:szCs w:val="26"/>
          <w:lang w:eastAsia="en-US"/>
        </w:rPr>
      </w:pPr>
      <w:r w:rsidRPr="00306C1D">
        <w:rPr>
          <w:rFonts w:ascii="Franklin Gothic Medium" w:eastAsia="SimSun" w:hAnsi="Franklin Gothic Medium"/>
          <w:color w:val="000000"/>
          <w:sz w:val="32"/>
          <w:szCs w:val="26"/>
          <w:lang w:eastAsia="en-US"/>
        </w:rPr>
        <w:t>1</w:t>
      </w:r>
      <w:r>
        <w:rPr>
          <w:rFonts w:ascii="Franklin Gothic Medium" w:eastAsia="SimSun" w:hAnsi="Franklin Gothic Medium"/>
          <w:color w:val="000000"/>
          <w:sz w:val="32"/>
          <w:szCs w:val="26"/>
          <w:lang w:eastAsia="en-US"/>
        </w:rPr>
        <w:t>7</w:t>
      </w:r>
      <w:r w:rsidRPr="00306C1D">
        <w:rPr>
          <w:rFonts w:ascii="Franklin Gothic Medium" w:eastAsia="SimSun" w:hAnsi="Franklin Gothic Medium"/>
          <w:color w:val="000000"/>
          <w:sz w:val="32"/>
          <w:szCs w:val="26"/>
          <w:lang w:eastAsia="en-US"/>
        </w:rPr>
        <w:t>.</w:t>
      </w:r>
      <w:r w:rsidRPr="00306C1D">
        <w:rPr>
          <w:rFonts w:ascii="Franklin Gothic Medium" w:eastAsia="SimSun" w:hAnsi="Franklin Gothic Medium"/>
          <w:color w:val="000000"/>
          <w:sz w:val="32"/>
          <w:szCs w:val="26"/>
          <w:lang w:eastAsia="en-US"/>
        </w:rPr>
        <w:tab/>
        <w:t>Applicant comments on MSAC’s Public Summary Document</w:t>
      </w:r>
    </w:p>
    <w:p w14:paraId="00E0F7AE" w14:textId="5E864C46" w:rsidR="00DC6CCF" w:rsidRDefault="00DC6CCF" w:rsidP="00306C1D">
      <w:pPr>
        <w:spacing w:after="240"/>
        <w:rPr>
          <w:rFonts w:ascii="Franklin Gothic Book" w:hAnsi="Franklin Gothic Book"/>
          <w:sz w:val="22"/>
          <w:szCs w:val="22"/>
        </w:rPr>
      </w:pPr>
      <w:r w:rsidRPr="00083A99">
        <w:rPr>
          <w:rFonts w:ascii="Franklin Gothic Book" w:hAnsi="Franklin Gothic Book"/>
          <w:sz w:val="22"/>
          <w:szCs w:val="22"/>
        </w:rPr>
        <w:t>The applicant is disappointed with MSAC’s decision not to recommend an MBS listing for the implantation of minimally invasive interspinous decompression spacers</w:t>
      </w:r>
      <w:r w:rsidR="00083A99">
        <w:rPr>
          <w:rFonts w:ascii="Franklin Gothic Book" w:hAnsi="Franklin Gothic Book"/>
          <w:sz w:val="22"/>
          <w:szCs w:val="22"/>
        </w:rPr>
        <w:t>.</w:t>
      </w:r>
      <w:r w:rsidRPr="00083A99">
        <w:rPr>
          <w:rFonts w:ascii="Franklin Gothic Book" w:hAnsi="Franklin Gothic Book"/>
          <w:sz w:val="22"/>
          <w:szCs w:val="22"/>
        </w:rPr>
        <w:t xml:space="preserve"> </w:t>
      </w:r>
      <w:r w:rsidR="00083A99">
        <w:rPr>
          <w:rFonts w:ascii="Franklin Gothic Book" w:hAnsi="Franklin Gothic Book"/>
          <w:sz w:val="22"/>
          <w:szCs w:val="22"/>
        </w:rPr>
        <w:t>W</w:t>
      </w:r>
      <w:r w:rsidRPr="00083A99">
        <w:rPr>
          <w:rFonts w:ascii="Franklin Gothic Book" w:hAnsi="Franklin Gothic Book"/>
          <w:sz w:val="22"/>
          <w:szCs w:val="22"/>
        </w:rPr>
        <w:t xml:space="preserve">e believe there </w:t>
      </w:r>
      <w:r w:rsidR="00083A99">
        <w:rPr>
          <w:rFonts w:ascii="Franklin Gothic Book" w:hAnsi="Franklin Gothic Book"/>
          <w:sz w:val="22"/>
          <w:szCs w:val="22"/>
        </w:rPr>
        <w:t>remains</w:t>
      </w:r>
      <w:r w:rsidRPr="00083A99">
        <w:rPr>
          <w:rFonts w:ascii="Franklin Gothic Book" w:hAnsi="Franklin Gothic Book"/>
          <w:sz w:val="22"/>
          <w:szCs w:val="22"/>
        </w:rPr>
        <w:t xml:space="preserve"> a strong clinical need for non-surgical treatment options </w:t>
      </w:r>
      <w:r w:rsidR="00083A99" w:rsidRPr="00083A99">
        <w:rPr>
          <w:rFonts w:ascii="Franklin Gothic Book" w:hAnsi="Franklin Gothic Book"/>
          <w:sz w:val="22"/>
          <w:szCs w:val="22"/>
        </w:rPr>
        <w:t xml:space="preserve">for patients suffering from moderate degenerative lumbar spinal stenosis. </w:t>
      </w:r>
    </w:p>
    <w:p w14:paraId="0351E0DE" w14:textId="77777777" w:rsidR="000A2AA9" w:rsidRPr="00083A99" w:rsidRDefault="000A2AA9" w:rsidP="000A2AA9">
      <w:pPr>
        <w:pStyle w:val="CommentText"/>
        <w:rPr>
          <w:rFonts w:ascii="Franklin Gothic Book" w:hAnsi="Franklin Gothic Book"/>
          <w:sz w:val="22"/>
          <w:szCs w:val="22"/>
        </w:rPr>
      </w:pPr>
      <w:r>
        <w:rPr>
          <w:rFonts w:ascii="Franklin Gothic Book" w:hAnsi="Franklin Gothic Book"/>
          <w:sz w:val="22"/>
          <w:szCs w:val="22"/>
        </w:rPr>
        <w:t xml:space="preserve">The applicant would also like to specifically address the </w:t>
      </w:r>
      <w:r w:rsidRPr="00D56D96">
        <w:rPr>
          <w:rFonts w:ascii="Franklin Gothic Book" w:hAnsi="Franklin Gothic Book"/>
          <w:sz w:val="22"/>
          <w:szCs w:val="22"/>
        </w:rPr>
        <w:t>Spine Society of Australia (SSA)</w:t>
      </w:r>
      <w:r>
        <w:rPr>
          <w:rFonts w:ascii="Franklin Gothic Book" w:hAnsi="Franklin Gothic Book"/>
          <w:sz w:val="22"/>
          <w:szCs w:val="22"/>
        </w:rPr>
        <w:t xml:space="preserve"> comment that “</w:t>
      </w:r>
      <w:r w:rsidRPr="002B3690">
        <w:rPr>
          <w:rFonts w:ascii="Franklin Gothic Book" w:hAnsi="Franklin Gothic Book"/>
          <w:sz w:val="22"/>
          <w:szCs w:val="22"/>
        </w:rPr>
        <w:t>the proposed population too broad, as it includes patients with mild and tolerable LSS who would not warrant invasive interventions and would benefit from conservative care”</w:t>
      </w:r>
      <w:r>
        <w:rPr>
          <w:rFonts w:ascii="Franklin Gothic Book" w:hAnsi="Franklin Gothic Book"/>
          <w:sz w:val="22"/>
          <w:szCs w:val="22"/>
        </w:rPr>
        <w:t xml:space="preserve"> (page 13). We believe this statement reflects a </w:t>
      </w:r>
      <w:r w:rsidRPr="00D56D96">
        <w:rPr>
          <w:rFonts w:ascii="Franklin Gothic Book" w:hAnsi="Franklin Gothic Book"/>
          <w:sz w:val="22"/>
          <w:szCs w:val="22"/>
        </w:rPr>
        <w:t>misunderstanding / misinterpretation of the PICO by the</w:t>
      </w:r>
      <w:r>
        <w:rPr>
          <w:rFonts w:ascii="Franklin Gothic Book" w:hAnsi="Franklin Gothic Book"/>
          <w:sz w:val="22"/>
          <w:szCs w:val="22"/>
        </w:rPr>
        <w:t xml:space="preserve"> SSA. T</w:t>
      </w:r>
      <w:r w:rsidRPr="00D56D96">
        <w:rPr>
          <w:rFonts w:ascii="Franklin Gothic Book" w:hAnsi="Franklin Gothic Book"/>
          <w:sz w:val="22"/>
          <w:szCs w:val="22"/>
        </w:rPr>
        <w:t xml:space="preserve">he indication </w:t>
      </w:r>
      <w:r>
        <w:rPr>
          <w:rFonts w:ascii="Franklin Gothic Book" w:hAnsi="Franklin Gothic Book"/>
          <w:sz w:val="22"/>
          <w:szCs w:val="22"/>
        </w:rPr>
        <w:t xml:space="preserve">requested in the application consisted of patients with moderate LSS, and </w:t>
      </w:r>
      <w:r w:rsidRPr="00D56D96">
        <w:rPr>
          <w:rFonts w:ascii="Franklin Gothic Book" w:hAnsi="Franklin Gothic Book"/>
          <w:sz w:val="22"/>
          <w:szCs w:val="22"/>
        </w:rPr>
        <w:t>specifically exclude</w:t>
      </w:r>
      <w:r>
        <w:rPr>
          <w:rFonts w:ascii="Franklin Gothic Book" w:hAnsi="Franklin Gothic Book"/>
          <w:sz w:val="22"/>
          <w:szCs w:val="22"/>
        </w:rPr>
        <w:t>d patients with</w:t>
      </w:r>
      <w:r w:rsidRPr="00D56D96">
        <w:rPr>
          <w:rFonts w:ascii="Franklin Gothic Book" w:hAnsi="Franklin Gothic Book"/>
          <w:sz w:val="22"/>
          <w:szCs w:val="22"/>
        </w:rPr>
        <w:t xml:space="preserve"> mild </w:t>
      </w:r>
      <w:r>
        <w:rPr>
          <w:rFonts w:ascii="Franklin Gothic Book" w:hAnsi="Franklin Gothic Book"/>
          <w:sz w:val="22"/>
          <w:szCs w:val="22"/>
        </w:rPr>
        <w:t>LSS.</w:t>
      </w:r>
      <w:r w:rsidRPr="00D56D96">
        <w:rPr>
          <w:rFonts w:ascii="Franklin Gothic Book" w:hAnsi="Franklin Gothic Book"/>
          <w:sz w:val="22"/>
          <w:szCs w:val="22"/>
        </w:rPr>
        <w:t xml:space="preserve"> </w:t>
      </w:r>
    </w:p>
    <w:p w14:paraId="4855541F" w14:textId="0015A1E5" w:rsidR="00306C1D" w:rsidRPr="00306C1D" w:rsidRDefault="00306C1D" w:rsidP="00306C1D">
      <w:pPr>
        <w:keepNext/>
        <w:keepLines/>
        <w:spacing w:before="360" w:after="240"/>
        <w:outlineLvl w:val="1"/>
        <w:rPr>
          <w:rFonts w:ascii="Franklin Gothic Medium" w:eastAsia="SimSun" w:hAnsi="Franklin Gothic Medium"/>
          <w:color w:val="000000"/>
          <w:sz w:val="32"/>
          <w:szCs w:val="26"/>
          <w:lang w:eastAsia="en-US"/>
        </w:rPr>
      </w:pPr>
      <w:r w:rsidRPr="00306C1D">
        <w:rPr>
          <w:rFonts w:ascii="Franklin Gothic Medium" w:eastAsia="SimSun" w:hAnsi="Franklin Gothic Medium"/>
          <w:color w:val="000000"/>
          <w:sz w:val="32"/>
          <w:szCs w:val="26"/>
          <w:lang w:eastAsia="en-US"/>
        </w:rPr>
        <w:t>1</w:t>
      </w:r>
      <w:r>
        <w:rPr>
          <w:rFonts w:ascii="Franklin Gothic Medium" w:eastAsia="SimSun" w:hAnsi="Franklin Gothic Medium"/>
          <w:color w:val="000000"/>
          <w:sz w:val="32"/>
          <w:szCs w:val="26"/>
          <w:lang w:eastAsia="en-US"/>
        </w:rPr>
        <w:t>8</w:t>
      </w:r>
      <w:r w:rsidRPr="00306C1D">
        <w:rPr>
          <w:rFonts w:ascii="Franklin Gothic Medium" w:eastAsia="SimSun" w:hAnsi="Franklin Gothic Medium"/>
          <w:color w:val="000000"/>
          <w:sz w:val="32"/>
          <w:szCs w:val="26"/>
          <w:lang w:eastAsia="en-US"/>
        </w:rPr>
        <w:t>.</w:t>
      </w:r>
      <w:r w:rsidRPr="00306C1D">
        <w:rPr>
          <w:rFonts w:ascii="Franklin Gothic Medium" w:eastAsia="SimSun" w:hAnsi="Franklin Gothic Medium"/>
          <w:color w:val="000000"/>
          <w:sz w:val="32"/>
          <w:szCs w:val="26"/>
          <w:lang w:eastAsia="en-US"/>
        </w:rPr>
        <w:tab/>
        <w:t>Further information on MSAC</w:t>
      </w:r>
    </w:p>
    <w:p w14:paraId="6901128B" w14:textId="58F07634" w:rsidR="00986EC1" w:rsidRPr="00306C1D" w:rsidRDefault="00306C1D" w:rsidP="00306C1D">
      <w:pPr>
        <w:spacing w:after="240"/>
        <w:rPr>
          <w:rFonts w:ascii="Franklin Gothic Book" w:hAnsi="Franklin Gothic Book"/>
          <w:sz w:val="22"/>
          <w:szCs w:val="22"/>
        </w:rPr>
      </w:pPr>
      <w:r w:rsidRPr="00306C1D">
        <w:rPr>
          <w:rFonts w:ascii="Franklin Gothic Book" w:hAnsi="Franklin Gothic Book"/>
          <w:sz w:val="22"/>
          <w:szCs w:val="22"/>
        </w:rPr>
        <w:t xml:space="preserve">MSAC Terms of Reference and other information are available on the MSAC Website: </w:t>
      </w:r>
      <w:r w:rsidRPr="00306C1D">
        <w:rPr>
          <w:rFonts w:ascii="Franklin Gothic Book" w:hAnsi="Franklin Gothic Book"/>
          <w:sz w:val="22"/>
          <w:szCs w:val="22"/>
        </w:rPr>
        <w:br/>
      </w:r>
      <w:hyperlink r:id="rId17" w:tooltip="Link to Medical Services Advisory Committee website" w:history="1">
        <w:r w:rsidRPr="00306C1D">
          <w:rPr>
            <w:rStyle w:val="Hyperlink"/>
            <w:rFonts w:ascii="Franklin Gothic Book" w:hAnsi="Franklin Gothic Book"/>
            <w:sz w:val="22"/>
            <w:szCs w:val="22"/>
          </w:rPr>
          <w:t>visit the MSAC website</w:t>
        </w:r>
      </w:hyperlink>
    </w:p>
    <w:sectPr w:rsidR="00986EC1" w:rsidRPr="00306C1D" w:rsidSect="00342FAC">
      <w:footerReference w:type="default" r:id="rId1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EB65B" w14:textId="77777777" w:rsidR="00F764B9" w:rsidRDefault="00F764B9" w:rsidP="00065623">
      <w:r>
        <w:separator/>
      </w:r>
    </w:p>
  </w:endnote>
  <w:endnote w:type="continuationSeparator" w:id="0">
    <w:p w14:paraId="0F9D9EAA" w14:textId="77777777" w:rsidR="00F764B9" w:rsidRDefault="00F764B9" w:rsidP="00065623">
      <w:r>
        <w:continuationSeparator/>
      </w:r>
    </w:p>
  </w:endnote>
  <w:endnote w:type="continuationNotice" w:id="1">
    <w:p w14:paraId="5815BAFF" w14:textId="77777777" w:rsidR="00F764B9" w:rsidRDefault="00F76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umanist 77 7 BT">
    <w:altName w:val="Calibri"/>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773568"/>
      <w:docPartObj>
        <w:docPartGallery w:val="Page Numbers (Bottom of Page)"/>
        <w:docPartUnique/>
      </w:docPartObj>
    </w:sdtPr>
    <w:sdtEndPr>
      <w:rPr>
        <w:rFonts w:ascii="Franklin Gothic Book" w:hAnsi="Franklin Gothic Book"/>
        <w:noProof/>
      </w:rPr>
    </w:sdtEndPr>
    <w:sdtContent>
      <w:p w14:paraId="57D6A905" w14:textId="12E3F860" w:rsidR="00F764B9" w:rsidRPr="00DC2C0E" w:rsidRDefault="00F764B9">
        <w:pPr>
          <w:pStyle w:val="Footer"/>
          <w:jc w:val="right"/>
          <w:rPr>
            <w:rFonts w:ascii="Franklin Gothic Book" w:hAnsi="Franklin Gothic Book"/>
          </w:rPr>
        </w:pPr>
        <w:r w:rsidRPr="00DC2C0E">
          <w:rPr>
            <w:rFonts w:ascii="Franklin Gothic Book" w:hAnsi="Franklin Gothic Book"/>
          </w:rPr>
          <w:fldChar w:fldCharType="begin"/>
        </w:r>
        <w:r w:rsidRPr="00DC2C0E">
          <w:rPr>
            <w:rFonts w:ascii="Franklin Gothic Book" w:hAnsi="Franklin Gothic Book"/>
          </w:rPr>
          <w:instrText xml:space="preserve"> PAGE   \* MERGEFORMAT </w:instrText>
        </w:r>
        <w:r w:rsidRPr="00DC2C0E">
          <w:rPr>
            <w:rFonts w:ascii="Franklin Gothic Book" w:hAnsi="Franklin Gothic Book"/>
          </w:rPr>
          <w:fldChar w:fldCharType="separate"/>
        </w:r>
        <w:r>
          <w:rPr>
            <w:rFonts w:ascii="Franklin Gothic Book" w:hAnsi="Franklin Gothic Book"/>
            <w:noProof/>
          </w:rPr>
          <w:t>3</w:t>
        </w:r>
        <w:r w:rsidRPr="00DC2C0E">
          <w:rPr>
            <w:rFonts w:ascii="Franklin Gothic Book" w:hAnsi="Franklin Gothic Book"/>
            <w:noProof/>
          </w:rPr>
          <w:fldChar w:fldCharType="end"/>
        </w:r>
      </w:p>
    </w:sdtContent>
  </w:sdt>
  <w:p w14:paraId="611F0B18" w14:textId="77777777" w:rsidR="00F764B9" w:rsidRDefault="00F76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15E14" w14:textId="77777777" w:rsidR="00F764B9" w:rsidRDefault="00F764B9" w:rsidP="00065623">
      <w:r>
        <w:separator/>
      </w:r>
    </w:p>
  </w:footnote>
  <w:footnote w:type="continuationSeparator" w:id="0">
    <w:p w14:paraId="5A823D2C" w14:textId="77777777" w:rsidR="00F764B9" w:rsidRDefault="00F764B9" w:rsidP="00065623">
      <w:r>
        <w:continuationSeparator/>
      </w:r>
    </w:p>
  </w:footnote>
  <w:footnote w:type="continuationNotice" w:id="1">
    <w:p w14:paraId="270972C0" w14:textId="77777777" w:rsidR="00F764B9" w:rsidRDefault="00F764B9"/>
  </w:footnote>
  <w:footnote w:id="2">
    <w:p w14:paraId="1A2252E4" w14:textId="62D33A8B" w:rsidR="00F764B9" w:rsidRPr="00960E71" w:rsidRDefault="00F764B9">
      <w:pPr>
        <w:pStyle w:val="FootnoteText"/>
        <w:rPr>
          <w:rFonts w:ascii="Franklin Gothic Book" w:hAnsi="Franklin Gothic Book"/>
        </w:rPr>
      </w:pPr>
      <w:r w:rsidRPr="00960E71">
        <w:rPr>
          <w:rStyle w:val="FootnoteReference"/>
          <w:rFonts w:ascii="Franklin Gothic Book" w:hAnsi="Franklin Gothic Book"/>
        </w:rPr>
        <w:footnoteRef/>
      </w:r>
      <w:r w:rsidRPr="00960E71">
        <w:rPr>
          <w:rFonts w:ascii="Franklin Gothic Book" w:hAnsi="Franklin Gothic Book"/>
        </w:rPr>
        <w:t xml:space="preserve"> Neurogenic claudication is defined as pain, numbness and/or fatigue below the gluteal line with or without back pain (if back pain is present, leg pain is greater than back pain) that is precipitated by walking and alleviated by sitting or other posture of lumbar flexion.</w:t>
      </w:r>
    </w:p>
  </w:footnote>
  <w:footnote w:id="3">
    <w:p w14:paraId="4FC16078" w14:textId="72338B2F" w:rsidR="00F764B9" w:rsidRPr="00814C77" w:rsidRDefault="00F764B9" w:rsidP="00AB728E">
      <w:pPr>
        <w:pStyle w:val="FootnoteText"/>
        <w:rPr>
          <w:rFonts w:ascii="Franklin Gothic Book" w:hAnsi="Franklin Gothic Book"/>
        </w:rPr>
      </w:pPr>
      <w:r w:rsidRPr="00814C77">
        <w:rPr>
          <w:rStyle w:val="FootnoteReference"/>
          <w:rFonts w:ascii="Franklin Gothic Book" w:hAnsi="Franklin Gothic Book"/>
        </w:rPr>
        <w:footnoteRef/>
      </w:r>
      <w:r w:rsidRPr="00814C77">
        <w:rPr>
          <w:rFonts w:ascii="Franklin Gothic Book" w:hAnsi="Franklin Gothic Book"/>
        </w:rPr>
        <w:t xml:space="preserve"> Schizas C, Theumann N, Burn A, Tansey R, Wardlaw D, Smith FW, Kulik G. Qualitative grading of severity of lumbar spinal stenosis based on the morphology of the dural sac on magnetic resonance images. Spine (Phila Pa 1976). 2010 Oct 1;35(21):1919-24.</w:t>
      </w:r>
    </w:p>
  </w:footnote>
  <w:footnote w:id="4">
    <w:p w14:paraId="2FF61D62" w14:textId="317FAB07" w:rsidR="00F764B9" w:rsidRPr="00814C77" w:rsidRDefault="00F764B9">
      <w:pPr>
        <w:pStyle w:val="FootnoteText"/>
        <w:rPr>
          <w:rFonts w:ascii="Franklin Gothic Book" w:hAnsi="Franklin Gothic Book"/>
        </w:rPr>
      </w:pPr>
      <w:r w:rsidRPr="00814C77">
        <w:rPr>
          <w:rStyle w:val="FootnoteReference"/>
          <w:rFonts w:ascii="Franklin Gothic Book" w:hAnsi="Franklin Gothic Book"/>
        </w:rPr>
        <w:footnoteRef/>
      </w:r>
      <w:r w:rsidRPr="00814C77">
        <w:rPr>
          <w:rFonts w:ascii="Franklin Gothic Book" w:hAnsi="Franklin Gothic Book"/>
        </w:rPr>
        <w:t xml:space="preserve"> Anderson DB, Ferreira ML, Harris IA, et al. SUcceSS, SUrgery for Spinal Stenosis: protocol of a randomised, placebo controlled trial. BMJ Open 2019;9:e024944. doi:10.1136/bmjopen-2018-024944</w:t>
      </w:r>
    </w:p>
  </w:footnote>
  <w:footnote w:id="5">
    <w:p w14:paraId="510F5174" w14:textId="2325B259" w:rsidR="00F764B9" w:rsidRPr="00814C77" w:rsidRDefault="00F764B9" w:rsidP="00DF2AF3">
      <w:pPr>
        <w:pStyle w:val="FootnoteText"/>
        <w:rPr>
          <w:rFonts w:ascii="Franklin Gothic Book" w:hAnsi="Franklin Gothic Book"/>
        </w:rPr>
      </w:pPr>
      <w:r w:rsidRPr="00814C77">
        <w:rPr>
          <w:rStyle w:val="FootnoteReference"/>
          <w:rFonts w:ascii="Franklin Gothic Book" w:hAnsi="Franklin Gothic Book"/>
        </w:rPr>
        <w:footnoteRef/>
      </w:r>
      <w:r w:rsidRPr="00814C77">
        <w:rPr>
          <w:rFonts w:ascii="Franklin Gothic Book" w:hAnsi="Franklin Gothic Book"/>
        </w:rPr>
        <w:t xml:space="preserve"> </w:t>
      </w:r>
      <w:r w:rsidRPr="00235BBA">
        <w:rPr>
          <w:rFonts w:ascii="Franklin Gothic Book" w:hAnsi="Franklin Gothic Book"/>
        </w:rPr>
        <w:t>Machado GC, Ferreira PH, Yoo RIJ, Harris IA, Pinheiro MB, Koes BW, van Tulder MW, Rzewuska M, Maher CG, Ferreira ML</w:t>
      </w:r>
      <w:r>
        <w:rPr>
          <w:rFonts w:ascii="Franklin Gothic Book" w:hAnsi="Franklin Gothic Book"/>
        </w:rPr>
        <w:t xml:space="preserve"> (2016)</w:t>
      </w:r>
      <w:r w:rsidRPr="00235BBA">
        <w:rPr>
          <w:rFonts w:ascii="Franklin Gothic Book" w:hAnsi="Franklin Gothic Book"/>
        </w:rPr>
        <w:t>. Surgical options for lumbar spinal stenosis. Cochrane Database of Systematic Reviews, Issue 11. Art. No.: CD012421. DOI: 10.1002/14651858.CD012421. Accessed 20 December 2021</w:t>
      </w:r>
      <w:r>
        <w:rPr>
          <w:rFonts w:ascii="Franklin Gothic Book" w:hAnsi="Franklin Gothic Book"/>
        </w:rPr>
        <w:t>.</w:t>
      </w:r>
    </w:p>
  </w:footnote>
  <w:footnote w:id="6">
    <w:p w14:paraId="53B4A0BD" w14:textId="77777777" w:rsidR="00F764B9" w:rsidRPr="00814C77" w:rsidRDefault="00F764B9" w:rsidP="00DF2AF3">
      <w:pPr>
        <w:pStyle w:val="FootnoteText"/>
        <w:rPr>
          <w:rFonts w:ascii="Franklin Gothic Book" w:hAnsi="Franklin Gothic Book"/>
        </w:rPr>
      </w:pPr>
      <w:r w:rsidRPr="00814C77">
        <w:rPr>
          <w:rStyle w:val="FootnoteReference"/>
          <w:rFonts w:ascii="Franklin Gothic Book" w:hAnsi="Franklin Gothic Book"/>
        </w:rPr>
        <w:footnoteRef/>
      </w:r>
      <w:r w:rsidRPr="00814C77">
        <w:rPr>
          <w:rFonts w:ascii="Franklin Gothic Book" w:hAnsi="Franklin Gothic Book"/>
        </w:rPr>
        <w:t xml:space="preserve"> Zaina F, et al. (2016). Surgical versus non</w:t>
      </w:r>
      <w:r w:rsidRPr="00814C77">
        <w:rPr>
          <w:rFonts w:ascii="Cambria Math" w:hAnsi="Cambria Math" w:cs="Cambria Math"/>
        </w:rPr>
        <w:t>‐</w:t>
      </w:r>
      <w:r w:rsidRPr="00814C77">
        <w:rPr>
          <w:rFonts w:ascii="Franklin Gothic Book" w:hAnsi="Franklin Gothic Book"/>
        </w:rPr>
        <w:t>surgical treatment for lumbar spinal stenosis. Cochrane Database of Systematic Reviews, Issue 1. Art. No.: CD010264. DOI: 10.1002/14651858.CD010264.pub2</w:t>
      </w:r>
    </w:p>
  </w:footnote>
  <w:footnote w:id="7">
    <w:p w14:paraId="53874515" w14:textId="33717EE3" w:rsidR="00F764B9" w:rsidRPr="00814C77" w:rsidRDefault="00F764B9" w:rsidP="00DF2AF3">
      <w:pPr>
        <w:pStyle w:val="FootnoteText"/>
        <w:rPr>
          <w:rFonts w:ascii="Franklin Gothic Book" w:hAnsi="Franklin Gothic Book"/>
        </w:rPr>
      </w:pPr>
      <w:r w:rsidRPr="00814C77">
        <w:rPr>
          <w:rStyle w:val="FootnoteReference"/>
          <w:rFonts w:ascii="Franklin Gothic Book" w:hAnsi="Franklin Gothic Book"/>
        </w:rPr>
        <w:footnoteRef/>
      </w:r>
      <w:r w:rsidRPr="00814C77">
        <w:rPr>
          <w:rFonts w:ascii="Franklin Gothic Book" w:hAnsi="Franklin Gothic Book"/>
        </w:rPr>
        <w:t xml:space="preserve"> Delitto A, Piva SR, Moore CG, Fritz JM, Wisniewski SR, Josbeno DA, Fye M, Welch WC. Surgery versus nonsurgical treatment of lumbar spinal stenosis: a randomized trial. Ann Intern Med. 2015 Apr 7;162(7):465-73. </w:t>
      </w:r>
    </w:p>
  </w:footnote>
  <w:footnote w:id="8">
    <w:p w14:paraId="44759101" w14:textId="2910EF07" w:rsidR="00F764B9" w:rsidRPr="0007499C" w:rsidRDefault="00F764B9" w:rsidP="00986EC1">
      <w:pPr>
        <w:pStyle w:val="FootnoteText"/>
        <w:rPr>
          <w:rFonts w:ascii="Franklin Gothic Book" w:eastAsia="Calibri" w:hAnsi="Franklin Gothic Book"/>
          <w:sz w:val="18"/>
          <w:szCs w:val="18"/>
          <w:lang w:eastAsia="en-US"/>
        </w:rPr>
      </w:pPr>
      <w:r w:rsidRPr="0007499C">
        <w:rPr>
          <w:rFonts w:ascii="Franklin Gothic Book" w:eastAsia="Calibri" w:hAnsi="Franklin Gothic Book"/>
          <w:sz w:val="18"/>
          <w:szCs w:val="18"/>
          <w:lang w:eastAsia="en-US"/>
        </w:rPr>
        <w:footnoteRef/>
      </w:r>
      <w:r w:rsidRPr="0007499C">
        <w:rPr>
          <w:rFonts w:ascii="Franklin Gothic Book" w:eastAsia="Calibri" w:hAnsi="Franklin Gothic Book"/>
          <w:sz w:val="18"/>
          <w:szCs w:val="18"/>
          <w:lang w:eastAsia="en-US"/>
        </w:rPr>
        <w:t xml:space="preserve"> Deer TR et al. (2019). The MIST guidelines: the Lumbar Spinal Stenosis Consensus Group guidelines for minimally invasive spine treatment</w:t>
      </w:r>
      <w:r w:rsidRPr="0007499C">
        <w:rPr>
          <w:i/>
          <w:iCs/>
        </w:rPr>
        <w:t xml:space="preserve">. </w:t>
      </w:r>
      <w:r w:rsidRPr="0007499C">
        <w:rPr>
          <w:rFonts w:ascii="Franklin Gothic Book" w:eastAsia="Calibri" w:hAnsi="Franklin Gothic Book"/>
          <w:i/>
          <w:iCs/>
          <w:sz w:val="18"/>
          <w:szCs w:val="18"/>
          <w:lang w:eastAsia="en-US"/>
        </w:rPr>
        <w:t>Pain Practice</w:t>
      </w:r>
      <w:r w:rsidRPr="0007499C">
        <w:rPr>
          <w:rFonts w:ascii="Franklin Gothic Book" w:eastAsia="Calibri" w:hAnsi="Franklin Gothic Book"/>
          <w:sz w:val="18"/>
          <w:szCs w:val="18"/>
          <w:lang w:eastAsia="en-US"/>
        </w:rPr>
        <w:t xml:space="preserve">, </w:t>
      </w:r>
      <w:r w:rsidRPr="0007499C">
        <w:rPr>
          <w:rFonts w:ascii="Franklin Gothic Book" w:eastAsia="Calibri" w:hAnsi="Franklin Gothic Book"/>
          <w:b/>
          <w:bCs/>
          <w:sz w:val="18"/>
          <w:szCs w:val="18"/>
          <w:lang w:eastAsia="en-US"/>
        </w:rPr>
        <w:t>19</w:t>
      </w:r>
      <w:r w:rsidRPr="0007499C">
        <w:rPr>
          <w:rFonts w:ascii="Franklin Gothic Book" w:eastAsia="Calibri" w:hAnsi="Franklin Gothic Book"/>
          <w:sz w:val="18"/>
          <w:szCs w:val="18"/>
          <w:lang w:eastAsia="en-US"/>
        </w:rPr>
        <w:t>(3): 250-274.</w:t>
      </w:r>
    </w:p>
  </w:footnote>
  <w:footnote w:id="9">
    <w:p w14:paraId="22035F5F" w14:textId="433367F7" w:rsidR="00F764B9" w:rsidRPr="00BA4976" w:rsidRDefault="00F764B9">
      <w:pPr>
        <w:pStyle w:val="FootnoteText"/>
        <w:rPr>
          <w:rFonts w:ascii="Franklin Gothic Book" w:hAnsi="Franklin Gothic Book"/>
        </w:rPr>
      </w:pPr>
      <w:r w:rsidRPr="00BA4976">
        <w:rPr>
          <w:rStyle w:val="FootnoteReference"/>
          <w:rFonts w:ascii="Franklin Gothic Book" w:hAnsi="Franklin Gothic Book"/>
        </w:rPr>
        <w:footnoteRef/>
      </w:r>
      <w:r w:rsidRPr="00BA4976">
        <w:rPr>
          <w:rFonts w:ascii="Franklin Gothic Book" w:hAnsi="Franklin Gothic Book"/>
        </w:rPr>
        <w:t xml:space="preserve"> Classification of spondylolisthesis is based on the degree of shifting of one vertebral body anteriorly or posteriorly relative to an adjacent vertebral body in the spine as follows: grade 1 is shifting of &lt;25%; grade 2 is 25–50%; grade 3 is 50–75%; grade 4 is 75–100% (grade 5, spondyloptosis, is &gt;100%) (Deer et al. 2019)</w:t>
      </w:r>
    </w:p>
  </w:footnote>
  <w:footnote w:id="10">
    <w:p w14:paraId="6D48A4CF" w14:textId="7837B6A7" w:rsidR="00F764B9" w:rsidRPr="00BA4976" w:rsidRDefault="00F764B9" w:rsidP="00986EC1">
      <w:pPr>
        <w:pStyle w:val="FootnoteText"/>
        <w:rPr>
          <w:rFonts w:ascii="Franklin Gothic Book" w:hAnsi="Franklin Gothic Book"/>
          <w:lang w:val="en-US"/>
        </w:rPr>
      </w:pPr>
      <w:r w:rsidRPr="00BA4976">
        <w:rPr>
          <w:rStyle w:val="FootnoteReference"/>
          <w:rFonts w:ascii="Franklin Gothic Book" w:hAnsi="Franklin Gothic Book"/>
        </w:rPr>
        <w:footnoteRef/>
      </w:r>
      <w:r w:rsidRPr="00BA4976">
        <w:rPr>
          <w:rFonts w:ascii="Franklin Gothic Book" w:hAnsi="Franklin Gothic Book"/>
        </w:rPr>
        <w:t xml:space="preserve"> </w:t>
      </w:r>
      <w:r w:rsidRPr="00BA4976">
        <w:rPr>
          <w:rFonts w:ascii="Franklin Gothic Book" w:hAnsi="Franklin Gothic Book"/>
          <w:lang w:val="en-US"/>
        </w:rPr>
        <w:t xml:space="preserve">Equivalent to </w:t>
      </w:r>
      <w:r>
        <w:rPr>
          <w:rFonts w:ascii="Franklin Gothic Book" w:hAnsi="Franklin Gothic Book"/>
          <w:lang w:val="en-US"/>
        </w:rPr>
        <w:t>50 feet</w:t>
      </w:r>
    </w:p>
  </w:footnote>
  <w:footnote w:id="11">
    <w:p w14:paraId="16E7840D" w14:textId="77777777" w:rsidR="00F764B9" w:rsidRPr="00BA4976" w:rsidRDefault="00F764B9" w:rsidP="00986EC1">
      <w:pPr>
        <w:pStyle w:val="FootnoteText"/>
        <w:rPr>
          <w:rFonts w:ascii="Franklin Gothic Book" w:hAnsi="Franklin Gothic Book"/>
          <w:lang w:val="en-US"/>
        </w:rPr>
      </w:pPr>
      <w:r w:rsidRPr="00BA4976">
        <w:rPr>
          <w:rStyle w:val="FootnoteReference"/>
          <w:rFonts w:ascii="Franklin Gothic Book" w:hAnsi="Franklin Gothic Book"/>
        </w:rPr>
        <w:footnoteRef/>
      </w:r>
      <w:r w:rsidRPr="00BA4976">
        <w:rPr>
          <w:rFonts w:ascii="Franklin Gothic Book" w:hAnsi="Franklin Gothic Book"/>
        </w:rPr>
        <w:t xml:space="preserve"> </w:t>
      </w:r>
      <w:hyperlink r:id="rId1" w:history="1">
        <w:r w:rsidRPr="00BA4976">
          <w:rPr>
            <w:rStyle w:val="Hyperlink"/>
            <w:rFonts w:ascii="Franklin Gothic Book" w:hAnsi="Franklin Gothic Book"/>
          </w:rPr>
          <w:t>https://www.safetyandquality.gov.au/our-work/healthcare-variation/atlas-2017/atlas-2017-4-surgical-interventions</w:t>
        </w:r>
      </w:hyperlink>
      <w:r w:rsidRPr="00BA4976">
        <w:rPr>
          <w:rFonts w:ascii="Franklin Gothic Book" w:hAnsi="Franklin Gothic Book"/>
        </w:rPr>
        <w:t xml:space="preserve"> </w:t>
      </w:r>
    </w:p>
  </w:footnote>
  <w:footnote w:id="12">
    <w:p w14:paraId="55B3A02D" w14:textId="27D5267B" w:rsidR="00F764B9" w:rsidRPr="00BA4976" w:rsidRDefault="00F764B9">
      <w:pPr>
        <w:pStyle w:val="FootnoteText"/>
        <w:rPr>
          <w:rFonts w:ascii="Franklin Gothic Book" w:hAnsi="Franklin Gothic Book"/>
        </w:rPr>
      </w:pPr>
      <w:r w:rsidRPr="00BA4976">
        <w:rPr>
          <w:rStyle w:val="FootnoteReference"/>
          <w:rFonts w:ascii="Franklin Gothic Book" w:hAnsi="Franklin Gothic Book"/>
        </w:rPr>
        <w:footnoteRef/>
      </w:r>
      <w:r w:rsidRPr="00BA4976">
        <w:rPr>
          <w:rFonts w:ascii="Franklin Gothic Book" w:hAnsi="Franklin Gothic Book"/>
        </w:rPr>
        <w:t xml:space="preserve"> Deer TR et al. (2019). The MIST guidelines: the Lumbar Spinal Stenosis Consensus Group guidelines for minimally invasive spine treatment. </w:t>
      </w:r>
      <w:r w:rsidRPr="00BA4976">
        <w:rPr>
          <w:rFonts w:ascii="Franklin Gothic Book" w:hAnsi="Franklin Gothic Book"/>
          <w:i/>
          <w:iCs/>
        </w:rPr>
        <w:t>Pain Practice</w:t>
      </w:r>
      <w:r w:rsidRPr="00BA4976">
        <w:rPr>
          <w:rFonts w:ascii="Franklin Gothic Book" w:hAnsi="Franklin Gothic Book"/>
        </w:rPr>
        <w:t xml:space="preserve">, </w:t>
      </w:r>
      <w:r w:rsidRPr="00BA4976">
        <w:rPr>
          <w:rFonts w:ascii="Franklin Gothic Book" w:hAnsi="Franklin Gothic Book"/>
          <w:b/>
          <w:bCs/>
        </w:rPr>
        <w:t>19</w:t>
      </w:r>
      <w:r w:rsidRPr="00BA4976">
        <w:rPr>
          <w:rFonts w:ascii="Franklin Gothic Book" w:hAnsi="Franklin Gothic Book"/>
        </w:rPr>
        <w:t>(3): 250-274.</w:t>
      </w:r>
    </w:p>
  </w:footnote>
  <w:footnote w:id="13">
    <w:p w14:paraId="19C047E3" w14:textId="3C0D6E89" w:rsidR="00F764B9" w:rsidRPr="00BA4976" w:rsidRDefault="00F764B9" w:rsidP="00ED1F47">
      <w:pPr>
        <w:pStyle w:val="FootnoteText"/>
        <w:rPr>
          <w:rFonts w:ascii="Franklin Gothic Book" w:hAnsi="Franklin Gothic Book"/>
          <w:i/>
          <w:iCs/>
        </w:rPr>
      </w:pPr>
      <w:r w:rsidRPr="00BA4976">
        <w:rPr>
          <w:rStyle w:val="FootnoteReference"/>
          <w:rFonts w:ascii="Franklin Gothic Book" w:hAnsi="Franklin Gothic Book"/>
        </w:rPr>
        <w:footnoteRef/>
      </w:r>
      <w:r w:rsidRPr="00BA4976">
        <w:rPr>
          <w:rFonts w:ascii="Franklin Gothic Book" w:hAnsi="Franklin Gothic Book"/>
        </w:rPr>
        <w:t xml:space="preserve"> Gala RJ, Russo GS, Whang PG (2017). Interspinous implants to treat spinal stenosis</w:t>
      </w:r>
      <w:r w:rsidRPr="00BA4976">
        <w:rPr>
          <w:rFonts w:ascii="Franklin Gothic Book" w:hAnsi="Franklin Gothic Book"/>
          <w:i/>
          <w:iCs/>
        </w:rPr>
        <w:t>. Curr Rev Musculoskelet Med</w:t>
      </w:r>
      <w:r w:rsidRPr="00BA4976">
        <w:rPr>
          <w:rFonts w:ascii="Franklin Gothic Book" w:hAnsi="Franklin Gothic Book"/>
        </w:rPr>
        <w:t xml:space="preserve">, </w:t>
      </w:r>
      <w:r w:rsidRPr="00BA4976">
        <w:rPr>
          <w:rFonts w:ascii="Franklin Gothic Book" w:hAnsi="Franklin Gothic Book"/>
          <w:b/>
          <w:bCs/>
        </w:rPr>
        <w:t>10</w:t>
      </w:r>
      <w:r w:rsidRPr="00BA4976">
        <w:rPr>
          <w:rFonts w:ascii="Franklin Gothic Book" w:hAnsi="Franklin Gothic Book"/>
        </w:rPr>
        <w:t>:182-188</w:t>
      </w:r>
    </w:p>
  </w:footnote>
  <w:footnote w:id="14">
    <w:p w14:paraId="45D87197" w14:textId="769A8354" w:rsidR="00F764B9" w:rsidRPr="00BA4976" w:rsidRDefault="00F764B9">
      <w:pPr>
        <w:pStyle w:val="FootnoteText"/>
        <w:rPr>
          <w:rFonts w:ascii="Franklin Gothic Book" w:hAnsi="Franklin Gothic Book"/>
        </w:rPr>
      </w:pPr>
      <w:r w:rsidRPr="00BA4976">
        <w:rPr>
          <w:rStyle w:val="FootnoteReference"/>
          <w:rFonts w:ascii="Franklin Gothic Book" w:hAnsi="Franklin Gothic Book"/>
        </w:rPr>
        <w:footnoteRef/>
      </w:r>
      <w:r w:rsidRPr="00BA4976">
        <w:rPr>
          <w:rFonts w:ascii="Franklin Gothic Book" w:hAnsi="Franklin Gothic Book"/>
        </w:rPr>
        <w:t xml:space="preserve"> Lønne G, et al. (2015). Comparing Cost-effectiveness of X-Stop With Minimally Invasive Decompression in Lumbar Spinal Stenosis. </w:t>
      </w:r>
      <w:r w:rsidRPr="00BA4976">
        <w:rPr>
          <w:rFonts w:ascii="Franklin Gothic Book" w:hAnsi="Franklin Gothic Book"/>
          <w:i/>
          <w:iCs/>
        </w:rPr>
        <w:t>Spine</w:t>
      </w:r>
      <w:r w:rsidRPr="00BA4976">
        <w:rPr>
          <w:rFonts w:ascii="Franklin Gothic Book" w:hAnsi="Franklin Gothic Book"/>
        </w:rPr>
        <w:t xml:space="preserve">, </w:t>
      </w:r>
      <w:r w:rsidRPr="00BA4976">
        <w:rPr>
          <w:rFonts w:ascii="Franklin Gothic Book" w:hAnsi="Franklin Gothic Book"/>
          <w:b/>
          <w:bCs/>
        </w:rPr>
        <w:t>40</w:t>
      </w:r>
      <w:r w:rsidRPr="00BA4976">
        <w:rPr>
          <w:rFonts w:ascii="Franklin Gothic Book" w:hAnsi="Franklin Gothic Book"/>
        </w:rPr>
        <w:t>(8): 514-520.</w:t>
      </w:r>
    </w:p>
  </w:footnote>
  <w:footnote w:id="15">
    <w:p w14:paraId="12B6DC0B" w14:textId="4C2C0603" w:rsidR="00F764B9" w:rsidRPr="00BA4976" w:rsidRDefault="00F764B9">
      <w:pPr>
        <w:pStyle w:val="FootnoteText"/>
        <w:rPr>
          <w:rFonts w:ascii="Franklin Gothic Book" w:hAnsi="Franklin Gothic Book"/>
        </w:rPr>
      </w:pPr>
      <w:r w:rsidRPr="00BA4976">
        <w:rPr>
          <w:rStyle w:val="FootnoteReference"/>
          <w:rFonts w:ascii="Franklin Gothic Book" w:hAnsi="Franklin Gothic Book"/>
        </w:rPr>
        <w:footnoteRef/>
      </w:r>
      <w:r w:rsidRPr="00BA4976">
        <w:rPr>
          <w:rFonts w:ascii="Franklin Gothic Book" w:hAnsi="Franklin Gothic Book"/>
        </w:rPr>
        <w:t xml:space="preserve"> Moojen WA et al. (2015) IPD without bony decompression versus conventional surgical decompression for lumbar spinal stenosis: 2-year results of a double-blind randomized controlled trial. </w:t>
      </w:r>
      <w:r w:rsidRPr="00BA4976">
        <w:rPr>
          <w:rFonts w:ascii="Franklin Gothic Book" w:hAnsi="Franklin Gothic Book"/>
          <w:i/>
          <w:iCs/>
        </w:rPr>
        <w:t>Eur Spine J</w:t>
      </w:r>
      <w:r w:rsidRPr="00BA4976">
        <w:rPr>
          <w:rFonts w:ascii="Franklin Gothic Book" w:hAnsi="Franklin Gothic Book"/>
        </w:rPr>
        <w:t xml:space="preserve">, </w:t>
      </w:r>
      <w:r w:rsidRPr="00BA4976">
        <w:rPr>
          <w:rFonts w:ascii="Franklin Gothic Book" w:hAnsi="Franklin Gothic Book"/>
          <w:b/>
          <w:bCs/>
        </w:rPr>
        <w:t>24</w:t>
      </w:r>
      <w:r w:rsidRPr="00BA4976">
        <w:rPr>
          <w:rFonts w:ascii="Franklin Gothic Book" w:hAnsi="Franklin Gothic Book"/>
        </w:rPr>
        <w:t>:2295–2305.</w:t>
      </w:r>
    </w:p>
  </w:footnote>
  <w:footnote w:id="16">
    <w:p w14:paraId="69E2726C" w14:textId="4349B533" w:rsidR="00F764B9" w:rsidRPr="00BA4976" w:rsidRDefault="00F764B9">
      <w:pPr>
        <w:pStyle w:val="FootnoteText"/>
        <w:rPr>
          <w:rFonts w:ascii="Franklin Gothic Book" w:hAnsi="Franklin Gothic Book"/>
        </w:rPr>
      </w:pPr>
      <w:r w:rsidRPr="00BA4976">
        <w:rPr>
          <w:rStyle w:val="FootnoteReference"/>
          <w:rFonts w:ascii="Franklin Gothic Book" w:hAnsi="Franklin Gothic Book"/>
        </w:rPr>
        <w:footnoteRef/>
      </w:r>
      <w:r w:rsidRPr="00BA4976">
        <w:rPr>
          <w:rFonts w:ascii="Franklin Gothic Book" w:hAnsi="Franklin Gothic Book"/>
        </w:rPr>
        <w:t xml:space="preserve"> Strömqvist B et al. (2013). X-Stop Versus Decompressive Surgery for Lumbar Neurogenic Intermittent Claudication. </w:t>
      </w:r>
      <w:r w:rsidRPr="00BA4976">
        <w:rPr>
          <w:rFonts w:ascii="Franklin Gothic Book" w:hAnsi="Franklin Gothic Book"/>
          <w:i/>
          <w:iCs/>
        </w:rPr>
        <w:t>Spine</w:t>
      </w:r>
      <w:r w:rsidRPr="00BA4976">
        <w:rPr>
          <w:rFonts w:ascii="Franklin Gothic Book" w:hAnsi="Franklin Gothic Book"/>
        </w:rPr>
        <w:t xml:space="preserve">, </w:t>
      </w:r>
      <w:r w:rsidRPr="00BA4976">
        <w:rPr>
          <w:rFonts w:ascii="Franklin Gothic Book" w:hAnsi="Franklin Gothic Book"/>
          <w:b/>
          <w:bCs/>
        </w:rPr>
        <w:t>38</w:t>
      </w:r>
      <w:r w:rsidRPr="00BA4976">
        <w:rPr>
          <w:rFonts w:ascii="Franklin Gothic Book" w:hAnsi="Franklin Gothic Book"/>
        </w:rPr>
        <w:t>(17): 1436-1442.</w:t>
      </w:r>
    </w:p>
  </w:footnote>
  <w:footnote w:id="17">
    <w:p w14:paraId="06B53F19" w14:textId="1CB3AD78" w:rsidR="00F764B9" w:rsidRPr="00BA4976" w:rsidRDefault="00F764B9">
      <w:pPr>
        <w:pStyle w:val="FootnoteText"/>
        <w:rPr>
          <w:rFonts w:ascii="Franklin Gothic Book" w:hAnsi="Franklin Gothic Book"/>
        </w:rPr>
      </w:pPr>
      <w:r w:rsidRPr="00BA4976">
        <w:rPr>
          <w:rStyle w:val="FootnoteReference"/>
          <w:rFonts w:ascii="Franklin Gothic Book" w:hAnsi="Franklin Gothic Book"/>
        </w:rPr>
        <w:footnoteRef/>
      </w:r>
      <w:r w:rsidRPr="00BA4976">
        <w:rPr>
          <w:rFonts w:ascii="Franklin Gothic Book" w:hAnsi="Franklin Gothic Book"/>
        </w:rPr>
        <w:t xml:space="preserve"> Meyer B et al. (2018). Percutaneous Interspinous Spacer vs Decompression in Patients with Neurogenic Claudication: An Alternative in Selected Patients? </w:t>
      </w:r>
      <w:r w:rsidRPr="00BA4976">
        <w:rPr>
          <w:rFonts w:ascii="Franklin Gothic Book" w:hAnsi="Franklin Gothic Book"/>
          <w:i/>
          <w:iCs/>
        </w:rPr>
        <w:t>Neurosurgery</w:t>
      </w:r>
      <w:r w:rsidRPr="00BA4976">
        <w:rPr>
          <w:rFonts w:ascii="Franklin Gothic Book" w:hAnsi="Franklin Gothic Book"/>
        </w:rPr>
        <w:t xml:space="preserve">, </w:t>
      </w:r>
      <w:r w:rsidRPr="00BA4976">
        <w:rPr>
          <w:rFonts w:ascii="Franklin Gothic Book" w:hAnsi="Franklin Gothic Book"/>
          <w:b/>
          <w:bCs/>
        </w:rPr>
        <w:t>82</w:t>
      </w:r>
      <w:r w:rsidRPr="00BA4976">
        <w:rPr>
          <w:rFonts w:ascii="Franklin Gothic Book" w:hAnsi="Franklin Gothic Book"/>
        </w:rPr>
        <w:t>(5): 621-629.</w:t>
      </w:r>
    </w:p>
  </w:footnote>
  <w:footnote w:id="18">
    <w:p w14:paraId="2B4EC0F3" w14:textId="4C4AA317" w:rsidR="00F764B9" w:rsidRPr="00BA4976" w:rsidRDefault="00F764B9">
      <w:pPr>
        <w:pStyle w:val="FootnoteText"/>
        <w:rPr>
          <w:rFonts w:ascii="Franklin Gothic Book" w:hAnsi="Franklin Gothic Book"/>
        </w:rPr>
      </w:pPr>
      <w:r w:rsidRPr="00BA4976">
        <w:rPr>
          <w:rStyle w:val="FootnoteReference"/>
          <w:rFonts w:ascii="Franklin Gothic Book" w:hAnsi="Franklin Gothic Book"/>
        </w:rPr>
        <w:footnoteRef/>
      </w:r>
      <w:r w:rsidRPr="00BA4976">
        <w:rPr>
          <w:rFonts w:ascii="Franklin Gothic Book" w:hAnsi="Franklin Gothic Book"/>
        </w:rPr>
        <w:t xml:space="preserve"> Borg A et al (2021). A randomized controlled trial of the X-STOP interspinous distractor device versus laminectomy for lumbar spinal stenosis with 2-year quality-of-life and cost-effectiveness outcomes. </w:t>
      </w:r>
      <w:r w:rsidRPr="00BA4976">
        <w:rPr>
          <w:rFonts w:ascii="Franklin Gothic Book" w:hAnsi="Franklin Gothic Book"/>
          <w:i/>
          <w:iCs/>
        </w:rPr>
        <w:t>J Neurosurg Spine</w:t>
      </w:r>
      <w:r w:rsidRPr="00BA4976">
        <w:rPr>
          <w:rFonts w:ascii="Franklin Gothic Book" w:hAnsi="Franklin Gothic Book"/>
        </w:rPr>
        <w:t xml:space="preserve">, 2021 Feb </w:t>
      </w:r>
      <w:r w:rsidRPr="00BA4976">
        <w:rPr>
          <w:rFonts w:ascii="Franklin Gothic Book" w:hAnsi="Franklin Gothic Book"/>
          <w:b/>
          <w:bCs/>
        </w:rPr>
        <w:t>2</w:t>
      </w:r>
      <w:r w:rsidRPr="00BA4976">
        <w:rPr>
          <w:rFonts w:ascii="Franklin Gothic Book" w:hAnsi="Franklin Gothic Book"/>
        </w:rPr>
        <w:t>:1-9.</w:t>
      </w:r>
    </w:p>
  </w:footnote>
  <w:footnote w:id="19">
    <w:p w14:paraId="024AEA78" w14:textId="6528D157" w:rsidR="00F764B9" w:rsidRPr="00BA4976" w:rsidRDefault="00F764B9">
      <w:pPr>
        <w:pStyle w:val="FootnoteText"/>
        <w:rPr>
          <w:rFonts w:ascii="Franklin Gothic Book" w:hAnsi="Franklin Gothic Book"/>
        </w:rPr>
      </w:pPr>
      <w:r w:rsidRPr="00BA4976">
        <w:rPr>
          <w:rStyle w:val="FootnoteReference"/>
          <w:rFonts w:ascii="Franklin Gothic Book" w:hAnsi="Franklin Gothic Book"/>
        </w:rPr>
        <w:footnoteRef/>
      </w:r>
      <w:r w:rsidRPr="00BA4976">
        <w:rPr>
          <w:rFonts w:ascii="Franklin Gothic Book" w:hAnsi="Franklin Gothic Book"/>
        </w:rPr>
        <w:t xml:space="preserve"> Azzazi A, Elhawary Y (2010). Dynamic Stabilization Using X-STOP Versus Transpedicular Screw Fixation in the Treatment of Lumbar Canal Stenosis; Comparative Study of the Clinical Outcome. </w:t>
      </w:r>
      <w:r w:rsidRPr="00BA4976">
        <w:rPr>
          <w:rFonts w:ascii="Franklin Gothic Book" w:hAnsi="Franklin Gothic Book"/>
          <w:i/>
          <w:iCs/>
        </w:rPr>
        <w:t>Neurosurgery Quarterly</w:t>
      </w:r>
      <w:r w:rsidRPr="00BA4976">
        <w:rPr>
          <w:rFonts w:ascii="Franklin Gothic Book" w:hAnsi="Franklin Gothic Book"/>
        </w:rPr>
        <w:t>, 20(3): 165-169.</w:t>
      </w:r>
    </w:p>
  </w:footnote>
  <w:footnote w:id="20">
    <w:p w14:paraId="5F18C08C" w14:textId="435A1EC2" w:rsidR="00F764B9" w:rsidRPr="00BA4976" w:rsidRDefault="00F764B9">
      <w:pPr>
        <w:pStyle w:val="FootnoteText"/>
        <w:rPr>
          <w:rFonts w:ascii="Franklin Gothic Book" w:hAnsi="Franklin Gothic Book"/>
        </w:rPr>
      </w:pPr>
      <w:r w:rsidRPr="00BA4976">
        <w:rPr>
          <w:rStyle w:val="FootnoteReference"/>
          <w:rFonts w:ascii="Franklin Gothic Book" w:hAnsi="Franklin Gothic Book"/>
        </w:rPr>
        <w:footnoteRef/>
      </w:r>
      <w:r w:rsidRPr="00BA4976">
        <w:rPr>
          <w:rFonts w:ascii="Franklin Gothic Book" w:hAnsi="Franklin Gothic Book"/>
        </w:rPr>
        <w:t xml:space="preserve"> Patel VV et al. (2015a). Superion Interspinous Process Spacer for Intermittent Neurogenic Claudication Secondary to Moderate Lumbar Spinal Stenosis: Two-Year Results from a Randomized Controlled FDA-IDE Pivotal Trial. </w:t>
      </w:r>
      <w:r w:rsidRPr="00BA4976">
        <w:rPr>
          <w:rFonts w:ascii="Franklin Gothic Book" w:hAnsi="Franklin Gothic Book"/>
          <w:i/>
          <w:iCs/>
        </w:rPr>
        <w:t>Spine</w:t>
      </w:r>
      <w:r w:rsidRPr="00BA4976">
        <w:rPr>
          <w:rFonts w:ascii="Franklin Gothic Book" w:hAnsi="Franklin Gothic Book"/>
        </w:rPr>
        <w:t xml:space="preserve">, </w:t>
      </w:r>
      <w:r w:rsidRPr="00BA4976">
        <w:rPr>
          <w:rFonts w:ascii="Franklin Gothic Book" w:hAnsi="Franklin Gothic Book"/>
          <w:b/>
          <w:bCs/>
        </w:rPr>
        <w:t>40</w:t>
      </w:r>
      <w:r w:rsidRPr="00BA4976">
        <w:rPr>
          <w:rFonts w:ascii="Franklin Gothic Book" w:hAnsi="Franklin Gothic Book"/>
        </w:rPr>
        <w:t>(5), 275-282.</w:t>
      </w:r>
    </w:p>
  </w:footnote>
  <w:footnote w:id="21">
    <w:p w14:paraId="55331761" w14:textId="38559266" w:rsidR="00F764B9" w:rsidRPr="00BA4976" w:rsidRDefault="00F764B9">
      <w:pPr>
        <w:pStyle w:val="FootnoteText"/>
        <w:rPr>
          <w:rFonts w:ascii="Franklin Gothic Book" w:hAnsi="Franklin Gothic Book"/>
        </w:rPr>
      </w:pPr>
      <w:r w:rsidRPr="00BA4976">
        <w:rPr>
          <w:rStyle w:val="FootnoteReference"/>
          <w:rFonts w:ascii="Franklin Gothic Book" w:hAnsi="Franklin Gothic Book"/>
        </w:rPr>
        <w:footnoteRef/>
      </w:r>
      <w:r w:rsidRPr="00BA4976">
        <w:rPr>
          <w:rFonts w:ascii="Franklin Gothic Book" w:hAnsi="Franklin Gothic Book"/>
        </w:rPr>
        <w:t xml:space="preserve"> Zucherman JF et al. (2005). A multicenter, prospective, randomized trial evaluating the X STOP interspinous process decompression system for the treatment of neurogenic intermittent claudication: Two-year follow-up results. </w:t>
      </w:r>
      <w:r w:rsidRPr="00BA4976">
        <w:rPr>
          <w:rFonts w:ascii="Franklin Gothic Book" w:hAnsi="Franklin Gothic Book"/>
          <w:i/>
          <w:iCs/>
        </w:rPr>
        <w:t>Spine</w:t>
      </w:r>
      <w:r w:rsidRPr="00BA4976">
        <w:rPr>
          <w:rFonts w:ascii="Franklin Gothic Book" w:hAnsi="Franklin Gothic Book"/>
        </w:rPr>
        <w:t xml:space="preserve">, </w:t>
      </w:r>
      <w:r w:rsidRPr="00BA4976">
        <w:rPr>
          <w:rFonts w:ascii="Franklin Gothic Book" w:hAnsi="Franklin Gothic Book"/>
          <w:b/>
          <w:bCs/>
        </w:rPr>
        <w:t>30</w:t>
      </w:r>
      <w:r w:rsidRPr="00BA4976">
        <w:rPr>
          <w:rFonts w:ascii="Franklin Gothic Book" w:hAnsi="Franklin Gothic Book"/>
        </w:rPr>
        <w:t>(12), 1351-1358.</w:t>
      </w:r>
    </w:p>
  </w:footnote>
  <w:footnote w:id="22">
    <w:p w14:paraId="520889B2" w14:textId="21DF928C" w:rsidR="00F764B9" w:rsidRPr="00BA4976" w:rsidRDefault="00F764B9">
      <w:pPr>
        <w:pStyle w:val="FootnoteText"/>
        <w:rPr>
          <w:rFonts w:ascii="Franklin Gothic Book" w:hAnsi="Franklin Gothic Book"/>
        </w:rPr>
      </w:pPr>
      <w:r w:rsidRPr="00BA4976">
        <w:rPr>
          <w:rStyle w:val="FootnoteReference"/>
          <w:rFonts w:ascii="Franklin Gothic Book" w:hAnsi="Franklin Gothic Book"/>
        </w:rPr>
        <w:footnoteRef/>
      </w:r>
      <w:r w:rsidRPr="00BA4976">
        <w:rPr>
          <w:rFonts w:ascii="Franklin Gothic Book" w:hAnsi="Franklin Gothic Book"/>
        </w:rPr>
        <w:t xml:space="preserve"> Puzzilli F et al. (2014). Interspinous spacer decompression (X-STOP) for lumbar spinal stenosis and degenerative disk disease: A multicenter study with a minimum 3-year follow-up</w:t>
      </w:r>
      <w:r w:rsidRPr="00BA4976">
        <w:rPr>
          <w:rFonts w:ascii="Franklin Gothic Book" w:hAnsi="Franklin Gothic Book"/>
          <w:i/>
          <w:iCs/>
        </w:rPr>
        <w:t>. Clinical Neurology and Neurosurgery</w:t>
      </w:r>
      <w:r w:rsidRPr="00BA4976">
        <w:rPr>
          <w:rFonts w:ascii="Franklin Gothic Book" w:hAnsi="Franklin Gothic Book"/>
        </w:rPr>
        <w:t xml:space="preserve">, </w:t>
      </w:r>
      <w:r w:rsidRPr="00BA4976">
        <w:rPr>
          <w:rFonts w:ascii="Franklin Gothic Book" w:hAnsi="Franklin Gothic Book"/>
          <w:b/>
          <w:bCs/>
        </w:rPr>
        <w:t>124</w:t>
      </w:r>
      <w:r w:rsidRPr="00BA4976">
        <w:rPr>
          <w:rFonts w:ascii="Franklin Gothic Book" w:hAnsi="Franklin Gothic Book"/>
        </w:rPr>
        <w:t>: 166-174.</w:t>
      </w:r>
    </w:p>
  </w:footnote>
  <w:footnote w:id="23">
    <w:p w14:paraId="26FD0AD3" w14:textId="2E34242E" w:rsidR="00F764B9" w:rsidRPr="00BA4976" w:rsidRDefault="00F764B9">
      <w:pPr>
        <w:pStyle w:val="FootnoteText"/>
        <w:rPr>
          <w:rFonts w:ascii="Franklin Gothic Book" w:hAnsi="Franklin Gothic Book"/>
        </w:rPr>
      </w:pPr>
      <w:r w:rsidRPr="00BA4976">
        <w:rPr>
          <w:rStyle w:val="FootnoteReference"/>
          <w:rFonts w:ascii="Franklin Gothic Book" w:hAnsi="Franklin Gothic Book"/>
        </w:rPr>
        <w:footnoteRef/>
      </w:r>
      <w:r w:rsidRPr="00BA4976">
        <w:rPr>
          <w:rFonts w:ascii="Franklin Gothic Book" w:hAnsi="Franklin Gothic Book"/>
        </w:rPr>
        <w:t xml:space="preserve"> Deyo RA, et al. (2013). Interspinous spacers compared with decompression or fusion for lumbar stenosis: complications and repeat operations in the Medicare population. </w:t>
      </w:r>
      <w:r w:rsidRPr="00BA4976">
        <w:rPr>
          <w:rFonts w:ascii="Franklin Gothic Book" w:hAnsi="Franklin Gothic Book"/>
          <w:i/>
          <w:iCs/>
        </w:rPr>
        <w:t>Spine</w:t>
      </w:r>
      <w:r w:rsidRPr="00BA4976">
        <w:rPr>
          <w:rFonts w:ascii="Franklin Gothic Book" w:hAnsi="Franklin Gothic Book"/>
        </w:rPr>
        <w:t xml:space="preserve">, </w:t>
      </w:r>
      <w:r w:rsidRPr="00BA4976">
        <w:rPr>
          <w:rFonts w:ascii="Franklin Gothic Book" w:hAnsi="Franklin Gothic Book"/>
          <w:b/>
          <w:bCs/>
        </w:rPr>
        <w:t>38</w:t>
      </w:r>
      <w:r w:rsidRPr="00BA4976">
        <w:rPr>
          <w:rFonts w:ascii="Franklin Gothic Book" w:hAnsi="Franklin Gothic Book"/>
        </w:rPr>
        <w:t>(10): 865-872.</w:t>
      </w:r>
    </w:p>
  </w:footnote>
  <w:footnote w:id="24">
    <w:p w14:paraId="371ADA5E" w14:textId="3D474064" w:rsidR="00F764B9" w:rsidRDefault="00F764B9">
      <w:pPr>
        <w:pStyle w:val="FootnoteText"/>
      </w:pPr>
      <w:r w:rsidRPr="00BA4976">
        <w:rPr>
          <w:rStyle w:val="FootnoteReference"/>
          <w:rFonts w:ascii="Franklin Gothic Book" w:hAnsi="Franklin Gothic Book"/>
        </w:rPr>
        <w:footnoteRef/>
      </w:r>
      <w:r w:rsidRPr="00BA4976">
        <w:rPr>
          <w:rFonts w:ascii="Franklin Gothic Book" w:hAnsi="Franklin Gothic Book"/>
        </w:rPr>
        <w:t xml:space="preserve"> Australian Commission on Safety and Quality in Health Care </w:t>
      </w:r>
      <w:r w:rsidRPr="00BA4976">
        <w:rPr>
          <w:rFonts w:ascii="Franklin Gothic Book" w:hAnsi="Franklin Gothic Book"/>
          <w:bCs/>
          <w:iCs/>
        </w:rPr>
        <w:t>(ACSQHC)</w:t>
      </w:r>
      <w:r w:rsidRPr="00BA4976">
        <w:rPr>
          <w:rFonts w:ascii="Franklin Gothic Book" w:hAnsi="Franklin Gothic Book"/>
        </w:rPr>
        <w:t xml:space="preserve"> 2017. </w:t>
      </w:r>
      <w:hyperlink r:id="rId2" w:history="1">
        <w:r w:rsidRPr="00BA4976">
          <w:rPr>
            <w:rStyle w:val="Hyperlink"/>
            <w:rFonts w:ascii="Franklin Gothic Book" w:hAnsi="Franklin Gothic Book"/>
          </w:rPr>
          <w:t>The second Australian atlas of healthcare variation</w:t>
        </w:r>
      </w:hyperlink>
      <w:r w:rsidRPr="00BA4976">
        <w:rPr>
          <w:rFonts w:ascii="Franklin Gothic Book" w:hAnsi="Franklin Gothic Book"/>
        </w:rPr>
        <w:t>, viewed 28 February 2021.</w:t>
      </w:r>
    </w:p>
  </w:footnote>
  <w:footnote w:id="25">
    <w:p w14:paraId="1F44F46A" w14:textId="661925BD" w:rsidR="00F764B9" w:rsidRPr="00BA4976" w:rsidRDefault="00F764B9">
      <w:pPr>
        <w:pStyle w:val="FootnoteText"/>
        <w:rPr>
          <w:rFonts w:ascii="Franklin Gothic Book" w:hAnsi="Franklin Gothic Book"/>
        </w:rPr>
      </w:pPr>
      <w:r w:rsidRPr="00BA4976">
        <w:rPr>
          <w:rStyle w:val="FootnoteReference"/>
          <w:rFonts w:ascii="Franklin Gothic Book" w:hAnsi="Franklin Gothic Book"/>
        </w:rPr>
        <w:footnoteRef/>
      </w:r>
      <w:r w:rsidRPr="00BA4976">
        <w:rPr>
          <w:rFonts w:ascii="Franklin Gothic Book" w:hAnsi="Franklin Gothic Book"/>
        </w:rPr>
        <w:t xml:space="preserve"> </w:t>
      </w:r>
      <w:r w:rsidRPr="00BA4976">
        <w:rPr>
          <w:rFonts w:ascii="Franklin Gothic Book" w:hAnsi="Franklin Gothic Book"/>
          <w:iCs/>
        </w:rPr>
        <w:t xml:space="preserve">Bussieres A, et al. (2021) Non-surgical interventions for lumbar spinal stenosis leading to neurogenic claudication: A clinical practice guideline. </w:t>
      </w:r>
      <w:r w:rsidRPr="00BA4976">
        <w:rPr>
          <w:rFonts w:ascii="Franklin Gothic Book" w:hAnsi="Franklin Gothic Book"/>
          <w:i/>
        </w:rPr>
        <w:t>J Pain</w:t>
      </w:r>
      <w:r w:rsidRPr="00BA4976">
        <w:rPr>
          <w:rFonts w:ascii="Franklin Gothic Book" w:hAnsi="Franklin Gothic Book"/>
          <w:iCs/>
        </w:rPr>
        <w:t xml:space="preserve">, </w:t>
      </w:r>
      <w:r w:rsidRPr="00BA4976">
        <w:rPr>
          <w:rFonts w:ascii="Franklin Gothic Book" w:hAnsi="Franklin Gothic Book"/>
          <w:b/>
          <w:bCs/>
          <w:iCs/>
        </w:rPr>
        <w:t>12</w:t>
      </w:r>
      <w:r w:rsidRPr="00BA4976">
        <w:rPr>
          <w:rFonts w:ascii="Franklin Gothic Book" w:hAnsi="Franklin Gothic Book"/>
          <w:iCs/>
        </w:rPr>
        <w:t>:S1526-5900(21)00188-7</w:t>
      </w:r>
    </w:p>
  </w:footnote>
  <w:footnote w:id="26">
    <w:p w14:paraId="22A373E3" w14:textId="28F8EE95" w:rsidR="00F764B9" w:rsidRPr="00BA4976" w:rsidRDefault="00F764B9">
      <w:pPr>
        <w:pStyle w:val="FootnoteText"/>
        <w:rPr>
          <w:rFonts w:ascii="Franklin Gothic Book" w:hAnsi="Franklin Gothic Book"/>
        </w:rPr>
      </w:pPr>
      <w:r w:rsidRPr="00BA4976">
        <w:rPr>
          <w:rStyle w:val="FootnoteReference"/>
          <w:rFonts w:ascii="Franklin Gothic Book" w:hAnsi="Franklin Gothic Book"/>
        </w:rPr>
        <w:footnoteRef/>
      </w:r>
      <w:r w:rsidRPr="00BA4976">
        <w:rPr>
          <w:rFonts w:ascii="Franklin Gothic Book" w:hAnsi="Franklin Gothic Book"/>
        </w:rPr>
        <w:t xml:space="preserve"> Skidmore G, et al. (2011). Cost-effectiveness of the X-STOP® interspinous spacer for lumbar spinal stenosis. </w:t>
      </w:r>
      <w:r w:rsidRPr="00BA4976">
        <w:rPr>
          <w:rFonts w:ascii="Franklin Gothic Book" w:hAnsi="Franklin Gothic Book"/>
          <w:i/>
          <w:iCs/>
        </w:rPr>
        <w:t>Spine</w:t>
      </w:r>
      <w:r w:rsidRPr="00BA4976">
        <w:rPr>
          <w:rFonts w:ascii="Franklin Gothic Book" w:hAnsi="Franklin Gothic Book"/>
        </w:rPr>
        <w:t xml:space="preserve">, </w:t>
      </w:r>
      <w:r w:rsidRPr="00BA4976">
        <w:rPr>
          <w:rFonts w:ascii="Franklin Gothic Book" w:hAnsi="Franklin Gothic Book"/>
          <w:b/>
          <w:bCs/>
        </w:rPr>
        <w:t>36</w:t>
      </w:r>
      <w:r w:rsidRPr="00BA4976">
        <w:rPr>
          <w:rFonts w:ascii="Franklin Gothic Book" w:hAnsi="Franklin Gothic Book"/>
        </w:rPr>
        <w:t>(5): E345-56.</w:t>
      </w:r>
    </w:p>
  </w:footnote>
  <w:footnote w:id="27">
    <w:p w14:paraId="4CF18E00" w14:textId="77777777" w:rsidR="00F764B9" w:rsidRPr="00BA4976" w:rsidRDefault="00F764B9" w:rsidP="00930B23">
      <w:pPr>
        <w:pStyle w:val="FootnoteText"/>
        <w:rPr>
          <w:rFonts w:ascii="Franklin Gothic Book" w:hAnsi="Franklin Gothic Book"/>
          <w:i/>
          <w:iCs/>
        </w:rPr>
      </w:pPr>
      <w:r w:rsidRPr="00BA4976">
        <w:rPr>
          <w:rStyle w:val="FootnoteReference"/>
          <w:rFonts w:ascii="Franklin Gothic Book" w:hAnsi="Franklin Gothic Book"/>
        </w:rPr>
        <w:footnoteRef/>
      </w:r>
      <w:r w:rsidRPr="00BA4976">
        <w:rPr>
          <w:rFonts w:ascii="Franklin Gothic Book" w:hAnsi="Franklin Gothic Book"/>
        </w:rPr>
        <w:t xml:space="preserve"> Gala RJ, Russo GS, Whang PG (2017). Interspinous implants to treat spinal stenosis. </w:t>
      </w:r>
      <w:r w:rsidRPr="00BA4976">
        <w:rPr>
          <w:rFonts w:ascii="Franklin Gothic Book" w:hAnsi="Franklin Gothic Book"/>
          <w:i/>
          <w:iCs/>
        </w:rPr>
        <w:t>Curr Rev Musculoskelet Med</w:t>
      </w:r>
      <w:r w:rsidRPr="00BA4976">
        <w:rPr>
          <w:rFonts w:ascii="Franklin Gothic Book" w:hAnsi="Franklin Gothic Book"/>
        </w:rPr>
        <w:t xml:space="preserve">, </w:t>
      </w:r>
      <w:r w:rsidRPr="00BA4976">
        <w:rPr>
          <w:rFonts w:ascii="Franklin Gothic Book" w:hAnsi="Franklin Gothic Book"/>
          <w:b/>
          <w:bCs/>
        </w:rPr>
        <w:t>10</w:t>
      </w:r>
      <w:r w:rsidRPr="00BA4976">
        <w:rPr>
          <w:rFonts w:ascii="Franklin Gothic Book" w:hAnsi="Franklin Gothic Book"/>
        </w:rPr>
        <w:t>:182-188.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4E66"/>
    <w:multiLevelType w:val="hybridMultilevel"/>
    <w:tmpl w:val="C0DA11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7259C1"/>
    <w:multiLevelType w:val="hybridMultilevel"/>
    <w:tmpl w:val="26726832"/>
    <w:lvl w:ilvl="0" w:tplc="4D5A0E90">
      <w:numFmt w:val="bullet"/>
      <w:lvlText w:val="•"/>
      <w:lvlJc w:val="left"/>
      <w:pPr>
        <w:ind w:left="1080" w:hanging="72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2F1A53"/>
    <w:multiLevelType w:val="hybridMultilevel"/>
    <w:tmpl w:val="0D54D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E92CA3"/>
    <w:multiLevelType w:val="hybridMultilevel"/>
    <w:tmpl w:val="505E7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A832AE"/>
    <w:multiLevelType w:val="hybridMultilevel"/>
    <w:tmpl w:val="E1726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113B42"/>
    <w:multiLevelType w:val="singleLevel"/>
    <w:tmpl w:val="56CEB106"/>
    <w:lvl w:ilvl="0">
      <w:start w:val="1"/>
      <w:numFmt w:val="bullet"/>
      <w:lvlText w:val="–"/>
      <w:lvlJc w:val="left"/>
      <w:pPr>
        <w:tabs>
          <w:tab w:val="num" w:pos="1800"/>
        </w:tabs>
        <w:ind w:left="1800" w:hanging="360"/>
      </w:pPr>
      <w:rPr>
        <w:rFonts w:ascii="Times New Roman" w:hAnsi="Times New Roman" w:hint="default"/>
        <w:sz w:val="20"/>
      </w:rPr>
    </w:lvl>
  </w:abstractNum>
  <w:abstractNum w:abstractNumId="8" w15:restartNumberingAfterBreak="0">
    <w:nsid w:val="18F23967"/>
    <w:multiLevelType w:val="hybridMultilevel"/>
    <w:tmpl w:val="C7D27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E968FB"/>
    <w:multiLevelType w:val="hybridMultilevel"/>
    <w:tmpl w:val="4E7072B8"/>
    <w:lvl w:ilvl="0" w:tplc="4D5A0E90">
      <w:numFmt w:val="bullet"/>
      <w:lvlText w:val="•"/>
      <w:lvlJc w:val="left"/>
      <w:pPr>
        <w:ind w:left="1080" w:hanging="72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EC4EC3"/>
    <w:multiLevelType w:val="hybridMultilevel"/>
    <w:tmpl w:val="91B2D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E16544"/>
    <w:multiLevelType w:val="hybridMultilevel"/>
    <w:tmpl w:val="3D6A7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1312C"/>
    <w:multiLevelType w:val="hybridMultilevel"/>
    <w:tmpl w:val="5B90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4" w15:restartNumberingAfterBreak="0">
    <w:nsid w:val="25AE421E"/>
    <w:multiLevelType w:val="hybridMultilevel"/>
    <w:tmpl w:val="6382EA38"/>
    <w:lvl w:ilvl="0" w:tplc="FB7A37EE">
      <w:start w:val="1"/>
      <w:numFmt w:val="bullet"/>
      <w:lvlText w:val=""/>
      <w:lvlJc w:val="left"/>
      <w:pPr>
        <w:tabs>
          <w:tab w:val="num" w:pos="360"/>
        </w:tabs>
        <w:ind w:left="360" w:hanging="360"/>
      </w:pPr>
      <w:rPr>
        <w:rFonts w:ascii="Symbol" w:hAnsi="Symbol" w:hint="default"/>
        <w:color w:val="3366FF"/>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C5E45D4"/>
    <w:multiLevelType w:val="hybridMultilevel"/>
    <w:tmpl w:val="0C3E2A7E"/>
    <w:lvl w:ilvl="0" w:tplc="4D5A0E90">
      <w:numFmt w:val="bullet"/>
      <w:lvlText w:val="•"/>
      <w:lvlJc w:val="left"/>
      <w:pPr>
        <w:ind w:left="1080" w:hanging="720"/>
      </w:pPr>
      <w:rPr>
        <w:rFonts w:ascii="Franklin Gothic Book" w:eastAsiaTheme="minorHAnsi" w:hAnsi="Franklin Gothic Book"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CED3878"/>
    <w:multiLevelType w:val="hybridMultilevel"/>
    <w:tmpl w:val="353CB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2A6E7C"/>
    <w:multiLevelType w:val="hybridMultilevel"/>
    <w:tmpl w:val="9A66C17A"/>
    <w:lvl w:ilvl="0" w:tplc="0C090001">
      <w:start w:val="1"/>
      <w:numFmt w:val="bullet"/>
      <w:lvlText w:val=""/>
      <w:lvlJc w:val="left"/>
      <w:pPr>
        <w:tabs>
          <w:tab w:val="num" w:pos="4265"/>
        </w:tabs>
        <w:ind w:left="4265" w:hanging="720"/>
      </w:pPr>
      <w:rPr>
        <w:rFonts w:ascii="Symbol" w:hAnsi="Symbol" w:hint="default"/>
      </w:rPr>
    </w:lvl>
    <w:lvl w:ilvl="1" w:tplc="04090019" w:tentative="1">
      <w:start w:val="1"/>
      <w:numFmt w:val="lowerLetter"/>
      <w:lvlText w:val="%2."/>
      <w:lvlJc w:val="left"/>
      <w:pPr>
        <w:tabs>
          <w:tab w:val="num" w:pos="4625"/>
        </w:tabs>
        <w:ind w:left="4625" w:hanging="360"/>
      </w:pPr>
    </w:lvl>
    <w:lvl w:ilvl="2" w:tplc="0409001B" w:tentative="1">
      <w:start w:val="1"/>
      <w:numFmt w:val="lowerRoman"/>
      <w:lvlText w:val="%3."/>
      <w:lvlJc w:val="right"/>
      <w:pPr>
        <w:tabs>
          <w:tab w:val="num" w:pos="5345"/>
        </w:tabs>
        <w:ind w:left="5345" w:hanging="180"/>
      </w:pPr>
    </w:lvl>
    <w:lvl w:ilvl="3" w:tplc="0409000F" w:tentative="1">
      <w:start w:val="1"/>
      <w:numFmt w:val="decimal"/>
      <w:lvlText w:val="%4."/>
      <w:lvlJc w:val="left"/>
      <w:pPr>
        <w:tabs>
          <w:tab w:val="num" w:pos="6065"/>
        </w:tabs>
        <w:ind w:left="6065" w:hanging="360"/>
      </w:pPr>
    </w:lvl>
    <w:lvl w:ilvl="4" w:tplc="04090019" w:tentative="1">
      <w:start w:val="1"/>
      <w:numFmt w:val="lowerLetter"/>
      <w:lvlText w:val="%5."/>
      <w:lvlJc w:val="left"/>
      <w:pPr>
        <w:tabs>
          <w:tab w:val="num" w:pos="6785"/>
        </w:tabs>
        <w:ind w:left="6785" w:hanging="360"/>
      </w:pPr>
    </w:lvl>
    <w:lvl w:ilvl="5" w:tplc="0409001B" w:tentative="1">
      <w:start w:val="1"/>
      <w:numFmt w:val="lowerRoman"/>
      <w:lvlText w:val="%6."/>
      <w:lvlJc w:val="right"/>
      <w:pPr>
        <w:tabs>
          <w:tab w:val="num" w:pos="7505"/>
        </w:tabs>
        <w:ind w:left="7505" w:hanging="180"/>
      </w:pPr>
    </w:lvl>
    <w:lvl w:ilvl="6" w:tplc="0409000F" w:tentative="1">
      <w:start w:val="1"/>
      <w:numFmt w:val="decimal"/>
      <w:lvlText w:val="%7."/>
      <w:lvlJc w:val="left"/>
      <w:pPr>
        <w:tabs>
          <w:tab w:val="num" w:pos="8225"/>
        </w:tabs>
        <w:ind w:left="8225" w:hanging="360"/>
      </w:pPr>
    </w:lvl>
    <w:lvl w:ilvl="7" w:tplc="04090019" w:tentative="1">
      <w:start w:val="1"/>
      <w:numFmt w:val="lowerLetter"/>
      <w:lvlText w:val="%8."/>
      <w:lvlJc w:val="left"/>
      <w:pPr>
        <w:tabs>
          <w:tab w:val="num" w:pos="8945"/>
        </w:tabs>
        <w:ind w:left="8945" w:hanging="360"/>
      </w:pPr>
    </w:lvl>
    <w:lvl w:ilvl="8" w:tplc="0409001B" w:tentative="1">
      <w:start w:val="1"/>
      <w:numFmt w:val="lowerRoman"/>
      <w:lvlText w:val="%9."/>
      <w:lvlJc w:val="right"/>
      <w:pPr>
        <w:tabs>
          <w:tab w:val="num" w:pos="9665"/>
        </w:tabs>
        <w:ind w:left="9665" w:hanging="180"/>
      </w:pPr>
    </w:lvl>
  </w:abstractNum>
  <w:abstractNum w:abstractNumId="21"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4D020A"/>
    <w:multiLevelType w:val="hybridMultilevel"/>
    <w:tmpl w:val="AB3A655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24371DC"/>
    <w:multiLevelType w:val="multilevel"/>
    <w:tmpl w:val="4A02812C"/>
    <w:lvl w:ilvl="0">
      <w:start w:val="1"/>
      <w:numFmt w:val="decimal"/>
      <w:lvlText w:val="Section %1"/>
      <w:lvlJc w:val="left"/>
      <w:pPr>
        <w:ind w:left="786" w:hanging="360"/>
      </w:pPr>
      <w:rPr>
        <w:rFonts w:hint="default"/>
      </w:rPr>
    </w:lvl>
    <w:lvl w:ilvl="1">
      <w:start w:val="1"/>
      <w:numFmt w:val="decimal"/>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A2663C"/>
    <w:multiLevelType w:val="hybridMultilevel"/>
    <w:tmpl w:val="CE54F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D14811"/>
    <w:multiLevelType w:val="hybridMultilevel"/>
    <w:tmpl w:val="F11AFAE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B12615C"/>
    <w:multiLevelType w:val="hybridMultilevel"/>
    <w:tmpl w:val="047C5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5632ED"/>
    <w:multiLevelType w:val="hybridMultilevel"/>
    <w:tmpl w:val="FC5E3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D11A9F"/>
    <w:multiLevelType w:val="hybridMultilevel"/>
    <w:tmpl w:val="06E6D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30" w15:restartNumberingAfterBreak="0">
    <w:nsid w:val="45F473A9"/>
    <w:multiLevelType w:val="hybridMultilevel"/>
    <w:tmpl w:val="C8FE2AF8"/>
    <w:lvl w:ilvl="0" w:tplc="57F61106">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7123FED"/>
    <w:multiLevelType w:val="hybridMultilevel"/>
    <w:tmpl w:val="EA3818A2"/>
    <w:lvl w:ilvl="0" w:tplc="64BE4998">
      <w:start w:val="1"/>
      <w:numFmt w:val="bullet"/>
      <w:lvlText w:val=""/>
      <w:lvlJc w:val="left"/>
      <w:pPr>
        <w:tabs>
          <w:tab w:val="num" w:pos="1080"/>
        </w:tabs>
        <w:ind w:left="1080" w:hanging="360"/>
      </w:pPr>
      <w:rPr>
        <w:rFonts w:ascii="Symbol" w:hAnsi="Symbol" w:hint="default"/>
        <w:color w:val="3366FF"/>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8884229"/>
    <w:multiLevelType w:val="hybridMultilevel"/>
    <w:tmpl w:val="E6CE1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D225B17"/>
    <w:multiLevelType w:val="hybridMultilevel"/>
    <w:tmpl w:val="B9B62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EA83EAF"/>
    <w:multiLevelType w:val="hybridMultilevel"/>
    <w:tmpl w:val="F95AB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75698B"/>
    <w:multiLevelType w:val="hybridMultilevel"/>
    <w:tmpl w:val="A4A84D38"/>
    <w:lvl w:ilvl="0" w:tplc="4D5A0E90">
      <w:numFmt w:val="bullet"/>
      <w:lvlText w:val="•"/>
      <w:lvlJc w:val="left"/>
      <w:pPr>
        <w:ind w:left="1080" w:hanging="72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387448"/>
    <w:multiLevelType w:val="multilevel"/>
    <w:tmpl w:val="B22A93B6"/>
    <w:numStyleLink w:val="Heading1a"/>
  </w:abstractNum>
  <w:abstractNum w:abstractNumId="39"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9B0E35"/>
    <w:multiLevelType w:val="hybridMultilevel"/>
    <w:tmpl w:val="509CF600"/>
    <w:lvl w:ilvl="0" w:tplc="4D5A0E90">
      <w:numFmt w:val="bullet"/>
      <w:lvlText w:val="•"/>
      <w:lvlJc w:val="left"/>
      <w:pPr>
        <w:ind w:left="1080" w:hanging="72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1E4B09"/>
    <w:multiLevelType w:val="hybridMultilevel"/>
    <w:tmpl w:val="A6604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737782A"/>
    <w:multiLevelType w:val="hybridMultilevel"/>
    <w:tmpl w:val="18E443DC"/>
    <w:lvl w:ilvl="0" w:tplc="4D5A0E90">
      <w:numFmt w:val="bullet"/>
      <w:lvlText w:val="•"/>
      <w:lvlJc w:val="left"/>
      <w:pPr>
        <w:ind w:left="1080" w:hanging="72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2E0961"/>
    <w:multiLevelType w:val="hybridMultilevel"/>
    <w:tmpl w:val="00E22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33E5D"/>
    <w:multiLevelType w:val="hybridMultilevel"/>
    <w:tmpl w:val="D4BE3610"/>
    <w:lvl w:ilvl="0" w:tplc="7514119C">
      <w:numFmt w:val="bullet"/>
      <w:lvlText w:val="•"/>
      <w:lvlJc w:val="left"/>
      <w:pPr>
        <w:ind w:left="1080" w:hanging="720"/>
      </w:pPr>
      <w:rPr>
        <w:rFonts w:ascii="Franklin Gothic Book" w:eastAsia="Calibri"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A4A6D2A"/>
    <w:multiLevelType w:val="hybridMultilevel"/>
    <w:tmpl w:val="675A49DC"/>
    <w:lvl w:ilvl="0" w:tplc="4D5A0E90">
      <w:numFmt w:val="bullet"/>
      <w:lvlText w:val="•"/>
      <w:lvlJc w:val="left"/>
      <w:pPr>
        <w:ind w:left="1080" w:hanging="720"/>
      </w:pPr>
      <w:rPr>
        <w:rFonts w:ascii="Franklin Gothic Book" w:eastAsiaTheme="minorHAnsi" w:hAnsi="Franklin Gothic Book"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FBA0B51"/>
    <w:multiLevelType w:val="hybridMultilevel"/>
    <w:tmpl w:val="AE58EF74"/>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43E33F3"/>
    <w:multiLevelType w:val="hybridMultilevel"/>
    <w:tmpl w:val="4518242C"/>
    <w:lvl w:ilvl="0" w:tplc="4D5A0E90">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C761B6F"/>
    <w:multiLevelType w:val="hybridMultilevel"/>
    <w:tmpl w:val="6FF0E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D200C70"/>
    <w:multiLevelType w:val="multilevel"/>
    <w:tmpl w:val="37B0CA18"/>
    <w:lvl w:ilvl="0">
      <w:start w:val="1"/>
      <w:numFmt w:val="none"/>
      <w:pStyle w:val="ESSectionHeading-numbered0"/>
      <w:lvlText w:val="A.1"/>
      <w:lvlJc w:val="left"/>
      <w:pPr>
        <w:ind w:left="1134" w:hanging="1134"/>
      </w:pPr>
      <w:rPr>
        <w:rFonts w:ascii="Calibri" w:hAnsi="Calibri" w:hint="default"/>
        <w:b/>
        <w:i w:val="0"/>
        <w:color w:val="auto"/>
        <w:sz w:val="24"/>
      </w:rPr>
    </w:lvl>
    <w:lvl w:ilvl="1">
      <w:start w:val="2"/>
      <w:numFmt w:val="decimal"/>
      <w:lvlText w:val="B.%2"/>
      <w:lvlJc w:val="left"/>
      <w:pPr>
        <w:ind w:left="1134" w:hanging="1134"/>
      </w:pPr>
      <w:rPr>
        <w:rFonts w:ascii="Calibri" w:hAnsi="Calibri" w:hint="default"/>
        <w:b/>
        <w:i w:val="0"/>
        <w:color w:val="auto"/>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52"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3" w15:restartNumberingAfterBreak="0">
    <w:nsid w:val="7EBC358B"/>
    <w:multiLevelType w:val="hybridMultilevel"/>
    <w:tmpl w:val="DA7C6A16"/>
    <w:lvl w:ilvl="0" w:tplc="5C548CF8">
      <w:start w:val="1"/>
      <w:numFmt w:val="bullet"/>
      <w:lvlText w:val=""/>
      <w:lvlJc w:val="left"/>
      <w:pPr>
        <w:tabs>
          <w:tab w:val="num" w:pos="360"/>
        </w:tabs>
        <w:ind w:left="360" w:hanging="360"/>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abstractNum w:abstractNumId="55"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32"/>
  </w:num>
  <w:num w:numId="4">
    <w:abstractNumId w:val="53"/>
  </w:num>
  <w:num w:numId="5">
    <w:abstractNumId w:val="42"/>
  </w:num>
  <w:num w:numId="6">
    <w:abstractNumId w:val="39"/>
  </w:num>
  <w:num w:numId="7">
    <w:abstractNumId w:val="29"/>
  </w:num>
  <w:num w:numId="8">
    <w:abstractNumId w:val="20"/>
  </w:num>
  <w:num w:numId="9">
    <w:abstractNumId w:val="47"/>
  </w:num>
  <w:num w:numId="10">
    <w:abstractNumId w:val="52"/>
  </w:num>
  <w:num w:numId="11">
    <w:abstractNumId w:val="18"/>
  </w:num>
  <w:num w:numId="12">
    <w:abstractNumId w:val="38"/>
  </w:num>
  <w:num w:numId="13">
    <w:abstractNumId w:val="30"/>
  </w:num>
  <w:num w:numId="14">
    <w:abstractNumId w:val="55"/>
  </w:num>
  <w:num w:numId="15">
    <w:abstractNumId w:val="23"/>
  </w:num>
  <w:num w:numId="16">
    <w:abstractNumId w:val="54"/>
  </w:num>
  <w:num w:numId="17">
    <w:abstractNumId w:val="5"/>
  </w:num>
  <w:num w:numId="18">
    <w:abstractNumId w:val="13"/>
  </w:num>
  <w:num w:numId="19">
    <w:abstractNumId w:val="49"/>
  </w:num>
  <w:num w:numId="20">
    <w:abstractNumId w:val="15"/>
  </w:num>
  <w:num w:numId="21">
    <w:abstractNumId w:val="16"/>
  </w:num>
  <w:num w:numId="22">
    <w:abstractNumId w:val="21"/>
  </w:num>
  <w:num w:numId="23">
    <w:abstractNumId w:val="36"/>
  </w:num>
  <w:num w:numId="24">
    <w:abstractNumId w:val="25"/>
  </w:num>
  <w:num w:numId="25">
    <w:abstractNumId w:val="0"/>
  </w:num>
  <w:num w:numId="26">
    <w:abstractNumId w:val="22"/>
  </w:num>
  <w:num w:numId="27">
    <w:abstractNumId w:val="31"/>
  </w:num>
  <w:num w:numId="28">
    <w:abstractNumId w:val="12"/>
  </w:num>
  <w:num w:numId="29">
    <w:abstractNumId w:val="43"/>
  </w:num>
  <w:num w:numId="30">
    <w:abstractNumId w:val="40"/>
  </w:num>
  <w:num w:numId="31">
    <w:abstractNumId w:val="7"/>
  </w:num>
  <w:num w:numId="32">
    <w:abstractNumId w:val="51"/>
  </w:num>
  <w:num w:numId="33">
    <w:abstractNumId w:val="24"/>
  </w:num>
  <w:num w:numId="34">
    <w:abstractNumId w:val="1"/>
  </w:num>
  <w:num w:numId="35">
    <w:abstractNumId w:val="9"/>
  </w:num>
  <w:num w:numId="36">
    <w:abstractNumId w:val="46"/>
  </w:num>
  <w:num w:numId="37">
    <w:abstractNumId w:val="17"/>
  </w:num>
  <w:num w:numId="38">
    <w:abstractNumId w:val="35"/>
  </w:num>
  <w:num w:numId="39">
    <w:abstractNumId w:val="37"/>
  </w:num>
  <w:num w:numId="40">
    <w:abstractNumId w:val="19"/>
  </w:num>
  <w:num w:numId="41">
    <w:abstractNumId w:val="28"/>
  </w:num>
  <w:num w:numId="42">
    <w:abstractNumId w:val="8"/>
  </w:num>
  <w:num w:numId="43">
    <w:abstractNumId w:val="6"/>
  </w:num>
  <w:num w:numId="44">
    <w:abstractNumId w:val="41"/>
  </w:num>
  <w:num w:numId="45">
    <w:abstractNumId w:val="26"/>
  </w:num>
  <w:num w:numId="46">
    <w:abstractNumId w:val="11"/>
  </w:num>
  <w:num w:numId="47">
    <w:abstractNumId w:val="4"/>
  </w:num>
  <w:num w:numId="48">
    <w:abstractNumId w:val="10"/>
  </w:num>
  <w:num w:numId="49">
    <w:abstractNumId w:val="44"/>
  </w:num>
  <w:num w:numId="50">
    <w:abstractNumId w:val="50"/>
  </w:num>
  <w:num w:numId="51">
    <w:abstractNumId w:val="45"/>
  </w:num>
  <w:num w:numId="52">
    <w:abstractNumId w:val="33"/>
  </w:num>
  <w:num w:numId="53">
    <w:abstractNumId w:val="27"/>
  </w:num>
  <w:num w:numId="54">
    <w:abstractNumId w:val="2"/>
  </w:num>
  <w:num w:numId="55">
    <w:abstractNumId w:val="34"/>
  </w:num>
  <w:num w:numId="56">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02D5"/>
    <w:rsid w:val="00001884"/>
    <w:rsid w:val="000036AF"/>
    <w:rsid w:val="000044E9"/>
    <w:rsid w:val="00014731"/>
    <w:rsid w:val="00015284"/>
    <w:rsid w:val="000171A6"/>
    <w:rsid w:val="000213E9"/>
    <w:rsid w:val="00021DA2"/>
    <w:rsid w:val="000229A1"/>
    <w:rsid w:val="000236D4"/>
    <w:rsid w:val="0002460E"/>
    <w:rsid w:val="0002582C"/>
    <w:rsid w:val="000268A1"/>
    <w:rsid w:val="00031406"/>
    <w:rsid w:val="000344F0"/>
    <w:rsid w:val="00037097"/>
    <w:rsid w:val="00040BFE"/>
    <w:rsid w:val="00054151"/>
    <w:rsid w:val="00054657"/>
    <w:rsid w:val="0006073C"/>
    <w:rsid w:val="000632EF"/>
    <w:rsid w:val="00065623"/>
    <w:rsid w:val="00065B56"/>
    <w:rsid w:val="00072D8B"/>
    <w:rsid w:val="0007499C"/>
    <w:rsid w:val="00082699"/>
    <w:rsid w:val="000827F0"/>
    <w:rsid w:val="00083A99"/>
    <w:rsid w:val="000846F0"/>
    <w:rsid w:val="00084C9F"/>
    <w:rsid w:val="00085B61"/>
    <w:rsid w:val="0008767E"/>
    <w:rsid w:val="00093B2A"/>
    <w:rsid w:val="000A2AA9"/>
    <w:rsid w:val="000A63D3"/>
    <w:rsid w:val="000A738E"/>
    <w:rsid w:val="000B5014"/>
    <w:rsid w:val="000B6893"/>
    <w:rsid w:val="000C6C92"/>
    <w:rsid w:val="000D1835"/>
    <w:rsid w:val="000D3264"/>
    <w:rsid w:val="000D53BF"/>
    <w:rsid w:val="000E0A62"/>
    <w:rsid w:val="000E396B"/>
    <w:rsid w:val="000E3C10"/>
    <w:rsid w:val="000E47F5"/>
    <w:rsid w:val="000E5E69"/>
    <w:rsid w:val="000E651A"/>
    <w:rsid w:val="000E6588"/>
    <w:rsid w:val="000F21FE"/>
    <w:rsid w:val="00104710"/>
    <w:rsid w:val="001068E6"/>
    <w:rsid w:val="00123D52"/>
    <w:rsid w:val="00127F39"/>
    <w:rsid w:val="0013032B"/>
    <w:rsid w:val="0013112F"/>
    <w:rsid w:val="00131A01"/>
    <w:rsid w:val="00136257"/>
    <w:rsid w:val="00136969"/>
    <w:rsid w:val="00137A32"/>
    <w:rsid w:val="00142D94"/>
    <w:rsid w:val="0014545A"/>
    <w:rsid w:val="001513BE"/>
    <w:rsid w:val="001538CF"/>
    <w:rsid w:val="00155BF4"/>
    <w:rsid w:val="00157D30"/>
    <w:rsid w:val="00161320"/>
    <w:rsid w:val="00162AB3"/>
    <w:rsid w:val="00167C8A"/>
    <w:rsid w:val="00171759"/>
    <w:rsid w:val="0017217E"/>
    <w:rsid w:val="00173BCB"/>
    <w:rsid w:val="001768B1"/>
    <w:rsid w:val="00182732"/>
    <w:rsid w:val="001921DF"/>
    <w:rsid w:val="001951EC"/>
    <w:rsid w:val="001A1978"/>
    <w:rsid w:val="001A669F"/>
    <w:rsid w:val="001A6F46"/>
    <w:rsid w:val="001B1DFA"/>
    <w:rsid w:val="001B2F46"/>
    <w:rsid w:val="001C2DC0"/>
    <w:rsid w:val="001C3CC2"/>
    <w:rsid w:val="001C7004"/>
    <w:rsid w:val="001C75D8"/>
    <w:rsid w:val="001D24A5"/>
    <w:rsid w:val="001D2A85"/>
    <w:rsid w:val="001D47FB"/>
    <w:rsid w:val="001D56F9"/>
    <w:rsid w:val="001D5B80"/>
    <w:rsid w:val="001E1E69"/>
    <w:rsid w:val="001E1EF5"/>
    <w:rsid w:val="001E295F"/>
    <w:rsid w:val="001E457C"/>
    <w:rsid w:val="001E7DB9"/>
    <w:rsid w:val="001F0FDC"/>
    <w:rsid w:val="001F11FA"/>
    <w:rsid w:val="001F3C4C"/>
    <w:rsid w:val="001F6742"/>
    <w:rsid w:val="00200662"/>
    <w:rsid w:val="00200FE0"/>
    <w:rsid w:val="00203BA7"/>
    <w:rsid w:val="00206760"/>
    <w:rsid w:val="002074A8"/>
    <w:rsid w:val="0021159F"/>
    <w:rsid w:val="00211CB6"/>
    <w:rsid w:val="002123CC"/>
    <w:rsid w:val="00215359"/>
    <w:rsid w:val="00235BBA"/>
    <w:rsid w:val="00236247"/>
    <w:rsid w:val="00242AD4"/>
    <w:rsid w:val="00245577"/>
    <w:rsid w:val="00247B7F"/>
    <w:rsid w:val="00251CF7"/>
    <w:rsid w:val="00252638"/>
    <w:rsid w:val="00256344"/>
    <w:rsid w:val="00257E26"/>
    <w:rsid w:val="002655B5"/>
    <w:rsid w:val="0026665D"/>
    <w:rsid w:val="00266C65"/>
    <w:rsid w:val="00267F42"/>
    <w:rsid w:val="0027168E"/>
    <w:rsid w:val="00280998"/>
    <w:rsid w:val="00282ADD"/>
    <w:rsid w:val="00286676"/>
    <w:rsid w:val="00286BC8"/>
    <w:rsid w:val="00287F01"/>
    <w:rsid w:val="0029348E"/>
    <w:rsid w:val="00294787"/>
    <w:rsid w:val="002A5D0C"/>
    <w:rsid w:val="002A7743"/>
    <w:rsid w:val="002B34D5"/>
    <w:rsid w:val="002B3690"/>
    <w:rsid w:val="002C02D8"/>
    <w:rsid w:val="002C5234"/>
    <w:rsid w:val="002C5BA3"/>
    <w:rsid w:val="002D0267"/>
    <w:rsid w:val="002D08AA"/>
    <w:rsid w:val="002D2973"/>
    <w:rsid w:val="002D43CE"/>
    <w:rsid w:val="002D4428"/>
    <w:rsid w:val="002D57BB"/>
    <w:rsid w:val="002E1EE7"/>
    <w:rsid w:val="002E4460"/>
    <w:rsid w:val="002E5D57"/>
    <w:rsid w:val="002E7166"/>
    <w:rsid w:val="002F0802"/>
    <w:rsid w:val="002F3D9D"/>
    <w:rsid w:val="002F54B1"/>
    <w:rsid w:val="002F693D"/>
    <w:rsid w:val="00300D9A"/>
    <w:rsid w:val="00301462"/>
    <w:rsid w:val="00301D04"/>
    <w:rsid w:val="00303414"/>
    <w:rsid w:val="00306C1D"/>
    <w:rsid w:val="003153DE"/>
    <w:rsid w:val="0032220D"/>
    <w:rsid w:val="00323445"/>
    <w:rsid w:val="003301FE"/>
    <w:rsid w:val="00330AED"/>
    <w:rsid w:val="00337945"/>
    <w:rsid w:val="003400A8"/>
    <w:rsid w:val="0034047C"/>
    <w:rsid w:val="00340F91"/>
    <w:rsid w:val="00342FAC"/>
    <w:rsid w:val="00344582"/>
    <w:rsid w:val="003515D1"/>
    <w:rsid w:val="0035359C"/>
    <w:rsid w:val="0035535A"/>
    <w:rsid w:val="00355B86"/>
    <w:rsid w:val="0035718D"/>
    <w:rsid w:val="00360275"/>
    <w:rsid w:val="00361DD2"/>
    <w:rsid w:val="003700A9"/>
    <w:rsid w:val="0038513B"/>
    <w:rsid w:val="00386D2C"/>
    <w:rsid w:val="00386D67"/>
    <w:rsid w:val="00393549"/>
    <w:rsid w:val="003975A9"/>
    <w:rsid w:val="00397ABB"/>
    <w:rsid w:val="003A078D"/>
    <w:rsid w:val="003A326F"/>
    <w:rsid w:val="003A40BE"/>
    <w:rsid w:val="003A4F78"/>
    <w:rsid w:val="003A5A29"/>
    <w:rsid w:val="003B0154"/>
    <w:rsid w:val="003B02B8"/>
    <w:rsid w:val="003B0CA4"/>
    <w:rsid w:val="003B2EF6"/>
    <w:rsid w:val="003B74D8"/>
    <w:rsid w:val="003C1702"/>
    <w:rsid w:val="003C2063"/>
    <w:rsid w:val="003C4EB3"/>
    <w:rsid w:val="003C6689"/>
    <w:rsid w:val="003C6757"/>
    <w:rsid w:val="003D2991"/>
    <w:rsid w:val="003D4BFC"/>
    <w:rsid w:val="003D60CB"/>
    <w:rsid w:val="003D6272"/>
    <w:rsid w:val="003D6A0F"/>
    <w:rsid w:val="003E1045"/>
    <w:rsid w:val="003E3728"/>
    <w:rsid w:val="003E44A3"/>
    <w:rsid w:val="003E5AA3"/>
    <w:rsid w:val="003E63C9"/>
    <w:rsid w:val="003F0834"/>
    <w:rsid w:val="003F1D0D"/>
    <w:rsid w:val="003F30AD"/>
    <w:rsid w:val="003F3845"/>
    <w:rsid w:val="003F3F18"/>
    <w:rsid w:val="003F5EE6"/>
    <w:rsid w:val="003F6D69"/>
    <w:rsid w:val="004031F7"/>
    <w:rsid w:val="00410178"/>
    <w:rsid w:val="00413D70"/>
    <w:rsid w:val="0042114B"/>
    <w:rsid w:val="00431975"/>
    <w:rsid w:val="00433060"/>
    <w:rsid w:val="00443F1D"/>
    <w:rsid w:val="00451310"/>
    <w:rsid w:val="00452DFC"/>
    <w:rsid w:val="00460DB6"/>
    <w:rsid w:val="00466132"/>
    <w:rsid w:val="0046745E"/>
    <w:rsid w:val="004703CA"/>
    <w:rsid w:val="00473594"/>
    <w:rsid w:val="0048054F"/>
    <w:rsid w:val="00483A1D"/>
    <w:rsid w:val="004851AB"/>
    <w:rsid w:val="004876A0"/>
    <w:rsid w:val="00494945"/>
    <w:rsid w:val="00495285"/>
    <w:rsid w:val="00495952"/>
    <w:rsid w:val="00496494"/>
    <w:rsid w:val="004A41FB"/>
    <w:rsid w:val="004A49AD"/>
    <w:rsid w:val="004A4E41"/>
    <w:rsid w:val="004A757A"/>
    <w:rsid w:val="004B01A4"/>
    <w:rsid w:val="004B2358"/>
    <w:rsid w:val="004B23C8"/>
    <w:rsid w:val="004B6AB5"/>
    <w:rsid w:val="004C0219"/>
    <w:rsid w:val="004C2684"/>
    <w:rsid w:val="004C5782"/>
    <w:rsid w:val="004D1800"/>
    <w:rsid w:val="004D4D49"/>
    <w:rsid w:val="004D619C"/>
    <w:rsid w:val="004E348D"/>
    <w:rsid w:val="004E432D"/>
    <w:rsid w:val="004E5C21"/>
    <w:rsid w:val="004F750C"/>
    <w:rsid w:val="0050188B"/>
    <w:rsid w:val="005020D4"/>
    <w:rsid w:val="00506E4E"/>
    <w:rsid w:val="00506F29"/>
    <w:rsid w:val="00511A32"/>
    <w:rsid w:val="00511EE0"/>
    <w:rsid w:val="00513900"/>
    <w:rsid w:val="00514305"/>
    <w:rsid w:val="00514BAF"/>
    <w:rsid w:val="00515CE8"/>
    <w:rsid w:val="00516ACE"/>
    <w:rsid w:val="00525CE7"/>
    <w:rsid w:val="00531FB5"/>
    <w:rsid w:val="00533359"/>
    <w:rsid w:val="005420D3"/>
    <w:rsid w:val="00544BA0"/>
    <w:rsid w:val="00552DFF"/>
    <w:rsid w:val="0055508B"/>
    <w:rsid w:val="00556803"/>
    <w:rsid w:val="00557C4A"/>
    <w:rsid w:val="00557DC6"/>
    <w:rsid w:val="00565224"/>
    <w:rsid w:val="00566DC3"/>
    <w:rsid w:val="00567131"/>
    <w:rsid w:val="0056736C"/>
    <w:rsid w:val="00567AB8"/>
    <w:rsid w:val="0057039F"/>
    <w:rsid w:val="00573F22"/>
    <w:rsid w:val="00576ED3"/>
    <w:rsid w:val="0058045A"/>
    <w:rsid w:val="00583D1B"/>
    <w:rsid w:val="00584638"/>
    <w:rsid w:val="00584A27"/>
    <w:rsid w:val="005856E5"/>
    <w:rsid w:val="0058659C"/>
    <w:rsid w:val="00590817"/>
    <w:rsid w:val="00590A73"/>
    <w:rsid w:val="005917C2"/>
    <w:rsid w:val="005922DB"/>
    <w:rsid w:val="005938FD"/>
    <w:rsid w:val="00594478"/>
    <w:rsid w:val="00594D1A"/>
    <w:rsid w:val="00596EB0"/>
    <w:rsid w:val="005A14E4"/>
    <w:rsid w:val="005A19FA"/>
    <w:rsid w:val="005A2155"/>
    <w:rsid w:val="005A4AD2"/>
    <w:rsid w:val="005B0BA7"/>
    <w:rsid w:val="005B3D5F"/>
    <w:rsid w:val="005B3DBD"/>
    <w:rsid w:val="005B59F4"/>
    <w:rsid w:val="005C1F76"/>
    <w:rsid w:val="005C527E"/>
    <w:rsid w:val="005C670A"/>
    <w:rsid w:val="005D0332"/>
    <w:rsid w:val="005D2DFC"/>
    <w:rsid w:val="005D3A4C"/>
    <w:rsid w:val="005D637D"/>
    <w:rsid w:val="005E0EAE"/>
    <w:rsid w:val="005E3645"/>
    <w:rsid w:val="005E42A8"/>
    <w:rsid w:val="005E765C"/>
    <w:rsid w:val="005F004E"/>
    <w:rsid w:val="005F30C3"/>
    <w:rsid w:val="00600F92"/>
    <w:rsid w:val="006010B0"/>
    <w:rsid w:val="00602DF0"/>
    <w:rsid w:val="00603860"/>
    <w:rsid w:val="00604CCC"/>
    <w:rsid w:val="006074D3"/>
    <w:rsid w:val="00607D37"/>
    <w:rsid w:val="00610648"/>
    <w:rsid w:val="00611744"/>
    <w:rsid w:val="00611DE0"/>
    <w:rsid w:val="00612A11"/>
    <w:rsid w:val="0061621F"/>
    <w:rsid w:val="00616FE2"/>
    <w:rsid w:val="006267F1"/>
    <w:rsid w:val="006304C2"/>
    <w:rsid w:val="0063297B"/>
    <w:rsid w:val="00632D17"/>
    <w:rsid w:val="00635C0A"/>
    <w:rsid w:val="0063740F"/>
    <w:rsid w:val="00640A46"/>
    <w:rsid w:val="00645E46"/>
    <w:rsid w:val="006460E8"/>
    <w:rsid w:val="00646540"/>
    <w:rsid w:val="006469A4"/>
    <w:rsid w:val="006479DE"/>
    <w:rsid w:val="00652E31"/>
    <w:rsid w:val="00653BE8"/>
    <w:rsid w:val="0065529B"/>
    <w:rsid w:val="006572D1"/>
    <w:rsid w:val="0066288D"/>
    <w:rsid w:val="00664A4F"/>
    <w:rsid w:val="00676A80"/>
    <w:rsid w:val="00676C49"/>
    <w:rsid w:val="00681F7D"/>
    <w:rsid w:val="00685001"/>
    <w:rsid w:val="00692407"/>
    <w:rsid w:val="00693716"/>
    <w:rsid w:val="006961E8"/>
    <w:rsid w:val="006968D1"/>
    <w:rsid w:val="006A27C7"/>
    <w:rsid w:val="006B241A"/>
    <w:rsid w:val="006B3CF1"/>
    <w:rsid w:val="006B5BE7"/>
    <w:rsid w:val="006B7577"/>
    <w:rsid w:val="006B7F3E"/>
    <w:rsid w:val="006C07C7"/>
    <w:rsid w:val="006C1938"/>
    <w:rsid w:val="006C26E3"/>
    <w:rsid w:val="006C3324"/>
    <w:rsid w:val="006C5230"/>
    <w:rsid w:val="006C7F1D"/>
    <w:rsid w:val="006D04F9"/>
    <w:rsid w:val="006D3526"/>
    <w:rsid w:val="006D7D0C"/>
    <w:rsid w:val="006D7EE8"/>
    <w:rsid w:val="006E0C4B"/>
    <w:rsid w:val="006E2F06"/>
    <w:rsid w:val="006E59DB"/>
    <w:rsid w:val="006E6C19"/>
    <w:rsid w:val="006E7A8E"/>
    <w:rsid w:val="006F2A30"/>
    <w:rsid w:val="006F47F4"/>
    <w:rsid w:val="0070291F"/>
    <w:rsid w:val="007033E3"/>
    <w:rsid w:val="00703892"/>
    <w:rsid w:val="00707FED"/>
    <w:rsid w:val="00712CD9"/>
    <w:rsid w:val="00713D11"/>
    <w:rsid w:val="0071498A"/>
    <w:rsid w:val="00720960"/>
    <w:rsid w:val="00722408"/>
    <w:rsid w:val="00722776"/>
    <w:rsid w:val="007229D6"/>
    <w:rsid w:val="00723375"/>
    <w:rsid w:val="00731492"/>
    <w:rsid w:val="00732C4E"/>
    <w:rsid w:val="00735160"/>
    <w:rsid w:val="007360DE"/>
    <w:rsid w:val="00736B3B"/>
    <w:rsid w:val="00744C5D"/>
    <w:rsid w:val="00745FEE"/>
    <w:rsid w:val="00746E59"/>
    <w:rsid w:val="00750298"/>
    <w:rsid w:val="007513A5"/>
    <w:rsid w:val="007554DA"/>
    <w:rsid w:val="007611E5"/>
    <w:rsid w:val="007649F1"/>
    <w:rsid w:val="00766E36"/>
    <w:rsid w:val="00775963"/>
    <w:rsid w:val="0078068D"/>
    <w:rsid w:val="007826CF"/>
    <w:rsid w:val="007849B8"/>
    <w:rsid w:val="007871F1"/>
    <w:rsid w:val="007948AE"/>
    <w:rsid w:val="00794D30"/>
    <w:rsid w:val="007964EB"/>
    <w:rsid w:val="007978E7"/>
    <w:rsid w:val="00797D8D"/>
    <w:rsid w:val="007A0F08"/>
    <w:rsid w:val="007A3CC1"/>
    <w:rsid w:val="007A6BE5"/>
    <w:rsid w:val="007A7B08"/>
    <w:rsid w:val="007B3E93"/>
    <w:rsid w:val="007C2D6A"/>
    <w:rsid w:val="007C4959"/>
    <w:rsid w:val="007C5CCC"/>
    <w:rsid w:val="007C5E72"/>
    <w:rsid w:val="007D38B5"/>
    <w:rsid w:val="007D3FEC"/>
    <w:rsid w:val="007D6C35"/>
    <w:rsid w:val="007D7ECB"/>
    <w:rsid w:val="007E0EAF"/>
    <w:rsid w:val="007E43F7"/>
    <w:rsid w:val="007E6665"/>
    <w:rsid w:val="007F03DB"/>
    <w:rsid w:val="007F4E20"/>
    <w:rsid w:val="007F5142"/>
    <w:rsid w:val="008005CF"/>
    <w:rsid w:val="00806A9C"/>
    <w:rsid w:val="00814C77"/>
    <w:rsid w:val="008171D5"/>
    <w:rsid w:val="00821F0D"/>
    <w:rsid w:val="008227C1"/>
    <w:rsid w:val="008256B5"/>
    <w:rsid w:val="00826029"/>
    <w:rsid w:val="00827C06"/>
    <w:rsid w:val="0083013B"/>
    <w:rsid w:val="00832977"/>
    <w:rsid w:val="00835503"/>
    <w:rsid w:val="008410BE"/>
    <w:rsid w:val="0084284C"/>
    <w:rsid w:val="0084645A"/>
    <w:rsid w:val="0084760A"/>
    <w:rsid w:val="00850724"/>
    <w:rsid w:val="008532C0"/>
    <w:rsid w:val="008603E6"/>
    <w:rsid w:val="0086104A"/>
    <w:rsid w:val="0086309E"/>
    <w:rsid w:val="008664B7"/>
    <w:rsid w:val="00867C91"/>
    <w:rsid w:val="008764AC"/>
    <w:rsid w:val="0088197A"/>
    <w:rsid w:val="00887F83"/>
    <w:rsid w:val="00893214"/>
    <w:rsid w:val="00896DAA"/>
    <w:rsid w:val="00896E79"/>
    <w:rsid w:val="008A0363"/>
    <w:rsid w:val="008A0D74"/>
    <w:rsid w:val="008A5C67"/>
    <w:rsid w:val="008A6C0C"/>
    <w:rsid w:val="008A7405"/>
    <w:rsid w:val="008B15C5"/>
    <w:rsid w:val="008B45AE"/>
    <w:rsid w:val="008B5087"/>
    <w:rsid w:val="008B6A36"/>
    <w:rsid w:val="008C1596"/>
    <w:rsid w:val="008C6DE4"/>
    <w:rsid w:val="008E2DF5"/>
    <w:rsid w:val="008E4D60"/>
    <w:rsid w:val="008F6503"/>
    <w:rsid w:val="0090042A"/>
    <w:rsid w:val="009011FF"/>
    <w:rsid w:val="00901821"/>
    <w:rsid w:val="0090764D"/>
    <w:rsid w:val="009110E5"/>
    <w:rsid w:val="0091272F"/>
    <w:rsid w:val="00912AD8"/>
    <w:rsid w:val="00920A83"/>
    <w:rsid w:val="00925A10"/>
    <w:rsid w:val="0092626F"/>
    <w:rsid w:val="00926873"/>
    <w:rsid w:val="00930B23"/>
    <w:rsid w:val="00933915"/>
    <w:rsid w:val="00933B33"/>
    <w:rsid w:val="009351F0"/>
    <w:rsid w:val="00940F74"/>
    <w:rsid w:val="009418C0"/>
    <w:rsid w:val="00943312"/>
    <w:rsid w:val="00944B3C"/>
    <w:rsid w:val="00950C0C"/>
    <w:rsid w:val="009606B7"/>
    <w:rsid w:val="00960CE8"/>
    <w:rsid w:val="00960E71"/>
    <w:rsid w:val="00961AD6"/>
    <w:rsid w:val="00964755"/>
    <w:rsid w:val="00964B00"/>
    <w:rsid w:val="00976B13"/>
    <w:rsid w:val="009858FC"/>
    <w:rsid w:val="00986EC1"/>
    <w:rsid w:val="00987841"/>
    <w:rsid w:val="00990BF9"/>
    <w:rsid w:val="009946B8"/>
    <w:rsid w:val="00996BCD"/>
    <w:rsid w:val="009A2FA2"/>
    <w:rsid w:val="009A4C6C"/>
    <w:rsid w:val="009A61D2"/>
    <w:rsid w:val="009A702B"/>
    <w:rsid w:val="009A7359"/>
    <w:rsid w:val="009B2DD5"/>
    <w:rsid w:val="009B58C7"/>
    <w:rsid w:val="009B7E2B"/>
    <w:rsid w:val="009C34E7"/>
    <w:rsid w:val="009C5E6A"/>
    <w:rsid w:val="009C731D"/>
    <w:rsid w:val="009C7AA9"/>
    <w:rsid w:val="009D1BAC"/>
    <w:rsid w:val="009D3D67"/>
    <w:rsid w:val="009D64AB"/>
    <w:rsid w:val="009E2FFB"/>
    <w:rsid w:val="009E788F"/>
    <w:rsid w:val="009F1CFF"/>
    <w:rsid w:val="009F6B7C"/>
    <w:rsid w:val="009F7F50"/>
    <w:rsid w:val="00A009C9"/>
    <w:rsid w:val="00A021B7"/>
    <w:rsid w:val="00A14C04"/>
    <w:rsid w:val="00A16F21"/>
    <w:rsid w:val="00A20815"/>
    <w:rsid w:val="00A26711"/>
    <w:rsid w:val="00A30752"/>
    <w:rsid w:val="00A30A85"/>
    <w:rsid w:val="00A317E6"/>
    <w:rsid w:val="00A3267C"/>
    <w:rsid w:val="00A34F49"/>
    <w:rsid w:val="00A35A4F"/>
    <w:rsid w:val="00A35F77"/>
    <w:rsid w:val="00A3648B"/>
    <w:rsid w:val="00A37A18"/>
    <w:rsid w:val="00A4377E"/>
    <w:rsid w:val="00A44C6E"/>
    <w:rsid w:val="00A51266"/>
    <w:rsid w:val="00A52FEC"/>
    <w:rsid w:val="00A56005"/>
    <w:rsid w:val="00A63BF1"/>
    <w:rsid w:val="00A7089F"/>
    <w:rsid w:val="00A74F27"/>
    <w:rsid w:val="00A75922"/>
    <w:rsid w:val="00A81EE6"/>
    <w:rsid w:val="00A825FE"/>
    <w:rsid w:val="00A8603E"/>
    <w:rsid w:val="00A96916"/>
    <w:rsid w:val="00A96DE6"/>
    <w:rsid w:val="00AA2535"/>
    <w:rsid w:val="00AA3E4B"/>
    <w:rsid w:val="00AA450F"/>
    <w:rsid w:val="00AA502F"/>
    <w:rsid w:val="00AA689B"/>
    <w:rsid w:val="00AA6C1C"/>
    <w:rsid w:val="00AA7BEA"/>
    <w:rsid w:val="00AB37FD"/>
    <w:rsid w:val="00AB728E"/>
    <w:rsid w:val="00AC0916"/>
    <w:rsid w:val="00AC5F89"/>
    <w:rsid w:val="00AD026F"/>
    <w:rsid w:val="00AD48C8"/>
    <w:rsid w:val="00AD4DBC"/>
    <w:rsid w:val="00AE16F7"/>
    <w:rsid w:val="00AE394B"/>
    <w:rsid w:val="00AE4C2D"/>
    <w:rsid w:val="00AE76A3"/>
    <w:rsid w:val="00AF3E17"/>
    <w:rsid w:val="00AF64E7"/>
    <w:rsid w:val="00AF72BF"/>
    <w:rsid w:val="00B01C12"/>
    <w:rsid w:val="00B023E6"/>
    <w:rsid w:val="00B02E35"/>
    <w:rsid w:val="00B0346A"/>
    <w:rsid w:val="00B03576"/>
    <w:rsid w:val="00B0472C"/>
    <w:rsid w:val="00B05A8C"/>
    <w:rsid w:val="00B102D9"/>
    <w:rsid w:val="00B1779B"/>
    <w:rsid w:val="00B22813"/>
    <w:rsid w:val="00B23D55"/>
    <w:rsid w:val="00B24505"/>
    <w:rsid w:val="00B33D7B"/>
    <w:rsid w:val="00B341CA"/>
    <w:rsid w:val="00B360D5"/>
    <w:rsid w:val="00B37582"/>
    <w:rsid w:val="00B37FFA"/>
    <w:rsid w:val="00B40410"/>
    <w:rsid w:val="00B411FE"/>
    <w:rsid w:val="00B412A1"/>
    <w:rsid w:val="00B41B7C"/>
    <w:rsid w:val="00B46C7E"/>
    <w:rsid w:val="00B475F6"/>
    <w:rsid w:val="00B47D72"/>
    <w:rsid w:val="00B52DE9"/>
    <w:rsid w:val="00B52FCF"/>
    <w:rsid w:val="00B6033B"/>
    <w:rsid w:val="00B91725"/>
    <w:rsid w:val="00BA4976"/>
    <w:rsid w:val="00BA49D1"/>
    <w:rsid w:val="00BA5A83"/>
    <w:rsid w:val="00BA6799"/>
    <w:rsid w:val="00BB18CD"/>
    <w:rsid w:val="00BB26AB"/>
    <w:rsid w:val="00BB3E71"/>
    <w:rsid w:val="00BB4B6A"/>
    <w:rsid w:val="00BB4F3E"/>
    <w:rsid w:val="00BC04A2"/>
    <w:rsid w:val="00BC0683"/>
    <w:rsid w:val="00BC37E4"/>
    <w:rsid w:val="00BC44F4"/>
    <w:rsid w:val="00BC451D"/>
    <w:rsid w:val="00BD2D5D"/>
    <w:rsid w:val="00BD6C4E"/>
    <w:rsid w:val="00BE396E"/>
    <w:rsid w:val="00BE69AC"/>
    <w:rsid w:val="00BF0479"/>
    <w:rsid w:val="00BF0DFE"/>
    <w:rsid w:val="00BF20DC"/>
    <w:rsid w:val="00BF3109"/>
    <w:rsid w:val="00BF3DAA"/>
    <w:rsid w:val="00BF4914"/>
    <w:rsid w:val="00C0013C"/>
    <w:rsid w:val="00C050A5"/>
    <w:rsid w:val="00C05EDF"/>
    <w:rsid w:val="00C13B47"/>
    <w:rsid w:val="00C1782D"/>
    <w:rsid w:val="00C20288"/>
    <w:rsid w:val="00C20B8A"/>
    <w:rsid w:val="00C20BEE"/>
    <w:rsid w:val="00C20E79"/>
    <w:rsid w:val="00C22C73"/>
    <w:rsid w:val="00C34180"/>
    <w:rsid w:val="00C40034"/>
    <w:rsid w:val="00C40776"/>
    <w:rsid w:val="00C45D90"/>
    <w:rsid w:val="00C47C03"/>
    <w:rsid w:val="00C50B10"/>
    <w:rsid w:val="00C614AF"/>
    <w:rsid w:val="00C67123"/>
    <w:rsid w:val="00C703C1"/>
    <w:rsid w:val="00C72BC0"/>
    <w:rsid w:val="00C80831"/>
    <w:rsid w:val="00C808E5"/>
    <w:rsid w:val="00C82EA5"/>
    <w:rsid w:val="00C84EFB"/>
    <w:rsid w:val="00C90108"/>
    <w:rsid w:val="00C90EB4"/>
    <w:rsid w:val="00CA46D4"/>
    <w:rsid w:val="00CA6A7F"/>
    <w:rsid w:val="00CB1778"/>
    <w:rsid w:val="00CB6CCB"/>
    <w:rsid w:val="00CB7DAE"/>
    <w:rsid w:val="00CB7E7D"/>
    <w:rsid w:val="00CB7FBF"/>
    <w:rsid w:val="00CC038A"/>
    <w:rsid w:val="00CC23B0"/>
    <w:rsid w:val="00CC4AEC"/>
    <w:rsid w:val="00CD0350"/>
    <w:rsid w:val="00CD1386"/>
    <w:rsid w:val="00CD4C7D"/>
    <w:rsid w:val="00CD5843"/>
    <w:rsid w:val="00CD6A23"/>
    <w:rsid w:val="00CD712E"/>
    <w:rsid w:val="00CD7AAF"/>
    <w:rsid w:val="00CE549A"/>
    <w:rsid w:val="00CE78BF"/>
    <w:rsid w:val="00CF305A"/>
    <w:rsid w:val="00CF6152"/>
    <w:rsid w:val="00CF6F79"/>
    <w:rsid w:val="00D059C4"/>
    <w:rsid w:val="00D10702"/>
    <w:rsid w:val="00D10820"/>
    <w:rsid w:val="00D118AD"/>
    <w:rsid w:val="00D15284"/>
    <w:rsid w:val="00D2391B"/>
    <w:rsid w:val="00D23D61"/>
    <w:rsid w:val="00D27B27"/>
    <w:rsid w:val="00D3031D"/>
    <w:rsid w:val="00D470DC"/>
    <w:rsid w:val="00D4755A"/>
    <w:rsid w:val="00D47A2C"/>
    <w:rsid w:val="00D53852"/>
    <w:rsid w:val="00D53E11"/>
    <w:rsid w:val="00D55D87"/>
    <w:rsid w:val="00D55F83"/>
    <w:rsid w:val="00D5626A"/>
    <w:rsid w:val="00D56D96"/>
    <w:rsid w:val="00D57A1F"/>
    <w:rsid w:val="00D6599F"/>
    <w:rsid w:val="00D67DE8"/>
    <w:rsid w:val="00D67F0A"/>
    <w:rsid w:val="00D701CC"/>
    <w:rsid w:val="00D70C50"/>
    <w:rsid w:val="00D726B8"/>
    <w:rsid w:val="00D769FB"/>
    <w:rsid w:val="00D8141E"/>
    <w:rsid w:val="00D84FC8"/>
    <w:rsid w:val="00D90A0E"/>
    <w:rsid w:val="00D93418"/>
    <w:rsid w:val="00DA2F53"/>
    <w:rsid w:val="00DA58FC"/>
    <w:rsid w:val="00DB1E71"/>
    <w:rsid w:val="00DB2184"/>
    <w:rsid w:val="00DB4A4B"/>
    <w:rsid w:val="00DB5E06"/>
    <w:rsid w:val="00DB6762"/>
    <w:rsid w:val="00DC0E3C"/>
    <w:rsid w:val="00DC0F02"/>
    <w:rsid w:val="00DC227C"/>
    <w:rsid w:val="00DC2C0E"/>
    <w:rsid w:val="00DC3FFD"/>
    <w:rsid w:val="00DC6CCF"/>
    <w:rsid w:val="00DD0AF1"/>
    <w:rsid w:val="00DD14AE"/>
    <w:rsid w:val="00DD2D5C"/>
    <w:rsid w:val="00DD311A"/>
    <w:rsid w:val="00DE0CF2"/>
    <w:rsid w:val="00DE1748"/>
    <w:rsid w:val="00DE552A"/>
    <w:rsid w:val="00DF2166"/>
    <w:rsid w:val="00DF2AF3"/>
    <w:rsid w:val="00DF3925"/>
    <w:rsid w:val="00DF4734"/>
    <w:rsid w:val="00DF6271"/>
    <w:rsid w:val="00E02561"/>
    <w:rsid w:val="00E031DE"/>
    <w:rsid w:val="00E03F9D"/>
    <w:rsid w:val="00E05459"/>
    <w:rsid w:val="00E06462"/>
    <w:rsid w:val="00E16CCC"/>
    <w:rsid w:val="00E31F56"/>
    <w:rsid w:val="00E36D5D"/>
    <w:rsid w:val="00E37735"/>
    <w:rsid w:val="00E4301A"/>
    <w:rsid w:val="00E468DE"/>
    <w:rsid w:val="00E521B1"/>
    <w:rsid w:val="00E5797E"/>
    <w:rsid w:val="00E57B85"/>
    <w:rsid w:val="00E62F27"/>
    <w:rsid w:val="00E634D7"/>
    <w:rsid w:val="00E64FB8"/>
    <w:rsid w:val="00E713BF"/>
    <w:rsid w:val="00E7422C"/>
    <w:rsid w:val="00E74504"/>
    <w:rsid w:val="00E7560F"/>
    <w:rsid w:val="00E846B1"/>
    <w:rsid w:val="00E924FD"/>
    <w:rsid w:val="00E926CE"/>
    <w:rsid w:val="00E936DA"/>
    <w:rsid w:val="00E9475B"/>
    <w:rsid w:val="00E94D95"/>
    <w:rsid w:val="00E9602A"/>
    <w:rsid w:val="00E96AA4"/>
    <w:rsid w:val="00E97375"/>
    <w:rsid w:val="00E97401"/>
    <w:rsid w:val="00EA3CBC"/>
    <w:rsid w:val="00EA59BB"/>
    <w:rsid w:val="00EA641E"/>
    <w:rsid w:val="00EA6C33"/>
    <w:rsid w:val="00EB0E37"/>
    <w:rsid w:val="00EB16D7"/>
    <w:rsid w:val="00EB4721"/>
    <w:rsid w:val="00EC06C3"/>
    <w:rsid w:val="00EC1896"/>
    <w:rsid w:val="00EC402A"/>
    <w:rsid w:val="00EC42C0"/>
    <w:rsid w:val="00EC661B"/>
    <w:rsid w:val="00ED1F47"/>
    <w:rsid w:val="00ED4167"/>
    <w:rsid w:val="00ED4E80"/>
    <w:rsid w:val="00ED6D4E"/>
    <w:rsid w:val="00EE2D09"/>
    <w:rsid w:val="00EE4CB3"/>
    <w:rsid w:val="00EE4CBA"/>
    <w:rsid w:val="00EE5949"/>
    <w:rsid w:val="00EE75E2"/>
    <w:rsid w:val="00EF1EC0"/>
    <w:rsid w:val="00EF3110"/>
    <w:rsid w:val="00F01870"/>
    <w:rsid w:val="00F04F02"/>
    <w:rsid w:val="00F0595B"/>
    <w:rsid w:val="00F1080C"/>
    <w:rsid w:val="00F16E5D"/>
    <w:rsid w:val="00F178A8"/>
    <w:rsid w:val="00F20F86"/>
    <w:rsid w:val="00F2152F"/>
    <w:rsid w:val="00F2353D"/>
    <w:rsid w:val="00F257C7"/>
    <w:rsid w:val="00F3083C"/>
    <w:rsid w:val="00F326F1"/>
    <w:rsid w:val="00F51E0F"/>
    <w:rsid w:val="00F52402"/>
    <w:rsid w:val="00F530A0"/>
    <w:rsid w:val="00F53378"/>
    <w:rsid w:val="00F60AAE"/>
    <w:rsid w:val="00F6405A"/>
    <w:rsid w:val="00F64B99"/>
    <w:rsid w:val="00F71E4A"/>
    <w:rsid w:val="00F7360A"/>
    <w:rsid w:val="00F73EE4"/>
    <w:rsid w:val="00F7484F"/>
    <w:rsid w:val="00F75846"/>
    <w:rsid w:val="00F764B9"/>
    <w:rsid w:val="00F8174C"/>
    <w:rsid w:val="00F92930"/>
    <w:rsid w:val="00F93DA0"/>
    <w:rsid w:val="00F972E7"/>
    <w:rsid w:val="00FA30F8"/>
    <w:rsid w:val="00FA36DD"/>
    <w:rsid w:val="00FB0743"/>
    <w:rsid w:val="00FB0E70"/>
    <w:rsid w:val="00FB7083"/>
    <w:rsid w:val="00FC047E"/>
    <w:rsid w:val="00FC13AA"/>
    <w:rsid w:val="00FC16E5"/>
    <w:rsid w:val="00FC2897"/>
    <w:rsid w:val="00FC6CFF"/>
    <w:rsid w:val="00FD6052"/>
    <w:rsid w:val="00FD60FF"/>
    <w:rsid w:val="00FE0DC7"/>
    <w:rsid w:val="00FE1A4B"/>
    <w:rsid w:val="00FE5F2A"/>
    <w:rsid w:val="00FE71A9"/>
    <w:rsid w:val="00FF23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866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pPr>
      <w:spacing w:after="0" w:line="240" w:lineRule="auto"/>
    </w:pPr>
    <w:rPr>
      <w:rFonts w:eastAsia="Times New Roman" w:cs="Times New Roman"/>
      <w:szCs w:val="20"/>
      <w:lang w:eastAsia="en-AU"/>
    </w:rPr>
  </w:style>
  <w:style w:type="paragraph" w:styleId="Heading1">
    <w:name w:val="heading 1"/>
    <w:basedOn w:val="Normal"/>
    <w:link w:val="Heading1Char"/>
    <w:uiPriority w:val="9"/>
    <w:qFormat/>
    <w:rsid w:val="00AF64E7"/>
    <w:pPr>
      <w:keepNext/>
      <w:keepLines/>
      <w:numPr>
        <w:numId w:val="13"/>
      </w:numPr>
      <w:ind w:hanging="720"/>
      <w:outlineLvl w:val="0"/>
    </w:pPr>
    <w:rPr>
      <w:rFonts w:eastAsiaTheme="majorEastAsia" w:cstheme="majorBidi"/>
      <w:b/>
      <w:bCs/>
      <w:szCs w:val="28"/>
    </w:rPr>
  </w:style>
  <w:style w:type="paragraph" w:styleId="Heading2">
    <w:name w:val="heading 2"/>
    <w:basedOn w:val="Normal"/>
    <w:link w:val="Heading2Char"/>
    <w:uiPriority w:val="9"/>
    <w:unhideWhenUsed/>
    <w:qFormat/>
    <w:rsid w:val="00451310"/>
    <w:pPr>
      <w:keepNext/>
      <w:keepLines/>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301462"/>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unhideWhenUsed/>
    <w:qFormat/>
    <w:rsid w:val="007C2D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5623"/>
    <w:rPr>
      <w:color w:val="0000FF"/>
      <w:u w:val="single"/>
    </w:rPr>
  </w:style>
  <w:style w:type="paragraph" w:styleId="FootnoteText">
    <w:name w:val="footnote text"/>
    <w:basedOn w:val="Normal"/>
    <w:link w:val="FootnoteTextChar"/>
    <w:uiPriority w:val="99"/>
    <w:rsid w:val="00065623"/>
    <w:rPr>
      <w:sz w:val="20"/>
    </w:rPr>
  </w:style>
  <w:style w:type="character" w:customStyle="1" w:styleId="FootnoteTextChar">
    <w:name w:val="Footnote Text Char"/>
    <w:basedOn w:val="DefaultParagraphFont"/>
    <w:link w:val="FootnoteText"/>
    <w:uiPriority w:val="99"/>
    <w:rsid w:val="00065623"/>
    <w:rPr>
      <w:rFonts w:eastAsia="Times New Roman" w:cs="Times New Roman"/>
      <w:sz w:val="20"/>
      <w:szCs w:val="20"/>
      <w:lang w:eastAsia="en-AU"/>
    </w:rPr>
  </w:style>
  <w:style w:type="character" w:styleId="FootnoteReference">
    <w:name w:val="footnote reference"/>
    <w:basedOn w:val="DefaultParagraphFont"/>
    <w:rsid w:val="00065623"/>
    <w:rPr>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unhideWhenUsed/>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rsid w:val="00065623"/>
    <w:rPr>
      <w:rFonts w:ascii="Tahoma" w:eastAsia="Times New Roman" w:hAnsi="Tahoma" w:cs="Tahoma"/>
      <w:sz w:val="16"/>
      <w:szCs w:val="16"/>
      <w:lang w:eastAsia="en-AU"/>
    </w:rPr>
  </w:style>
  <w:style w:type="paragraph" w:styleId="Header">
    <w:name w:val="header"/>
    <w:basedOn w:val="Normal"/>
    <w:link w:val="HeaderChar"/>
    <w:uiPriority w:val="99"/>
    <w:unhideWhenUsed/>
    <w:rsid w:val="008227C1"/>
    <w:pPr>
      <w:tabs>
        <w:tab w:val="center" w:pos="4513"/>
        <w:tab w:val="right" w:pos="9026"/>
      </w:tabs>
    </w:pPr>
  </w:style>
  <w:style w:type="character" w:customStyle="1" w:styleId="HeaderChar">
    <w:name w:val="Header Char"/>
    <w:basedOn w:val="DefaultParagraphFont"/>
    <w:link w:val="Header"/>
    <w:uiPriority w:val="99"/>
    <w:rsid w:val="008227C1"/>
    <w:rPr>
      <w:rFonts w:eastAsia="Times New Roman" w:cs="Times New Roman"/>
      <w:szCs w:val="20"/>
      <w:lang w:eastAsia="en-AU"/>
    </w:rPr>
  </w:style>
  <w:style w:type="paragraph" w:styleId="Footer">
    <w:name w:val="footer"/>
    <w:basedOn w:val="Normal"/>
    <w:link w:val="FooterChar"/>
    <w:uiPriority w:val="99"/>
    <w:unhideWhenUsed/>
    <w:rsid w:val="008227C1"/>
    <w:pPr>
      <w:tabs>
        <w:tab w:val="center" w:pos="4513"/>
        <w:tab w:val="right" w:pos="9026"/>
      </w:tabs>
    </w:pPr>
  </w:style>
  <w:style w:type="character" w:customStyle="1" w:styleId="FooterChar">
    <w:name w:val="Footer Char"/>
    <w:basedOn w:val="DefaultParagraphFont"/>
    <w:link w:val="Footer"/>
    <w:uiPriority w:val="99"/>
    <w:rsid w:val="008227C1"/>
    <w:rPr>
      <w:rFonts w:eastAsia="Times New Roman" w:cs="Times New Roman"/>
      <w:szCs w:val="20"/>
      <w:lang w:eastAsia="en-AU"/>
    </w:rPr>
  </w:style>
  <w:style w:type="paragraph" w:customStyle="1" w:styleId="Table">
    <w:name w:val="Table"/>
    <w:basedOn w:val="Normal"/>
    <w:link w:val="TableChar"/>
    <w:qFormat/>
    <w:rsid w:val="00C20B8A"/>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C20B8A"/>
    <w:rPr>
      <w:rFonts w:ascii="Candara" w:eastAsiaTheme="majorEastAsia" w:hAnsi="Candara" w:cstheme="majorBidi"/>
      <w:sz w:val="20"/>
      <w:lang w:bidi="en-US"/>
    </w:rPr>
  </w:style>
  <w:style w:type="paragraph" w:customStyle="1" w:styleId="TableCentre">
    <w:name w:val="Table Centre"/>
    <w:basedOn w:val="Table"/>
    <w:uiPriority w:val="99"/>
    <w:qFormat/>
    <w:rsid w:val="00C20B8A"/>
    <w:pPr>
      <w:jc w:val="center"/>
    </w:pPr>
  </w:style>
  <w:style w:type="table" w:styleId="TableGrid">
    <w:name w:val="Table Grid"/>
    <w:aliases w:val="Summary box,Table Gridbeth,RTI AMCP Table,new style,ASD Table,HealthConsult"/>
    <w:basedOn w:val="TableNormal"/>
    <w:uiPriority w:val="59"/>
    <w:rsid w:val="00C20B8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36969"/>
    <w:pPr>
      <w:spacing w:before="40" w:after="40"/>
    </w:pPr>
    <w:rPr>
      <w:rFonts w:ascii="Arial Narrow" w:hAnsi="Arial Narrow"/>
      <w:sz w:val="20"/>
      <w:szCs w:val="24"/>
      <w:lang w:eastAsia="en-US"/>
    </w:rPr>
  </w:style>
  <w:style w:type="paragraph" w:customStyle="1" w:styleId="Tabletextbold">
    <w:name w:val="Table text bold"/>
    <w:basedOn w:val="Normal"/>
    <w:link w:val="TabletextboldChar"/>
    <w:rsid w:val="00C20B8A"/>
    <w:pPr>
      <w:keepNext/>
      <w:jc w:val="center"/>
    </w:pPr>
    <w:rPr>
      <w:rFonts w:ascii="Arial Narrow" w:hAnsi="Arial Narrow" w:cs="Arial"/>
      <w:b/>
      <w:sz w:val="20"/>
      <w:lang w:eastAsia="en-US"/>
    </w:rPr>
  </w:style>
  <w:style w:type="character" w:customStyle="1" w:styleId="TabletextChar">
    <w:name w:val="Table text Char"/>
    <w:basedOn w:val="DefaultParagraphFont"/>
    <w:link w:val="Tabletext"/>
    <w:rsid w:val="00136969"/>
    <w:rPr>
      <w:rFonts w:ascii="Arial Narrow" w:eastAsia="Times New Roman" w:hAnsi="Arial Narrow" w:cs="Times New Roman"/>
      <w:sz w:val="20"/>
      <w:szCs w:val="24"/>
    </w:rPr>
  </w:style>
  <w:style w:type="character" w:customStyle="1" w:styleId="TabletextboldChar">
    <w:name w:val="Table text bold Char"/>
    <w:basedOn w:val="DefaultParagraphFont"/>
    <w:link w:val="Tabletextbold"/>
    <w:rsid w:val="00C20B8A"/>
    <w:rPr>
      <w:rFonts w:ascii="Arial Narrow" w:eastAsia="Times New Roman" w:hAnsi="Arial Narrow" w:cs="Arial"/>
      <w:b/>
      <w:sz w:val="20"/>
      <w:szCs w:val="20"/>
    </w:rPr>
  </w:style>
  <w:style w:type="paragraph" w:customStyle="1" w:styleId="ESHeading2">
    <w:name w:val="ES Heading 2"/>
    <w:basedOn w:val="Heading2"/>
    <w:link w:val="ESHeading2Char"/>
    <w:rsid w:val="00C20B8A"/>
    <w:pPr>
      <w:keepLines w:val="0"/>
      <w:ind w:left="576" w:hanging="576"/>
      <w:jc w:val="both"/>
    </w:pPr>
    <w:rPr>
      <w:rFonts w:ascii="Garamond" w:eastAsia="Times New Roman" w:hAnsi="Garamond" w:cs="Times New Roman"/>
      <w:iCs/>
      <w:szCs w:val="28"/>
    </w:rPr>
  </w:style>
  <w:style w:type="character" w:customStyle="1" w:styleId="ESHeading2Char">
    <w:name w:val="ES Heading 2 Char"/>
    <w:basedOn w:val="Heading2Char"/>
    <w:link w:val="ESHeading2"/>
    <w:rsid w:val="00C20B8A"/>
    <w:rPr>
      <w:rFonts w:ascii="Garamond" w:eastAsia="Times New Roman" w:hAnsi="Garamond" w:cs="Times New Roman"/>
      <w:b w:val="0"/>
      <w:bCs/>
      <w:i/>
      <w:iCs/>
      <w:color w:val="4F81BD" w:themeColor="accent1"/>
      <w:sz w:val="26"/>
      <w:szCs w:val="28"/>
      <w:lang w:eastAsia="en-AU"/>
    </w:rPr>
  </w:style>
  <w:style w:type="table" w:customStyle="1" w:styleId="Submissiontemplate2">
    <w:name w:val="Submission template2"/>
    <w:basedOn w:val="TableNormal"/>
    <w:uiPriority w:val="99"/>
    <w:rsid w:val="00C20B8A"/>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451310"/>
    <w:rPr>
      <w:rFonts w:eastAsiaTheme="majorEastAsia" w:cstheme="majorBidi"/>
      <w:bCs/>
      <w:i/>
      <w:szCs w:val="26"/>
      <w:lang w:eastAsia="en-AU"/>
    </w:rPr>
  </w:style>
  <w:style w:type="character" w:styleId="Emphasis">
    <w:name w:val="Emphasis"/>
    <w:aliases w:val="EMPHASIS"/>
    <w:uiPriority w:val="20"/>
    <w:qFormat/>
    <w:rsid w:val="00C84EFB"/>
    <w:rPr>
      <w:rFonts w:ascii="Garamond" w:eastAsia="Times New Roman" w:hAnsi="Garamond" w:cs="Times New Roman"/>
      <w:i/>
      <w:sz w:val="24"/>
      <w:szCs w:val="24"/>
    </w:rPr>
  </w:style>
  <w:style w:type="paragraph" w:customStyle="1" w:styleId="Tabletextboldleft">
    <w:name w:val="Table text bold left"/>
    <w:basedOn w:val="Tabletextbold"/>
    <w:link w:val="TabletextboldleftChar"/>
    <w:qFormat/>
    <w:rsid w:val="00C84EFB"/>
    <w:pPr>
      <w:jc w:val="left"/>
    </w:pPr>
  </w:style>
  <w:style w:type="character" w:customStyle="1" w:styleId="TabletextboldleftChar">
    <w:name w:val="Table text bold left Char"/>
    <w:basedOn w:val="TabletextboldChar"/>
    <w:link w:val="Tabletextboldleft"/>
    <w:rsid w:val="00C84EFB"/>
    <w:rPr>
      <w:rFonts w:ascii="Arial Narrow" w:eastAsia="Times New Roman" w:hAnsi="Arial Narrow" w:cs="Arial"/>
      <w:b/>
      <w:sz w:val="20"/>
      <w:szCs w:val="20"/>
    </w:rPr>
  </w:style>
  <w:style w:type="table" w:customStyle="1" w:styleId="Submissiontemplate7">
    <w:name w:val="Submission template7"/>
    <w:basedOn w:val="TableNormal"/>
    <w:uiPriority w:val="99"/>
    <w:rsid w:val="00C84EFB"/>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0E396B"/>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0E396B"/>
    <w:rPr>
      <w:rFonts w:ascii="Arial Narrow" w:eastAsia="Times New Roman" w:hAnsi="Arial Narrow" w:cs="Arial"/>
      <w:sz w:val="20"/>
      <w:szCs w:val="20"/>
    </w:rPr>
  </w:style>
  <w:style w:type="paragraph" w:customStyle="1" w:styleId="Tabletextcentred">
    <w:name w:val="Table text centred"/>
    <w:basedOn w:val="Tabletext"/>
    <w:link w:val="TabletextcentredChar"/>
    <w:qFormat/>
    <w:rsid w:val="000E396B"/>
    <w:pPr>
      <w:jc w:val="center"/>
    </w:pPr>
  </w:style>
  <w:style w:type="character" w:customStyle="1" w:styleId="TabletextcentredChar">
    <w:name w:val="Table text centred Char"/>
    <w:basedOn w:val="TabletextChar"/>
    <w:link w:val="Tabletextcentred"/>
    <w:rsid w:val="000E396B"/>
    <w:rPr>
      <w:rFonts w:ascii="Arial Narrow" w:eastAsia="Times New Roman" w:hAnsi="Arial Narrow" w:cs="Times New Roman"/>
      <w:sz w:val="20"/>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rsid w:val="00C67123"/>
    <w:pPr>
      <w:keepNext/>
      <w:spacing w:after="40"/>
      <w:jc w:val="both"/>
      <w:outlineLvl w:val="4"/>
    </w:pPr>
    <w:rPr>
      <w:rFonts w:ascii="Arial Narrow" w:hAnsi="Arial Narrow" w:cs="Arial"/>
      <w:b/>
      <w:bCs/>
      <w:iCs/>
      <w:sz w:val="20"/>
      <w:lang w:eastAsia="en-US"/>
    </w:rPr>
  </w:style>
  <w:style w:type="character" w:customStyle="1" w:styleId="TableBold">
    <w:name w:val="Table Bold"/>
    <w:uiPriority w:val="4"/>
    <w:qFormat/>
    <w:rsid w:val="005856E5"/>
    <w:rPr>
      <w:rFonts w:ascii="Calibri" w:hAnsi="Calibri" w:hint="default"/>
      <w:b/>
      <w:bCs w:val="0"/>
      <w:sz w:val="20"/>
      <w:lang w:val="en-AU"/>
    </w:rPr>
  </w:style>
  <w:style w:type="table" w:customStyle="1" w:styleId="TableGrid12">
    <w:name w:val="Table Grid12"/>
    <w:basedOn w:val="TableNormal"/>
    <w:next w:val="TableGrid"/>
    <w:uiPriority w:val="59"/>
    <w:rsid w:val="005856E5"/>
    <w:pPr>
      <w:spacing w:after="0" w:line="240" w:lineRule="auto"/>
    </w:pPr>
    <w:rPr>
      <w:rFonts w:ascii="Candara" w:eastAsia="Times New Roman" w:hAnsi="Candara" w:cstheme="majorBidi"/>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303414"/>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303414"/>
    <w:rPr>
      <w:rFonts w:ascii="Arial" w:eastAsia="Times New Roman" w:hAnsi="Arial" w:cs="Arial"/>
      <w:color w:val="3366FF"/>
      <w:szCs w:val="24"/>
      <w:lang w:eastAsia="en-AU"/>
    </w:rPr>
  </w:style>
  <w:style w:type="paragraph" w:styleId="NoSpacing">
    <w:name w:val="No Spacing"/>
    <w:uiPriority w:val="1"/>
    <w:qFormat/>
    <w:rsid w:val="00303414"/>
    <w:pPr>
      <w:spacing w:after="0" w:line="240" w:lineRule="auto"/>
    </w:pPr>
    <w:rPr>
      <w:rFonts w:asciiTheme="minorHAnsi" w:hAnsiTheme="minorHAnsi"/>
      <w:sz w:val="22"/>
    </w:rPr>
  </w:style>
  <w:style w:type="paragraph" w:customStyle="1" w:styleId="NormalBulletList">
    <w:name w:val="Normal Bullet List"/>
    <w:basedOn w:val="Normal"/>
    <w:uiPriority w:val="3"/>
    <w:qFormat/>
    <w:rsid w:val="00950C0C"/>
    <w:pPr>
      <w:numPr>
        <w:numId w:val="7"/>
      </w:numPr>
      <w:spacing w:after="240"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rsid w:val="00CD7AAF"/>
    <w:pPr>
      <w:widowControl w:val="0"/>
    </w:pPr>
    <w:rPr>
      <w:snapToGrid w:val="0"/>
      <w:sz w:val="20"/>
      <w:lang w:val="en-US" w:eastAsia="en-US"/>
    </w:rPr>
  </w:style>
  <w:style w:type="character" w:customStyle="1" w:styleId="EndnoteTextChar">
    <w:name w:val="Endnote Text Char"/>
    <w:basedOn w:val="DefaultParagraphFont"/>
    <w:link w:val="EndnoteText"/>
    <w:rsid w:val="00CD7AAF"/>
    <w:rPr>
      <w:rFonts w:eastAsia="Times New Roman" w:cs="Times New Roman"/>
      <w:snapToGrid w:val="0"/>
      <w:sz w:val="20"/>
      <w:szCs w:val="20"/>
      <w:lang w:val="en-US"/>
    </w:rPr>
  </w:style>
  <w:style w:type="character" w:styleId="EndnoteReference">
    <w:name w:val="endnote reference"/>
    <w:basedOn w:val="DefaultParagraphFont"/>
    <w:rsid w:val="00CD7AAF"/>
    <w:rPr>
      <w:vertAlign w:val="superscript"/>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C67123"/>
    <w:rPr>
      <w:rFonts w:ascii="Arial Narrow" w:eastAsia="Times New Roman" w:hAnsi="Arial Narrow" w:cs="Arial"/>
      <w:b/>
      <w:bCs/>
      <w:iCs/>
      <w:sz w:val="20"/>
      <w:szCs w:val="20"/>
    </w:rPr>
  </w:style>
  <w:style w:type="character" w:customStyle="1" w:styleId="SmallBold">
    <w:name w:val="Small Bold"/>
    <w:basedOn w:val="DefaultParagraphFont"/>
    <w:uiPriority w:val="4"/>
    <w:qFormat/>
    <w:rsid w:val="00FB7083"/>
    <w:rPr>
      <w:rFonts w:ascii="Candara" w:hAnsi="Candara"/>
      <w:b/>
      <w:sz w:val="20"/>
      <w:lang w:val="en-AU"/>
    </w:rPr>
  </w:style>
  <w:style w:type="table" w:customStyle="1" w:styleId="Submissiontemplate">
    <w:name w:val="Submission template"/>
    <w:basedOn w:val="TableNormal"/>
    <w:uiPriority w:val="99"/>
    <w:rsid w:val="00FB7083"/>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CommentReference">
    <w:name w:val="annotation reference"/>
    <w:aliases w:val="Table Title"/>
    <w:basedOn w:val="DefaultParagraphFont"/>
    <w:uiPriority w:val="99"/>
    <w:unhideWhenUsed/>
    <w:qFormat/>
    <w:rsid w:val="00C90EB4"/>
    <w:rPr>
      <w:sz w:val="16"/>
      <w:szCs w:val="16"/>
    </w:rPr>
  </w:style>
  <w:style w:type="paragraph" w:styleId="CommentText">
    <w:name w:val="annotation text"/>
    <w:basedOn w:val="Normal"/>
    <w:link w:val="CommentTextChar"/>
    <w:uiPriority w:val="99"/>
    <w:unhideWhenUsed/>
    <w:rsid w:val="00C90EB4"/>
    <w:rPr>
      <w:sz w:val="20"/>
    </w:rPr>
  </w:style>
  <w:style w:type="character" w:customStyle="1" w:styleId="CommentTextChar">
    <w:name w:val="Comment Text Char"/>
    <w:basedOn w:val="DefaultParagraphFont"/>
    <w:link w:val="CommentText"/>
    <w:uiPriority w:val="99"/>
    <w:rsid w:val="00C90EB4"/>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90EB4"/>
    <w:rPr>
      <w:b/>
      <w:bCs/>
    </w:rPr>
  </w:style>
  <w:style w:type="character" w:customStyle="1" w:styleId="CommentSubjectChar">
    <w:name w:val="Comment Subject Char"/>
    <w:basedOn w:val="CommentTextChar"/>
    <w:link w:val="CommentSubject"/>
    <w:uiPriority w:val="99"/>
    <w:semiHidden/>
    <w:rsid w:val="00C90EB4"/>
    <w:rPr>
      <w:rFonts w:eastAsia="Times New Roman" w:cs="Times New Roman"/>
      <w:b/>
      <w:bCs/>
      <w:sz w:val="20"/>
      <w:szCs w:val="20"/>
      <w:lang w:eastAsia="en-AU"/>
    </w:rPr>
  </w:style>
  <w:style w:type="paragraph" w:customStyle="1" w:styleId="TableHeading">
    <w:name w:val="TableHeading"/>
    <w:basedOn w:val="Normal"/>
    <w:link w:val="TableHeadingChar"/>
    <w:qFormat/>
    <w:rsid w:val="00054151"/>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054151"/>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9110E5"/>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9110E5"/>
    <w:rPr>
      <w:rFonts w:ascii="Arial Narrow" w:eastAsia="Times New Roman" w:hAnsi="Arial Narrow" w:cs="Arial"/>
      <w:snapToGrid w:val="0"/>
      <w:sz w:val="18"/>
      <w:szCs w:val="20"/>
    </w:rPr>
  </w:style>
  <w:style w:type="character" w:customStyle="1" w:styleId="Heading4Char">
    <w:name w:val="Heading 4 Char"/>
    <w:basedOn w:val="DefaultParagraphFont"/>
    <w:link w:val="Heading4"/>
    <w:uiPriority w:val="9"/>
    <w:rsid w:val="007C2D6A"/>
    <w:rPr>
      <w:rFonts w:asciiTheme="majorHAnsi" w:eastAsiaTheme="majorEastAsia" w:hAnsiTheme="majorHAnsi" w:cstheme="majorBidi"/>
      <w:b/>
      <w:bCs/>
      <w:i/>
      <w:iCs/>
      <w:color w:val="4F81BD" w:themeColor="accent1"/>
      <w:szCs w:val="20"/>
      <w:lang w:eastAsia="en-AU"/>
    </w:rPr>
  </w:style>
  <w:style w:type="table" w:customStyle="1" w:styleId="TableGrid2">
    <w:name w:val="Table Grid2"/>
    <w:basedOn w:val="TableNormal"/>
    <w:next w:val="TableGrid"/>
    <w:rsid w:val="000E6588"/>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character" w:customStyle="1" w:styleId="Heading1Char">
    <w:name w:val="Heading 1 Char"/>
    <w:basedOn w:val="DefaultParagraphFont"/>
    <w:link w:val="Heading1"/>
    <w:uiPriority w:val="9"/>
    <w:rsid w:val="00AF64E7"/>
    <w:rPr>
      <w:rFonts w:eastAsiaTheme="majorEastAsia" w:cstheme="majorBidi"/>
      <w:b/>
      <w:bCs/>
      <w:szCs w:val="28"/>
      <w:lang w:eastAsia="en-AU"/>
    </w:rPr>
  </w:style>
  <w:style w:type="character" w:customStyle="1" w:styleId="Heading3Char">
    <w:name w:val="Heading 3 Char"/>
    <w:basedOn w:val="DefaultParagraphFont"/>
    <w:link w:val="Heading3"/>
    <w:uiPriority w:val="9"/>
    <w:rsid w:val="00301462"/>
    <w:rPr>
      <w:rFonts w:eastAsiaTheme="majorEastAsia" w:cstheme="majorBidi"/>
      <w:szCs w:val="24"/>
      <w:u w:val="single"/>
      <w:lang w:eastAsia="en-AU"/>
    </w:rPr>
  </w:style>
  <w:style w:type="character" w:customStyle="1" w:styleId="ListParagraphChar">
    <w:name w:val="List Paragraph Char"/>
    <w:aliases w:val="Styl moj Char,Akapit z listą1 Char,Akapit z listą11 Char"/>
    <w:link w:val="ListParagraph"/>
    <w:uiPriority w:val="34"/>
    <w:rsid w:val="00F51E0F"/>
    <w:rPr>
      <w:rFonts w:eastAsia="Times New Roman" w:cs="Times New Roman"/>
      <w:szCs w:val="20"/>
      <w:lang w:eastAsia="en-AU"/>
    </w:rPr>
  </w:style>
  <w:style w:type="paragraph" w:customStyle="1" w:styleId="Tablenotes1">
    <w:name w:val="Tablenotes 1"/>
    <w:basedOn w:val="Normal"/>
    <w:link w:val="Tablenotes1Char"/>
    <w:qFormat/>
    <w:rsid w:val="00206760"/>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206760"/>
    <w:rPr>
      <w:rFonts w:ascii="Arial Narrow" w:eastAsia="Times New Roman" w:hAnsi="Arial Narrow" w:cs="Arial"/>
      <w:snapToGrid w:val="0"/>
      <w:sz w:val="18"/>
      <w:szCs w:val="20"/>
    </w:rPr>
  </w:style>
  <w:style w:type="numbering" w:customStyle="1" w:styleId="Heading1a">
    <w:name w:val="Heading 1a"/>
    <w:basedOn w:val="NoList"/>
    <w:uiPriority w:val="99"/>
    <w:rsid w:val="00B0472C"/>
    <w:pPr>
      <w:numPr>
        <w:numId w:val="11"/>
      </w:numPr>
    </w:pPr>
  </w:style>
  <w:style w:type="paragraph" w:customStyle="1" w:styleId="Tabletext-left">
    <w:name w:val="Table text - left"/>
    <w:basedOn w:val="Normal"/>
    <w:link w:val="Tabletext-leftChar"/>
    <w:rsid w:val="00CB1778"/>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CB1778"/>
    <w:rPr>
      <w:rFonts w:asciiTheme="minorHAnsi" w:eastAsia="Times New Roman" w:hAnsiTheme="minorHAnsi" w:cs="Arial"/>
      <w:sz w:val="20"/>
      <w:szCs w:val="20"/>
    </w:rPr>
  </w:style>
  <w:style w:type="table" w:customStyle="1" w:styleId="TableGrid9">
    <w:name w:val="Table Grid9"/>
    <w:basedOn w:val="TableNormal"/>
    <w:next w:val="TableGrid"/>
    <w:uiPriority w:val="39"/>
    <w:rsid w:val="00136969"/>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86EC1"/>
  </w:style>
  <w:style w:type="paragraph" w:customStyle="1" w:styleId="TableText0">
    <w:name w:val="Table Text"/>
    <w:basedOn w:val="Normal"/>
    <w:link w:val="TableTextChar0"/>
    <w:qFormat/>
    <w:rsid w:val="00986EC1"/>
    <w:pPr>
      <w:spacing w:before="40" w:after="40"/>
    </w:pPr>
    <w:rPr>
      <w:rFonts w:ascii="Arial Narrow" w:eastAsia="Calibri" w:hAnsi="Arial Narrow"/>
      <w:sz w:val="20"/>
      <w:szCs w:val="22"/>
      <w:lang w:eastAsia="en-US"/>
    </w:rPr>
  </w:style>
  <w:style w:type="character" w:customStyle="1" w:styleId="TableTextChar0">
    <w:name w:val="Table Text Char"/>
    <w:basedOn w:val="DefaultParagraphFont"/>
    <w:link w:val="TableText0"/>
    <w:rsid w:val="00986EC1"/>
    <w:rPr>
      <w:rFonts w:ascii="Arial Narrow" w:eastAsia="Calibri" w:hAnsi="Arial Narrow" w:cs="Times New Roman"/>
      <w:sz w:val="20"/>
    </w:rPr>
  </w:style>
  <w:style w:type="table" w:customStyle="1" w:styleId="TableGrid1">
    <w:name w:val="Table Grid1"/>
    <w:basedOn w:val="TableNormal"/>
    <w:next w:val="TableGrid"/>
    <w:locked/>
    <w:rsid w:val="00986EC1"/>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customStyle="1" w:styleId="HealthConsult1">
    <w:name w:val="HealthConsult1"/>
    <w:basedOn w:val="TableNormal"/>
    <w:next w:val="TableGrid"/>
    <w:uiPriority w:val="59"/>
    <w:rsid w:val="00986EC1"/>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986EC1"/>
    <w:pPr>
      <w:spacing w:before="120" w:after="360"/>
      <w:contextualSpacing/>
    </w:pPr>
    <w:rPr>
      <w:rFonts w:ascii="Franklin Gothic Book" w:eastAsia="Calibri" w:hAnsi="Franklin Gothic Book"/>
      <w:sz w:val="18"/>
      <w:szCs w:val="22"/>
      <w:lang w:eastAsia="en-US"/>
    </w:rPr>
  </w:style>
  <w:style w:type="character" w:styleId="Strong">
    <w:name w:val="Strong"/>
    <w:basedOn w:val="DefaultParagraphFont"/>
    <w:uiPriority w:val="22"/>
    <w:qFormat/>
    <w:rsid w:val="00986EC1"/>
    <w:rPr>
      <w:b/>
      <w:bCs/>
    </w:rPr>
  </w:style>
  <w:style w:type="paragraph" w:customStyle="1" w:styleId="TableName">
    <w:name w:val="TableName"/>
    <w:basedOn w:val="Normal"/>
    <w:qFormat/>
    <w:rsid w:val="00986EC1"/>
    <w:pPr>
      <w:keepNext/>
      <w:spacing w:before="120" w:after="240"/>
      <w:ind w:left="1418" w:hanging="1418"/>
    </w:pPr>
    <w:rPr>
      <w:rFonts w:ascii="Franklin Gothic Medium" w:eastAsia="Calibri" w:hAnsi="Franklin Gothic Medium"/>
      <w:sz w:val="22"/>
      <w:szCs w:val="22"/>
      <w:lang w:eastAsia="en-US"/>
    </w:rPr>
  </w:style>
  <w:style w:type="paragraph" w:customStyle="1" w:styleId="TableFigNoteHangingLast">
    <w:name w:val="TableFigNoteHanging Last"/>
    <w:basedOn w:val="TableFigNote"/>
    <w:qFormat/>
    <w:rsid w:val="00986EC1"/>
    <w:pPr>
      <w:ind w:left="142" w:hanging="142"/>
    </w:pPr>
  </w:style>
  <w:style w:type="paragraph" w:customStyle="1" w:styleId="TableTextCA">
    <w:name w:val="Table Text CA"/>
    <w:basedOn w:val="TableText0"/>
    <w:qFormat/>
    <w:rsid w:val="00986EC1"/>
    <w:pPr>
      <w:jc w:val="center"/>
    </w:pPr>
  </w:style>
  <w:style w:type="paragraph" w:customStyle="1" w:styleId="TableHeadingCA">
    <w:name w:val="Table Heading CA"/>
    <w:basedOn w:val="TableHeading0"/>
    <w:qFormat/>
    <w:rsid w:val="00986EC1"/>
    <w:pPr>
      <w:jc w:val="center"/>
    </w:pPr>
  </w:style>
  <w:style w:type="paragraph" w:customStyle="1" w:styleId="TableHeading0">
    <w:name w:val="Table Heading"/>
    <w:basedOn w:val="Normal"/>
    <w:qFormat/>
    <w:rsid w:val="00986EC1"/>
    <w:pPr>
      <w:spacing w:before="120" w:after="60"/>
    </w:pPr>
    <w:rPr>
      <w:rFonts w:ascii="Arial Narrow" w:eastAsia="Calibri" w:hAnsi="Arial Narrow"/>
      <w:b/>
      <w:sz w:val="20"/>
      <w:szCs w:val="22"/>
      <w:lang w:eastAsia="en-US"/>
    </w:rPr>
  </w:style>
  <w:style w:type="paragraph" w:customStyle="1" w:styleId="TableFigNoteLast">
    <w:name w:val="TableFigNote Last"/>
    <w:basedOn w:val="TableFigNote"/>
    <w:qFormat/>
    <w:rsid w:val="00986EC1"/>
  </w:style>
  <w:style w:type="paragraph" w:customStyle="1" w:styleId="2ChapterText">
    <w:name w:val="2ChapterText"/>
    <w:basedOn w:val="Normal"/>
    <w:qFormat/>
    <w:rsid w:val="00986EC1"/>
    <w:pPr>
      <w:spacing w:before="120" w:after="160" w:line="259" w:lineRule="auto"/>
    </w:pPr>
    <w:rPr>
      <w:rFonts w:ascii="Franklin Gothic Book" w:eastAsia="Calibri" w:hAnsi="Franklin Gothic Book"/>
      <w:sz w:val="22"/>
      <w:szCs w:val="22"/>
      <w:shd w:val="clear" w:color="auto" w:fill="BDD6EE"/>
      <w:lang w:eastAsia="en-US"/>
    </w:rPr>
  </w:style>
  <w:style w:type="paragraph" w:customStyle="1" w:styleId="1ExplanatoryText">
    <w:name w:val="1ExplanatoryText"/>
    <w:basedOn w:val="Normal"/>
    <w:qFormat/>
    <w:rsid w:val="00986EC1"/>
    <w:pPr>
      <w:shd w:val="clear" w:color="auto" w:fill="C5E0B3"/>
      <w:spacing w:before="120" w:after="160" w:line="259" w:lineRule="auto"/>
    </w:pPr>
    <w:rPr>
      <w:rFonts w:ascii="Franklin Gothic Book" w:eastAsia="Calibri" w:hAnsi="Franklin Gothic Book"/>
      <w:sz w:val="22"/>
      <w:szCs w:val="22"/>
      <w:lang w:eastAsia="en-US"/>
    </w:rPr>
  </w:style>
  <w:style w:type="paragraph" w:customStyle="1" w:styleId="TOC11">
    <w:name w:val="TOC 11"/>
    <w:basedOn w:val="Normal"/>
    <w:next w:val="Normal"/>
    <w:autoRedefine/>
    <w:uiPriority w:val="39"/>
    <w:unhideWhenUsed/>
    <w:rsid w:val="00986EC1"/>
    <w:pPr>
      <w:tabs>
        <w:tab w:val="left" w:pos="1100"/>
        <w:tab w:val="left" w:pos="1531"/>
        <w:tab w:val="right" w:leader="dot" w:pos="9010"/>
      </w:tabs>
      <w:spacing w:before="120" w:after="100"/>
    </w:pPr>
    <w:rPr>
      <w:rFonts w:ascii="Calibri" w:eastAsia="Calibri" w:hAnsi="Calibri"/>
      <w:b/>
      <w:sz w:val="22"/>
      <w:szCs w:val="22"/>
      <w:lang w:eastAsia="en-US"/>
    </w:rPr>
  </w:style>
  <w:style w:type="paragraph" w:customStyle="1" w:styleId="TOC21">
    <w:name w:val="TOC 21"/>
    <w:basedOn w:val="Normal"/>
    <w:next w:val="Normal"/>
    <w:autoRedefine/>
    <w:uiPriority w:val="39"/>
    <w:unhideWhenUsed/>
    <w:rsid w:val="00986EC1"/>
    <w:pPr>
      <w:tabs>
        <w:tab w:val="left" w:pos="1089"/>
        <w:tab w:val="right" w:leader="dot" w:pos="9010"/>
      </w:tabs>
      <w:spacing w:before="120" w:after="100"/>
    </w:pPr>
    <w:rPr>
      <w:rFonts w:ascii="Calibri" w:eastAsia="Calibri" w:hAnsi="Calibri"/>
      <w:sz w:val="22"/>
      <w:szCs w:val="22"/>
      <w:lang w:eastAsia="en-US"/>
    </w:rPr>
  </w:style>
  <w:style w:type="paragraph" w:customStyle="1" w:styleId="TOC31">
    <w:name w:val="TOC 31"/>
    <w:basedOn w:val="Normal"/>
    <w:next w:val="Normal"/>
    <w:autoRedefine/>
    <w:uiPriority w:val="39"/>
    <w:unhideWhenUsed/>
    <w:rsid w:val="00986EC1"/>
    <w:pPr>
      <w:spacing w:before="120" w:after="100"/>
      <w:ind w:left="720"/>
    </w:pPr>
    <w:rPr>
      <w:rFonts w:ascii="Calibri" w:eastAsia="Calibri" w:hAnsi="Calibri"/>
      <w:sz w:val="22"/>
      <w:szCs w:val="22"/>
      <w:lang w:eastAsia="en-US"/>
    </w:rPr>
  </w:style>
  <w:style w:type="character" w:customStyle="1" w:styleId="FollowedHyperlink1">
    <w:name w:val="FollowedHyperlink1"/>
    <w:basedOn w:val="DefaultParagraphFont"/>
    <w:uiPriority w:val="99"/>
    <w:semiHidden/>
    <w:unhideWhenUsed/>
    <w:rsid w:val="00986EC1"/>
    <w:rPr>
      <w:color w:val="954F72"/>
      <w:u w:val="single"/>
    </w:rPr>
  </w:style>
  <w:style w:type="paragraph" w:customStyle="1" w:styleId="TOC91">
    <w:name w:val="TOC 91"/>
    <w:basedOn w:val="Normal"/>
    <w:next w:val="Normal"/>
    <w:autoRedefine/>
    <w:uiPriority w:val="39"/>
    <w:unhideWhenUsed/>
    <w:rsid w:val="00986EC1"/>
    <w:pPr>
      <w:spacing w:before="120" w:after="100" w:line="259" w:lineRule="auto"/>
      <w:ind w:left="1760"/>
    </w:pPr>
    <w:rPr>
      <w:rFonts w:ascii="Franklin Gothic Book" w:eastAsia="Calibri" w:hAnsi="Franklin Gothic Book"/>
      <w:sz w:val="22"/>
      <w:szCs w:val="22"/>
      <w:lang w:eastAsia="en-US"/>
    </w:rPr>
  </w:style>
  <w:style w:type="paragraph" w:styleId="Date">
    <w:name w:val="Date"/>
    <w:basedOn w:val="Normal"/>
    <w:next w:val="Normal"/>
    <w:link w:val="DateChar"/>
    <w:rsid w:val="00986EC1"/>
    <w:pPr>
      <w:spacing w:before="1134" w:after="800" w:line="259" w:lineRule="auto"/>
      <w:ind w:left="4536"/>
    </w:pPr>
    <w:rPr>
      <w:rFonts w:ascii="Arial" w:hAnsi="Arial" w:cs="Tahoma"/>
      <w:b/>
      <w:sz w:val="36"/>
      <w:szCs w:val="22"/>
    </w:rPr>
  </w:style>
  <w:style w:type="character" w:customStyle="1" w:styleId="DateChar">
    <w:name w:val="Date Char"/>
    <w:basedOn w:val="DefaultParagraphFont"/>
    <w:link w:val="Date"/>
    <w:rsid w:val="00986EC1"/>
    <w:rPr>
      <w:rFonts w:ascii="Arial" w:eastAsia="Times New Roman" w:hAnsi="Arial" w:cs="Tahoma"/>
      <w:b/>
      <w:sz w:val="36"/>
      <w:lang w:eastAsia="en-AU"/>
    </w:rPr>
  </w:style>
  <w:style w:type="paragraph" w:customStyle="1" w:styleId="PublicationTitle">
    <w:name w:val="PublicationTitle"/>
    <w:basedOn w:val="Normal"/>
    <w:rsid w:val="00986EC1"/>
    <w:pPr>
      <w:tabs>
        <w:tab w:val="left" w:pos="4536"/>
      </w:tabs>
      <w:spacing w:before="4536" w:after="800" w:line="480" w:lineRule="exact"/>
      <w:ind w:left="4536" w:right="113"/>
      <w:jc w:val="right"/>
    </w:pPr>
    <w:rPr>
      <w:rFonts w:ascii="Arial" w:hAnsi="Arial" w:cs="Tahoma"/>
      <w:b/>
      <w:i/>
      <w:sz w:val="44"/>
      <w:szCs w:val="22"/>
    </w:rPr>
  </w:style>
  <w:style w:type="paragraph" w:customStyle="1" w:styleId="Sub-title">
    <w:name w:val="Sub-title"/>
    <w:basedOn w:val="Normal"/>
    <w:locked/>
    <w:rsid w:val="00986EC1"/>
    <w:pPr>
      <w:spacing w:before="1701" w:after="160" w:line="259" w:lineRule="auto"/>
      <w:ind w:left="4536"/>
    </w:pPr>
    <w:rPr>
      <w:rFonts w:ascii="Arial" w:hAnsi="Arial" w:cs="Tahoma"/>
      <w:b/>
      <w:sz w:val="32"/>
      <w:szCs w:val="22"/>
    </w:rPr>
  </w:style>
  <w:style w:type="paragraph" w:customStyle="1" w:styleId="Nnumberedlist">
    <w:name w:val="Nnumbered list"/>
    <w:basedOn w:val="Normal"/>
    <w:rsid w:val="00986EC1"/>
    <w:pPr>
      <w:numPr>
        <w:numId w:val="16"/>
      </w:numPr>
      <w:spacing w:before="120" w:after="160" w:line="259" w:lineRule="auto"/>
      <w:jc w:val="both"/>
    </w:pPr>
    <w:rPr>
      <w:rFonts w:ascii="Calibri" w:hAnsi="Calibri" w:cs="Tahoma"/>
      <w:sz w:val="22"/>
      <w:szCs w:val="22"/>
    </w:rPr>
  </w:style>
  <w:style w:type="paragraph" w:customStyle="1" w:styleId="TOCHeading1">
    <w:name w:val="TOC Heading1"/>
    <w:basedOn w:val="Heading1"/>
    <w:next w:val="Normal"/>
    <w:uiPriority w:val="39"/>
    <w:unhideWhenUsed/>
    <w:qFormat/>
    <w:rsid w:val="00986EC1"/>
    <w:pPr>
      <w:numPr>
        <w:numId w:val="0"/>
      </w:numPr>
      <w:spacing w:before="240" w:line="259" w:lineRule="auto"/>
      <w:outlineLvl w:val="9"/>
    </w:pPr>
    <w:rPr>
      <w:rFonts w:ascii="Calibri Light" w:hAnsi="Calibri Light"/>
      <w:b w:val="0"/>
      <w:bCs w:val="0"/>
      <w:color w:val="2E74B5"/>
      <w:sz w:val="32"/>
      <w:szCs w:val="32"/>
      <w:lang w:val="en-US" w:eastAsia="en-US"/>
    </w:rPr>
  </w:style>
  <w:style w:type="paragraph" w:customStyle="1" w:styleId="TOC41">
    <w:name w:val="TOC 41"/>
    <w:basedOn w:val="Normal"/>
    <w:next w:val="Normal"/>
    <w:autoRedefine/>
    <w:uiPriority w:val="39"/>
    <w:unhideWhenUsed/>
    <w:rsid w:val="00986EC1"/>
    <w:pPr>
      <w:spacing w:before="120" w:after="100" w:line="259" w:lineRule="auto"/>
      <w:ind w:left="660"/>
    </w:pPr>
    <w:rPr>
      <w:rFonts w:ascii="Calibri" w:eastAsia="SimSun" w:hAnsi="Calibri"/>
      <w:sz w:val="22"/>
      <w:szCs w:val="22"/>
    </w:rPr>
  </w:style>
  <w:style w:type="paragraph" w:customStyle="1" w:styleId="TOC51">
    <w:name w:val="TOC 51"/>
    <w:basedOn w:val="Normal"/>
    <w:next w:val="Normal"/>
    <w:autoRedefine/>
    <w:uiPriority w:val="39"/>
    <w:unhideWhenUsed/>
    <w:rsid w:val="00986EC1"/>
    <w:pPr>
      <w:spacing w:before="120" w:after="100" w:line="259" w:lineRule="auto"/>
      <w:ind w:left="880"/>
    </w:pPr>
    <w:rPr>
      <w:rFonts w:ascii="Calibri" w:eastAsia="SimSun" w:hAnsi="Calibri"/>
      <w:sz w:val="22"/>
      <w:szCs w:val="22"/>
    </w:rPr>
  </w:style>
  <w:style w:type="paragraph" w:customStyle="1" w:styleId="TOC61">
    <w:name w:val="TOC 61"/>
    <w:basedOn w:val="Normal"/>
    <w:next w:val="Normal"/>
    <w:autoRedefine/>
    <w:uiPriority w:val="39"/>
    <w:unhideWhenUsed/>
    <w:rsid w:val="00986EC1"/>
    <w:pPr>
      <w:spacing w:before="120" w:after="100" w:line="259" w:lineRule="auto"/>
      <w:ind w:left="1100"/>
    </w:pPr>
    <w:rPr>
      <w:rFonts w:ascii="Calibri" w:eastAsia="SimSun" w:hAnsi="Calibri"/>
      <w:sz w:val="22"/>
      <w:szCs w:val="22"/>
    </w:rPr>
  </w:style>
  <w:style w:type="paragraph" w:customStyle="1" w:styleId="TOC71">
    <w:name w:val="TOC 71"/>
    <w:basedOn w:val="Normal"/>
    <w:next w:val="Normal"/>
    <w:autoRedefine/>
    <w:uiPriority w:val="39"/>
    <w:unhideWhenUsed/>
    <w:rsid w:val="00986EC1"/>
    <w:pPr>
      <w:spacing w:before="120" w:after="100" w:line="259" w:lineRule="auto"/>
      <w:ind w:left="1320"/>
    </w:pPr>
    <w:rPr>
      <w:rFonts w:ascii="Calibri" w:eastAsia="SimSun" w:hAnsi="Calibri"/>
      <w:sz w:val="22"/>
      <w:szCs w:val="22"/>
    </w:rPr>
  </w:style>
  <w:style w:type="paragraph" w:customStyle="1" w:styleId="TOC81">
    <w:name w:val="TOC 81"/>
    <w:basedOn w:val="Normal"/>
    <w:next w:val="Normal"/>
    <w:autoRedefine/>
    <w:uiPriority w:val="39"/>
    <w:unhideWhenUsed/>
    <w:rsid w:val="00986EC1"/>
    <w:pPr>
      <w:spacing w:before="120" w:after="100" w:line="259" w:lineRule="auto"/>
      <w:ind w:left="1540"/>
    </w:pPr>
    <w:rPr>
      <w:rFonts w:ascii="Calibri" w:eastAsia="SimSun" w:hAnsi="Calibri"/>
      <w:sz w:val="22"/>
      <w:szCs w:val="22"/>
    </w:rPr>
  </w:style>
  <w:style w:type="paragraph" w:customStyle="1" w:styleId="In-tableHeading">
    <w:name w:val="In-table Heading"/>
    <w:qFormat/>
    <w:rsid w:val="00986EC1"/>
    <w:pPr>
      <w:keepNext/>
      <w:spacing w:after="0" w:line="240" w:lineRule="auto"/>
    </w:pPr>
    <w:rPr>
      <w:rFonts w:ascii="Arial Narrow" w:eastAsia="SimSun" w:hAnsi="Arial Narrow" w:cs="Times New Roman"/>
      <w:b/>
      <w:sz w:val="20"/>
      <w:szCs w:val="24"/>
      <w:lang w:val="en-US" w:eastAsia="en-AU"/>
    </w:rPr>
  </w:style>
  <w:style w:type="paragraph" w:customStyle="1" w:styleId="TableFigureFooter">
    <w:name w:val="Table/Figure Footer"/>
    <w:basedOn w:val="Normal"/>
    <w:link w:val="TableFigureFooterChar"/>
    <w:qFormat/>
    <w:rsid w:val="00986EC1"/>
    <w:pPr>
      <w:tabs>
        <w:tab w:val="left" w:pos="284"/>
      </w:tabs>
      <w:spacing w:before="120" w:after="360"/>
    </w:pPr>
    <w:rPr>
      <w:rFonts w:ascii="Arial Narrow" w:hAnsi="Arial Narrow" w:cs="Arial"/>
      <w:snapToGrid w:val="0"/>
      <w:sz w:val="18"/>
      <w:szCs w:val="22"/>
    </w:rPr>
  </w:style>
  <w:style w:type="character" w:customStyle="1" w:styleId="TableFigureFooterChar">
    <w:name w:val="Table/Figure Footer Char"/>
    <w:link w:val="TableFigureFooter"/>
    <w:rsid w:val="00986EC1"/>
    <w:rPr>
      <w:rFonts w:ascii="Arial Narrow" w:eastAsia="Times New Roman" w:hAnsi="Arial Narrow" w:cs="Arial"/>
      <w:snapToGrid w:val="0"/>
      <w:sz w:val="18"/>
      <w:lang w:eastAsia="en-AU"/>
    </w:rPr>
  </w:style>
  <w:style w:type="table" w:customStyle="1" w:styleId="TableGridLight1">
    <w:name w:val="Table Grid Light1"/>
    <w:basedOn w:val="TableNormal"/>
    <w:uiPriority w:val="40"/>
    <w:rsid w:val="00986EC1"/>
    <w:pPr>
      <w:spacing w:after="0" w:line="240" w:lineRule="auto"/>
    </w:pPr>
    <w:rPr>
      <w:rFonts w:ascii="Calibri" w:hAnsi="Calibri"/>
      <w:sz w:val="22"/>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tblPr/>
      <w:tcPr>
        <w:shd w:val="clear" w:color="auto" w:fill="F2F2F2"/>
      </w:tcPr>
    </w:tblStylePr>
  </w:style>
  <w:style w:type="paragraph" w:customStyle="1" w:styleId="Bullet">
    <w:name w:val="Bullet"/>
    <w:basedOn w:val="Normal"/>
    <w:qFormat/>
    <w:rsid w:val="00986EC1"/>
    <w:pPr>
      <w:numPr>
        <w:numId w:val="17"/>
      </w:numPr>
      <w:spacing w:before="120" w:after="120"/>
    </w:pPr>
    <w:rPr>
      <w:rFonts w:ascii="Calibri" w:eastAsia="Calibri" w:hAnsi="Calibri"/>
      <w:sz w:val="22"/>
      <w:szCs w:val="22"/>
      <w:lang w:eastAsia="en-US"/>
    </w:rPr>
  </w:style>
  <w:style w:type="paragraph" w:customStyle="1" w:styleId="TableFigureHeading">
    <w:name w:val="Table/Figure Heading"/>
    <w:next w:val="In-tableHeading"/>
    <w:link w:val="TableFigureHeadingChar"/>
    <w:qFormat/>
    <w:rsid w:val="00986EC1"/>
    <w:pPr>
      <w:keepNext/>
      <w:spacing w:after="0" w:line="240" w:lineRule="auto"/>
    </w:pPr>
    <w:rPr>
      <w:rFonts w:ascii="Arial Narrow" w:eastAsia="SimSun" w:hAnsi="Arial Narrow" w:cs="Times New Roman"/>
      <w:b/>
      <w:bCs/>
      <w:sz w:val="20"/>
      <w:szCs w:val="24"/>
      <w:lang w:eastAsia="en-AU"/>
    </w:rPr>
  </w:style>
  <w:style w:type="character" w:customStyle="1" w:styleId="TableFigureHeadingChar">
    <w:name w:val="Table/Figure Heading Char"/>
    <w:basedOn w:val="DefaultParagraphFont"/>
    <w:link w:val="TableFigureHeading"/>
    <w:rsid w:val="00986EC1"/>
    <w:rPr>
      <w:rFonts w:ascii="Arial Narrow" w:eastAsia="SimSun" w:hAnsi="Arial Narrow" w:cs="Times New Roman"/>
      <w:b/>
      <w:bCs/>
      <w:sz w:val="20"/>
      <w:szCs w:val="24"/>
      <w:lang w:eastAsia="en-AU"/>
    </w:rPr>
  </w:style>
  <w:style w:type="paragraph" w:customStyle="1" w:styleId="Tablenotes0">
    <w:name w:val="Table notes"/>
    <w:basedOn w:val="Normal"/>
    <w:link w:val="TablenotesChar0"/>
    <w:qFormat/>
    <w:rsid w:val="00986EC1"/>
    <w:pPr>
      <w:spacing w:before="120" w:after="240" w:line="259" w:lineRule="auto"/>
      <w:contextualSpacing/>
      <w:jc w:val="both"/>
    </w:pPr>
    <w:rPr>
      <w:rFonts w:ascii="Arial Narrow" w:eastAsia="Calibri" w:hAnsi="Arial Narrow" w:cs="Arial"/>
      <w:sz w:val="18"/>
      <w:szCs w:val="22"/>
      <w:lang w:eastAsia="en-US"/>
    </w:rPr>
  </w:style>
  <w:style w:type="character" w:customStyle="1" w:styleId="TablenotesChar0">
    <w:name w:val="Table notes Char"/>
    <w:basedOn w:val="DefaultParagraphFont"/>
    <w:link w:val="Tablenotes0"/>
    <w:rsid w:val="00986EC1"/>
    <w:rPr>
      <w:rFonts w:ascii="Arial Narrow" w:eastAsia="Calibri" w:hAnsi="Arial Narrow" w:cs="Arial"/>
      <w:sz w:val="18"/>
    </w:rPr>
  </w:style>
  <w:style w:type="numbering" w:customStyle="1" w:styleId="ESSectionheading-numbered">
    <w:name w:val="ES. Section heading - numbered"/>
    <w:uiPriority w:val="99"/>
    <w:rsid w:val="00986EC1"/>
    <w:pPr>
      <w:numPr>
        <w:numId w:val="18"/>
      </w:numPr>
    </w:pPr>
  </w:style>
  <w:style w:type="paragraph" w:customStyle="1" w:styleId="2-SectionHeading">
    <w:name w:val="2-Section Heading"/>
    <w:qFormat/>
    <w:rsid w:val="00986EC1"/>
    <w:pPr>
      <w:keepNext/>
      <w:numPr>
        <w:numId w:val="19"/>
      </w:numPr>
      <w:tabs>
        <w:tab w:val="num" w:pos="1080"/>
      </w:tabs>
      <w:spacing w:before="240" w:after="120" w:line="240" w:lineRule="auto"/>
      <w:ind w:left="1080"/>
      <w:outlineLvl w:val="0"/>
    </w:pPr>
    <w:rPr>
      <w:rFonts w:ascii="Calibri" w:eastAsia="Times New Roman" w:hAnsi="Calibri" w:cs="Arial"/>
      <w:b/>
      <w:snapToGrid w:val="0"/>
      <w:sz w:val="32"/>
      <w:szCs w:val="32"/>
      <w:lang w:eastAsia="en-AU"/>
    </w:rPr>
  </w:style>
  <w:style w:type="paragraph" w:customStyle="1" w:styleId="3-BodyText">
    <w:name w:val="3-Body Text"/>
    <w:basedOn w:val="ListParagraph"/>
    <w:qFormat/>
    <w:rsid w:val="00986EC1"/>
    <w:pPr>
      <w:numPr>
        <w:ilvl w:val="1"/>
        <w:numId w:val="19"/>
      </w:numPr>
      <w:tabs>
        <w:tab w:val="num" w:pos="1440"/>
      </w:tabs>
      <w:spacing w:before="120" w:after="120"/>
      <w:ind w:left="1440" w:hanging="360"/>
      <w:contextualSpacing w:val="0"/>
      <w:jc w:val="both"/>
    </w:pPr>
    <w:rPr>
      <w:rFonts w:ascii="Calibri" w:hAnsi="Calibri" w:cs="Arial"/>
      <w:snapToGrid w:val="0"/>
      <w:szCs w:val="24"/>
    </w:rPr>
  </w:style>
  <w:style w:type="paragraph" w:customStyle="1" w:styleId="BoxName">
    <w:name w:val="Box Name"/>
    <w:basedOn w:val="Normal"/>
    <w:qFormat/>
    <w:rsid w:val="00986EC1"/>
    <w:pPr>
      <w:pBdr>
        <w:top w:val="single" w:sz="4" w:space="4" w:color="auto"/>
        <w:left w:val="single" w:sz="4" w:space="4" w:color="auto"/>
        <w:bottom w:val="single" w:sz="4" w:space="4" w:color="auto"/>
        <w:right w:val="single" w:sz="4" w:space="4" w:color="auto"/>
      </w:pBdr>
      <w:spacing w:before="120" w:after="120"/>
    </w:pPr>
    <w:rPr>
      <w:rFonts w:ascii="Franklin Gothic Medium" w:eastAsia="Calibri" w:hAnsi="Franklin Gothic Medium"/>
      <w:sz w:val="21"/>
      <w:szCs w:val="22"/>
      <w:lang w:eastAsia="en-US"/>
    </w:rPr>
  </w:style>
  <w:style w:type="character" w:customStyle="1" w:styleId="InstructionBulletpointChar">
    <w:name w:val="Instruction Bullet point Char"/>
    <w:basedOn w:val="DefaultParagraphFont"/>
    <w:link w:val="InstructionBulletpoint"/>
    <w:uiPriority w:val="3"/>
    <w:locked/>
    <w:rsid w:val="00986EC1"/>
    <w:rPr>
      <w:rFonts w:ascii="Calibri" w:hAnsi="Calibri" w:cs="Calibri"/>
      <w:color w:val="0070C0"/>
    </w:rPr>
  </w:style>
  <w:style w:type="paragraph" w:customStyle="1" w:styleId="InstructionBulletpoint">
    <w:name w:val="Instruction Bullet point"/>
    <w:basedOn w:val="Normal"/>
    <w:link w:val="InstructionBulletpointChar"/>
    <w:uiPriority w:val="3"/>
    <w:qFormat/>
    <w:rsid w:val="00986EC1"/>
    <w:pPr>
      <w:numPr>
        <w:numId w:val="20"/>
      </w:numPr>
      <w:spacing w:before="120" w:after="120"/>
      <w:ind w:left="714" w:hanging="357"/>
    </w:pPr>
    <w:rPr>
      <w:rFonts w:ascii="Calibri" w:eastAsiaTheme="minorHAnsi" w:hAnsi="Calibri" w:cs="Calibri"/>
      <w:color w:val="0070C0"/>
      <w:szCs w:val="22"/>
      <w:lang w:eastAsia="en-US"/>
    </w:rPr>
  </w:style>
  <w:style w:type="character" w:customStyle="1" w:styleId="TableFooterChar">
    <w:name w:val="Table Footer Char"/>
    <w:link w:val="TableFooter"/>
    <w:locked/>
    <w:rsid w:val="00986EC1"/>
    <w:rPr>
      <w:rFonts w:ascii="Arial Narrow" w:eastAsia="Times New Roman" w:hAnsi="Arial Narrow" w:cs="Arial"/>
      <w:sz w:val="18"/>
      <w:szCs w:val="20"/>
    </w:rPr>
  </w:style>
  <w:style w:type="paragraph" w:customStyle="1" w:styleId="TableFooter">
    <w:name w:val="Table Footer"/>
    <w:basedOn w:val="Normal"/>
    <w:link w:val="TableFooterChar"/>
    <w:qFormat/>
    <w:rsid w:val="00986EC1"/>
    <w:pPr>
      <w:widowControl w:val="0"/>
      <w:snapToGrid w:val="0"/>
      <w:spacing w:before="120" w:after="240"/>
      <w:contextualSpacing/>
      <w:jc w:val="both"/>
    </w:pPr>
    <w:rPr>
      <w:rFonts w:ascii="Arial Narrow" w:hAnsi="Arial Narrow" w:cs="Arial"/>
      <w:sz w:val="18"/>
      <w:lang w:eastAsia="en-US"/>
    </w:rPr>
  </w:style>
  <w:style w:type="table" w:customStyle="1" w:styleId="PBACTableStyle">
    <w:name w:val="PBAC Table Style"/>
    <w:basedOn w:val="TableGrid10"/>
    <w:uiPriority w:val="99"/>
    <w:rsid w:val="00986EC1"/>
    <w:pPr>
      <w:widowControl w:val="0"/>
      <w:spacing w:before="120"/>
      <w:contextualSpacing/>
      <w:jc w:val="center"/>
    </w:pPr>
    <w:rPr>
      <w:rFonts w:ascii="Arial Narrow" w:hAnsi="Arial Narrow"/>
      <w:color w:val="000000"/>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Arial Narrow" w:hAnsi="Arial Narrow"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Arial Narrow" w:hAnsi="Arial Narrow"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Arial Narrow" w:hAnsi="Arial Narrow"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TableGrid11">
    <w:name w:val="Table Grid 11"/>
    <w:basedOn w:val="TableNormal"/>
    <w:next w:val="TableGrid10"/>
    <w:uiPriority w:val="99"/>
    <w:semiHidden/>
    <w:unhideWhenUsed/>
    <w:rsid w:val="00986EC1"/>
    <w:pPr>
      <w:spacing w:after="160" w:line="259" w:lineRule="auto"/>
    </w:pPr>
    <w:rPr>
      <w:rFonts w:ascii="Calibri" w:hAnsi="Calibri"/>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986EC1"/>
    <w:rPr>
      <w:rFonts w:cs="Times New Roman"/>
    </w:rPr>
  </w:style>
  <w:style w:type="paragraph" w:customStyle="1" w:styleId="MSACESParagraph">
    <w:name w:val="MSAC ES Paragraph"/>
    <w:link w:val="MSACESParagraphChar"/>
    <w:uiPriority w:val="1"/>
    <w:qFormat/>
    <w:rsid w:val="00986EC1"/>
    <w:pPr>
      <w:spacing w:after="240" w:line="240" w:lineRule="auto"/>
    </w:pPr>
    <w:rPr>
      <w:rFonts w:cs="Times New Roman"/>
    </w:rPr>
  </w:style>
  <w:style w:type="paragraph" w:customStyle="1" w:styleId="TableFigNoteHanging">
    <w:name w:val="TableFigNoteHanging"/>
    <w:basedOn w:val="TableFigNoteHangingLast"/>
    <w:qFormat/>
    <w:rsid w:val="00986EC1"/>
    <w:pPr>
      <w:spacing w:after="0"/>
      <w:contextualSpacing w:val="0"/>
    </w:pPr>
    <w:rPr>
      <w:rFonts w:ascii="Calibri" w:hAnsi="Calibri"/>
    </w:rPr>
  </w:style>
  <w:style w:type="table" w:customStyle="1" w:styleId="TableGrid21">
    <w:name w:val="Table Grid21"/>
    <w:basedOn w:val="TableNormal"/>
    <w:next w:val="TableGrid"/>
    <w:uiPriority w:val="59"/>
    <w:rsid w:val="00986EC1"/>
    <w:pPr>
      <w:spacing w:after="240" w:line="240" w:lineRule="auto"/>
      <w:ind w:left="720"/>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986EC1"/>
    <w:pPr>
      <w:spacing w:before="120" w:after="100" w:afterAutospacing="1" w:line="259" w:lineRule="auto"/>
      <w:jc w:val="both"/>
    </w:pPr>
    <w:rPr>
      <w:rFonts w:ascii="Arial Narrow" w:hAnsi="Arial Narrow" w:cs="Tahoma"/>
      <w:b/>
      <w:sz w:val="22"/>
      <w:szCs w:val="22"/>
    </w:rPr>
  </w:style>
  <w:style w:type="paragraph" w:customStyle="1" w:styleId="TableText1">
    <w:name w:val="TableText"/>
    <w:basedOn w:val="Normal"/>
    <w:link w:val="TableTextChar1"/>
    <w:rsid w:val="00986EC1"/>
    <w:pPr>
      <w:keepNext/>
      <w:spacing w:before="40" w:after="40" w:line="259" w:lineRule="auto"/>
      <w:jc w:val="both"/>
    </w:pPr>
    <w:rPr>
      <w:rFonts w:ascii="Arial Narrow" w:hAnsi="Arial Narrow" w:cs="Tahoma"/>
      <w:sz w:val="18"/>
      <w:szCs w:val="22"/>
    </w:rPr>
  </w:style>
  <w:style w:type="character" w:customStyle="1" w:styleId="TableTextChar1">
    <w:name w:val="TableText Char"/>
    <w:link w:val="TableText1"/>
    <w:rsid w:val="00986EC1"/>
    <w:rPr>
      <w:rFonts w:ascii="Arial Narrow" w:eastAsia="Times New Roman" w:hAnsi="Arial Narrow" w:cs="Tahoma"/>
      <w:sz w:val="18"/>
      <w:lang w:eastAsia="en-AU"/>
    </w:rPr>
  </w:style>
  <w:style w:type="paragraph" w:customStyle="1" w:styleId="References">
    <w:name w:val="References"/>
    <w:basedOn w:val="Normal"/>
    <w:rsid w:val="00986EC1"/>
    <w:pPr>
      <w:keepLines/>
      <w:spacing w:before="120" w:after="240" w:line="312" w:lineRule="auto"/>
      <w:ind w:left="1440" w:hanging="720"/>
    </w:pPr>
    <w:rPr>
      <w:rFonts w:ascii="Calibri" w:hAnsi="Calibri" w:cs="Tahoma"/>
      <w:sz w:val="22"/>
      <w:szCs w:val="22"/>
    </w:rPr>
  </w:style>
  <w:style w:type="paragraph" w:styleId="Title">
    <w:name w:val="Title"/>
    <w:basedOn w:val="Normal"/>
    <w:next w:val="Normal"/>
    <w:link w:val="TitleChar"/>
    <w:qFormat/>
    <w:rsid w:val="00986EC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986EC1"/>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986EC1"/>
    <w:pPr>
      <w:spacing w:before="120"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986EC1"/>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986EC1"/>
    <w:pPr>
      <w:numPr>
        <w:numId w:val="21"/>
      </w:numPr>
      <w:spacing w:before="240" w:after="240"/>
      <w:ind w:left="2154" w:hanging="357"/>
    </w:pPr>
    <w:rPr>
      <w:rFonts w:ascii="Franklin Gothic Medium" w:hAnsi="Franklin Gothic Medium"/>
      <w:bCs w:val="0"/>
      <w:i w:val="0"/>
      <w:color w:val="000000"/>
      <w:sz w:val="32"/>
      <w:lang w:eastAsia="en-US"/>
    </w:rPr>
  </w:style>
  <w:style w:type="paragraph" w:customStyle="1" w:styleId="NormalBeforeBullet">
    <w:name w:val="Normal Before Bullet"/>
    <w:basedOn w:val="Normal"/>
    <w:qFormat/>
    <w:rsid w:val="00986EC1"/>
    <w:pPr>
      <w:keepNext/>
      <w:spacing w:before="120" w:after="120"/>
    </w:pPr>
    <w:rPr>
      <w:rFonts w:ascii="Calibri" w:eastAsia="Calibri" w:hAnsi="Calibri"/>
      <w:sz w:val="22"/>
      <w:szCs w:val="22"/>
      <w:lang w:eastAsia="en-US"/>
    </w:rPr>
  </w:style>
  <w:style w:type="paragraph" w:customStyle="1" w:styleId="Dash">
    <w:name w:val="Dash"/>
    <w:basedOn w:val="Bullet"/>
    <w:qFormat/>
    <w:rsid w:val="00986EC1"/>
    <w:pPr>
      <w:numPr>
        <w:numId w:val="22"/>
      </w:numPr>
      <w:tabs>
        <w:tab w:val="num" w:pos="4265"/>
      </w:tabs>
      <w:spacing w:after="40"/>
      <w:ind w:left="714" w:hanging="357"/>
    </w:pPr>
  </w:style>
  <w:style w:type="paragraph" w:customStyle="1" w:styleId="Instructionaltext">
    <w:name w:val="Instructional text"/>
    <w:basedOn w:val="Normal"/>
    <w:link w:val="InstructionaltextChar"/>
    <w:qFormat/>
    <w:rsid w:val="00986EC1"/>
    <w:pPr>
      <w:spacing w:before="120" w:after="160" w:line="259" w:lineRule="auto"/>
    </w:pPr>
    <w:rPr>
      <w:rFonts w:ascii="Franklin Gothic Book" w:eastAsia="Calibri" w:hAnsi="Franklin Gothic Book"/>
      <w:color w:val="258221"/>
      <w:sz w:val="22"/>
      <w:szCs w:val="22"/>
      <w:lang w:eastAsia="en-US"/>
    </w:rPr>
  </w:style>
  <w:style w:type="character" w:customStyle="1" w:styleId="UnresolvedMention1">
    <w:name w:val="Unresolved Mention1"/>
    <w:basedOn w:val="DefaultParagraphFont"/>
    <w:uiPriority w:val="99"/>
    <w:semiHidden/>
    <w:unhideWhenUsed/>
    <w:rsid w:val="00986EC1"/>
    <w:rPr>
      <w:color w:val="605E5C"/>
      <w:shd w:val="clear" w:color="auto" w:fill="E1DFDD"/>
    </w:rPr>
  </w:style>
  <w:style w:type="character" w:customStyle="1" w:styleId="InstructionaltextChar">
    <w:name w:val="Instructional text Char"/>
    <w:basedOn w:val="DefaultParagraphFont"/>
    <w:link w:val="Instructionaltext"/>
    <w:rsid w:val="00986EC1"/>
    <w:rPr>
      <w:rFonts w:ascii="Franklin Gothic Book" w:eastAsia="Calibri" w:hAnsi="Franklin Gothic Book" w:cs="Times New Roman"/>
      <w:color w:val="258221"/>
      <w:sz w:val="22"/>
    </w:rPr>
  </w:style>
  <w:style w:type="paragraph" w:customStyle="1" w:styleId="Instructionaltext-bullet">
    <w:name w:val="Instructional text - bullet"/>
    <w:basedOn w:val="Instructionaltext"/>
    <w:qFormat/>
    <w:rsid w:val="00986EC1"/>
    <w:pPr>
      <w:numPr>
        <w:numId w:val="27"/>
      </w:numPr>
      <w:spacing w:before="0" w:after="0"/>
      <w:ind w:left="714" w:hanging="357"/>
    </w:pPr>
  </w:style>
  <w:style w:type="paragraph" w:customStyle="1" w:styleId="Instructionaltext-afterfiguretable">
    <w:name w:val="Instructional text - after figure/table"/>
    <w:basedOn w:val="Instructionaltext"/>
    <w:qFormat/>
    <w:rsid w:val="00986EC1"/>
    <w:pPr>
      <w:spacing w:before="360"/>
    </w:pPr>
  </w:style>
  <w:style w:type="paragraph" w:customStyle="1" w:styleId="Guidelinescross-ref">
    <w:name w:val="Guidelines cross-ref"/>
    <w:basedOn w:val="Normal"/>
    <w:qFormat/>
    <w:rsid w:val="00986EC1"/>
    <w:pPr>
      <w:spacing w:before="240" w:after="240" w:line="259" w:lineRule="auto"/>
    </w:pPr>
    <w:rPr>
      <w:rFonts w:ascii="Franklin Gothic Book" w:eastAsia="Calibri" w:hAnsi="Franklin Gothic Book"/>
      <w:b/>
      <w:color w:val="0070C0"/>
      <w:szCs w:val="22"/>
      <w:lang w:eastAsia="en-US"/>
    </w:rPr>
  </w:style>
  <w:style w:type="paragraph" w:customStyle="1" w:styleId="Revision1">
    <w:name w:val="Revision1"/>
    <w:next w:val="Revision"/>
    <w:hidden/>
    <w:uiPriority w:val="99"/>
    <w:semiHidden/>
    <w:rsid w:val="00986EC1"/>
    <w:pPr>
      <w:spacing w:after="0" w:line="240" w:lineRule="auto"/>
    </w:pPr>
    <w:rPr>
      <w:rFonts w:ascii="Franklin Gothic Book" w:hAnsi="Franklin Gothic Book"/>
      <w:sz w:val="22"/>
    </w:rPr>
  </w:style>
  <w:style w:type="character" w:customStyle="1" w:styleId="UnresolvedMention2">
    <w:name w:val="Unresolved Mention2"/>
    <w:basedOn w:val="DefaultParagraphFont"/>
    <w:uiPriority w:val="99"/>
    <w:semiHidden/>
    <w:unhideWhenUsed/>
    <w:rsid w:val="00986EC1"/>
    <w:rPr>
      <w:color w:val="605E5C"/>
      <w:shd w:val="clear" w:color="auto" w:fill="E1DFDD"/>
    </w:rPr>
  </w:style>
  <w:style w:type="character" w:customStyle="1" w:styleId="UnresolvedMention3">
    <w:name w:val="Unresolved Mention3"/>
    <w:basedOn w:val="DefaultParagraphFont"/>
    <w:uiPriority w:val="99"/>
    <w:semiHidden/>
    <w:unhideWhenUsed/>
    <w:rsid w:val="00986EC1"/>
    <w:rPr>
      <w:color w:val="605E5C"/>
      <w:shd w:val="clear" w:color="auto" w:fill="E1DFDD"/>
    </w:rPr>
  </w:style>
  <w:style w:type="paragraph" w:customStyle="1" w:styleId="ESSectionHeading-numbered0">
    <w:name w:val="ES. Section Heading - numbered"/>
    <w:basedOn w:val="Heading3"/>
    <w:rsid w:val="00986EC1"/>
    <w:pPr>
      <w:keepLines w:val="0"/>
      <w:numPr>
        <w:numId w:val="32"/>
      </w:numPr>
      <w:spacing w:before="240" w:after="120" w:line="312" w:lineRule="auto"/>
    </w:pPr>
    <w:rPr>
      <w:rFonts w:ascii="Calibri" w:eastAsia="Times New Roman" w:hAnsi="Calibri" w:cs="Tahoma"/>
      <w:b/>
      <w:smallCaps/>
      <w:u w:val="none"/>
    </w:rPr>
  </w:style>
  <w:style w:type="table" w:customStyle="1" w:styleId="OPTUMTableNormal">
    <w:name w:val="OPTUM Table Normal"/>
    <w:basedOn w:val="TableNormal"/>
    <w:rsid w:val="00986EC1"/>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EMPHASISFORTABLES">
    <w:name w:val="EMPHASIS FOR TABLES"/>
    <w:basedOn w:val="Emphasis"/>
    <w:uiPriority w:val="1"/>
    <w:qFormat/>
    <w:rsid w:val="00986EC1"/>
    <w:rPr>
      <w:rFonts w:ascii="Arial Narrow" w:eastAsia="Times New Roman" w:hAnsi="Arial Narrow" w:cs="Times New Roman"/>
      <w:b w:val="0"/>
      <w:bCs/>
      <w:i w:val="0"/>
      <w:iCs w:val="0"/>
      <w:color w:val="0070C0"/>
      <w:sz w:val="20"/>
      <w:szCs w:val="20"/>
    </w:rPr>
  </w:style>
  <w:style w:type="paragraph" w:styleId="PlainText">
    <w:name w:val="Plain Text"/>
    <w:basedOn w:val="Normal"/>
    <w:link w:val="PlainTextChar"/>
    <w:rsid w:val="00986EC1"/>
    <w:pPr>
      <w:spacing w:line="312" w:lineRule="auto"/>
    </w:pPr>
    <w:rPr>
      <w:rFonts w:ascii="Courier New" w:hAnsi="Courier New" w:cs="Courier New"/>
      <w:sz w:val="20"/>
      <w:szCs w:val="22"/>
      <w:lang w:eastAsia="en-US"/>
    </w:rPr>
  </w:style>
  <w:style w:type="character" w:customStyle="1" w:styleId="PlainTextChar">
    <w:name w:val="Plain Text Char"/>
    <w:basedOn w:val="DefaultParagraphFont"/>
    <w:link w:val="PlainText"/>
    <w:rsid w:val="00986EC1"/>
    <w:rPr>
      <w:rFonts w:ascii="Courier New" w:eastAsia="Times New Roman" w:hAnsi="Courier New" w:cs="Courier New"/>
      <w:sz w:val="20"/>
    </w:rPr>
  </w:style>
  <w:style w:type="paragraph" w:customStyle="1" w:styleId="StyleTableTextArialNarrowFirstline045cm">
    <w:name w:val="Style Table Text + Arial Narrow First line:  0.45 cm"/>
    <w:basedOn w:val="TableText0"/>
    <w:rsid w:val="00986EC1"/>
    <w:pPr>
      <w:keepNext/>
      <w:spacing w:after="360"/>
      <w:ind w:firstLine="720"/>
    </w:pPr>
    <w:rPr>
      <w:rFonts w:eastAsia="Times New Roman" w:cs="Tahoma"/>
    </w:rPr>
  </w:style>
  <w:style w:type="paragraph" w:customStyle="1" w:styleId="TableNote">
    <w:name w:val="Table Note"/>
    <w:basedOn w:val="Normal"/>
    <w:qFormat/>
    <w:rsid w:val="00986EC1"/>
    <w:pPr>
      <w:keepNext/>
      <w:keepLines/>
    </w:pPr>
    <w:rPr>
      <w:rFonts w:ascii="Arial" w:eastAsia="Calibri" w:hAnsi="Arial" w:cs="Arial"/>
      <w:sz w:val="16"/>
      <w:szCs w:val="16"/>
      <w:lang w:eastAsia="en-US"/>
    </w:rPr>
  </w:style>
  <w:style w:type="character" w:styleId="FollowedHyperlink">
    <w:name w:val="FollowedHyperlink"/>
    <w:basedOn w:val="DefaultParagraphFont"/>
    <w:uiPriority w:val="99"/>
    <w:semiHidden/>
    <w:unhideWhenUsed/>
    <w:rsid w:val="00986EC1"/>
    <w:rPr>
      <w:color w:val="800080" w:themeColor="followedHyperlink"/>
      <w:u w:val="single"/>
    </w:rPr>
  </w:style>
  <w:style w:type="table" w:styleId="TableGrid10">
    <w:name w:val="Table Grid 1"/>
    <w:basedOn w:val="TableNormal"/>
    <w:uiPriority w:val="99"/>
    <w:semiHidden/>
    <w:unhideWhenUsed/>
    <w:rsid w:val="00986EC1"/>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uiPriority w:val="99"/>
    <w:semiHidden/>
    <w:rsid w:val="00986EC1"/>
    <w:pPr>
      <w:spacing w:after="0" w:line="240" w:lineRule="auto"/>
    </w:pPr>
    <w:rPr>
      <w:rFonts w:eastAsia="Times New Roman" w:cs="Times New Roman"/>
      <w:szCs w:val="20"/>
      <w:lang w:eastAsia="en-AU"/>
    </w:rPr>
  </w:style>
  <w:style w:type="paragraph" w:styleId="NormalWeb">
    <w:name w:val="Normal (Web)"/>
    <w:basedOn w:val="Normal"/>
    <w:uiPriority w:val="99"/>
    <w:unhideWhenUsed/>
    <w:rsid w:val="00BB4F3E"/>
    <w:rPr>
      <w:szCs w:val="24"/>
    </w:rPr>
  </w:style>
  <w:style w:type="table" w:customStyle="1" w:styleId="TableGrid3">
    <w:name w:val="Table Grid3"/>
    <w:basedOn w:val="TableNormal"/>
    <w:next w:val="TableGrid"/>
    <w:uiPriority w:val="59"/>
    <w:rsid w:val="00B412A1"/>
    <w:pPr>
      <w:spacing w:after="0" w:line="240" w:lineRule="auto"/>
    </w:pPr>
    <w:rPr>
      <w:rFonts w:eastAsia="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A825FE"/>
    <w:rPr>
      <w:color w:val="605E5C"/>
      <w:shd w:val="clear" w:color="auto" w:fill="E1DFDD"/>
    </w:rPr>
  </w:style>
  <w:style w:type="character" w:customStyle="1" w:styleId="UnresolvedMention5">
    <w:name w:val="Unresolved Mention5"/>
    <w:basedOn w:val="DefaultParagraphFont"/>
    <w:uiPriority w:val="99"/>
    <w:semiHidden/>
    <w:unhideWhenUsed/>
    <w:rsid w:val="00C82EA5"/>
    <w:rPr>
      <w:color w:val="605E5C"/>
      <w:shd w:val="clear" w:color="auto" w:fill="E1DFDD"/>
    </w:rPr>
  </w:style>
  <w:style w:type="paragraph" w:customStyle="1" w:styleId="Boxname0">
    <w:name w:val="Box name"/>
    <w:basedOn w:val="TableName"/>
    <w:link w:val="BoxnameChar"/>
    <w:rsid w:val="007C5CCC"/>
    <w:pPr>
      <w:spacing w:before="40" w:after="40" w:line="312" w:lineRule="auto"/>
      <w:ind w:left="1440" w:hanging="720"/>
    </w:pPr>
    <w:rPr>
      <w:rFonts w:ascii="Arial Narrow" w:eastAsia="Times New Roman" w:hAnsi="Arial Narrow" w:cs="Tahoma"/>
      <w:b/>
      <w:sz w:val="20"/>
      <w:lang w:eastAsia="en-AU"/>
    </w:rPr>
  </w:style>
  <w:style w:type="character" w:customStyle="1" w:styleId="BoxnameChar">
    <w:name w:val="Box name Char"/>
    <w:basedOn w:val="DefaultParagraphFont"/>
    <w:link w:val="Boxname0"/>
    <w:rsid w:val="007C5CCC"/>
    <w:rPr>
      <w:rFonts w:ascii="Arial Narrow" w:eastAsia="Times New Roman" w:hAnsi="Arial Narrow" w:cs="Tahoma"/>
      <w:b/>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57752">
      <w:bodyDiv w:val="1"/>
      <w:marLeft w:val="0"/>
      <w:marRight w:val="0"/>
      <w:marTop w:val="0"/>
      <w:marBottom w:val="0"/>
      <w:divBdr>
        <w:top w:val="none" w:sz="0" w:space="0" w:color="auto"/>
        <w:left w:val="none" w:sz="0" w:space="0" w:color="auto"/>
        <w:bottom w:val="none" w:sz="0" w:space="0" w:color="auto"/>
        <w:right w:val="none" w:sz="0" w:space="0" w:color="auto"/>
      </w:divBdr>
    </w:div>
    <w:div w:id="445589483">
      <w:bodyDiv w:val="1"/>
      <w:marLeft w:val="0"/>
      <w:marRight w:val="0"/>
      <w:marTop w:val="0"/>
      <w:marBottom w:val="0"/>
      <w:divBdr>
        <w:top w:val="none" w:sz="0" w:space="0" w:color="auto"/>
        <w:left w:val="none" w:sz="0" w:space="0" w:color="auto"/>
        <w:bottom w:val="none" w:sz="0" w:space="0" w:color="auto"/>
        <w:right w:val="none" w:sz="0" w:space="0" w:color="auto"/>
      </w:divBdr>
    </w:div>
    <w:div w:id="730931538">
      <w:bodyDiv w:val="1"/>
      <w:marLeft w:val="0"/>
      <w:marRight w:val="0"/>
      <w:marTop w:val="0"/>
      <w:marBottom w:val="0"/>
      <w:divBdr>
        <w:top w:val="none" w:sz="0" w:space="0" w:color="auto"/>
        <w:left w:val="none" w:sz="0" w:space="0" w:color="auto"/>
        <w:bottom w:val="none" w:sz="0" w:space="0" w:color="auto"/>
        <w:right w:val="none" w:sz="0" w:space="0" w:color="auto"/>
      </w:divBdr>
    </w:div>
    <w:div w:id="1034617541">
      <w:bodyDiv w:val="1"/>
      <w:marLeft w:val="0"/>
      <w:marRight w:val="0"/>
      <w:marTop w:val="0"/>
      <w:marBottom w:val="0"/>
      <w:divBdr>
        <w:top w:val="none" w:sz="0" w:space="0" w:color="auto"/>
        <w:left w:val="none" w:sz="0" w:space="0" w:color="auto"/>
        <w:bottom w:val="none" w:sz="0" w:space="0" w:color="auto"/>
        <w:right w:val="none" w:sz="0" w:space="0" w:color="auto"/>
      </w:divBdr>
    </w:div>
    <w:div w:id="1209880183">
      <w:bodyDiv w:val="1"/>
      <w:marLeft w:val="0"/>
      <w:marRight w:val="0"/>
      <w:marTop w:val="0"/>
      <w:marBottom w:val="0"/>
      <w:divBdr>
        <w:top w:val="none" w:sz="0" w:space="0" w:color="auto"/>
        <w:left w:val="none" w:sz="0" w:space="0" w:color="auto"/>
        <w:bottom w:val="none" w:sz="0" w:space="0" w:color="auto"/>
        <w:right w:val="none" w:sz="0" w:space="0" w:color="auto"/>
      </w:divBdr>
      <w:divsChild>
        <w:div w:id="2018075833">
          <w:marLeft w:val="288"/>
          <w:marRight w:val="0"/>
          <w:marTop w:val="115"/>
          <w:marBottom w:val="0"/>
          <w:divBdr>
            <w:top w:val="none" w:sz="0" w:space="0" w:color="auto"/>
            <w:left w:val="none" w:sz="0" w:space="0" w:color="auto"/>
            <w:bottom w:val="none" w:sz="0" w:space="0" w:color="auto"/>
            <w:right w:val="none" w:sz="0" w:space="0" w:color="auto"/>
          </w:divBdr>
        </w:div>
        <w:div w:id="1025593109">
          <w:marLeft w:val="288"/>
          <w:marRight w:val="0"/>
          <w:marTop w:val="115"/>
          <w:marBottom w:val="0"/>
          <w:divBdr>
            <w:top w:val="none" w:sz="0" w:space="0" w:color="auto"/>
            <w:left w:val="none" w:sz="0" w:space="0" w:color="auto"/>
            <w:bottom w:val="none" w:sz="0" w:space="0" w:color="auto"/>
            <w:right w:val="none" w:sz="0" w:space="0" w:color="auto"/>
          </w:divBdr>
        </w:div>
        <w:div w:id="849488156">
          <w:marLeft w:val="720"/>
          <w:marRight w:val="0"/>
          <w:marTop w:val="96"/>
          <w:marBottom w:val="0"/>
          <w:divBdr>
            <w:top w:val="none" w:sz="0" w:space="0" w:color="auto"/>
            <w:left w:val="none" w:sz="0" w:space="0" w:color="auto"/>
            <w:bottom w:val="none" w:sz="0" w:space="0" w:color="auto"/>
            <w:right w:val="none" w:sz="0" w:space="0" w:color="auto"/>
          </w:divBdr>
        </w:div>
        <w:div w:id="602231550">
          <w:marLeft w:val="720"/>
          <w:marRight w:val="0"/>
          <w:marTop w:val="96"/>
          <w:marBottom w:val="0"/>
          <w:divBdr>
            <w:top w:val="none" w:sz="0" w:space="0" w:color="auto"/>
            <w:left w:val="none" w:sz="0" w:space="0" w:color="auto"/>
            <w:bottom w:val="none" w:sz="0" w:space="0" w:color="auto"/>
            <w:right w:val="none" w:sz="0" w:space="0" w:color="auto"/>
          </w:divBdr>
        </w:div>
        <w:div w:id="1425762532">
          <w:marLeft w:val="720"/>
          <w:marRight w:val="0"/>
          <w:marTop w:val="96"/>
          <w:marBottom w:val="0"/>
          <w:divBdr>
            <w:top w:val="none" w:sz="0" w:space="0" w:color="auto"/>
            <w:left w:val="none" w:sz="0" w:space="0" w:color="auto"/>
            <w:bottom w:val="none" w:sz="0" w:space="0" w:color="auto"/>
            <w:right w:val="none" w:sz="0" w:space="0" w:color="auto"/>
          </w:divBdr>
        </w:div>
        <w:div w:id="2022856094">
          <w:marLeft w:val="720"/>
          <w:marRight w:val="0"/>
          <w:marTop w:val="96"/>
          <w:marBottom w:val="0"/>
          <w:divBdr>
            <w:top w:val="none" w:sz="0" w:space="0" w:color="auto"/>
            <w:left w:val="none" w:sz="0" w:space="0" w:color="auto"/>
            <w:bottom w:val="none" w:sz="0" w:space="0" w:color="auto"/>
            <w:right w:val="none" w:sz="0" w:space="0" w:color="auto"/>
          </w:divBdr>
        </w:div>
        <w:div w:id="1212351607">
          <w:marLeft w:val="720"/>
          <w:marRight w:val="0"/>
          <w:marTop w:val="96"/>
          <w:marBottom w:val="0"/>
          <w:divBdr>
            <w:top w:val="none" w:sz="0" w:space="0" w:color="auto"/>
            <w:left w:val="none" w:sz="0" w:space="0" w:color="auto"/>
            <w:bottom w:val="none" w:sz="0" w:space="0" w:color="auto"/>
            <w:right w:val="none" w:sz="0" w:space="0" w:color="auto"/>
          </w:divBdr>
        </w:div>
        <w:div w:id="1886022654">
          <w:marLeft w:val="288"/>
          <w:marRight w:val="0"/>
          <w:marTop w:val="115"/>
          <w:marBottom w:val="0"/>
          <w:divBdr>
            <w:top w:val="none" w:sz="0" w:space="0" w:color="auto"/>
            <w:left w:val="none" w:sz="0" w:space="0" w:color="auto"/>
            <w:bottom w:val="none" w:sz="0" w:space="0" w:color="auto"/>
            <w:right w:val="none" w:sz="0" w:space="0" w:color="auto"/>
          </w:divBdr>
        </w:div>
        <w:div w:id="767233440">
          <w:marLeft w:val="720"/>
          <w:marRight w:val="0"/>
          <w:marTop w:val="96"/>
          <w:marBottom w:val="0"/>
          <w:divBdr>
            <w:top w:val="none" w:sz="0" w:space="0" w:color="auto"/>
            <w:left w:val="none" w:sz="0" w:space="0" w:color="auto"/>
            <w:bottom w:val="none" w:sz="0" w:space="0" w:color="auto"/>
            <w:right w:val="none" w:sz="0" w:space="0" w:color="auto"/>
          </w:divBdr>
        </w:div>
        <w:div w:id="1368337606">
          <w:marLeft w:val="288"/>
          <w:marRight w:val="0"/>
          <w:marTop w:val="115"/>
          <w:marBottom w:val="0"/>
          <w:divBdr>
            <w:top w:val="none" w:sz="0" w:space="0" w:color="auto"/>
            <w:left w:val="none" w:sz="0" w:space="0" w:color="auto"/>
            <w:bottom w:val="none" w:sz="0" w:space="0" w:color="auto"/>
            <w:right w:val="none" w:sz="0" w:space="0" w:color="auto"/>
          </w:divBdr>
        </w:div>
        <w:div w:id="1661419370">
          <w:marLeft w:val="720"/>
          <w:marRight w:val="0"/>
          <w:marTop w:val="96"/>
          <w:marBottom w:val="0"/>
          <w:divBdr>
            <w:top w:val="none" w:sz="0" w:space="0" w:color="auto"/>
            <w:left w:val="none" w:sz="0" w:space="0" w:color="auto"/>
            <w:bottom w:val="none" w:sz="0" w:space="0" w:color="auto"/>
            <w:right w:val="none" w:sz="0" w:space="0" w:color="auto"/>
          </w:divBdr>
        </w:div>
        <w:div w:id="874275967">
          <w:marLeft w:val="720"/>
          <w:marRight w:val="0"/>
          <w:marTop w:val="96"/>
          <w:marBottom w:val="0"/>
          <w:divBdr>
            <w:top w:val="none" w:sz="0" w:space="0" w:color="auto"/>
            <w:left w:val="none" w:sz="0" w:space="0" w:color="auto"/>
            <w:bottom w:val="none" w:sz="0" w:space="0" w:color="auto"/>
            <w:right w:val="none" w:sz="0" w:space="0" w:color="auto"/>
          </w:divBdr>
        </w:div>
        <w:div w:id="629744127">
          <w:marLeft w:val="288"/>
          <w:marRight w:val="0"/>
          <w:marTop w:val="115"/>
          <w:marBottom w:val="0"/>
          <w:divBdr>
            <w:top w:val="none" w:sz="0" w:space="0" w:color="auto"/>
            <w:left w:val="none" w:sz="0" w:space="0" w:color="auto"/>
            <w:bottom w:val="none" w:sz="0" w:space="0" w:color="auto"/>
            <w:right w:val="none" w:sz="0" w:space="0" w:color="auto"/>
          </w:divBdr>
        </w:div>
        <w:div w:id="747309560">
          <w:marLeft w:val="720"/>
          <w:marRight w:val="0"/>
          <w:marTop w:val="96"/>
          <w:marBottom w:val="0"/>
          <w:divBdr>
            <w:top w:val="none" w:sz="0" w:space="0" w:color="auto"/>
            <w:left w:val="none" w:sz="0" w:space="0" w:color="auto"/>
            <w:bottom w:val="none" w:sz="0" w:space="0" w:color="auto"/>
            <w:right w:val="none" w:sz="0" w:space="0" w:color="auto"/>
          </w:divBdr>
        </w:div>
        <w:div w:id="1658532416">
          <w:marLeft w:val="720"/>
          <w:marRight w:val="0"/>
          <w:marTop w:val="96"/>
          <w:marBottom w:val="0"/>
          <w:divBdr>
            <w:top w:val="none" w:sz="0" w:space="0" w:color="auto"/>
            <w:left w:val="none" w:sz="0" w:space="0" w:color="auto"/>
            <w:bottom w:val="none" w:sz="0" w:space="0" w:color="auto"/>
            <w:right w:val="none" w:sz="0" w:space="0" w:color="auto"/>
          </w:divBdr>
        </w:div>
      </w:divsChild>
    </w:div>
    <w:div w:id="1872454364">
      <w:bodyDiv w:val="1"/>
      <w:marLeft w:val="0"/>
      <w:marRight w:val="0"/>
      <w:marTop w:val="0"/>
      <w:marBottom w:val="0"/>
      <w:divBdr>
        <w:top w:val="none" w:sz="0" w:space="0" w:color="auto"/>
        <w:left w:val="none" w:sz="0" w:space="0" w:color="auto"/>
        <w:bottom w:val="none" w:sz="0" w:space="0" w:color="auto"/>
        <w:right w:val="none" w:sz="0" w:space="0" w:color="auto"/>
      </w:divBdr>
    </w:div>
    <w:div w:id="2082940088">
      <w:bodyDiv w:val="1"/>
      <w:marLeft w:val="0"/>
      <w:marRight w:val="0"/>
      <w:marTop w:val="0"/>
      <w:marBottom w:val="0"/>
      <w:divBdr>
        <w:top w:val="none" w:sz="0" w:space="0" w:color="auto"/>
        <w:left w:val="none" w:sz="0" w:space="0" w:color="auto"/>
        <w:bottom w:val="none" w:sz="0" w:space="0" w:color="auto"/>
        <w:right w:val="none" w:sz="0" w:space="0" w:color="auto"/>
      </w:divBdr>
    </w:div>
    <w:div w:id="20862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sac.gov.au/internet/msac/publishing.nsf/Content/5CCEE0801F4CBDA6CA2586780012D491/$File/1661%20Ratified%20PICO.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ac.gov.au/internet/msac/publishing.nsf/Content/7B7ACE987CFF0FF3CA25801000123C19/$File/1422-FinalPSD-accessible.pdf" TargetMode="External"/><Relationship Id="rId17" Type="http://schemas.openxmlformats.org/officeDocument/2006/relationships/hyperlink" Target="http://www.msac.gov.a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385CE59BD6CF6D7ACA25801000123B60/$File/1099-One-Page-Summary.pdf" TargetMode="External"/><Relationship Id="rId5" Type="http://schemas.openxmlformats.org/officeDocument/2006/relationships/webSettings" Target="webSettings.xml"/><Relationship Id="rId15" Type="http://schemas.openxmlformats.org/officeDocument/2006/relationships/hyperlink" Target="http://www.msac.gov.au/internet/msac/publishing.nsf/Content/7B7ACE987CFF0FF3CA25801000123C19/$File/1422-FinalPSD-accessible.pdf" TargetMode="External"/><Relationship Id="rId10" Type="http://schemas.openxmlformats.org/officeDocument/2006/relationships/hyperlink" Target="https://www.anzctr.org.au/Trial/Registration/TrialReview.aspx?id=37285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ac.gov.au/internet/msac/publishing.nsf/Content/7B7ACE987CFF0FF3CA25801000123C19/$File/1422-FinalPSD-accessible.pdf" TargetMode="External"/><Relationship Id="rId14" Type="http://schemas.openxmlformats.org/officeDocument/2006/relationships/hyperlink" Target="http://www.msac.gov.au/internet/msac/publishing.nsf/Content/7B7ACE987CFF0FF3CA25801000123C19/$File/1422-FinalPSD-accessibl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afetyandquality.gov.au/our-work/healthcare-variation/atlas-2017" TargetMode="External"/><Relationship Id="rId1" Type="http://schemas.openxmlformats.org/officeDocument/2006/relationships/hyperlink" Target="https://www.safetyandquality.gov.au/our-work/healthcare-variation/atlas-2017/atlas-2017-4-surgical-interv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00B74-1CD1-4F87-8FC5-B7C134F0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17611</Words>
  <Characters>100388</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2022-03-10T23:20:00Z</dcterms:created>
  <dcterms:modified xsi:type="dcterms:W3CDTF">2022-03-11T03:58:00Z</dcterms:modified>
</cp:coreProperties>
</file>