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FE6B6C" w14:textId="77777777" w:rsidR="006478E7" w:rsidRPr="00490FBB" w:rsidRDefault="006478E7" w:rsidP="006478E7">
      <w:pPr>
        <w:spacing w:before="120" w:after="120" w:line="312" w:lineRule="auto"/>
        <w:jc w:val="center"/>
      </w:pPr>
      <w:r w:rsidRPr="00490FBB">
        <w:rPr>
          <w:b/>
          <w:noProof/>
          <w:lang w:eastAsia="en-AU"/>
        </w:rPr>
        <w:drawing>
          <wp:inline distT="0" distB="0" distL="0" distR="0" wp14:anchorId="42587FCD" wp14:editId="582BB802">
            <wp:extent cx="1891665" cy="1229995"/>
            <wp:effectExtent l="0" t="0" r="0" b="0"/>
            <wp:docPr id="1" name="Picture 1" title="Department of Health Logo"/>
            <wp:cNvGraphicFramePr/>
            <a:graphic xmlns:a="http://schemas.openxmlformats.org/drawingml/2006/main">
              <a:graphicData uri="http://schemas.openxmlformats.org/drawingml/2006/picture">
                <pic:pic xmlns:pic="http://schemas.openxmlformats.org/drawingml/2006/picture">
                  <pic:nvPicPr>
                    <pic:cNvPr id="1" name="Picture 2" title="Department of Health Logo"/>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760" cy="1226820"/>
                    </a:xfrm>
                    <a:prstGeom prst="rect">
                      <a:avLst/>
                    </a:prstGeom>
                    <a:noFill/>
                    <a:ln>
                      <a:noFill/>
                    </a:ln>
                  </pic:spPr>
                </pic:pic>
              </a:graphicData>
            </a:graphic>
          </wp:inline>
        </w:drawing>
      </w:r>
    </w:p>
    <w:p w14:paraId="50B6D781" w14:textId="4825FC72" w:rsidR="006478E7" w:rsidRPr="00490FBB" w:rsidRDefault="008F1710" w:rsidP="008C4B3C">
      <w:pPr>
        <w:pStyle w:val="Heading10"/>
        <w:spacing w:before="1800"/>
        <w:jc w:val="center"/>
        <w:rPr>
          <w:sz w:val="48"/>
          <w:szCs w:val="48"/>
        </w:rPr>
      </w:pPr>
      <w:r>
        <w:rPr>
          <w:sz w:val="48"/>
          <w:szCs w:val="48"/>
        </w:rPr>
        <w:t xml:space="preserve">MSAC </w:t>
      </w:r>
      <w:r w:rsidR="006478E7" w:rsidRPr="00490FBB">
        <w:rPr>
          <w:sz w:val="48"/>
          <w:szCs w:val="48"/>
        </w:rPr>
        <w:t xml:space="preserve">Application </w:t>
      </w:r>
      <w:r w:rsidR="005C30B4">
        <w:rPr>
          <w:sz w:val="48"/>
          <w:szCs w:val="48"/>
        </w:rPr>
        <w:t>1690</w:t>
      </w:r>
      <w:r w:rsidR="006478E7" w:rsidRPr="00490FBB">
        <w:rPr>
          <w:sz w:val="48"/>
          <w:szCs w:val="48"/>
        </w:rPr>
        <w:t>:</w:t>
      </w:r>
      <w:r w:rsidR="0031474B">
        <w:rPr>
          <w:sz w:val="48"/>
          <w:szCs w:val="48"/>
        </w:rPr>
        <w:t xml:space="preserve"> </w:t>
      </w:r>
    </w:p>
    <w:p w14:paraId="39CC0389" w14:textId="79DB7297" w:rsidR="006478E7" w:rsidRPr="008F1710" w:rsidRDefault="00B32BAB" w:rsidP="007B3B41">
      <w:pPr>
        <w:pStyle w:val="Heading10"/>
        <w:spacing w:before="240"/>
        <w:jc w:val="center"/>
        <w:rPr>
          <w:color w:val="0070C0"/>
          <w:sz w:val="48"/>
          <w:szCs w:val="48"/>
        </w:rPr>
      </w:pPr>
      <w:bookmarkStart w:id="0" w:name="_Hlk88144655"/>
      <w:r w:rsidRPr="008F1710">
        <w:rPr>
          <w:color w:val="0070C0"/>
          <w:sz w:val="48"/>
          <w:szCs w:val="48"/>
        </w:rPr>
        <w:t>C</w:t>
      </w:r>
      <w:r w:rsidR="005C30B4" w:rsidRPr="008F1710">
        <w:rPr>
          <w:color w:val="0070C0"/>
          <w:sz w:val="48"/>
          <w:szCs w:val="48"/>
        </w:rPr>
        <w:t>iltacabtagene autoleucel, a B-cell maturation antigen (BCMA)-directed chimeric antigen receptor T cell (CAR-T) to treat refractory or relapsed multiple myeloma (RRMM)</w:t>
      </w:r>
    </w:p>
    <w:bookmarkEnd w:id="0"/>
    <w:p w14:paraId="07FEDE0C" w14:textId="39729928" w:rsidR="0031474B" w:rsidRDefault="006D5873" w:rsidP="007C0645">
      <w:pPr>
        <w:pStyle w:val="Heading1"/>
        <w:spacing w:before="960"/>
        <w:rPr>
          <w:rFonts w:asciiTheme="minorHAnsi" w:eastAsia="Courier" w:hAnsiTheme="minorHAnsi" w:cs="Courier"/>
        </w:rPr>
      </w:pPr>
      <w:r>
        <w:rPr>
          <w:rFonts w:asciiTheme="minorHAnsi" w:eastAsia="Courier" w:hAnsiTheme="minorHAnsi" w:cs="Courier"/>
        </w:rPr>
        <w:t>Ratified</w:t>
      </w:r>
      <w:r w:rsidR="0031474B" w:rsidRPr="0031474B">
        <w:rPr>
          <w:rFonts w:asciiTheme="minorHAnsi" w:eastAsia="Courier" w:hAnsiTheme="minorHAnsi" w:cs="Courier"/>
        </w:rPr>
        <w:t xml:space="preserve"> </w:t>
      </w:r>
    </w:p>
    <w:p w14:paraId="72C804E9" w14:textId="67A0342F" w:rsidR="0031474B" w:rsidRPr="0031474B" w:rsidRDefault="0031474B" w:rsidP="0031474B">
      <w:pPr>
        <w:pStyle w:val="Heading1"/>
        <w:spacing w:before="200"/>
        <w:rPr>
          <w:rFonts w:asciiTheme="minorHAnsi" w:eastAsia="Courier" w:hAnsiTheme="minorHAnsi" w:cs="Courier"/>
        </w:rPr>
      </w:pPr>
      <w:r w:rsidRPr="0031474B">
        <w:rPr>
          <w:rFonts w:asciiTheme="minorHAnsi" w:eastAsia="Courier" w:hAnsiTheme="minorHAnsi" w:cs="Courier"/>
        </w:rPr>
        <w:t>PICO Confirmation</w:t>
      </w:r>
    </w:p>
    <w:p w14:paraId="26970FC7" w14:textId="0D84C388" w:rsidR="006478E7" w:rsidRPr="00490FBB" w:rsidRDefault="006478E7" w:rsidP="0031474B">
      <w:pPr>
        <w:spacing w:before="180"/>
        <w:jc w:val="center"/>
        <w:rPr>
          <w:rFonts w:ascii="Arial" w:hAnsi="Arial" w:cs="Arial"/>
          <w:b/>
          <w:sz w:val="32"/>
          <w:szCs w:val="32"/>
        </w:rPr>
      </w:pPr>
    </w:p>
    <w:p w14:paraId="23900CA0" w14:textId="77777777" w:rsidR="006478E7" w:rsidRPr="00490FBB" w:rsidRDefault="006478E7">
      <w:r w:rsidRPr="00490FBB">
        <w:br w:type="page"/>
      </w:r>
    </w:p>
    <w:p w14:paraId="219312C8" w14:textId="23DB2F29" w:rsidR="006478E7" w:rsidRPr="008F1710" w:rsidRDefault="006478E7" w:rsidP="00B7425E">
      <w:pPr>
        <w:spacing w:after="120"/>
        <w:rPr>
          <w:b/>
          <w:bCs/>
          <w:i/>
          <w:iCs/>
        </w:rPr>
      </w:pPr>
      <w:r w:rsidRPr="008F1710">
        <w:rPr>
          <w:b/>
          <w:bCs/>
          <w:i/>
          <w:iCs/>
        </w:rPr>
        <w:lastRenderedPageBreak/>
        <w:t>Summary of PI</w:t>
      </w:r>
      <w:r w:rsidR="00235B21" w:rsidRPr="008F1710">
        <w:rPr>
          <w:b/>
          <w:bCs/>
          <w:i/>
          <w:iCs/>
        </w:rPr>
        <w:t xml:space="preserve">CO/PPICO criteria to define </w:t>
      </w:r>
      <w:r w:rsidRPr="008F1710">
        <w:rPr>
          <w:b/>
          <w:bCs/>
          <w:i/>
          <w:iCs/>
        </w:rPr>
        <w:t>questions to be addressed in an Assessment Report to the Medical Services Advisory Committee (MSAC)</w:t>
      </w:r>
    </w:p>
    <w:p w14:paraId="224459F3" w14:textId="246E3AB5" w:rsidR="00D52956" w:rsidRDefault="00D52956" w:rsidP="00B7425E">
      <w:pPr>
        <w:pStyle w:val="Caption"/>
        <w:spacing w:before="100" w:beforeAutospacing="1"/>
      </w:pPr>
      <w:bookmarkStart w:id="1" w:name="_Ref69732160"/>
      <w:bookmarkStart w:id="2" w:name="_Ref69732155"/>
      <w:r>
        <w:t>Table</w:t>
      </w:r>
      <w:r w:rsidR="00FD4C65">
        <w:t> </w:t>
      </w:r>
      <w:r>
        <w:fldChar w:fldCharType="begin"/>
      </w:r>
      <w:r>
        <w:instrText xml:space="preserve"> SEQ Table \* ARABIC </w:instrText>
      </w:r>
      <w:r>
        <w:fldChar w:fldCharType="separate"/>
      </w:r>
      <w:r>
        <w:rPr>
          <w:noProof/>
        </w:rPr>
        <w:t>1</w:t>
      </w:r>
      <w:r>
        <w:fldChar w:fldCharType="end"/>
      </w:r>
      <w:bookmarkEnd w:id="1"/>
      <w:r>
        <w:tab/>
        <w:t xml:space="preserve">PICO for </w:t>
      </w:r>
      <w:r w:rsidR="005C30B4">
        <w:t>ciltacabtagene auto</w:t>
      </w:r>
      <w:r w:rsidR="007A3220">
        <w:t>leu</w:t>
      </w:r>
      <w:r w:rsidR="005C30B4">
        <w:t>cel</w:t>
      </w:r>
      <w:r>
        <w:t xml:space="preserve"> in </w:t>
      </w:r>
      <w:r w:rsidR="005C30B4" w:rsidRPr="005C30B4">
        <w:t xml:space="preserve">fourth line or later multiple </w:t>
      </w:r>
      <w:r w:rsidR="007A3220" w:rsidRPr="005C30B4">
        <w:t>myeloma</w:t>
      </w:r>
      <w:bookmarkEnd w:id="2"/>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1923"/>
        <w:gridCol w:w="7643"/>
      </w:tblGrid>
      <w:tr w:rsidR="006478E7" w:rsidRPr="00490FBB" w14:paraId="2A509B30" w14:textId="77777777" w:rsidTr="00C54349">
        <w:trPr>
          <w:trHeight w:val="372"/>
          <w:tblHeader/>
        </w:trPr>
        <w:tc>
          <w:tcPr>
            <w:tcW w:w="1005" w:type="pct"/>
            <w:tcBorders>
              <w:top w:val="single" w:sz="8" w:space="0" w:color="auto"/>
              <w:left w:val="single" w:sz="8" w:space="0" w:color="auto"/>
              <w:bottom w:val="single" w:sz="8" w:space="0" w:color="auto"/>
              <w:right w:val="single" w:sz="4" w:space="0" w:color="auto"/>
            </w:tcBorders>
            <w:shd w:val="clear" w:color="auto" w:fill="D9D9D9"/>
            <w:vAlign w:val="center"/>
            <w:hideMark/>
          </w:tcPr>
          <w:p w14:paraId="333B8A35" w14:textId="77777777" w:rsidR="006478E7" w:rsidRPr="00490FBB" w:rsidRDefault="006478E7" w:rsidP="00C54349">
            <w:pPr>
              <w:spacing w:before="20" w:after="20" w:line="240" w:lineRule="auto"/>
              <w:rPr>
                <w:b/>
              </w:rPr>
            </w:pPr>
            <w:bookmarkStart w:id="3" w:name="Title_Table1" w:colFirst="0" w:colLast="0"/>
            <w:r w:rsidRPr="00490FBB">
              <w:rPr>
                <w:b/>
              </w:rPr>
              <w:t>Component</w:t>
            </w:r>
          </w:p>
        </w:tc>
        <w:tc>
          <w:tcPr>
            <w:tcW w:w="399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E31DF4F" w14:textId="77777777" w:rsidR="006478E7" w:rsidRPr="00490FBB" w:rsidRDefault="006478E7" w:rsidP="00C54349">
            <w:pPr>
              <w:spacing w:before="20" w:after="20" w:line="240" w:lineRule="auto"/>
              <w:rPr>
                <w:b/>
              </w:rPr>
            </w:pPr>
            <w:r w:rsidRPr="00490FBB">
              <w:rPr>
                <w:b/>
              </w:rPr>
              <w:t>Description</w:t>
            </w:r>
          </w:p>
        </w:tc>
      </w:tr>
      <w:bookmarkEnd w:id="3"/>
      <w:tr w:rsidR="006478E7" w:rsidRPr="00490FBB" w14:paraId="78E0BB65" w14:textId="77777777" w:rsidTr="006478E7">
        <w:tc>
          <w:tcPr>
            <w:tcW w:w="1005" w:type="pct"/>
            <w:tcBorders>
              <w:top w:val="single" w:sz="8" w:space="0" w:color="auto"/>
              <w:left w:val="single" w:sz="8" w:space="0" w:color="auto"/>
              <w:bottom w:val="single" w:sz="4" w:space="0" w:color="auto"/>
              <w:right w:val="single" w:sz="4" w:space="0" w:color="auto"/>
            </w:tcBorders>
            <w:hideMark/>
          </w:tcPr>
          <w:p w14:paraId="715E50D5" w14:textId="74EB4863" w:rsidR="006478E7" w:rsidRPr="00490FBB" w:rsidRDefault="00F660E8" w:rsidP="00E01349">
            <w:pPr>
              <w:spacing w:before="120" w:after="120" w:line="240" w:lineRule="auto"/>
              <w:rPr>
                <w:rFonts w:cs="Arial"/>
              </w:rPr>
            </w:pPr>
            <w:r>
              <w:rPr>
                <w:rFonts w:cs="Arial"/>
              </w:rPr>
              <w:t>Population</w:t>
            </w:r>
          </w:p>
        </w:tc>
        <w:tc>
          <w:tcPr>
            <w:tcW w:w="3995" w:type="pct"/>
            <w:tcBorders>
              <w:top w:val="single" w:sz="4" w:space="0" w:color="auto"/>
              <w:left w:val="single" w:sz="4" w:space="0" w:color="auto"/>
              <w:bottom w:val="single" w:sz="4" w:space="0" w:color="auto"/>
              <w:right w:val="single" w:sz="4" w:space="0" w:color="auto"/>
            </w:tcBorders>
            <w:hideMark/>
          </w:tcPr>
          <w:p w14:paraId="319F3103" w14:textId="075A3112" w:rsidR="00F44333" w:rsidRDefault="006C2D88" w:rsidP="00206D11">
            <w:pPr>
              <w:pStyle w:val="Instructionaltext"/>
              <w:spacing w:after="120"/>
              <w:rPr>
                <w:color w:val="000000" w:themeColor="text1"/>
              </w:rPr>
            </w:pPr>
            <w:r>
              <w:rPr>
                <w:color w:val="000000" w:themeColor="text1"/>
              </w:rPr>
              <w:t>Adult p</w:t>
            </w:r>
            <w:r w:rsidR="005C30B4" w:rsidRPr="00F44333">
              <w:rPr>
                <w:color w:val="000000" w:themeColor="text1"/>
              </w:rPr>
              <w:t>atients with relapsed or refractory multiple myeloma</w:t>
            </w:r>
            <w:r w:rsidR="00206D11">
              <w:rPr>
                <w:color w:val="000000" w:themeColor="text1"/>
              </w:rPr>
              <w:t xml:space="preserve"> (RRMM)</w:t>
            </w:r>
            <w:r w:rsidR="005C30B4" w:rsidRPr="00F44333">
              <w:rPr>
                <w:color w:val="000000" w:themeColor="text1"/>
              </w:rPr>
              <w:t>, who have received at least three prior lines of therapy, including</w:t>
            </w:r>
            <w:r w:rsidR="00F44333">
              <w:rPr>
                <w:color w:val="000000" w:themeColor="text1"/>
              </w:rPr>
              <w:t>:</w:t>
            </w:r>
          </w:p>
          <w:p w14:paraId="0ED7BB30" w14:textId="3F2762D7" w:rsidR="00F44333" w:rsidRDefault="005C30B4" w:rsidP="00206D11">
            <w:pPr>
              <w:pStyle w:val="Instructionaltext"/>
              <w:numPr>
                <w:ilvl w:val="0"/>
                <w:numId w:val="24"/>
              </w:numPr>
              <w:ind w:left="357" w:hanging="357"/>
              <w:contextualSpacing/>
              <w:rPr>
                <w:color w:val="000000" w:themeColor="text1"/>
              </w:rPr>
            </w:pPr>
            <w:r w:rsidRPr="00F44333">
              <w:rPr>
                <w:color w:val="000000" w:themeColor="text1"/>
              </w:rPr>
              <w:t>a proteasome inhibitor</w:t>
            </w:r>
            <w:r w:rsidR="00206D11">
              <w:rPr>
                <w:color w:val="000000" w:themeColor="text1"/>
              </w:rPr>
              <w:t xml:space="preserve"> (PI)</w:t>
            </w:r>
            <w:r w:rsidR="00F44333">
              <w:rPr>
                <w:color w:val="000000" w:themeColor="text1"/>
              </w:rPr>
              <w:t>;</w:t>
            </w:r>
          </w:p>
          <w:p w14:paraId="5F71DBB2" w14:textId="34AACA8C" w:rsidR="00F44333" w:rsidRDefault="005C30B4" w:rsidP="00206D11">
            <w:pPr>
              <w:pStyle w:val="Instructionaltext"/>
              <w:numPr>
                <w:ilvl w:val="0"/>
                <w:numId w:val="24"/>
              </w:numPr>
              <w:ind w:left="357" w:hanging="357"/>
              <w:contextualSpacing/>
              <w:rPr>
                <w:color w:val="000000" w:themeColor="text1"/>
              </w:rPr>
            </w:pPr>
            <w:r w:rsidRPr="00F44333">
              <w:rPr>
                <w:color w:val="000000" w:themeColor="text1"/>
              </w:rPr>
              <w:t>an immunomodulatory agent</w:t>
            </w:r>
            <w:r w:rsidR="00206D11">
              <w:rPr>
                <w:color w:val="000000" w:themeColor="text1"/>
              </w:rPr>
              <w:t xml:space="preserve"> (IMiD)</w:t>
            </w:r>
            <w:r w:rsidR="00F44333">
              <w:rPr>
                <w:color w:val="000000" w:themeColor="text1"/>
              </w:rPr>
              <w:t>;</w:t>
            </w:r>
            <w:r w:rsidRPr="00F44333">
              <w:rPr>
                <w:color w:val="000000" w:themeColor="text1"/>
              </w:rPr>
              <w:t xml:space="preserve"> </w:t>
            </w:r>
            <w:r w:rsidR="00206D11">
              <w:rPr>
                <w:color w:val="000000" w:themeColor="text1"/>
              </w:rPr>
              <w:t>and</w:t>
            </w:r>
          </w:p>
          <w:p w14:paraId="4A4FF7C2" w14:textId="4C19534B" w:rsidR="006478E7" w:rsidRPr="00F44333" w:rsidRDefault="005C30B4" w:rsidP="00206D11">
            <w:pPr>
              <w:pStyle w:val="Instructionaltext"/>
              <w:numPr>
                <w:ilvl w:val="0"/>
                <w:numId w:val="24"/>
              </w:numPr>
              <w:ind w:left="357" w:hanging="357"/>
              <w:contextualSpacing/>
              <w:rPr>
                <w:color w:val="000000" w:themeColor="text1"/>
              </w:rPr>
            </w:pPr>
            <w:r w:rsidRPr="00F44333">
              <w:rPr>
                <w:color w:val="000000" w:themeColor="text1"/>
              </w:rPr>
              <w:t>an anti-CD38</w:t>
            </w:r>
            <w:r w:rsidR="00F44333">
              <w:rPr>
                <w:color w:val="000000" w:themeColor="text1"/>
              </w:rPr>
              <w:t xml:space="preserve"> </w:t>
            </w:r>
            <w:r w:rsidRPr="00F44333">
              <w:rPr>
                <w:color w:val="000000" w:themeColor="text1"/>
              </w:rPr>
              <w:t>antibody</w:t>
            </w:r>
            <w:r w:rsidR="00206D11">
              <w:rPr>
                <w:color w:val="000000" w:themeColor="text1"/>
              </w:rPr>
              <w:t>.</w:t>
            </w:r>
          </w:p>
        </w:tc>
      </w:tr>
      <w:tr w:rsidR="006478E7" w:rsidRPr="00490FBB" w14:paraId="654E13A9" w14:textId="77777777" w:rsidTr="006478E7">
        <w:tc>
          <w:tcPr>
            <w:tcW w:w="1005" w:type="pct"/>
            <w:tcBorders>
              <w:top w:val="single" w:sz="4" w:space="0" w:color="auto"/>
              <w:left w:val="single" w:sz="8" w:space="0" w:color="auto"/>
              <w:bottom w:val="single" w:sz="4" w:space="0" w:color="auto"/>
              <w:right w:val="single" w:sz="4" w:space="0" w:color="auto"/>
            </w:tcBorders>
            <w:hideMark/>
          </w:tcPr>
          <w:p w14:paraId="5BF0C211" w14:textId="77777777" w:rsidR="006478E7" w:rsidRPr="00490FBB" w:rsidRDefault="006478E7" w:rsidP="00E01349">
            <w:pPr>
              <w:spacing w:before="120" w:after="120" w:line="240" w:lineRule="auto"/>
              <w:rPr>
                <w:rFonts w:cs="Arial"/>
              </w:rPr>
            </w:pPr>
            <w:r w:rsidRPr="00490FBB">
              <w:rPr>
                <w:rFonts w:cs="Arial"/>
              </w:rPr>
              <w:t>Intervention</w:t>
            </w:r>
          </w:p>
        </w:tc>
        <w:tc>
          <w:tcPr>
            <w:tcW w:w="3995" w:type="pct"/>
            <w:tcBorders>
              <w:top w:val="single" w:sz="4" w:space="0" w:color="auto"/>
              <w:left w:val="single" w:sz="4" w:space="0" w:color="auto"/>
              <w:bottom w:val="single" w:sz="4" w:space="0" w:color="auto"/>
              <w:right w:val="single" w:sz="4" w:space="0" w:color="auto"/>
            </w:tcBorders>
            <w:hideMark/>
          </w:tcPr>
          <w:p w14:paraId="3E51DB12" w14:textId="68DB18C0" w:rsidR="006478E7" w:rsidRPr="00F44333" w:rsidRDefault="005C30B4" w:rsidP="00C54349">
            <w:pPr>
              <w:pStyle w:val="Instructionaltext"/>
              <w:rPr>
                <w:color w:val="000000" w:themeColor="text1"/>
              </w:rPr>
            </w:pPr>
            <w:r w:rsidRPr="00F44333">
              <w:rPr>
                <w:color w:val="000000" w:themeColor="text1"/>
              </w:rPr>
              <w:t>Ciltacabtagene auto</w:t>
            </w:r>
            <w:r w:rsidR="007A3220">
              <w:rPr>
                <w:color w:val="000000" w:themeColor="text1"/>
              </w:rPr>
              <w:t>leu</w:t>
            </w:r>
            <w:r w:rsidRPr="00F44333">
              <w:rPr>
                <w:color w:val="000000" w:themeColor="text1"/>
              </w:rPr>
              <w:t>cel</w:t>
            </w:r>
            <w:r w:rsidR="00F44333">
              <w:rPr>
                <w:color w:val="000000" w:themeColor="text1"/>
              </w:rPr>
              <w:t xml:space="preserve"> (also known as </w:t>
            </w:r>
            <w:proofErr w:type="spellStart"/>
            <w:r w:rsidR="00F44333">
              <w:rPr>
                <w:color w:val="000000" w:themeColor="text1"/>
              </w:rPr>
              <w:t>cilta-cel</w:t>
            </w:r>
            <w:proofErr w:type="spellEnd"/>
            <w:r w:rsidR="00F44333">
              <w:rPr>
                <w:color w:val="000000" w:themeColor="text1"/>
              </w:rPr>
              <w:t xml:space="preserve"> and brand </w:t>
            </w:r>
            <w:proofErr w:type="spellStart"/>
            <w:r w:rsidR="00F44333">
              <w:rPr>
                <w:color w:val="000000" w:themeColor="text1"/>
              </w:rPr>
              <w:t>name</w:t>
            </w:r>
            <w:r w:rsidR="00850492">
              <w:rPr>
                <w:color w:val="000000" w:themeColor="text1"/>
              </w:rPr>
              <w:t>REDACTED</w:t>
            </w:r>
            <w:proofErr w:type="spellEnd"/>
            <w:r w:rsidR="00850492">
              <w:rPr>
                <w:color w:val="000000" w:themeColor="text1"/>
              </w:rPr>
              <w:t xml:space="preserve"> </w:t>
            </w:r>
            <w:r w:rsidR="00206D11">
              <w:rPr>
                <w:color w:val="000000" w:themeColor="text1"/>
              </w:rPr>
              <w:t>)</w:t>
            </w:r>
          </w:p>
        </w:tc>
      </w:tr>
      <w:tr w:rsidR="006478E7" w:rsidRPr="00490FBB" w14:paraId="1F5647C3" w14:textId="77777777" w:rsidTr="006478E7">
        <w:tc>
          <w:tcPr>
            <w:tcW w:w="1005" w:type="pct"/>
            <w:tcBorders>
              <w:top w:val="single" w:sz="4" w:space="0" w:color="auto"/>
              <w:left w:val="single" w:sz="8" w:space="0" w:color="auto"/>
              <w:bottom w:val="single" w:sz="4" w:space="0" w:color="auto"/>
              <w:right w:val="single" w:sz="4" w:space="0" w:color="auto"/>
            </w:tcBorders>
            <w:hideMark/>
          </w:tcPr>
          <w:p w14:paraId="7F55173A" w14:textId="77777777" w:rsidR="006478E7" w:rsidRPr="00490FBB" w:rsidRDefault="006478E7" w:rsidP="00E01349">
            <w:pPr>
              <w:spacing w:before="120" w:after="120" w:line="240" w:lineRule="auto"/>
              <w:rPr>
                <w:rFonts w:cs="Arial"/>
              </w:rPr>
            </w:pPr>
            <w:r w:rsidRPr="00490FBB">
              <w:rPr>
                <w:rFonts w:cs="Arial"/>
              </w:rPr>
              <w:t>Comparator</w:t>
            </w:r>
            <w:r w:rsidR="00D83062">
              <w:rPr>
                <w:rFonts w:cs="Arial"/>
              </w:rPr>
              <w:t>/s</w:t>
            </w:r>
          </w:p>
        </w:tc>
        <w:tc>
          <w:tcPr>
            <w:tcW w:w="3995" w:type="pct"/>
            <w:tcBorders>
              <w:top w:val="single" w:sz="4" w:space="0" w:color="auto"/>
              <w:left w:val="single" w:sz="4" w:space="0" w:color="auto"/>
              <w:bottom w:val="single" w:sz="4" w:space="0" w:color="auto"/>
              <w:right w:val="single" w:sz="4" w:space="0" w:color="auto"/>
            </w:tcBorders>
            <w:hideMark/>
          </w:tcPr>
          <w:p w14:paraId="7E690E4B" w14:textId="65132749" w:rsidR="006478E7" w:rsidRPr="00F44333" w:rsidRDefault="005C30B4" w:rsidP="00C54349">
            <w:pPr>
              <w:pStyle w:val="Instructionaltext"/>
              <w:rPr>
                <w:color w:val="000000" w:themeColor="text1"/>
              </w:rPr>
            </w:pPr>
            <w:r w:rsidRPr="00F44333">
              <w:rPr>
                <w:color w:val="000000" w:themeColor="text1"/>
              </w:rPr>
              <w:t>Pomalidomide with dexamethasone or carfilzomib with dexamethasone</w:t>
            </w:r>
            <w:r w:rsidR="00206D11">
              <w:rPr>
                <w:color w:val="000000" w:themeColor="text1"/>
              </w:rPr>
              <w:t>.</w:t>
            </w:r>
          </w:p>
        </w:tc>
      </w:tr>
      <w:tr w:rsidR="006478E7" w:rsidRPr="00490FBB" w14:paraId="591B1D2D" w14:textId="77777777" w:rsidTr="00BB1698">
        <w:tc>
          <w:tcPr>
            <w:tcW w:w="1005" w:type="pct"/>
            <w:tcBorders>
              <w:top w:val="single" w:sz="4" w:space="0" w:color="auto"/>
              <w:left w:val="single" w:sz="8" w:space="0" w:color="auto"/>
              <w:bottom w:val="single" w:sz="4" w:space="0" w:color="auto"/>
              <w:right w:val="single" w:sz="4" w:space="0" w:color="auto"/>
            </w:tcBorders>
            <w:hideMark/>
          </w:tcPr>
          <w:p w14:paraId="635F9D15" w14:textId="77777777" w:rsidR="006478E7" w:rsidRPr="00490FBB" w:rsidRDefault="006478E7" w:rsidP="00E01349">
            <w:pPr>
              <w:spacing w:before="120" w:after="120" w:line="240" w:lineRule="auto"/>
              <w:rPr>
                <w:rFonts w:cs="Arial"/>
              </w:rPr>
            </w:pPr>
            <w:r w:rsidRPr="00490FBB">
              <w:rPr>
                <w:rFonts w:cs="Arial"/>
              </w:rPr>
              <w:t>Outcomes</w:t>
            </w:r>
          </w:p>
        </w:tc>
        <w:tc>
          <w:tcPr>
            <w:tcW w:w="3995" w:type="pct"/>
            <w:tcBorders>
              <w:top w:val="single" w:sz="4" w:space="0" w:color="auto"/>
              <w:left w:val="single" w:sz="4" w:space="0" w:color="auto"/>
              <w:bottom w:val="single" w:sz="4" w:space="0" w:color="auto"/>
              <w:right w:val="single" w:sz="4" w:space="0" w:color="auto"/>
            </w:tcBorders>
            <w:hideMark/>
          </w:tcPr>
          <w:p w14:paraId="406D77FD" w14:textId="332C6815" w:rsidR="00206D11" w:rsidRPr="00DF3EEF" w:rsidRDefault="00206D11" w:rsidP="00B7425E">
            <w:pPr>
              <w:spacing w:before="120" w:after="0" w:line="240" w:lineRule="auto"/>
              <w:rPr>
                <w:u w:val="single"/>
              </w:rPr>
            </w:pPr>
            <w:r w:rsidRPr="00206D11">
              <w:rPr>
                <w:u w:val="single"/>
              </w:rPr>
              <w:t xml:space="preserve">Clinical </w:t>
            </w:r>
            <w:r w:rsidRPr="00206D11">
              <w:rPr>
                <w:rFonts w:cs="Arial"/>
                <w:u w:val="single"/>
              </w:rPr>
              <w:t>Effectiveness</w:t>
            </w:r>
            <w:r w:rsidRPr="00206D11">
              <w:rPr>
                <w:u w:val="single"/>
              </w:rPr>
              <w:t xml:space="preserve"> Outcomes</w:t>
            </w:r>
            <w:r w:rsidRPr="00DF3EEF">
              <w:rPr>
                <w:u w:val="single"/>
              </w:rPr>
              <w:t xml:space="preserve">: </w:t>
            </w:r>
          </w:p>
          <w:p w14:paraId="42A0FFE0" w14:textId="77777777" w:rsidR="00206D11" w:rsidRDefault="00206D11" w:rsidP="00B7425E">
            <w:pPr>
              <w:pStyle w:val="ListParagraph"/>
              <w:numPr>
                <w:ilvl w:val="0"/>
                <w:numId w:val="22"/>
              </w:numPr>
              <w:spacing w:after="0"/>
              <w:ind w:left="284" w:hanging="284"/>
            </w:pPr>
            <w:r w:rsidRPr="0057606E">
              <w:t>Complete response/stringent complete response (CR/sCR)</w:t>
            </w:r>
            <w:r>
              <w:t>.</w:t>
            </w:r>
          </w:p>
          <w:p w14:paraId="3584FB7C" w14:textId="77777777" w:rsidR="00206D11" w:rsidRDefault="00206D11" w:rsidP="00B7425E">
            <w:pPr>
              <w:pStyle w:val="ListParagraph"/>
              <w:numPr>
                <w:ilvl w:val="0"/>
                <w:numId w:val="22"/>
              </w:numPr>
              <w:spacing w:after="0"/>
              <w:ind w:left="284" w:hanging="284"/>
            </w:pPr>
            <w:r>
              <w:t>O</w:t>
            </w:r>
            <w:r w:rsidRPr="0057606E">
              <w:t>verall response rate (ORR)</w:t>
            </w:r>
            <w:r>
              <w:t>.</w:t>
            </w:r>
          </w:p>
          <w:p w14:paraId="49B085FC" w14:textId="77777777" w:rsidR="00206D11" w:rsidRDefault="00206D11" w:rsidP="00B7425E">
            <w:pPr>
              <w:pStyle w:val="ListParagraph"/>
              <w:numPr>
                <w:ilvl w:val="0"/>
                <w:numId w:val="22"/>
              </w:numPr>
              <w:spacing w:after="0"/>
              <w:ind w:left="284" w:hanging="284"/>
            </w:pPr>
            <w:r>
              <w:t>V</w:t>
            </w:r>
            <w:r w:rsidRPr="0057606E">
              <w:t>ery good partial response (VGPR) or better response rate</w:t>
            </w:r>
            <w:r>
              <w:t>.</w:t>
            </w:r>
          </w:p>
          <w:p w14:paraId="1410E865" w14:textId="77777777" w:rsidR="00206D11" w:rsidRDefault="00206D11" w:rsidP="00B7425E">
            <w:pPr>
              <w:pStyle w:val="ListParagraph"/>
              <w:numPr>
                <w:ilvl w:val="0"/>
                <w:numId w:val="22"/>
              </w:numPr>
              <w:spacing w:after="0"/>
              <w:ind w:left="284" w:hanging="284"/>
            </w:pPr>
            <w:r>
              <w:t>D</w:t>
            </w:r>
            <w:r w:rsidRPr="0057606E">
              <w:t>uration of response, time to response</w:t>
            </w:r>
            <w:r>
              <w:t>.</w:t>
            </w:r>
          </w:p>
          <w:p w14:paraId="67B027FB" w14:textId="77777777" w:rsidR="00206D11" w:rsidRDefault="00206D11" w:rsidP="00B7425E">
            <w:pPr>
              <w:pStyle w:val="ListParagraph"/>
              <w:numPr>
                <w:ilvl w:val="0"/>
                <w:numId w:val="22"/>
              </w:numPr>
              <w:spacing w:after="0"/>
              <w:ind w:left="284" w:hanging="284"/>
            </w:pPr>
            <w:r>
              <w:t>M</w:t>
            </w:r>
            <w:r w:rsidRPr="0057606E">
              <w:t>inimal residual disease (MRD) negativity</w:t>
            </w:r>
            <w:r>
              <w:t>.</w:t>
            </w:r>
          </w:p>
          <w:p w14:paraId="6BFAB859" w14:textId="77777777" w:rsidR="00206D11" w:rsidRDefault="00206D11" w:rsidP="00B7425E">
            <w:pPr>
              <w:pStyle w:val="ListParagraph"/>
              <w:numPr>
                <w:ilvl w:val="0"/>
                <w:numId w:val="22"/>
              </w:numPr>
              <w:spacing w:after="0"/>
              <w:ind w:left="284" w:hanging="284"/>
            </w:pPr>
            <w:r>
              <w:t>P</w:t>
            </w:r>
            <w:r w:rsidRPr="0057606E">
              <w:t>rogression free survival (PFS)</w:t>
            </w:r>
            <w:r>
              <w:t>.</w:t>
            </w:r>
          </w:p>
          <w:p w14:paraId="0C7F2B51" w14:textId="77777777" w:rsidR="00206D11" w:rsidRDefault="00206D11" w:rsidP="00B7425E">
            <w:pPr>
              <w:pStyle w:val="ListParagraph"/>
              <w:numPr>
                <w:ilvl w:val="0"/>
                <w:numId w:val="22"/>
              </w:numPr>
              <w:spacing w:after="0"/>
              <w:ind w:left="284" w:hanging="284"/>
            </w:pPr>
            <w:r>
              <w:t>O</w:t>
            </w:r>
            <w:r w:rsidRPr="0057606E">
              <w:t>verall survival (OS)</w:t>
            </w:r>
            <w:r>
              <w:t>.</w:t>
            </w:r>
            <w:r w:rsidRPr="0057606E">
              <w:t xml:space="preserve"> </w:t>
            </w:r>
          </w:p>
          <w:p w14:paraId="08F254DE" w14:textId="399939F4" w:rsidR="005C30B4" w:rsidRPr="00206D11" w:rsidRDefault="00206D11" w:rsidP="00B7425E">
            <w:pPr>
              <w:pStyle w:val="ListParagraph"/>
              <w:numPr>
                <w:ilvl w:val="0"/>
                <w:numId w:val="22"/>
              </w:numPr>
              <w:spacing w:after="0"/>
              <w:ind w:left="284" w:hanging="284"/>
            </w:pPr>
            <w:r>
              <w:t>H</w:t>
            </w:r>
            <w:r w:rsidRPr="0057606E">
              <w:t>ealth-related quality of life.</w:t>
            </w:r>
          </w:p>
          <w:p w14:paraId="071F745E" w14:textId="77777777" w:rsidR="0057606E" w:rsidRDefault="005C30B4" w:rsidP="00B7425E">
            <w:pPr>
              <w:pStyle w:val="Instructionaltext"/>
              <w:spacing w:after="0"/>
              <w:rPr>
                <w:color w:val="000000" w:themeColor="text1"/>
              </w:rPr>
            </w:pPr>
            <w:r w:rsidRPr="0057606E">
              <w:rPr>
                <w:color w:val="000000" w:themeColor="text1"/>
                <w:u w:val="single"/>
              </w:rPr>
              <w:t>Safety Outcomes:</w:t>
            </w:r>
            <w:r w:rsidRPr="0057606E">
              <w:rPr>
                <w:color w:val="000000" w:themeColor="text1"/>
              </w:rPr>
              <w:t xml:space="preserve"> </w:t>
            </w:r>
          </w:p>
          <w:p w14:paraId="59813694" w14:textId="77777777" w:rsidR="00206D11" w:rsidRDefault="00206D11" w:rsidP="00B7425E">
            <w:pPr>
              <w:pStyle w:val="ListParagraph"/>
              <w:numPr>
                <w:ilvl w:val="0"/>
                <w:numId w:val="22"/>
              </w:numPr>
              <w:spacing w:after="0"/>
              <w:ind w:left="284" w:hanging="284"/>
            </w:pPr>
            <w:r w:rsidRPr="0057606E">
              <w:t>Rate of adverse events (AE)</w:t>
            </w:r>
            <w:r>
              <w:t xml:space="preserve"> </w:t>
            </w:r>
            <w:r w:rsidRPr="0057606E">
              <w:t>and serious adverse events (SAE)</w:t>
            </w:r>
            <w:r>
              <w:t>.</w:t>
            </w:r>
          </w:p>
          <w:p w14:paraId="4D17B69D" w14:textId="72A07E98" w:rsidR="00206D11" w:rsidRDefault="00206D11" w:rsidP="00B7425E">
            <w:pPr>
              <w:pStyle w:val="ListParagraph"/>
              <w:numPr>
                <w:ilvl w:val="0"/>
                <w:numId w:val="22"/>
              </w:numPr>
              <w:spacing w:after="0"/>
              <w:ind w:left="284" w:hanging="284"/>
            </w:pPr>
            <w:r>
              <w:t>I</w:t>
            </w:r>
            <w:r w:rsidRPr="0057606E">
              <w:t>ncidence of AEs of special interest</w:t>
            </w:r>
            <w:r>
              <w:t>.</w:t>
            </w:r>
          </w:p>
          <w:p w14:paraId="21C57FA0" w14:textId="6D9277DF" w:rsidR="00206D11" w:rsidRDefault="00206D11" w:rsidP="00B7425E">
            <w:pPr>
              <w:pStyle w:val="ListParagraph"/>
              <w:numPr>
                <w:ilvl w:val="0"/>
                <w:numId w:val="22"/>
              </w:numPr>
              <w:spacing w:after="0"/>
              <w:ind w:left="284" w:hanging="284"/>
            </w:pPr>
            <w:r>
              <w:t>I</w:t>
            </w:r>
            <w:r w:rsidRPr="0057606E">
              <w:t xml:space="preserve">ncidence of </w:t>
            </w:r>
            <w:r w:rsidR="00780AA7">
              <w:t>cytokine release syndrome (</w:t>
            </w:r>
            <w:r w:rsidRPr="0057606E">
              <w:t>CRS</w:t>
            </w:r>
            <w:r w:rsidR="00780AA7">
              <w:t>)</w:t>
            </w:r>
            <w:r>
              <w:t>.</w:t>
            </w:r>
          </w:p>
          <w:p w14:paraId="30BDE7C1" w14:textId="77777777" w:rsidR="00206D11" w:rsidRDefault="00206D11" w:rsidP="00B7425E">
            <w:pPr>
              <w:pStyle w:val="ListParagraph"/>
              <w:numPr>
                <w:ilvl w:val="0"/>
                <w:numId w:val="22"/>
              </w:numPr>
              <w:spacing w:after="0"/>
              <w:ind w:left="284" w:hanging="284"/>
            </w:pPr>
            <w:r>
              <w:t>I</w:t>
            </w:r>
            <w:r w:rsidRPr="0057606E">
              <w:t>ncidence of neurological toxicity- CAR-T cell-related neurotoxicity (ICANS) and other neurological toxicities</w:t>
            </w:r>
            <w:r>
              <w:t>.</w:t>
            </w:r>
          </w:p>
          <w:p w14:paraId="0070ADA9" w14:textId="12259464" w:rsidR="00206D11" w:rsidRDefault="00206D11" w:rsidP="00B7425E">
            <w:pPr>
              <w:pStyle w:val="ListParagraph"/>
              <w:numPr>
                <w:ilvl w:val="0"/>
                <w:numId w:val="22"/>
              </w:numPr>
              <w:spacing w:after="0"/>
              <w:ind w:left="284" w:hanging="284"/>
            </w:pPr>
            <w:r>
              <w:t>I</w:t>
            </w:r>
            <w:r w:rsidRPr="0057606E">
              <w:t>ncidence of tumour lysis syndrome, incidence of cytopenia</w:t>
            </w:r>
            <w:r>
              <w:t>.</w:t>
            </w:r>
          </w:p>
          <w:p w14:paraId="7DC2D800" w14:textId="77777777" w:rsidR="00206D11" w:rsidRPr="0057606E" w:rsidRDefault="00206D11" w:rsidP="00B7425E">
            <w:pPr>
              <w:pStyle w:val="ListParagraph"/>
              <w:numPr>
                <w:ilvl w:val="0"/>
                <w:numId w:val="22"/>
              </w:numPr>
              <w:spacing w:after="0"/>
              <w:ind w:left="284" w:hanging="284"/>
            </w:pPr>
            <w:r>
              <w:t>I</w:t>
            </w:r>
            <w:r w:rsidRPr="0057606E">
              <w:t>ncidence of hypogammaglobulinemia.</w:t>
            </w:r>
          </w:p>
          <w:p w14:paraId="31EED066" w14:textId="77777777" w:rsidR="005C30B4" w:rsidRPr="003A3F9B" w:rsidRDefault="0057606E" w:rsidP="00B7425E">
            <w:pPr>
              <w:pStyle w:val="Instructionaltext"/>
              <w:spacing w:after="0"/>
              <w:rPr>
                <w:color w:val="000000" w:themeColor="text1"/>
                <w:u w:val="single"/>
              </w:rPr>
            </w:pPr>
            <w:r w:rsidRPr="003A3F9B">
              <w:rPr>
                <w:color w:val="000000" w:themeColor="text1"/>
                <w:u w:val="single"/>
              </w:rPr>
              <w:t>Cost-effectiveness:</w:t>
            </w:r>
          </w:p>
          <w:p w14:paraId="7D0218B4" w14:textId="77777777" w:rsidR="00206D11" w:rsidRPr="0057606E" w:rsidRDefault="00206D11" w:rsidP="00B7425E">
            <w:pPr>
              <w:pStyle w:val="ListParagraph"/>
              <w:numPr>
                <w:ilvl w:val="0"/>
                <w:numId w:val="23"/>
              </w:numPr>
              <w:spacing w:after="0"/>
              <w:ind w:left="284" w:hanging="284"/>
            </w:pPr>
            <w:r w:rsidRPr="0057606E">
              <w:t>Cost (including cost of additional pre-infusion and post infusion interventions)</w:t>
            </w:r>
            <w:r>
              <w:t>.</w:t>
            </w:r>
          </w:p>
          <w:p w14:paraId="547AAB00" w14:textId="77777777" w:rsidR="00206D11" w:rsidRPr="0057606E" w:rsidRDefault="00206D11" w:rsidP="00B7425E">
            <w:pPr>
              <w:pStyle w:val="ListParagraph"/>
              <w:numPr>
                <w:ilvl w:val="0"/>
                <w:numId w:val="23"/>
              </w:numPr>
              <w:spacing w:after="0"/>
              <w:ind w:left="284" w:hanging="284"/>
            </w:pPr>
            <w:r w:rsidRPr="0057606E">
              <w:t>Cost per life year gained (LYG)</w:t>
            </w:r>
            <w:r>
              <w:t>.</w:t>
            </w:r>
          </w:p>
          <w:p w14:paraId="00FEF15A" w14:textId="744E0D80" w:rsidR="00206D11" w:rsidRPr="0057606E" w:rsidRDefault="00206D11" w:rsidP="00B7425E">
            <w:pPr>
              <w:pStyle w:val="ListParagraph"/>
              <w:numPr>
                <w:ilvl w:val="0"/>
                <w:numId w:val="23"/>
              </w:numPr>
              <w:spacing w:after="0"/>
              <w:ind w:left="284" w:hanging="284"/>
            </w:pPr>
            <w:r w:rsidRPr="0057606E">
              <w:t>Cost per quality</w:t>
            </w:r>
            <w:r w:rsidR="00780AA7">
              <w:t>-</w:t>
            </w:r>
            <w:r w:rsidRPr="0057606E">
              <w:t>adjusted life year (QALY) or disability adjusted life year (DALY)</w:t>
            </w:r>
            <w:r>
              <w:t>.</w:t>
            </w:r>
          </w:p>
          <w:p w14:paraId="4F7DAEB6" w14:textId="77777777" w:rsidR="00206D11" w:rsidRPr="0057606E" w:rsidRDefault="00206D11" w:rsidP="00B7425E">
            <w:pPr>
              <w:pStyle w:val="ListParagraph"/>
              <w:numPr>
                <w:ilvl w:val="0"/>
                <w:numId w:val="23"/>
              </w:numPr>
              <w:spacing w:after="0"/>
              <w:ind w:left="284" w:hanging="284"/>
            </w:pPr>
            <w:r>
              <w:t>Incremental cost-effectiveness ratio (ICER).</w:t>
            </w:r>
          </w:p>
          <w:p w14:paraId="695B63D0" w14:textId="77777777" w:rsidR="0057606E" w:rsidRDefault="0057606E" w:rsidP="00B7425E">
            <w:pPr>
              <w:pStyle w:val="Instructionaltext"/>
              <w:spacing w:after="0"/>
              <w:rPr>
                <w:color w:val="000000" w:themeColor="text1"/>
                <w:u w:val="single"/>
              </w:rPr>
            </w:pPr>
            <w:r w:rsidRPr="0057606E">
              <w:rPr>
                <w:color w:val="000000" w:themeColor="text1"/>
                <w:u w:val="single"/>
              </w:rPr>
              <w:t>Financial implications:</w:t>
            </w:r>
          </w:p>
          <w:p w14:paraId="2DBAD52D" w14:textId="77777777" w:rsidR="00206D11" w:rsidRDefault="00206D11" w:rsidP="00B7425E">
            <w:pPr>
              <w:pStyle w:val="ListParagraph"/>
              <w:numPr>
                <w:ilvl w:val="0"/>
                <w:numId w:val="23"/>
              </w:numPr>
              <w:spacing w:after="0"/>
              <w:ind w:left="284" w:hanging="284"/>
            </w:pPr>
            <w:r>
              <w:t>Number of patients suitable for treatment.</w:t>
            </w:r>
          </w:p>
          <w:p w14:paraId="6F9242D7" w14:textId="178FC7D5" w:rsidR="0057606E" w:rsidRPr="0057606E" w:rsidRDefault="00206D11" w:rsidP="00B7425E">
            <w:pPr>
              <w:pStyle w:val="ListParagraph"/>
              <w:numPr>
                <w:ilvl w:val="0"/>
                <w:numId w:val="23"/>
              </w:numPr>
              <w:spacing w:after="0"/>
              <w:ind w:left="284" w:hanging="284"/>
              <w:rPr>
                <w:color w:val="000000" w:themeColor="text1"/>
              </w:rPr>
            </w:pPr>
            <w:r w:rsidRPr="003A3F9B">
              <w:t>Number of patie</w:t>
            </w:r>
            <w:r>
              <w:t>nt</w:t>
            </w:r>
            <w:r w:rsidRPr="003A3F9B">
              <w:t>s who receive treatment</w:t>
            </w:r>
            <w:r>
              <w:t>.</w:t>
            </w:r>
          </w:p>
        </w:tc>
      </w:tr>
      <w:tr w:rsidR="00BB1698" w:rsidRPr="00490FBB" w14:paraId="4A55FFDB" w14:textId="77777777" w:rsidTr="006478E7">
        <w:tc>
          <w:tcPr>
            <w:tcW w:w="1005" w:type="pct"/>
            <w:tcBorders>
              <w:top w:val="single" w:sz="4" w:space="0" w:color="auto"/>
              <w:left w:val="single" w:sz="8" w:space="0" w:color="auto"/>
              <w:bottom w:val="single" w:sz="8" w:space="0" w:color="auto"/>
              <w:right w:val="single" w:sz="4" w:space="0" w:color="auto"/>
            </w:tcBorders>
          </w:tcPr>
          <w:p w14:paraId="003B36EC" w14:textId="77777777" w:rsidR="00BB1698" w:rsidRPr="00490FBB" w:rsidRDefault="00BB1698" w:rsidP="00E01349">
            <w:pPr>
              <w:spacing w:before="120" w:after="120" w:line="240" w:lineRule="auto"/>
              <w:rPr>
                <w:rFonts w:cs="Arial"/>
              </w:rPr>
            </w:pPr>
            <w:r w:rsidRPr="00490FBB">
              <w:rPr>
                <w:rFonts w:cs="Arial"/>
              </w:rPr>
              <w:t>Assessment questions</w:t>
            </w:r>
          </w:p>
        </w:tc>
        <w:tc>
          <w:tcPr>
            <w:tcW w:w="3995" w:type="pct"/>
            <w:tcBorders>
              <w:top w:val="single" w:sz="4" w:space="0" w:color="auto"/>
              <w:left w:val="single" w:sz="4" w:space="0" w:color="auto"/>
              <w:bottom w:val="single" w:sz="4" w:space="0" w:color="auto"/>
              <w:right w:val="single" w:sz="4" w:space="0" w:color="auto"/>
            </w:tcBorders>
          </w:tcPr>
          <w:p w14:paraId="7AB69A9A" w14:textId="1516824F" w:rsidR="00BB1698" w:rsidRPr="00FD4C65" w:rsidRDefault="00BB1698" w:rsidP="00E01349">
            <w:pPr>
              <w:spacing w:before="120" w:after="120" w:line="240" w:lineRule="auto"/>
              <w:rPr>
                <w:color w:val="000000" w:themeColor="text1"/>
              </w:rPr>
            </w:pPr>
            <w:r w:rsidRPr="00FD4C65">
              <w:rPr>
                <w:color w:val="000000" w:themeColor="text1"/>
              </w:rPr>
              <w:t>What</w:t>
            </w:r>
            <w:r w:rsidRPr="00490FBB">
              <w:rPr>
                <w:color w:val="000000" w:themeColor="text1"/>
              </w:rPr>
              <w:t xml:space="preserve"> is the safety, effectiveness and cost-effectiveness of </w:t>
            </w:r>
            <w:r w:rsidR="005C30B4">
              <w:rPr>
                <w:color w:val="000000" w:themeColor="text1"/>
              </w:rPr>
              <w:t>ciltacabtagene auto</w:t>
            </w:r>
            <w:r w:rsidR="007A3220">
              <w:rPr>
                <w:color w:val="000000" w:themeColor="text1"/>
              </w:rPr>
              <w:t>leu</w:t>
            </w:r>
            <w:r w:rsidR="005C30B4">
              <w:rPr>
                <w:color w:val="000000" w:themeColor="text1"/>
              </w:rPr>
              <w:t>cel</w:t>
            </w:r>
            <w:r w:rsidRPr="00490FBB">
              <w:rPr>
                <w:color w:val="000000" w:themeColor="text1"/>
              </w:rPr>
              <w:t xml:space="preserve"> versus </w:t>
            </w:r>
            <w:r w:rsidR="005C30B4">
              <w:rPr>
                <w:color w:val="000000" w:themeColor="text1"/>
              </w:rPr>
              <w:t xml:space="preserve">pomalidomide plus dexamethasone or carfilzomib plus dexamethasone </w:t>
            </w:r>
            <w:r w:rsidRPr="00490FBB">
              <w:rPr>
                <w:color w:val="000000" w:themeColor="text1"/>
              </w:rPr>
              <w:t xml:space="preserve">in </w:t>
            </w:r>
            <w:r w:rsidR="005C30B4">
              <w:rPr>
                <w:color w:val="000000" w:themeColor="text1"/>
              </w:rPr>
              <w:t xml:space="preserve">fourth line or later </w:t>
            </w:r>
            <w:r w:rsidR="00206D11">
              <w:rPr>
                <w:color w:val="000000" w:themeColor="text1"/>
              </w:rPr>
              <w:t xml:space="preserve">treatment of </w:t>
            </w:r>
            <w:r w:rsidR="005C30B4">
              <w:rPr>
                <w:color w:val="000000" w:themeColor="text1"/>
              </w:rPr>
              <w:t>multiple myeloma</w:t>
            </w:r>
            <w:r w:rsidRPr="00FD4C65">
              <w:rPr>
                <w:color w:val="000000" w:themeColor="text1"/>
              </w:rPr>
              <w:t>?</w:t>
            </w:r>
          </w:p>
        </w:tc>
      </w:tr>
    </w:tbl>
    <w:p w14:paraId="53297713" w14:textId="3F32290A" w:rsidR="00912660" w:rsidRDefault="00912660" w:rsidP="00713728">
      <w:pPr>
        <w:pStyle w:val="Heading2"/>
      </w:pPr>
      <w:r>
        <w:lastRenderedPageBreak/>
        <w:t>Purpose of application</w:t>
      </w:r>
    </w:p>
    <w:p w14:paraId="0E65AD1B" w14:textId="2A193424" w:rsidR="004C2C5E" w:rsidRPr="009A3778" w:rsidRDefault="004C2C5E" w:rsidP="004C2C5E">
      <w:pPr>
        <w:spacing w:after="240"/>
        <w:rPr>
          <w:iCs/>
        </w:rPr>
      </w:pPr>
      <w:r w:rsidRPr="009A3778">
        <w:rPr>
          <w:iCs/>
        </w:rPr>
        <w:t xml:space="preserve">An application requesting </w:t>
      </w:r>
      <w:r w:rsidRPr="00B37DC0">
        <w:rPr>
          <w:iCs/>
        </w:rPr>
        <w:t>public funding</w:t>
      </w:r>
      <w:r w:rsidR="005C30B4">
        <w:rPr>
          <w:iCs/>
        </w:rPr>
        <w:t xml:space="preserve"> (under </w:t>
      </w:r>
      <w:r w:rsidR="007A3220">
        <w:rPr>
          <w:iCs/>
        </w:rPr>
        <w:t>the</w:t>
      </w:r>
      <w:r w:rsidR="007A3220" w:rsidRPr="00B37DC0">
        <w:rPr>
          <w:iCs/>
        </w:rPr>
        <w:t xml:space="preserve"> National</w:t>
      </w:r>
      <w:r w:rsidR="00B37DC0" w:rsidRPr="00B37DC0">
        <w:rPr>
          <w:iCs/>
        </w:rPr>
        <w:t xml:space="preserve"> Health Reform Agreement</w:t>
      </w:r>
      <w:r w:rsidR="005C30B4">
        <w:rPr>
          <w:iCs/>
        </w:rPr>
        <w:t>)</w:t>
      </w:r>
      <w:r w:rsidRPr="009A3778">
        <w:rPr>
          <w:iCs/>
        </w:rPr>
        <w:t xml:space="preserve"> of </w:t>
      </w:r>
      <w:r w:rsidR="005C30B4">
        <w:rPr>
          <w:iCs/>
        </w:rPr>
        <w:t>ciltacabtagene auto</w:t>
      </w:r>
      <w:r w:rsidR="007A3220">
        <w:rPr>
          <w:iCs/>
        </w:rPr>
        <w:t>leu</w:t>
      </w:r>
      <w:r w:rsidR="005C30B4">
        <w:rPr>
          <w:iCs/>
        </w:rPr>
        <w:t xml:space="preserve">cel </w:t>
      </w:r>
      <w:r w:rsidRPr="009A3778">
        <w:rPr>
          <w:iCs/>
        </w:rPr>
        <w:t xml:space="preserve">for </w:t>
      </w:r>
      <w:r w:rsidR="005C30B4">
        <w:rPr>
          <w:iCs/>
        </w:rPr>
        <w:t xml:space="preserve">the </w:t>
      </w:r>
      <w:r w:rsidRPr="009A3778">
        <w:rPr>
          <w:iCs/>
        </w:rPr>
        <w:t xml:space="preserve">treatment of </w:t>
      </w:r>
      <w:r w:rsidR="005C30B4" w:rsidRPr="005C30B4">
        <w:t>relapsed or refractory multiple myeloma</w:t>
      </w:r>
      <w:r w:rsidR="005C30B4" w:rsidRPr="009A3778">
        <w:rPr>
          <w:iCs/>
        </w:rPr>
        <w:t xml:space="preserve"> </w:t>
      </w:r>
      <w:r w:rsidR="00206D11">
        <w:rPr>
          <w:iCs/>
        </w:rPr>
        <w:t xml:space="preserve">(RRMM) </w:t>
      </w:r>
      <w:r w:rsidR="005C30B4">
        <w:rPr>
          <w:iCs/>
        </w:rPr>
        <w:t>after failure of three or more</w:t>
      </w:r>
      <w:r w:rsidR="006C2D88">
        <w:rPr>
          <w:iCs/>
        </w:rPr>
        <w:t xml:space="preserve"> lines of</w:t>
      </w:r>
      <w:r w:rsidR="005C30B4">
        <w:rPr>
          <w:iCs/>
        </w:rPr>
        <w:t xml:space="preserve"> </w:t>
      </w:r>
      <w:r w:rsidR="006C2D88">
        <w:rPr>
          <w:iCs/>
        </w:rPr>
        <w:t xml:space="preserve">therapy </w:t>
      </w:r>
      <w:r w:rsidRPr="009A3778">
        <w:rPr>
          <w:iCs/>
        </w:rPr>
        <w:t xml:space="preserve">was received from the </w:t>
      </w:r>
      <w:r w:rsidR="005C30B4" w:rsidRPr="00381272">
        <w:t>Janssen-Cilag Pty Ltd</w:t>
      </w:r>
      <w:r w:rsidR="005C30B4" w:rsidRPr="009A3778">
        <w:rPr>
          <w:iCs/>
        </w:rPr>
        <w:t xml:space="preserve"> </w:t>
      </w:r>
      <w:r w:rsidRPr="009A3778">
        <w:rPr>
          <w:iCs/>
        </w:rPr>
        <w:t>by the Department of Health.</w:t>
      </w:r>
    </w:p>
    <w:p w14:paraId="2E56479E" w14:textId="0F32F14A" w:rsidR="000D1FCF" w:rsidRPr="005C30B4" w:rsidRDefault="000D1FCF" w:rsidP="004E71C4">
      <w:r w:rsidRPr="005C30B4">
        <w:t xml:space="preserve">The clinical claim </w:t>
      </w:r>
      <w:r w:rsidR="005C30B4" w:rsidRPr="005C30B4">
        <w:t>in the application is that</w:t>
      </w:r>
      <w:r w:rsidR="005C30B4">
        <w:t xml:space="preserve"> t</w:t>
      </w:r>
      <w:r w:rsidRPr="005C30B4">
        <w:t>he use of</w:t>
      </w:r>
      <w:r w:rsidR="007A3220">
        <w:t xml:space="preserve"> </w:t>
      </w:r>
      <w:r w:rsidR="005C30B4" w:rsidRPr="005C30B4">
        <w:t xml:space="preserve">ciltacabtagene </w:t>
      </w:r>
      <w:r w:rsidR="007A3220">
        <w:t>autoleucel</w:t>
      </w:r>
      <w:r w:rsidR="005C30B4" w:rsidRPr="005C30B4">
        <w:t xml:space="preserve"> results in </w:t>
      </w:r>
      <w:r w:rsidRPr="005C30B4">
        <w:t xml:space="preserve">superior health outcomes compared to the </w:t>
      </w:r>
      <w:r w:rsidR="005C30B4" w:rsidRPr="005C30B4">
        <w:t>current therapies in</w:t>
      </w:r>
      <w:r w:rsidR="004E71C4">
        <w:t xml:space="preserve"> the</w:t>
      </w:r>
      <w:r w:rsidR="005C30B4" w:rsidRPr="005C30B4">
        <w:t xml:space="preserve"> RRMM setting.</w:t>
      </w:r>
    </w:p>
    <w:p w14:paraId="6832FD7C" w14:textId="444D6EBC" w:rsidR="005C30B4" w:rsidRPr="005C30B4" w:rsidRDefault="005C30B4" w:rsidP="005C30B4">
      <w:pPr>
        <w:pStyle w:val="Instructionaltext"/>
        <w:spacing w:before="0" w:after="0"/>
        <w:rPr>
          <w:color w:val="auto"/>
        </w:rPr>
      </w:pPr>
      <w:r w:rsidRPr="005C30B4">
        <w:rPr>
          <w:color w:val="auto"/>
        </w:rPr>
        <w:t xml:space="preserve">The application notes that ciltacabtagene </w:t>
      </w:r>
      <w:r w:rsidR="007A3220">
        <w:rPr>
          <w:color w:val="auto"/>
        </w:rPr>
        <w:t>autoleucel</w:t>
      </w:r>
      <w:r w:rsidRPr="005C30B4">
        <w:rPr>
          <w:color w:val="auto"/>
        </w:rPr>
        <w:t xml:space="preserve"> has a manageable safety profile. The application does not</w:t>
      </w:r>
      <w:r w:rsidR="004E71C4">
        <w:rPr>
          <w:color w:val="auto"/>
        </w:rPr>
        <w:t xml:space="preserve"> </w:t>
      </w:r>
      <w:r w:rsidRPr="005C30B4">
        <w:rPr>
          <w:color w:val="auto"/>
        </w:rPr>
        <w:t>specify</w:t>
      </w:r>
      <w:r w:rsidR="00897CF6">
        <w:rPr>
          <w:color w:val="auto"/>
        </w:rPr>
        <w:t xml:space="preserve"> an</w:t>
      </w:r>
      <w:r w:rsidRPr="005C30B4">
        <w:rPr>
          <w:color w:val="auto"/>
        </w:rPr>
        <w:t xml:space="preserve"> inferiority, non-inferiority or superiority claim</w:t>
      </w:r>
      <w:r w:rsidR="004E71C4">
        <w:rPr>
          <w:color w:val="auto"/>
        </w:rPr>
        <w:t xml:space="preserve"> for safety</w:t>
      </w:r>
      <w:r w:rsidRPr="005C30B4">
        <w:rPr>
          <w:color w:val="auto"/>
        </w:rPr>
        <w:t>.</w:t>
      </w:r>
      <w:r w:rsidR="00DA00B1">
        <w:rPr>
          <w:color w:val="auto"/>
        </w:rPr>
        <w:t xml:space="preserve"> The applicant indicated that a claim for safety will be addressed in the assessment report.</w:t>
      </w:r>
    </w:p>
    <w:p w14:paraId="18E66948" w14:textId="77777777" w:rsidR="00D73332" w:rsidRPr="00FD4C65" w:rsidRDefault="00D73332" w:rsidP="00FD4C65">
      <w:pPr>
        <w:pStyle w:val="Heading2"/>
      </w:pPr>
      <w:r w:rsidRPr="00FD4C65">
        <w:t xml:space="preserve">PICO </w:t>
      </w:r>
      <w:r w:rsidR="00FD4E33" w:rsidRPr="00FD4C65">
        <w:t xml:space="preserve">criteria </w:t>
      </w:r>
    </w:p>
    <w:p w14:paraId="06B30611" w14:textId="0946D51E" w:rsidR="007D6B83" w:rsidRDefault="007D6B83" w:rsidP="007D6B83">
      <w:pPr>
        <w:pStyle w:val="Heading3"/>
      </w:pPr>
      <w:r w:rsidRPr="00713728">
        <w:t>Population</w:t>
      </w:r>
    </w:p>
    <w:p w14:paraId="7D6A9FA9" w14:textId="46F2E055" w:rsidR="00B32BAB" w:rsidRPr="00B32BAB" w:rsidRDefault="00B32BAB" w:rsidP="00B32BAB">
      <w:pPr>
        <w:rPr>
          <w:u w:val="single"/>
        </w:rPr>
      </w:pPr>
      <w:r>
        <w:rPr>
          <w:u w:val="single"/>
        </w:rPr>
        <w:t>Multiple Myeloma</w:t>
      </w:r>
    </w:p>
    <w:p w14:paraId="1AFE08FB" w14:textId="296D8E51" w:rsidR="00627FC4" w:rsidRDefault="00627FC4" w:rsidP="004E71C4">
      <w:r>
        <w:t xml:space="preserve">Multiple Myeloma (MM) </w:t>
      </w:r>
      <w:r w:rsidRPr="00627FC4">
        <w:t xml:space="preserve">is a </w:t>
      </w:r>
      <w:r>
        <w:t xml:space="preserve">plasma cell </w:t>
      </w:r>
      <w:r w:rsidRPr="00627FC4">
        <w:t xml:space="preserve">malignancy. It </w:t>
      </w:r>
      <w:r>
        <w:t>may be</w:t>
      </w:r>
      <w:r w:rsidRPr="00627FC4">
        <w:t xml:space="preserve"> accompanied by complications of enhanced bone loss associated with diffuse osteopenia or focal lytic lesions, renal failure, hypercalcaemia, immune suppression and anaemia. As of 2017, approximately 2100 new cases are diagnosed in Australia each year, with median age at diagnosis of approximately 70 years (AIHW 2018; Quach 2019)</w:t>
      </w:r>
      <w:r w:rsidR="00206D11">
        <w:t>.</w:t>
      </w:r>
    </w:p>
    <w:p w14:paraId="25F1615C" w14:textId="6E2DB39A" w:rsidR="00627FC4" w:rsidRDefault="00627FC4" w:rsidP="004E71C4">
      <w:r w:rsidRPr="0057606E">
        <w:t xml:space="preserve">MM follows a relapsing and remitting course </w:t>
      </w:r>
      <w:r>
        <w:t>and</w:t>
      </w:r>
      <w:r w:rsidRPr="0057606E">
        <w:t xml:space="preserve"> patients </w:t>
      </w:r>
      <w:r>
        <w:t xml:space="preserve">may </w:t>
      </w:r>
      <w:r w:rsidRPr="0057606E">
        <w:t xml:space="preserve">receive multiple lines of therapy. Although treatments for MM may result in remission, most patients will relapse as there is no cure for the disease. The duration of response and remission typically </w:t>
      </w:r>
      <w:r>
        <w:t>decreases</w:t>
      </w:r>
      <w:r w:rsidRPr="0057606E">
        <w:t xml:space="preserve"> with each line of therapy</w:t>
      </w:r>
      <w:r>
        <w:t xml:space="preserve"> due to</w:t>
      </w:r>
      <w:r w:rsidRPr="0057606E">
        <w:t xml:space="preserve"> plasma cell clonal evolution</w:t>
      </w:r>
      <w:r>
        <w:t>.</w:t>
      </w:r>
      <w:r w:rsidRPr="0057606E">
        <w:t xml:space="preserve"> </w:t>
      </w:r>
      <w:r>
        <w:t xml:space="preserve">There </w:t>
      </w:r>
      <w:r w:rsidRPr="0057606E">
        <w:t>is significant patient attrition at each line</w:t>
      </w:r>
      <w:r w:rsidR="00206D11">
        <w:t xml:space="preserve"> of therapy</w:t>
      </w:r>
      <w:r w:rsidRPr="0057606E">
        <w:t>, as patients become unsuitable for further therapy and succumb to the disease (Zhao 2019)</w:t>
      </w:r>
      <w:r w:rsidR="00206D11">
        <w:t>.</w:t>
      </w:r>
    </w:p>
    <w:p w14:paraId="5FD7305B" w14:textId="0ABC73FA" w:rsidR="00627FC4" w:rsidRDefault="00B32BAB" w:rsidP="004E71C4">
      <w:r>
        <w:t>T</w:t>
      </w:r>
      <w:r w:rsidR="00627FC4">
        <w:t>he application notes th</w:t>
      </w:r>
      <w:r w:rsidR="00293287">
        <w:t>a</w:t>
      </w:r>
      <w:r w:rsidR="00627FC4">
        <w:t xml:space="preserve">t relapsed MM is defined as the reoccurrence of the disease after partial or complete remission </w:t>
      </w:r>
      <w:r w:rsidR="00627FC4" w:rsidRPr="00D81053">
        <w:rPr>
          <w:color w:val="000000" w:themeColor="text1"/>
        </w:rPr>
        <w:t xml:space="preserve">and </w:t>
      </w:r>
      <w:r w:rsidR="00627FC4">
        <w:t xml:space="preserve">refractory MM is defined as disease that is nonresponsive while on primary or salvage therapy, or progresses within 60 days of last therapy. Nonresponsive disease is defined as either failure to achieve minimal response or development of progressive disease while on therapy. </w:t>
      </w:r>
    </w:p>
    <w:p w14:paraId="12EA23F9" w14:textId="6AF97BBC" w:rsidR="00627FC4" w:rsidRDefault="00627FC4" w:rsidP="004E71C4">
      <w:r>
        <w:t xml:space="preserve">The application notes that in the PBS restrictions for MM therapies, progressive disease is defined as at least 1 of the following (as stated in daratumumab </w:t>
      </w:r>
      <w:r w:rsidR="004E71C4">
        <w:t xml:space="preserve">PBS </w:t>
      </w:r>
      <w:r>
        <w:t>restriction [</w:t>
      </w:r>
      <w:r w:rsidR="004E71C4">
        <w:t xml:space="preserve">Item </w:t>
      </w:r>
      <w:r>
        <w:t>1</w:t>
      </w:r>
      <w:r w:rsidRPr="001F720F">
        <w:t>2220E</w:t>
      </w:r>
      <w:r>
        <w:t>]):</w:t>
      </w:r>
    </w:p>
    <w:p w14:paraId="3B72B3F7" w14:textId="1F4B3FCA" w:rsidR="00627FC4" w:rsidRDefault="00627FC4" w:rsidP="004E71C4">
      <w:pPr>
        <w:pStyle w:val="ListParagraph"/>
        <w:numPr>
          <w:ilvl w:val="0"/>
          <w:numId w:val="17"/>
        </w:numPr>
        <w:ind w:left="284" w:hanging="284"/>
        <w:jc w:val="both"/>
      </w:pPr>
      <w:r>
        <w:t>at least a 25% increase and an absolute increase of at least 5 g per L in serum M protein (monoclonal protein); or</w:t>
      </w:r>
    </w:p>
    <w:p w14:paraId="3A6EE086" w14:textId="24DAE441" w:rsidR="00627FC4" w:rsidRDefault="00627FC4" w:rsidP="004E71C4">
      <w:pPr>
        <w:pStyle w:val="ListParagraph"/>
        <w:numPr>
          <w:ilvl w:val="0"/>
          <w:numId w:val="17"/>
        </w:numPr>
        <w:ind w:left="284" w:hanging="284"/>
        <w:jc w:val="both"/>
      </w:pPr>
      <w:r>
        <w:t>at least a 25% increase in 24-hour urinary light chain M protein excretion, and an absolute increase of at least 200 mg per 24 hours; or</w:t>
      </w:r>
    </w:p>
    <w:p w14:paraId="4AA84DB2" w14:textId="7C734A1B" w:rsidR="00627FC4" w:rsidRDefault="00627FC4" w:rsidP="004E71C4">
      <w:pPr>
        <w:pStyle w:val="ListParagraph"/>
        <w:numPr>
          <w:ilvl w:val="0"/>
          <w:numId w:val="17"/>
        </w:numPr>
        <w:ind w:left="284" w:hanging="284"/>
        <w:jc w:val="both"/>
      </w:pPr>
      <w:r>
        <w:t>in oligo-secretory and non-secretory myeloma patients only, at least a 50% increase in the difference between involved free light chain and uninvolved free light chain; or</w:t>
      </w:r>
    </w:p>
    <w:p w14:paraId="35B97769" w14:textId="6DEEEC5C" w:rsidR="00627FC4" w:rsidRDefault="00627FC4" w:rsidP="004E71C4">
      <w:pPr>
        <w:pStyle w:val="ListParagraph"/>
        <w:numPr>
          <w:ilvl w:val="0"/>
          <w:numId w:val="17"/>
        </w:numPr>
        <w:ind w:left="284" w:hanging="284"/>
        <w:jc w:val="both"/>
      </w:pPr>
      <w:r>
        <w:t>at least a 25% relative increase and at least a 10% absolute increase in plasma cells in a bone marrow aspirate or on biopsy; or</w:t>
      </w:r>
    </w:p>
    <w:p w14:paraId="2726D781" w14:textId="01EE7DB0" w:rsidR="00627FC4" w:rsidRDefault="00627FC4" w:rsidP="004E71C4">
      <w:pPr>
        <w:pStyle w:val="ListParagraph"/>
        <w:numPr>
          <w:ilvl w:val="0"/>
          <w:numId w:val="17"/>
        </w:numPr>
        <w:ind w:left="284" w:hanging="284"/>
        <w:jc w:val="both"/>
      </w:pPr>
      <w:r>
        <w:t>an increase in the size or number of lytic bone lesions (not including compression fractures); or</w:t>
      </w:r>
    </w:p>
    <w:p w14:paraId="182639F8" w14:textId="77777777" w:rsidR="00627FC4" w:rsidRDefault="00627FC4" w:rsidP="004E71C4">
      <w:pPr>
        <w:pStyle w:val="ListParagraph"/>
        <w:numPr>
          <w:ilvl w:val="0"/>
          <w:numId w:val="17"/>
        </w:numPr>
        <w:ind w:left="284" w:hanging="284"/>
        <w:jc w:val="both"/>
      </w:pPr>
      <w:r>
        <w:t>at least a 25% increase in the size of an existing or the development of a new soft tissue plasmacytoma (determined by clinical examination or diagnostic imaging); or</w:t>
      </w:r>
    </w:p>
    <w:p w14:paraId="0D8AAB39" w14:textId="1BFD9EF7" w:rsidR="00627FC4" w:rsidRDefault="00627FC4" w:rsidP="004E71C4">
      <w:pPr>
        <w:pStyle w:val="ListParagraph"/>
        <w:numPr>
          <w:ilvl w:val="0"/>
          <w:numId w:val="17"/>
        </w:numPr>
        <w:ind w:left="284" w:hanging="284"/>
        <w:jc w:val="both"/>
      </w:pPr>
      <w:r>
        <w:lastRenderedPageBreak/>
        <w:t>development of hypercalcaemia (corrected serum calcium greater than 2.65 mmol per L not attributable to any other cause).</w:t>
      </w:r>
    </w:p>
    <w:p w14:paraId="42DA8064" w14:textId="5D817C31" w:rsidR="00293287" w:rsidRDefault="00627FC4" w:rsidP="00293287">
      <w:r w:rsidRPr="00627FC4">
        <w:t xml:space="preserve">The application considers that if patients reach the fourth line setting, they may be assessed for eligibility for </w:t>
      </w:r>
      <w:r>
        <w:t xml:space="preserve">ciltacabtagene </w:t>
      </w:r>
      <w:r w:rsidR="007A3220">
        <w:t>autoleucel</w:t>
      </w:r>
      <w:r w:rsidRPr="00627FC4">
        <w:t xml:space="preserve"> and referred to a treating public hospital by their haematologist or haematological oncologist.</w:t>
      </w:r>
      <w:r w:rsidR="00293287">
        <w:t xml:space="preserve"> The application noted</w:t>
      </w:r>
      <w:r w:rsidR="00293287" w:rsidRPr="00627FC4">
        <w:t xml:space="preserve"> </w:t>
      </w:r>
      <w:r w:rsidR="00293287">
        <w:t xml:space="preserve">that </w:t>
      </w:r>
      <w:r w:rsidR="00293287" w:rsidRPr="00627FC4">
        <w:t>patients will progress quickly through lines of MM therapy</w:t>
      </w:r>
      <w:r w:rsidR="00293287">
        <w:t xml:space="preserve">. </w:t>
      </w:r>
    </w:p>
    <w:p w14:paraId="1B301D11" w14:textId="77777777" w:rsidR="00293287" w:rsidRPr="00B32BAB" w:rsidRDefault="00293287" w:rsidP="00293287">
      <w:pPr>
        <w:pStyle w:val="Instructionaltext"/>
        <w:jc w:val="both"/>
        <w:rPr>
          <w:color w:val="000000" w:themeColor="text1"/>
          <w:u w:val="single"/>
        </w:rPr>
      </w:pPr>
      <w:r>
        <w:rPr>
          <w:color w:val="000000" w:themeColor="text1"/>
          <w:u w:val="single"/>
        </w:rPr>
        <w:t>Fourth line or later</w:t>
      </w:r>
    </w:p>
    <w:p w14:paraId="1FD7D8C3" w14:textId="06E07F9A" w:rsidR="00293287" w:rsidRDefault="00293287" w:rsidP="00293287">
      <w:r w:rsidRPr="00627FC4">
        <w:t>The application proposes that the medic</w:t>
      </w:r>
      <w:r>
        <w:t>a</w:t>
      </w:r>
      <w:r w:rsidRPr="00627FC4">
        <w:t xml:space="preserve">l service is intended for patients with multiple myeloma (MM) </w:t>
      </w:r>
      <w:r w:rsidRPr="00F44333">
        <w:t>who have received at least three prior lines of therapy, including</w:t>
      </w:r>
      <w:r>
        <w:t>:</w:t>
      </w:r>
    </w:p>
    <w:p w14:paraId="36A38489" w14:textId="4A9AADD7" w:rsidR="00293287" w:rsidRDefault="00293287" w:rsidP="00293287">
      <w:pPr>
        <w:pStyle w:val="ListParagraph"/>
        <w:numPr>
          <w:ilvl w:val="0"/>
          <w:numId w:val="16"/>
        </w:numPr>
        <w:ind w:left="284" w:hanging="284"/>
      </w:pPr>
      <w:r w:rsidRPr="00F44333">
        <w:t>a proteasome inhibitor</w:t>
      </w:r>
      <w:r w:rsidR="0025305B">
        <w:t xml:space="preserve"> (PI)</w:t>
      </w:r>
      <w:r>
        <w:t>;</w:t>
      </w:r>
    </w:p>
    <w:p w14:paraId="3A20517D" w14:textId="21288EE6" w:rsidR="00293287" w:rsidRDefault="00293287" w:rsidP="00293287">
      <w:pPr>
        <w:pStyle w:val="ListParagraph"/>
        <w:numPr>
          <w:ilvl w:val="0"/>
          <w:numId w:val="16"/>
        </w:numPr>
        <w:ind w:left="284" w:hanging="284"/>
      </w:pPr>
      <w:r w:rsidRPr="00F44333">
        <w:t xml:space="preserve"> an immunomodulatory agent</w:t>
      </w:r>
      <w:r w:rsidR="0025305B">
        <w:t xml:space="preserve"> (IMiD)</w:t>
      </w:r>
      <w:r>
        <w:t>;</w:t>
      </w:r>
      <w:r w:rsidRPr="00F44333">
        <w:t xml:space="preserve"> </w:t>
      </w:r>
      <w:r>
        <w:t>and</w:t>
      </w:r>
    </w:p>
    <w:p w14:paraId="04E2FA76" w14:textId="2CA146D8" w:rsidR="00293287" w:rsidRPr="00627FC4" w:rsidRDefault="00293287" w:rsidP="00293287">
      <w:pPr>
        <w:pStyle w:val="ListParagraph"/>
        <w:numPr>
          <w:ilvl w:val="0"/>
          <w:numId w:val="16"/>
        </w:numPr>
        <w:ind w:left="284" w:hanging="284"/>
      </w:pPr>
      <w:r w:rsidRPr="00627FC4">
        <w:t xml:space="preserve">an anti-CD38 </w:t>
      </w:r>
      <w:r w:rsidR="0025305B">
        <w:t>inhibitor</w:t>
      </w:r>
      <w:r>
        <w:t>.</w:t>
      </w:r>
    </w:p>
    <w:p w14:paraId="480AB5F5" w14:textId="6AB1BF20" w:rsidR="004E71C4" w:rsidRDefault="00293287" w:rsidP="004E71C4">
      <w:pPr>
        <w:rPr>
          <w:i/>
          <w:iCs/>
        </w:rPr>
      </w:pPr>
      <w:r>
        <w:t>Notably,</w:t>
      </w:r>
      <w:r w:rsidR="00627FC4">
        <w:t xml:space="preserve"> o</w:t>
      </w:r>
      <w:r w:rsidR="00627FC4" w:rsidRPr="00627FC4">
        <w:t xml:space="preserve">nly patients who have received prior anti-CD38 </w:t>
      </w:r>
      <w:r>
        <w:t>will be eligible for</w:t>
      </w:r>
      <w:r w:rsidR="00627FC4" w:rsidRPr="00627FC4">
        <w:t xml:space="preserve"> </w:t>
      </w:r>
      <w:r w:rsidR="00F35590">
        <w:t xml:space="preserve">ciltacabtagene </w:t>
      </w:r>
      <w:r w:rsidR="007A3220">
        <w:t>autoleucel</w:t>
      </w:r>
      <w:r w:rsidR="00627FC4" w:rsidRPr="00627FC4">
        <w:t xml:space="preserve">. Daratumumab </w:t>
      </w:r>
      <w:r w:rsidR="004E71C4">
        <w:t>is the only anti-CD38 treatment listed on the PBS and is restricted to second line therapy</w:t>
      </w:r>
      <w:r>
        <w:t>;</w:t>
      </w:r>
      <w:r w:rsidR="004E71C4">
        <w:t xml:space="preserve"> </w:t>
      </w:r>
      <w:r>
        <w:t>d</w:t>
      </w:r>
      <w:r w:rsidR="004E71C4">
        <w:t xml:space="preserve">aratumumab </w:t>
      </w:r>
      <w:r w:rsidR="00627FC4" w:rsidRPr="00627FC4">
        <w:t xml:space="preserve">was </w:t>
      </w:r>
      <w:r w:rsidR="004E71C4">
        <w:t xml:space="preserve">listed </w:t>
      </w:r>
      <w:r w:rsidR="00627FC4" w:rsidRPr="00627FC4">
        <w:t xml:space="preserve">on the PBS from January 2021. </w:t>
      </w:r>
      <w:r>
        <w:t>T</w:t>
      </w:r>
      <w:r w:rsidR="004E71C4">
        <w:t xml:space="preserve">he application noted </w:t>
      </w:r>
      <w:r w:rsidR="00627FC4" w:rsidRPr="00627FC4">
        <w:t xml:space="preserve">there will be a delay in the timing of when all Australian RRMM patients meet the proposed clinical criteria for </w:t>
      </w:r>
      <w:r w:rsidR="00627FC4">
        <w:t xml:space="preserve">ciltacabtagene </w:t>
      </w:r>
      <w:r w:rsidR="007A3220">
        <w:t>autoleucel</w:t>
      </w:r>
      <w:r w:rsidR="00627FC4" w:rsidRPr="00627FC4">
        <w:t xml:space="preserve">. </w:t>
      </w:r>
      <w:r w:rsidR="004E71C4" w:rsidRPr="00DA00B1">
        <w:t>However, in further discussion with the applicant</w:t>
      </w:r>
      <w:r w:rsidR="00780AA7" w:rsidRPr="00DA00B1">
        <w:t xml:space="preserve"> (at the pre-PASC teleconference)</w:t>
      </w:r>
      <w:r w:rsidR="004E71C4" w:rsidRPr="00DA00B1">
        <w:t xml:space="preserve">, the applicant stated that daratumumab </w:t>
      </w:r>
      <w:r w:rsidRPr="00DA00B1">
        <w:t>ha</w:t>
      </w:r>
      <w:r w:rsidR="004E71C4" w:rsidRPr="00DA00B1">
        <w:t xml:space="preserve">s </w:t>
      </w:r>
      <w:r w:rsidRPr="00DA00B1">
        <w:t xml:space="preserve">been </w:t>
      </w:r>
      <w:r w:rsidR="004E71C4" w:rsidRPr="00DA00B1">
        <w:t xml:space="preserve">administered to patients in later lines </w:t>
      </w:r>
      <w:r w:rsidRPr="00DA00B1">
        <w:t xml:space="preserve">of therapy </w:t>
      </w:r>
      <w:r w:rsidR="004E71C4" w:rsidRPr="00DA00B1">
        <w:t>as part of a compassionate use program outside of the PBS.</w:t>
      </w:r>
      <w:r w:rsidR="004E71C4" w:rsidRPr="00F07FCF">
        <w:t xml:space="preserve"> </w:t>
      </w:r>
      <w:r w:rsidR="00DA00B1">
        <w:t xml:space="preserve">The applicant further confirmed in its response to the Pre-PASC PICO that </w:t>
      </w:r>
      <w:r w:rsidR="00DA00B1" w:rsidRPr="00DA00B1">
        <w:t>it has provided daratumumab compassionately as a later line therapy since 2017 and will continue to do so meaning all Australian patients with MM have the option to benefit from an anti-CD38 therapy</w:t>
      </w:r>
      <w:r w:rsidR="00DA00B1">
        <w:t xml:space="preserve">. </w:t>
      </w:r>
      <w:r w:rsidR="004E71C4" w:rsidRPr="00DA00B1">
        <w:t xml:space="preserve">Consequently, the applicant considers that the PBS restriction of daratumumab would not constitute a barrier to access for ciltacabtagene </w:t>
      </w:r>
      <w:r w:rsidR="007A3220" w:rsidRPr="00DA00B1">
        <w:t>autoleucel</w:t>
      </w:r>
      <w:r w:rsidR="004E71C4" w:rsidRPr="00DA00B1">
        <w:t>.</w:t>
      </w:r>
      <w:r w:rsidR="00DA00B1">
        <w:t xml:space="preserve"> </w:t>
      </w:r>
    </w:p>
    <w:p w14:paraId="00A3BBDC" w14:textId="401DA9CE" w:rsidR="00AC5673" w:rsidRDefault="00AC5673" w:rsidP="00363A02">
      <w:r>
        <w:t xml:space="preserve">The intended population is consistent with the proposed TGA indication (approval expected </w:t>
      </w:r>
      <w:r w:rsidRPr="006E26E1">
        <w:t>31 August 2022</w:t>
      </w:r>
      <w:r>
        <w:t>):</w:t>
      </w:r>
    </w:p>
    <w:p w14:paraId="25F4AC49" w14:textId="3CC5225D" w:rsidR="00AC5673" w:rsidRDefault="00AC5673" w:rsidP="002C3E42">
      <w:pPr>
        <w:ind w:left="284"/>
      </w:pPr>
      <w:r w:rsidRPr="00AC5673">
        <w:t xml:space="preserve">Cilta-cel </w:t>
      </w:r>
      <w:r w:rsidRPr="002C3E42">
        <w:rPr>
          <w:i/>
          <w:iCs/>
        </w:rPr>
        <w:t>[</w:t>
      </w:r>
      <w:r>
        <w:rPr>
          <w:i/>
          <w:iCs/>
        </w:rPr>
        <w:t xml:space="preserve">ciltacabtagene autoleucel] </w:t>
      </w:r>
      <w:r w:rsidRPr="00AC5673">
        <w:t>is indicated for the treatment of adult patients with relapsed or refractory multiple myeloma, who have received at least three prior lines of therapy, including a proteasome inhibitor, an immunomodulatory agent and an anti-CD38 antibody.</w:t>
      </w:r>
    </w:p>
    <w:p w14:paraId="4AA1207F" w14:textId="5747B89D" w:rsidR="00AC5673" w:rsidRDefault="005774E5" w:rsidP="00363A02">
      <w:r>
        <w:t>The requested population</w:t>
      </w:r>
      <w:r w:rsidR="00AC5673">
        <w:t xml:space="preserve"> is also consistent with the population enrolled in the CARTITUDE-1 study that assessed </w:t>
      </w:r>
      <w:r w:rsidR="00AC5673" w:rsidRPr="00AC5673">
        <w:t xml:space="preserve">ciltacabtagene autoleucel </w:t>
      </w:r>
      <w:r w:rsidR="00AC5673">
        <w:t>among</w:t>
      </w:r>
      <w:r w:rsidR="00AC5673" w:rsidRPr="00AC5673">
        <w:t xml:space="preserve"> patients aged 18 years or older with a diagnosis of </w:t>
      </w:r>
      <w:r w:rsidR="00AC5673">
        <w:t>MM</w:t>
      </w:r>
      <w:r w:rsidR="00AC5673" w:rsidRPr="00AC5673">
        <w:t xml:space="preserve"> and an Eastern Cooperative Oncology Group performance status score of </w:t>
      </w:r>
      <w:r w:rsidR="00AC5673">
        <w:t>zero</w:t>
      </w:r>
      <w:r w:rsidR="00AC5673" w:rsidRPr="00AC5673">
        <w:t xml:space="preserve"> or </w:t>
      </w:r>
      <w:r w:rsidR="00AC5673">
        <w:t>one</w:t>
      </w:r>
      <w:r w:rsidR="00AC5673" w:rsidRPr="00AC5673">
        <w:t xml:space="preserve">, who received </w:t>
      </w:r>
      <w:r w:rsidR="00AC5673">
        <w:t>three</w:t>
      </w:r>
      <w:r w:rsidR="00AC5673" w:rsidRPr="00AC5673">
        <w:t xml:space="preserve"> or more previous lines of therapy or were double-refractory to a </w:t>
      </w:r>
      <w:r w:rsidR="00AC5673">
        <w:t>PI</w:t>
      </w:r>
      <w:r w:rsidR="00AC5673" w:rsidRPr="00AC5673">
        <w:t xml:space="preserve"> and an </w:t>
      </w:r>
      <w:r w:rsidR="00AC5673">
        <w:t>IMiD</w:t>
      </w:r>
      <w:r w:rsidR="00AC5673" w:rsidRPr="00AC5673">
        <w:t xml:space="preserve">, and had received a </w:t>
      </w:r>
      <w:r w:rsidR="00AC5673">
        <w:t>PI</w:t>
      </w:r>
      <w:r w:rsidR="00AC5673" w:rsidRPr="00AC5673">
        <w:t xml:space="preserve">, </w:t>
      </w:r>
      <w:r w:rsidR="00AC5673">
        <w:t>IMiD</w:t>
      </w:r>
      <w:r w:rsidR="00AC5673" w:rsidRPr="00AC5673">
        <w:t>, and anti-CD38 antibody.</w:t>
      </w:r>
    </w:p>
    <w:p w14:paraId="6DCE8599" w14:textId="111DA15D" w:rsidR="00B32BAB" w:rsidRPr="00B32BAB" w:rsidRDefault="00B32BAB" w:rsidP="00DF3EEF">
      <w:pPr>
        <w:rPr>
          <w:color w:val="000000" w:themeColor="text1"/>
          <w:u w:val="single"/>
        </w:rPr>
      </w:pPr>
      <w:r w:rsidRPr="00B32BAB">
        <w:rPr>
          <w:color w:val="000000" w:themeColor="text1"/>
          <w:u w:val="single"/>
        </w:rPr>
        <w:t>Stem cell transplant status</w:t>
      </w:r>
    </w:p>
    <w:p w14:paraId="58BD0900" w14:textId="13BA2048" w:rsidR="00B32BAB" w:rsidRDefault="00627FC4" w:rsidP="00293287">
      <w:r w:rsidRPr="00627FC4">
        <w:t xml:space="preserve">The application </w:t>
      </w:r>
      <w:r>
        <w:t>requests ciltacabtagene for patie</w:t>
      </w:r>
      <w:r w:rsidR="00B32BAB">
        <w:t>nt</w:t>
      </w:r>
      <w:r>
        <w:t>s who have received stem cell transplant</w:t>
      </w:r>
      <w:r w:rsidRPr="00627FC4">
        <w:t xml:space="preserve"> </w:t>
      </w:r>
      <w:r>
        <w:t xml:space="preserve">and those who have not. </w:t>
      </w:r>
      <w:r w:rsidRPr="006C2D88">
        <w:t>The CARTITUDE</w:t>
      </w:r>
      <w:r w:rsidR="00AC5673">
        <w:t>-1</w:t>
      </w:r>
      <w:r w:rsidRPr="006C2D88">
        <w:t xml:space="preserve"> study</w:t>
      </w:r>
      <w:r w:rsidR="00B32BAB" w:rsidRPr="006C2D88">
        <w:t xml:space="preserve"> (Usmani 2021)</w:t>
      </w:r>
      <w:r w:rsidRPr="006C2D88">
        <w:t xml:space="preserve"> indicates that 90% of total patients had previously received autologous stem cell transplantation, and 8% had received allogenic stem cell transplantation. In further discussion with the applicant, the</w:t>
      </w:r>
      <w:r w:rsidR="00C631B2">
        <w:t>y</w:t>
      </w:r>
      <w:r w:rsidRPr="006C2D88">
        <w:t xml:space="preserve"> considered that this reflected the differing survival and attrition between transplant </w:t>
      </w:r>
      <w:r w:rsidR="007A3220" w:rsidRPr="006C2D88">
        <w:t>eligible</w:t>
      </w:r>
      <w:r w:rsidRPr="006C2D88">
        <w:t xml:space="preserve"> and ineligible patie</w:t>
      </w:r>
      <w:r w:rsidR="00206D11" w:rsidRPr="006C2D88">
        <w:t>nt</w:t>
      </w:r>
      <w:r w:rsidRPr="006C2D88">
        <w:t xml:space="preserve">s, with a greater number of patients who received a stem cell transplant being </w:t>
      </w:r>
      <w:r w:rsidR="00206D11" w:rsidRPr="006C2D88">
        <w:t xml:space="preserve">sufficiently </w:t>
      </w:r>
      <w:r w:rsidRPr="006C2D88">
        <w:t>fit to receive fourth line or later treatment.</w:t>
      </w:r>
    </w:p>
    <w:p w14:paraId="4B4142B7" w14:textId="6D4042D0" w:rsidR="00B32BAB" w:rsidRPr="00B32BAB" w:rsidRDefault="00B32BAB" w:rsidP="002C3E42">
      <w:pPr>
        <w:pStyle w:val="Instructionaltext"/>
        <w:keepNext/>
        <w:jc w:val="both"/>
        <w:rPr>
          <w:color w:val="000000" w:themeColor="text1"/>
          <w:u w:val="single"/>
        </w:rPr>
      </w:pPr>
      <w:r w:rsidRPr="00B32BAB">
        <w:rPr>
          <w:color w:val="000000" w:themeColor="text1"/>
          <w:u w:val="single"/>
        </w:rPr>
        <w:lastRenderedPageBreak/>
        <w:t>Measures of fitness</w:t>
      </w:r>
    </w:p>
    <w:p w14:paraId="163F7E3F" w14:textId="6CBF3713" w:rsidR="00627FC4" w:rsidRDefault="00627FC4" w:rsidP="002C3E42">
      <w:pPr>
        <w:keepNext/>
      </w:pPr>
      <w:r w:rsidRPr="006C2D88">
        <w:t xml:space="preserve">The application does not include specific criteria for assessing fitness of </w:t>
      </w:r>
      <w:r w:rsidR="00293287" w:rsidRPr="006C2D88">
        <w:t xml:space="preserve">patients </w:t>
      </w:r>
      <w:r w:rsidRPr="006C2D88">
        <w:t xml:space="preserve">to receive ciltacabtagene </w:t>
      </w:r>
      <w:r w:rsidR="007A3220" w:rsidRPr="006C2D88">
        <w:t>autoleucel</w:t>
      </w:r>
      <w:r w:rsidRPr="006C2D88">
        <w:t xml:space="preserve">. </w:t>
      </w:r>
      <w:r w:rsidR="00B32BAB" w:rsidRPr="006C2D88">
        <w:t>The CARTITUDE</w:t>
      </w:r>
      <w:r w:rsidR="00AC5673">
        <w:t>-1</w:t>
      </w:r>
      <w:r w:rsidR="00B32BAB" w:rsidRPr="006C2D88">
        <w:t xml:space="preserve"> study included patients </w:t>
      </w:r>
      <w:r w:rsidR="00293287" w:rsidRPr="006C2D88">
        <w:t xml:space="preserve">with </w:t>
      </w:r>
      <w:r w:rsidR="00B32BAB" w:rsidRPr="006C2D88">
        <w:t>Eastern Cooperative Oncology Group (ECOG) performance status ≤1</w:t>
      </w:r>
      <w:r w:rsidR="007A67C3">
        <w:t>, as noted above</w:t>
      </w:r>
      <w:r w:rsidR="00B32BAB" w:rsidRPr="006C2D88">
        <w:t>.</w:t>
      </w:r>
    </w:p>
    <w:p w14:paraId="7EB0C27E" w14:textId="5E225FDF" w:rsidR="00DA00B1" w:rsidRPr="006C2D88" w:rsidRDefault="00DA00B1" w:rsidP="002C3E42">
      <w:pPr>
        <w:keepNext/>
      </w:pPr>
      <w:r w:rsidRPr="006C48FC">
        <w:rPr>
          <w:rFonts w:asciiTheme="minorHAnsi" w:hAnsiTheme="minorHAnsi" w:cstheme="minorHAnsi"/>
          <w:i/>
          <w:iCs/>
        </w:rPr>
        <w:t xml:space="preserve">PASC considered that the population was well defined, noting the definition of the population was consistent with PBS restrictions for treatments for multiple myeloma, and was </w:t>
      </w:r>
      <w:r>
        <w:rPr>
          <w:rFonts w:asciiTheme="minorHAnsi" w:hAnsiTheme="minorHAnsi" w:cstheme="minorHAnsi"/>
          <w:i/>
          <w:iCs/>
        </w:rPr>
        <w:t xml:space="preserve">broadly </w:t>
      </w:r>
      <w:r w:rsidRPr="006C48FC">
        <w:rPr>
          <w:rFonts w:asciiTheme="minorHAnsi" w:hAnsiTheme="minorHAnsi" w:cstheme="minorHAnsi"/>
          <w:i/>
          <w:iCs/>
        </w:rPr>
        <w:t>consistent with the population enrolled in CARTITUDE-1.</w:t>
      </w:r>
    </w:p>
    <w:p w14:paraId="0809AF40" w14:textId="728D896B" w:rsidR="006E6A9F" w:rsidRPr="00627FC4" w:rsidRDefault="007A66C8" w:rsidP="00627FC4">
      <w:pPr>
        <w:pStyle w:val="Heading3"/>
      </w:pPr>
      <w:r w:rsidRPr="008F1532">
        <w:t>Intervention</w:t>
      </w:r>
    </w:p>
    <w:p w14:paraId="1E8F077D" w14:textId="5AD79164" w:rsidR="00B32BAB" w:rsidRPr="00B32BAB" w:rsidRDefault="00B32BAB" w:rsidP="00627FC4">
      <w:pPr>
        <w:pStyle w:val="Instructionaltext"/>
        <w:jc w:val="both"/>
        <w:rPr>
          <w:color w:val="000000" w:themeColor="text1"/>
          <w:u w:val="single"/>
        </w:rPr>
      </w:pPr>
      <w:r>
        <w:rPr>
          <w:color w:val="000000" w:themeColor="text1"/>
          <w:u w:val="single"/>
        </w:rPr>
        <w:t>Mechanism of action</w:t>
      </w:r>
    </w:p>
    <w:p w14:paraId="28A76C62" w14:textId="2041DA05" w:rsidR="006E6A9F" w:rsidRDefault="006E6A9F" w:rsidP="00DF3EEF">
      <w:r w:rsidRPr="00DA5C27">
        <w:t>Ciltacabtagene autoleucel is a chimeric antigen receptor</w:t>
      </w:r>
      <w:r w:rsidR="0088159A">
        <w:t>-</w:t>
      </w:r>
      <w:r w:rsidRPr="00DA5C27">
        <w:t>T</w:t>
      </w:r>
      <w:r w:rsidR="0088159A">
        <w:t xml:space="preserve"> </w:t>
      </w:r>
      <w:r w:rsidR="004E6699">
        <w:t>cell</w:t>
      </w:r>
      <w:r w:rsidRPr="00DA5C27">
        <w:t xml:space="preserve"> (CAR-T) therapy</w:t>
      </w:r>
      <w:r w:rsidR="00293287">
        <w:t>.</w:t>
      </w:r>
      <w:r w:rsidR="00627FC4">
        <w:t xml:space="preserve"> </w:t>
      </w:r>
      <w:r w:rsidR="00DA5C27" w:rsidRPr="00DA5C27">
        <w:t xml:space="preserve">Ciltacabtagene autoleucel </w:t>
      </w:r>
      <w:r w:rsidRPr="00DA5C27">
        <w:t xml:space="preserve">is a B cell maturation antigen (BCMA)-directed genetically modified autologous T cell immunotherapy. </w:t>
      </w:r>
      <w:r w:rsidR="0088159A" w:rsidRPr="00C21CAF">
        <w:rPr>
          <w:rFonts w:asciiTheme="minorHAnsi" w:hAnsiTheme="minorHAnsi" w:cstheme="minorHAnsi"/>
          <w:i/>
          <w:iCs/>
          <w:szCs w:val="24"/>
        </w:rPr>
        <w:t>PASC questioned whether there would be a requirement for additional testing for BCMA or whether it was expressed in all MM.</w:t>
      </w:r>
      <w:r w:rsidR="0088159A" w:rsidRPr="00C21CAF">
        <w:rPr>
          <w:rFonts w:asciiTheme="minorHAnsi" w:hAnsiTheme="minorHAnsi" w:cstheme="minorHAnsi"/>
          <w:i/>
          <w:iCs/>
          <w:sz w:val="28"/>
          <w:szCs w:val="24"/>
        </w:rPr>
        <w:t xml:space="preserve"> </w:t>
      </w:r>
      <w:r w:rsidR="0088159A" w:rsidRPr="00C21CAF">
        <w:rPr>
          <w:rFonts w:asciiTheme="minorHAnsi" w:hAnsiTheme="minorHAnsi" w:cstheme="minorHAnsi"/>
        </w:rPr>
        <w:t>The applicant advised there was no requirement for additional testing as all MM expressed BCMA</w:t>
      </w:r>
      <w:r w:rsidR="0088159A">
        <w:rPr>
          <w:rFonts w:asciiTheme="minorHAnsi" w:hAnsiTheme="minorHAnsi" w:cstheme="minorHAnsi"/>
        </w:rPr>
        <w:t xml:space="preserve">. </w:t>
      </w:r>
      <w:r w:rsidR="00B32BAB">
        <w:t>C</w:t>
      </w:r>
      <w:r w:rsidR="00DA5C27" w:rsidRPr="00DA5C27">
        <w:t xml:space="preserve">iltacabtagene autoleucel </w:t>
      </w:r>
      <w:r w:rsidRPr="00DA5C27">
        <w:t>is prepared from the patient’s peripheral blood mononuclear cells obtained via a leukapheresis. The mononuclear cells are enriched for T</w:t>
      </w:r>
      <w:r w:rsidR="0088159A">
        <w:t xml:space="preserve"> </w:t>
      </w:r>
      <w:r w:rsidRPr="00DA5C27">
        <w:t xml:space="preserve">cells and genetically modified </w:t>
      </w:r>
      <w:r w:rsidRPr="00DF3EEF">
        <w:rPr>
          <w:i/>
          <w:iCs/>
        </w:rPr>
        <w:t>ex vivo</w:t>
      </w:r>
      <w:r w:rsidRPr="00DA5C27">
        <w:t xml:space="preserve"> by transduction with a replication incompetent lentiviral vector to express a chimeric antigen receptor (CAR) comprising an anti-BCMA targeting domain. The transduced anti-BCMA CAR</w:t>
      </w:r>
      <w:r w:rsidR="0088159A">
        <w:t>-</w:t>
      </w:r>
      <w:r w:rsidRPr="00DA5C27">
        <w:t>T</w:t>
      </w:r>
      <w:r w:rsidR="0088159A">
        <w:t xml:space="preserve"> </w:t>
      </w:r>
      <w:r w:rsidRPr="00DA5C27">
        <w:t>cells are then expanded and infused and formulated into a suspension prior to infusion back into the patient, where the anti-BCMA CAR</w:t>
      </w:r>
      <w:r w:rsidR="0088159A">
        <w:t>-</w:t>
      </w:r>
      <w:r w:rsidRPr="00DA5C27">
        <w:t>T</w:t>
      </w:r>
      <w:r w:rsidR="0088159A">
        <w:t xml:space="preserve"> </w:t>
      </w:r>
      <w:r w:rsidRPr="00DA5C27">
        <w:t>cells can recognise and eliminate BCMA expressing target cells.</w:t>
      </w:r>
    </w:p>
    <w:p w14:paraId="3FEE2706" w14:textId="3FD9DA7A" w:rsidR="00B32BAB" w:rsidRPr="00B32BAB" w:rsidRDefault="00B32BAB" w:rsidP="00522EDD">
      <w:pPr>
        <w:pStyle w:val="Instructionaltext"/>
        <w:keepNext/>
        <w:jc w:val="both"/>
        <w:rPr>
          <w:color w:val="000000" w:themeColor="text1"/>
          <w:u w:val="single"/>
        </w:rPr>
      </w:pPr>
      <w:r>
        <w:rPr>
          <w:color w:val="000000" w:themeColor="text1"/>
          <w:u w:val="single"/>
        </w:rPr>
        <w:t>Dose</w:t>
      </w:r>
    </w:p>
    <w:p w14:paraId="3594D796" w14:textId="6B2A9A2C" w:rsidR="00627FC4" w:rsidRDefault="00B32BAB" w:rsidP="00522EDD">
      <w:pPr>
        <w:keepNext/>
      </w:pPr>
      <w:r>
        <w:t>The application states that c</w:t>
      </w:r>
      <w:r w:rsidR="00627FC4">
        <w:t xml:space="preserve">iltacabtagene </w:t>
      </w:r>
      <w:r w:rsidR="007A3220">
        <w:t>autoleucel</w:t>
      </w:r>
      <w:r w:rsidR="00627FC4">
        <w:t xml:space="preserve"> is to be administered as a single dose for infusion </w:t>
      </w:r>
      <w:r w:rsidR="00627FC4" w:rsidRPr="00650191">
        <w:t>containing a suspension of chimeric antigen receptor (CAR)-positive viable T-cells. The dose is 0.5-1.0×10</w:t>
      </w:r>
      <w:r w:rsidR="00627FC4" w:rsidRPr="00650191">
        <w:rPr>
          <w:vertAlign w:val="superscript"/>
        </w:rPr>
        <w:t>6</w:t>
      </w:r>
      <w:r w:rsidR="00627FC4" w:rsidRPr="00650191">
        <w:t xml:space="preserve"> CAR-positive viable T-cells per </w:t>
      </w:r>
      <w:r w:rsidR="00293287">
        <w:t>kilogram (</w:t>
      </w:r>
      <w:r w:rsidR="00627FC4" w:rsidRPr="00650191">
        <w:t>kg</w:t>
      </w:r>
      <w:r w:rsidR="00293287">
        <w:t>)</w:t>
      </w:r>
      <w:r w:rsidR="00627FC4" w:rsidRPr="00650191">
        <w:t xml:space="preserve"> of body weight, with a maximum dose of 1×10</w:t>
      </w:r>
      <w:r w:rsidR="00627FC4" w:rsidRPr="00650191">
        <w:rPr>
          <w:vertAlign w:val="superscript"/>
        </w:rPr>
        <w:t xml:space="preserve">8 </w:t>
      </w:r>
      <w:r w:rsidR="00627FC4" w:rsidRPr="00650191">
        <w:t>CAR-positive viable T-cells per single infusion</w:t>
      </w:r>
      <w:r w:rsidR="00627FC4">
        <w:t xml:space="preserve">. The infusion should be given 5 to 7 days after the start of the lymphodepleting regimen. </w:t>
      </w:r>
      <w:r w:rsidRPr="0088159A">
        <w:t>The maximum dose in the application was higher than the range of doses given in CARTITUDE (0.5-1.0×10</w:t>
      </w:r>
      <w:r w:rsidRPr="0088159A">
        <w:rPr>
          <w:vertAlign w:val="superscript"/>
        </w:rPr>
        <w:t>6</w:t>
      </w:r>
      <w:r w:rsidRPr="0088159A">
        <w:t xml:space="preserve"> CAR-positive viable T-cells per kg of body weight).</w:t>
      </w:r>
      <w:r w:rsidR="0088159A" w:rsidRPr="0088159A">
        <w:t xml:space="preserve"> </w:t>
      </w:r>
      <w:r w:rsidR="0088159A" w:rsidRPr="0088159A">
        <w:rPr>
          <w:rFonts w:asciiTheme="minorHAnsi" w:hAnsiTheme="minorHAnsi" w:cstheme="minorHAnsi"/>
          <w:i/>
          <w:iCs/>
          <w:szCs w:val="24"/>
        </w:rPr>
        <w:t>PASC questioned whether the proposed maximum dose of 1×10</w:t>
      </w:r>
      <w:r w:rsidR="0088159A" w:rsidRPr="0088159A">
        <w:rPr>
          <w:rFonts w:asciiTheme="minorHAnsi" w:hAnsiTheme="minorHAnsi" w:cstheme="minorHAnsi"/>
          <w:i/>
          <w:iCs/>
          <w:szCs w:val="24"/>
          <w:vertAlign w:val="superscript"/>
        </w:rPr>
        <w:t>8</w:t>
      </w:r>
      <w:r w:rsidR="0088159A" w:rsidRPr="0088159A">
        <w:rPr>
          <w:rFonts w:asciiTheme="minorHAnsi" w:hAnsiTheme="minorHAnsi" w:cstheme="minorHAnsi"/>
          <w:i/>
          <w:iCs/>
          <w:szCs w:val="24"/>
        </w:rPr>
        <w:t xml:space="preserve"> CAR-positive viable T</w:t>
      </w:r>
      <w:r w:rsidR="0088159A">
        <w:rPr>
          <w:rFonts w:asciiTheme="minorHAnsi" w:hAnsiTheme="minorHAnsi" w:cstheme="minorHAnsi"/>
          <w:i/>
          <w:iCs/>
          <w:szCs w:val="24"/>
        </w:rPr>
        <w:t xml:space="preserve"> </w:t>
      </w:r>
      <w:r w:rsidR="0088159A" w:rsidRPr="0088159A">
        <w:rPr>
          <w:rFonts w:asciiTheme="minorHAnsi" w:hAnsiTheme="minorHAnsi" w:cstheme="minorHAnsi"/>
          <w:i/>
          <w:iCs/>
          <w:szCs w:val="24"/>
        </w:rPr>
        <w:t>cells per kg of body weight was greater than that used in CARTITUDE-1 (0.5-1.0×10</w:t>
      </w:r>
      <w:r w:rsidR="0088159A" w:rsidRPr="0088159A">
        <w:rPr>
          <w:rFonts w:asciiTheme="minorHAnsi" w:hAnsiTheme="minorHAnsi" w:cstheme="minorHAnsi"/>
          <w:i/>
          <w:iCs/>
          <w:szCs w:val="24"/>
          <w:vertAlign w:val="superscript"/>
        </w:rPr>
        <w:t>6</w:t>
      </w:r>
      <w:r w:rsidR="0088159A" w:rsidRPr="0088159A">
        <w:rPr>
          <w:rFonts w:asciiTheme="minorHAnsi" w:hAnsiTheme="minorHAnsi" w:cstheme="minorHAnsi"/>
          <w:i/>
          <w:iCs/>
          <w:szCs w:val="24"/>
        </w:rPr>
        <w:t xml:space="preserve"> CAR-positive viable T</w:t>
      </w:r>
      <w:r w:rsidR="0088159A">
        <w:rPr>
          <w:rFonts w:asciiTheme="minorHAnsi" w:hAnsiTheme="minorHAnsi" w:cstheme="minorHAnsi"/>
          <w:i/>
          <w:iCs/>
          <w:szCs w:val="24"/>
        </w:rPr>
        <w:t xml:space="preserve"> </w:t>
      </w:r>
      <w:r w:rsidR="0088159A" w:rsidRPr="0088159A">
        <w:rPr>
          <w:rFonts w:asciiTheme="minorHAnsi" w:hAnsiTheme="minorHAnsi" w:cstheme="minorHAnsi"/>
          <w:i/>
          <w:iCs/>
          <w:szCs w:val="24"/>
        </w:rPr>
        <w:t xml:space="preserve">cells per kg of body weight). </w:t>
      </w:r>
      <w:r w:rsidR="0088159A" w:rsidRPr="0088159A">
        <w:rPr>
          <w:rFonts w:asciiTheme="minorHAnsi" w:hAnsiTheme="minorHAnsi" w:cstheme="minorHAnsi"/>
          <w:szCs w:val="24"/>
        </w:rPr>
        <w:t>The applicant advised the proposed dose range was consistent with CARTITUDE-1.</w:t>
      </w:r>
    </w:p>
    <w:p w14:paraId="6A34BE37" w14:textId="37D6C3EF" w:rsidR="00B32BAB" w:rsidRDefault="00B32BAB" w:rsidP="00DF3EEF">
      <w:r>
        <w:t>The application proposes, c</w:t>
      </w:r>
      <w:r w:rsidRPr="00627FC4">
        <w:t xml:space="preserve">onsistent with the MSAC recommendation for Kymriah® in </w:t>
      </w:r>
      <w:r w:rsidR="004557BA">
        <w:t>diffuse large B cell lymphoma (</w:t>
      </w:r>
      <w:r w:rsidRPr="00627FC4">
        <w:t>DLBCL</w:t>
      </w:r>
      <w:r w:rsidR="004557BA">
        <w:t>)</w:t>
      </w:r>
      <w:r w:rsidRPr="00627FC4">
        <w:t xml:space="preserve">, </w:t>
      </w:r>
      <w:r w:rsidR="004557BA" w:rsidRPr="00DA5C27">
        <w:t>primary mediastinal B cell lymphoma</w:t>
      </w:r>
      <w:r w:rsidR="004557BA" w:rsidRPr="00627FC4">
        <w:t xml:space="preserve"> </w:t>
      </w:r>
      <w:r w:rsidR="004557BA">
        <w:t>(</w:t>
      </w:r>
      <w:r w:rsidRPr="00627FC4">
        <w:t>PMBCL</w:t>
      </w:r>
      <w:r w:rsidR="004557BA">
        <w:t>)</w:t>
      </w:r>
      <w:r w:rsidRPr="00627FC4">
        <w:t xml:space="preserve"> and</w:t>
      </w:r>
      <w:r w:rsidR="00DF3EEF">
        <w:t xml:space="preserve"> transformed follicular lymphoma</w:t>
      </w:r>
      <w:r w:rsidRPr="00627FC4">
        <w:t xml:space="preserve"> </w:t>
      </w:r>
      <w:r w:rsidR="00DF3EEF">
        <w:t>(</w:t>
      </w:r>
      <w:r w:rsidRPr="00627FC4">
        <w:t>TFL</w:t>
      </w:r>
      <w:r w:rsidR="00DF3EEF">
        <w:t>)</w:t>
      </w:r>
      <w:r w:rsidRPr="00627FC4">
        <w:t xml:space="preserve"> (</w:t>
      </w:r>
      <w:r w:rsidR="005774E5">
        <w:t xml:space="preserve">MSAC 1519.1, </w:t>
      </w:r>
      <w:r w:rsidRPr="00627FC4">
        <w:t>November 2019) and Yescarta® in these same indications as well as</w:t>
      </w:r>
      <w:r w:rsidR="00DF3EEF">
        <w:t xml:space="preserve"> high grade B-cell lymphoma</w:t>
      </w:r>
      <w:r w:rsidRPr="00627FC4">
        <w:t xml:space="preserve"> </w:t>
      </w:r>
      <w:r w:rsidR="00DF3EEF">
        <w:t>(</w:t>
      </w:r>
      <w:r w:rsidRPr="00627FC4">
        <w:t>HGBCL</w:t>
      </w:r>
      <w:r w:rsidR="00DF3EEF">
        <w:t>)</w:t>
      </w:r>
      <w:r w:rsidRPr="00627FC4">
        <w:t xml:space="preserve"> (</w:t>
      </w:r>
      <w:r w:rsidR="005774E5">
        <w:t xml:space="preserve">MSAC 1587, </w:t>
      </w:r>
      <w:r w:rsidRPr="00627FC4">
        <w:t xml:space="preserve">January 2020), that patients would be limited to one successful CAR-T infusion per lifetime. </w:t>
      </w:r>
      <w:r>
        <w:t xml:space="preserve">The application defines a </w:t>
      </w:r>
      <w:r w:rsidRPr="00627FC4">
        <w:t xml:space="preserve">successful infusion </w:t>
      </w:r>
      <w:r>
        <w:t>as</w:t>
      </w:r>
      <w:r w:rsidRPr="00627FC4">
        <w:t xml:space="preserve"> when the patient with RRMM has been infused with the optimal </w:t>
      </w:r>
      <w:r w:rsidR="00F35590">
        <w:t xml:space="preserve">ciltacabtagene </w:t>
      </w:r>
      <w:r w:rsidR="007A3220">
        <w:t>autoleucel</w:t>
      </w:r>
      <w:r w:rsidRPr="00627FC4">
        <w:t xml:space="preserve"> dosage as per the recommend dose above.</w:t>
      </w:r>
    </w:p>
    <w:p w14:paraId="5D964DD5" w14:textId="0482AC7D" w:rsidR="00B32BAB" w:rsidRPr="00B32BAB" w:rsidRDefault="00B32BAB" w:rsidP="0088159A">
      <w:pPr>
        <w:keepNext/>
        <w:jc w:val="both"/>
        <w:rPr>
          <w:i/>
          <w:iCs/>
        </w:rPr>
      </w:pPr>
      <w:r w:rsidRPr="00B32BAB">
        <w:rPr>
          <w:u w:val="single"/>
        </w:rPr>
        <w:lastRenderedPageBreak/>
        <w:t>Description of procedure</w:t>
      </w:r>
      <w:r>
        <w:rPr>
          <w:i/>
          <w:iCs/>
        </w:rPr>
        <w:t>:</w:t>
      </w:r>
    </w:p>
    <w:p w14:paraId="07842EB7" w14:textId="601A50A4" w:rsidR="00053614" w:rsidRPr="00053614" w:rsidRDefault="00053614" w:rsidP="0088159A">
      <w:pPr>
        <w:keepNext/>
      </w:pPr>
      <w:r>
        <w:t>The application</w:t>
      </w:r>
      <w:r w:rsidRPr="00DA5C27">
        <w:t xml:space="preserve"> notes that other CAR-T therapies have already been approved by the TGA and MSAC for use in acute lymphoblastic leukaemia (ALL</w:t>
      </w:r>
      <w:r w:rsidR="005774E5">
        <w:t>; MSAC 1519</w:t>
      </w:r>
      <w:r w:rsidRPr="00DA5C27">
        <w:t xml:space="preserve">), DLBCL </w:t>
      </w:r>
      <w:r w:rsidR="005774E5">
        <w:t>(MSAC 1519.1</w:t>
      </w:r>
      <w:r w:rsidR="0010124C">
        <w:t>, MSAC 1587</w:t>
      </w:r>
      <w:r w:rsidR="005774E5">
        <w:t xml:space="preserve">) </w:t>
      </w:r>
      <w:r w:rsidRPr="00DA5C27">
        <w:t>and PMBCL.</w:t>
      </w:r>
      <w:r w:rsidR="0010124C">
        <w:t xml:space="preserve"> (MSAC 1519.1, MSAC 1587).</w:t>
      </w:r>
      <w:r w:rsidRPr="00DA5C27">
        <w:t xml:space="preserve"> These therapies target CD-19.</w:t>
      </w:r>
    </w:p>
    <w:p w14:paraId="1BCC6F7E" w14:textId="7B6A83E1" w:rsidR="00053614" w:rsidRPr="00627FC4" w:rsidRDefault="00053614" w:rsidP="00DF3EEF">
      <w:r>
        <w:t>The application states that t</w:t>
      </w:r>
      <w:r w:rsidRPr="00053614">
        <w:t>reatment will be prescribed and monitored by an experienced haematologist working in a multidisciplinary team specialising in the provision of CAR-T cell therapy</w:t>
      </w:r>
      <w:r w:rsidR="004557BA">
        <w:t>.</w:t>
      </w:r>
    </w:p>
    <w:p w14:paraId="69591618" w14:textId="11D3296A" w:rsidR="00DA5C27" w:rsidRDefault="005956FD" w:rsidP="00DF3EEF">
      <w:r>
        <w:t>The application n</w:t>
      </w:r>
      <w:r w:rsidR="00627FC4">
        <w:t>ot</w:t>
      </w:r>
      <w:r>
        <w:t>es that most</w:t>
      </w:r>
      <w:r w:rsidRPr="005956FD">
        <w:t xml:space="preserve"> of the medical service will be rendered in Australia</w:t>
      </w:r>
      <w:r>
        <w:t>, with</w:t>
      </w:r>
      <w:r w:rsidRPr="005956FD">
        <w:t xml:space="preserve"> </w:t>
      </w:r>
      <w:r>
        <w:t>t</w:t>
      </w:r>
      <w:r w:rsidRPr="005956FD">
        <w:t xml:space="preserve">he exception </w:t>
      </w:r>
      <w:r>
        <w:t xml:space="preserve">being </w:t>
      </w:r>
      <w:r w:rsidRPr="005956FD">
        <w:t xml:space="preserve">the manufacturing of </w:t>
      </w:r>
      <w:r w:rsidR="00F35590">
        <w:t xml:space="preserve">ciltacabtagene </w:t>
      </w:r>
      <w:r w:rsidR="007A3220">
        <w:t>autoleucel</w:t>
      </w:r>
      <w:r w:rsidRPr="005956FD">
        <w:t xml:space="preserve"> CAR-T product which occurs in the Janssen manufacturing centre in Raritan (N</w:t>
      </w:r>
      <w:r w:rsidR="004557BA">
        <w:t xml:space="preserve">ew </w:t>
      </w:r>
      <w:r w:rsidRPr="005956FD">
        <w:t>J</w:t>
      </w:r>
      <w:r w:rsidR="004557BA">
        <w:t>ersey</w:t>
      </w:r>
      <w:r w:rsidRPr="005956FD">
        <w:t>, USA).</w:t>
      </w:r>
    </w:p>
    <w:p w14:paraId="70F87440" w14:textId="5221A5A0" w:rsidR="00DA5C27" w:rsidRPr="00DA5C27" w:rsidRDefault="00DA5C27" w:rsidP="00DF3EEF">
      <w:r>
        <w:t xml:space="preserve">The application notes that, similar to </w:t>
      </w:r>
      <w:r w:rsidR="005956FD">
        <w:t>previously approved</w:t>
      </w:r>
      <w:r>
        <w:t xml:space="preserve"> CAR-T therapies, ciltacabtagene </w:t>
      </w:r>
      <w:r w:rsidR="007A3220">
        <w:t>autoleucel</w:t>
      </w:r>
      <w:r>
        <w:t xml:space="preserve"> involves the following </w:t>
      </w:r>
    </w:p>
    <w:p w14:paraId="79385CA8" w14:textId="654BDD16" w:rsidR="00DA5C27" w:rsidRDefault="00DA5C27" w:rsidP="00DF3EEF">
      <w:pPr>
        <w:pStyle w:val="ListParagraph"/>
        <w:numPr>
          <w:ilvl w:val="0"/>
          <w:numId w:val="19"/>
        </w:numPr>
        <w:ind w:left="284" w:hanging="284"/>
        <w:contextualSpacing w:val="0"/>
      </w:pPr>
      <w:r w:rsidRPr="00426025">
        <w:rPr>
          <w:u w:val="single"/>
        </w:rPr>
        <w:t>Apheresis:</w:t>
      </w:r>
      <w:r w:rsidRPr="00DA5C27">
        <w:t xml:space="preserve"> a standard leukapheresis procedure is used to obtain a patient’s peripheral blood mononuclear cells. Various specialised apheresis systems are available for this process. The apheresis machine is a multi-use consumable. Single-use consumables include tubing, sets, bowls, anticoagulant and replacement fluids.</w:t>
      </w:r>
    </w:p>
    <w:p w14:paraId="70B70220" w14:textId="6335E567" w:rsidR="00214C14" w:rsidRDefault="00214C14" w:rsidP="00A71BFD">
      <w:pPr>
        <w:pStyle w:val="ListParagraph"/>
        <w:ind w:left="284"/>
        <w:contextualSpacing w:val="0"/>
      </w:pPr>
      <w:r>
        <w:t xml:space="preserve">Bridging therapy: the patients may receive bridging therapy as per clinical indication </w:t>
      </w:r>
      <w:r w:rsidRPr="000D7858">
        <w:t xml:space="preserve">to maintain disease stability during the period of production of </w:t>
      </w:r>
      <w:r w:rsidR="0088159A" w:rsidRPr="00DF3EEF">
        <w:rPr>
          <w:u w:val="single"/>
        </w:rPr>
        <w:t xml:space="preserve">ciltacabtagene </w:t>
      </w:r>
      <w:r w:rsidR="0088159A">
        <w:rPr>
          <w:u w:val="single"/>
        </w:rPr>
        <w:t>autoleucel</w:t>
      </w:r>
      <w:r w:rsidRPr="000D7858">
        <w:t>. Bridging therapy will be a short-term treatment (i.e. approximately up to 6 weeks) and</w:t>
      </w:r>
      <w:r w:rsidR="005908BE">
        <w:t xml:space="preserve"> is</w:t>
      </w:r>
      <w:r w:rsidRPr="000D7858">
        <w:t xml:space="preserve"> currently funded on the PBS.  </w:t>
      </w:r>
    </w:p>
    <w:p w14:paraId="29502FE2" w14:textId="2C21D7B1" w:rsidR="00DA5C27" w:rsidRDefault="00DA5C27" w:rsidP="00DF3EEF">
      <w:pPr>
        <w:pStyle w:val="ListParagraph"/>
        <w:numPr>
          <w:ilvl w:val="0"/>
          <w:numId w:val="19"/>
        </w:numPr>
        <w:ind w:left="284" w:hanging="284"/>
        <w:contextualSpacing w:val="0"/>
      </w:pPr>
      <w:r w:rsidRPr="00426025">
        <w:rPr>
          <w:u w:val="single"/>
        </w:rPr>
        <w:t xml:space="preserve">Manufacture of </w:t>
      </w:r>
      <w:r w:rsidR="00F35590" w:rsidRPr="00DF3EEF">
        <w:rPr>
          <w:u w:val="single"/>
        </w:rPr>
        <w:t xml:space="preserve">ciltacabtagene </w:t>
      </w:r>
      <w:r w:rsidR="007A3220">
        <w:rPr>
          <w:u w:val="single"/>
        </w:rPr>
        <w:t>autoleucel</w:t>
      </w:r>
      <w:r w:rsidRPr="00DF3EEF">
        <w:rPr>
          <w:u w:val="single"/>
        </w:rPr>
        <w:t>:</w:t>
      </w:r>
      <w:r w:rsidRPr="00DA5C27">
        <w:t xml:space="preserve"> The mononuclear cells are enriched for T</w:t>
      </w:r>
      <w:r w:rsidR="0088159A">
        <w:t xml:space="preserve"> </w:t>
      </w:r>
      <w:r w:rsidRPr="00DA5C27">
        <w:t xml:space="preserve">cells and genetically modified </w:t>
      </w:r>
      <w:r w:rsidRPr="00DF3EEF">
        <w:rPr>
          <w:i/>
          <w:iCs/>
        </w:rPr>
        <w:t>ex vivo</w:t>
      </w:r>
      <w:r w:rsidRPr="00DA5C27">
        <w:t xml:space="preserve"> by transduction with a replication incompetent lentiviral vector to express a chimeric antigen receptor (CAR) comprising an anti-BCMA targeting domain. The transduced anti-BCMA CAR</w:t>
      </w:r>
      <w:r w:rsidR="0088159A">
        <w:t>-</w:t>
      </w:r>
      <w:r w:rsidRPr="00DA5C27">
        <w:t>T</w:t>
      </w:r>
      <w:r w:rsidR="0088159A">
        <w:t xml:space="preserve"> </w:t>
      </w:r>
      <w:r w:rsidRPr="00DA5C27">
        <w:t xml:space="preserve">cells are expanded in cell culture, washed, formulated into a suspension and cryopreserved. The product must pass a sterility test before release for shipping as a frozen suspension in a patient-specific infusion bag. The drug product infusion bag is individually packed in an aluminium cryo cassette prior to cryopreservation. Once the CAR-T product is manufactured, it will undergo full </w:t>
      </w:r>
      <w:r w:rsidR="00522EDD">
        <w:t>quality assurance (</w:t>
      </w:r>
      <w:r w:rsidRPr="00DA5C27">
        <w:t>QA</w:t>
      </w:r>
      <w:r w:rsidR="00522EDD">
        <w:t>)</w:t>
      </w:r>
      <w:r w:rsidRPr="00DA5C27">
        <w:t xml:space="preserve"> release at Raritan, then </w:t>
      </w:r>
      <w:r w:rsidR="004557BA">
        <w:t xml:space="preserve">be </w:t>
      </w:r>
      <w:r w:rsidRPr="00DA5C27">
        <w:t>transported directly to hospital in Australia.</w:t>
      </w:r>
    </w:p>
    <w:p w14:paraId="46C870E8" w14:textId="266F1F03" w:rsidR="00DA5C27" w:rsidRDefault="00DA5C27" w:rsidP="00DF3EEF">
      <w:pPr>
        <w:pStyle w:val="ListParagraph"/>
        <w:numPr>
          <w:ilvl w:val="0"/>
          <w:numId w:val="19"/>
        </w:numPr>
        <w:ind w:left="284" w:hanging="284"/>
        <w:contextualSpacing w:val="0"/>
      </w:pPr>
      <w:r w:rsidRPr="00426025">
        <w:rPr>
          <w:u w:val="single"/>
        </w:rPr>
        <w:t>Conditioning (lymphodepletion):</w:t>
      </w:r>
      <w:r w:rsidRPr="00DA5C27">
        <w:t xml:space="preserve"> A lymphodepleting chemotherapy regimen consisting of cyclophosphamide 300 mg/m</w:t>
      </w:r>
      <w:r w:rsidRPr="00DF3EEF">
        <w:rPr>
          <w:vertAlign w:val="superscript"/>
        </w:rPr>
        <w:t>2</w:t>
      </w:r>
      <w:r w:rsidRPr="00DA5C27">
        <w:t xml:space="preserve"> intravenously daily and fludarabine 30 mg/m</w:t>
      </w:r>
      <w:r w:rsidRPr="00DF3EEF">
        <w:rPr>
          <w:vertAlign w:val="superscript"/>
        </w:rPr>
        <w:t>2</w:t>
      </w:r>
      <w:r w:rsidRPr="00DA5C27">
        <w:t xml:space="preserve"> intravenously is administered daily for 3 days. </w:t>
      </w:r>
      <w:r w:rsidR="00F35590">
        <w:t xml:space="preserve">Ciltacabtagene </w:t>
      </w:r>
      <w:r w:rsidR="007A3220">
        <w:t>autoleucel</w:t>
      </w:r>
      <w:r w:rsidRPr="00DA5C27">
        <w:t xml:space="preserve"> infusion is administered 5 to 7 days after the start of the lymphodepleting regimen. Standard single-use consumables for an </w:t>
      </w:r>
      <w:r w:rsidR="007A3220">
        <w:t>intravenous</w:t>
      </w:r>
      <w:r w:rsidR="0025305B">
        <w:t xml:space="preserve"> (</w:t>
      </w:r>
      <w:r w:rsidRPr="00DA5C27">
        <w:t>IV</w:t>
      </w:r>
      <w:r w:rsidR="0025305B">
        <w:t>)</w:t>
      </w:r>
      <w:r w:rsidRPr="00DA5C27">
        <w:t xml:space="preserve"> infusion include sterile alcohol wipes, plastic wrap, film dressing, gauze wipes, tubing adhesive tape, spill kit, preparation mats, labels, transport bag, and latex gloves.</w:t>
      </w:r>
    </w:p>
    <w:p w14:paraId="34A8B0D5" w14:textId="488920EF" w:rsidR="00DA5C27" w:rsidRDefault="00F35590" w:rsidP="00DF3EEF">
      <w:pPr>
        <w:pStyle w:val="ListParagraph"/>
        <w:numPr>
          <w:ilvl w:val="0"/>
          <w:numId w:val="19"/>
        </w:numPr>
        <w:ind w:left="284" w:hanging="284"/>
        <w:contextualSpacing w:val="0"/>
      </w:pPr>
      <w:r w:rsidRPr="00426025">
        <w:rPr>
          <w:u w:val="single"/>
        </w:rPr>
        <w:t xml:space="preserve">Ciltacabtagene </w:t>
      </w:r>
      <w:r w:rsidR="007A3220">
        <w:rPr>
          <w:u w:val="single"/>
        </w:rPr>
        <w:t>autoleucel</w:t>
      </w:r>
      <w:r w:rsidR="00DA5C27" w:rsidRPr="00DF3EEF">
        <w:rPr>
          <w:u w:val="single"/>
        </w:rPr>
        <w:t xml:space="preserve"> infusion:</w:t>
      </w:r>
      <w:r w:rsidR="00DA5C27" w:rsidRPr="00DA5C27">
        <w:t xml:space="preserve"> </w:t>
      </w:r>
      <w:r>
        <w:t xml:space="preserve">Ciltacabtagene </w:t>
      </w:r>
      <w:r w:rsidR="007A3220">
        <w:t>autoleucel</w:t>
      </w:r>
      <w:r w:rsidR="00DA5C27" w:rsidRPr="00DA5C27">
        <w:t xml:space="preserve"> infusion includes standard single-use consumables typical to an IV infusion, as listed above.</w:t>
      </w:r>
    </w:p>
    <w:p w14:paraId="409A74EA" w14:textId="0CCACCA8" w:rsidR="00DA5C27" w:rsidRPr="009A2821" w:rsidRDefault="00DA5C27" w:rsidP="00DF3EEF">
      <w:pPr>
        <w:pStyle w:val="ListParagraph"/>
        <w:numPr>
          <w:ilvl w:val="0"/>
          <w:numId w:val="19"/>
        </w:numPr>
        <w:ind w:left="284" w:hanging="284"/>
        <w:contextualSpacing w:val="0"/>
      </w:pPr>
      <w:r w:rsidRPr="00426025">
        <w:rPr>
          <w:u w:val="single"/>
        </w:rPr>
        <w:t>Monitoring after infusion:</w:t>
      </w:r>
      <w:r w:rsidRPr="00DA5C27">
        <w:t xml:space="preserve"> tocilizumab or methylprednisolone may be administered via IV infusion for the management of </w:t>
      </w:r>
      <w:r w:rsidR="00DF3EEF">
        <w:t>cytokine release syndrome (</w:t>
      </w:r>
      <w:r w:rsidRPr="00DA5C27">
        <w:t>CRS</w:t>
      </w:r>
      <w:r w:rsidR="00DF3EEF">
        <w:t>)</w:t>
      </w:r>
      <w:r w:rsidRPr="00DA5C27">
        <w:t xml:space="preserve"> </w:t>
      </w:r>
      <w:r w:rsidR="007A3220" w:rsidRPr="00DA5C27">
        <w:t>or</w:t>
      </w:r>
      <w:r w:rsidR="007A3220">
        <w:t xml:space="preserve"> immune</w:t>
      </w:r>
      <w:r w:rsidR="00DF3EEF">
        <w:t xml:space="preserve"> effector cell-associated </w:t>
      </w:r>
      <w:r w:rsidR="007A3220">
        <w:t>neurotoxicity</w:t>
      </w:r>
      <w:r w:rsidR="00DF3EEF">
        <w:t xml:space="preserve"> syndrome</w:t>
      </w:r>
      <w:r w:rsidRPr="00DA5C27">
        <w:t xml:space="preserve"> </w:t>
      </w:r>
      <w:r w:rsidR="00DF3EEF">
        <w:t>(</w:t>
      </w:r>
      <w:r w:rsidRPr="00DA5C27">
        <w:t>ICANS</w:t>
      </w:r>
      <w:r w:rsidR="00DF3EEF">
        <w:t>)</w:t>
      </w:r>
      <w:r w:rsidRPr="00DA5C27">
        <w:t>. Standard single-use consumables for an IV infusion will be required, as listed above.</w:t>
      </w:r>
      <w:r w:rsidR="002F072D">
        <w:t xml:space="preserve"> </w:t>
      </w:r>
      <w:r w:rsidR="002F072D" w:rsidRPr="002F072D">
        <w:rPr>
          <w:rFonts w:asciiTheme="minorHAnsi" w:hAnsiTheme="minorHAnsi" w:cstheme="minorHAnsi"/>
          <w:i/>
          <w:iCs/>
          <w:szCs w:val="24"/>
        </w:rPr>
        <w:t>PASC noted the monitoring requirements for CRS and ICANS.</w:t>
      </w:r>
    </w:p>
    <w:p w14:paraId="5B1A1109" w14:textId="77777777" w:rsidR="009A2821" w:rsidRPr="00DA5C27" w:rsidRDefault="009A2821" w:rsidP="009A2821"/>
    <w:p w14:paraId="635AE32E" w14:textId="0110835D" w:rsidR="005B489A" w:rsidRDefault="005B489A" w:rsidP="005B489A">
      <w:pPr>
        <w:keepNext/>
        <w:spacing w:before="240" w:after="0"/>
      </w:pPr>
      <w:bookmarkStart w:id="4" w:name="_Ref86241097"/>
      <w:r w:rsidRPr="00DF3EEF">
        <w:rPr>
          <w:rFonts w:ascii="Arial Narrow" w:hAnsi="Arial Narrow"/>
          <w:b/>
          <w:bCs/>
          <w:sz w:val="20"/>
          <w:szCs w:val="20"/>
        </w:rPr>
        <w:lastRenderedPageBreak/>
        <w:t xml:space="preserve">Figure </w:t>
      </w:r>
      <w:r w:rsidRPr="00DF3EEF">
        <w:rPr>
          <w:rFonts w:ascii="Arial Narrow" w:hAnsi="Arial Narrow"/>
          <w:b/>
          <w:bCs/>
          <w:sz w:val="20"/>
          <w:szCs w:val="20"/>
        </w:rPr>
        <w:fldChar w:fldCharType="begin"/>
      </w:r>
      <w:r w:rsidRPr="00DF3EEF">
        <w:rPr>
          <w:rFonts w:ascii="Arial Narrow" w:hAnsi="Arial Narrow"/>
          <w:b/>
          <w:bCs/>
          <w:sz w:val="20"/>
          <w:szCs w:val="20"/>
        </w:rPr>
        <w:instrText xml:space="preserve"> SEQ Figure \* MERGEFORMAT </w:instrText>
      </w:r>
      <w:r w:rsidRPr="00DF3EEF">
        <w:rPr>
          <w:rFonts w:ascii="Arial Narrow" w:hAnsi="Arial Narrow"/>
          <w:b/>
          <w:bCs/>
          <w:sz w:val="20"/>
          <w:szCs w:val="20"/>
        </w:rPr>
        <w:fldChar w:fldCharType="separate"/>
      </w:r>
      <w:r w:rsidRPr="00DF3EEF">
        <w:rPr>
          <w:rFonts w:ascii="Arial Narrow" w:hAnsi="Arial Narrow"/>
          <w:b/>
          <w:bCs/>
          <w:noProof/>
          <w:sz w:val="20"/>
          <w:szCs w:val="20"/>
        </w:rPr>
        <w:t>1</w:t>
      </w:r>
      <w:r w:rsidRPr="00DF3EEF">
        <w:rPr>
          <w:rFonts w:ascii="Arial Narrow" w:hAnsi="Arial Narrow"/>
          <w:b/>
          <w:bCs/>
          <w:sz w:val="20"/>
          <w:szCs w:val="20"/>
        </w:rPr>
        <w:fldChar w:fldCharType="end"/>
      </w:r>
      <w:bookmarkEnd w:id="4"/>
      <w:r w:rsidRPr="00DF3EEF">
        <w:rPr>
          <w:rFonts w:ascii="Arial Narrow" w:hAnsi="Arial Narrow"/>
          <w:b/>
          <w:bCs/>
          <w:sz w:val="20"/>
          <w:szCs w:val="20"/>
        </w:rPr>
        <w:t>:</w:t>
      </w:r>
      <w:r>
        <w:rPr>
          <w:rFonts w:ascii="Arial Narrow" w:hAnsi="Arial Narrow"/>
          <w:b/>
          <w:bCs/>
          <w:sz w:val="20"/>
          <w:szCs w:val="20"/>
        </w:rPr>
        <w:tab/>
        <w:t>REDACTED</w:t>
      </w:r>
    </w:p>
    <w:p w14:paraId="6DA1558E" w14:textId="0EB43B72" w:rsidR="002F072D" w:rsidRPr="002F072D" w:rsidRDefault="002F072D" w:rsidP="00DF3EEF">
      <w:r w:rsidRPr="002F072D">
        <w:rPr>
          <w:rFonts w:asciiTheme="minorHAnsi" w:hAnsiTheme="minorHAnsi" w:cstheme="minorHAnsi"/>
          <w:i/>
          <w:iCs/>
          <w:szCs w:val="24"/>
        </w:rPr>
        <w:t>PASC noted the intervention consisted of multiple steps.</w:t>
      </w:r>
    </w:p>
    <w:p w14:paraId="76072C2F" w14:textId="36622139" w:rsidR="00053614" w:rsidRPr="00053614" w:rsidRDefault="00053614" w:rsidP="00DF3EEF">
      <w:pPr>
        <w:rPr>
          <w:u w:val="single"/>
        </w:rPr>
      </w:pPr>
      <w:r>
        <w:rPr>
          <w:u w:val="single"/>
        </w:rPr>
        <w:t>Co-administered PBS therapies</w:t>
      </w:r>
    </w:p>
    <w:p w14:paraId="1A277FD7" w14:textId="2B0DAF5F" w:rsidR="00E033B5" w:rsidRPr="00E033B5" w:rsidRDefault="00E033B5" w:rsidP="00DF3EEF">
      <w:r w:rsidRPr="00E033B5">
        <w:fldChar w:fldCharType="begin"/>
      </w:r>
      <w:r w:rsidRPr="00E033B5">
        <w:instrText xml:space="preserve"> REF _Ref86242039 \h  \* MERGEFORMAT </w:instrText>
      </w:r>
      <w:r w:rsidRPr="00E033B5">
        <w:fldChar w:fldCharType="separate"/>
      </w:r>
      <w:r w:rsidRPr="00E033B5">
        <w:t xml:space="preserve">Table </w:t>
      </w:r>
      <w:r w:rsidRPr="00E033B5">
        <w:rPr>
          <w:noProof/>
        </w:rPr>
        <w:t>2</w:t>
      </w:r>
      <w:r w:rsidRPr="00E033B5">
        <w:fldChar w:fldCharType="end"/>
      </w:r>
      <w:r>
        <w:t xml:space="preserve"> presents the re</w:t>
      </w:r>
      <w:r w:rsidR="00053614">
        <w:t>le</w:t>
      </w:r>
      <w:r>
        <w:t>v</w:t>
      </w:r>
      <w:r w:rsidR="00053614">
        <w:t>a</w:t>
      </w:r>
      <w:r>
        <w:t xml:space="preserve">nt PBS item codes for medicines that may be required for the delivery of </w:t>
      </w:r>
      <w:proofErr w:type="spellStart"/>
      <w:r>
        <w:t>ciltacabtagene</w:t>
      </w:r>
      <w:proofErr w:type="spellEnd"/>
      <w:r>
        <w:t xml:space="preserve"> </w:t>
      </w:r>
      <w:proofErr w:type="spellStart"/>
      <w:r w:rsidR="007A3220">
        <w:t>autoleucel</w:t>
      </w:r>
      <w:proofErr w:type="spellEnd"/>
      <w:r w:rsidR="004557BA">
        <w:t>.</w:t>
      </w:r>
      <w:r w:rsidRPr="00E033B5">
        <w:fldChar w:fldCharType="begin"/>
      </w:r>
      <w:r w:rsidRPr="00E033B5">
        <w:instrText xml:space="preserve"> REF _Ref69732160 \h  \* MERGEFORMAT </w:instrText>
      </w:r>
      <w:r w:rsidRPr="00E033B5">
        <w:fldChar w:fldCharType="end"/>
      </w:r>
    </w:p>
    <w:p w14:paraId="688C0768" w14:textId="6EDC7942" w:rsidR="00E033B5" w:rsidRPr="003A3F9B" w:rsidRDefault="00E033B5">
      <w:pPr>
        <w:pStyle w:val="TableHeading"/>
      </w:pPr>
      <w:bookmarkStart w:id="5" w:name="_Ref86242039"/>
      <w:r w:rsidRPr="003A3F9B">
        <w:t xml:space="preserve">Table </w:t>
      </w:r>
      <w:fldSimple w:instr=" SEQ Table \* MERGEFORMAT ">
        <w:r w:rsidRPr="003A3F9B">
          <w:t>2</w:t>
        </w:r>
      </w:fldSimple>
      <w:bookmarkEnd w:id="5"/>
      <w:r w:rsidRPr="003A3F9B">
        <w:t>:</w:t>
      </w:r>
      <w:r w:rsidR="003A3F9B">
        <w:tab/>
      </w:r>
      <w:r w:rsidRPr="003A3F9B">
        <w:t xml:space="preserve">List of relevant PBS item codes for medicines that may be required for the delivery of ciltacabtagene </w:t>
      </w:r>
      <w:r w:rsidR="007A3220">
        <w:t>autoleucel</w:t>
      </w:r>
    </w:p>
    <w:tbl>
      <w:tblPr>
        <w:tblStyle w:val="TableGrid"/>
        <w:tblW w:w="9639" w:type="dxa"/>
        <w:tblInd w:w="-5" w:type="dxa"/>
        <w:tblLook w:val="04A0" w:firstRow="1" w:lastRow="0" w:firstColumn="1" w:lastColumn="0" w:noHBand="0" w:noVBand="1"/>
      </w:tblPr>
      <w:tblGrid>
        <w:gridCol w:w="1843"/>
        <w:gridCol w:w="4311"/>
        <w:gridCol w:w="3485"/>
      </w:tblGrid>
      <w:tr w:rsidR="00E033B5" w:rsidRPr="003A3F9B" w14:paraId="7EF16682" w14:textId="77777777" w:rsidTr="00DF3EEF">
        <w:trPr>
          <w:trHeight w:val="81"/>
        </w:trPr>
        <w:tc>
          <w:tcPr>
            <w:tcW w:w="1843" w:type="dxa"/>
            <w:shd w:val="clear" w:color="auto" w:fill="auto"/>
          </w:tcPr>
          <w:p w14:paraId="5F0505A2" w14:textId="77777777" w:rsidR="00E033B5" w:rsidRPr="003A3F9B" w:rsidRDefault="00E033B5" w:rsidP="00DF3EEF">
            <w:pPr>
              <w:pStyle w:val="TableText0"/>
              <w:keepNext/>
              <w:rPr>
                <w:b/>
                <w:bCs/>
              </w:rPr>
            </w:pPr>
            <w:r w:rsidRPr="003A3F9B">
              <w:rPr>
                <w:b/>
                <w:bCs/>
              </w:rPr>
              <w:t>Pharmaceutical</w:t>
            </w:r>
          </w:p>
        </w:tc>
        <w:tc>
          <w:tcPr>
            <w:tcW w:w="4311" w:type="dxa"/>
            <w:shd w:val="clear" w:color="auto" w:fill="auto"/>
          </w:tcPr>
          <w:p w14:paraId="5EB6046C" w14:textId="77777777" w:rsidR="00E033B5" w:rsidRPr="003A3F9B" w:rsidRDefault="00E033B5" w:rsidP="00DF3EEF">
            <w:pPr>
              <w:pStyle w:val="TableText0"/>
              <w:keepNext/>
              <w:rPr>
                <w:b/>
                <w:bCs/>
              </w:rPr>
            </w:pPr>
            <w:r w:rsidRPr="003A3F9B">
              <w:rPr>
                <w:b/>
                <w:bCs/>
              </w:rPr>
              <w:t>Usage</w:t>
            </w:r>
          </w:p>
        </w:tc>
        <w:tc>
          <w:tcPr>
            <w:tcW w:w="3485" w:type="dxa"/>
            <w:shd w:val="clear" w:color="auto" w:fill="auto"/>
          </w:tcPr>
          <w:p w14:paraId="07D484A5" w14:textId="77777777" w:rsidR="00E033B5" w:rsidRPr="003A3F9B" w:rsidRDefault="00E033B5" w:rsidP="00DF3EEF">
            <w:pPr>
              <w:pStyle w:val="TableText0"/>
              <w:keepNext/>
              <w:rPr>
                <w:b/>
                <w:bCs/>
              </w:rPr>
            </w:pPr>
            <w:r w:rsidRPr="003A3F9B">
              <w:rPr>
                <w:b/>
                <w:bCs/>
              </w:rPr>
              <w:t>PBS item code</w:t>
            </w:r>
          </w:p>
        </w:tc>
      </w:tr>
      <w:tr w:rsidR="00E033B5" w:rsidRPr="00E033B5" w14:paraId="6BBCECED" w14:textId="77777777" w:rsidTr="00DF3EEF">
        <w:trPr>
          <w:trHeight w:val="278"/>
        </w:trPr>
        <w:tc>
          <w:tcPr>
            <w:tcW w:w="1843" w:type="dxa"/>
          </w:tcPr>
          <w:p w14:paraId="0DF68EC1" w14:textId="77777777" w:rsidR="00E033B5" w:rsidRPr="00E033B5" w:rsidRDefault="00E033B5" w:rsidP="00DF3EEF">
            <w:pPr>
              <w:pStyle w:val="TableText0"/>
              <w:keepNext/>
              <w:rPr>
                <w:bCs/>
              </w:rPr>
            </w:pPr>
            <w:r w:rsidRPr="00E033B5">
              <w:rPr>
                <w:bCs/>
              </w:rPr>
              <w:t>Cyclophosphamide</w:t>
            </w:r>
          </w:p>
        </w:tc>
        <w:tc>
          <w:tcPr>
            <w:tcW w:w="4311" w:type="dxa"/>
          </w:tcPr>
          <w:p w14:paraId="46CF299A" w14:textId="77777777" w:rsidR="00E033B5" w:rsidRPr="00E033B5" w:rsidRDefault="00E033B5" w:rsidP="00DF3EEF">
            <w:pPr>
              <w:pStyle w:val="TableText0"/>
              <w:keepNext/>
              <w:rPr>
                <w:bCs/>
              </w:rPr>
            </w:pPr>
            <w:r w:rsidRPr="00E033B5">
              <w:rPr>
                <w:bCs/>
              </w:rPr>
              <w:t>Chemotherapy for public hospital use, alkylating agent</w:t>
            </w:r>
          </w:p>
        </w:tc>
        <w:tc>
          <w:tcPr>
            <w:tcW w:w="3485" w:type="dxa"/>
          </w:tcPr>
          <w:p w14:paraId="147BC839" w14:textId="77777777" w:rsidR="00E033B5" w:rsidRPr="00E033B5" w:rsidRDefault="00E033B5" w:rsidP="00DF3EEF">
            <w:pPr>
              <w:pStyle w:val="TableText0"/>
              <w:keepNext/>
              <w:rPr>
                <w:bCs/>
              </w:rPr>
            </w:pPr>
            <w:r w:rsidRPr="00E033B5">
              <w:rPr>
                <w:bCs/>
              </w:rPr>
              <w:t>4327R (unrestricted item)</w:t>
            </w:r>
          </w:p>
        </w:tc>
      </w:tr>
      <w:tr w:rsidR="00E033B5" w:rsidRPr="00E033B5" w14:paraId="3014DB48" w14:textId="77777777" w:rsidTr="00DF3EEF">
        <w:trPr>
          <w:trHeight w:val="278"/>
        </w:trPr>
        <w:tc>
          <w:tcPr>
            <w:tcW w:w="1843" w:type="dxa"/>
          </w:tcPr>
          <w:p w14:paraId="49DA1F1B" w14:textId="77777777" w:rsidR="00E033B5" w:rsidRPr="00E033B5" w:rsidRDefault="00E033B5" w:rsidP="00DF3EEF">
            <w:pPr>
              <w:pStyle w:val="TableText0"/>
              <w:keepNext/>
              <w:rPr>
                <w:bCs/>
              </w:rPr>
            </w:pPr>
            <w:r w:rsidRPr="00E033B5">
              <w:rPr>
                <w:bCs/>
              </w:rPr>
              <w:t>Fludarabine</w:t>
            </w:r>
          </w:p>
        </w:tc>
        <w:tc>
          <w:tcPr>
            <w:tcW w:w="4311" w:type="dxa"/>
          </w:tcPr>
          <w:p w14:paraId="4FE834EF" w14:textId="77777777" w:rsidR="00E033B5" w:rsidRPr="00E033B5" w:rsidRDefault="00E033B5" w:rsidP="00DF3EEF">
            <w:pPr>
              <w:pStyle w:val="TableText0"/>
              <w:keepNext/>
              <w:rPr>
                <w:bCs/>
              </w:rPr>
            </w:pPr>
            <w:r w:rsidRPr="00E033B5">
              <w:rPr>
                <w:bCs/>
              </w:rPr>
              <w:t>Chemotherapy for public hospital use, antimetabolite</w:t>
            </w:r>
          </w:p>
        </w:tc>
        <w:tc>
          <w:tcPr>
            <w:tcW w:w="3485" w:type="dxa"/>
          </w:tcPr>
          <w:p w14:paraId="1A43A4C5" w14:textId="77777777" w:rsidR="00E033B5" w:rsidRPr="00E033B5" w:rsidRDefault="00E033B5" w:rsidP="00DF3EEF">
            <w:pPr>
              <w:pStyle w:val="TableText0"/>
              <w:keepNext/>
              <w:rPr>
                <w:bCs/>
              </w:rPr>
            </w:pPr>
            <w:r w:rsidRPr="00E033B5">
              <w:rPr>
                <w:bCs/>
              </w:rPr>
              <w:t>4393F (unrestricted item)</w:t>
            </w:r>
          </w:p>
        </w:tc>
      </w:tr>
      <w:tr w:rsidR="00E033B5" w:rsidRPr="00E033B5" w14:paraId="0B97443B" w14:textId="77777777" w:rsidTr="00DF3EEF">
        <w:trPr>
          <w:trHeight w:val="278"/>
        </w:trPr>
        <w:tc>
          <w:tcPr>
            <w:tcW w:w="1843" w:type="dxa"/>
          </w:tcPr>
          <w:p w14:paraId="2B2D1819" w14:textId="77777777" w:rsidR="00E033B5" w:rsidRPr="00E033B5" w:rsidRDefault="00E033B5" w:rsidP="00DF3EEF">
            <w:pPr>
              <w:pStyle w:val="TableText0"/>
              <w:keepNext/>
              <w:rPr>
                <w:bCs/>
              </w:rPr>
            </w:pPr>
            <w:r w:rsidRPr="00E033B5">
              <w:rPr>
                <w:bCs/>
              </w:rPr>
              <w:t>Tocilizumab</w:t>
            </w:r>
          </w:p>
        </w:tc>
        <w:tc>
          <w:tcPr>
            <w:tcW w:w="4311" w:type="dxa"/>
          </w:tcPr>
          <w:p w14:paraId="7C0240BC" w14:textId="77777777" w:rsidR="00E033B5" w:rsidRPr="00E033B5" w:rsidRDefault="00E033B5" w:rsidP="00DF3EEF">
            <w:pPr>
              <w:pStyle w:val="TableText0"/>
              <w:keepNext/>
              <w:rPr>
                <w:bCs/>
              </w:rPr>
            </w:pPr>
            <w:r w:rsidRPr="00E033B5">
              <w:rPr>
                <w:bCs/>
              </w:rPr>
              <w:t>Treatment of cytokine release syndrome (CRS) and Immune Effector Cell-Associated Neurotoxicity Syndrome (ICANS)</w:t>
            </w:r>
          </w:p>
        </w:tc>
        <w:tc>
          <w:tcPr>
            <w:tcW w:w="3485" w:type="dxa"/>
          </w:tcPr>
          <w:p w14:paraId="7D7A5B56" w14:textId="77777777" w:rsidR="00E033B5" w:rsidRPr="00E033B5" w:rsidRDefault="00E033B5" w:rsidP="00DF3EEF">
            <w:pPr>
              <w:pStyle w:val="TableText0"/>
              <w:keepNext/>
              <w:rPr>
                <w:bCs/>
              </w:rPr>
            </w:pPr>
            <w:r w:rsidRPr="00E033B5">
              <w:rPr>
                <w:bCs/>
              </w:rPr>
              <w:t>Funding costs based on PBS codes:1056G, 1058J, 10060L, 10064Q, 10068X, 10071C, 10072D, 10073E, 10077J, 10078K, 10079L, 10081N</w:t>
            </w:r>
          </w:p>
          <w:p w14:paraId="5A0EF9F0" w14:textId="77777777" w:rsidR="00E033B5" w:rsidRPr="00E033B5" w:rsidRDefault="00E033B5" w:rsidP="00DF3EEF">
            <w:pPr>
              <w:pStyle w:val="TableText0"/>
              <w:keepNext/>
              <w:rPr>
                <w:bCs/>
                <w:i/>
                <w:iCs/>
              </w:rPr>
            </w:pPr>
            <w:r w:rsidRPr="00E033B5">
              <w:rPr>
                <w:bCs/>
                <w:i/>
                <w:iCs/>
              </w:rPr>
              <w:t>Note: The above PBS item numbers are not indicated for CRS or ICANS.</w:t>
            </w:r>
          </w:p>
        </w:tc>
      </w:tr>
      <w:tr w:rsidR="00E033B5" w:rsidRPr="00E033B5" w14:paraId="22326B18" w14:textId="77777777" w:rsidTr="00DF3EEF">
        <w:trPr>
          <w:trHeight w:val="278"/>
        </w:trPr>
        <w:tc>
          <w:tcPr>
            <w:tcW w:w="1843" w:type="dxa"/>
          </w:tcPr>
          <w:p w14:paraId="45214F52" w14:textId="77777777" w:rsidR="00E033B5" w:rsidRPr="00E033B5" w:rsidRDefault="00E033B5" w:rsidP="00DF3EEF">
            <w:pPr>
              <w:pStyle w:val="TableText0"/>
              <w:keepNext/>
              <w:rPr>
                <w:bCs/>
              </w:rPr>
            </w:pPr>
            <w:r w:rsidRPr="00E033B5">
              <w:t>Methylprednisolone</w:t>
            </w:r>
          </w:p>
        </w:tc>
        <w:tc>
          <w:tcPr>
            <w:tcW w:w="4311" w:type="dxa"/>
          </w:tcPr>
          <w:p w14:paraId="29ECC5FF" w14:textId="77777777" w:rsidR="00E033B5" w:rsidRPr="00E033B5" w:rsidRDefault="00E033B5" w:rsidP="00DF3EEF">
            <w:pPr>
              <w:pStyle w:val="TableText0"/>
              <w:keepNext/>
              <w:rPr>
                <w:bCs/>
              </w:rPr>
            </w:pPr>
            <w:r w:rsidRPr="00E033B5">
              <w:rPr>
                <w:bCs/>
              </w:rPr>
              <w:t>Treatment of cytokine release syndrome (CRS) and Immune Effector Cell-Associated Neurotoxicity Syndrome (ICANS)</w:t>
            </w:r>
          </w:p>
        </w:tc>
        <w:tc>
          <w:tcPr>
            <w:tcW w:w="3485" w:type="dxa"/>
          </w:tcPr>
          <w:p w14:paraId="7B748CDE" w14:textId="77777777" w:rsidR="00E033B5" w:rsidRPr="00E033B5" w:rsidRDefault="00E033B5" w:rsidP="00DF3EEF">
            <w:pPr>
              <w:pStyle w:val="TableText0"/>
              <w:keepNext/>
              <w:rPr>
                <w:bCs/>
              </w:rPr>
            </w:pPr>
            <w:r w:rsidRPr="00E033B5">
              <w:rPr>
                <w:bCs/>
              </w:rPr>
              <w:t>5263B (unrestricted item)</w:t>
            </w:r>
          </w:p>
          <w:p w14:paraId="414D1A8F" w14:textId="77777777" w:rsidR="00E033B5" w:rsidRPr="00E033B5" w:rsidRDefault="00E033B5" w:rsidP="00DF3EEF">
            <w:pPr>
              <w:pStyle w:val="TableText0"/>
              <w:keepNext/>
              <w:rPr>
                <w:bCs/>
              </w:rPr>
            </w:pPr>
            <w:r w:rsidRPr="00E033B5">
              <w:rPr>
                <w:bCs/>
              </w:rPr>
              <w:t>11739W (unrestricted item)</w:t>
            </w:r>
          </w:p>
          <w:p w14:paraId="4600A7CE" w14:textId="77777777" w:rsidR="00E033B5" w:rsidRPr="00E033B5" w:rsidRDefault="00E033B5" w:rsidP="00DF3EEF">
            <w:pPr>
              <w:pStyle w:val="TableText0"/>
              <w:keepNext/>
              <w:rPr>
                <w:bCs/>
              </w:rPr>
            </w:pPr>
            <w:r w:rsidRPr="00E033B5">
              <w:rPr>
                <w:bCs/>
              </w:rPr>
              <w:t>5264C (unrestricted item)</w:t>
            </w:r>
          </w:p>
        </w:tc>
      </w:tr>
    </w:tbl>
    <w:p w14:paraId="034348B8" w14:textId="377F38A5" w:rsidR="00E033B5" w:rsidRPr="00E033B5" w:rsidRDefault="00E033B5" w:rsidP="00DF3EEF">
      <w:pPr>
        <w:pStyle w:val="TableText0"/>
        <w:keepNext/>
        <w:spacing w:after="240"/>
        <w:rPr>
          <w:bCs/>
          <w:sz w:val="18"/>
          <w:szCs w:val="18"/>
        </w:rPr>
      </w:pPr>
      <w:r>
        <w:rPr>
          <w:bCs/>
          <w:sz w:val="18"/>
          <w:szCs w:val="18"/>
        </w:rPr>
        <w:t xml:space="preserve">Source: </w:t>
      </w:r>
      <w:r w:rsidRPr="00E033B5">
        <w:rPr>
          <w:bCs/>
          <w:sz w:val="18"/>
          <w:szCs w:val="18"/>
        </w:rPr>
        <w:t>Table 1, p6 of the application</w:t>
      </w:r>
    </w:p>
    <w:p w14:paraId="65025D63" w14:textId="5C2EE2AF" w:rsidR="006E6A9F" w:rsidRDefault="00DA5C27" w:rsidP="00DF3EEF">
      <w:r>
        <w:t>The application, however, also notes that tocilizumab is not PBS-funded for these uses.</w:t>
      </w:r>
    </w:p>
    <w:p w14:paraId="0DBB2912" w14:textId="741E4843" w:rsidR="002F072D" w:rsidRPr="00627FC4" w:rsidRDefault="002F072D" w:rsidP="00DF3EEF">
      <w:r w:rsidRPr="002F072D">
        <w:rPr>
          <w:rFonts w:asciiTheme="minorHAnsi" w:hAnsiTheme="minorHAnsi" w:cstheme="minorHAnsi"/>
          <w:i/>
          <w:iCs/>
          <w:szCs w:val="24"/>
        </w:rPr>
        <w:t>PASC noted tha</w:t>
      </w:r>
      <w:r w:rsidRPr="001C3D32">
        <w:rPr>
          <w:rFonts w:asciiTheme="minorHAnsi" w:hAnsiTheme="minorHAnsi" w:cstheme="minorHAnsi"/>
          <w:i/>
          <w:iCs/>
          <w:szCs w:val="24"/>
        </w:rPr>
        <w:t xml:space="preserve">t the intervention did not include use or change in use of intravenous immunoglobulin (IVIg). </w:t>
      </w:r>
      <w:r w:rsidRPr="001C3D32">
        <w:rPr>
          <w:rFonts w:asciiTheme="minorHAnsi" w:hAnsiTheme="minorHAnsi" w:cstheme="minorHAnsi"/>
          <w:szCs w:val="24"/>
        </w:rPr>
        <w:t>The applicant advised that most patients treated in the fourth</w:t>
      </w:r>
      <w:r w:rsidR="00D31934">
        <w:rPr>
          <w:rFonts w:asciiTheme="minorHAnsi" w:hAnsiTheme="minorHAnsi" w:cstheme="minorHAnsi"/>
          <w:szCs w:val="24"/>
        </w:rPr>
        <w:t xml:space="preserve"> </w:t>
      </w:r>
      <w:r w:rsidRPr="001C3D32">
        <w:rPr>
          <w:rFonts w:asciiTheme="minorHAnsi" w:hAnsiTheme="minorHAnsi" w:cstheme="minorHAnsi"/>
          <w:szCs w:val="24"/>
        </w:rPr>
        <w:t>line setting would already be on IVIg, either due to the disease or because of prior treatment. The applicant suggested the incremental change in IVIg use is likely to be a small increase (approximately 5-10%).</w:t>
      </w:r>
    </w:p>
    <w:p w14:paraId="2A031BA2" w14:textId="2787DF28" w:rsidR="00053614" w:rsidRPr="00DF3EEF" w:rsidRDefault="00053614" w:rsidP="00522EDD">
      <w:pPr>
        <w:keepNext/>
        <w:rPr>
          <w:u w:val="single"/>
        </w:rPr>
      </w:pPr>
      <w:r w:rsidRPr="00DF3EEF">
        <w:rPr>
          <w:u w:val="single"/>
        </w:rPr>
        <w:t>Uptake</w:t>
      </w:r>
    </w:p>
    <w:p w14:paraId="2D06599E" w14:textId="4C3A94B0" w:rsidR="00053614" w:rsidRDefault="00053614" w:rsidP="00522EDD">
      <w:pPr>
        <w:keepNext/>
      </w:pPr>
      <w:r>
        <w:t xml:space="preserve">The application states that </w:t>
      </w:r>
      <w:r w:rsidR="0025305B">
        <w:t>t</w:t>
      </w:r>
      <w:r w:rsidRPr="00053614">
        <w:t>he uptake of cilta</w:t>
      </w:r>
      <w:r>
        <w:t xml:space="preserve">cabtagene </w:t>
      </w:r>
      <w:r w:rsidR="007A3220">
        <w:t>autoleucel</w:t>
      </w:r>
      <w:r w:rsidRPr="00053614">
        <w:t xml:space="preserve"> over the next three years is anticipated to </w:t>
      </w:r>
      <w:r w:rsidR="009F5844">
        <w:t xml:space="preserve">have </w:t>
      </w:r>
      <w:r w:rsidRPr="00053614">
        <w:t xml:space="preserve">an upper limit of </w:t>
      </w:r>
      <w:r w:rsidR="00EB2E3E">
        <w:t xml:space="preserve">REDACTED </w:t>
      </w:r>
      <w:r>
        <w:t xml:space="preserve">per </w:t>
      </w:r>
      <w:r w:rsidRPr="00053614">
        <w:t>year across Australia</w:t>
      </w:r>
      <w:r>
        <w:t xml:space="preserve">. The application states that this estimate is </w:t>
      </w:r>
      <w:r w:rsidRPr="00053614">
        <w:t>informed by local expert opinion and that most patients in clinical practice will have received daratumumab (either at second</w:t>
      </w:r>
      <w:r w:rsidR="00D31934">
        <w:t xml:space="preserve"> </w:t>
      </w:r>
      <w:r w:rsidRPr="00053614">
        <w:t>line on the PBS which was agreed with the PBAC in determining the financial estimates for daratumumab or compassionately as a later line therapy</w:t>
      </w:r>
      <w:r w:rsidR="0025305B">
        <w:t>)</w:t>
      </w:r>
      <w:r>
        <w:t xml:space="preserve">. </w:t>
      </w:r>
      <w:r w:rsidR="0025305B">
        <w:t>F</w:t>
      </w:r>
      <w:r>
        <w:t>urthermore</w:t>
      </w:r>
      <w:r w:rsidR="0025305B">
        <w:t>,</w:t>
      </w:r>
      <w:r>
        <w:t xml:space="preserve"> the appli</w:t>
      </w:r>
      <w:r w:rsidR="0025305B">
        <w:t>c</w:t>
      </w:r>
      <w:r>
        <w:t>ation states that uptake will be moderated by:</w:t>
      </w:r>
    </w:p>
    <w:p w14:paraId="7F8BEC13" w14:textId="096C4017" w:rsidR="00053614" w:rsidRPr="002F072D" w:rsidRDefault="00A30D08" w:rsidP="00DF3EEF">
      <w:pPr>
        <w:pStyle w:val="ListParagraph"/>
        <w:numPr>
          <w:ilvl w:val="0"/>
          <w:numId w:val="20"/>
        </w:numPr>
        <w:ind w:left="284" w:hanging="284"/>
      </w:pPr>
      <w:r>
        <w:t>t</w:t>
      </w:r>
      <w:r w:rsidR="00053614">
        <w:t>he requirement that only patie</w:t>
      </w:r>
      <w:r w:rsidR="00522EDD">
        <w:t>nt</w:t>
      </w:r>
      <w:r w:rsidR="00053614">
        <w:t>s who have received a CD38 inhibitor (ie</w:t>
      </w:r>
      <w:r w:rsidR="0025305B">
        <w:t>,</w:t>
      </w:r>
      <w:r w:rsidR="00053614">
        <w:t xml:space="preserve"> daratumumab) will be allowed to access ciltacabtagene </w:t>
      </w:r>
      <w:r w:rsidR="007A3220">
        <w:t>autoleucel</w:t>
      </w:r>
      <w:r w:rsidR="00053614" w:rsidRPr="002F072D">
        <w:t xml:space="preserve">. </w:t>
      </w:r>
      <w:r w:rsidR="00053614" w:rsidRPr="00193F6C">
        <w:t>This would unlikely be an issue, if as the applicant stated in further discussion, patients may access daratumumab as part of compassionate use programme in later lines of therapy.</w:t>
      </w:r>
    </w:p>
    <w:p w14:paraId="6AD1B815" w14:textId="18E3726C" w:rsidR="00053614" w:rsidRPr="00E033B5" w:rsidRDefault="00A30D08" w:rsidP="00DF3EEF">
      <w:pPr>
        <w:pStyle w:val="ListParagraph"/>
        <w:numPr>
          <w:ilvl w:val="0"/>
          <w:numId w:val="20"/>
        </w:numPr>
        <w:ind w:left="284" w:hanging="284"/>
      </w:pPr>
      <w:r>
        <w:t>t</w:t>
      </w:r>
      <w:r w:rsidR="00053614">
        <w:t>he fitness of patients required for treatment an</w:t>
      </w:r>
      <w:r w:rsidR="0025305B">
        <w:t>d</w:t>
      </w:r>
      <w:r w:rsidR="00053614">
        <w:t xml:space="preserve"> to travel to a treatment cent</w:t>
      </w:r>
      <w:r w:rsidR="0025305B">
        <w:t>re.</w:t>
      </w:r>
    </w:p>
    <w:p w14:paraId="7A756568" w14:textId="19417124" w:rsidR="00053614" w:rsidRPr="003A3F9B" w:rsidRDefault="007A66C8" w:rsidP="003A3F9B">
      <w:pPr>
        <w:pStyle w:val="Heading3"/>
      </w:pPr>
      <w:r w:rsidRPr="008F1532">
        <w:t>Comparator</w:t>
      </w:r>
      <w:r w:rsidR="008F1532">
        <w:t>s</w:t>
      </w:r>
    </w:p>
    <w:p w14:paraId="5D3C9CA4" w14:textId="47952C91" w:rsidR="00053614" w:rsidRDefault="00053614" w:rsidP="00DF3EEF">
      <w:r w:rsidRPr="00053614">
        <w:t>The application nominate</w:t>
      </w:r>
      <w:r w:rsidR="00B32BAB">
        <w:t>s</w:t>
      </w:r>
      <w:r w:rsidRPr="00053614">
        <w:t xml:space="preserve"> pomalidomide with dexamethasone or</w:t>
      </w:r>
      <w:r>
        <w:t xml:space="preserve"> </w:t>
      </w:r>
      <w:r w:rsidRPr="00F44333">
        <w:t>carfilzomib with dexamethasone</w:t>
      </w:r>
      <w:r>
        <w:t xml:space="preserve"> as the main comparators. The application based selection of the comparator on the PBS restrictions of available MM therapies and estimates of use from a 10% PBS sample of MM therapies. </w:t>
      </w:r>
    </w:p>
    <w:p w14:paraId="22909B62" w14:textId="50C4B0E8" w:rsidR="00053614" w:rsidRDefault="00053614" w:rsidP="00DF3EEF">
      <w:r>
        <w:lastRenderedPageBreak/>
        <w:t xml:space="preserve">The application notes that, as patients are required to have accessed at least three prior </w:t>
      </w:r>
      <w:r w:rsidR="00230944">
        <w:t>lines of therapy</w:t>
      </w:r>
      <w:r w:rsidR="0025305B">
        <w:t>,</w:t>
      </w:r>
      <w:r>
        <w:t xml:space="preserve"> </w:t>
      </w:r>
      <w:r w:rsidRPr="00053614">
        <w:t xml:space="preserve">the earliest patients can receive </w:t>
      </w:r>
      <w:r w:rsidR="00F35590">
        <w:t xml:space="preserve">ciltacabtagene </w:t>
      </w:r>
      <w:r w:rsidR="007A3220">
        <w:t>autoleucel</w:t>
      </w:r>
      <w:r w:rsidRPr="00053614">
        <w:t xml:space="preserve"> will be as a fourth line MM treatment. </w:t>
      </w:r>
      <w:r>
        <w:t>P</w:t>
      </w:r>
      <w:r w:rsidRPr="00053614">
        <w:t>rior to the fourth line setting, patients will have typically received regimens which include lenalidomide (an IMiD), bortezomib (a PI) and daratumumab (an anti-CD38 inhibitor) in Australian clinical practice</w:t>
      </w:r>
      <w:r>
        <w:t>.</w:t>
      </w:r>
    </w:p>
    <w:p w14:paraId="068FDE26" w14:textId="555B1F71" w:rsidR="00053614" w:rsidRDefault="00053614" w:rsidP="00DF3EEF">
      <w:r>
        <w:t xml:space="preserve">The application presents </w:t>
      </w:r>
      <w:r w:rsidRPr="00053614">
        <w:t>PBS 10% sample data demonstrat</w:t>
      </w:r>
      <w:r>
        <w:t>ing</w:t>
      </w:r>
      <w:r w:rsidRPr="00053614">
        <w:t xml:space="preserve"> that the current standard therapy most commonly utilised for RRMM patients in the fourth line setting is pomalidomide </w:t>
      </w:r>
      <w:r w:rsidR="009F5844">
        <w:t>; the next most commonly utilised is</w:t>
      </w:r>
      <w:r w:rsidRPr="00053614">
        <w:t xml:space="preserve"> carfilzomib</w:t>
      </w:r>
      <w:r w:rsidR="003A3F9B">
        <w:t>.</w:t>
      </w:r>
    </w:p>
    <w:p w14:paraId="049EE208" w14:textId="3CFC513E" w:rsidR="005B489A" w:rsidRPr="00230944" w:rsidRDefault="005B489A" w:rsidP="005B489A">
      <w:pPr>
        <w:spacing w:after="40"/>
        <w:jc w:val="both"/>
        <w:rPr>
          <w:rFonts w:ascii="Arial Narrow" w:hAnsi="Arial Narrow"/>
          <w:color w:val="000000" w:themeColor="text1"/>
          <w:sz w:val="18"/>
          <w:szCs w:val="18"/>
        </w:rPr>
      </w:pPr>
      <w:r w:rsidRPr="00DF3EEF">
        <w:rPr>
          <w:rFonts w:ascii="Arial Narrow" w:hAnsi="Arial Narrow"/>
          <w:b/>
          <w:bCs/>
          <w:sz w:val="20"/>
          <w:szCs w:val="20"/>
        </w:rPr>
        <w:t xml:space="preserve">Figure </w:t>
      </w:r>
      <w:r w:rsidRPr="00DF3EEF">
        <w:rPr>
          <w:rFonts w:ascii="Arial Narrow" w:hAnsi="Arial Narrow"/>
          <w:b/>
          <w:bCs/>
          <w:sz w:val="20"/>
          <w:szCs w:val="20"/>
        </w:rPr>
        <w:fldChar w:fldCharType="begin"/>
      </w:r>
      <w:r w:rsidRPr="00DF3EEF">
        <w:rPr>
          <w:rFonts w:ascii="Arial Narrow" w:hAnsi="Arial Narrow"/>
          <w:b/>
          <w:bCs/>
          <w:sz w:val="20"/>
          <w:szCs w:val="20"/>
        </w:rPr>
        <w:instrText xml:space="preserve"> SEQ Figure \* MERGEFORMAT </w:instrText>
      </w:r>
      <w:r w:rsidRPr="00DF3EEF">
        <w:rPr>
          <w:rFonts w:ascii="Arial Narrow" w:hAnsi="Arial Narrow"/>
          <w:b/>
          <w:bCs/>
          <w:sz w:val="20"/>
          <w:szCs w:val="20"/>
        </w:rPr>
        <w:fldChar w:fldCharType="separate"/>
      </w:r>
      <w:r w:rsidRPr="00DF3EEF">
        <w:rPr>
          <w:rFonts w:ascii="Arial Narrow" w:hAnsi="Arial Narrow"/>
          <w:b/>
          <w:bCs/>
          <w:noProof/>
          <w:sz w:val="20"/>
          <w:szCs w:val="20"/>
        </w:rPr>
        <w:t>2</w:t>
      </w:r>
      <w:r w:rsidRPr="00DF3EEF">
        <w:rPr>
          <w:rFonts w:ascii="Arial Narrow" w:hAnsi="Arial Narrow"/>
          <w:b/>
          <w:bCs/>
          <w:sz w:val="20"/>
          <w:szCs w:val="20"/>
        </w:rPr>
        <w:fldChar w:fldCharType="end"/>
      </w:r>
      <w:r w:rsidRPr="00DF3EEF">
        <w:rPr>
          <w:rFonts w:ascii="Arial Narrow" w:hAnsi="Arial Narrow"/>
          <w:b/>
          <w:bCs/>
          <w:sz w:val="20"/>
          <w:szCs w:val="20"/>
        </w:rPr>
        <w:t>:</w:t>
      </w:r>
      <w:r>
        <w:rPr>
          <w:rFonts w:ascii="Arial Narrow" w:hAnsi="Arial Narrow"/>
          <w:b/>
          <w:bCs/>
          <w:sz w:val="20"/>
          <w:szCs w:val="20"/>
        </w:rPr>
        <w:tab/>
        <w:t>REDACTED</w:t>
      </w:r>
    </w:p>
    <w:p w14:paraId="31BAF4E9" w14:textId="45F5309D" w:rsidR="00D31934" w:rsidRDefault="00D31934" w:rsidP="00DF3EEF">
      <w:r>
        <w:rPr>
          <w:rFonts w:asciiTheme="minorHAnsi" w:hAnsiTheme="minorHAnsi" w:cstheme="minorHAnsi"/>
          <w:i/>
          <w:iCs/>
        </w:rPr>
        <w:t xml:space="preserve">PASC noted the relative use of MM therapies in the </w:t>
      </w:r>
      <w:proofErr w:type="gramStart"/>
      <w:r>
        <w:rPr>
          <w:rFonts w:asciiTheme="minorHAnsi" w:hAnsiTheme="minorHAnsi" w:cstheme="minorHAnsi"/>
          <w:i/>
          <w:iCs/>
        </w:rPr>
        <w:t>fourth and fifth line</w:t>
      </w:r>
      <w:proofErr w:type="gramEnd"/>
      <w:r>
        <w:rPr>
          <w:rFonts w:asciiTheme="minorHAnsi" w:hAnsiTheme="minorHAnsi" w:cstheme="minorHAnsi"/>
          <w:i/>
          <w:iCs/>
        </w:rPr>
        <w:t xml:space="preserve"> settings.</w:t>
      </w:r>
    </w:p>
    <w:p w14:paraId="7BC783E8" w14:textId="4FA38742" w:rsidR="003A3F9B" w:rsidRDefault="003A3F9B" w:rsidP="00DF3EEF">
      <w:r>
        <w:t>The application consider</w:t>
      </w:r>
      <w:r w:rsidR="00B32BAB">
        <w:t>s</w:t>
      </w:r>
      <w:r>
        <w:t xml:space="preserve"> </w:t>
      </w:r>
      <w:r w:rsidRPr="003A3F9B">
        <w:t>that the use of carfilzomib will increase in the third</w:t>
      </w:r>
      <w:r w:rsidR="0025305B">
        <w:t xml:space="preserve"> </w:t>
      </w:r>
      <w:r w:rsidRPr="003A3F9B">
        <w:t>line setting as a consequence of the recent PBS listing of MM therapies in the first</w:t>
      </w:r>
      <w:r w:rsidR="0025305B">
        <w:t xml:space="preserve"> </w:t>
      </w:r>
      <w:r w:rsidRPr="003A3F9B">
        <w:t>line and second</w:t>
      </w:r>
      <w:r w:rsidR="0025305B">
        <w:t xml:space="preserve"> </w:t>
      </w:r>
      <w:r w:rsidRPr="003A3F9B">
        <w:t>line settings. Thus, this should further increase the uptake of pomalidomide in the fourth</w:t>
      </w:r>
      <w:r w:rsidR="0025305B">
        <w:t xml:space="preserve"> </w:t>
      </w:r>
      <w:r w:rsidRPr="003A3F9B">
        <w:t>line MM setting</w:t>
      </w:r>
      <w:r w:rsidR="0025305B">
        <w:t>.</w:t>
      </w:r>
      <w:r w:rsidR="00D31934">
        <w:t xml:space="preserve"> </w:t>
      </w:r>
      <w:r w:rsidR="00D31934">
        <w:rPr>
          <w:rFonts w:asciiTheme="minorHAnsi" w:hAnsiTheme="minorHAnsi" w:cstheme="minorHAnsi"/>
          <w:i/>
          <w:iCs/>
        </w:rPr>
        <w:t xml:space="preserve">PASC noted the new PBS listing of pomalidomide, bortezomib and dexamethasone. </w:t>
      </w:r>
      <w:r w:rsidR="00D31934">
        <w:rPr>
          <w:rFonts w:asciiTheme="minorHAnsi" w:hAnsiTheme="minorHAnsi" w:cstheme="minorHAnsi"/>
        </w:rPr>
        <w:t xml:space="preserve">The applicant indicated that this regimen was </w:t>
      </w:r>
      <w:r w:rsidR="00D31934" w:rsidRPr="002F072D">
        <w:rPr>
          <w:rFonts w:asciiTheme="minorHAnsi" w:hAnsiTheme="minorHAnsi" w:cstheme="minorHAnsi"/>
        </w:rPr>
        <w:t>typically used</w:t>
      </w:r>
      <w:r w:rsidR="00D31934">
        <w:rPr>
          <w:rFonts w:asciiTheme="minorHAnsi" w:hAnsiTheme="minorHAnsi" w:cstheme="minorHAnsi"/>
        </w:rPr>
        <w:t xml:space="preserve"> as a</w:t>
      </w:r>
      <w:r w:rsidR="00D31934" w:rsidRPr="002F072D">
        <w:rPr>
          <w:rFonts w:asciiTheme="minorHAnsi" w:hAnsiTheme="minorHAnsi" w:cstheme="minorHAnsi"/>
        </w:rPr>
        <w:t xml:space="preserve"> third</w:t>
      </w:r>
      <w:r w:rsidR="00D31934">
        <w:rPr>
          <w:rFonts w:asciiTheme="minorHAnsi" w:hAnsiTheme="minorHAnsi" w:cstheme="minorHAnsi"/>
        </w:rPr>
        <w:t xml:space="preserve"> </w:t>
      </w:r>
      <w:r w:rsidR="00D31934" w:rsidRPr="002F072D">
        <w:rPr>
          <w:rFonts w:asciiTheme="minorHAnsi" w:hAnsiTheme="minorHAnsi" w:cstheme="minorHAnsi"/>
        </w:rPr>
        <w:t>line</w:t>
      </w:r>
      <w:r w:rsidR="00D31934">
        <w:rPr>
          <w:rFonts w:asciiTheme="minorHAnsi" w:hAnsiTheme="minorHAnsi" w:cstheme="minorHAnsi"/>
        </w:rPr>
        <w:t xml:space="preserve"> treatment. The applicant further indicated that those receiving this regimen in third line would be unlikely to receive pomalidomide as a fourth line treatment and be treated with carfilzomib with dexamethasone in that treatment setting.</w:t>
      </w:r>
    </w:p>
    <w:p w14:paraId="733352F8" w14:textId="369B2DC4" w:rsidR="00053614" w:rsidRDefault="003A3F9B" w:rsidP="00DF3EEF">
      <w:pPr>
        <w:rPr>
          <w:i/>
          <w:iCs/>
        </w:rPr>
      </w:pPr>
      <w:r>
        <w:t xml:space="preserve">In further discussion, the applicant considered that ciltacabtagene </w:t>
      </w:r>
      <w:r w:rsidR="007A3220">
        <w:t>autoleucel</w:t>
      </w:r>
      <w:r>
        <w:t xml:space="preserve"> would both replace and displace comparator treatments. For some patients, after failure of ciltacabtagene </w:t>
      </w:r>
      <w:r w:rsidR="007A3220">
        <w:t>autoleucel</w:t>
      </w:r>
      <w:r>
        <w:t xml:space="preserve">, they will be treated with pomalidomide with dexamethasone or carfilzomib with dexamethasone. For others, the application considered that based on the duration of response of ciltacabtagene </w:t>
      </w:r>
      <w:r w:rsidR="007A3220">
        <w:t>autoleucel</w:t>
      </w:r>
      <w:r>
        <w:t xml:space="preserve"> in the CARTITUDE</w:t>
      </w:r>
      <w:r w:rsidR="002C3E42">
        <w:t>-1</w:t>
      </w:r>
      <w:r>
        <w:t xml:space="preserve"> study, the high attrition rates between lines of therapy, and the general health of patients after </w:t>
      </w:r>
      <w:r w:rsidR="0025305B">
        <w:t xml:space="preserve">a </w:t>
      </w:r>
      <w:r>
        <w:t xml:space="preserve">fourth line of treatment </w:t>
      </w:r>
      <w:r w:rsidR="0025305B">
        <w:t>for MM</w:t>
      </w:r>
      <w:r>
        <w:t xml:space="preserve">, ciltacabtagene </w:t>
      </w:r>
      <w:r w:rsidR="007A3220">
        <w:t>autoleucel</w:t>
      </w:r>
      <w:r>
        <w:t xml:space="preserve"> would be the patients’ final </w:t>
      </w:r>
      <w:r w:rsidR="0025305B">
        <w:t xml:space="preserve">line </w:t>
      </w:r>
      <w:r>
        <w:t>of treatment, and thus the comparator would be replaced.</w:t>
      </w:r>
      <w:r w:rsidR="00230944">
        <w:t xml:space="preserve"> </w:t>
      </w:r>
      <w:r w:rsidR="00D00064" w:rsidRPr="00D31934">
        <w:t xml:space="preserve">Further support for the nominated comparators comes from </w:t>
      </w:r>
      <w:r w:rsidR="00230944" w:rsidRPr="00D31934">
        <w:t>Martin (2021)</w:t>
      </w:r>
      <w:r w:rsidR="00D00064" w:rsidRPr="00D31934">
        <w:t>. The authors</w:t>
      </w:r>
      <w:r w:rsidR="00230944" w:rsidRPr="00D31934">
        <w:t xml:space="preserve"> reported an analysis comparing </w:t>
      </w:r>
      <w:r w:rsidR="00D00064" w:rsidRPr="00D31934">
        <w:t xml:space="preserve">patients from the USA in </w:t>
      </w:r>
      <w:r w:rsidR="00230944" w:rsidRPr="00D31934">
        <w:t>CARTITUDE-1 to a rea</w:t>
      </w:r>
      <w:r w:rsidR="00D00064" w:rsidRPr="00D31934">
        <w:t>l</w:t>
      </w:r>
      <w:r w:rsidR="00230944" w:rsidRPr="00D31934">
        <w:t>-wor</w:t>
      </w:r>
      <w:r w:rsidR="00D00064" w:rsidRPr="00D31934">
        <w:t>ld</w:t>
      </w:r>
      <w:r w:rsidR="00230944" w:rsidRPr="00D31934">
        <w:t xml:space="preserve"> patient cohort </w:t>
      </w:r>
      <w:r w:rsidR="00D00064" w:rsidRPr="00D31934">
        <w:t>who met the CARTITUDE</w:t>
      </w:r>
      <w:r w:rsidR="002C3E42" w:rsidRPr="00D31934">
        <w:t>-1</w:t>
      </w:r>
      <w:r w:rsidR="00D00064" w:rsidRPr="00D31934">
        <w:t xml:space="preserve"> criteria in the Flatiron database (a primarily US based MM registry). Among those in the </w:t>
      </w:r>
      <w:r w:rsidR="00EC7CE8" w:rsidRPr="00D31934">
        <w:t>registry</w:t>
      </w:r>
      <w:r w:rsidR="00D00064" w:rsidRPr="00D31934">
        <w:t>, standard of care regimens included pomalidomide (33%), carfilzomib (32%), daratumumab (13%), elotuzumab (16%), and ixazomib (8%).</w:t>
      </w:r>
      <w:r w:rsidR="00D00064">
        <w:rPr>
          <w:i/>
          <w:iCs/>
        </w:rPr>
        <w:t xml:space="preserve"> </w:t>
      </w:r>
    </w:p>
    <w:p w14:paraId="7A3780CE" w14:textId="5CE65661" w:rsidR="00D31934" w:rsidRDefault="00D31934" w:rsidP="00DF3EEF">
      <w:pPr>
        <w:rPr>
          <w:rFonts w:asciiTheme="minorHAnsi" w:hAnsiTheme="minorHAnsi" w:cstheme="minorHAnsi"/>
          <w:i/>
          <w:iCs/>
        </w:rPr>
      </w:pPr>
      <w:r>
        <w:rPr>
          <w:rFonts w:asciiTheme="minorHAnsi" w:hAnsiTheme="minorHAnsi" w:cstheme="minorHAnsi"/>
          <w:i/>
          <w:iCs/>
        </w:rPr>
        <w:t>PASC accepted that pomalidomide with dexamethasone and carfilzomib with dexamethasone were reasonable comparators.</w:t>
      </w:r>
    </w:p>
    <w:p w14:paraId="3F5178E7" w14:textId="413A9E92" w:rsidR="0017011A" w:rsidRDefault="0017011A" w:rsidP="00D31934">
      <w:pPr>
        <w:keepNext/>
        <w:rPr>
          <w:u w:val="single"/>
        </w:rPr>
      </w:pPr>
      <w:r>
        <w:rPr>
          <w:u w:val="single"/>
        </w:rPr>
        <w:t>Supplementary/ near market comparator:</w:t>
      </w:r>
    </w:p>
    <w:p w14:paraId="1960CF2B" w14:textId="21D12D77" w:rsidR="0017011A" w:rsidRDefault="0017011A" w:rsidP="00D31934">
      <w:pPr>
        <w:keepNext/>
      </w:pPr>
      <w:r w:rsidRPr="00D31934">
        <w:t>In March 2021, the FDA approved idecabtagene vicleucel, another BCMA CAR-T therapy for MM with at least three prior lines of therapy. In further discussion, the applicant noted that idecabtagene vicleucel is not TGA approved and that no record of a TGA application has been identified. However, the applicant was open to including idecabtagene vicleucel as a supple</w:t>
      </w:r>
      <w:r w:rsidR="007A3220" w:rsidRPr="00D31934">
        <w:t>me</w:t>
      </w:r>
      <w:r w:rsidRPr="00D31934">
        <w:t>ntary comparator.</w:t>
      </w:r>
    </w:p>
    <w:p w14:paraId="70C9FD34" w14:textId="4B224867" w:rsidR="00D31934" w:rsidRPr="00D31934" w:rsidRDefault="00D31934" w:rsidP="00D31934">
      <w:pPr>
        <w:keepNext/>
        <w:rPr>
          <w:u w:val="single"/>
        </w:rPr>
      </w:pPr>
      <w:r>
        <w:t>In response to the Pre-PASC PICO, the applicant noted in</w:t>
      </w:r>
      <w:r>
        <w:rPr>
          <w:rFonts w:asciiTheme="minorHAnsi" w:hAnsiTheme="minorHAnsi" w:cstheme="minorHAnsi"/>
          <w:szCs w:val="20"/>
        </w:rPr>
        <w:t xml:space="preserve"> regard to idecabtagene vileucel that this intervention is not TGA approved or currently being evaluated by the TGA based on information in the public domain. The applicant notes that a m</w:t>
      </w:r>
      <w:r w:rsidRPr="00FD160D">
        <w:rPr>
          <w:rFonts w:asciiTheme="minorHAnsi" w:hAnsiTheme="minorHAnsi" w:cstheme="minorHAnsi"/>
          <w:szCs w:val="20"/>
        </w:rPr>
        <w:t xml:space="preserve">atching-adjusted indirect comparison </w:t>
      </w:r>
      <w:r>
        <w:rPr>
          <w:rFonts w:asciiTheme="minorHAnsi" w:hAnsiTheme="minorHAnsi" w:cstheme="minorHAnsi"/>
          <w:szCs w:val="20"/>
        </w:rPr>
        <w:t xml:space="preserve">(MAIC) </w:t>
      </w:r>
      <w:r w:rsidRPr="00FD160D">
        <w:rPr>
          <w:rFonts w:asciiTheme="minorHAnsi" w:hAnsiTheme="minorHAnsi" w:cstheme="minorHAnsi"/>
          <w:szCs w:val="20"/>
        </w:rPr>
        <w:t>of</w:t>
      </w:r>
      <w:r>
        <w:rPr>
          <w:rFonts w:asciiTheme="minorHAnsi" w:hAnsiTheme="minorHAnsi" w:cstheme="minorHAnsi"/>
          <w:szCs w:val="20"/>
        </w:rPr>
        <w:t xml:space="preserve"> </w:t>
      </w:r>
      <w:r w:rsidRPr="00FD160D">
        <w:rPr>
          <w:rFonts w:asciiTheme="minorHAnsi" w:hAnsiTheme="minorHAnsi" w:cstheme="minorHAnsi"/>
          <w:szCs w:val="20"/>
        </w:rPr>
        <w:t>efficacy outcomes for ciltacabtagene autoleucel</w:t>
      </w:r>
      <w:r>
        <w:rPr>
          <w:rFonts w:asciiTheme="minorHAnsi" w:hAnsiTheme="minorHAnsi" w:cstheme="minorHAnsi"/>
          <w:szCs w:val="20"/>
        </w:rPr>
        <w:t xml:space="preserve"> </w:t>
      </w:r>
      <w:r w:rsidRPr="00FD160D">
        <w:rPr>
          <w:rFonts w:asciiTheme="minorHAnsi" w:hAnsiTheme="minorHAnsi" w:cstheme="minorHAnsi"/>
          <w:szCs w:val="20"/>
        </w:rPr>
        <w:t>in CARTITUDE-1 versus idecabtagene vicleucel</w:t>
      </w:r>
      <w:r>
        <w:rPr>
          <w:rFonts w:asciiTheme="minorHAnsi" w:hAnsiTheme="minorHAnsi" w:cstheme="minorHAnsi"/>
          <w:szCs w:val="20"/>
        </w:rPr>
        <w:t xml:space="preserve"> </w:t>
      </w:r>
      <w:r w:rsidRPr="00FD160D">
        <w:rPr>
          <w:rFonts w:asciiTheme="minorHAnsi" w:hAnsiTheme="minorHAnsi" w:cstheme="minorHAnsi"/>
          <w:szCs w:val="20"/>
        </w:rPr>
        <w:t>in KarMMa for the treatment of patients with</w:t>
      </w:r>
      <w:r>
        <w:rPr>
          <w:rFonts w:asciiTheme="minorHAnsi" w:hAnsiTheme="minorHAnsi" w:cstheme="minorHAnsi"/>
          <w:szCs w:val="20"/>
        </w:rPr>
        <w:t xml:space="preserve"> </w:t>
      </w:r>
      <w:r w:rsidRPr="00FD160D">
        <w:rPr>
          <w:rFonts w:asciiTheme="minorHAnsi" w:hAnsiTheme="minorHAnsi" w:cstheme="minorHAnsi"/>
          <w:szCs w:val="20"/>
        </w:rPr>
        <w:t>relapsed or refractory multiple myeloma</w:t>
      </w:r>
      <w:r>
        <w:rPr>
          <w:rFonts w:asciiTheme="minorHAnsi" w:hAnsiTheme="minorHAnsi" w:cstheme="minorHAnsi"/>
          <w:szCs w:val="20"/>
        </w:rPr>
        <w:t xml:space="preserve"> has been published (Martin 2021</w:t>
      </w:r>
      <w:r w:rsidR="000C2250">
        <w:rPr>
          <w:rFonts w:asciiTheme="minorHAnsi" w:hAnsiTheme="minorHAnsi" w:cstheme="minorHAnsi"/>
          <w:szCs w:val="20"/>
        </w:rPr>
        <w:t>a</w:t>
      </w:r>
      <w:r>
        <w:rPr>
          <w:rFonts w:asciiTheme="minorHAnsi" w:hAnsiTheme="minorHAnsi" w:cstheme="minorHAnsi"/>
          <w:szCs w:val="20"/>
        </w:rPr>
        <w:t xml:space="preserve">). </w:t>
      </w:r>
      <w:r>
        <w:rPr>
          <w:rFonts w:asciiTheme="minorHAnsi" w:hAnsiTheme="minorHAnsi" w:cstheme="minorHAnsi"/>
          <w:szCs w:val="20"/>
        </w:rPr>
        <w:lastRenderedPageBreak/>
        <w:t xml:space="preserve">The applicant indicated that an updated MAIC based on more mature evidence for this clinical comparison </w:t>
      </w:r>
      <w:r w:rsidR="000C2250">
        <w:rPr>
          <w:rFonts w:asciiTheme="minorHAnsi" w:hAnsiTheme="minorHAnsi" w:cstheme="minorHAnsi"/>
          <w:szCs w:val="20"/>
        </w:rPr>
        <w:t>will be provided in the assessment report</w:t>
      </w:r>
      <w:r>
        <w:rPr>
          <w:rFonts w:asciiTheme="minorHAnsi" w:hAnsiTheme="minorHAnsi" w:cstheme="minorHAnsi"/>
          <w:szCs w:val="20"/>
        </w:rPr>
        <w:t>.</w:t>
      </w:r>
    </w:p>
    <w:p w14:paraId="29C1EA87" w14:textId="4210B76B" w:rsidR="007A66C8" w:rsidRPr="008F1532" w:rsidRDefault="007A66C8" w:rsidP="00B32BAB">
      <w:pPr>
        <w:pStyle w:val="Heading3"/>
        <w:jc w:val="both"/>
      </w:pPr>
      <w:r w:rsidRPr="008F1532">
        <w:t xml:space="preserve">Outcomes </w:t>
      </w:r>
    </w:p>
    <w:p w14:paraId="64D7F42E" w14:textId="336E59C4" w:rsidR="007A66C8" w:rsidRPr="002C3E42" w:rsidRDefault="003A3F9B" w:rsidP="00DF3EEF">
      <w:pPr>
        <w:rPr>
          <w:i/>
          <w:iCs/>
        </w:rPr>
      </w:pPr>
      <w:r w:rsidRPr="003A3F9B">
        <w:t>The application include</w:t>
      </w:r>
      <w:r w:rsidR="00B32BAB">
        <w:t>s</w:t>
      </w:r>
      <w:r w:rsidRPr="003A3F9B">
        <w:t xml:space="preserve"> the following outcomes.</w:t>
      </w:r>
      <w:r w:rsidR="0010124C">
        <w:t xml:space="preserve"> </w:t>
      </w:r>
      <w:r w:rsidR="0010124C" w:rsidRPr="00F124FC">
        <w:t>Other outcomes considered to be relevant were also included during the development of the PICO.</w:t>
      </w:r>
    </w:p>
    <w:p w14:paraId="7B87EC72" w14:textId="12F6DF7D" w:rsidR="0010124C" w:rsidRPr="00F124FC" w:rsidRDefault="0010124C" w:rsidP="00DF3EEF">
      <w:pPr>
        <w:rPr>
          <w:u w:val="single"/>
        </w:rPr>
      </w:pPr>
      <w:r w:rsidRPr="00F124FC">
        <w:rPr>
          <w:u w:val="single"/>
        </w:rPr>
        <w:t>Intervention outcomes</w:t>
      </w:r>
    </w:p>
    <w:p w14:paraId="05938B56" w14:textId="019E6755" w:rsidR="0010124C" w:rsidRPr="00F124FC" w:rsidRDefault="0010124C" w:rsidP="0010124C">
      <w:pPr>
        <w:pStyle w:val="ListParagraph"/>
        <w:numPr>
          <w:ilvl w:val="0"/>
          <w:numId w:val="26"/>
        </w:numPr>
        <w:ind w:left="284" w:hanging="284"/>
      </w:pPr>
      <w:r w:rsidRPr="00F124FC">
        <w:t>Incidence of manufacturing failure resulting in no product infusion or out of spec product infusion.</w:t>
      </w:r>
    </w:p>
    <w:p w14:paraId="23E86A2C" w14:textId="5007763C" w:rsidR="0010124C" w:rsidRDefault="0010124C" w:rsidP="002C3E42">
      <w:pPr>
        <w:pStyle w:val="ListParagraph"/>
        <w:numPr>
          <w:ilvl w:val="0"/>
          <w:numId w:val="26"/>
        </w:numPr>
        <w:ind w:left="284" w:hanging="284"/>
      </w:pPr>
      <w:r w:rsidRPr="00F124FC">
        <w:t>Incidence of patient deterioration between apheresis and infusion such that infusion cannot proceed.</w:t>
      </w:r>
    </w:p>
    <w:p w14:paraId="494FABE5" w14:textId="35E27504" w:rsidR="00F124FC" w:rsidRPr="00F124FC" w:rsidRDefault="00F124FC" w:rsidP="00F124FC">
      <w:r>
        <w:rPr>
          <w:rFonts w:asciiTheme="minorHAnsi" w:hAnsiTheme="minorHAnsi" w:cstheme="minorHAnsi"/>
          <w:i/>
          <w:iCs/>
        </w:rPr>
        <w:t>PASC noted the PICO included additional outcomes relating to the intervention (</w:t>
      </w:r>
      <w:r w:rsidRPr="001047B9">
        <w:rPr>
          <w:rFonts w:asciiTheme="minorHAnsi" w:hAnsiTheme="minorHAnsi" w:cstheme="minorHAnsi"/>
          <w:i/>
          <w:iCs/>
        </w:rPr>
        <w:t>e.g. manufacturing outcome, patient deterioration between apheresis and t</w:t>
      </w:r>
      <w:r>
        <w:rPr>
          <w:rFonts w:asciiTheme="minorHAnsi" w:hAnsiTheme="minorHAnsi" w:cstheme="minorHAnsi"/>
          <w:i/>
          <w:iCs/>
        </w:rPr>
        <w:t>reatment</w:t>
      </w:r>
      <w:r w:rsidRPr="001047B9">
        <w:rPr>
          <w:rFonts w:asciiTheme="minorHAnsi" w:hAnsiTheme="minorHAnsi" w:cstheme="minorHAnsi"/>
          <w:i/>
          <w:iCs/>
        </w:rPr>
        <w:t>)</w:t>
      </w:r>
      <w:r>
        <w:rPr>
          <w:rFonts w:asciiTheme="minorHAnsi" w:hAnsiTheme="minorHAnsi" w:cstheme="minorHAnsi"/>
          <w:i/>
          <w:iCs/>
        </w:rPr>
        <w:t>. PASC considered that</w:t>
      </w:r>
      <w:r w:rsidRPr="001047B9">
        <w:rPr>
          <w:rFonts w:asciiTheme="minorHAnsi" w:hAnsiTheme="minorHAnsi" w:cstheme="minorHAnsi"/>
          <w:i/>
          <w:iCs/>
        </w:rPr>
        <w:t xml:space="preserve"> </w:t>
      </w:r>
      <w:r>
        <w:rPr>
          <w:rFonts w:asciiTheme="minorHAnsi" w:hAnsiTheme="minorHAnsi" w:cstheme="minorHAnsi"/>
          <w:i/>
          <w:iCs/>
        </w:rPr>
        <w:t xml:space="preserve">the </w:t>
      </w:r>
      <w:r w:rsidRPr="001047B9">
        <w:rPr>
          <w:rFonts w:asciiTheme="minorHAnsi" w:hAnsiTheme="minorHAnsi" w:cstheme="minorHAnsi"/>
          <w:i/>
          <w:iCs/>
        </w:rPr>
        <w:t>given high cost</w:t>
      </w:r>
      <w:r>
        <w:rPr>
          <w:rFonts w:asciiTheme="minorHAnsi" w:hAnsiTheme="minorHAnsi" w:cstheme="minorHAnsi"/>
          <w:i/>
          <w:iCs/>
        </w:rPr>
        <w:t xml:space="preserve"> of the intervention, these are important outcomes to consider.</w:t>
      </w:r>
    </w:p>
    <w:p w14:paraId="52CDDCF6" w14:textId="2B767C36" w:rsidR="003A3F9B" w:rsidRPr="00DF3EEF" w:rsidRDefault="003A3F9B" w:rsidP="00F124FC">
      <w:pPr>
        <w:keepNext/>
        <w:rPr>
          <w:u w:val="single"/>
        </w:rPr>
      </w:pPr>
      <w:r w:rsidRPr="00DF3EEF">
        <w:rPr>
          <w:u w:val="single"/>
        </w:rPr>
        <w:t xml:space="preserve">Effectiveness Outcomes: </w:t>
      </w:r>
    </w:p>
    <w:p w14:paraId="3EA2A47B" w14:textId="2D5A8C19" w:rsidR="003A3F9B" w:rsidRDefault="003A3F9B" w:rsidP="00F124FC">
      <w:pPr>
        <w:pStyle w:val="ListParagraph"/>
        <w:keepNext/>
        <w:numPr>
          <w:ilvl w:val="0"/>
          <w:numId w:val="21"/>
        </w:numPr>
        <w:ind w:left="284" w:hanging="284"/>
      </w:pPr>
      <w:r w:rsidRPr="0057606E">
        <w:t>Complete response/stringent complete response (CR/sCR)</w:t>
      </w:r>
      <w:r w:rsidR="0025305B">
        <w:t>.</w:t>
      </w:r>
    </w:p>
    <w:p w14:paraId="008CD7BB" w14:textId="0E00D452" w:rsidR="003A3F9B" w:rsidRDefault="0025305B" w:rsidP="00F124FC">
      <w:pPr>
        <w:pStyle w:val="ListParagraph"/>
        <w:keepNext/>
        <w:numPr>
          <w:ilvl w:val="0"/>
          <w:numId w:val="21"/>
        </w:numPr>
        <w:ind w:left="284" w:hanging="284"/>
      </w:pPr>
      <w:r>
        <w:t>O</w:t>
      </w:r>
      <w:r w:rsidRPr="0057606E">
        <w:t xml:space="preserve">verall </w:t>
      </w:r>
      <w:r w:rsidR="003A3F9B" w:rsidRPr="0057606E">
        <w:t>response rate (ORR)</w:t>
      </w:r>
      <w:r w:rsidR="003F5A2A">
        <w:rPr>
          <w:rStyle w:val="FootnoteReference"/>
        </w:rPr>
        <w:footnoteReference w:id="1"/>
      </w:r>
      <w:r>
        <w:t>.</w:t>
      </w:r>
    </w:p>
    <w:p w14:paraId="363CDAA1" w14:textId="16BD5532" w:rsidR="003A3F9B" w:rsidRDefault="0025305B" w:rsidP="00F124FC">
      <w:pPr>
        <w:pStyle w:val="ListParagraph"/>
        <w:keepNext/>
        <w:numPr>
          <w:ilvl w:val="0"/>
          <w:numId w:val="21"/>
        </w:numPr>
        <w:ind w:left="284" w:hanging="284"/>
      </w:pPr>
      <w:r>
        <w:t>V</w:t>
      </w:r>
      <w:r w:rsidR="003A3F9B" w:rsidRPr="0057606E">
        <w:t>ery good partial response (VGPR) or better response rate</w:t>
      </w:r>
      <w:r>
        <w:t>.</w:t>
      </w:r>
    </w:p>
    <w:p w14:paraId="579C2715" w14:textId="05FECFE8" w:rsidR="003A3F9B" w:rsidRDefault="0025305B" w:rsidP="00F124FC">
      <w:pPr>
        <w:pStyle w:val="ListParagraph"/>
        <w:keepNext/>
        <w:numPr>
          <w:ilvl w:val="0"/>
          <w:numId w:val="21"/>
        </w:numPr>
        <w:ind w:left="284" w:hanging="284"/>
      </w:pPr>
      <w:r>
        <w:t>D</w:t>
      </w:r>
      <w:r w:rsidR="003A3F9B" w:rsidRPr="0057606E">
        <w:t>uration of response, time to response</w:t>
      </w:r>
      <w:r>
        <w:t>.</w:t>
      </w:r>
    </w:p>
    <w:p w14:paraId="1C9438B5" w14:textId="1B2F6FED" w:rsidR="003A3F9B" w:rsidRDefault="0025305B" w:rsidP="00F124FC">
      <w:pPr>
        <w:pStyle w:val="ListParagraph"/>
        <w:keepNext/>
        <w:numPr>
          <w:ilvl w:val="0"/>
          <w:numId w:val="21"/>
        </w:numPr>
        <w:ind w:left="284" w:hanging="284"/>
      </w:pPr>
      <w:r>
        <w:t>M</w:t>
      </w:r>
      <w:r w:rsidR="003A3F9B" w:rsidRPr="0057606E">
        <w:t>inimal residual disease (MRD) negativity</w:t>
      </w:r>
      <w:r>
        <w:t>.</w:t>
      </w:r>
    </w:p>
    <w:p w14:paraId="7D5036B1" w14:textId="3714EA51" w:rsidR="003A3F9B" w:rsidRDefault="0025305B" w:rsidP="00F124FC">
      <w:pPr>
        <w:pStyle w:val="ListParagraph"/>
        <w:keepNext/>
        <w:numPr>
          <w:ilvl w:val="0"/>
          <w:numId w:val="21"/>
        </w:numPr>
        <w:ind w:left="284" w:hanging="284"/>
      </w:pPr>
      <w:r>
        <w:t>P</w:t>
      </w:r>
      <w:r w:rsidR="003A3F9B" w:rsidRPr="0057606E">
        <w:t>rogression free survival (PFS)</w:t>
      </w:r>
      <w:r>
        <w:t>.</w:t>
      </w:r>
    </w:p>
    <w:p w14:paraId="094F1452" w14:textId="53E454F7" w:rsidR="003A3F9B" w:rsidRDefault="0025305B" w:rsidP="00F124FC">
      <w:pPr>
        <w:pStyle w:val="ListParagraph"/>
        <w:keepNext/>
        <w:numPr>
          <w:ilvl w:val="0"/>
          <w:numId w:val="21"/>
        </w:numPr>
        <w:ind w:left="284" w:hanging="284"/>
      </w:pPr>
      <w:r>
        <w:t>O</w:t>
      </w:r>
      <w:r w:rsidR="003A3F9B" w:rsidRPr="0057606E">
        <w:t>verall survival (OS)</w:t>
      </w:r>
      <w:r>
        <w:t>.</w:t>
      </w:r>
      <w:r w:rsidR="003A3F9B" w:rsidRPr="0057606E">
        <w:t xml:space="preserve"> </w:t>
      </w:r>
    </w:p>
    <w:p w14:paraId="39CB568C" w14:textId="02EB1DAF" w:rsidR="003A3F9B" w:rsidRDefault="0025305B" w:rsidP="00F124FC">
      <w:pPr>
        <w:pStyle w:val="ListParagraph"/>
        <w:keepNext/>
        <w:numPr>
          <w:ilvl w:val="0"/>
          <w:numId w:val="21"/>
        </w:numPr>
        <w:ind w:left="284" w:hanging="284"/>
      </w:pPr>
      <w:r>
        <w:t>H</w:t>
      </w:r>
      <w:r w:rsidR="003A3F9B" w:rsidRPr="0057606E">
        <w:t>ealth-related quality of life.</w:t>
      </w:r>
    </w:p>
    <w:p w14:paraId="10DE7FF2" w14:textId="2F3FF27C" w:rsidR="00F124FC" w:rsidRPr="0057606E" w:rsidRDefault="00F124FC" w:rsidP="00F124FC">
      <w:pPr>
        <w:keepNext/>
      </w:pPr>
      <w:r>
        <w:rPr>
          <w:rFonts w:asciiTheme="minorHAnsi" w:hAnsiTheme="minorHAnsi" w:cstheme="minorHAnsi"/>
          <w:i/>
          <w:iCs/>
        </w:rPr>
        <w:t>PASC acknowledged that some of the nominated outcomes would not be available for the comparators (e.g. MRD).</w:t>
      </w:r>
    </w:p>
    <w:p w14:paraId="48C3FAA5" w14:textId="77777777" w:rsidR="003A3F9B" w:rsidRPr="00DF3EEF" w:rsidRDefault="003A3F9B" w:rsidP="00E73E96">
      <w:pPr>
        <w:rPr>
          <w:u w:val="single"/>
        </w:rPr>
      </w:pPr>
      <w:r w:rsidRPr="00DF3EEF">
        <w:rPr>
          <w:u w:val="single"/>
        </w:rPr>
        <w:t xml:space="preserve">Safety Outcomes: </w:t>
      </w:r>
    </w:p>
    <w:p w14:paraId="65D79B83" w14:textId="39F19368" w:rsidR="003A3F9B" w:rsidRDefault="003A3F9B" w:rsidP="00DF3EEF">
      <w:pPr>
        <w:pStyle w:val="ListParagraph"/>
        <w:numPr>
          <w:ilvl w:val="0"/>
          <w:numId w:val="22"/>
        </w:numPr>
        <w:ind w:left="284" w:hanging="284"/>
      </w:pPr>
      <w:r w:rsidRPr="0057606E">
        <w:t>Rate of adverse events (AE)</w:t>
      </w:r>
      <w:r w:rsidR="00774EBC">
        <w:rPr>
          <w:vertAlign w:val="superscript"/>
        </w:rPr>
        <w:t>1</w:t>
      </w:r>
      <w:r w:rsidR="0025305B">
        <w:t xml:space="preserve"> </w:t>
      </w:r>
      <w:r w:rsidRPr="0057606E">
        <w:t>and serious adverse events (SAE)</w:t>
      </w:r>
      <w:r w:rsidR="0025305B">
        <w:t>.</w:t>
      </w:r>
    </w:p>
    <w:p w14:paraId="1B75E003" w14:textId="307DD701" w:rsidR="003A3F9B" w:rsidRDefault="0025305B" w:rsidP="00DF3EEF">
      <w:pPr>
        <w:pStyle w:val="ListParagraph"/>
        <w:numPr>
          <w:ilvl w:val="0"/>
          <w:numId w:val="22"/>
        </w:numPr>
        <w:ind w:left="284" w:hanging="284"/>
      </w:pPr>
      <w:r>
        <w:t>I</w:t>
      </w:r>
      <w:r w:rsidR="003A3F9B" w:rsidRPr="0057606E">
        <w:t>ncidence of AEs of special interest</w:t>
      </w:r>
      <w:r>
        <w:t>.</w:t>
      </w:r>
      <w:r w:rsidR="003A3F9B" w:rsidRPr="0057606E">
        <w:t xml:space="preserve"> </w:t>
      </w:r>
    </w:p>
    <w:p w14:paraId="141F8A64" w14:textId="3B13E723" w:rsidR="003A3F9B" w:rsidRDefault="0025305B" w:rsidP="00DF3EEF">
      <w:pPr>
        <w:pStyle w:val="ListParagraph"/>
        <w:numPr>
          <w:ilvl w:val="0"/>
          <w:numId w:val="22"/>
        </w:numPr>
        <w:ind w:left="284" w:hanging="284"/>
      </w:pPr>
      <w:r>
        <w:t>I</w:t>
      </w:r>
      <w:r w:rsidR="003A3F9B" w:rsidRPr="0057606E">
        <w:t>ncidence of CRS</w:t>
      </w:r>
      <w:r>
        <w:t>.</w:t>
      </w:r>
      <w:r w:rsidR="003A3F9B" w:rsidRPr="0057606E">
        <w:t xml:space="preserve"> </w:t>
      </w:r>
    </w:p>
    <w:p w14:paraId="190CD3C1" w14:textId="7EE90B8A" w:rsidR="003A3F9B" w:rsidRDefault="0025305B" w:rsidP="00DF3EEF">
      <w:pPr>
        <w:pStyle w:val="ListParagraph"/>
        <w:numPr>
          <w:ilvl w:val="0"/>
          <w:numId w:val="22"/>
        </w:numPr>
        <w:ind w:left="284" w:hanging="284"/>
      </w:pPr>
      <w:r>
        <w:t>I</w:t>
      </w:r>
      <w:r w:rsidR="003A3F9B" w:rsidRPr="0057606E">
        <w:t>ncidence of neurological toxicity</w:t>
      </w:r>
      <w:r w:rsidR="00C21CAF">
        <w:t xml:space="preserve"> </w:t>
      </w:r>
      <w:r w:rsidR="003A3F9B" w:rsidRPr="0057606E">
        <w:t>- CAR-T cell-related neurotoxicity (ICANS) and other neurological toxicities</w:t>
      </w:r>
      <w:r>
        <w:t>.</w:t>
      </w:r>
    </w:p>
    <w:p w14:paraId="1C245A26" w14:textId="514801D4" w:rsidR="003A3F9B" w:rsidRDefault="0025305B" w:rsidP="00DF3EEF">
      <w:pPr>
        <w:pStyle w:val="ListParagraph"/>
        <w:numPr>
          <w:ilvl w:val="0"/>
          <w:numId w:val="22"/>
        </w:numPr>
        <w:ind w:left="284" w:hanging="284"/>
      </w:pPr>
      <w:r>
        <w:t>I</w:t>
      </w:r>
      <w:r w:rsidR="003A3F9B" w:rsidRPr="0057606E">
        <w:t>ncidence of tumour lysis syndrome, incidence of cytopenia</w:t>
      </w:r>
      <w:r>
        <w:t>.</w:t>
      </w:r>
      <w:r w:rsidR="003A3F9B" w:rsidRPr="0057606E">
        <w:t xml:space="preserve"> </w:t>
      </w:r>
    </w:p>
    <w:p w14:paraId="39A31EC6" w14:textId="3EEAA6E0" w:rsidR="003A3F9B" w:rsidRPr="0057606E" w:rsidRDefault="0025305B" w:rsidP="00DF3EEF">
      <w:pPr>
        <w:pStyle w:val="ListParagraph"/>
        <w:numPr>
          <w:ilvl w:val="0"/>
          <w:numId w:val="22"/>
        </w:numPr>
        <w:ind w:left="284" w:hanging="284"/>
      </w:pPr>
      <w:r>
        <w:t>I</w:t>
      </w:r>
      <w:r w:rsidR="003A3F9B" w:rsidRPr="0057606E">
        <w:t>ncidence of hypogammaglobulinemia.</w:t>
      </w:r>
    </w:p>
    <w:p w14:paraId="41E069E5" w14:textId="77777777" w:rsidR="003A3F9B" w:rsidRPr="00DF3EEF" w:rsidRDefault="003A3F9B" w:rsidP="00E73E96">
      <w:pPr>
        <w:rPr>
          <w:u w:val="single"/>
        </w:rPr>
      </w:pPr>
      <w:r w:rsidRPr="00DF3EEF">
        <w:rPr>
          <w:u w:val="single"/>
        </w:rPr>
        <w:t>Cost-effectiveness:</w:t>
      </w:r>
    </w:p>
    <w:p w14:paraId="594B5978" w14:textId="0ADF5D35" w:rsidR="003A3F9B" w:rsidRPr="0057606E" w:rsidRDefault="003A3F9B" w:rsidP="00DF3EEF">
      <w:pPr>
        <w:pStyle w:val="ListParagraph"/>
        <w:numPr>
          <w:ilvl w:val="0"/>
          <w:numId w:val="23"/>
        </w:numPr>
        <w:ind w:left="284" w:hanging="284"/>
      </w:pPr>
      <w:r w:rsidRPr="0057606E">
        <w:t>Cost (including cost of additional pre-infusion and post infusion interventions)</w:t>
      </w:r>
      <w:r w:rsidR="0025305B">
        <w:t>.</w:t>
      </w:r>
    </w:p>
    <w:p w14:paraId="3AB44449" w14:textId="36075F92" w:rsidR="003A3F9B" w:rsidRPr="0057606E" w:rsidRDefault="003A3F9B" w:rsidP="00DF3EEF">
      <w:pPr>
        <w:pStyle w:val="ListParagraph"/>
        <w:numPr>
          <w:ilvl w:val="0"/>
          <w:numId w:val="23"/>
        </w:numPr>
        <w:ind w:left="284" w:hanging="284"/>
      </w:pPr>
      <w:r w:rsidRPr="0057606E">
        <w:t>Cost per life year gained (LYG)</w:t>
      </w:r>
      <w:r w:rsidR="0025305B">
        <w:t>.</w:t>
      </w:r>
    </w:p>
    <w:p w14:paraId="30AC6961" w14:textId="53EA290C" w:rsidR="003A3F9B" w:rsidRPr="0057606E" w:rsidRDefault="003A3F9B" w:rsidP="00DF3EEF">
      <w:pPr>
        <w:pStyle w:val="ListParagraph"/>
        <w:numPr>
          <w:ilvl w:val="0"/>
          <w:numId w:val="23"/>
        </w:numPr>
        <w:ind w:left="284" w:hanging="284"/>
      </w:pPr>
      <w:r w:rsidRPr="0057606E">
        <w:t>Cost per quality adjusted life year (QALY) or disability adjusted life year (DALY)</w:t>
      </w:r>
      <w:r w:rsidR="0025305B">
        <w:t>.</w:t>
      </w:r>
    </w:p>
    <w:p w14:paraId="6153854E" w14:textId="5935965D" w:rsidR="003A3F9B" w:rsidRPr="0057606E" w:rsidRDefault="003A3F9B" w:rsidP="00DF3EEF">
      <w:pPr>
        <w:pStyle w:val="ListParagraph"/>
        <w:numPr>
          <w:ilvl w:val="0"/>
          <w:numId w:val="23"/>
        </w:numPr>
        <w:ind w:left="284" w:hanging="284"/>
      </w:pPr>
      <w:r>
        <w:t>Incremental cost-effectiveness ratio (ICER)</w:t>
      </w:r>
      <w:r w:rsidR="0025305B">
        <w:t>.</w:t>
      </w:r>
    </w:p>
    <w:p w14:paraId="5C2DDDB9" w14:textId="77777777" w:rsidR="003A3F9B" w:rsidRPr="00DF3EEF" w:rsidRDefault="003A3F9B" w:rsidP="00E73E96">
      <w:pPr>
        <w:rPr>
          <w:u w:val="single"/>
        </w:rPr>
      </w:pPr>
      <w:r w:rsidRPr="00DF3EEF">
        <w:rPr>
          <w:u w:val="single"/>
        </w:rPr>
        <w:lastRenderedPageBreak/>
        <w:t>Financial implications:</w:t>
      </w:r>
    </w:p>
    <w:p w14:paraId="669FDA9F" w14:textId="4EFC684F" w:rsidR="003A3F9B" w:rsidRDefault="003A3F9B" w:rsidP="00DF3EEF">
      <w:pPr>
        <w:pStyle w:val="ListParagraph"/>
        <w:numPr>
          <w:ilvl w:val="0"/>
          <w:numId w:val="23"/>
        </w:numPr>
        <w:ind w:left="284" w:hanging="284"/>
      </w:pPr>
      <w:r>
        <w:t>Number of patie</w:t>
      </w:r>
      <w:r w:rsidR="0025305B">
        <w:t>nt</w:t>
      </w:r>
      <w:r>
        <w:t>s suitable for treatment</w:t>
      </w:r>
      <w:r w:rsidR="0025305B">
        <w:t>.</w:t>
      </w:r>
    </w:p>
    <w:p w14:paraId="154D554B" w14:textId="68670DF1" w:rsidR="003A3F9B" w:rsidRDefault="003A3F9B" w:rsidP="00DF3EEF">
      <w:pPr>
        <w:pStyle w:val="ListParagraph"/>
        <w:numPr>
          <w:ilvl w:val="0"/>
          <w:numId w:val="23"/>
        </w:numPr>
        <w:ind w:left="284" w:hanging="284"/>
      </w:pPr>
      <w:r w:rsidRPr="003A3F9B">
        <w:t>Number of patie</w:t>
      </w:r>
      <w:r w:rsidR="0025305B">
        <w:t>nt</w:t>
      </w:r>
      <w:r w:rsidRPr="003A3F9B">
        <w:t>s who receive treatment</w:t>
      </w:r>
      <w:r w:rsidR="0025305B">
        <w:t>.</w:t>
      </w:r>
    </w:p>
    <w:p w14:paraId="3021E35E" w14:textId="4BBA6F05" w:rsidR="00F124FC" w:rsidRDefault="00F124FC" w:rsidP="00DF3EEF">
      <w:r>
        <w:rPr>
          <w:rFonts w:asciiTheme="minorHAnsi" w:hAnsiTheme="minorHAnsi" w:cstheme="minorHAnsi"/>
          <w:i/>
          <w:iCs/>
        </w:rPr>
        <w:t>PASC noted that the PICO includes a thorough list of relevant outcomes.</w:t>
      </w:r>
    </w:p>
    <w:p w14:paraId="2C090983" w14:textId="591C5CD3" w:rsidR="003A3F9B" w:rsidRPr="00193F6C" w:rsidRDefault="003A3F9B" w:rsidP="00DF3EEF">
      <w:r w:rsidRPr="00193F6C">
        <w:t>As noted in the Public Summary Document for MSAC 1519.1</w:t>
      </w:r>
      <w:r w:rsidR="0010124C" w:rsidRPr="00193F6C">
        <w:t xml:space="preserve"> (p24)</w:t>
      </w:r>
      <w:r w:rsidRPr="00193F6C">
        <w:t xml:space="preserve">, in consideration of </w:t>
      </w:r>
      <w:r w:rsidR="0025305B" w:rsidRPr="00193F6C">
        <w:t>ti</w:t>
      </w:r>
      <w:r w:rsidRPr="00193F6C">
        <w:t xml:space="preserve">sagenlecleucel for treatment of relapsed or refractory DLBCL, clinical, </w:t>
      </w:r>
      <w:r w:rsidR="007A3220" w:rsidRPr="00193F6C">
        <w:t>economic,</w:t>
      </w:r>
      <w:r w:rsidRPr="00193F6C">
        <w:t xml:space="preserve"> and financial outcomes should include intention to treat (ITT) outcomes, as opposed to outcomes for only patients who successfully complete treatment. </w:t>
      </w:r>
    </w:p>
    <w:p w14:paraId="6069F0B5" w14:textId="4AC59D8E" w:rsidR="00D73332" w:rsidRPr="00490FBB" w:rsidRDefault="00D73332" w:rsidP="00713728">
      <w:pPr>
        <w:pStyle w:val="Heading2"/>
        <w:rPr>
          <w:b/>
          <w:bCs/>
          <w:i/>
        </w:rPr>
      </w:pPr>
      <w:r w:rsidRPr="00490FBB">
        <w:t>Clinical management algorithms</w:t>
      </w:r>
    </w:p>
    <w:p w14:paraId="3A305744" w14:textId="0D8FCE2C" w:rsidR="00B32BAB" w:rsidRDefault="003A3F9B" w:rsidP="003A3F9B">
      <w:pPr>
        <w:rPr>
          <w:rFonts w:asciiTheme="minorHAnsi" w:hAnsiTheme="minorHAnsi" w:cstheme="minorHAnsi"/>
          <w:i/>
          <w:iCs/>
          <w:szCs w:val="24"/>
        </w:rPr>
      </w:pPr>
      <w:r>
        <w:fldChar w:fldCharType="begin"/>
      </w:r>
      <w:r>
        <w:instrText xml:space="preserve"> REF _Ref86504472 \h </w:instrText>
      </w:r>
      <w:r>
        <w:fldChar w:fldCharType="separate"/>
      </w:r>
      <w:r w:rsidRPr="003A3F9B">
        <w:rPr>
          <w:bCs/>
          <w:color w:val="000000" w:themeColor="text1"/>
        </w:rPr>
        <w:t xml:space="preserve">Figure </w:t>
      </w:r>
      <w:r>
        <w:rPr>
          <w:bCs/>
          <w:noProof/>
          <w:color w:val="000000" w:themeColor="text1"/>
        </w:rPr>
        <w:t>3</w:t>
      </w:r>
      <w:r>
        <w:fldChar w:fldCharType="end"/>
      </w:r>
      <w:r>
        <w:t xml:space="preserve"> and </w:t>
      </w:r>
      <w:r w:rsidRPr="003A3F9B">
        <w:fldChar w:fldCharType="begin"/>
      </w:r>
      <w:r w:rsidRPr="003A3F9B">
        <w:instrText xml:space="preserve"> REF _Ref86504479 \h  \* MERGEFORMAT </w:instrText>
      </w:r>
      <w:r w:rsidRPr="003A3F9B">
        <w:fldChar w:fldCharType="separate"/>
      </w:r>
      <w:r w:rsidRPr="003A3F9B">
        <w:rPr>
          <w:color w:val="000000" w:themeColor="text1"/>
        </w:rPr>
        <w:t xml:space="preserve">Figure </w:t>
      </w:r>
      <w:r w:rsidRPr="003A3F9B">
        <w:rPr>
          <w:noProof/>
          <w:color w:val="000000" w:themeColor="text1"/>
        </w:rPr>
        <w:t>4</w:t>
      </w:r>
      <w:r w:rsidRPr="003A3F9B">
        <w:fldChar w:fldCharType="end"/>
      </w:r>
      <w:r>
        <w:t xml:space="preserve"> present th</w:t>
      </w:r>
      <w:r w:rsidR="00D6501D">
        <w:t>e</w:t>
      </w:r>
      <w:r>
        <w:t xml:space="preserve"> current and proposed clinical management algorithms</w:t>
      </w:r>
      <w:r w:rsidR="00D6501D">
        <w:t>.</w:t>
      </w:r>
      <w:r w:rsidR="00F124FC">
        <w:t xml:space="preserve"> </w:t>
      </w:r>
      <w:r w:rsidR="00F124FC" w:rsidRPr="00C21CAF">
        <w:rPr>
          <w:rFonts w:asciiTheme="minorHAnsi" w:hAnsiTheme="minorHAnsi" w:cstheme="minorHAnsi"/>
          <w:i/>
          <w:iCs/>
          <w:szCs w:val="24"/>
        </w:rPr>
        <w:t>PASC accepted the current and proposed clinical management algorithms.</w:t>
      </w:r>
    </w:p>
    <w:p w14:paraId="60E52A13" w14:textId="7892AB2C" w:rsidR="00F124FC" w:rsidRDefault="00F124FC" w:rsidP="003A3F9B">
      <w:r>
        <w:t>The applicant generally agreed with the clinical management algorithms, noting the following:</w:t>
      </w:r>
    </w:p>
    <w:p w14:paraId="5F1021E0" w14:textId="0CD40209" w:rsidR="00F124FC" w:rsidRPr="00F124FC" w:rsidRDefault="00F124FC" w:rsidP="00F124FC">
      <w:pPr>
        <w:pStyle w:val="ListParagraph"/>
        <w:numPr>
          <w:ilvl w:val="0"/>
          <w:numId w:val="30"/>
        </w:numPr>
        <w:ind w:left="284" w:hanging="284"/>
        <w:rPr>
          <w:rFonts w:asciiTheme="minorHAnsi" w:hAnsiTheme="minorHAnsi" w:cstheme="minorHAnsi"/>
          <w:szCs w:val="20"/>
        </w:rPr>
      </w:pPr>
      <w:r w:rsidRPr="00F124FC">
        <w:rPr>
          <w:rFonts w:asciiTheme="minorHAnsi" w:hAnsiTheme="minorHAnsi" w:cstheme="minorHAnsi"/>
          <w:szCs w:val="20"/>
        </w:rPr>
        <w:t xml:space="preserve">In the first-line setting, if a patient is not suitable for triple therapy with </w:t>
      </w:r>
      <w:r>
        <w:rPr>
          <w:rFonts w:asciiTheme="minorHAnsi" w:hAnsiTheme="minorHAnsi" w:cstheme="minorHAnsi"/>
          <w:szCs w:val="20"/>
        </w:rPr>
        <w:t>bortezomib, lenalidomide and dexamethasone (BLd)</w:t>
      </w:r>
      <w:r w:rsidRPr="00F124FC">
        <w:rPr>
          <w:rFonts w:asciiTheme="minorHAnsi" w:hAnsiTheme="minorHAnsi" w:cstheme="minorHAnsi"/>
          <w:szCs w:val="20"/>
        </w:rPr>
        <w:t xml:space="preserve">, they will have a doublet therapy, which may be </w:t>
      </w:r>
      <w:r>
        <w:rPr>
          <w:rFonts w:asciiTheme="minorHAnsi" w:hAnsiTheme="minorHAnsi" w:cstheme="minorHAnsi"/>
          <w:szCs w:val="20"/>
        </w:rPr>
        <w:t>bortezomib with dexamethasone (</w:t>
      </w:r>
      <w:r w:rsidRPr="00F124FC">
        <w:rPr>
          <w:rFonts w:asciiTheme="minorHAnsi" w:hAnsiTheme="minorHAnsi" w:cstheme="minorHAnsi"/>
          <w:szCs w:val="20"/>
        </w:rPr>
        <w:t>Bd</w:t>
      </w:r>
      <w:r>
        <w:rPr>
          <w:rFonts w:asciiTheme="minorHAnsi" w:hAnsiTheme="minorHAnsi" w:cstheme="minorHAnsi"/>
          <w:szCs w:val="20"/>
        </w:rPr>
        <w:t>)</w:t>
      </w:r>
      <w:r w:rsidRPr="00F124FC">
        <w:rPr>
          <w:rFonts w:asciiTheme="minorHAnsi" w:hAnsiTheme="minorHAnsi" w:cstheme="minorHAnsi"/>
          <w:szCs w:val="20"/>
        </w:rPr>
        <w:t xml:space="preserve"> or </w:t>
      </w:r>
      <w:r>
        <w:rPr>
          <w:rFonts w:asciiTheme="minorHAnsi" w:hAnsiTheme="minorHAnsi" w:cstheme="minorHAnsi"/>
          <w:szCs w:val="20"/>
        </w:rPr>
        <w:t>lenalidomide with dexamethasone (</w:t>
      </w:r>
      <w:r w:rsidRPr="00F124FC">
        <w:rPr>
          <w:rFonts w:asciiTheme="minorHAnsi" w:hAnsiTheme="minorHAnsi" w:cstheme="minorHAnsi"/>
          <w:szCs w:val="20"/>
        </w:rPr>
        <w:t>Ld</w:t>
      </w:r>
      <w:r>
        <w:rPr>
          <w:rFonts w:asciiTheme="minorHAnsi" w:hAnsiTheme="minorHAnsi" w:cstheme="minorHAnsi"/>
          <w:szCs w:val="20"/>
        </w:rPr>
        <w:t>)</w:t>
      </w:r>
      <w:r w:rsidRPr="00F124FC">
        <w:rPr>
          <w:rFonts w:asciiTheme="minorHAnsi" w:hAnsiTheme="minorHAnsi" w:cstheme="minorHAnsi"/>
          <w:szCs w:val="20"/>
        </w:rPr>
        <w:t xml:space="preserve">. Thus, it is not restricted to Bd alone. If a person with MM has been treated with an </w:t>
      </w:r>
      <w:r>
        <w:rPr>
          <w:rFonts w:asciiTheme="minorHAnsi" w:hAnsiTheme="minorHAnsi" w:cstheme="minorHAnsi"/>
          <w:szCs w:val="20"/>
        </w:rPr>
        <w:t>immunomodulator (</w:t>
      </w:r>
      <w:r w:rsidRPr="00F124FC">
        <w:rPr>
          <w:rFonts w:asciiTheme="minorHAnsi" w:hAnsiTheme="minorHAnsi" w:cstheme="minorHAnsi"/>
          <w:szCs w:val="20"/>
        </w:rPr>
        <w:t>IMiD</w:t>
      </w:r>
      <w:r>
        <w:rPr>
          <w:rFonts w:asciiTheme="minorHAnsi" w:hAnsiTheme="minorHAnsi" w:cstheme="minorHAnsi"/>
          <w:szCs w:val="20"/>
        </w:rPr>
        <w:t>; lenalidomide</w:t>
      </w:r>
      <w:r w:rsidRPr="00F124FC">
        <w:rPr>
          <w:rFonts w:asciiTheme="minorHAnsi" w:hAnsiTheme="minorHAnsi" w:cstheme="minorHAnsi"/>
          <w:szCs w:val="20"/>
        </w:rPr>
        <w:t>) in the first</w:t>
      </w:r>
      <w:r>
        <w:rPr>
          <w:rFonts w:asciiTheme="minorHAnsi" w:hAnsiTheme="minorHAnsi" w:cstheme="minorHAnsi"/>
          <w:szCs w:val="20"/>
        </w:rPr>
        <w:t xml:space="preserve"> </w:t>
      </w:r>
      <w:r w:rsidRPr="00F124FC">
        <w:rPr>
          <w:rFonts w:asciiTheme="minorHAnsi" w:hAnsiTheme="minorHAnsi" w:cstheme="minorHAnsi"/>
          <w:szCs w:val="20"/>
        </w:rPr>
        <w:t>line setting, a patient will switch class of therapy in the relapse setting (i.e. at second</w:t>
      </w:r>
      <w:r>
        <w:rPr>
          <w:rFonts w:asciiTheme="minorHAnsi" w:hAnsiTheme="minorHAnsi" w:cstheme="minorHAnsi"/>
          <w:szCs w:val="20"/>
        </w:rPr>
        <w:t xml:space="preserve"> </w:t>
      </w:r>
      <w:r w:rsidRPr="00F124FC">
        <w:rPr>
          <w:rFonts w:asciiTheme="minorHAnsi" w:hAnsiTheme="minorHAnsi" w:cstheme="minorHAnsi"/>
          <w:szCs w:val="20"/>
        </w:rPr>
        <w:t xml:space="preserve">line). If a person with MM has been treated with a </w:t>
      </w:r>
      <w:r w:rsidR="004C7984" w:rsidRPr="004C7984">
        <w:rPr>
          <w:rFonts w:asciiTheme="minorHAnsi" w:hAnsiTheme="minorHAnsi" w:cstheme="minorHAnsi"/>
          <w:szCs w:val="20"/>
        </w:rPr>
        <w:t xml:space="preserve">proteasome inhibitor </w:t>
      </w:r>
      <w:r w:rsidR="004C7984">
        <w:rPr>
          <w:rFonts w:asciiTheme="minorHAnsi" w:hAnsiTheme="minorHAnsi" w:cstheme="minorHAnsi"/>
          <w:szCs w:val="20"/>
        </w:rPr>
        <w:t>(</w:t>
      </w:r>
      <w:r w:rsidRPr="00F124FC">
        <w:rPr>
          <w:rFonts w:asciiTheme="minorHAnsi" w:hAnsiTheme="minorHAnsi" w:cstheme="minorHAnsi"/>
          <w:szCs w:val="20"/>
        </w:rPr>
        <w:t>PI</w:t>
      </w:r>
      <w:r w:rsidR="004C7984">
        <w:rPr>
          <w:rFonts w:asciiTheme="minorHAnsi" w:hAnsiTheme="minorHAnsi" w:cstheme="minorHAnsi"/>
          <w:szCs w:val="20"/>
        </w:rPr>
        <w:t>)</w:t>
      </w:r>
      <w:r w:rsidRPr="00F124FC">
        <w:rPr>
          <w:rFonts w:asciiTheme="minorHAnsi" w:hAnsiTheme="minorHAnsi" w:cstheme="minorHAnsi"/>
          <w:szCs w:val="20"/>
        </w:rPr>
        <w:t xml:space="preserve"> in the first</w:t>
      </w:r>
      <w:r>
        <w:rPr>
          <w:rFonts w:asciiTheme="minorHAnsi" w:hAnsiTheme="minorHAnsi" w:cstheme="minorHAnsi"/>
          <w:szCs w:val="20"/>
        </w:rPr>
        <w:t xml:space="preserve"> </w:t>
      </w:r>
      <w:r w:rsidRPr="00F124FC">
        <w:rPr>
          <w:rFonts w:asciiTheme="minorHAnsi" w:hAnsiTheme="minorHAnsi" w:cstheme="minorHAnsi"/>
          <w:szCs w:val="20"/>
        </w:rPr>
        <w:t xml:space="preserve">line setting (i.e. </w:t>
      </w:r>
      <w:r w:rsidR="004C7984">
        <w:rPr>
          <w:rFonts w:asciiTheme="minorHAnsi" w:hAnsiTheme="minorHAnsi" w:cstheme="minorHAnsi"/>
          <w:szCs w:val="20"/>
        </w:rPr>
        <w:t>bortezomib</w:t>
      </w:r>
      <w:r w:rsidRPr="00F124FC">
        <w:rPr>
          <w:rFonts w:asciiTheme="minorHAnsi" w:hAnsiTheme="minorHAnsi" w:cstheme="minorHAnsi"/>
          <w:szCs w:val="20"/>
        </w:rPr>
        <w:t xml:space="preserve">), they may still receive a PI or </w:t>
      </w:r>
      <w:r w:rsidR="004C7984">
        <w:rPr>
          <w:rFonts w:asciiTheme="minorHAnsi" w:hAnsiTheme="minorHAnsi" w:cstheme="minorHAnsi"/>
          <w:szCs w:val="20"/>
        </w:rPr>
        <w:t>bortezomib</w:t>
      </w:r>
      <w:r w:rsidRPr="00F124FC">
        <w:rPr>
          <w:rFonts w:asciiTheme="minorHAnsi" w:hAnsiTheme="minorHAnsi" w:cstheme="minorHAnsi"/>
          <w:szCs w:val="20"/>
        </w:rPr>
        <w:t xml:space="preserve"> at relapse due to the fixed-duration nature of the </w:t>
      </w:r>
      <w:r w:rsidR="004C7984">
        <w:rPr>
          <w:rFonts w:asciiTheme="minorHAnsi" w:hAnsiTheme="minorHAnsi" w:cstheme="minorHAnsi"/>
          <w:szCs w:val="20"/>
        </w:rPr>
        <w:t>bortezomib with dexamethasone</w:t>
      </w:r>
      <w:r w:rsidRPr="00F124FC">
        <w:rPr>
          <w:rFonts w:asciiTheme="minorHAnsi" w:hAnsiTheme="minorHAnsi" w:cstheme="minorHAnsi"/>
          <w:szCs w:val="20"/>
        </w:rPr>
        <w:t xml:space="preserve"> regimen, provided the patient’s MM was not refractory to </w:t>
      </w:r>
      <w:r w:rsidR="004C7984">
        <w:rPr>
          <w:rFonts w:asciiTheme="minorHAnsi" w:hAnsiTheme="minorHAnsi" w:cstheme="minorHAnsi"/>
          <w:szCs w:val="20"/>
        </w:rPr>
        <w:t>bortezomib</w:t>
      </w:r>
      <w:r w:rsidRPr="00F124FC">
        <w:rPr>
          <w:rFonts w:asciiTheme="minorHAnsi" w:hAnsiTheme="minorHAnsi" w:cstheme="minorHAnsi"/>
          <w:szCs w:val="20"/>
        </w:rPr>
        <w:t>.</w:t>
      </w:r>
    </w:p>
    <w:p w14:paraId="08F0879D" w14:textId="4CB4D823" w:rsidR="00F124FC" w:rsidRDefault="00F124FC" w:rsidP="00F124FC">
      <w:pPr>
        <w:pStyle w:val="ListParagraph"/>
        <w:numPr>
          <w:ilvl w:val="0"/>
          <w:numId w:val="30"/>
        </w:numPr>
        <w:ind w:left="284" w:hanging="284"/>
        <w:rPr>
          <w:rFonts w:asciiTheme="minorHAnsi" w:hAnsiTheme="minorHAnsi" w:cstheme="minorHAnsi"/>
          <w:szCs w:val="20"/>
        </w:rPr>
      </w:pPr>
      <w:r>
        <w:rPr>
          <w:rFonts w:asciiTheme="minorHAnsi" w:hAnsiTheme="minorHAnsi" w:cstheme="minorHAnsi"/>
          <w:szCs w:val="20"/>
        </w:rPr>
        <w:t xml:space="preserve">In the proposed clinical algorithm which includes </w:t>
      </w:r>
      <w:r w:rsidRPr="00FD160D">
        <w:rPr>
          <w:rFonts w:asciiTheme="minorHAnsi" w:hAnsiTheme="minorHAnsi" w:cstheme="minorHAnsi"/>
          <w:szCs w:val="20"/>
        </w:rPr>
        <w:t>ciltacabtagene autoleucel</w:t>
      </w:r>
      <w:r>
        <w:rPr>
          <w:rFonts w:asciiTheme="minorHAnsi" w:hAnsiTheme="minorHAnsi" w:cstheme="minorHAnsi"/>
          <w:szCs w:val="20"/>
        </w:rPr>
        <w:t xml:space="preserve"> at fourth</w:t>
      </w:r>
      <w:r w:rsidR="004C7984">
        <w:rPr>
          <w:rFonts w:asciiTheme="minorHAnsi" w:hAnsiTheme="minorHAnsi" w:cstheme="minorHAnsi"/>
          <w:szCs w:val="20"/>
        </w:rPr>
        <w:t xml:space="preserve"> </w:t>
      </w:r>
      <w:r>
        <w:rPr>
          <w:rFonts w:asciiTheme="minorHAnsi" w:hAnsiTheme="minorHAnsi" w:cstheme="minorHAnsi"/>
          <w:szCs w:val="20"/>
        </w:rPr>
        <w:t xml:space="preserve">line; it should be noted that </w:t>
      </w:r>
      <w:r w:rsidRPr="00FD160D">
        <w:rPr>
          <w:rFonts w:asciiTheme="minorHAnsi" w:hAnsiTheme="minorHAnsi" w:cstheme="minorHAnsi"/>
          <w:szCs w:val="20"/>
        </w:rPr>
        <w:t>ciltacabtagene autoleucel</w:t>
      </w:r>
      <w:r>
        <w:rPr>
          <w:rFonts w:asciiTheme="minorHAnsi" w:hAnsiTheme="minorHAnsi" w:cstheme="minorHAnsi"/>
          <w:szCs w:val="20"/>
        </w:rPr>
        <w:t xml:space="preserve"> will not have 100% uptake in this setting, and thus a patient may still be treated with </w:t>
      </w:r>
      <w:r w:rsidR="004C7984">
        <w:rPr>
          <w:rFonts w:asciiTheme="minorHAnsi" w:hAnsiTheme="minorHAnsi" w:cstheme="minorHAnsi"/>
          <w:szCs w:val="20"/>
        </w:rPr>
        <w:t>pomalidomide with dexamethasone (</w:t>
      </w:r>
      <w:r>
        <w:rPr>
          <w:rFonts w:asciiTheme="minorHAnsi" w:hAnsiTheme="minorHAnsi" w:cstheme="minorHAnsi"/>
          <w:szCs w:val="20"/>
        </w:rPr>
        <w:t>Pd</w:t>
      </w:r>
      <w:r w:rsidR="004C7984">
        <w:rPr>
          <w:rFonts w:asciiTheme="minorHAnsi" w:hAnsiTheme="minorHAnsi" w:cstheme="minorHAnsi"/>
          <w:szCs w:val="20"/>
        </w:rPr>
        <w:t>)</w:t>
      </w:r>
      <w:r>
        <w:rPr>
          <w:rFonts w:asciiTheme="minorHAnsi" w:hAnsiTheme="minorHAnsi" w:cstheme="minorHAnsi"/>
          <w:szCs w:val="20"/>
        </w:rPr>
        <w:t xml:space="preserve">, or </w:t>
      </w:r>
      <w:r w:rsidR="004C7984">
        <w:rPr>
          <w:rFonts w:asciiTheme="minorHAnsi" w:hAnsiTheme="minorHAnsi" w:cstheme="minorHAnsi"/>
          <w:szCs w:val="20"/>
        </w:rPr>
        <w:t>carfilzomib with dexamethasone (</w:t>
      </w:r>
      <w:r>
        <w:rPr>
          <w:rFonts w:asciiTheme="minorHAnsi" w:hAnsiTheme="minorHAnsi" w:cstheme="minorHAnsi"/>
          <w:szCs w:val="20"/>
        </w:rPr>
        <w:t>Cd</w:t>
      </w:r>
      <w:r w:rsidR="004C7984">
        <w:rPr>
          <w:rFonts w:asciiTheme="minorHAnsi" w:hAnsiTheme="minorHAnsi" w:cstheme="minorHAnsi"/>
          <w:szCs w:val="20"/>
        </w:rPr>
        <w:t>)</w:t>
      </w:r>
      <w:r>
        <w:rPr>
          <w:rFonts w:asciiTheme="minorHAnsi" w:hAnsiTheme="minorHAnsi" w:cstheme="minorHAnsi"/>
          <w:szCs w:val="20"/>
        </w:rPr>
        <w:t xml:space="preserve">, if they are not of suitable fitness for </w:t>
      </w:r>
      <w:r w:rsidRPr="00FD160D">
        <w:rPr>
          <w:rFonts w:asciiTheme="minorHAnsi" w:hAnsiTheme="minorHAnsi" w:cstheme="minorHAnsi"/>
          <w:szCs w:val="20"/>
        </w:rPr>
        <w:t>ciltacabtagene autoleucel</w:t>
      </w:r>
      <w:r>
        <w:rPr>
          <w:rFonts w:asciiTheme="minorHAnsi" w:hAnsiTheme="minorHAnsi" w:cstheme="minorHAnsi"/>
          <w:szCs w:val="20"/>
        </w:rPr>
        <w:t xml:space="preserve"> therapy.</w:t>
      </w:r>
    </w:p>
    <w:p w14:paraId="2DBDA282" w14:textId="01526261" w:rsidR="00F124FC" w:rsidRDefault="00F124FC" w:rsidP="00F124FC">
      <w:r>
        <w:rPr>
          <w:rFonts w:asciiTheme="minorHAnsi" w:hAnsiTheme="minorHAnsi" w:cstheme="minorHAnsi"/>
          <w:szCs w:val="20"/>
        </w:rPr>
        <w:t xml:space="preserve">The applicant further noted that use of thalidomide in clinical practice is low, and is diminishing, due to its toxicity. As noted in the comparator section, </w:t>
      </w:r>
      <w:r w:rsidR="004C7984">
        <w:rPr>
          <w:rFonts w:asciiTheme="minorHAnsi" w:hAnsiTheme="minorHAnsi" w:cstheme="minorHAnsi"/>
          <w:szCs w:val="20"/>
        </w:rPr>
        <w:t>pomalidomide, bortezomib and dexamethasone</w:t>
      </w:r>
      <w:r>
        <w:rPr>
          <w:rFonts w:asciiTheme="minorHAnsi" w:hAnsiTheme="minorHAnsi" w:cstheme="minorHAnsi"/>
          <w:szCs w:val="20"/>
        </w:rPr>
        <w:t xml:space="preserve"> may now be used in </w:t>
      </w:r>
      <w:r w:rsidRPr="00522371">
        <w:rPr>
          <w:rFonts w:asciiTheme="minorHAnsi" w:hAnsiTheme="minorHAnsi" w:cstheme="minorHAnsi"/>
          <w:szCs w:val="20"/>
        </w:rPr>
        <w:t xml:space="preserve">relapsed/refractory MM </w:t>
      </w:r>
      <w:r>
        <w:rPr>
          <w:rFonts w:asciiTheme="minorHAnsi" w:hAnsiTheme="minorHAnsi" w:cstheme="minorHAnsi"/>
          <w:szCs w:val="20"/>
        </w:rPr>
        <w:t>following its recent PBS listing (note: pomalidomide is an IMiD).</w:t>
      </w:r>
    </w:p>
    <w:p w14:paraId="0DDC2869" w14:textId="77777777" w:rsidR="00D6501D" w:rsidRDefault="00D6501D" w:rsidP="003A3F9B"/>
    <w:p w14:paraId="34028527" w14:textId="240C7B1F" w:rsidR="00D6501D" w:rsidRDefault="00D6501D" w:rsidP="003A3F9B">
      <w:pPr>
        <w:sectPr w:rsidR="00D6501D" w:rsidSect="00AE6FE0">
          <w:footerReference w:type="even" r:id="rId9"/>
          <w:footerReference w:type="default" r:id="rId10"/>
          <w:pgSz w:w="11906" w:h="16838"/>
          <w:pgMar w:top="682" w:right="1134" w:bottom="1021" w:left="1191" w:header="709" w:footer="709" w:gutter="0"/>
          <w:cols w:space="708"/>
          <w:docGrid w:linePitch="360"/>
        </w:sectPr>
      </w:pPr>
    </w:p>
    <w:p w14:paraId="3ADF6E11" w14:textId="13FB8AA5" w:rsidR="003A3F9B" w:rsidRPr="003A3F9B" w:rsidRDefault="003A3F9B" w:rsidP="003A3F9B"/>
    <w:p w14:paraId="1012E1F9" w14:textId="5F071098" w:rsidR="003A3F9B" w:rsidRDefault="00DF3EEF" w:rsidP="00E73E96">
      <w:r w:rsidRPr="00DF3EEF">
        <w:rPr>
          <w:noProof/>
        </w:rPr>
        <w:drawing>
          <wp:inline distT="0" distB="0" distL="0" distR="0" wp14:anchorId="17008183" wp14:editId="7F849B34">
            <wp:extent cx="9610725" cy="4217035"/>
            <wp:effectExtent l="0" t="0" r="3175" b="0"/>
            <wp:docPr id="8" name="Picture 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pic:cNvPicPr/>
                  </pic:nvPicPr>
                  <pic:blipFill>
                    <a:blip r:embed="rId11"/>
                    <a:stretch>
                      <a:fillRect/>
                    </a:stretch>
                  </pic:blipFill>
                  <pic:spPr>
                    <a:xfrm>
                      <a:off x="0" y="0"/>
                      <a:ext cx="9610725" cy="4217035"/>
                    </a:xfrm>
                    <a:prstGeom prst="rect">
                      <a:avLst/>
                    </a:prstGeom>
                  </pic:spPr>
                </pic:pic>
              </a:graphicData>
            </a:graphic>
          </wp:inline>
        </w:drawing>
      </w:r>
    </w:p>
    <w:p w14:paraId="15179FD4" w14:textId="49F04931" w:rsidR="00D6501D" w:rsidRPr="00DF3EEF" w:rsidRDefault="00D6501D" w:rsidP="00DF3EEF">
      <w:pPr>
        <w:pStyle w:val="Guidelinescross-ref"/>
        <w:spacing w:before="0" w:after="0"/>
        <w:rPr>
          <w:rFonts w:ascii="Arial Narrow" w:hAnsi="Arial Narrow"/>
          <w:color w:val="000000" w:themeColor="text1"/>
          <w:sz w:val="20"/>
          <w:szCs w:val="20"/>
        </w:rPr>
      </w:pPr>
      <w:bookmarkStart w:id="6" w:name="_Ref86504472"/>
      <w:r w:rsidRPr="00DF3EEF">
        <w:rPr>
          <w:rFonts w:ascii="Arial Narrow" w:hAnsi="Arial Narrow"/>
          <w:bCs/>
          <w:color w:val="000000" w:themeColor="text1"/>
          <w:sz w:val="20"/>
          <w:szCs w:val="20"/>
        </w:rPr>
        <w:t xml:space="preserve">Figure </w:t>
      </w:r>
      <w:r w:rsidRPr="00DF3EEF">
        <w:rPr>
          <w:rFonts w:ascii="Arial Narrow" w:hAnsi="Arial Narrow"/>
          <w:bCs/>
          <w:color w:val="000000" w:themeColor="text1"/>
          <w:sz w:val="20"/>
          <w:szCs w:val="20"/>
        </w:rPr>
        <w:fldChar w:fldCharType="begin"/>
      </w:r>
      <w:r w:rsidRPr="00DF3EEF">
        <w:rPr>
          <w:rFonts w:ascii="Arial Narrow" w:hAnsi="Arial Narrow"/>
          <w:bCs/>
          <w:color w:val="000000" w:themeColor="text1"/>
          <w:sz w:val="20"/>
          <w:szCs w:val="20"/>
        </w:rPr>
        <w:instrText xml:space="preserve"> SEQ Figure \* MERGEFORMAT </w:instrText>
      </w:r>
      <w:r w:rsidRPr="00DF3EEF">
        <w:rPr>
          <w:rFonts w:ascii="Arial Narrow" w:hAnsi="Arial Narrow"/>
          <w:bCs/>
          <w:color w:val="000000" w:themeColor="text1"/>
          <w:sz w:val="20"/>
          <w:szCs w:val="20"/>
        </w:rPr>
        <w:fldChar w:fldCharType="separate"/>
      </w:r>
      <w:r w:rsidRPr="00DF3EEF">
        <w:rPr>
          <w:rFonts w:ascii="Arial Narrow" w:hAnsi="Arial Narrow"/>
          <w:bCs/>
          <w:noProof/>
          <w:color w:val="000000" w:themeColor="text1"/>
          <w:sz w:val="20"/>
          <w:szCs w:val="20"/>
        </w:rPr>
        <w:t>3</w:t>
      </w:r>
      <w:r w:rsidRPr="00DF3EEF">
        <w:rPr>
          <w:rFonts w:ascii="Arial Narrow" w:hAnsi="Arial Narrow"/>
          <w:bCs/>
          <w:color w:val="000000" w:themeColor="text1"/>
          <w:sz w:val="20"/>
          <w:szCs w:val="20"/>
        </w:rPr>
        <w:fldChar w:fldCharType="end"/>
      </w:r>
      <w:bookmarkEnd w:id="6"/>
      <w:r w:rsidRPr="00DF3EEF">
        <w:rPr>
          <w:rFonts w:ascii="Arial Narrow" w:hAnsi="Arial Narrow"/>
          <w:bCs/>
          <w:color w:val="000000" w:themeColor="text1"/>
          <w:sz w:val="20"/>
          <w:szCs w:val="20"/>
        </w:rPr>
        <w:t>:</w:t>
      </w:r>
      <w:r>
        <w:rPr>
          <w:rFonts w:ascii="Arial Narrow" w:hAnsi="Arial Narrow"/>
          <w:bCs/>
          <w:sz w:val="20"/>
          <w:szCs w:val="20"/>
        </w:rPr>
        <w:tab/>
      </w:r>
      <w:r w:rsidRPr="00DF3EEF">
        <w:rPr>
          <w:rFonts w:ascii="Arial Narrow" w:hAnsi="Arial Narrow"/>
          <w:color w:val="000000" w:themeColor="text1"/>
          <w:sz w:val="20"/>
          <w:szCs w:val="20"/>
        </w:rPr>
        <w:t>Current clinical management algorithm</w:t>
      </w:r>
    </w:p>
    <w:p w14:paraId="1568A27B" w14:textId="6ACF8433" w:rsidR="003A3F9B" w:rsidRPr="00DF3EEF" w:rsidRDefault="003A3F9B" w:rsidP="00DF3EEF">
      <w:pPr>
        <w:pStyle w:val="Instructionaltext"/>
        <w:spacing w:before="0" w:after="0"/>
        <w:rPr>
          <w:rFonts w:ascii="Arial Narrow" w:hAnsi="Arial Narrow"/>
          <w:color w:val="000000" w:themeColor="text1"/>
          <w:sz w:val="18"/>
          <w:szCs w:val="18"/>
        </w:rPr>
      </w:pPr>
      <w:r w:rsidRPr="00DF3EEF">
        <w:rPr>
          <w:rFonts w:ascii="Arial Narrow" w:hAnsi="Arial Narrow"/>
          <w:color w:val="000000" w:themeColor="text1"/>
          <w:sz w:val="18"/>
          <w:szCs w:val="18"/>
        </w:rPr>
        <w:t xml:space="preserve">Source: adapted from </w:t>
      </w:r>
      <w:r w:rsidR="00D6501D">
        <w:rPr>
          <w:rFonts w:ascii="Arial Narrow" w:hAnsi="Arial Narrow"/>
          <w:color w:val="000000" w:themeColor="text1"/>
          <w:sz w:val="18"/>
          <w:szCs w:val="18"/>
        </w:rPr>
        <w:t>F</w:t>
      </w:r>
      <w:r w:rsidRPr="00DF3EEF">
        <w:rPr>
          <w:rFonts w:ascii="Arial Narrow" w:hAnsi="Arial Narrow"/>
          <w:color w:val="000000" w:themeColor="text1"/>
          <w:sz w:val="18"/>
          <w:szCs w:val="18"/>
        </w:rPr>
        <w:t>igure 8, p24 of the application.</w:t>
      </w:r>
    </w:p>
    <w:p w14:paraId="550B5606" w14:textId="09F13F92" w:rsidR="00B32BAB" w:rsidRPr="00DF3EEF" w:rsidRDefault="003A3F9B" w:rsidP="00DF3EEF">
      <w:pPr>
        <w:pStyle w:val="Instructionaltext"/>
        <w:spacing w:before="0" w:after="0"/>
        <w:rPr>
          <w:rFonts w:ascii="Arial Narrow" w:hAnsi="Arial Narrow"/>
          <w:color w:val="000000" w:themeColor="text1"/>
          <w:sz w:val="18"/>
          <w:szCs w:val="18"/>
        </w:rPr>
      </w:pPr>
      <w:r w:rsidRPr="00DF3EEF">
        <w:rPr>
          <w:rFonts w:ascii="Arial Narrow" w:hAnsi="Arial Narrow"/>
          <w:color w:val="000000" w:themeColor="text1"/>
          <w:sz w:val="18"/>
          <w:szCs w:val="18"/>
        </w:rPr>
        <w:t>Bd = bortezomib and dexamethasone; BLd = bortezomib, lenalidomide and dexamethasone; Cd = carfilzomib and dexamethasone; DBd = daratumumab, bortezomib and dexamethasone; IMiDs = immunomodulator drugs; Ld = lenalidomide and dexamethasone; MM = multiple myeloma; Pd = pomalidomide and dexamethasone</w:t>
      </w:r>
      <w:r w:rsidR="00DF3EEF">
        <w:rPr>
          <w:rFonts w:ascii="Arial Narrow" w:hAnsi="Arial Narrow"/>
          <w:color w:val="000000" w:themeColor="text1"/>
          <w:sz w:val="18"/>
          <w:szCs w:val="18"/>
        </w:rPr>
        <w:t>; Td = thalidomide</w:t>
      </w:r>
      <w:r w:rsidRPr="00DF3EEF">
        <w:rPr>
          <w:rFonts w:ascii="Arial Narrow" w:hAnsi="Arial Narrow"/>
          <w:color w:val="000000" w:themeColor="text1"/>
          <w:sz w:val="18"/>
          <w:szCs w:val="18"/>
        </w:rPr>
        <w:t>.</w:t>
      </w:r>
    </w:p>
    <w:p w14:paraId="6880FCC0" w14:textId="77777777" w:rsidR="00B32BAB" w:rsidRDefault="00B32BAB">
      <w:pPr>
        <w:spacing w:after="160" w:line="259" w:lineRule="auto"/>
        <w:rPr>
          <w:rFonts w:eastAsiaTheme="minorHAnsi" w:cstheme="minorBidi"/>
          <w:color w:val="000000" w:themeColor="text1"/>
          <w:sz w:val="16"/>
          <w:szCs w:val="16"/>
        </w:rPr>
      </w:pPr>
      <w:r>
        <w:rPr>
          <w:color w:val="000000" w:themeColor="text1"/>
          <w:sz w:val="16"/>
          <w:szCs w:val="16"/>
        </w:rPr>
        <w:br w:type="page"/>
      </w:r>
    </w:p>
    <w:p w14:paraId="026CE3EF" w14:textId="77777777" w:rsidR="003A3F9B" w:rsidRPr="003A3F9B" w:rsidRDefault="003A3F9B" w:rsidP="003A3F9B">
      <w:pPr>
        <w:pStyle w:val="Instructionaltext"/>
        <w:jc w:val="center"/>
        <w:rPr>
          <w:color w:val="000000" w:themeColor="text1"/>
          <w:sz w:val="16"/>
          <w:szCs w:val="16"/>
        </w:rPr>
      </w:pPr>
    </w:p>
    <w:p w14:paraId="697D7715" w14:textId="64767A5D" w:rsidR="003A3F9B" w:rsidRDefault="00DF3EEF" w:rsidP="00DF3EEF">
      <w:r w:rsidRPr="00DF3EEF">
        <w:rPr>
          <w:noProof/>
        </w:rPr>
        <w:drawing>
          <wp:inline distT="0" distB="0" distL="0" distR="0" wp14:anchorId="26B360A4" wp14:editId="0611F836">
            <wp:extent cx="9610725" cy="4180205"/>
            <wp:effectExtent l="0" t="0" r="3175" b="0"/>
            <wp:docPr id="6" name="Picture 6" descr="Figure 4: Proposed clinical management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4: Proposed clinical management algorithm"/>
                    <pic:cNvPicPr/>
                  </pic:nvPicPr>
                  <pic:blipFill>
                    <a:blip r:embed="rId12"/>
                    <a:stretch>
                      <a:fillRect/>
                    </a:stretch>
                  </pic:blipFill>
                  <pic:spPr>
                    <a:xfrm>
                      <a:off x="0" y="0"/>
                      <a:ext cx="9610725" cy="4180205"/>
                    </a:xfrm>
                    <a:prstGeom prst="rect">
                      <a:avLst/>
                    </a:prstGeom>
                  </pic:spPr>
                </pic:pic>
              </a:graphicData>
            </a:graphic>
          </wp:inline>
        </w:drawing>
      </w:r>
    </w:p>
    <w:p w14:paraId="0803B084" w14:textId="633CE1C4" w:rsidR="00D6501D" w:rsidRPr="00DF3EEF" w:rsidRDefault="00D6501D" w:rsidP="00DF3EEF">
      <w:pPr>
        <w:pStyle w:val="Instructionaltext"/>
        <w:spacing w:before="40" w:after="40"/>
        <w:rPr>
          <w:rFonts w:ascii="Arial Narrow" w:hAnsi="Arial Narrow"/>
          <w:b/>
          <w:bCs/>
          <w:color w:val="000000" w:themeColor="text1"/>
          <w:sz w:val="20"/>
          <w:szCs w:val="20"/>
        </w:rPr>
      </w:pPr>
      <w:bookmarkStart w:id="7" w:name="_Ref86504479"/>
      <w:r w:rsidRPr="00DF3EEF">
        <w:rPr>
          <w:rFonts w:ascii="Arial Narrow" w:hAnsi="Arial Narrow"/>
          <w:b/>
          <w:bCs/>
          <w:color w:val="000000" w:themeColor="text1"/>
          <w:sz w:val="20"/>
          <w:szCs w:val="20"/>
        </w:rPr>
        <w:t xml:space="preserve">Figure </w:t>
      </w:r>
      <w:r w:rsidRPr="00DF3EEF">
        <w:rPr>
          <w:rFonts w:ascii="Arial Narrow" w:hAnsi="Arial Narrow"/>
          <w:b/>
          <w:bCs/>
          <w:color w:val="000000" w:themeColor="text1"/>
          <w:sz w:val="20"/>
          <w:szCs w:val="20"/>
        </w:rPr>
        <w:fldChar w:fldCharType="begin"/>
      </w:r>
      <w:r w:rsidRPr="00DF3EEF">
        <w:rPr>
          <w:rFonts w:ascii="Arial Narrow" w:hAnsi="Arial Narrow"/>
          <w:b/>
          <w:bCs/>
          <w:color w:val="000000" w:themeColor="text1"/>
          <w:sz w:val="20"/>
          <w:szCs w:val="20"/>
        </w:rPr>
        <w:instrText xml:space="preserve"> SEQ Figure \* MERGEFORMAT </w:instrText>
      </w:r>
      <w:r w:rsidRPr="00DF3EEF">
        <w:rPr>
          <w:rFonts w:ascii="Arial Narrow" w:hAnsi="Arial Narrow"/>
          <w:b/>
          <w:bCs/>
          <w:color w:val="000000" w:themeColor="text1"/>
          <w:sz w:val="20"/>
          <w:szCs w:val="20"/>
        </w:rPr>
        <w:fldChar w:fldCharType="separate"/>
      </w:r>
      <w:r w:rsidRPr="00DF3EEF">
        <w:rPr>
          <w:rFonts w:ascii="Arial Narrow" w:hAnsi="Arial Narrow"/>
          <w:b/>
          <w:bCs/>
          <w:noProof/>
          <w:color w:val="000000" w:themeColor="text1"/>
          <w:sz w:val="20"/>
          <w:szCs w:val="20"/>
        </w:rPr>
        <w:t>4</w:t>
      </w:r>
      <w:r w:rsidRPr="00DF3EEF">
        <w:rPr>
          <w:rFonts w:ascii="Arial Narrow" w:hAnsi="Arial Narrow"/>
          <w:b/>
          <w:bCs/>
          <w:color w:val="000000" w:themeColor="text1"/>
          <w:sz w:val="20"/>
          <w:szCs w:val="20"/>
        </w:rPr>
        <w:fldChar w:fldCharType="end"/>
      </w:r>
      <w:bookmarkEnd w:id="7"/>
      <w:r w:rsidRPr="00DF3EEF">
        <w:rPr>
          <w:rFonts w:ascii="Arial Narrow" w:hAnsi="Arial Narrow"/>
          <w:b/>
          <w:bCs/>
          <w:color w:val="000000" w:themeColor="text1"/>
          <w:sz w:val="20"/>
          <w:szCs w:val="20"/>
        </w:rPr>
        <w:t>:</w:t>
      </w:r>
      <w:r>
        <w:rPr>
          <w:rFonts w:ascii="Arial Narrow" w:hAnsi="Arial Narrow"/>
          <w:b/>
          <w:bCs/>
          <w:sz w:val="20"/>
          <w:szCs w:val="20"/>
        </w:rPr>
        <w:tab/>
      </w:r>
      <w:r w:rsidRPr="00DF3EEF">
        <w:rPr>
          <w:rFonts w:ascii="Arial Narrow" w:hAnsi="Arial Narrow"/>
          <w:b/>
          <w:bCs/>
          <w:color w:val="000000" w:themeColor="text1"/>
          <w:sz w:val="20"/>
          <w:szCs w:val="20"/>
        </w:rPr>
        <w:t>Proposed clinical management algorithm</w:t>
      </w:r>
    </w:p>
    <w:p w14:paraId="63192D28" w14:textId="3D26EDC5" w:rsidR="003A3F9B" w:rsidRPr="00DF3EEF" w:rsidRDefault="003A3F9B" w:rsidP="00DF3EEF">
      <w:pPr>
        <w:pStyle w:val="Instructionaltext"/>
        <w:spacing w:before="40" w:after="40"/>
        <w:rPr>
          <w:rFonts w:ascii="Arial Narrow" w:hAnsi="Arial Narrow"/>
          <w:color w:val="000000" w:themeColor="text1"/>
          <w:sz w:val="18"/>
          <w:szCs w:val="18"/>
        </w:rPr>
      </w:pPr>
      <w:r w:rsidRPr="00DF3EEF">
        <w:rPr>
          <w:rFonts w:ascii="Arial Narrow" w:hAnsi="Arial Narrow"/>
          <w:color w:val="000000" w:themeColor="text1"/>
          <w:sz w:val="18"/>
          <w:szCs w:val="18"/>
        </w:rPr>
        <w:t xml:space="preserve">Source: adapted from </w:t>
      </w:r>
      <w:r w:rsidR="00D6501D">
        <w:rPr>
          <w:rFonts w:ascii="Arial Narrow" w:hAnsi="Arial Narrow"/>
          <w:color w:val="000000" w:themeColor="text1"/>
          <w:sz w:val="18"/>
          <w:szCs w:val="18"/>
        </w:rPr>
        <w:t>F</w:t>
      </w:r>
      <w:r w:rsidRPr="00DF3EEF">
        <w:rPr>
          <w:rFonts w:ascii="Arial Narrow" w:hAnsi="Arial Narrow"/>
          <w:color w:val="000000" w:themeColor="text1"/>
          <w:sz w:val="18"/>
          <w:szCs w:val="18"/>
        </w:rPr>
        <w:t>igure 8, p24 of the application.</w:t>
      </w:r>
    </w:p>
    <w:p w14:paraId="23DF7BDE" w14:textId="1992358C" w:rsidR="00186FB5" w:rsidRPr="00522EDD" w:rsidRDefault="003A3F9B" w:rsidP="00DF3EEF">
      <w:pPr>
        <w:pStyle w:val="Instructionaltext"/>
        <w:spacing w:before="40" w:after="40"/>
        <w:rPr>
          <w:color w:val="000000" w:themeColor="text1"/>
          <w:sz w:val="18"/>
          <w:szCs w:val="18"/>
        </w:rPr>
        <w:sectPr w:rsidR="00186FB5" w:rsidRPr="00522EDD" w:rsidSect="00B32BAB">
          <w:pgSz w:w="16838" w:h="11906" w:orient="landscape"/>
          <w:pgMar w:top="1134" w:right="1021" w:bottom="1191" w:left="682" w:header="709" w:footer="709" w:gutter="0"/>
          <w:cols w:space="708"/>
          <w:docGrid w:linePitch="360"/>
        </w:sectPr>
      </w:pPr>
      <w:r w:rsidRPr="00DF3EEF">
        <w:rPr>
          <w:rFonts w:ascii="Arial Narrow" w:hAnsi="Arial Narrow"/>
          <w:color w:val="000000" w:themeColor="text1"/>
          <w:sz w:val="18"/>
          <w:szCs w:val="18"/>
        </w:rPr>
        <w:t>Bd = bortezomib and dexamethasone; BLd = bortezomib, lenalidomide and dexamethasone; Cd = carfilzomib and dexamethasone; DBd = daratumumab, bortezomib and dexamethasone; IMiDs = immunomodulator drugs; Ld = lenalidomide and dexamethasone; MM = multiple myeloma; Pd = pomalidomide and dexamethasone</w:t>
      </w:r>
      <w:r w:rsidR="00DF3EEF">
        <w:rPr>
          <w:rFonts w:ascii="Arial Narrow" w:hAnsi="Arial Narrow"/>
          <w:color w:val="000000" w:themeColor="text1"/>
          <w:sz w:val="18"/>
          <w:szCs w:val="18"/>
        </w:rPr>
        <w:t>; Td = thalidomide</w:t>
      </w:r>
      <w:r w:rsidRPr="00DF3EEF">
        <w:rPr>
          <w:rFonts w:ascii="Arial Narrow" w:hAnsi="Arial Narrow"/>
          <w:color w:val="000000" w:themeColor="text1"/>
          <w:sz w:val="18"/>
          <w:szCs w:val="18"/>
        </w:rPr>
        <w:t>.</w:t>
      </w:r>
    </w:p>
    <w:p w14:paraId="0E36F2FC" w14:textId="5FBAFF42" w:rsidR="003A3F9B" w:rsidRDefault="003A3F9B" w:rsidP="003A3F9B">
      <w:pPr>
        <w:pStyle w:val="Instructionaltext"/>
        <w:jc w:val="center"/>
        <w:rPr>
          <w:color w:val="000000" w:themeColor="text1"/>
          <w:sz w:val="16"/>
          <w:szCs w:val="16"/>
        </w:rPr>
      </w:pPr>
    </w:p>
    <w:p w14:paraId="086D4B97" w14:textId="77777777" w:rsidR="0010124C" w:rsidRDefault="0010124C" w:rsidP="0010124C">
      <w:r w:rsidRPr="00053614">
        <w:fldChar w:fldCharType="begin"/>
      </w:r>
      <w:r w:rsidRPr="00053614">
        <w:instrText xml:space="preserve"> REF _Ref86501094 \h  \* MERGEFORMAT </w:instrText>
      </w:r>
      <w:r w:rsidRPr="00053614">
        <w:fldChar w:fldCharType="separate"/>
      </w:r>
      <w:r w:rsidRPr="00DF3EEF">
        <w:rPr>
          <w:szCs w:val="20"/>
        </w:rPr>
        <w:t xml:space="preserve">Table </w:t>
      </w:r>
      <w:r w:rsidRPr="00DF3EEF">
        <w:rPr>
          <w:noProof/>
          <w:szCs w:val="20"/>
        </w:rPr>
        <w:t>4</w:t>
      </w:r>
      <w:r w:rsidRPr="00053614">
        <w:fldChar w:fldCharType="end"/>
      </w:r>
      <w:r>
        <w:t xml:space="preserve"> in the attachment presents a comparison of the algorithm and the PBS restrictions for the described therapies. </w:t>
      </w:r>
      <w:r w:rsidRPr="004C7984">
        <w:t>Overall, the application’s current algorithm is consistent with the PBS restrictions for the included therapies.</w:t>
      </w:r>
    </w:p>
    <w:p w14:paraId="2BDE22B9" w14:textId="77777777" w:rsidR="00D73332" w:rsidRDefault="00D73332" w:rsidP="00713728">
      <w:pPr>
        <w:pStyle w:val="Heading2"/>
        <w:rPr>
          <w:b/>
          <w:bCs/>
          <w:i/>
        </w:rPr>
      </w:pPr>
      <w:r w:rsidRPr="00490FBB">
        <w:t>Proposed economic evaluation</w:t>
      </w:r>
    </w:p>
    <w:p w14:paraId="45C429F2" w14:textId="77777777" w:rsidR="004C7984" w:rsidRPr="004C7984" w:rsidRDefault="005C30B4" w:rsidP="004C7984">
      <w:pPr>
        <w:autoSpaceDE w:val="0"/>
        <w:autoSpaceDN w:val="0"/>
        <w:adjustRightInd w:val="0"/>
        <w:spacing w:line="23" w:lineRule="atLeast"/>
        <w:rPr>
          <w:rFonts w:asciiTheme="minorHAnsi" w:hAnsiTheme="minorHAnsi" w:cstheme="minorHAnsi"/>
          <w:i/>
          <w:iCs/>
          <w:szCs w:val="24"/>
        </w:rPr>
      </w:pPr>
      <w:r w:rsidRPr="005C30B4">
        <w:t>Based on the claim of superior effectiveness, a cost utility analysis is the most appropriate type of economic evaluation.</w:t>
      </w:r>
      <w:r w:rsidR="004C7984">
        <w:t xml:space="preserve"> </w:t>
      </w:r>
      <w:r w:rsidR="004C7984" w:rsidRPr="004C7984">
        <w:rPr>
          <w:rFonts w:asciiTheme="minorHAnsi" w:hAnsiTheme="minorHAnsi" w:cstheme="minorHAnsi"/>
          <w:i/>
          <w:iCs/>
          <w:szCs w:val="24"/>
        </w:rPr>
        <w:t>PASC noted that a claim of comparative safety (superior, non-inferior, inferior) needed to be addressed.</w:t>
      </w:r>
    </w:p>
    <w:p w14:paraId="0158D38E" w14:textId="118A151D" w:rsidR="00A20CF9" w:rsidRPr="005C30B4" w:rsidRDefault="004C7984" w:rsidP="00E73E96">
      <w:r w:rsidRPr="00560D04">
        <w:rPr>
          <w:rFonts w:asciiTheme="minorHAnsi" w:hAnsiTheme="minorHAnsi" w:cstheme="minorHAnsi"/>
          <w:i/>
          <w:iCs/>
          <w:szCs w:val="24"/>
        </w:rPr>
        <w:t xml:space="preserve">PASC agreed that based on a claim of superior effectiveness, a cost utility analysis was the appropriate </w:t>
      </w:r>
      <w:r>
        <w:rPr>
          <w:rFonts w:asciiTheme="minorHAnsi" w:hAnsiTheme="minorHAnsi" w:cstheme="minorHAnsi"/>
          <w:i/>
          <w:iCs/>
          <w:szCs w:val="24"/>
        </w:rPr>
        <w:t>economic evaluation.</w:t>
      </w:r>
    </w:p>
    <w:p w14:paraId="4B072F37" w14:textId="33EC8F00" w:rsidR="002F3E40" w:rsidRPr="005C30B4" w:rsidRDefault="00A20CF9" w:rsidP="00E73E96">
      <w:r w:rsidRPr="005C30B4">
        <w:fldChar w:fldCharType="begin"/>
      </w:r>
      <w:r w:rsidRPr="005C30B4">
        <w:instrText xml:space="preserve"> REF _Ref54260209 \h </w:instrText>
      </w:r>
      <w:r w:rsidR="005C30B4">
        <w:instrText xml:space="preserve"> \* MERGEFORMAT </w:instrText>
      </w:r>
      <w:r w:rsidRPr="005C30B4">
        <w:fldChar w:fldCharType="separate"/>
      </w:r>
      <w:r w:rsidR="00522EDD" w:rsidRPr="00490FBB">
        <w:t>Table</w:t>
      </w:r>
      <w:r w:rsidR="00522EDD">
        <w:t> 3</w:t>
      </w:r>
      <w:r w:rsidRPr="005C30B4">
        <w:fldChar w:fldCharType="end"/>
      </w:r>
      <w:r w:rsidR="00686EED" w:rsidRPr="005C30B4">
        <w:t xml:space="preserve"> provides a guide for determining which type of economic evaluation is appropriate.</w:t>
      </w:r>
    </w:p>
    <w:p w14:paraId="6DAB2DBD" w14:textId="2478FB20" w:rsidR="000939E0" w:rsidRPr="00490FBB" w:rsidRDefault="000939E0" w:rsidP="00C40CC4">
      <w:pPr>
        <w:pStyle w:val="Caption"/>
      </w:pPr>
      <w:bookmarkStart w:id="8" w:name="_Ref54260209"/>
      <w:bookmarkStart w:id="9" w:name="_Toc423450289"/>
      <w:r w:rsidRPr="00490FBB">
        <w:t>Table</w:t>
      </w:r>
      <w:r w:rsidR="00DE762F">
        <w:t> </w:t>
      </w:r>
      <w:r w:rsidRPr="00490FBB">
        <w:fldChar w:fldCharType="begin"/>
      </w:r>
      <w:r w:rsidRPr="00490FBB">
        <w:instrText xml:space="preserve"> SEQ Table \* ARABIC </w:instrText>
      </w:r>
      <w:r w:rsidRPr="00490FBB">
        <w:fldChar w:fldCharType="separate"/>
      </w:r>
      <w:r w:rsidR="00522EDD">
        <w:rPr>
          <w:noProof/>
        </w:rPr>
        <w:t>3</w:t>
      </w:r>
      <w:r w:rsidRPr="00490FBB">
        <w:fldChar w:fldCharType="end"/>
      </w:r>
      <w:bookmarkEnd w:id="8"/>
      <w:r w:rsidR="001A5D2F">
        <w:tab/>
        <w:t>Classification of</w:t>
      </w:r>
      <w:r w:rsidRPr="00490FBB">
        <w:t xml:space="preserve"> comparative effectiveness and safety of the proposed intervention</w:t>
      </w:r>
      <w:r w:rsidR="001A5D2F">
        <w:t>,</w:t>
      </w:r>
      <w:r w:rsidRPr="00490FBB">
        <w:t xml:space="preserve"> compared with its main comparator</w:t>
      </w:r>
      <w:r w:rsidR="001A5D2F">
        <w:t>,</w:t>
      </w:r>
      <w:r w:rsidRPr="00490FBB">
        <w:t xml:space="preserve"> and guide to the suitable type of economic evaluation</w:t>
      </w:r>
      <w:bookmarkEnd w:id="9"/>
    </w:p>
    <w:tbl>
      <w:tblPr>
        <w:tblW w:w="4872" w:type="pct"/>
        <w:tblInd w:w="115" w:type="dxa"/>
        <w:tblLayout w:type="fixed"/>
        <w:tblCellMar>
          <w:left w:w="115" w:type="dxa"/>
          <w:right w:w="115" w:type="dxa"/>
        </w:tblCellMar>
        <w:tblLook w:val="01E0" w:firstRow="1" w:lastRow="1" w:firstColumn="1" w:lastColumn="1" w:noHBand="0" w:noVBand="0"/>
      </w:tblPr>
      <w:tblGrid>
        <w:gridCol w:w="2012"/>
        <w:gridCol w:w="1905"/>
        <w:gridCol w:w="2227"/>
        <w:gridCol w:w="1748"/>
        <w:gridCol w:w="1434"/>
      </w:tblGrid>
      <w:tr w:rsidR="00686EED" w:rsidRPr="00490FBB" w14:paraId="5238F44C" w14:textId="77777777" w:rsidTr="00686EED">
        <w:trPr>
          <w:cantSplit/>
          <w:tblHeader/>
        </w:trPr>
        <w:tc>
          <w:tcPr>
            <w:tcW w:w="2012" w:type="dxa"/>
            <w:vMerge w:val="restart"/>
            <w:tcBorders>
              <w:top w:val="single" w:sz="4" w:space="0" w:color="auto"/>
              <w:left w:val="single" w:sz="4" w:space="0" w:color="auto"/>
              <w:right w:val="single" w:sz="4" w:space="0" w:color="auto"/>
            </w:tcBorders>
          </w:tcPr>
          <w:p w14:paraId="5B06A6EA" w14:textId="730AFFCD" w:rsidR="00686EED" w:rsidRPr="00490FBB" w:rsidRDefault="00686EED" w:rsidP="00C40CC4">
            <w:pPr>
              <w:pStyle w:val="TableHeading"/>
            </w:pPr>
            <w:bookmarkStart w:id="10" w:name="Title_Table2" w:colFirst="0" w:colLast="0"/>
            <w:r w:rsidRPr="00490FBB">
              <w:t>Comparative safety</w:t>
            </w:r>
            <w:r w:rsidRPr="00490FBB">
              <w:rPr>
                <w:color w:val="FFFFFF" w:themeColor="background1"/>
              </w:rPr>
              <w:t>-</w:t>
            </w:r>
          </w:p>
        </w:tc>
        <w:tc>
          <w:tcPr>
            <w:tcW w:w="1905" w:type="dxa"/>
            <w:tcBorders>
              <w:top w:val="single" w:sz="4" w:space="0" w:color="auto"/>
              <w:left w:val="single" w:sz="4" w:space="0" w:color="auto"/>
              <w:bottom w:val="single" w:sz="4" w:space="0" w:color="auto"/>
              <w:right w:val="nil"/>
            </w:tcBorders>
          </w:tcPr>
          <w:p w14:paraId="293E5792" w14:textId="77777777" w:rsidR="00686EED" w:rsidRPr="00490FBB" w:rsidRDefault="00686EED" w:rsidP="00C40CC4">
            <w:pPr>
              <w:pStyle w:val="TableHeading"/>
              <w:jc w:val="center"/>
            </w:pPr>
          </w:p>
        </w:tc>
        <w:tc>
          <w:tcPr>
            <w:tcW w:w="2227" w:type="dxa"/>
            <w:tcBorders>
              <w:top w:val="single" w:sz="4" w:space="0" w:color="auto"/>
              <w:left w:val="nil"/>
              <w:bottom w:val="single" w:sz="4" w:space="0" w:color="auto"/>
            </w:tcBorders>
          </w:tcPr>
          <w:p w14:paraId="57B2397B" w14:textId="77777777" w:rsidR="00686EED" w:rsidRPr="00490FBB" w:rsidRDefault="00686EED" w:rsidP="00C40CC4">
            <w:pPr>
              <w:pStyle w:val="TableHeading"/>
              <w:ind w:left="-75" w:right="-127"/>
              <w:jc w:val="center"/>
            </w:pPr>
            <w:r w:rsidRPr="00490FBB">
              <w:t>Comparative effectiveness</w:t>
            </w:r>
          </w:p>
        </w:tc>
        <w:tc>
          <w:tcPr>
            <w:tcW w:w="1748" w:type="dxa"/>
            <w:tcBorders>
              <w:top w:val="single" w:sz="4" w:space="0" w:color="auto"/>
              <w:left w:val="nil"/>
              <w:bottom w:val="single" w:sz="4" w:space="0" w:color="auto"/>
            </w:tcBorders>
          </w:tcPr>
          <w:p w14:paraId="6B53FB6C" w14:textId="77777777" w:rsidR="00686EED" w:rsidRPr="00490FBB" w:rsidRDefault="00686EED" w:rsidP="00C40CC4">
            <w:pPr>
              <w:pStyle w:val="TableHeading"/>
              <w:jc w:val="center"/>
            </w:pPr>
          </w:p>
        </w:tc>
        <w:tc>
          <w:tcPr>
            <w:tcW w:w="1434" w:type="dxa"/>
            <w:tcBorders>
              <w:top w:val="single" w:sz="4" w:space="0" w:color="auto"/>
              <w:left w:val="nil"/>
              <w:bottom w:val="single" w:sz="4" w:space="0" w:color="auto"/>
              <w:right w:val="single" w:sz="4" w:space="0" w:color="auto"/>
            </w:tcBorders>
          </w:tcPr>
          <w:p w14:paraId="0FE152FA" w14:textId="77777777" w:rsidR="00686EED" w:rsidRPr="00490FBB" w:rsidRDefault="00686EED" w:rsidP="00C40CC4">
            <w:pPr>
              <w:pStyle w:val="TableHeading"/>
              <w:jc w:val="center"/>
            </w:pPr>
          </w:p>
        </w:tc>
      </w:tr>
      <w:bookmarkEnd w:id="10"/>
      <w:tr w:rsidR="00686EED" w:rsidRPr="00490FBB" w14:paraId="78A8F3F1" w14:textId="77777777" w:rsidTr="00686EED">
        <w:trPr>
          <w:cantSplit/>
          <w:tblHeader/>
        </w:trPr>
        <w:tc>
          <w:tcPr>
            <w:tcW w:w="2012" w:type="dxa"/>
            <w:vMerge/>
            <w:tcBorders>
              <w:left w:val="single" w:sz="4" w:space="0" w:color="auto"/>
              <w:bottom w:val="single" w:sz="4" w:space="0" w:color="auto"/>
              <w:right w:val="single" w:sz="4" w:space="0" w:color="auto"/>
            </w:tcBorders>
          </w:tcPr>
          <w:p w14:paraId="6E00D947" w14:textId="57BEC7DE" w:rsidR="00686EED" w:rsidRPr="00490FBB" w:rsidRDefault="00686EED" w:rsidP="00C40CC4">
            <w:pPr>
              <w:pStyle w:val="TableHeading"/>
            </w:pPr>
          </w:p>
        </w:tc>
        <w:tc>
          <w:tcPr>
            <w:tcW w:w="1905" w:type="dxa"/>
            <w:tcBorders>
              <w:left w:val="single" w:sz="4" w:space="0" w:color="auto"/>
              <w:bottom w:val="single" w:sz="4" w:space="0" w:color="auto"/>
              <w:right w:val="single" w:sz="4" w:space="0" w:color="auto"/>
            </w:tcBorders>
          </w:tcPr>
          <w:p w14:paraId="319C788C" w14:textId="77777777" w:rsidR="00686EED" w:rsidRPr="00490FBB" w:rsidRDefault="00686EED" w:rsidP="00C40CC4">
            <w:pPr>
              <w:pStyle w:val="TableHeading"/>
              <w:jc w:val="center"/>
            </w:pPr>
            <w:r w:rsidRPr="00490FBB">
              <w:t>Inferior</w:t>
            </w:r>
          </w:p>
        </w:tc>
        <w:tc>
          <w:tcPr>
            <w:tcW w:w="2227" w:type="dxa"/>
            <w:tcBorders>
              <w:top w:val="single" w:sz="4" w:space="0" w:color="auto"/>
              <w:left w:val="single" w:sz="4" w:space="0" w:color="auto"/>
              <w:bottom w:val="single" w:sz="4" w:space="0" w:color="auto"/>
              <w:right w:val="single" w:sz="4" w:space="0" w:color="auto"/>
            </w:tcBorders>
          </w:tcPr>
          <w:p w14:paraId="5AC96128" w14:textId="77777777" w:rsidR="00686EED" w:rsidRPr="00490FBB" w:rsidRDefault="00686EED" w:rsidP="00C40CC4">
            <w:pPr>
              <w:pStyle w:val="TableHeading"/>
              <w:jc w:val="center"/>
            </w:pPr>
            <w:r w:rsidRPr="00490FBB">
              <w:t>Uncertain</w:t>
            </w:r>
            <w:r w:rsidRPr="00490FBB">
              <w:rPr>
                <w:vertAlign w:val="superscript"/>
              </w:rPr>
              <w:t>a</w:t>
            </w:r>
          </w:p>
        </w:tc>
        <w:tc>
          <w:tcPr>
            <w:tcW w:w="1748" w:type="dxa"/>
            <w:tcBorders>
              <w:top w:val="single" w:sz="4" w:space="0" w:color="auto"/>
              <w:left w:val="single" w:sz="4" w:space="0" w:color="auto"/>
              <w:bottom w:val="single" w:sz="4" w:space="0" w:color="auto"/>
              <w:right w:val="single" w:sz="4" w:space="0" w:color="auto"/>
            </w:tcBorders>
          </w:tcPr>
          <w:p w14:paraId="7AA1349D" w14:textId="4BA1ADFE" w:rsidR="00686EED" w:rsidRPr="00490FBB" w:rsidRDefault="00686EED" w:rsidP="00C40CC4">
            <w:pPr>
              <w:pStyle w:val="TableHeading"/>
              <w:jc w:val="center"/>
            </w:pPr>
            <w:r w:rsidRPr="00490FBB">
              <w:t>Noninferior</w:t>
            </w:r>
            <w:r w:rsidRPr="00490FBB">
              <w:rPr>
                <w:vertAlign w:val="superscript"/>
              </w:rPr>
              <w:t>b</w:t>
            </w:r>
          </w:p>
        </w:tc>
        <w:tc>
          <w:tcPr>
            <w:tcW w:w="1434" w:type="dxa"/>
            <w:tcBorders>
              <w:top w:val="single" w:sz="4" w:space="0" w:color="auto"/>
              <w:left w:val="single" w:sz="4" w:space="0" w:color="auto"/>
              <w:bottom w:val="single" w:sz="4" w:space="0" w:color="auto"/>
              <w:right w:val="single" w:sz="4" w:space="0" w:color="auto"/>
            </w:tcBorders>
          </w:tcPr>
          <w:p w14:paraId="156C5942" w14:textId="77777777" w:rsidR="00686EED" w:rsidRPr="00490FBB" w:rsidRDefault="00686EED" w:rsidP="00C40CC4">
            <w:pPr>
              <w:pStyle w:val="TableHeading"/>
              <w:jc w:val="center"/>
            </w:pPr>
            <w:r w:rsidRPr="00490FBB">
              <w:t>Superior</w:t>
            </w:r>
          </w:p>
        </w:tc>
      </w:tr>
      <w:tr w:rsidR="000939E0" w:rsidRPr="00490FBB" w14:paraId="1E111DC3"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04A362E2" w14:textId="77777777" w:rsidR="000939E0" w:rsidRPr="00490FBB" w:rsidRDefault="000939E0" w:rsidP="00C40CC4">
            <w:pPr>
              <w:pStyle w:val="Tabletext"/>
              <w:keepNext/>
            </w:pPr>
            <w:r w:rsidRPr="00490FBB">
              <w:t>Inferior</w:t>
            </w:r>
          </w:p>
        </w:tc>
        <w:tc>
          <w:tcPr>
            <w:tcW w:w="1905" w:type="dxa"/>
            <w:tcBorders>
              <w:top w:val="single" w:sz="4" w:space="0" w:color="auto"/>
              <w:left w:val="single" w:sz="4" w:space="0" w:color="auto"/>
              <w:bottom w:val="single" w:sz="4" w:space="0" w:color="auto"/>
              <w:right w:val="single" w:sz="4" w:space="0" w:color="auto"/>
            </w:tcBorders>
            <w:vAlign w:val="center"/>
          </w:tcPr>
          <w:p w14:paraId="0B15352C" w14:textId="77777777" w:rsidR="000939E0" w:rsidRPr="00490FBB" w:rsidRDefault="000939E0" w:rsidP="00C40CC4">
            <w:pPr>
              <w:pStyle w:val="Tabletext"/>
              <w:keepNext/>
            </w:pPr>
            <w:r w:rsidRPr="00490FBB">
              <w:t>Health forgone: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47A58DE2" w14:textId="77777777" w:rsidR="000939E0" w:rsidRPr="00490FBB" w:rsidRDefault="000939E0" w:rsidP="00C40CC4">
            <w:pPr>
              <w:pStyle w:val="Tabletext"/>
              <w:keepNext/>
            </w:pPr>
            <w:r w:rsidRPr="00490FBB">
              <w:t>Health forgone possible: need other supportive factors</w:t>
            </w:r>
          </w:p>
        </w:tc>
        <w:tc>
          <w:tcPr>
            <w:tcW w:w="1748" w:type="dxa"/>
            <w:tcBorders>
              <w:top w:val="single" w:sz="4" w:space="0" w:color="auto"/>
              <w:left w:val="single" w:sz="4" w:space="0" w:color="auto"/>
              <w:bottom w:val="single" w:sz="4" w:space="0" w:color="auto"/>
              <w:right w:val="single" w:sz="4" w:space="0" w:color="auto"/>
            </w:tcBorders>
            <w:vAlign w:val="center"/>
          </w:tcPr>
          <w:p w14:paraId="3540FA15" w14:textId="77777777" w:rsidR="000939E0" w:rsidRPr="00490FBB" w:rsidRDefault="000939E0" w:rsidP="00C40CC4">
            <w:pPr>
              <w:pStyle w:val="Tabletext"/>
              <w:keepNext/>
            </w:pPr>
            <w:r w:rsidRPr="00490FBB">
              <w:t>Health forgone: need other supportive factors</w:t>
            </w:r>
          </w:p>
        </w:tc>
        <w:tc>
          <w:tcPr>
            <w:tcW w:w="1434" w:type="dxa"/>
            <w:tcBorders>
              <w:top w:val="single" w:sz="4" w:space="0" w:color="auto"/>
              <w:left w:val="single" w:sz="4" w:space="0" w:color="auto"/>
              <w:bottom w:val="single" w:sz="4" w:space="0" w:color="auto"/>
              <w:right w:val="single" w:sz="4" w:space="0" w:color="auto"/>
            </w:tcBorders>
            <w:vAlign w:val="center"/>
          </w:tcPr>
          <w:p w14:paraId="18C6CF73" w14:textId="77777777" w:rsidR="000939E0" w:rsidRPr="00490FBB" w:rsidRDefault="000939E0" w:rsidP="00C40CC4">
            <w:pPr>
              <w:pStyle w:val="Tabletext"/>
              <w:keepNext/>
            </w:pPr>
            <w:r w:rsidRPr="00490FBB">
              <w:t>? Likely CUA</w:t>
            </w:r>
          </w:p>
        </w:tc>
      </w:tr>
      <w:tr w:rsidR="000939E0" w:rsidRPr="00490FBB" w14:paraId="463C2753"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11AF710C" w14:textId="77777777" w:rsidR="000939E0" w:rsidRPr="00490FBB" w:rsidRDefault="000939E0" w:rsidP="00C40CC4">
            <w:pPr>
              <w:pStyle w:val="Tabletext"/>
              <w:keepNext/>
            </w:pPr>
            <w:r w:rsidRPr="00490FBB">
              <w:t>Uncertain</w:t>
            </w:r>
            <w:r w:rsidRPr="00490FBB">
              <w:rPr>
                <w:vertAlign w:val="superscript"/>
              </w:rPr>
              <w:t>a</w:t>
            </w:r>
          </w:p>
        </w:tc>
        <w:tc>
          <w:tcPr>
            <w:tcW w:w="1905" w:type="dxa"/>
            <w:tcBorders>
              <w:top w:val="single" w:sz="4" w:space="0" w:color="auto"/>
              <w:left w:val="single" w:sz="4" w:space="0" w:color="auto"/>
              <w:bottom w:val="single" w:sz="4" w:space="0" w:color="auto"/>
              <w:right w:val="single" w:sz="4" w:space="0" w:color="auto"/>
            </w:tcBorders>
            <w:vAlign w:val="center"/>
          </w:tcPr>
          <w:p w14:paraId="12909D79" w14:textId="77777777" w:rsidR="000939E0" w:rsidRPr="00490FBB" w:rsidRDefault="000939E0" w:rsidP="00C40CC4">
            <w:pPr>
              <w:pStyle w:val="Tabletext"/>
              <w:keepNext/>
            </w:pPr>
            <w:r w:rsidRPr="00490FBB">
              <w:t>Health forgone possible: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50F5E2B4" w14:textId="77777777" w:rsidR="000939E0" w:rsidRPr="00490FBB" w:rsidRDefault="000939E0" w:rsidP="00C40CC4">
            <w:pPr>
              <w:pStyle w:val="Tabletext"/>
              <w:keepNext/>
            </w:pPr>
            <w:r w:rsidRPr="00490FBB">
              <w:t>?</w:t>
            </w:r>
          </w:p>
        </w:tc>
        <w:tc>
          <w:tcPr>
            <w:tcW w:w="1748" w:type="dxa"/>
            <w:tcBorders>
              <w:top w:val="single" w:sz="4" w:space="0" w:color="auto"/>
              <w:left w:val="single" w:sz="4" w:space="0" w:color="auto"/>
              <w:bottom w:val="single" w:sz="4" w:space="0" w:color="auto"/>
              <w:right w:val="single" w:sz="4" w:space="0" w:color="auto"/>
            </w:tcBorders>
            <w:vAlign w:val="center"/>
          </w:tcPr>
          <w:p w14:paraId="0406F2A1" w14:textId="77777777" w:rsidR="000939E0" w:rsidRPr="00490FBB" w:rsidRDefault="000939E0" w:rsidP="00C40CC4">
            <w:pPr>
              <w:pStyle w:val="Tabletext"/>
              <w:keepNext/>
            </w:pPr>
            <w:r w:rsidRPr="00490FBB">
              <w:t>?</w:t>
            </w:r>
          </w:p>
        </w:tc>
        <w:tc>
          <w:tcPr>
            <w:tcW w:w="1434" w:type="dxa"/>
            <w:tcBorders>
              <w:top w:val="single" w:sz="4" w:space="0" w:color="auto"/>
              <w:left w:val="single" w:sz="4" w:space="0" w:color="auto"/>
              <w:bottom w:val="single" w:sz="4" w:space="0" w:color="auto"/>
              <w:right w:val="single" w:sz="4" w:space="0" w:color="auto"/>
            </w:tcBorders>
            <w:vAlign w:val="center"/>
          </w:tcPr>
          <w:p w14:paraId="1996B8CC" w14:textId="77777777" w:rsidR="000939E0" w:rsidRPr="00490FBB" w:rsidRDefault="000939E0" w:rsidP="00C40CC4">
            <w:pPr>
              <w:pStyle w:val="Tabletext"/>
              <w:keepNext/>
            </w:pPr>
            <w:r w:rsidRPr="00490FBB">
              <w:t>? Likely CEA/CUA</w:t>
            </w:r>
          </w:p>
        </w:tc>
      </w:tr>
      <w:tr w:rsidR="000939E0" w:rsidRPr="00490FBB" w14:paraId="47335FF9"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0CBD845B" w14:textId="149CC18B" w:rsidR="000939E0" w:rsidRPr="00490FBB" w:rsidRDefault="000939E0" w:rsidP="00C40CC4">
            <w:pPr>
              <w:pStyle w:val="Tabletext"/>
              <w:keepNext/>
            </w:pPr>
            <w:r w:rsidRPr="00490FBB">
              <w:t>Noninferior</w:t>
            </w:r>
            <w:r w:rsidRPr="00490FBB">
              <w:rPr>
                <w:vertAlign w:val="superscript"/>
              </w:rPr>
              <w:t>b</w:t>
            </w:r>
          </w:p>
        </w:tc>
        <w:tc>
          <w:tcPr>
            <w:tcW w:w="1905" w:type="dxa"/>
            <w:tcBorders>
              <w:top w:val="single" w:sz="4" w:space="0" w:color="auto"/>
              <w:left w:val="single" w:sz="4" w:space="0" w:color="auto"/>
              <w:bottom w:val="single" w:sz="4" w:space="0" w:color="auto"/>
              <w:right w:val="single" w:sz="4" w:space="0" w:color="auto"/>
            </w:tcBorders>
            <w:vAlign w:val="center"/>
          </w:tcPr>
          <w:p w14:paraId="5D8B4B6F" w14:textId="77777777" w:rsidR="000939E0" w:rsidRPr="00490FBB" w:rsidRDefault="000939E0" w:rsidP="00C40CC4">
            <w:pPr>
              <w:pStyle w:val="Tabletext"/>
              <w:keepNext/>
            </w:pPr>
            <w:r w:rsidRPr="00490FBB">
              <w:t>Health forgone: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43D9B9E4" w14:textId="77777777" w:rsidR="000939E0" w:rsidRPr="00490FBB" w:rsidRDefault="000939E0" w:rsidP="00C40CC4">
            <w:pPr>
              <w:pStyle w:val="Tabletext"/>
              <w:keepNext/>
            </w:pPr>
            <w:r w:rsidRPr="00490FBB">
              <w:t>?</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12BD2E22" w14:textId="77777777" w:rsidR="000939E0" w:rsidRPr="00490FBB" w:rsidRDefault="000939E0" w:rsidP="00C40CC4">
            <w:pPr>
              <w:pStyle w:val="Tabletext"/>
              <w:keepNext/>
            </w:pPr>
            <w:r w:rsidRPr="00490FBB">
              <w:t>CMA</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7E9F7AB5" w14:textId="77777777" w:rsidR="000939E0" w:rsidRPr="00490FBB" w:rsidRDefault="000939E0" w:rsidP="00C40CC4">
            <w:pPr>
              <w:pStyle w:val="Tabletext"/>
              <w:keepNext/>
            </w:pPr>
            <w:r w:rsidRPr="00490FBB">
              <w:t>CEA/CUA</w:t>
            </w:r>
          </w:p>
        </w:tc>
      </w:tr>
      <w:tr w:rsidR="000939E0" w:rsidRPr="00490FBB" w14:paraId="41AB5715"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18F5B4CB" w14:textId="77777777" w:rsidR="000939E0" w:rsidRPr="00490FBB" w:rsidRDefault="000939E0" w:rsidP="00C40CC4">
            <w:pPr>
              <w:pStyle w:val="Tabletext"/>
              <w:keepNext/>
            </w:pPr>
            <w:r w:rsidRPr="00490FBB">
              <w:t>Superior</w:t>
            </w:r>
          </w:p>
        </w:tc>
        <w:tc>
          <w:tcPr>
            <w:tcW w:w="1905" w:type="dxa"/>
            <w:tcBorders>
              <w:top w:val="single" w:sz="4" w:space="0" w:color="auto"/>
              <w:left w:val="single" w:sz="4" w:space="0" w:color="auto"/>
              <w:bottom w:val="single" w:sz="4" w:space="0" w:color="auto"/>
              <w:right w:val="single" w:sz="4" w:space="0" w:color="auto"/>
            </w:tcBorders>
            <w:vAlign w:val="center"/>
          </w:tcPr>
          <w:p w14:paraId="2525815A" w14:textId="77777777" w:rsidR="000939E0" w:rsidRPr="00490FBB" w:rsidRDefault="000939E0" w:rsidP="00C40CC4">
            <w:pPr>
              <w:pStyle w:val="Tabletext"/>
              <w:keepNext/>
            </w:pPr>
            <w:r w:rsidRPr="00490FBB">
              <w:t>? Likely CUA</w:t>
            </w:r>
          </w:p>
        </w:tc>
        <w:tc>
          <w:tcPr>
            <w:tcW w:w="2227" w:type="dxa"/>
            <w:tcBorders>
              <w:top w:val="single" w:sz="4" w:space="0" w:color="auto"/>
              <w:left w:val="single" w:sz="4" w:space="0" w:color="auto"/>
              <w:bottom w:val="single" w:sz="4" w:space="0" w:color="auto"/>
              <w:right w:val="single" w:sz="4" w:space="0" w:color="auto"/>
            </w:tcBorders>
            <w:vAlign w:val="center"/>
          </w:tcPr>
          <w:p w14:paraId="2AE0169D" w14:textId="77777777" w:rsidR="000939E0" w:rsidRPr="00490FBB" w:rsidRDefault="000939E0" w:rsidP="00C40CC4">
            <w:pPr>
              <w:pStyle w:val="Tabletext"/>
              <w:keepNext/>
            </w:pPr>
            <w:r w:rsidRPr="00490FBB">
              <w:t>? Likely CEA/CUA</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71D0525C" w14:textId="77777777" w:rsidR="000939E0" w:rsidRPr="00490FBB" w:rsidRDefault="000939E0" w:rsidP="00C40CC4">
            <w:pPr>
              <w:pStyle w:val="Tabletext"/>
              <w:keepNext/>
            </w:pPr>
            <w:r w:rsidRPr="00490FBB">
              <w:t>CEA/CUA</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5FF47EA5" w14:textId="77777777" w:rsidR="000939E0" w:rsidRPr="00490FBB" w:rsidRDefault="000939E0" w:rsidP="00C40CC4">
            <w:pPr>
              <w:pStyle w:val="Tabletext"/>
              <w:keepNext/>
            </w:pPr>
            <w:r w:rsidRPr="00490FBB">
              <w:t>CEA/CUA</w:t>
            </w:r>
          </w:p>
        </w:tc>
      </w:tr>
    </w:tbl>
    <w:p w14:paraId="6538A3FB" w14:textId="77777777" w:rsidR="000939E0" w:rsidRPr="00490FBB" w:rsidRDefault="000939E0" w:rsidP="00E73E96">
      <w:pPr>
        <w:pStyle w:val="Tablenotes"/>
        <w:keepNext/>
        <w:spacing w:after="0"/>
        <w:rPr>
          <w:szCs w:val="18"/>
        </w:rPr>
      </w:pPr>
      <w:r w:rsidRPr="00490FBB">
        <w:rPr>
          <w:szCs w:val="18"/>
        </w:rPr>
        <w:t>CEA=cost-effectiveness analysis; CMA=cost-minimisation analysis; CUA=cost-utility analysis</w:t>
      </w:r>
    </w:p>
    <w:p w14:paraId="48F7CED7" w14:textId="77777777" w:rsidR="000939E0" w:rsidRPr="00490FBB" w:rsidRDefault="000939E0" w:rsidP="00E73E96">
      <w:pPr>
        <w:pStyle w:val="Tablenotes"/>
        <w:keepNext/>
        <w:spacing w:after="0"/>
        <w:rPr>
          <w:b/>
          <w:szCs w:val="18"/>
        </w:rPr>
      </w:pPr>
      <w:r w:rsidRPr="00490FBB">
        <w:rPr>
          <w:szCs w:val="18"/>
        </w:rPr>
        <w:t xml:space="preserve">? = reflect uncertainties and any identified health trade-offs in the economic evaluation, as a minimum in a cost-consequences analysis </w:t>
      </w:r>
    </w:p>
    <w:p w14:paraId="65C6F534" w14:textId="3D351D69" w:rsidR="000939E0" w:rsidRPr="00490FBB" w:rsidRDefault="000939E0" w:rsidP="00E73E96">
      <w:pPr>
        <w:pStyle w:val="Tablenotes"/>
        <w:keepNext/>
        <w:tabs>
          <w:tab w:val="left" w:pos="284"/>
        </w:tabs>
        <w:spacing w:after="0"/>
        <w:ind w:left="284" w:hanging="284"/>
        <w:rPr>
          <w:b/>
          <w:szCs w:val="18"/>
        </w:rPr>
      </w:pPr>
      <w:r w:rsidRPr="00490FBB">
        <w:rPr>
          <w:szCs w:val="18"/>
          <w:vertAlign w:val="superscript"/>
        </w:rPr>
        <w:t>a</w:t>
      </w:r>
      <w:r w:rsidRPr="00490FBB">
        <w:rPr>
          <w:szCs w:val="18"/>
        </w:rPr>
        <w:t> </w:t>
      </w:r>
      <w:r w:rsidR="00D6501D">
        <w:rPr>
          <w:szCs w:val="18"/>
        </w:rPr>
        <w:tab/>
      </w:r>
      <w:r w:rsidRPr="00490FBB">
        <w:rPr>
          <w:szCs w:val="18"/>
        </w:rPr>
        <w:t>‘Uncertainty’ covers concepts such as inadequate minimisation of important sources of bias, lack of statistical significance in an underpowered trial, detecting clinically unimportant therapeutic differences, inconsistent results across trials, and trade-offs within the comparative effectiveness and/or the comparative safety considerations</w:t>
      </w:r>
    </w:p>
    <w:p w14:paraId="047E4738" w14:textId="152952A7" w:rsidR="00D73332" w:rsidRPr="008B0032" w:rsidRDefault="000939E0" w:rsidP="008B0032">
      <w:pPr>
        <w:pStyle w:val="Tablenotes"/>
        <w:keepNext/>
        <w:tabs>
          <w:tab w:val="left" w:pos="284"/>
        </w:tabs>
        <w:spacing w:after="240"/>
        <w:ind w:left="284" w:hanging="284"/>
        <w:rPr>
          <w:szCs w:val="18"/>
        </w:rPr>
      </w:pPr>
      <w:r w:rsidRPr="008B0032">
        <w:rPr>
          <w:szCs w:val="18"/>
          <w:vertAlign w:val="superscript"/>
        </w:rPr>
        <w:t>b</w:t>
      </w:r>
      <w:r w:rsidRPr="00490FBB">
        <w:rPr>
          <w:szCs w:val="18"/>
        </w:rPr>
        <w:t> </w:t>
      </w:r>
      <w:r w:rsidR="00D6501D">
        <w:rPr>
          <w:szCs w:val="18"/>
        </w:rPr>
        <w:tab/>
      </w:r>
      <w:r w:rsidRPr="00490FBB">
        <w:rPr>
          <w:szCs w:val="18"/>
        </w:rPr>
        <w:t xml:space="preserve">An adequate assessment of ‘noninferiority’ is the preferred basis for demonstrating </w:t>
      </w:r>
      <w:r w:rsidR="00EC7CE8" w:rsidRPr="00490FBB">
        <w:rPr>
          <w:szCs w:val="18"/>
        </w:rPr>
        <w:t>equivalence</w:t>
      </w:r>
      <w:r w:rsidR="00EC7CE8" w:rsidRPr="008B0032">
        <w:rPr>
          <w:szCs w:val="18"/>
        </w:rPr>
        <w:t xml:space="preserve"> </w:t>
      </w:r>
    </w:p>
    <w:p w14:paraId="2548195E" w14:textId="77777777" w:rsidR="007B3B41" w:rsidRPr="00DE762F" w:rsidRDefault="007B3B41" w:rsidP="007B3B41">
      <w:pPr>
        <w:pStyle w:val="Heading2"/>
      </w:pPr>
      <w:r w:rsidRPr="00DE762F">
        <w:t>Proposal for public funding</w:t>
      </w:r>
    </w:p>
    <w:p w14:paraId="1DA00A79" w14:textId="5B1D5F72" w:rsidR="00B37DC0" w:rsidRPr="002C3E42" w:rsidRDefault="00B37DC0" w:rsidP="00363A02">
      <w:pPr>
        <w:rPr>
          <w:i/>
          <w:iCs/>
        </w:rPr>
      </w:pPr>
      <w:r>
        <w:t xml:space="preserve">The proposed mechanism for public funding is the </w:t>
      </w:r>
      <w:r w:rsidRPr="00B37DC0">
        <w:t>National Health Reform Agreement (NHRA) which includes funding from both the Commonwealth Government (50%) and the governments of the relevant states and territories (50%)</w:t>
      </w:r>
      <w:r>
        <w:t xml:space="preserve">, and which other CAR-T therapies have been funded under. </w:t>
      </w:r>
      <w:r w:rsidR="006445C6" w:rsidRPr="00193F6C">
        <w:t xml:space="preserve">This appears to be based on the </w:t>
      </w:r>
      <w:r w:rsidR="00363A02" w:rsidRPr="00193F6C">
        <w:t xml:space="preserve">Addendum to National Health Reform 2020-2025 </w:t>
      </w:r>
      <w:r w:rsidR="006445C6" w:rsidRPr="00193F6C">
        <w:t>that states (p</w:t>
      </w:r>
      <w:r w:rsidR="00363A02" w:rsidRPr="00193F6C">
        <w:t>57) that “… funding arrangements for new high cost, highly specialised therapies (HSTs), recommended for delivery in a public hospital setting by the Medical Services Advisory Committee, will be determined on the basis of hospital funding contributions specified in Schedule A with the following exceptions for the term of this Addendum: (a) the Commonwealth, for these types of therapies, will provide a contribution of 50 per cent of the growth in the efficient price or cost (including ancillary services), instead of 45 per cent …”</w:t>
      </w:r>
    </w:p>
    <w:p w14:paraId="21960A4F" w14:textId="12EE07FC" w:rsidR="003A3F9B" w:rsidRDefault="003A3F9B" w:rsidP="00E73E96">
      <w:pPr>
        <w:rPr>
          <w:rFonts w:asciiTheme="minorHAnsi" w:hAnsiTheme="minorHAnsi" w:cstheme="minorHAnsi"/>
          <w:i/>
          <w:iCs/>
          <w:szCs w:val="24"/>
        </w:rPr>
      </w:pPr>
      <w:r>
        <w:t>As such, the application considers that an MBS descriptor is not applicable. The application does not specify a fee or an amount to be charged.</w:t>
      </w:r>
      <w:r w:rsidR="004C7984">
        <w:t xml:space="preserve"> </w:t>
      </w:r>
      <w:r w:rsidR="004C7984" w:rsidRPr="004C7984">
        <w:rPr>
          <w:rFonts w:asciiTheme="minorHAnsi" w:hAnsiTheme="minorHAnsi" w:cstheme="minorHAnsi"/>
          <w:i/>
          <w:iCs/>
          <w:szCs w:val="24"/>
        </w:rPr>
        <w:t xml:space="preserve">PASC accepted that an MBS item descriptor was not relevant </w:t>
      </w:r>
      <w:r w:rsidR="004C7984" w:rsidRPr="004C7984">
        <w:rPr>
          <w:rFonts w:asciiTheme="minorHAnsi" w:hAnsiTheme="minorHAnsi" w:cstheme="minorHAnsi"/>
          <w:i/>
          <w:iCs/>
          <w:szCs w:val="24"/>
        </w:rPr>
        <w:lastRenderedPageBreak/>
        <w:t xml:space="preserve">given </w:t>
      </w:r>
      <w:r w:rsidR="004C7984" w:rsidRPr="001C3D32">
        <w:rPr>
          <w:rFonts w:asciiTheme="minorHAnsi" w:hAnsiTheme="minorHAnsi" w:cstheme="minorHAnsi"/>
          <w:i/>
          <w:iCs/>
          <w:szCs w:val="24"/>
        </w:rPr>
        <w:t xml:space="preserve">funding was requested via the National Health Reform Agreement (NHRA). Despite an item descriptor not being relevant, </w:t>
      </w:r>
      <w:r w:rsidR="004C7984" w:rsidRPr="004C7984">
        <w:rPr>
          <w:rFonts w:asciiTheme="minorHAnsi" w:hAnsiTheme="minorHAnsi" w:cstheme="minorHAnsi"/>
          <w:i/>
          <w:iCs/>
          <w:szCs w:val="24"/>
        </w:rPr>
        <w:t>PASC advised that the population needed to be clearly defined in the assessment report</w:t>
      </w:r>
      <w:r w:rsidR="004C7984">
        <w:rPr>
          <w:rFonts w:asciiTheme="minorHAnsi" w:hAnsiTheme="minorHAnsi" w:cstheme="minorHAnsi"/>
          <w:i/>
          <w:iCs/>
          <w:szCs w:val="24"/>
        </w:rPr>
        <w:t>.</w:t>
      </w:r>
    </w:p>
    <w:p w14:paraId="50B51833" w14:textId="0315CE5C" w:rsidR="004C7984" w:rsidRDefault="004C7984" w:rsidP="00E73E96">
      <w:r w:rsidRPr="00560D04">
        <w:rPr>
          <w:rFonts w:asciiTheme="minorHAnsi" w:hAnsiTheme="minorHAnsi" w:cstheme="minorHAnsi"/>
          <w:i/>
          <w:iCs/>
        </w:rPr>
        <w:t xml:space="preserve">PASC </w:t>
      </w:r>
      <w:r>
        <w:rPr>
          <w:rFonts w:asciiTheme="minorHAnsi" w:hAnsiTheme="minorHAnsi" w:cstheme="minorHAnsi"/>
          <w:i/>
          <w:iCs/>
        </w:rPr>
        <w:t xml:space="preserve">also </w:t>
      </w:r>
      <w:r w:rsidRPr="00560D04">
        <w:rPr>
          <w:rFonts w:asciiTheme="minorHAnsi" w:hAnsiTheme="minorHAnsi" w:cstheme="minorHAnsi"/>
          <w:i/>
          <w:iCs/>
        </w:rPr>
        <w:t>advised that a definition of ‘response’</w:t>
      </w:r>
      <w:r>
        <w:rPr>
          <w:rFonts w:asciiTheme="minorHAnsi" w:hAnsiTheme="minorHAnsi" w:cstheme="minorHAnsi"/>
          <w:i/>
          <w:iCs/>
        </w:rPr>
        <w:t>,</w:t>
      </w:r>
      <w:r w:rsidRPr="00560D04">
        <w:rPr>
          <w:rFonts w:asciiTheme="minorHAnsi" w:hAnsiTheme="minorHAnsi" w:cstheme="minorHAnsi"/>
          <w:i/>
          <w:iCs/>
        </w:rPr>
        <w:t xml:space="preserve"> preferably considering a time point, be addressed in the assessment report.</w:t>
      </w:r>
    </w:p>
    <w:p w14:paraId="62338695" w14:textId="0B7C5739" w:rsidR="00D37A3F" w:rsidRPr="00D37A3F" w:rsidRDefault="003F0A39" w:rsidP="007B3B41">
      <w:pPr>
        <w:pStyle w:val="Heading2"/>
      </w:pPr>
      <w:r>
        <w:t>Summary of public consultation</w:t>
      </w:r>
      <w:r w:rsidRPr="00D37A3F">
        <w:t xml:space="preserve"> </w:t>
      </w:r>
      <w:r w:rsidR="00E470B0">
        <w:t>input</w:t>
      </w:r>
    </w:p>
    <w:p w14:paraId="60566DB4" w14:textId="77777777" w:rsidR="0009110C" w:rsidRDefault="0009110C" w:rsidP="001047B9">
      <w:r>
        <w:t>Input was received from the following four (4) organisations and one (1) individual:</w:t>
      </w:r>
    </w:p>
    <w:p w14:paraId="6EBB8015" w14:textId="77777777" w:rsidR="0009110C" w:rsidRDefault="0009110C" w:rsidP="0009110C">
      <w:pPr>
        <w:pStyle w:val="ListParagraph"/>
        <w:numPr>
          <w:ilvl w:val="0"/>
          <w:numId w:val="27"/>
        </w:numPr>
        <w:spacing w:after="160" w:line="259" w:lineRule="auto"/>
      </w:pPr>
      <w:r>
        <w:t>Haematology Society of Australian and New Zealand (HSANZ)</w:t>
      </w:r>
    </w:p>
    <w:p w14:paraId="2A2DA2D6" w14:textId="77777777" w:rsidR="0009110C" w:rsidRDefault="0009110C" w:rsidP="0009110C">
      <w:pPr>
        <w:pStyle w:val="ListParagraph"/>
        <w:numPr>
          <w:ilvl w:val="0"/>
          <w:numId w:val="27"/>
        </w:numPr>
        <w:spacing w:after="160" w:line="259" w:lineRule="auto"/>
      </w:pPr>
      <w:r>
        <w:t>The Leukaemia Foundation</w:t>
      </w:r>
    </w:p>
    <w:p w14:paraId="33CCB34D" w14:textId="77777777" w:rsidR="0009110C" w:rsidRDefault="0009110C" w:rsidP="0009110C">
      <w:pPr>
        <w:pStyle w:val="ListParagraph"/>
        <w:numPr>
          <w:ilvl w:val="0"/>
          <w:numId w:val="27"/>
        </w:numPr>
        <w:spacing w:after="160" w:line="259" w:lineRule="auto"/>
      </w:pPr>
      <w:r>
        <w:t>Myeloma Australia’s Medical and Scientific Advisory Group (MSAG)</w:t>
      </w:r>
    </w:p>
    <w:p w14:paraId="4F07565B" w14:textId="77777777" w:rsidR="0009110C" w:rsidRDefault="0009110C" w:rsidP="0009110C">
      <w:pPr>
        <w:pStyle w:val="ListParagraph"/>
        <w:numPr>
          <w:ilvl w:val="0"/>
          <w:numId w:val="27"/>
        </w:numPr>
        <w:spacing w:after="160" w:line="259" w:lineRule="auto"/>
      </w:pPr>
      <w:r>
        <w:t>Australasian Leukaemia and Lymphoma Group (ALLG)</w:t>
      </w:r>
    </w:p>
    <w:p w14:paraId="6788C28A" w14:textId="77777777" w:rsidR="0009110C" w:rsidRDefault="0009110C" w:rsidP="001047B9">
      <w:r>
        <w:t>The consultation feedback was supportive of the application.</w:t>
      </w:r>
    </w:p>
    <w:p w14:paraId="049C0E0A" w14:textId="77777777" w:rsidR="0009110C" w:rsidRPr="00473E0B" w:rsidRDefault="0009110C" w:rsidP="001047B9">
      <w:r>
        <w:rPr>
          <w:u w:val="single"/>
        </w:rPr>
        <w:t xml:space="preserve">Benefits </w:t>
      </w:r>
    </w:p>
    <w:p w14:paraId="71D34A4E" w14:textId="77777777" w:rsidR="0009110C" w:rsidRDefault="0009110C" w:rsidP="001047B9">
      <w:r>
        <w:t>All respondents agreed that the proposed intervention satisfies an unmet need in the proposed population. Benefits included improved prognosis, potential reduction or deferral of future lines of therapy, longer treatment free periods, domestic expertise and experience with CAR-T therapies and related toxicities, and reduced burden of care.</w:t>
      </w:r>
    </w:p>
    <w:p w14:paraId="51D686C6" w14:textId="77777777" w:rsidR="0009110C" w:rsidRDefault="0009110C" w:rsidP="001047B9">
      <w:pPr>
        <w:rPr>
          <w:u w:val="single"/>
        </w:rPr>
      </w:pPr>
      <w:r>
        <w:rPr>
          <w:u w:val="single"/>
        </w:rPr>
        <w:t>Disadvantages</w:t>
      </w:r>
    </w:p>
    <w:p w14:paraId="2DFD3E43" w14:textId="77777777" w:rsidR="0009110C" w:rsidRDefault="0009110C" w:rsidP="001047B9">
      <w:r>
        <w:t>MSAG, ALLG, the Leukemia Foundation and the individual pointed out the recognised adverse events (AEs) related to CAR-T therapy, specifically ICANS and CRS, however, also noted that these AEs are known with established management protocols.</w:t>
      </w:r>
    </w:p>
    <w:p w14:paraId="674A4C21" w14:textId="77777777" w:rsidR="0009110C" w:rsidRDefault="0009110C" w:rsidP="001047B9">
      <w:r>
        <w:t>All feedback commented on the population, agreeing that the proposed population in alignment with the CARTITUDE -1 trial was appropriate. However, the Leukaemia Foundation stated that limiting cilta-cel to those who have previously undergone CD-38 therapy should be reconsidered to avoid reducing access.</w:t>
      </w:r>
    </w:p>
    <w:p w14:paraId="28578C3F" w14:textId="77777777" w:rsidR="0009110C" w:rsidRDefault="0009110C" w:rsidP="001047B9">
      <w:r>
        <w:t>Further to this, infrastructure and staff requirements were stated by the individual to be a potential barrier to access for patients due to the highly specialised requirements needed to provide the proposed intervention.</w:t>
      </w:r>
    </w:p>
    <w:p w14:paraId="41AC02D6" w14:textId="77777777" w:rsidR="0009110C" w:rsidRPr="00473E0B" w:rsidRDefault="0009110C" w:rsidP="001047B9">
      <w:r>
        <w:rPr>
          <w:u w:val="single"/>
        </w:rPr>
        <w:t>Further comments</w:t>
      </w:r>
    </w:p>
    <w:p w14:paraId="7EF59D30" w14:textId="77777777" w:rsidR="0009110C" w:rsidRPr="0030649B" w:rsidRDefault="0009110C" w:rsidP="001047B9">
      <w:r>
        <w:t>Other services identified in the feedback are haematology services, apheresis units, cellular laboratories, ward and outpatient services, pharmacy services, intensive care, emergency, designated respiratory physicians, neurologists, infectious disease physicians, rehabilitation specialists, paramedical services, dietetics, physiotherapy, radiology services, and occupational therapy.</w:t>
      </w:r>
    </w:p>
    <w:p w14:paraId="2F9C2549" w14:textId="77777777" w:rsidR="0009110C" w:rsidRDefault="0009110C" w:rsidP="001047B9">
      <w:r>
        <w:t>The individual and ALLG stated that carfilzomib and dexamethasone are used as 3</w:t>
      </w:r>
      <w:r w:rsidRPr="000411F2">
        <w:rPr>
          <w:vertAlign w:val="superscript"/>
        </w:rPr>
        <w:t>rd</w:t>
      </w:r>
      <w:r>
        <w:t xml:space="preserve"> and 4</w:t>
      </w:r>
      <w:r w:rsidRPr="00875B7C">
        <w:rPr>
          <w:vertAlign w:val="superscript"/>
        </w:rPr>
        <w:t>th</w:t>
      </w:r>
      <w:r>
        <w:t xml:space="preserve"> line therapy, thus should be included as a comparator.</w:t>
      </w:r>
    </w:p>
    <w:p w14:paraId="144F3C43" w14:textId="77777777" w:rsidR="0009110C" w:rsidRDefault="0009110C" w:rsidP="001047B9">
      <w:r>
        <w:t xml:space="preserve">The Leukemia foundation suggested that the applicants confirm whether </w:t>
      </w:r>
      <w:r w:rsidRPr="002F1DFA">
        <w:t>treatments used as bridging therapy</w:t>
      </w:r>
      <w:r>
        <w:t xml:space="preserve"> in the proposed intervention</w:t>
      </w:r>
      <w:r w:rsidRPr="002F1DFA">
        <w:t>, such as carfilzomib or pomalidomide, are lost as treatment options if a patient progresses post cilta-cel</w:t>
      </w:r>
      <w:r>
        <w:t>.</w:t>
      </w:r>
    </w:p>
    <w:p w14:paraId="3EC7888B" w14:textId="107351ED" w:rsidR="0009110C" w:rsidRDefault="0009110C" w:rsidP="0009110C">
      <w:r>
        <w:lastRenderedPageBreak/>
        <w:t>MSAG stated that t</w:t>
      </w:r>
      <w:r w:rsidRPr="002F1DFA">
        <w:t>he rate of ICU support, IVIG use and anti</w:t>
      </w:r>
      <w:r>
        <w:t>-i</w:t>
      </w:r>
      <w:r w:rsidRPr="002F1DFA">
        <w:t xml:space="preserve">nfective prophylaxis </w:t>
      </w:r>
      <w:r>
        <w:t>is not wholly covered in the intervention.</w:t>
      </w:r>
    </w:p>
    <w:p w14:paraId="331A9D02" w14:textId="1F061A23" w:rsidR="009D437F" w:rsidRDefault="009D437F" w:rsidP="0009110C">
      <w:r w:rsidRPr="00560D04">
        <w:rPr>
          <w:rFonts w:asciiTheme="minorHAnsi" w:hAnsiTheme="minorHAnsi" w:cstheme="minorHAnsi"/>
          <w:i/>
          <w:iCs/>
          <w:szCs w:val="24"/>
        </w:rPr>
        <w:t xml:space="preserve">PASC noted that the consultation </w:t>
      </w:r>
      <w:r>
        <w:rPr>
          <w:rFonts w:asciiTheme="minorHAnsi" w:hAnsiTheme="minorHAnsi" w:cstheme="minorHAnsi"/>
          <w:i/>
          <w:iCs/>
          <w:szCs w:val="24"/>
        </w:rPr>
        <w:t xml:space="preserve">feedback </w:t>
      </w:r>
      <w:r w:rsidRPr="00560D04">
        <w:rPr>
          <w:rFonts w:asciiTheme="minorHAnsi" w:hAnsiTheme="minorHAnsi" w:cstheme="minorHAnsi"/>
          <w:i/>
          <w:iCs/>
          <w:szCs w:val="24"/>
        </w:rPr>
        <w:t>was generally supportive with concerns around access</w:t>
      </w:r>
      <w:r>
        <w:rPr>
          <w:rFonts w:asciiTheme="minorHAnsi" w:hAnsiTheme="minorHAnsi" w:cstheme="minorHAnsi"/>
          <w:i/>
          <w:iCs/>
          <w:szCs w:val="24"/>
        </w:rPr>
        <w:t xml:space="preserve"> to </w:t>
      </w:r>
      <w:r w:rsidRPr="004C7984">
        <w:rPr>
          <w:i/>
          <w:iCs/>
        </w:rPr>
        <w:t>ciltacabtagene autoleucel</w:t>
      </w:r>
      <w:r w:rsidRPr="005C30B4">
        <w:t xml:space="preserve"> </w:t>
      </w:r>
      <w:r>
        <w:rPr>
          <w:rFonts w:asciiTheme="minorHAnsi" w:hAnsiTheme="minorHAnsi" w:cstheme="minorHAnsi"/>
          <w:i/>
          <w:iCs/>
          <w:szCs w:val="24"/>
        </w:rPr>
        <w:t xml:space="preserve">(due to the proposed population eligibility criteria and limited treatment sites) </w:t>
      </w:r>
      <w:r w:rsidRPr="00560D04">
        <w:rPr>
          <w:rFonts w:asciiTheme="minorHAnsi" w:hAnsiTheme="minorHAnsi" w:cstheme="minorHAnsi"/>
          <w:i/>
          <w:iCs/>
          <w:szCs w:val="24"/>
        </w:rPr>
        <w:t>and additional costs for access</w:t>
      </w:r>
      <w:r>
        <w:rPr>
          <w:rFonts w:asciiTheme="minorHAnsi" w:hAnsiTheme="minorHAnsi" w:cstheme="minorHAnsi"/>
          <w:i/>
          <w:iCs/>
          <w:szCs w:val="24"/>
        </w:rPr>
        <w:t xml:space="preserve"> and resulting flow-on treatment</w:t>
      </w:r>
      <w:r w:rsidRPr="00560D04">
        <w:rPr>
          <w:rFonts w:asciiTheme="minorHAnsi" w:hAnsiTheme="minorHAnsi" w:cstheme="minorHAnsi"/>
          <w:i/>
          <w:iCs/>
          <w:szCs w:val="24"/>
        </w:rPr>
        <w:t>.</w:t>
      </w:r>
    </w:p>
    <w:p w14:paraId="4E68667F" w14:textId="77777777" w:rsidR="00D37A3F" w:rsidRPr="00D37A3F" w:rsidRDefault="00D37A3F" w:rsidP="00713728">
      <w:pPr>
        <w:pStyle w:val="Heading2"/>
      </w:pPr>
      <w:r w:rsidRPr="00D37A3F">
        <w:t>Next steps</w:t>
      </w:r>
    </w:p>
    <w:p w14:paraId="7B39D13A" w14:textId="741CA34A" w:rsidR="009D437F" w:rsidRDefault="009D437F">
      <w:pPr>
        <w:spacing w:after="160" w:line="259" w:lineRule="auto"/>
      </w:pPr>
      <w:r>
        <w:rPr>
          <w:rFonts w:asciiTheme="minorHAnsi" w:hAnsiTheme="minorHAnsi" w:cstheme="minorHAnsi"/>
        </w:rPr>
        <w:t>The applicant advised this will be progressing as an ADAR (applicant-developed assessment report).</w:t>
      </w:r>
    </w:p>
    <w:p w14:paraId="303F623A" w14:textId="17B6D772" w:rsidR="00D6501D" w:rsidRDefault="00D6501D">
      <w:pPr>
        <w:spacing w:after="160" w:line="259" w:lineRule="auto"/>
        <w:rPr>
          <w:rFonts w:ascii="Franklin Gothic Medium" w:eastAsiaTheme="majorEastAsia" w:hAnsi="Franklin Gothic Medium" w:cstheme="majorBidi"/>
          <w:color w:val="000000" w:themeColor="text1"/>
          <w:sz w:val="32"/>
          <w:szCs w:val="26"/>
        </w:rPr>
      </w:pPr>
      <w:r>
        <w:br w:type="page"/>
      </w:r>
    </w:p>
    <w:p w14:paraId="73A2A9C9" w14:textId="1C8187B1" w:rsidR="006478E7" w:rsidRDefault="00A33126" w:rsidP="00713728">
      <w:pPr>
        <w:pStyle w:val="Heading2"/>
      </w:pPr>
      <w:r w:rsidRPr="00A33126">
        <w:lastRenderedPageBreak/>
        <w:t>References</w:t>
      </w:r>
    </w:p>
    <w:p w14:paraId="6CBAB454" w14:textId="77777777" w:rsidR="00363A02" w:rsidRDefault="00363A02" w:rsidP="002C3E42">
      <w:pPr>
        <w:spacing w:after="0"/>
        <w:jc w:val="both"/>
        <w:rPr>
          <w:sz w:val="20"/>
          <w:szCs w:val="20"/>
        </w:rPr>
      </w:pPr>
      <w:r w:rsidRPr="002C3E42">
        <w:rPr>
          <w:sz w:val="20"/>
          <w:szCs w:val="20"/>
        </w:rPr>
        <w:t>Addendum to National Health Reform 2020-2025</w:t>
      </w:r>
      <w:r>
        <w:rPr>
          <w:sz w:val="20"/>
          <w:szCs w:val="20"/>
        </w:rPr>
        <w:t xml:space="preserve">. </w:t>
      </w:r>
    </w:p>
    <w:p w14:paraId="4715DA36" w14:textId="6A41788D" w:rsidR="00363A02" w:rsidRPr="002C3E42" w:rsidRDefault="009E04DC" w:rsidP="00B32BAB">
      <w:pPr>
        <w:jc w:val="both"/>
        <w:rPr>
          <w:sz w:val="20"/>
          <w:szCs w:val="20"/>
        </w:rPr>
      </w:pPr>
      <w:hyperlink r:id="rId13" w:history="1">
        <w:r w:rsidR="00363A02" w:rsidRPr="00363A02">
          <w:rPr>
            <w:rStyle w:val="Hyperlink"/>
            <w:rFonts w:ascii="Calibri" w:hAnsi="Calibri"/>
            <w:sz w:val="20"/>
            <w:szCs w:val="20"/>
          </w:rPr>
          <w:t>https://federalfinancialrelations.gov.au/sites/federalfinancialrelations.gov.au/files/2021-07/NHRA_2020-25_Addendum_consolidated.pdf</w:t>
        </w:r>
      </w:hyperlink>
      <w:r w:rsidR="00363A02">
        <w:rPr>
          <w:sz w:val="20"/>
          <w:szCs w:val="20"/>
        </w:rPr>
        <w:t xml:space="preserve"> </w:t>
      </w:r>
      <w:r w:rsidR="00363A02" w:rsidRPr="002C3E42">
        <w:rPr>
          <w:sz w:val="20"/>
          <w:szCs w:val="20"/>
        </w:rPr>
        <w:t xml:space="preserve"> </w:t>
      </w:r>
    </w:p>
    <w:p w14:paraId="141E7952" w14:textId="7F38F4D7" w:rsidR="00E01349" w:rsidRPr="00E73E96" w:rsidRDefault="00627FC4" w:rsidP="00B32BAB">
      <w:pPr>
        <w:jc w:val="both"/>
        <w:rPr>
          <w:sz w:val="20"/>
          <w:szCs w:val="20"/>
        </w:rPr>
      </w:pPr>
      <w:r w:rsidRPr="00E73E96">
        <w:rPr>
          <w:sz w:val="20"/>
          <w:szCs w:val="20"/>
        </w:rPr>
        <w:t>Australian Institute of Health and Welfare (AIHW) 2018. ACIM (Australia Cancer Incidence and Mortality Book, AIHW: Canberra.</w:t>
      </w:r>
    </w:p>
    <w:p w14:paraId="055293BD" w14:textId="4BE00216" w:rsidR="00B32BAB" w:rsidRDefault="00B32BAB" w:rsidP="00B32BAB">
      <w:pPr>
        <w:jc w:val="both"/>
        <w:rPr>
          <w:sz w:val="20"/>
          <w:szCs w:val="20"/>
        </w:rPr>
      </w:pPr>
      <w:r w:rsidRPr="00E73E96">
        <w:rPr>
          <w:sz w:val="20"/>
          <w:szCs w:val="20"/>
        </w:rPr>
        <w:t xml:space="preserve">Kumar SJ et al. Multiple Myeloma Version 3. </w:t>
      </w:r>
      <w:r w:rsidRPr="00193F6C">
        <w:rPr>
          <w:i/>
          <w:iCs/>
          <w:sz w:val="20"/>
          <w:szCs w:val="20"/>
        </w:rPr>
        <w:t>Journal of the National Comprehensive Cancer Network</w:t>
      </w:r>
      <w:r w:rsidRPr="00E73E96">
        <w:rPr>
          <w:sz w:val="20"/>
          <w:szCs w:val="20"/>
        </w:rPr>
        <w:t>. 2020; 18 (12): 1685-1717.</w:t>
      </w:r>
    </w:p>
    <w:p w14:paraId="362B1D6F" w14:textId="7D407E97" w:rsidR="00A715D0" w:rsidRDefault="00A715D0" w:rsidP="00B32BAB">
      <w:pPr>
        <w:jc w:val="both"/>
        <w:rPr>
          <w:sz w:val="20"/>
          <w:szCs w:val="20"/>
        </w:rPr>
      </w:pPr>
      <w:r>
        <w:rPr>
          <w:sz w:val="20"/>
          <w:szCs w:val="20"/>
        </w:rPr>
        <w:t xml:space="preserve">Martin TG, et al. </w:t>
      </w:r>
      <w:r w:rsidRPr="00A715D0">
        <w:rPr>
          <w:sz w:val="20"/>
          <w:szCs w:val="20"/>
        </w:rPr>
        <w:t>Comparison of outcomes with ciltacabtagene autoleucel (cilta-cel) in CARTITUDE-1 versus real-world standard of care (RW SOC) for patients (pts) with triple-class exposed relapsed/refractory multiple myeloma (RRMM)</w:t>
      </w:r>
      <w:r>
        <w:rPr>
          <w:sz w:val="20"/>
          <w:szCs w:val="20"/>
        </w:rPr>
        <w:t xml:space="preserve">. </w:t>
      </w:r>
      <w:r w:rsidRPr="00A715D0">
        <w:rPr>
          <w:sz w:val="20"/>
          <w:szCs w:val="20"/>
        </w:rPr>
        <w:t>ASCO 2021 conference</w:t>
      </w:r>
      <w:r>
        <w:rPr>
          <w:sz w:val="20"/>
          <w:szCs w:val="20"/>
        </w:rPr>
        <w:t xml:space="preserve"> (Abstract 8045).</w:t>
      </w:r>
    </w:p>
    <w:p w14:paraId="2E456BA1" w14:textId="5C8E5F2E" w:rsidR="000C2250" w:rsidRPr="000C2250" w:rsidRDefault="000C2250" w:rsidP="00B32BAB">
      <w:pPr>
        <w:jc w:val="both"/>
        <w:rPr>
          <w:sz w:val="20"/>
          <w:szCs w:val="20"/>
        </w:rPr>
      </w:pPr>
      <w:r>
        <w:rPr>
          <w:sz w:val="20"/>
          <w:szCs w:val="20"/>
        </w:rPr>
        <w:t xml:space="preserve">Martin T, et al. </w:t>
      </w:r>
      <w:r w:rsidRPr="000C2250">
        <w:rPr>
          <w:sz w:val="20"/>
          <w:szCs w:val="20"/>
        </w:rPr>
        <w:t>Matching-adjusted indirect comparison of efficacy outcomes for ciltacabtagene autoleucel in CARTITUDE-1 versus idecabtagene vicleucel in KarMMa for the treatment of patients with relapsed or refractory multiple myeloma</w:t>
      </w:r>
      <w:r>
        <w:rPr>
          <w:sz w:val="20"/>
          <w:szCs w:val="20"/>
        </w:rPr>
        <w:t xml:space="preserve">. </w:t>
      </w:r>
      <w:r>
        <w:rPr>
          <w:i/>
          <w:iCs/>
          <w:sz w:val="20"/>
          <w:szCs w:val="20"/>
        </w:rPr>
        <w:t xml:space="preserve">Current Medical Research and Opinion. </w:t>
      </w:r>
      <w:r>
        <w:rPr>
          <w:sz w:val="20"/>
          <w:szCs w:val="20"/>
        </w:rPr>
        <w:t>2021a, 37(10): 1779-1788.</w:t>
      </w:r>
    </w:p>
    <w:p w14:paraId="5634EED3" w14:textId="0AA80525" w:rsidR="00B32BAB" w:rsidRPr="00E73E96" w:rsidRDefault="00627FC4" w:rsidP="00B32BAB">
      <w:pPr>
        <w:jc w:val="both"/>
        <w:rPr>
          <w:sz w:val="20"/>
          <w:szCs w:val="20"/>
        </w:rPr>
      </w:pPr>
      <w:r w:rsidRPr="00E73E96">
        <w:rPr>
          <w:sz w:val="20"/>
          <w:szCs w:val="20"/>
        </w:rPr>
        <w:t>Quach H. and Prince H.M. on behalf of MSAG 2019.  Clinical Practice Guideline. Multiple Myeloma. Updated 2019</w:t>
      </w:r>
      <w:r w:rsidR="00D6501D">
        <w:rPr>
          <w:sz w:val="20"/>
          <w:szCs w:val="20"/>
        </w:rPr>
        <w:t>.</w:t>
      </w:r>
    </w:p>
    <w:p w14:paraId="05A34AE7" w14:textId="4D0820D2" w:rsidR="00B32BAB" w:rsidRPr="00E73E96" w:rsidRDefault="00B32BAB" w:rsidP="00B32BAB">
      <w:pPr>
        <w:widowControl w:val="0"/>
        <w:jc w:val="both"/>
        <w:rPr>
          <w:bCs/>
          <w:sz w:val="20"/>
          <w:szCs w:val="18"/>
        </w:rPr>
      </w:pPr>
      <w:r w:rsidRPr="00E73E96">
        <w:rPr>
          <w:bCs/>
          <w:sz w:val="20"/>
          <w:szCs w:val="18"/>
        </w:rPr>
        <w:t xml:space="preserve">Usmani SZ, et al. Ciltacabtagene autoleucel, a B-cell maturation antigen (BCMA)-directed chimeric antigen receptor T-cell (CAR-T) therapy, in relapsed/refractory multiple myeloma (R/R MM): Updated results from CARTITUDE-1. (2021): 8005-8005. </w:t>
      </w:r>
      <w:r w:rsidRPr="00A715D0">
        <w:rPr>
          <w:bCs/>
          <w:sz w:val="20"/>
          <w:szCs w:val="18"/>
        </w:rPr>
        <w:t>ASCO 2021 conference</w:t>
      </w:r>
      <w:r w:rsidRPr="00E73E96">
        <w:rPr>
          <w:bCs/>
          <w:sz w:val="20"/>
          <w:szCs w:val="18"/>
        </w:rPr>
        <w:t>. Data cut-off Feb 11, 2021.</w:t>
      </w:r>
    </w:p>
    <w:p w14:paraId="1A172D3F" w14:textId="079A20BC" w:rsidR="00DF3EEF" w:rsidRDefault="00B32BAB" w:rsidP="00B32BAB">
      <w:pPr>
        <w:jc w:val="both"/>
        <w:rPr>
          <w:sz w:val="20"/>
          <w:szCs w:val="20"/>
        </w:rPr>
      </w:pPr>
      <w:r w:rsidRPr="00E73E96">
        <w:rPr>
          <w:sz w:val="20"/>
          <w:szCs w:val="20"/>
        </w:rPr>
        <w:t>Zhao J et al. Real-world treatment patterns in relapsed/refractory multiple myeloma in Australia: results from the Myeloma and Related Diseases Registry. Abstract presented (O051) at Blood 2019 on 21/10/2019, Perth Convention &amp; Exhibition Centre, 20 - 23 October 2019</w:t>
      </w:r>
      <w:r w:rsidR="00D6501D">
        <w:rPr>
          <w:sz w:val="20"/>
          <w:szCs w:val="20"/>
        </w:rPr>
        <w:t>.</w:t>
      </w:r>
    </w:p>
    <w:p w14:paraId="3EE6919B" w14:textId="77777777" w:rsidR="00DF3EEF" w:rsidRDefault="00DF3EEF">
      <w:pPr>
        <w:spacing w:after="160" w:line="259" w:lineRule="auto"/>
        <w:rPr>
          <w:sz w:val="20"/>
          <w:szCs w:val="20"/>
        </w:rPr>
      </w:pPr>
      <w:r>
        <w:rPr>
          <w:sz w:val="20"/>
          <w:szCs w:val="20"/>
        </w:rPr>
        <w:br w:type="page"/>
      </w:r>
    </w:p>
    <w:p w14:paraId="59352B61" w14:textId="2D148417" w:rsidR="00DF3EEF" w:rsidRDefault="00DF3EEF" w:rsidP="00522EDD">
      <w:pPr>
        <w:pStyle w:val="Heading2"/>
      </w:pPr>
      <w:r w:rsidRPr="00DF3EEF">
        <w:lastRenderedPageBreak/>
        <w:t>Attachment</w:t>
      </w:r>
    </w:p>
    <w:p w14:paraId="4827CA94" w14:textId="071C3D47" w:rsidR="00DF3EEF" w:rsidRPr="00535B24" w:rsidRDefault="00DF3EEF" w:rsidP="00DF3EEF">
      <w:pPr>
        <w:pStyle w:val="TableHeading"/>
      </w:pPr>
      <w:bookmarkStart w:id="11" w:name="_Ref86501094"/>
      <w:r>
        <w:t xml:space="preserve">Table </w:t>
      </w:r>
      <w:fldSimple w:instr=" SEQ Table \* MERGEFORMAT ">
        <w:r>
          <w:rPr>
            <w:noProof/>
          </w:rPr>
          <w:t>4</w:t>
        </w:r>
      </w:fldSimple>
      <w:bookmarkEnd w:id="11"/>
      <w:r>
        <w:t xml:space="preserve">: </w:t>
      </w:r>
      <w:r>
        <w:tab/>
      </w:r>
      <w:r w:rsidRPr="00053614">
        <w:t>Comparison of application algorithm and PBS restrictions</w:t>
      </w:r>
    </w:p>
    <w:tbl>
      <w:tblPr>
        <w:tblStyle w:val="TableGrid"/>
        <w:tblW w:w="0" w:type="auto"/>
        <w:tblInd w:w="33" w:type="dxa"/>
        <w:tblCellMar>
          <w:left w:w="28" w:type="dxa"/>
          <w:right w:w="28" w:type="dxa"/>
        </w:tblCellMar>
        <w:tblLook w:val="04A0" w:firstRow="1" w:lastRow="0" w:firstColumn="1" w:lastColumn="0" w:noHBand="0" w:noVBand="1"/>
      </w:tblPr>
      <w:tblGrid>
        <w:gridCol w:w="1256"/>
        <w:gridCol w:w="1858"/>
        <w:gridCol w:w="6236"/>
      </w:tblGrid>
      <w:tr w:rsidR="00DF3EEF" w:rsidRPr="00516278" w14:paraId="3F235811" w14:textId="77777777" w:rsidTr="00961295">
        <w:trPr>
          <w:tblHeader/>
        </w:trPr>
        <w:tc>
          <w:tcPr>
            <w:tcW w:w="1256" w:type="dxa"/>
            <w:vAlign w:val="center"/>
          </w:tcPr>
          <w:p w14:paraId="39936350" w14:textId="77777777" w:rsidR="00DF3EEF" w:rsidRPr="00516278" w:rsidRDefault="00DF3EEF" w:rsidP="00961295">
            <w:pPr>
              <w:spacing w:before="40" w:after="40" w:line="240" w:lineRule="auto"/>
              <w:rPr>
                <w:rFonts w:ascii="Arial Narrow" w:hAnsi="Arial Narrow"/>
                <w:b/>
                <w:bCs/>
                <w:sz w:val="20"/>
                <w:szCs w:val="20"/>
              </w:rPr>
            </w:pPr>
            <w:r>
              <w:rPr>
                <w:rFonts w:ascii="Arial Narrow" w:hAnsi="Arial Narrow"/>
                <w:b/>
                <w:bCs/>
                <w:sz w:val="20"/>
                <w:szCs w:val="20"/>
              </w:rPr>
              <w:t>T</w:t>
            </w:r>
            <w:r w:rsidRPr="00516278">
              <w:rPr>
                <w:rFonts w:ascii="Arial Narrow" w:hAnsi="Arial Narrow"/>
                <w:b/>
                <w:bCs/>
                <w:sz w:val="20"/>
                <w:szCs w:val="20"/>
              </w:rPr>
              <w:t>reatment</w:t>
            </w:r>
          </w:p>
        </w:tc>
        <w:tc>
          <w:tcPr>
            <w:tcW w:w="1858" w:type="dxa"/>
            <w:vAlign w:val="center"/>
          </w:tcPr>
          <w:p w14:paraId="6655BBD7" w14:textId="77777777" w:rsidR="00DF3EEF" w:rsidRPr="00516278" w:rsidRDefault="00DF3EEF" w:rsidP="00961295">
            <w:pPr>
              <w:spacing w:before="40" w:after="40" w:line="240" w:lineRule="auto"/>
              <w:jc w:val="center"/>
              <w:rPr>
                <w:rFonts w:ascii="Arial Narrow" w:hAnsi="Arial Narrow"/>
                <w:b/>
                <w:bCs/>
                <w:sz w:val="20"/>
                <w:szCs w:val="20"/>
              </w:rPr>
            </w:pPr>
            <w:r w:rsidRPr="00516278">
              <w:rPr>
                <w:rFonts w:ascii="Arial Narrow" w:hAnsi="Arial Narrow"/>
                <w:b/>
                <w:bCs/>
                <w:sz w:val="20"/>
                <w:szCs w:val="20"/>
              </w:rPr>
              <w:t>Application nominated line o</w:t>
            </w:r>
            <w:r>
              <w:rPr>
                <w:rFonts w:ascii="Arial Narrow" w:hAnsi="Arial Narrow"/>
                <w:b/>
                <w:bCs/>
                <w:sz w:val="20"/>
                <w:szCs w:val="20"/>
              </w:rPr>
              <w:t>f</w:t>
            </w:r>
            <w:r w:rsidRPr="00516278">
              <w:rPr>
                <w:rFonts w:ascii="Arial Narrow" w:hAnsi="Arial Narrow"/>
                <w:b/>
                <w:bCs/>
                <w:sz w:val="20"/>
                <w:szCs w:val="20"/>
              </w:rPr>
              <w:t xml:space="preserve"> therapy</w:t>
            </w:r>
          </w:p>
        </w:tc>
        <w:tc>
          <w:tcPr>
            <w:tcW w:w="6236" w:type="dxa"/>
            <w:vAlign w:val="center"/>
          </w:tcPr>
          <w:p w14:paraId="021427C3" w14:textId="77777777" w:rsidR="00DF3EEF" w:rsidRPr="00516278" w:rsidRDefault="00DF3EEF" w:rsidP="00961295">
            <w:pPr>
              <w:spacing w:before="40" w:after="40" w:line="240" w:lineRule="auto"/>
              <w:jc w:val="center"/>
              <w:rPr>
                <w:rFonts w:ascii="Arial Narrow" w:hAnsi="Arial Narrow"/>
                <w:b/>
                <w:bCs/>
                <w:sz w:val="20"/>
                <w:szCs w:val="20"/>
              </w:rPr>
            </w:pPr>
            <w:r w:rsidRPr="00516278">
              <w:rPr>
                <w:rFonts w:ascii="Arial Narrow" w:hAnsi="Arial Narrow"/>
                <w:b/>
                <w:bCs/>
                <w:sz w:val="20"/>
                <w:szCs w:val="20"/>
              </w:rPr>
              <w:t>PBS restriction</w:t>
            </w:r>
          </w:p>
        </w:tc>
      </w:tr>
      <w:tr w:rsidR="00DF3EEF" w:rsidRPr="00516278" w14:paraId="56A828F8" w14:textId="77777777" w:rsidTr="00961295">
        <w:tc>
          <w:tcPr>
            <w:tcW w:w="1256" w:type="dxa"/>
            <w:vMerge w:val="restart"/>
          </w:tcPr>
          <w:p w14:paraId="4D44383F" w14:textId="77777777" w:rsidR="00DF3EEF" w:rsidRPr="00516278" w:rsidRDefault="00DF3EEF" w:rsidP="00961295">
            <w:pPr>
              <w:spacing w:before="40" w:after="40" w:line="240" w:lineRule="auto"/>
              <w:rPr>
                <w:rFonts w:ascii="Arial Narrow" w:hAnsi="Arial Narrow"/>
                <w:sz w:val="20"/>
                <w:szCs w:val="20"/>
              </w:rPr>
            </w:pPr>
            <w:r w:rsidRPr="00516278">
              <w:rPr>
                <w:rFonts w:ascii="Arial Narrow" w:hAnsi="Arial Narrow"/>
                <w:sz w:val="20"/>
                <w:szCs w:val="20"/>
              </w:rPr>
              <w:t xml:space="preserve">Bortezomib </w:t>
            </w:r>
          </w:p>
        </w:tc>
        <w:tc>
          <w:tcPr>
            <w:tcW w:w="1858" w:type="dxa"/>
            <w:vMerge w:val="restart"/>
          </w:tcPr>
          <w:p w14:paraId="4D2EB05D" w14:textId="77777777" w:rsidR="00DF3EEF" w:rsidRPr="00DF3EEF" w:rsidRDefault="00DF3EEF" w:rsidP="00961295">
            <w:pPr>
              <w:spacing w:before="40" w:after="40" w:line="240" w:lineRule="auto"/>
              <w:rPr>
                <w:rFonts w:ascii="Arial Narrow" w:hAnsi="Arial Narrow"/>
                <w:sz w:val="20"/>
                <w:szCs w:val="20"/>
              </w:rPr>
            </w:pPr>
            <w:r w:rsidRPr="00DF3EEF">
              <w:rPr>
                <w:rFonts w:ascii="Arial Narrow" w:hAnsi="Arial Narrow"/>
                <w:sz w:val="20"/>
                <w:szCs w:val="20"/>
              </w:rPr>
              <w:t>First line (in combination with lenalidomide and dexamethasone (BLd)</w:t>
            </w:r>
          </w:p>
          <w:p w14:paraId="1330B3B5" w14:textId="77777777" w:rsidR="00DF3EEF" w:rsidRPr="00DF3EEF" w:rsidRDefault="00DF3EEF" w:rsidP="00961295">
            <w:pPr>
              <w:spacing w:before="40" w:after="40" w:line="240" w:lineRule="auto"/>
              <w:rPr>
                <w:rFonts w:ascii="Arial Narrow" w:hAnsi="Arial Narrow"/>
                <w:sz w:val="20"/>
                <w:szCs w:val="20"/>
              </w:rPr>
            </w:pPr>
          </w:p>
          <w:p w14:paraId="4E6AEB03" w14:textId="77777777" w:rsidR="00DF3EEF" w:rsidRPr="00DF3EEF" w:rsidRDefault="00DF3EEF" w:rsidP="00961295">
            <w:pPr>
              <w:spacing w:before="40" w:after="40" w:line="240" w:lineRule="auto"/>
              <w:rPr>
                <w:rFonts w:ascii="Arial Narrow" w:hAnsi="Arial Narrow"/>
                <w:sz w:val="20"/>
                <w:szCs w:val="20"/>
              </w:rPr>
            </w:pPr>
            <w:r w:rsidRPr="00DF3EEF">
              <w:rPr>
                <w:rFonts w:ascii="Arial Narrow" w:hAnsi="Arial Narrow"/>
                <w:sz w:val="20"/>
                <w:szCs w:val="20"/>
              </w:rPr>
              <w:t>First and second line for some patients in combination with dexamethasone (Bd)</w:t>
            </w:r>
          </w:p>
        </w:tc>
        <w:tc>
          <w:tcPr>
            <w:tcW w:w="6236" w:type="dxa"/>
          </w:tcPr>
          <w:p w14:paraId="76C6BE22" w14:textId="77777777" w:rsidR="00DF3EEF" w:rsidRPr="00DF3EEF" w:rsidRDefault="00DF3EEF" w:rsidP="00961295">
            <w:pPr>
              <w:spacing w:before="40" w:after="40" w:line="240" w:lineRule="auto"/>
              <w:rPr>
                <w:rFonts w:ascii="Arial Narrow" w:hAnsi="Arial Narrow"/>
                <w:sz w:val="20"/>
                <w:szCs w:val="20"/>
              </w:rPr>
            </w:pPr>
            <w:r w:rsidRPr="00DF3EEF">
              <w:rPr>
                <w:rFonts w:ascii="Arial Narrow" w:hAnsi="Arial Narrow"/>
                <w:b/>
                <w:bCs/>
                <w:sz w:val="20"/>
                <w:szCs w:val="20"/>
              </w:rPr>
              <w:t>Multiple myeloma</w:t>
            </w:r>
            <w:r w:rsidRPr="00DF3EEF">
              <w:rPr>
                <w:rFonts w:ascii="Arial Narrow" w:hAnsi="Arial Narrow"/>
                <w:sz w:val="20"/>
                <w:szCs w:val="20"/>
              </w:rPr>
              <w:t xml:space="preserve"> (no further restriction) [Items 12219D, 12227M]</w:t>
            </w:r>
          </w:p>
        </w:tc>
      </w:tr>
      <w:tr w:rsidR="00DF3EEF" w:rsidRPr="00516278" w14:paraId="6D0B37F8" w14:textId="77777777" w:rsidTr="00961295">
        <w:tc>
          <w:tcPr>
            <w:tcW w:w="1256" w:type="dxa"/>
            <w:vMerge/>
          </w:tcPr>
          <w:p w14:paraId="5E28C43F" w14:textId="77777777" w:rsidR="00DF3EEF" w:rsidRPr="00516278" w:rsidRDefault="00DF3EEF" w:rsidP="00961295">
            <w:pPr>
              <w:spacing w:before="40" w:after="40" w:line="240" w:lineRule="auto"/>
              <w:rPr>
                <w:rFonts w:ascii="Arial Narrow" w:hAnsi="Arial Narrow"/>
                <w:sz w:val="20"/>
                <w:szCs w:val="20"/>
              </w:rPr>
            </w:pPr>
          </w:p>
        </w:tc>
        <w:tc>
          <w:tcPr>
            <w:tcW w:w="1858" w:type="dxa"/>
            <w:vMerge/>
          </w:tcPr>
          <w:p w14:paraId="5CFD8864" w14:textId="77777777" w:rsidR="00DF3EEF" w:rsidRPr="00DF3EEF" w:rsidRDefault="00DF3EEF" w:rsidP="00961295">
            <w:pPr>
              <w:spacing w:before="40" w:after="40" w:line="240" w:lineRule="auto"/>
              <w:rPr>
                <w:rFonts w:ascii="Arial Narrow" w:hAnsi="Arial Narrow"/>
                <w:sz w:val="20"/>
                <w:szCs w:val="20"/>
              </w:rPr>
            </w:pPr>
          </w:p>
        </w:tc>
        <w:tc>
          <w:tcPr>
            <w:tcW w:w="6236" w:type="dxa"/>
          </w:tcPr>
          <w:p w14:paraId="05664690" w14:textId="77777777" w:rsidR="00DF3EEF" w:rsidRPr="00DF3EEF" w:rsidRDefault="00DF3EEF" w:rsidP="00961295">
            <w:pPr>
              <w:spacing w:before="40" w:after="40" w:line="240" w:lineRule="auto"/>
              <w:rPr>
                <w:rFonts w:ascii="Arial Narrow" w:hAnsi="Arial Narrow"/>
                <w:b/>
                <w:bCs/>
                <w:sz w:val="20"/>
                <w:szCs w:val="20"/>
              </w:rPr>
            </w:pPr>
            <w:r w:rsidRPr="00DF3EEF">
              <w:rPr>
                <w:rFonts w:ascii="Arial Narrow" w:hAnsi="Arial Narrow"/>
                <w:b/>
                <w:bCs/>
                <w:sz w:val="20"/>
                <w:szCs w:val="20"/>
              </w:rPr>
              <w:t>Symptomatic MM</w:t>
            </w:r>
          </w:p>
          <w:p w14:paraId="3FADBACF" w14:textId="77777777" w:rsidR="00DF3EEF" w:rsidRPr="00DF3EEF" w:rsidRDefault="00DF3EEF" w:rsidP="00961295">
            <w:pPr>
              <w:spacing w:before="40" w:after="40" w:line="240" w:lineRule="auto"/>
              <w:rPr>
                <w:rFonts w:ascii="Arial Narrow" w:hAnsi="Arial Narrow"/>
                <w:sz w:val="20"/>
                <w:szCs w:val="20"/>
                <w:u w:val="single"/>
              </w:rPr>
            </w:pPr>
            <w:r w:rsidRPr="00DF3EEF">
              <w:rPr>
                <w:rFonts w:ascii="Arial Narrow" w:hAnsi="Arial Narrow"/>
                <w:sz w:val="20"/>
                <w:szCs w:val="20"/>
                <w:u w:val="single"/>
              </w:rPr>
              <w:t>Newly diagnosed, ineligible for high dose chemo</w:t>
            </w:r>
          </w:p>
          <w:p w14:paraId="06E46F65" w14:textId="77777777" w:rsidR="00DF3EEF" w:rsidRPr="00DF3EEF" w:rsidRDefault="00DF3EEF" w:rsidP="00961295">
            <w:pPr>
              <w:pStyle w:val="ListParagraph"/>
              <w:numPr>
                <w:ilvl w:val="0"/>
                <w:numId w:val="15"/>
              </w:numPr>
              <w:spacing w:before="40" w:after="40" w:line="240" w:lineRule="auto"/>
              <w:ind w:left="247" w:hanging="247"/>
              <w:rPr>
                <w:rFonts w:ascii="Arial Narrow" w:hAnsi="Arial Narrow"/>
                <w:sz w:val="20"/>
                <w:szCs w:val="20"/>
              </w:rPr>
            </w:pPr>
            <w:r w:rsidRPr="00DF3EEF">
              <w:rPr>
                <w:rFonts w:ascii="Arial Narrow" w:hAnsi="Arial Narrow"/>
                <w:sz w:val="20"/>
                <w:szCs w:val="20"/>
              </w:rPr>
              <w:t xml:space="preserve">Combination with corticosteroid and melphalan or cyclophosphamide (no concomitant thalidomide or its analogues) [Items 4403R, 4429D, 7238Y, 7274W] </w:t>
            </w:r>
          </w:p>
          <w:p w14:paraId="04922127" w14:textId="77777777" w:rsidR="00DF3EEF" w:rsidRPr="00DF3EEF" w:rsidRDefault="00DF3EEF" w:rsidP="00961295">
            <w:pPr>
              <w:spacing w:before="40" w:after="40" w:line="240" w:lineRule="auto"/>
              <w:rPr>
                <w:rFonts w:ascii="Arial Narrow" w:hAnsi="Arial Narrow"/>
                <w:sz w:val="20"/>
                <w:szCs w:val="20"/>
                <w:u w:val="single"/>
              </w:rPr>
            </w:pPr>
            <w:r w:rsidRPr="00DF3EEF">
              <w:rPr>
                <w:rFonts w:ascii="Arial Narrow" w:hAnsi="Arial Narrow"/>
                <w:sz w:val="20"/>
                <w:szCs w:val="20"/>
                <w:u w:val="single"/>
              </w:rPr>
              <w:t>Newly diagnosed, eligible for high dose chemo and ASCT</w:t>
            </w:r>
          </w:p>
          <w:p w14:paraId="750E9621" w14:textId="77777777" w:rsidR="00DF3EEF" w:rsidRPr="00DF3EEF" w:rsidRDefault="00DF3EEF" w:rsidP="00961295">
            <w:pPr>
              <w:pStyle w:val="ListParagraph"/>
              <w:numPr>
                <w:ilvl w:val="0"/>
                <w:numId w:val="15"/>
              </w:numPr>
              <w:spacing w:before="40" w:after="40" w:line="240" w:lineRule="auto"/>
              <w:ind w:left="247" w:hanging="247"/>
              <w:rPr>
                <w:rFonts w:ascii="Arial Narrow" w:hAnsi="Arial Narrow"/>
                <w:sz w:val="20"/>
                <w:szCs w:val="20"/>
              </w:rPr>
            </w:pPr>
            <w:r w:rsidRPr="00DF3EEF">
              <w:rPr>
                <w:rFonts w:ascii="Arial Narrow" w:hAnsi="Arial Narrow"/>
                <w:sz w:val="20"/>
                <w:szCs w:val="20"/>
              </w:rPr>
              <w:t>Combination with chemo (no concomitant thalidomide or its analogues) [Items 4732C, 4429D, 7275X]</w:t>
            </w:r>
          </w:p>
        </w:tc>
      </w:tr>
      <w:tr w:rsidR="00DF3EEF" w:rsidRPr="00516278" w14:paraId="0FAC9E9F" w14:textId="77777777" w:rsidTr="00961295">
        <w:tc>
          <w:tcPr>
            <w:tcW w:w="1256" w:type="dxa"/>
            <w:vMerge/>
          </w:tcPr>
          <w:p w14:paraId="2EBD1BE5" w14:textId="77777777" w:rsidR="00DF3EEF" w:rsidRPr="00516278" w:rsidRDefault="00DF3EEF" w:rsidP="00961295">
            <w:pPr>
              <w:spacing w:before="40" w:after="40" w:line="240" w:lineRule="auto"/>
              <w:rPr>
                <w:rFonts w:ascii="Arial Narrow" w:hAnsi="Arial Narrow"/>
                <w:sz w:val="20"/>
                <w:szCs w:val="20"/>
              </w:rPr>
            </w:pPr>
          </w:p>
        </w:tc>
        <w:tc>
          <w:tcPr>
            <w:tcW w:w="1858" w:type="dxa"/>
            <w:vMerge/>
          </w:tcPr>
          <w:p w14:paraId="27E3F310" w14:textId="77777777" w:rsidR="00DF3EEF" w:rsidRPr="00DF3EEF" w:rsidRDefault="00DF3EEF" w:rsidP="00961295">
            <w:pPr>
              <w:spacing w:before="40" w:after="40" w:line="240" w:lineRule="auto"/>
              <w:rPr>
                <w:rFonts w:ascii="Arial Narrow" w:hAnsi="Arial Narrow"/>
                <w:sz w:val="20"/>
                <w:szCs w:val="20"/>
              </w:rPr>
            </w:pPr>
          </w:p>
        </w:tc>
        <w:tc>
          <w:tcPr>
            <w:tcW w:w="6236" w:type="dxa"/>
          </w:tcPr>
          <w:p w14:paraId="6EF0829A" w14:textId="77777777" w:rsidR="00DF3EEF" w:rsidRPr="00DF3EEF" w:rsidRDefault="00DF3EEF" w:rsidP="00961295">
            <w:pPr>
              <w:spacing w:before="40" w:after="40" w:line="240" w:lineRule="auto"/>
              <w:rPr>
                <w:rFonts w:ascii="Arial Narrow" w:hAnsi="Arial Narrow"/>
                <w:b/>
                <w:bCs/>
                <w:sz w:val="20"/>
                <w:szCs w:val="20"/>
              </w:rPr>
            </w:pPr>
            <w:r w:rsidRPr="00DF3EEF">
              <w:rPr>
                <w:rFonts w:ascii="Arial Narrow" w:hAnsi="Arial Narrow"/>
                <w:b/>
                <w:bCs/>
                <w:sz w:val="20"/>
                <w:szCs w:val="20"/>
              </w:rPr>
              <w:t xml:space="preserve">Progressive disease </w:t>
            </w:r>
          </w:p>
          <w:p w14:paraId="1BCF4D53" w14:textId="77777777" w:rsidR="00DF3EEF" w:rsidRPr="00DF3EEF" w:rsidRDefault="00DF3EEF" w:rsidP="00961295">
            <w:pPr>
              <w:spacing w:before="40" w:after="40" w:line="240" w:lineRule="auto"/>
              <w:rPr>
                <w:rFonts w:ascii="Arial Narrow" w:hAnsi="Arial Narrow"/>
                <w:sz w:val="20"/>
                <w:szCs w:val="20"/>
                <w:u w:val="single"/>
              </w:rPr>
            </w:pPr>
            <w:r w:rsidRPr="00DF3EEF">
              <w:rPr>
                <w:rFonts w:ascii="Arial Narrow" w:hAnsi="Arial Narrow"/>
                <w:sz w:val="20"/>
                <w:szCs w:val="20"/>
                <w:u w:val="single"/>
              </w:rPr>
              <w:t>Prior ASCT or ineligible for ASCT</w:t>
            </w:r>
          </w:p>
          <w:p w14:paraId="7AD63AE5" w14:textId="77777777" w:rsidR="00DF3EEF" w:rsidRPr="00DF3EEF" w:rsidRDefault="00DF3EEF" w:rsidP="00961295">
            <w:pPr>
              <w:pStyle w:val="ListParagraph"/>
              <w:numPr>
                <w:ilvl w:val="0"/>
                <w:numId w:val="15"/>
              </w:numPr>
              <w:spacing w:before="40" w:after="40" w:line="240" w:lineRule="auto"/>
              <w:ind w:left="247" w:hanging="247"/>
              <w:rPr>
                <w:rFonts w:ascii="Arial Narrow" w:hAnsi="Arial Narrow"/>
                <w:sz w:val="20"/>
                <w:szCs w:val="20"/>
              </w:rPr>
            </w:pPr>
            <w:r w:rsidRPr="00DF3EEF">
              <w:rPr>
                <w:rFonts w:ascii="Arial Narrow" w:hAnsi="Arial Narrow"/>
                <w:sz w:val="20"/>
                <w:szCs w:val="20"/>
              </w:rPr>
              <w:t xml:space="preserve">Monotherapy or in combination with corticosteroid and/or cyclophosphamide (no concomitant carfilzomib, thalidomide or its analogues) after at least one previous therapy [Items 4706Q, 4712B, 7268M, 7269N] </w:t>
            </w:r>
          </w:p>
        </w:tc>
      </w:tr>
      <w:tr w:rsidR="00DF3EEF" w:rsidRPr="00516278" w14:paraId="0C8875BF" w14:textId="77777777" w:rsidTr="00961295">
        <w:tc>
          <w:tcPr>
            <w:tcW w:w="1256" w:type="dxa"/>
            <w:vMerge/>
          </w:tcPr>
          <w:p w14:paraId="63520043" w14:textId="77777777" w:rsidR="00DF3EEF" w:rsidRPr="00516278" w:rsidRDefault="00DF3EEF" w:rsidP="00961295">
            <w:pPr>
              <w:spacing w:before="40" w:after="40" w:line="240" w:lineRule="auto"/>
              <w:rPr>
                <w:rFonts w:ascii="Arial Narrow" w:hAnsi="Arial Narrow"/>
                <w:sz w:val="20"/>
                <w:szCs w:val="20"/>
              </w:rPr>
            </w:pPr>
          </w:p>
        </w:tc>
        <w:tc>
          <w:tcPr>
            <w:tcW w:w="1858" w:type="dxa"/>
            <w:vMerge/>
          </w:tcPr>
          <w:p w14:paraId="5BE0E467" w14:textId="77777777" w:rsidR="00DF3EEF" w:rsidRPr="00DF3EEF" w:rsidRDefault="00DF3EEF" w:rsidP="00961295">
            <w:pPr>
              <w:spacing w:before="40" w:after="40" w:line="240" w:lineRule="auto"/>
              <w:rPr>
                <w:rFonts w:ascii="Arial Narrow" w:hAnsi="Arial Narrow"/>
                <w:sz w:val="20"/>
                <w:szCs w:val="20"/>
              </w:rPr>
            </w:pPr>
          </w:p>
        </w:tc>
        <w:tc>
          <w:tcPr>
            <w:tcW w:w="6236" w:type="dxa"/>
          </w:tcPr>
          <w:p w14:paraId="5DA729FE" w14:textId="77777777" w:rsidR="00DF3EEF" w:rsidRPr="00DF3EEF" w:rsidRDefault="00DF3EEF" w:rsidP="00961295">
            <w:pPr>
              <w:spacing w:before="40" w:after="40" w:line="240" w:lineRule="auto"/>
              <w:rPr>
                <w:rFonts w:ascii="Arial Narrow" w:hAnsi="Arial Narrow"/>
                <w:b/>
                <w:bCs/>
                <w:sz w:val="20"/>
                <w:szCs w:val="20"/>
              </w:rPr>
            </w:pPr>
            <w:r w:rsidRPr="00DF3EEF">
              <w:rPr>
                <w:rFonts w:ascii="Arial Narrow" w:hAnsi="Arial Narrow"/>
                <w:b/>
                <w:bCs/>
                <w:sz w:val="20"/>
                <w:szCs w:val="20"/>
              </w:rPr>
              <w:t>Retreatment of progressive disease with at least at least a partial response to the most recent course of PBS-subsidised bortezomib therapy</w:t>
            </w:r>
          </w:p>
          <w:p w14:paraId="7102E8A9" w14:textId="77777777" w:rsidR="00DF3EEF" w:rsidRPr="00DF3EEF" w:rsidRDefault="00DF3EEF" w:rsidP="00961295">
            <w:pPr>
              <w:pStyle w:val="ListParagraph"/>
              <w:numPr>
                <w:ilvl w:val="0"/>
                <w:numId w:val="15"/>
              </w:numPr>
              <w:spacing w:before="40" w:after="40" w:line="240" w:lineRule="auto"/>
              <w:ind w:left="247" w:hanging="247"/>
              <w:rPr>
                <w:rFonts w:ascii="Arial Narrow" w:hAnsi="Arial Narrow"/>
                <w:b/>
                <w:bCs/>
                <w:sz w:val="20"/>
                <w:szCs w:val="20"/>
              </w:rPr>
            </w:pPr>
            <w:r w:rsidRPr="00DF3EEF">
              <w:rPr>
                <w:rFonts w:ascii="Arial Narrow" w:hAnsi="Arial Narrow"/>
                <w:sz w:val="20"/>
                <w:szCs w:val="20"/>
              </w:rPr>
              <w:t>Monotherapy or in combination with corticosteroid and/or cyclophosphamide (no concomitant carfilzomib, thalidomide or its analogues) [Items 4713C, 4725Q, 7271Q, 7272R]</w:t>
            </w:r>
          </w:p>
        </w:tc>
      </w:tr>
      <w:tr w:rsidR="00DF3EEF" w:rsidRPr="00516278" w14:paraId="4EB2F3D4" w14:textId="77777777" w:rsidTr="00961295">
        <w:tc>
          <w:tcPr>
            <w:tcW w:w="1256" w:type="dxa"/>
            <w:vMerge w:val="restart"/>
          </w:tcPr>
          <w:p w14:paraId="1F5FA070" w14:textId="77777777" w:rsidR="00DF3EEF" w:rsidRPr="00516278" w:rsidRDefault="00DF3EEF" w:rsidP="00961295">
            <w:pPr>
              <w:spacing w:before="40" w:after="40" w:line="240" w:lineRule="auto"/>
              <w:rPr>
                <w:rFonts w:ascii="Arial Narrow" w:hAnsi="Arial Narrow"/>
                <w:sz w:val="20"/>
                <w:szCs w:val="20"/>
              </w:rPr>
            </w:pPr>
            <w:r w:rsidRPr="00516278">
              <w:rPr>
                <w:rFonts w:ascii="Arial Narrow" w:hAnsi="Arial Narrow"/>
                <w:sz w:val="20"/>
                <w:szCs w:val="20"/>
              </w:rPr>
              <w:t xml:space="preserve">Lenalidomide </w:t>
            </w:r>
          </w:p>
        </w:tc>
        <w:tc>
          <w:tcPr>
            <w:tcW w:w="1858" w:type="dxa"/>
            <w:vMerge w:val="restart"/>
          </w:tcPr>
          <w:p w14:paraId="329AA42F" w14:textId="77777777" w:rsidR="00DF3EEF" w:rsidRPr="00DF3EEF" w:rsidRDefault="00DF3EEF" w:rsidP="00961295">
            <w:pPr>
              <w:spacing w:before="40" w:after="40" w:line="240" w:lineRule="auto"/>
              <w:rPr>
                <w:rFonts w:ascii="Arial Narrow" w:hAnsi="Arial Narrow"/>
                <w:sz w:val="20"/>
                <w:szCs w:val="20"/>
              </w:rPr>
            </w:pPr>
            <w:r w:rsidRPr="00DF3EEF">
              <w:rPr>
                <w:rFonts w:ascii="Arial Narrow" w:hAnsi="Arial Narrow"/>
                <w:sz w:val="20"/>
                <w:szCs w:val="20"/>
              </w:rPr>
              <w:t>First line (in combination with bortezomib and dexamethasone) (BLd)</w:t>
            </w:r>
          </w:p>
          <w:p w14:paraId="71995B17" w14:textId="77777777" w:rsidR="00DF3EEF" w:rsidRPr="00DF3EEF" w:rsidRDefault="00DF3EEF" w:rsidP="00961295">
            <w:pPr>
              <w:spacing w:before="40" w:after="40" w:line="240" w:lineRule="auto"/>
              <w:rPr>
                <w:rFonts w:ascii="Arial Narrow" w:hAnsi="Arial Narrow"/>
                <w:sz w:val="20"/>
                <w:szCs w:val="20"/>
              </w:rPr>
            </w:pPr>
          </w:p>
          <w:p w14:paraId="23486E27" w14:textId="77777777" w:rsidR="00DF3EEF" w:rsidRPr="00DF3EEF" w:rsidRDefault="00DF3EEF" w:rsidP="00961295">
            <w:pPr>
              <w:spacing w:before="40" w:after="40" w:line="240" w:lineRule="auto"/>
              <w:rPr>
                <w:rFonts w:ascii="Arial Narrow" w:hAnsi="Arial Narrow"/>
                <w:sz w:val="20"/>
                <w:szCs w:val="20"/>
              </w:rPr>
            </w:pPr>
            <w:r w:rsidRPr="00DF3EEF">
              <w:rPr>
                <w:rFonts w:ascii="Arial Narrow" w:hAnsi="Arial Narrow"/>
                <w:sz w:val="20"/>
                <w:szCs w:val="20"/>
              </w:rPr>
              <w:t>Second or third in some patients in combination with dexamethasone (Ld)</w:t>
            </w:r>
          </w:p>
        </w:tc>
        <w:tc>
          <w:tcPr>
            <w:tcW w:w="6236" w:type="dxa"/>
          </w:tcPr>
          <w:p w14:paraId="2CB69E1E" w14:textId="77777777" w:rsidR="00DF3EEF" w:rsidRPr="00DF3EEF" w:rsidRDefault="00DF3EEF" w:rsidP="00961295">
            <w:pPr>
              <w:spacing w:before="40" w:after="40" w:line="240" w:lineRule="auto"/>
              <w:rPr>
                <w:rFonts w:ascii="Arial Narrow" w:hAnsi="Arial Narrow"/>
                <w:b/>
                <w:bCs/>
                <w:sz w:val="20"/>
                <w:szCs w:val="20"/>
              </w:rPr>
            </w:pPr>
            <w:r w:rsidRPr="00DF3EEF">
              <w:rPr>
                <w:rFonts w:ascii="Arial Narrow" w:hAnsi="Arial Narrow"/>
                <w:b/>
                <w:bCs/>
                <w:sz w:val="20"/>
                <w:szCs w:val="20"/>
              </w:rPr>
              <w:t>Newly diagnosed</w:t>
            </w:r>
          </w:p>
          <w:p w14:paraId="74DCB777" w14:textId="77777777" w:rsidR="00DF3EEF" w:rsidRPr="00DF3EEF" w:rsidRDefault="00DF3EEF" w:rsidP="00961295">
            <w:pPr>
              <w:spacing w:before="40" w:after="40" w:line="240" w:lineRule="auto"/>
              <w:rPr>
                <w:rFonts w:ascii="Arial Narrow" w:hAnsi="Arial Narrow"/>
                <w:sz w:val="20"/>
                <w:szCs w:val="20"/>
              </w:rPr>
            </w:pPr>
            <w:r w:rsidRPr="00DF3EEF">
              <w:rPr>
                <w:rFonts w:ascii="Arial Narrow" w:hAnsi="Arial Narrow"/>
                <w:sz w:val="20"/>
                <w:szCs w:val="20"/>
                <w:u w:val="single"/>
              </w:rPr>
              <w:t>Ineligible for ASCT</w:t>
            </w:r>
            <w:r w:rsidRPr="00DF3EEF">
              <w:rPr>
                <w:rFonts w:ascii="Arial Narrow" w:hAnsi="Arial Narrow"/>
                <w:sz w:val="20"/>
                <w:szCs w:val="20"/>
              </w:rPr>
              <w:t>:</w:t>
            </w:r>
          </w:p>
          <w:p w14:paraId="527756E0" w14:textId="77777777" w:rsidR="00DF3EEF" w:rsidRPr="00DF3EEF" w:rsidRDefault="00DF3EEF" w:rsidP="00961295">
            <w:pPr>
              <w:pStyle w:val="ListParagraph"/>
              <w:numPr>
                <w:ilvl w:val="0"/>
                <w:numId w:val="15"/>
              </w:numPr>
              <w:spacing w:before="40" w:after="40" w:line="240" w:lineRule="auto"/>
              <w:ind w:left="247" w:hanging="247"/>
              <w:rPr>
                <w:rFonts w:ascii="Arial Narrow" w:hAnsi="Arial Narrow"/>
                <w:sz w:val="20"/>
                <w:szCs w:val="20"/>
              </w:rPr>
            </w:pPr>
            <w:r w:rsidRPr="00DF3EEF">
              <w:rPr>
                <w:rFonts w:ascii="Arial Narrow" w:hAnsi="Arial Narrow"/>
                <w:sz w:val="20"/>
                <w:szCs w:val="20"/>
              </w:rPr>
              <w:t>Combination with dexamethasone (no concomitant bortezomib, thalidomide or its analogues) [Items 11029L, 11036W, 11041D, 11042E, 11055W, 11062F, 11063G, 11064H]</w:t>
            </w:r>
          </w:p>
          <w:p w14:paraId="474CB8F3" w14:textId="77777777" w:rsidR="00DF3EEF" w:rsidRPr="00DF3EEF" w:rsidRDefault="00DF3EEF" w:rsidP="00961295">
            <w:pPr>
              <w:spacing w:before="40" w:after="40" w:line="240" w:lineRule="auto"/>
              <w:rPr>
                <w:rFonts w:ascii="Arial Narrow" w:hAnsi="Arial Narrow"/>
                <w:sz w:val="20"/>
                <w:szCs w:val="20"/>
                <w:u w:val="single"/>
              </w:rPr>
            </w:pPr>
            <w:r w:rsidRPr="00DF3EEF">
              <w:rPr>
                <w:rFonts w:ascii="Arial Narrow" w:hAnsi="Arial Narrow"/>
                <w:sz w:val="20"/>
                <w:szCs w:val="20"/>
                <w:u w:val="single"/>
              </w:rPr>
              <w:t>Previous ASCT, no progression following ASCT</w:t>
            </w:r>
          </w:p>
          <w:p w14:paraId="6560197E" w14:textId="77777777" w:rsidR="00DF3EEF" w:rsidRPr="00DF3EEF" w:rsidRDefault="00DF3EEF" w:rsidP="00961295">
            <w:pPr>
              <w:pStyle w:val="ListParagraph"/>
              <w:numPr>
                <w:ilvl w:val="0"/>
                <w:numId w:val="15"/>
              </w:numPr>
              <w:spacing w:before="40" w:after="40" w:line="240" w:lineRule="auto"/>
              <w:ind w:left="247" w:hanging="247"/>
              <w:rPr>
                <w:rFonts w:ascii="Arial Narrow" w:hAnsi="Arial Narrow"/>
                <w:sz w:val="20"/>
                <w:szCs w:val="20"/>
              </w:rPr>
            </w:pPr>
            <w:r w:rsidRPr="00DF3EEF">
              <w:rPr>
                <w:rFonts w:ascii="Arial Narrow" w:hAnsi="Arial Narrow"/>
                <w:sz w:val="20"/>
                <w:szCs w:val="20"/>
              </w:rPr>
              <w:t>Monotherapy [Items 11964Q, 11965R, 11966T, 11967W, 11968X, 11969Y]</w:t>
            </w:r>
          </w:p>
          <w:p w14:paraId="32BEE119" w14:textId="77777777" w:rsidR="00DF3EEF" w:rsidRPr="00DF3EEF" w:rsidRDefault="00DF3EEF" w:rsidP="00961295">
            <w:pPr>
              <w:spacing w:before="40" w:after="40" w:line="240" w:lineRule="auto"/>
              <w:rPr>
                <w:rFonts w:ascii="Arial Narrow" w:hAnsi="Arial Narrow"/>
                <w:sz w:val="20"/>
                <w:szCs w:val="20"/>
                <w:u w:val="single"/>
              </w:rPr>
            </w:pPr>
            <w:r w:rsidRPr="00DF3EEF">
              <w:rPr>
                <w:rFonts w:ascii="Arial Narrow" w:hAnsi="Arial Narrow"/>
                <w:sz w:val="20"/>
                <w:szCs w:val="20"/>
                <w:u w:val="single"/>
              </w:rPr>
              <w:t>Ineligible for SCT or previous SCT (does not specify)</w:t>
            </w:r>
          </w:p>
          <w:p w14:paraId="5FCE4C41" w14:textId="77777777" w:rsidR="00DF3EEF" w:rsidRPr="00DF3EEF" w:rsidRDefault="00DF3EEF" w:rsidP="00961295">
            <w:pPr>
              <w:pStyle w:val="ListParagraph"/>
              <w:numPr>
                <w:ilvl w:val="0"/>
                <w:numId w:val="15"/>
              </w:numPr>
              <w:spacing w:before="40" w:after="40" w:line="240" w:lineRule="auto"/>
              <w:ind w:left="247" w:hanging="247"/>
              <w:rPr>
                <w:rFonts w:ascii="Arial Narrow" w:hAnsi="Arial Narrow"/>
                <w:sz w:val="20"/>
                <w:szCs w:val="20"/>
                <w:lang w:val="en-US"/>
              </w:rPr>
            </w:pPr>
            <w:r w:rsidRPr="00DF3EEF">
              <w:rPr>
                <w:rFonts w:ascii="Arial Narrow" w:hAnsi="Arial Narrow"/>
                <w:sz w:val="20"/>
                <w:szCs w:val="20"/>
              </w:rPr>
              <w:t>Combination with bortezomib and dexamethasone (no concomitant carfilzomib, thalidomide or its analogues, no prior lenalidomide or bortezomib) [Items 12004T, 12011E, 12012F, 12018M, 12019N, 12020P, 12026Y, 12034J, 12035K, 12036L, 12037M, 12038N, 12039P, 12050F, 12057N, 12058P, 12059Q, 12060R, 12061T, 12062W, 12068E, 12069F, 12070G, 12071H]</w:t>
            </w:r>
          </w:p>
        </w:tc>
      </w:tr>
      <w:tr w:rsidR="00DF3EEF" w:rsidRPr="00516278" w14:paraId="502097D5" w14:textId="77777777" w:rsidTr="00961295">
        <w:tc>
          <w:tcPr>
            <w:tcW w:w="1256" w:type="dxa"/>
            <w:vMerge/>
          </w:tcPr>
          <w:p w14:paraId="09DDE347" w14:textId="77777777" w:rsidR="00DF3EEF" w:rsidRPr="00516278" w:rsidRDefault="00DF3EEF" w:rsidP="00961295">
            <w:pPr>
              <w:spacing w:before="40" w:after="40" w:line="240" w:lineRule="auto"/>
              <w:rPr>
                <w:rFonts w:ascii="Arial Narrow" w:hAnsi="Arial Narrow"/>
                <w:sz w:val="20"/>
                <w:szCs w:val="20"/>
              </w:rPr>
            </w:pPr>
          </w:p>
        </w:tc>
        <w:tc>
          <w:tcPr>
            <w:tcW w:w="1858" w:type="dxa"/>
            <w:vMerge/>
          </w:tcPr>
          <w:p w14:paraId="2064DF0E" w14:textId="77777777" w:rsidR="00DF3EEF" w:rsidRPr="00DF3EEF" w:rsidRDefault="00DF3EEF" w:rsidP="00961295">
            <w:pPr>
              <w:spacing w:before="40" w:after="40" w:line="240" w:lineRule="auto"/>
              <w:rPr>
                <w:rFonts w:ascii="Arial Narrow" w:hAnsi="Arial Narrow"/>
                <w:sz w:val="20"/>
                <w:szCs w:val="20"/>
              </w:rPr>
            </w:pPr>
          </w:p>
        </w:tc>
        <w:tc>
          <w:tcPr>
            <w:tcW w:w="6236" w:type="dxa"/>
          </w:tcPr>
          <w:p w14:paraId="58CDE1C5" w14:textId="77777777" w:rsidR="00DF3EEF" w:rsidRPr="00DF3EEF" w:rsidRDefault="00DF3EEF" w:rsidP="00961295">
            <w:pPr>
              <w:spacing w:before="40" w:after="40" w:line="240" w:lineRule="auto"/>
              <w:rPr>
                <w:rFonts w:ascii="Arial Narrow" w:hAnsi="Arial Narrow"/>
                <w:b/>
                <w:bCs/>
                <w:sz w:val="20"/>
                <w:szCs w:val="20"/>
                <w:lang w:val="en-US"/>
              </w:rPr>
            </w:pPr>
            <w:r w:rsidRPr="00DF3EEF">
              <w:rPr>
                <w:rFonts w:ascii="Arial Narrow" w:hAnsi="Arial Narrow"/>
                <w:b/>
                <w:bCs/>
                <w:sz w:val="20"/>
                <w:szCs w:val="20"/>
                <w:lang w:val="en-US"/>
              </w:rPr>
              <w:t>Progressive disease after at least one prior therapy</w:t>
            </w:r>
          </w:p>
          <w:p w14:paraId="6D5B198E" w14:textId="77777777" w:rsidR="00DF3EEF" w:rsidRPr="00DF3EEF" w:rsidRDefault="00DF3EEF" w:rsidP="00961295">
            <w:pPr>
              <w:spacing w:before="40" w:after="40" w:line="240" w:lineRule="auto"/>
              <w:rPr>
                <w:rFonts w:ascii="Arial Narrow" w:hAnsi="Arial Narrow"/>
                <w:b/>
                <w:bCs/>
                <w:sz w:val="20"/>
                <w:szCs w:val="20"/>
                <w:lang w:val="en-US"/>
              </w:rPr>
            </w:pPr>
            <w:r w:rsidRPr="00DF3EEF">
              <w:rPr>
                <w:rFonts w:ascii="Arial Narrow" w:hAnsi="Arial Narrow"/>
                <w:sz w:val="20"/>
                <w:szCs w:val="20"/>
                <w:u w:val="single"/>
              </w:rPr>
              <w:t>Ineligible for SCT or previous SCT</w:t>
            </w:r>
          </w:p>
          <w:p w14:paraId="5AF0585E" w14:textId="77777777" w:rsidR="00DF3EEF" w:rsidRPr="00DF3EEF" w:rsidRDefault="00DF3EEF" w:rsidP="00961295">
            <w:pPr>
              <w:pStyle w:val="ListParagraph"/>
              <w:numPr>
                <w:ilvl w:val="0"/>
                <w:numId w:val="15"/>
              </w:numPr>
              <w:spacing w:before="40" w:after="40" w:line="240" w:lineRule="auto"/>
              <w:ind w:left="247" w:hanging="247"/>
              <w:rPr>
                <w:rFonts w:ascii="Arial Narrow" w:hAnsi="Arial Narrow"/>
                <w:b/>
                <w:bCs/>
                <w:sz w:val="20"/>
                <w:szCs w:val="20"/>
              </w:rPr>
            </w:pPr>
            <w:r w:rsidRPr="00DF3EEF">
              <w:rPr>
                <w:rFonts w:ascii="Arial Narrow" w:hAnsi="Arial Narrow"/>
                <w:sz w:val="20"/>
                <w:szCs w:val="20"/>
              </w:rPr>
              <w:t xml:space="preserve">Monotherapy or combination with dexamethasone (no concomitant bortezomib, </w:t>
            </w:r>
            <w:r w:rsidRPr="00DF3EEF">
              <w:rPr>
                <w:rFonts w:ascii="Arial Narrow" w:hAnsi="Arial Narrow"/>
                <w:sz w:val="20"/>
                <w:szCs w:val="20"/>
                <w:lang w:val="en-US"/>
              </w:rPr>
              <w:t>carfilzomib</w:t>
            </w:r>
            <w:r w:rsidRPr="00DF3EEF">
              <w:rPr>
                <w:rFonts w:ascii="Arial Narrow" w:hAnsi="Arial Narrow"/>
                <w:sz w:val="20"/>
                <w:szCs w:val="20"/>
              </w:rPr>
              <w:t xml:space="preserve"> or thalidomide or its analogues) [Items 5783J, 5784K, 5785L, 5786M, 9642L, 9643M, 9644N, 9645P]</w:t>
            </w:r>
          </w:p>
        </w:tc>
      </w:tr>
      <w:tr w:rsidR="00DF3EEF" w:rsidRPr="00516278" w14:paraId="366ED943" w14:textId="77777777" w:rsidTr="00961295">
        <w:tc>
          <w:tcPr>
            <w:tcW w:w="1256" w:type="dxa"/>
          </w:tcPr>
          <w:p w14:paraId="738A21EC" w14:textId="77777777" w:rsidR="00DF3EEF" w:rsidRPr="00516278" w:rsidRDefault="00DF3EEF" w:rsidP="00961295">
            <w:pPr>
              <w:spacing w:before="40" w:after="40" w:line="240" w:lineRule="auto"/>
              <w:rPr>
                <w:rFonts w:ascii="Arial Narrow" w:hAnsi="Arial Narrow"/>
                <w:sz w:val="20"/>
                <w:szCs w:val="20"/>
              </w:rPr>
            </w:pPr>
            <w:r w:rsidRPr="00516278">
              <w:rPr>
                <w:rFonts w:ascii="Arial Narrow" w:hAnsi="Arial Narrow"/>
                <w:sz w:val="20"/>
                <w:szCs w:val="20"/>
              </w:rPr>
              <w:t>Daratumumab</w:t>
            </w:r>
          </w:p>
        </w:tc>
        <w:tc>
          <w:tcPr>
            <w:tcW w:w="1858" w:type="dxa"/>
          </w:tcPr>
          <w:p w14:paraId="15445F96" w14:textId="77777777" w:rsidR="00DF3EEF" w:rsidRPr="00DF3EEF" w:rsidRDefault="00DF3EEF" w:rsidP="00961295">
            <w:pPr>
              <w:spacing w:before="40" w:after="40" w:line="240" w:lineRule="auto"/>
              <w:rPr>
                <w:rFonts w:ascii="Arial Narrow" w:hAnsi="Arial Narrow"/>
                <w:sz w:val="20"/>
                <w:szCs w:val="20"/>
              </w:rPr>
            </w:pPr>
            <w:r w:rsidRPr="00DF3EEF">
              <w:rPr>
                <w:rFonts w:ascii="Arial Narrow" w:hAnsi="Arial Narrow"/>
                <w:sz w:val="20"/>
                <w:szCs w:val="20"/>
              </w:rPr>
              <w:t>Second line in combination with bortezomib and dexamethasone (DBd)</w:t>
            </w:r>
          </w:p>
        </w:tc>
        <w:tc>
          <w:tcPr>
            <w:tcW w:w="6236" w:type="dxa"/>
          </w:tcPr>
          <w:p w14:paraId="7B13B2EA" w14:textId="4CABA60B" w:rsidR="00DF3EEF" w:rsidRPr="00DF3EEF" w:rsidRDefault="00DF3EEF" w:rsidP="00961295">
            <w:pPr>
              <w:spacing w:before="40" w:after="40" w:line="240" w:lineRule="auto"/>
              <w:rPr>
                <w:rFonts w:ascii="Arial Narrow" w:hAnsi="Arial Narrow"/>
                <w:b/>
                <w:bCs/>
                <w:sz w:val="20"/>
                <w:szCs w:val="20"/>
              </w:rPr>
            </w:pPr>
            <w:r w:rsidRPr="00DF3EEF">
              <w:rPr>
                <w:rFonts w:ascii="Arial Narrow" w:hAnsi="Arial Narrow"/>
                <w:b/>
                <w:bCs/>
                <w:sz w:val="20"/>
                <w:szCs w:val="20"/>
              </w:rPr>
              <w:t xml:space="preserve">Relapsed and/or refractory MM, progressive disease </w:t>
            </w:r>
            <w:r w:rsidRPr="00DF3EEF">
              <w:rPr>
                <w:rFonts w:ascii="Arial Narrow" w:hAnsi="Arial Narrow"/>
                <w:b/>
                <w:bCs/>
                <w:sz w:val="20"/>
                <w:szCs w:val="20"/>
                <w:u w:val="single"/>
              </w:rPr>
              <w:t xml:space="preserve">after only one prior therapy </w:t>
            </w:r>
            <w:r w:rsidRPr="00DF3EEF">
              <w:rPr>
                <w:rFonts w:ascii="Arial Narrow" w:hAnsi="Arial Narrow"/>
                <w:b/>
                <w:bCs/>
                <w:sz w:val="20"/>
                <w:szCs w:val="20"/>
              </w:rPr>
              <w:t>(i.e. use must be as second</w:t>
            </w:r>
            <w:r w:rsidR="00D31934">
              <w:rPr>
                <w:rFonts w:ascii="Arial Narrow" w:hAnsi="Arial Narrow"/>
                <w:b/>
                <w:bCs/>
                <w:sz w:val="20"/>
                <w:szCs w:val="20"/>
              </w:rPr>
              <w:t xml:space="preserve"> </w:t>
            </w:r>
            <w:r w:rsidRPr="00DF3EEF">
              <w:rPr>
                <w:rFonts w:ascii="Arial Narrow" w:hAnsi="Arial Narrow"/>
                <w:b/>
                <w:bCs/>
                <w:sz w:val="20"/>
                <w:szCs w:val="20"/>
              </w:rPr>
              <w:t>line drug therapy; use as third</w:t>
            </w:r>
            <w:r w:rsidR="00D31934">
              <w:rPr>
                <w:rFonts w:ascii="Arial Narrow" w:hAnsi="Arial Narrow"/>
                <w:b/>
                <w:bCs/>
                <w:sz w:val="20"/>
                <w:szCs w:val="20"/>
              </w:rPr>
              <w:t xml:space="preserve"> </w:t>
            </w:r>
            <w:r w:rsidRPr="00DF3EEF">
              <w:rPr>
                <w:rFonts w:ascii="Arial Narrow" w:hAnsi="Arial Narrow"/>
                <w:b/>
                <w:bCs/>
                <w:sz w:val="20"/>
                <w:szCs w:val="20"/>
              </w:rPr>
              <w:t>line drug therapy or beyond is not PBS-subsidised</w:t>
            </w:r>
            <w:r w:rsidRPr="00DF3EEF">
              <w:rPr>
                <w:rFonts w:ascii="Arial Narrow" w:hAnsi="Arial Narrow"/>
                <w:sz w:val="20"/>
                <w:szCs w:val="20"/>
              </w:rPr>
              <w:t xml:space="preserve"> [Items 12228N, 12230Q)</w:t>
            </w:r>
          </w:p>
          <w:p w14:paraId="3DC3A867" w14:textId="77777777" w:rsidR="00DF3EEF" w:rsidRPr="00DF3EEF" w:rsidRDefault="00DF3EEF" w:rsidP="00961295">
            <w:pPr>
              <w:pStyle w:val="ListParagraph"/>
              <w:numPr>
                <w:ilvl w:val="0"/>
                <w:numId w:val="15"/>
              </w:numPr>
              <w:spacing w:before="40" w:after="40" w:line="240" w:lineRule="auto"/>
              <w:ind w:left="247" w:hanging="247"/>
              <w:rPr>
                <w:rFonts w:ascii="Arial Narrow" w:hAnsi="Arial Narrow"/>
                <w:sz w:val="20"/>
                <w:szCs w:val="20"/>
                <w:lang w:val="en-US"/>
              </w:rPr>
            </w:pPr>
            <w:r w:rsidRPr="00DF3EEF">
              <w:rPr>
                <w:rFonts w:ascii="Arial Narrow" w:hAnsi="Arial Narrow"/>
                <w:sz w:val="20"/>
                <w:szCs w:val="20"/>
              </w:rPr>
              <w:t xml:space="preserve">Combination with bortezomib and dexamethasone (no concomitant carfilzomib, thalidomide or its analogues and no concomitant bortezomib from week 25) </w:t>
            </w:r>
          </w:p>
        </w:tc>
      </w:tr>
      <w:tr w:rsidR="00DF3EEF" w:rsidRPr="00516278" w14:paraId="547444A2" w14:textId="77777777" w:rsidTr="00961295">
        <w:tc>
          <w:tcPr>
            <w:tcW w:w="1256" w:type="dxa"/>
          </w:tcPr>
          <w:p w14:paraId="71F995B7" w14:textId="77777777" w:rsidR="00DF3EEF" w:rsidRPr="00516278" w:rsidRDefault="00DF3EEF" w:rsidP="00961295">
            <w:pPr>
              <w:spacing w:before="40" w:after="40" w:line="240" w:lineRule="auto"/>
              <w:rPr>
                <w:rFonts w:ascii="Arial Narrow" w:hAnsi="Arial Narrow"/>
                <w:sz w:val="20"/>
                <w:szCs w:val="20"/>
              </w:rPr>
            </w:pPr>
            <w:r w:rsidRPr="00516278">
              <w:rPr>
                <w:rFonts w:ascii="Arial Narrow" w:hAnsi="Arial Narrow"/>
                <w:sz w:val="20"/>
                <w:szCs w:val="20"/>
              </w:rPr>
              <w:t>Thalidomide</w:t>
            </w:r>
          </w:p>
        </w:tc>
        <w:tc>
          <w:tcPr>
            <w:tcW w:w="1858" w:type="dxa"/>
          </w:tcPr>
          <w:p w14:paraId="0EF170C4" w14:textId="77777777" w:rsidR="00DF3EEF" w:rsidRPr="00DF3EEF" w:rsidRDefault="00DF3EEF" w:rsidP="00961295">
            <w:pPr>
              <w:spacing w:before="40" w:after="40" w:line="240" w:lineRule="auto"/>
              <w:rPr>
                <w:rFonts w:ascii="Arial Narrow" w:hAnsi="Arial Narrow"/>
                <w:sz w:val="20"/>
                <w:szCs w:val="20"/>
              </w:rPr>
            </w:pPr>
            <w:r w:rsidRPr="00DF3EEF">
              <w:rPr>
                <w:rFonts w:ascii="Arial Narrow" w:hAnsi="Arial Narrow"/>
                <w:sz w:val="20"/>
                <w:szCs w:val="20"/>
              </w:rPr>
              <w:t>Second line in bortezomib refractory patients</w:t>
            </w:r>
          </w:p>
        </w:tc>
        <w:tc>
          <w:tcPr>
            <w:tcW w:w="6236" w:type="dxa"/>
            <w:vAlign w:val="center"/>
          </w:tcPr>
          <w:p w14:paraId="5F7FB63D" w14:textId="77777777" w:rsidR="00DF3EEF" w:rsidRPr="00DF3EEF" w:rsidRDefault="00DF3EEF" w:rsidP="00961295">
            <w:pPr>
              <w:spacing w:before="40" w:after="40" w:line="240" w:lineRule="auto"/>
              <w:rPr>
                <w:rFonts w:ascii="Arial Narrow" w:hAnsi="Arial Narrow"/>
                <w:sz w:val="20"/>
                <w:szCs w:val="20"/>
              </w:rPr>
            </w:pPr>
            <w:r w:rsidRPr="00DF3EEF">
              <w:rPr>
                <w:rFonts w:ascii="Arial Narrow" w:hAnsi="Arial Narrow"/>
                <w:b/>
                <w:bCs/>
                <w:sz w:val="20"/>
                <w:szCs w:val="20"/>
              </w:rPr>
              <w:t>Multiple myeloma</w:t>
            </w:r>
            <w:r w:rsidRPr="00DF3EEF">
              <w:rPr>
                <w:rFonts w:ascii="Arial Narrow" w:hAnsi="Arial Narrow"/>
                <w:sz w:val="20"/>
                <w:szCs w:val="20"/>
              </w:rPr>
              <w:t xml:space="preserve"> (no further restriction) [Items 6469L, 9566L, 9667T, 9684Q]</w:t>
            </w:r>
          </w:p>
        </w:tc>
      </w:tr>
      <w:tr w:rsidR="00DF3EEF" w:rsidRPr="00516278" w14:paraId="3517E4BA" w14:textId="77777777" w:rsidTr="00961295">
        <w:tc>
          <w:tcPr>
            <w:tcW w:w="1256" w:type="dxa"/>
          </w:tcPr>
          <w:p w14:paraId="480833A4" w14:textId="77777777" w:rsidR="00DF3EEF" w:rsidRPr="00516278" w:rsidRDefault="00DF3EEF" w:rsidP="00961295">
            <w:pPr>
              <w:tabs>
                <w:tab w:val="left" w:pos="2071"/>
              </w:tabs>
              <w:spacing w:before="40" w:after="40" w:line="240" w:lineRule="auto"/>
              <w:rPr>
                <w:rFonts w:ascii="Arial Narrow" w:hAnsi="Arial Narrow"/>
                <w:sz w:val="20"/>
                <w:szCs w:val="20"/>
              </w:rPr>
            </w:pPr>
            <w:r w:rsidRPr="00516278">
              <w:rPr>
                <w:rFonts w:ascii="Arial Narrow" w:hAnsi="Arial Narrow"/>
                <w:sz w:val="20"/>
                <w:szCs w:val="20"/>
              </w:rPr>
              <w:t>Carfilzomib</w:t>
            </w:r>
          </w:p>
        </w:tc>
        <w:tc>
          <w:tcPr>
            <w:tcW w:w="1858" w:type="dxa"/>
          </w:tcPr>
          <w:p w14:paraId="7DB1F756" w14:textId="77777777" w:rsidR="00DF3EEF" w:rsidRPr="00DF3EEF" w:rsidRDefault="00DF3EEF" w:rsidP="00961295">
            <w:pPr>
              <w:spacing w:before="40" w:after="40" w:line="240" w:lineRule="auto"/>
              <w:rPr>
                <w:rFonts w:ascii="Arial Narrow" w:hAnsi="Arial Narrow"/>
                <w:sz w:val="20"/>
                <w:szCs w:val="20"/>
              </w:rPr>
            </w:pPr>
            <w:r w:rsidRPr="00DF3EEF">
              <w:rPr>
                <w:rFonts w:ascii="Arial Narrow" w:hAnsi="Arial Narrow"/>
                <w:sz w:val="20"/>
                <w:szCs w:val="20"/>
              </w:rPr>
              <w:t>Second, third, or fourth line in combination with dexamethasone (Cd)</w:t>
            </w:r>
          </w:p>
        </w:tc>
        <w:tc>
          <w:tcPr>
            <w:tcW w:w="6236" w:type="dxa"/>
          </w:tcPr>
          <w:p w14:paraId="2F6A9980" w14:textId="77777777" w:rsidR="00DF3EEF" w:rsidRPr="00DF3EEF" w:rsidRDefault="00DF3EEF" w:rsidP="00961295">
            <w:pPr>
              <w:spacing w:before="40" w:after="40" w:line="240" w:lineRule="auto"/>
              <w:rPr>
                <w:rFonts w:ascii="Arial Narrow" w:hAnsi="Arial Narrow"/>
                <w:sz w:val="20"/>
                <w:szCs w:val="20"/>
              </w:rPr>
            </w:pPr>
            <w:r w:rsidRPr="00DF3EEF">
              <w:rPr>
                <w:rFonts w:ascii="Arial Narrow" w:hAnsi="Arial Narrow"/>
                <w:b/>
                <w:bCs/>
                <w:sz w:val="20"/>
                <w:szCs w:val="20"/>
              </w:rPr>
              <w:t>Progressive disease after at least one prior therapy</w:t>
            </w:r>
            <w:r w:rsidRPr="00DF3EEF">
              <w:rPr>
                <w:rFonts w:ascii="Arial Narrow" w:hAnsi="Arial Narrow"/>
                <w:sz w:val="20"/>
                <w:szCs w:val="20"/>
              </w:rPr>
              <w:t xml:space="preserve"> </w:t>
            </w:r>
          </w:p>
          <w:p w14:paraId="278F95B3" w14:textId="77777777" w:rsidR="00DF3EEF" w:rsidRPr="00DF3EEF" w:rsidRDefault="00DF3EEF" w:rsidP="00961295">
            <w:pPr>
              <w:spacing w:before="40" w:after="40" w:line="240" w:lineRule="auto"/>
              <w:rPr>
                <w:rFonts w:ascii="Arial Narrow" w:hAnsi="Arial Narrow"/>
                <w:b/>
                <w:bCs/>
                <w:sz w:val="20"/>
                <w:szCs w:val="20"/>
                <w:lang w:val="en-US"/>
              </w:rPr>
            </w:pPr>
            <w:r w:rsidRPr="00DF3EEF">
              <w:rPr>
                <w:rFonts w:ascii="Arial Narrow" w:hAnsi="Arial Narrow"/>
                <w:sz w:val="20"/>
                <w:szCs w:val="20"/>
                <w:u w:val="single"/>
              </w:rPr>
              <w:t>Ineligible for SCT or previous SCT</w:t>
            </w:r>
          </w:p>
          <w:p w14:paraId="4A6EB178" w14:textId="77777777" w:rsidR="00DF3EEF" w:rsidRPr="00DF3EEF" w:rsidRDefault="00DF3EEF" w:rsidP="00961295">
            <w:pPr>
              <w:pStyle w:val="ListParagraph"/>
              <w:numPr>
                <w:ilvl w:val="0"/>
                <w:numId w:val="15"/>
              </w:numPr>
              <w:spacing w:before="40" w:after="40" w:line="240" w:lineRule="auto"/>
              <w:ind w:left="247" w:hanging="247"/>
              <w:rPr>
                <w:rFonts w:ascii="Arial Narrow" w:hAnsi="Arial Narrow"/>
                <w:sz w:val="20"/>
                <w:szCs w:val="20"/>
              </w:rPr>
            </w:pPr>
            <w:r w:rsidRPr="00DF3EEF">
              <w:rPr>
                <w:rFonts w:ascii="Arial Narrow" w:hAnsi="Arial Narrow"/>
                <w:sz w:val="20"/>
                <w:szCs w:val="20"/>
              </w:rPr>
              <w:t>Combination with dexamethasone (no concomitant bortezomib, thalidomide or its analogues) [Items 11229B, 11230C, 12243J, 12244K]</w:t>
            </w:r>
          </w:p>
        </w:tc>
      </w:tr>
      <w:tr w:rsidR="00DF3EEF" w:rsidRPr="00516278" w14:paraId="580ABDEE" w14:textId="77777777" w:rsidTr="00961295">
        <w:tc>
          <w:tcPr>
            <w:tcW w:w="1256" w:type="dxa"/>
            <w:vMerge w:val="restart"/>
          </w:tcPr>
          <w:p w14:paraId="4134519E" w14:textId="77777777" w:rsidR="00DF3EEF" w:rsidRPr="00516278" w:rsidRDefault="00DF3EEF" w:rsidP="00961295">
            <w:pPr>
              <w:spacing w:before="40" w:after="40" w:line="240" w:lineRule="auto"/>
              <w:rPr>
                <w:rFonts w:ascii="Arial Narrow" w:hAnsi="Arial Narrow"/>
                <w:sz w:val="20"/>
                <w:szCs w:val="20"/>
              </w:rPr>
            </w:pPr>
            <w:r w:rsidRPr="00516278">
              <w:rPr>
                <w:rFonts w:ascii="Arial Narrow" w:hAnsi="Arial Narrow"/>
                <w:sz w:val="20"/>
                <w:szCs w:val="20"/>
              </w:rPr>
              <w:lastRenderedPageBreak/>
              <w:t>Pomalidomide</w:t>
            </w:r>
          </w:p>
        </w:tc>
        <w:tc>
          <w:tcPr>
            <w:tcW w:w="1858" w:type="dxa"/>
            <w:vMerge w:val="restart"/>
          </w:tcPr>
          <w:p w14:paraId="0F2BF417" w14:textId="77777777" w:rsidR="00DF3EEF" w:rsidRPr="00DF3EEF" w:rsidRDefault="00DF3EEF" w:rsidP="00961295">
            <w:pPr>
              <w:spacing w:before="40" w:after="40" w:line="240" w:lineRule="auto"/>
              <w:rPr>
                <w:rFonts w:ascii="Arial Narrow" w:hAnsi="Arial Narrow"/>
                <w:sz w:val="20"/>
                <w:szCs w:val="20"/>
              </w:rPr>
            </w:pPr>
            <w:r w:rsidRPr="00DF3EEF">
              <w:rPr>
                <w:rFonts w:ascii="Arial Narrow" w:hAnsi="Arial Narrow"/>
                <w:sz w:val="20"/>
                <w:szCs w:val="20"/>
              </w:rPr>
              <w:t>Fourth line in combination with dexamethasone</w:t>
            </w:r>
          </w:p>
          <w:p w14:paraId="243FDA18" w14:textId="77777777" w:rsidR="00DF3EEF" w:rsidRPr="00DF3EEF" w:rsidRDefault="00DF3EEF" w:rsidP="00961295">
            <w:pPr>
              <w:spacing w:before="40" w:after="40" w:line="240" w:lineRule="auto"/>
              <w:rPr>
                <w:rFonts w:ascii="Arial Narrow" w:hAnsi="Arial Narrow"/>
                <w:sz w:val="20"/>
                <w:szCs w:val="20"/>
              </w:rPr>
            </w:pPr>
            <w:r w:rsidRPr="00DF3EEF">
              <w:rPr>
                <w:rFonts w:ascii="Arial Narrow" w:hAnsi="Arial Narrow"/>
                <w:sz w:val="20"/>
                <w:szCs w:val="20"/>
              </w:rPr>
              <w:t>(some patients in third line in combination with dexamethasone) (Pd)</w:t>
            </w:r>
          </w:p>
        </w:tc>
        <w:tc>
          <w:tcPr>
            <w:tcW w:w="6236" w:type="dxa"/>
          </w:tcPr>
          <w:p w14:paraId="409E85FD" w14:textId="77777777" w:rsidR="00DF3EEF" w:rsidRPr="00DF3EEF" w:rsidRDefault="00DF3EEF" w:rsidP="00961295">
            <w:pPr>
              <w:spacing w:before="40" w:after="40" w:line="240" w:lineRule="auto"/>
              <w:rPr>
                <w:rFonts w:ascii="Arial Narrow" w:hAnsi="Arial Narrow"/>
                <w:b/>
                <w:bCs/>
                <w:sz w:val="20"/>
                <w:szCs w:val="20"/>
              </w:rPr>
            </w:pPr>
            <w:r w:rsidRPr="00DF3EEF">
              <w:rPr>
                <w:rFonts w:ascii="Arial Narrow" w:hAnsi="Arial Narrow"/>
                <w:b/>
                <w:bCs/>
                <w:sz w:val="20"/>
                <w:szCs w:val="20"/>
              </w:rPr>
              <w:t>Treatment failure with lenalidomide AND bortezomib, unless contraindicated or not tolerated according to the Therapeutic Goods Administration (TGA) approved Product Information</w:t>
            </w:r>
          </w:p>
          <w:p w14:paraId="1C870863" w14:textId="77777777" w:rsidR="00DF3EEF" w:rsidRPr="00DF3EEF" w:rsidRDefault="00DF3EEF" w:rsidP="00961295">
            <w:pPr>
              <w:spacing w:before="40" w:after="40" w:line="240" w:lineRule="auto"/>
              <w:rPr>
                <w:rFonts w:ascii="Arial Narrow" w:hAnsi="Arial Narrow"/>
                <w:b/>
                <w:bCs/>
                <w:sz w:val="20"/>
                <w:szCs w:val="20"/>
                <w:lang w:val="en-US"/>
              </w:rPr>
            </w:pPr>
            <w:r w:rsidRPr="00DF3EEF">
              <w:rPr>
                <w:rFonts w:ascii="Arial Narrow" w:hAnsi="Arial Narrow"/>
                <w:sz w:val="20"/>
                <w:szCs w:val="20"/>
                <w:u w:val="single"/>
              </w:rPr>
              <w:t>Ineligible for SCT or previous SCT</w:t>
            </w:r>
          </w:p>
          <w:p w14:paraId="035990C4" w14:textId="77777777" w:rsidR="00DF3EEF" w:rsidRPr="00DF3EEF" w:rsidRDefault="00DF3EEF" w:rsidP="00961295">
            <w:pPr>
              <w:pStyle w:val="ListParagraph"/>
              <w:numPr>
                <w:ilvl w:val="0"/>
                <w:numId w:val="15"/>
              </w:numPr>
              <w:spacing w:before="40" w:after="40" w:line="240" w:lineRule="auto"/>
              <w:ind w:left="247" w:hanging="247"/>
              <w:rPr>
                <w:rFonts w:ascii="Arial Narrow" w:hAnsi="Arial Narrow"/>
                <w:sz w:val="20"/>
                <w:szCs w:val="20"/>
              </w:rPr>
            </w:pPr>
            <w:r w:rsidRPr="00DF3EEF">
              <w:rPr>
                <w:rFonts w:ascii="Arial Narrow" w:hAnsi="Arial Narrow"/>
                <w:sz w:val="20"/>
                <w:szCs w:val="20"/>
              </w:rPr>
              <w:t>Combination with dexamethasone (no concomitant bortezomib, carfilzomib or thalidomide or its analogues) [Items 10387Q, 10406Q, 10417G]</w:t>
            </w:r>
          </w:p>
        </w:tc>
      </w:tr>
      <w:tr w:rsidR="00DF3EEF" w:rsidRPr="00516278" w14:paraId="74E7DD61" w14:textId="77777777" w:rsidTr="00961295">
        <w:tc>
          <w:tcPr>
            <w:tcW w:w="1256" w:type="dxa"/>
            <w:vMerge/>
          </w:tcPr>
          <w:p w14:paraId="6716F1E4" w14:textId="77777777" w:rsidR="00DF3EEF" w:rsidRPr="00516278" w:rsidRDefault="00DF3EEF" w:rsidP="00961295">
            <w:pPr>
              <w:spacing w:before="40" w:after="40" w:line="240" w:lineRule="auto"/>
              <w:rPr>
                <w:rFonts w:ascii="Arial Narrow" w:hAnsi="Arial Narrow"/>
                <w:sz w:val="20"/>
                <w:szCs w:val="20"/>
              </w:rPr>
            </w:pPr>
          </w:p>
        </w:tc>
        <w:tc>
          <w:tcPr>
            <w:tcW w:w="1858" w:type="dxa"/>
            <w:vMerge/>
          </w:tcPr>
          <w:p w14:paraId="764AAF8F" w14:textId="77777777" w:rsidR="00DF3EEF" w:rsidRPr="00DF3EEF" w:rsidRDefault="00DF3EEF" w:rsidP="00961295">
            <w:pPr>
              <w:spacing w:before="40" w:after="40" w:line="240" w:lineRule="auto"/>
              <w:rPr>
                <w:rFonts w:ascii="Arial Narrow" w:hAnsi="Arial Narrow"/>
                <w:sz w:val="20"/>
                <w:szCs w:val="20"/>
              </w:rPr>
            </w:pPr>
          </w:p>
        </w:tc>
        <w:tc>
          <w:tcPr>
            <w:tcW w:w="6236" w:type="dxa"/>
          </w:tcPr>
          <w:p w14:paraId="2A3E0B32" w14:textId="77777777" w:rsidR="00DF3EEF" w:rsidRPr="00DF3EEF" w:rsidRDefault="00DF3EEF" w:rsidP="00961295">
            <w:pPr>
              <w:spacing w:before="40" w:after="40" w:line="240" w:lineRule="auto"/>
              <w:rPr>
                <w:rFonts w:ascii="Arial Narrow" w:hAnsi="Arial Narrow"/>
                <w:b/>
                <w:bCs/>
                <w:sz w:val="20"/>
                <w:szCs w:val="20"/>
              </w:rPr>
            </w:pPr>
            <w:r w:rsidRPr="00DF3EEF">
              <w:rPr>
                <w:rFonts w:ascii="Arial Narrow" w:hAnsi="Arial Narrow"/>
                <w:b/>
                <w:bCs/>
                <w:sz w:val="20"/>
                <w:szCs w:val="20"/>
              </w:rPr>
              <w:t>Progressive disease after at least one prior therapy that is either (i) lenalidomide monotherapy or (ii) contains lenalidomide</w:t>
            </w:r>
          </w:p>
          <w:p w14:paraId="29403596" w14:textId="77777777" w:rsidR="00DF3EEF" w:rsidRPr="00DF3EEF" w:rsidRDefault="00DF3EEF" w:rsidP="00961295">
            <w:pPr>
              <w:spacing w:before="40" w:after="40" w:line="240" w:lineRule="auto"/>
              <w:rPr>
                <w:rFonts w:ascii="Arial Narrow" w:hAnsi="Arial Narrow"/>
                <w:b/>
                <w:bCs/>
                <w:sz w:val="20"/>
                <w:szCs w:val="20"/>
                <w:lang w:val="en-US"/>
              </w:rPr>
            </w:pPr>
            <w:r w:rsidRPr="00DF3EEF">
              <w:rPr>
                <w:rFonts w:ascii="Arial Narrow" w:hAnsi="Arial Narrow"/>
                <w:sz w:val="20"/>
                <w:szCs w:val="20"/>
                <w:u w:val="single"/>
              </w:rPr>
              <w:t>Ineligible for SCT or previous SCT</w:t>
            </w:r>
          </w:p>
          <w:p w14:paraId="1F548CB7" w14:textId="77777777" w:rsidR="00DF3EEF" w:rsidRPr="00DF3EEF" w:rsidRDefault="00DF3EEF" w:rsidP="00961295">
            <w:pPr>
              <w:pStyle w:val="ListParagraph"/>
              <w:numPr>
                <w:ilvl w:val="0"/>
                <w:numId w:val="15"/>
              </w:numPr>
              <w:spacing w:before="40" w:after="40" w:line="240" w:lineRule="auto"/>
              <w:ind w:left="247" w:hanging="247"/>
              <w:rPr>
                <w:rFonts w:ascii="Arial Narrow" w:hAnsi="Arial Narrow"/>
                <w:b/>
                <w:bCs/>
                <w:sz w:val="20"/>
                <w:szCs w:val="20"/>
              </w:rPr>
            </w:pPr>
            <w:r w:rsidRPr="00DF3EEF">
              <w:rPr>
                <w:rFonts w:ascii="Arial Narrow" w:hAnsi="Arial Narrow"/>
                <w:sz w:val="20"/>
                <w:szCs w:val="20"/>
              </w:rPr>
              <w:t>Combination with bortezomib and dexamethasone (no concomitant carfilzomib or thalidomide or its analogues) [Items 12661J, 12665N, 12666P, 12668R]</w:t>
            </w:r>
          </w:p>
        </w:tc>
      </w:tr>
    </w:tbl>
    <w:p w14:paraId="5C289F5A" w14:textId="6B46FC2F" w:rsidR="00DF3EEF" w:rsidRPr="00E73E96" w:rsidRDefault="00DF3EEF" w:rsidP="00DF3EEF">
      <w:r w:rsidRPr="00DF3EEF">
        <w:rPr>
          <w:rFonts w:ascii="Arial Narrow" w:hAnsi="Arial Narrow"/>
          <w:color w:val="000000" w:themeColor="text1"/>
          <w:sz w:val="18"/>
          <w:szCs w:val="18"/>
        </w:rPr>
        <w:t>Source: Figure 8, 24 of the application and the respective PBS restrictions for the therapies presented</w:t>
      </w:r>
    </w:p>
    <w:sectPr w:rsidR="00DF3EEF" w:rsidRPr="00E73E96" w:rsidSect="00AE6FE0">
      <w:pgSz w:w="11906" w:h="16838"/>
      <w:pgMar w:top="682" w:right="1134" w:bottom="1021"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B50157" w14:textId="77777777" w:rsidR="00EA28AA" w:rsidRDefault="00EA28AA" w:rsidP="0016315C">
      <w:pPr>
        <w:spacing w:after="0" w:line="240" w:lineRule="auto"/>
      </w:pPr>
      <w:r>
        <w:separator/>
      </w:r>
    </w:p>
  </w:endnote>
  <w:endnote w:type="continuationSeparator" w:id="0">
    <w:p w14:paraId="42E62F7A" w14:textId="77777777" w:rsidR="00EA28AA" w:rsidRDefault="00EA28AA" w:rsidP="001631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92114567"/>
      <w:docPartObj>
        <w:docPartGallery w:val="Page Numbers (Bottom of Page)"/>
        <w:docPartUnique/>
      </w:docPartObj>
    </w:sdtPr>
    <w:sdtEndPr>
      <w:rPr>
        <w:rStyle w:val="PageNumber"/>
      </w:rPr>
    </w:sdtEndPr>
    <w:sdtContent>
      <w:p w14:paraId="2F61D3D2" w14:textId="66E4C48E" w:rsidR="00EA28AA" w:rsidRDefault="00EA28AA" w:rsidP="00CE4F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E72C2D" w14:textId="77777777" w:rsidR="00EA28AA" w:rsidRDefault="00EA28AA" w:rsidP="006853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93382827"/>
      <w:docPartObj>
        <w:docPartGallery w:val="Page Numbers (Bottom of Page)"/>
        <w:docPartUnique/>
      </w:docPartObj>
    </w:sdtPr>
    <w:sdtEndPr>
      <w:rPr>
        <w:rStyle w:val="PageNumber"/>
      </w:rPr>
    </w:sdtEndPr>
    <w:sdtContent>
      <w:p w14:paraId="4DE593B1" w14:textId="26DAF582" w:rsidR="00EA28AA" w:rsidRDefault="00EA28AA" w:rsidP="00CE4F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1D2A835" w14:textId="336942C7" w:rsidR="008F1710" w:rsidRDefault="00E435A5" w:rsidP="008F1710">
    <w:pPr>
      <w:spacing w:before="120" w:after="0" w:line="240" w:lineRule="auto"/>
      <w:jc w:val="center"/>
    </w:pPr>
    <w:r>
      <w:t>R</w:t>
    </w:r>
    <w:r w:rsidR="006D5873">
      <w:t>atified</w:t>
    </w:r>
    <w:r w:rsidR="00EA28AA">
      <w:t xml:space="preserve"> </w:t>
    </w:r>
    <w:r w:rsidR="00EA28AA" w:rsidRPr="00685355">
      <w:t>PICO confirmation</w:t>
    </w:r>
    <w:r w:rsidR="005D0D7C">
      <w:t xml:space="preserve"> – December 2021</w:t>
    </w:r>
    <w:r w:rsidR="008F1710">
      <w:t xml:space="preserve"> meeting</w:t>
    </w:r>
  </w:p>
  <w:p w14:paraId="33649654" w14:textId="00673115" w:rsidR="00EA28AA" w:rsidRPr="00685355" w:rsidRDefault="00EA28AA" w:rsidP="008F1710">
    <w:pPr>
      <w:spacing w:after="0" w:line="240" w:lineRule="auto"/>
      <w:jc w:val="center"/>
    </w:pPr>
    <w:r>
      <w:t xml:space="preserve">MSAC Application </w:t>
    </w:r>
    <w:r w:rsidRPr="00B32BAB">
      <w:t xml:space="preserve">1690 – </w:t>
    </w:r>
    <w:r w:rsidRPr="00AF3032">
      <w:t>Ciltacabtagene autoleucel, a B-cell maturation antigen (BCMA)-directed chimeric antigen receptor T cell (CAR-T) to treat refractory or relapsed multiple myeloma (RRMM)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E4767D" w14:textId="77777777" w:rsidR="00EA28AA" w:rsidRDefault="00EA28AA" w:rsidP="0016315C">
      <w:pPr>
        <w:spacing w:after="0" w:line="240" w:lineRule="auto"/>
      </w:pPr>
      <w:r>
        <w:separator/>
      </w:r>
    </w:p>
  </w:footnote>
  <w:footnote w:type="continuationSeparator" w:id="0">
    <w:p w14:paraId="04090370" w14:textId="77777777" w:rsidR="00EA28AA" w:rsidRDefault="00EA28AA" w:rsidP="0016315C">
      <w:pPr>
        <w:spacing w:after="0" w:line="240" w:lineRule="auto"/>
      </w:pPr>
      <w:r>
        <w:continuationSeparator/>
      </w:r>
    </w:p>
  </w:footnote>
  <w:footnote w:id="1">
    <w:p w14:paraId="50DDF9C5" w14:textId="35E44EBB" w:rsidR="00EA28AA" w:rsidRDefault="00EA28AA">
      <w:pPr>
        <w:pStyle w:val="FootnoteText"/>
      </w:pPr>
      <w:r>
        <w:rPr>
          <w:rStyle w:val="FootnoteReference"/>
        </w:rPr>
        <w:footnoteRef/>
      </w:r>
      <w:r>
        <w:t xml:space="preserve"> Primary outcome in CARTITUDE-1 (</w:t>
      </w:r>
      <w:hyperlink r:id="rId1" w:history="1">
        <w:r w:rsidRPr="00774EBC">
          <w:rPr>
            <w:rStyle w:val="Hyperlink"/>
            <w:rFonts w:ascii="Calibri" w:hAnsi="Calibri"/>
          </w:rPr>
          <w:t>NCT03548207</w:t>
        </w:r>
      </w:hyperlink>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41420E"/>
    <w:multiLevelType w:val="hybridMultilevel"/>
    <w:tmpl w:val="B2EC73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 w15:restartNumberingAfterBreak="0">
    <w:nsid w:val="0FDA49A4"/>
    <w:multiLevelType w:val="hybridMultilevel"/>
    <w:tmpl w:val="CF6266CE"/>
    <w:lvl w:ilvl="0" w:tplc="0C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9F04DA3"/>
    <w:multiLevelType w:val="hybridMultilevel"/>
    <w:tmpl w:val="4FA02406"/>
    <w:lvl w:ilvl="0" w:tplc="0C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C4707D"/>
    <w:multiLevelType w:val="hybridMultilevel"/>
    <w:tmpl w:val="8E7C9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3319F8"/>
    <w:multiLevelType w:val="hybridMultilevel"/>
    <w:tmpl w:val="B420A270"/>
    <w:lvl w:ilvl="0" w:tplc="7D685B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63D2C72"/>
    <w:multiLevelType w:val="hybridMultilevel"/>
    <w:tmpl w:val="A2288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AB6878"/>
    <w:multiLevelType w:val="hybridMultilevel"/>
    <w:tmpl w:val="6DD2AC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CD1347"/>
    <w:multiLevelType w:val="hybridMultilevel"/>
    <w:tmpl w:val="9224D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BD51FA"/>
    <w:multiLevelType w:val="hybridMultilevel"/>
    <w:tmpl w:val="641E4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347DAF"/>
    <w:multiLevelType w:val="hybridMultilevel"/>
    <w:tmpl w:val="4D425916"/>
    <w:lvl w:ilvl="0" w:tplc="F43066C6">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97388A"/>
    <w:multiLevelType w:val="hybridMultilevel"/>
    <w:tmpl w:val="A60CB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9D2856"/>
    <w:multiLevelType w:val="hybridMultilevel"/>
    <w:tmpl w:val="60B8D4EA"/>
    <w:lvl w:ilvl="0" w:tplc="0C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8FA6F34"/>
    <w:multiLevelType w:val="hybridMultilevel"/>
    <w:tmpl w:val="F744AF96"/>
    <w:lvl w:ilvl="0" w:tplc="0C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BF5393"/>
    <w:multiLevelType w:val="hybridMultilevel"/>
    <w:tmpl w:val="92A65C1E"/>
    <w:lvl w:ilvl="0" w:tplc="D27A51AC">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CDE28BB"/>
    <w:multiLevelType w:val="hybridMultilevel"/>
    <w:tmpl w:val="422C088A"/>
    <w:lvl w:ilvl="0" w:tplc="9FCE2C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4741AA1"/>
    <w:multiLevelType w:val="hybridMultilevel"/>
    <w:tmpl w:val="7C7E6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FF0110"/>
    <w:multiLevelType w:val="hybridMultilevel"/>
    <w:tmpl w:val="DBA873F8"/>
    <w:lvl w:ilvl="0" w:tplc="03DA1D4E">
      <w:start w:val="1"/>
      <w:numFmt w:val="bullet"/>
      <w:pStyle w:val="Instructionaltext-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cs="Wingdings" w:hint="default"/>
      </w:rPr>
    </w:lvl>
    <w:lvl w:ilvl="3" w:tplc="0C090001" w:tentative="1">
      <w:start w:val="1"/>
      <w:numFmt w:val="bullet"/>
      <w:lvlText w:val=""/>
      <w:lvlJc w:val="left"/>
      <w:pPr>
        <w:ind w:left="3237" w:hanging="360"/>
      </w:pPr>
      <w:rPr>
        <w:rFonts w:ascii="Symbol" w:hAnsi="Symbol" w:cs="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cs="Wingdings" w:hint="default"/>
      </w:rPr>
    </w:lvl>
    <w:lvl w:ilvl="6" w:tplc="0C090001" w:tentative="1">
      <w:start w:val="1"/>
      <w:numFmt w:val="bullet"/>
      <w:lvlText w:val=""/>
      <w:lvlJc w:val="left"/>
      <w:pPr>
        <w:ind w:left="5397" w:hanging="360"/>
      </w:pPr>
      <w:rPr>
        <w:rFonts w:ascii="Symbol" w:hAnsi="Symbol" w:cs="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cs="Wingdings" w:hint="default"/>
      </w:rPr>
    </w:lvl>
  </w:abstractNum>
  <w:abstractNum w:abstractNumId="17" w15:restartNumberingAfterBreak="0">
    <w:nsid w:val="580D2CE2"/>
    <w:multiLevelType w:val="hybridMultilevel"/>
    <w:tmpl w:val="313E7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84E7DEE"/>
    <w:multiLevelType w:val="hybridMultilevel"/>
    <w:tmpl w:val="AE90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BF48B8"/>
    <w:multiLevelType w:val="hybridMultilevel"/>
    <w:tmpl w:val="E8A23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230534"/>
    <w:multiLevelType w:val="hybridMultilevel"/>
    <w:tmpl w:val="BAA61C0C"/>
    <w:lvl w:ilvl="0" w:tplc="0C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E10E3D"/>
    <w:multiLevelType w:val="hybridMultilevel"/>
    <w:tmpl w:val="6986B6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C95369"/>
    <w:multiLevelType w:val="hybridMultilevel"/>
    <w:tmpl w:val="5540EFD4"/>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67CB197C"/>
    <w:multiLevelType w:val="hybridMultilevel"/>
    <w:tmpl w:val="D046C3F2"/>
    <w:lvl w:ilvl="0" w:tplc="9FCE2CF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2B63F9"/>
    <w:multiLevelType w:val="hybridMultilevel"/>
    <w:tmpl w:val="4CD84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DE29A7"/>
    <w:multiLevelType w:val="hybridMultilevel"/>
    <w:tmpl w:val="4FC8F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2101472"/>
    <w:multiLevelType w:val="hybridMultilevel"/>
    <w:tmpl w:val="23000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8C0735"/>
    <w:multiLevelType w:val="hybridMultilevel"/>
    <w:tmpl w:val="422C088A"/>
    <w:lvl w:ilvl="0" w:tplc="9FCE2C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91F64E9"/>
    <w:multiLevelType w:val="hybridMultilevel"/>
    <w:tmpl w:val="33A6C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354B82"/>
    <w:multiLevelType w:val="hybridMultilevel"/>
    <w:tmpl w:val="15F25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16"/>
  </w:num>
  <w:num w:numId="4">
    <w:abstractNumId w:val="3"/>
  </w:num>
  <w:num w:numId="5">
    <w:abstractNumId w:val="22"/>
  </w:num>
  <w:num w:numId="6">
    <w:abstractNumId w:val="27"/>
  </w:num>
  <w:num w:numId="7">
    <w:abstractNumId w:val="15"/>
  </w:num>
  <w:num w:numId="8">
    <w:abstractNumId w:val="19"/>
  </w:num>
  <w:num w:numId="9">
    <w:abstractNumId w:val="8"/>
  </w:num>
  <w:num w:numId="10">
    <w:abstractNumId w:val="26"/>
  </w:num>
  <w:num w:numId="11">
    <w:abstractNumId w:val="21"/>
  </w:num>
  <w:num w:numId="12">
    <w:abstractNumId w:val="6"/>
  </w:num>
  <w:num w:numId="13">
    <w:abstractNumId w:val="14"/>
  </w:num>
  <w:num w:numId="14">
    <w:abstractNumId w:val="23"/>
  </w:num>
  <w:num w:numId="15">
    <w:abstractNumId w:val="24"/>
  </w:num>
  <w:num w:numId="16">
    <w:abstractNumId w:val="20"/>
  </w:num>
  <w:num w:numId="17">
    <w:abstractNumId w:val="1"/>
  </w:num>
  <w:num w:numId="18">
    <w:abstractNumId w:val="4"/>
  </w:num>
  <w:num w:numId="19">
    <w:abstractNumId w:val="2"/>
  </w:num>
  <w:num w:numId="20">
    <w:abstractNumId w:val="12"/>
  </w:num>
  <w:num w:numId="21">
    <w:abstractNumId w:val="10"/>
  </w:num>
  <w:num w:numId="22">
    <w:abstractNumId w:val="28"/>
  </w:num>
  <w:num w:numId="23">
    <w:abstractNumId w:val="7"/>
  </w:num>
  <w:num w:numId="24">
    <w:abstractNumId w:val="11"/>
  </w:num>
  <w:num w:numId="25">
    <w:abstractNumId w:val="13"/>
  </w:num>
  <w:num w:numId="26">
    <w:abstractNumId w:val="5"/>
  </w:num>
  <w:num w:numId="27">
    <w:abstractNumId w:val="25"/>
  </w:num>
  <w:num w:numId="28">
    <w:abstractNumId w:val="9"/>
  </w:num>
  <w:num w:numId="29">
    <w:abstractNumId w:val="18"/>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F9C"/>
    <w:rsid w:val="000073AA"/>
    <w:rsid w:val="0001026A"/>
    <w:rsid w:val="00015F76"/>
    <w:rsid w:val="00033F8F"/>
    <w:rsid w:val="00053614"/>
    <w:rsid w:val="00054A13"/>
    <w:rsid w:val="00055272"/>
    <w:rsid w:val="0006387E"/>
    <w:rsid w:val="00083F40"/>
    <w:rsid w:val="0009110C"/>
    <w:rsid w:val="000939E0"/>
    <w:rsid w:val="000A3242"/>
    <w:rsid w:val="000A41E0"/>
    <w:rsid w:val="000C09C5"/>
    <w:rsid w:val="000C2250"/>
    <w:rsid w:val="000C3824"/>
    <w:rsid w:val="000D1FCF"/>
    <w:rsid w:val="000D4899"/>
    <w:rsid w:val="000D7858"/>
    <w:rsid w:val="000E623D"/>
    <w:rsid w:val="000E6A7E"/>
    <w:rsid w:val="000F58E2"/>
    <w:rsid w:val="000F7C35"/>
    <w:rsid w:val="0010124C"/>
    <w:rsid w:val="001047B9"/>
    <w:rsid w:val="0012080F"/>
    <w:rsid w:val="00120F8A"/>
    <w:rsid w:val="00136B98"/>
    <w:rsid w:val="00143391"/>
    <w:rsid w:val="00161727"/>
    <w:rsid w:val="0016315C"/>
    <w:rsid w:val="0017011A"/>
    <w:rsid w:val="00173763"/>
    <w:rsid w:val="00173850"/>
    <w:rsid w:val="00176949"/>
    <w:rsid w:val="001835EA"/>
    <w:rsid w:val="00186FB5"/>
    <w:rsid w:val="00193910"/>
    <w:rsid w:val="00193F6C"/>
    <w:rsid w:val="001966FC"/>
    <w:rsid w:val="001A5D2F"/>
    <w:rsid w:val="001B490C"/>
    <w:rsid w:val="001D247E"/>
    <w:rsid w:val="001D4408"/>
    <w:rsid w:val="001E4D32"/>
    <w:rsid w:val="001E5F9C"/>
    <w:rsid w:val="001F0658"/>
    <w:rsid w:val="00206790"/>
    <w:rsid w:val="00206D11"/>
    <w:rsid w:val="00214C14"/>
    <w:rsid w:val="0023004C"/>
    <w:rsid w:val="00230944"/>
    <w:rsid w:val="00235B21"/>
    <w:rsid w:val="002479BF"/>
    <w:rsid w:val="0025305B"/>
    <w:rsid w:val="00262584"/>
    <w:rsid w:val="0027170F"/>
    <w:rsid w:val="002768B9"/>
    <w:rsid w:val="00293287"/>
    <w:rsid w:val="00293804"/>
    <w:rsid w:val="002A2FBE"/>
    <w:rsid w:val="002B103E"/>
    <w:rsid w:val="002B1967"/>
    <w:rsid w:val="002B4A65"/>
    <w:rsid w:val="002C05F5"/>
    <w:rsid w:val="002C3E42"/>
    <w:rsid w:val="002D5D59"/>
    <w:rsid w:val="002F072D"/>
    <w:rsid w:val="002F2D00"/>
    <w:rsid w:val="002F3E40"/>
    <w:rsid w:val="003029AC"/>
    <w:rsid w:val="0031474B"/>
    <w:rsid w:val="00314E27"/>
    <w:rsid w:val="003176D9"/>
    <w:rsid w:val="00324EF8"/>
    <w:rsid w:val="0033317B"/>
    <w:rsid w:val="0034704A"/>
    <w:rsid w:val="00363A02"/>
    <w:rsid w:val="003657B5"/>
    <w:rsid w:val="00380DAD"/>
    <w:rsid w:val="00382482"/>
    <w:rsid w:val="003A127E"/>
    <w:rsid w:val="003A3F9B"/>
    <w:rsid w:val="003B147F"/>
    <w:rsid w:val="003B7EA6"/>
    <w:rsid w:val="003F0A39"/>
    <w:rsid w:val="003F4A5D"/>
    <w:rsid w:val="003F5A2A"/>
    <w:rsid w:val="0042033A"/>
    <w:rsid w:val="00426025"/>
    <w:rsid w:val="00434DD2"/>
    <w:rsid w:val="00452E06"/>
    <w:rsid w:val="004557BA"/>
    <w:rsid w:val="0048151D"/>
    <w:rsid w:val="00486E96"/>
    <w:rsid w:val="00487D51"/>
    <w:rsid w:val="00490FBB"/>
    <w:rsid w:val="004A50DC"/>
    <w:rsid w:val="004B214C"/>
    <w:rsid w:val="004C1305"/>
    <w:rsid w:val="004C2C5E"/>
    <w:rsid w:val="004C7458"/>
    <w:rsid w:val="004C7984"/>
    <w:rsid w:val="004E04AE"/>
    <w:rsid w:val="004E1A98"/>
    <w:rsid w:val="004E3ABF"/>
    <w:rsid w:val="004E45EC"/>
    <w:rsid w:val="004E6699"/>
    <w:rsid w:val="004E71C4"/>
    <w:rsid w:val="00522EDD"/>
    <w:rsid w:val="00527986"/>
    <w:rsid w:val="00543EF8"/>
    <w:rsid w:val="00557581"/>
    <w:rsid w:val="00560D04"/>
    <w:rsid w:val="00566E08"/>
    <w:rsid w:val="005754F3"/>
    <w:rsid w:val="0057606E"/>
    <w:rsid w:val="005771DC"/>
    <w:rsid w:val="005774E5"/>
    <w:rsid w:val="005908BE"/>
    <w:rsid w:val="00592719"/>
    <w:rsid w:val="005956FD"/>
    <w:rsid w:val="005B1F28"/>
    <w:rsid w:val="005B489A"/>
    <w:rsid w:val="005C1E1F"/>
    <w:rsid w:val="005C30B4"/>
    <w:rsid w:val="005D0D7C"/>
    <w:rsid w:val="005E0AE1"/>
    <w:rsid w:val="005E11DE"/>
    <w:rsid w:val="005E1AC4"/>
    <w:rsid w:val="005E6256"/>
    <w:rsid w:val="005F61D4"/>
    <w:rsid w:val="005F76BD"/>
    <w:rsid w:val="00627FC4"/>
    <w:rsid w:val="00632B45"/>
    <w:rsid w:val="006428B8"/>
    <w:rsid w:val="006445C6"/>
    <w:rsid w:val="006478E7"/>
    <w:rsid w:val="0065205D"/>
    <w:rsid w:val="00677AE3"/>
    <w:rsid w:val="00685355"/>
    <w:rsid w:val="00686EED"/>
    <w:rsid w:val="006A467F"/>
    <w:rsid w:val="006B6CEB"/>
    <w:rsid w:val="006C2D88"/>
    <w:rsid w:val="006C48FC"/>
    <w:rsid w:val="006C76CD"/>
    <w:rsid w:val="006D3D80"/>
    <w:rsid w:val="006D5873"/>
    <w:rsid w:val="006E6A9F"/>
    <w:rsid w:val="006F01C4"/>
    <w:rsid w:val="00713728"/>
    <w:rsid w:val="00717443"/>
    <w:rsid w:val="007223F4"/>
    <w:rsid w:val="00732B57"/>
    <w:rsid w:val="00736C3F"/>
    <w:rsid w:val="00737409"/>
    <w:rsid w:val="00740FA7"/>
    <w:rsid w:val="00742BC5"/>
    <w:rsid w:val="007537CA"/>
    <w:rsid w:val="00756C72"/>
    <w:rsid w:val="00756EC5"/>
    <w:rsid w:val="0076740E"/>
    <w:rsid w:val="00773C4D"/>
    <w:rsid w:val="00774EBC"/>
    <w:rsid w:val="00780AA7"/>
    <w:rsid w:val="00793050"/>
    <w:rsid w:val="007A3220"/>
    <w:rsid w:val="007A517C"/>
    <w:rsid w:val="007A66C8"/>
    <w:rsid w:val="007A67C3"/>
    <w:rsid w:val="007B2D20"/>
    <w:rsid w:val="007B3B41"/>
    <w:rsid w:val="007C0645"/>
    <w:rsid w:val="007D6B83"/>
    <w:rsid w:val="007D7F17"/>
    <w:rsid w:val="008066D6"/>
    <w:rsid w:val="0080727F"/>
    <w:rsid w:val="00823A40"/>
    <w:rsid w:val="00826307"/>
    <w:rsid w:val="00826A3F"/>
    <w:rsid w:val="00842188"/>
    <w:rsid w:val="00850492"/>
    <w:rsid w:val="0085133F"/>
    <w:rsid w:val="0088159A"/>
    <w:rsid w:val="008909EE"/>
    <w:rsid w:val="00891488"/>
    <w:rsid w:val="00897CF6"/>
    <w:rsid w:val="008A76BB"/>
    <w:rsid w:val="008A77B5"/>
    <w:rsid w:val="008B0032"/>
    <w:rsid w:val="008B1E2F"/>
    <w:rsid w:val="008C4B3C"/>
    <w:rsid w:val="008E36A8"/>
    <w:rsid w:val="008F1532"/>
    <w:rsid w:val="008F1710"/>
    <w:rsid w:val="00903A5C"/>
    <w:rsid w:val="00912660"/>
    <w:rsid w:val="00925E11"/>
    <w:rsid w:val="00933860"/>
    <w:rsid w:val="00937A50"/>
    <w:rsid w:val="00961295"/>
    <w:rsid w:val="00962FCF"/>
    <w:rsid w:val="009928F3"/>
    <w:rsid w:val="00993538"/>
    <w:rsid w:val="009A2821"/>
    <w:rsid w:val="009B31CC"/>
    <w:rsid w:val="009C4AF2"/>
    <w:rsid w:val="009D437F"/>
    <w:rsid w:val="009E12C4"/>
    <w:rsid w:val="009F165A"/>
    <w:rsid w:val="009F5844"/>
    <w:rsid w:val="00A03E4F"/>
    <w:rsid w:val="00A03F23"/>
    <w:rsid w:val="00A20CF9"/>
    <w:rsid w:val="00A21BC0"/>
    <w:rsid w:val="00A264B6"/>
    <w:rsid w:val="00A27EEA"/>
    <w:rsid w:val="00A30D08"/>
    <w:rsid w:val="00A33126"/>
    <w:rsid w:val="00A33816"/>
    <w:rsid w:val="00A62163"/>
    <w:rsid w:val="00A65B04"/>
    <w:rsid w:val="00A715D0"/>
    <w:rsid w:val="00A71BFD"/>
    <w:rsid w:val="00A71C1A"/>
    <w:rsid w:val="00A864DB"/>
    <w:rsid w:val="00AC5673"/>
    <w:rsid w:val="00AD0A65"/>
    <w:rsid w:val="00AE0342"/>
    <w:rsid w:val="00AE2363"/>
    <w:rsid w:val="00AE6FE0"/>
    <w:rsid w:val="00AF3032"/>
    <w:rsid w:val="00AF6211"/>
    <w:rsid w:val="00B0496A"/>
    <w:rsid w:val="00B17B75"/>
    <w:rsid w:val="00B22B6D"/>
    <w:rsid w:val="00B32BAB"/>
    <w:rsid w:val="00B37C99"/>
    <w:rsid w:val="00B37DC0"/>
    <w:rsid w:val="00B51088"/>
    <w:rsid w:val="00B63C07"/>
    <w:rsid w:val="00B63DFA"/>
    <w:rsid w:val="00B7425E"/>
    <w:rsid w:val="00B80CEF"/>
    <w:rsid w:val="00B82A03"/>
    <w:rsid w:val="00BB1698"/>
    <w:rsid w:val="00BB3207"/>
    <w:rsid w:val="00BB43A1"/>
    <w:rsid w:val="00BD14FC"/>
    <w:rsid w:val="00BE34F1"/>
    <w:rsid w:val="00C045B3"/>
    <w:rsid w:val="00C166FE"/>
    <w:rsid w:val="00C21CAF"/>
    <w:rsid w:val="00C23357"/>
    <w:rsid w:val="00C23C90"/>
    <w:rsid w:val="00C2485B"/>
    <w:rsid w:val="00C277F7"/>
    <w:rsid w:val="00C31FB4"/>
    <w:rsid w:val="00C3290F"/>
    <w:rsid w:val="00C40CC4"/>
    <w:rsid w:val="00C54349"/>
    <w:rsid w:val="00C631B2"/>
    <w:rsid w:val="00C64764"/>
    <w:rsid w:val="00C84E1A"/>
    <w:rsid w:val="00CA18A3"/>
    <w:rsid w:val="00CE1B13"/>
    <w:rsid w:val="00CE4F1C"/>
    <w:rsid w:val="00CF25C4"/>
    <w:rsid w:val="00D00064"/>
    <w:rsid w:val="00D06660"/>
    <w:rsid w:val="00D13536"/>
    <w:rsid w:val="00D155F4"/>
    <w:rsid w:val="00D220AB"/>
    <w:rsid w:val="00D2670B"/>
    <w:rsid w:val="00D31934"/>
    <w:rsid w:val="00D37A3F"/>
    <w:rsid w:val="00D441CC"/>
    <w:rsid w:val="00D51C77"/>
    <w:rsid w:val="00D52956"/>
    <w:rsid w:val="00D54E3B"/>
    <w:rsid w:val="00D6501D"/>
    <w:rsid w:val="00D73332"/>
    <w:rsid w:val="00D778E5"/>
    <w:rsid w:val="00D83062"/>
    <w:rsid w:val="00D84E12"/>
    <w:rsid w:val="00D85150"/>
    <w:rsid w:val="00D867D5"/>
    <w:rsid w:val="00DA00B1"/>
    <w:rsid w:val="00DA10BB"/>
    <w:rsid w:val="00DA5C27"/>
    <w:rsid w:val="00DC1BEC"/>
    <w:rsid w:val="00DC23B4"/>
    <w:rsid w:val="00DC616A"/>
    <w:rsid w:val="00DE762F"/>
    <w:rsid w:val="00DF3EEF"/>
    <w:rsid w:val="00E01349"/>
    <w:rsid w:val="00E033B5"/>
    <w:rsid w:val="00E03982"/>
    <w:rsid w:val="00E11933"/>
    <w:rsid w:val="00E2296E"/>
    <w:rsid w:val="00E435A5"/>
    <w:rsid w:val="00E470B0"/>
    <w:rsid w:val="00E51301"/>
    <w:rsid w:val="00E552A6"/>
    <w:rsid w:val="00E607F3"/>
    <w:rsid w:val="00E65236"/>
    <w:rsid w:val="00E72782"/>
    <w:rsid w:val="00E73E96"/>
    <w:rsid w:val="00E83308"/>
    <w:rsid w:val="00EA28AA"/>
    <w:rsid w:val="00EB2E3E"/>
    <w:rsid w:val="00EC7CE8"/>
    <w:rsid w:val="00EE0D7A"/>
    <w:rsid w:val="00EE30FF"/>
    <w:rsid w:val="00EF1444"/>
    <w:rsid w:val="00EF2CB9"/>
    <w:rsid w:val="00EF6F92"/>
    <w:rsid w:val="00F02E12"/>
    <w:rsid w:val="00F07FCF"/>
    <w:rsid w:val="00F124FC"/>
    <w:rsid w:val="00F2073A"/>
    <w:rsid w:val="00F346D1"/>
    <w:rsid w:val="00F35590"/>
    <w:rsid w:val="00F44333"/>
    <w:rsid w:val="00F47306"/>
    <w:rsid w:val="00F577DE"/>
    <w:rsid w:val="00F660E8"/>
    <w:rsid w:val="00F70808"/>
    <w:rsid w:val="00F753B8"/>
    <w:rsid w:val="00F94073"/>
    <w:rsid w:val="00FA66D0"/>
    <w:rsid w:val="00FB04C4"/>
    <w:rsid w:val="00FB2DEE"/>
    <w:rsid w:val="00FB36C8"/>
    <w:rsid w:val="00FD4C65"/>
    <w:rsid w:val="00FD4E33"/>
    <w:rsid w:val="00FE2409"/>
    <w:rsid w:val="00FE296E"/>
    <w:rsid w:val="00FF1D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D943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B3C"/>
    <w:pPr>
      <w:spacing w:after="200" w:line="276" w:lineRule="auto"/>
    </w:pPr>
    <w:rPr>
      <w:rFonts w:ascii="Calibri" w:eastAsia="Calibri" w:hAnsi="Calibri" w:cs="Times New Roman"/>
    </w:rPr>
  </w:style>
  <w:style w:type="paragraph" w:styleId="Heading1">
    <w:name w:val="heading 1"/>
    <w:basedOn w:val="Heading10"/>
    <w:next w:val="Normal"/>
    <w:link w:val="Heading1Char"/>
    <w:uiPriority w:val="9"/>
    <w:qFormat/>
    <w:rsid w:val="008C4B3C"/>
    <w:pPr>
      <w:spacing w:before="1000"/>
      <w:jc w:val="center"/>
      <w:outlineLvl w:val="0"/>
    </w:pPr>
    <w:rPr>
      <w:sz w:val="72"/>
      <w:szCs w:val="72"/>
    </w:rPr>
  </w:style>
  <w:style w:type="paragraph" w:styleId="Heading2">
    <w:name w:val="heading 2"/>
    <w:basedOn w:val="Normal"/>
    <w:next w:val="Normal"/>
    <w:link w:val="Heading2Char"/>
    <w:uiPriority w:val="9"/>
    <w:unhideWhenUsed/>
    <w:qFormat/>
    <w:rsid w:val="004C7458"/>
    <w:pPr>
      <w:keepNext/>
      <w:keepLines/>
      <w:tabs>
        <w:tab w:val="left" w:pos="1701"/>
      </w:tabs>
      <w:spacing w:before="360" w:after="120" w:line="240" w:lineRule="auto"/>
      <w:outlineLvl w:val="1"/>
    </w:pPr>
    <w:rPr>
      <w:rFonts w:ascii="Franklin Gothic Medium" w:eastAsiaTheme="majorEastAsia" w:hAnsi="Franklin Gothic Medium" w:cstheme="majorBidi"/>
      <w:color w:val="000000" w:themeColor="text1"/>
      <w:sz w:val="32"/>
      <w:szCs w:val="26"/>
    </w:rPr>
  </w:style>
  <w:style w:type="paragraph" w:styleId="Heading3">
    <w:name w:val="heading 3"/>
    <w:basedOn w:val="Heading2"/>
    <w:next w:val="Normal"/>
    <w:link w:val="Heading3Char"/>
    <w:uiPriority w:val="9"/>
    <w:unhideWhenUsed/>
    <w:qFormat/>
    <w:rsid w:val="00713728"/>
    <w:pPr>
      <w:tabs>
        <w:tab w:val="clear" w:pos="1701"/>
      </w:tabs>
      <w:spacing w:line="276" w:lineRule="auto"/>
      <w:outlineLvl w:val="2"/>
    </w:pPr>
    <w:rPr>
      <w:rFonts w:ascii="Calibri" w:eastAsia="MS Gothic" w:hAnsi="Calibri" w:cs="Times New Roman"/>
      <w:b/>
      <w:bCs/>
      <w:i/>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78E7"/>
    <w:rPr>
      <w:rFonts w:ascii="Times New Roman" w:hAnsi="Times New Roman" w:cs="Times New Roman" w:hint="default"/>
      <w:color w:val="0000FF"/>
      <w:u w:val="single"/>
    </w:rPr>
  </w:style>
  <w:style w:type="paragraph" w:customStyle="1" w:styleId="Heading10">
    <w:name w:val="Heading1"/>
    <w:rsid w:val="006478E7"/>
    <w:pPr>
      <w:spacing w:after="200" w:line="240" w:lineRule="auto"/>
    </w:pPr>
    <w:rPr>
      <w:rFonts w:ascii="Calibri" w:eastAsia="Calibri" w:hAnsi="Calibri" w:cs="Calibri"/>
      <w:b/>
      <w:bCs/>
      <w:color w:val="000000"/>
      <w:sz w:val="36"/>
      <w:szCs w:val="36"/>
      <w:u w:color="000000"/>
      <w:lang w:val="en-US" w:eastAsia="en-AU"/>
    </w:rPr>
  </w:style>
  <w:style w:type="character" w:customStyle="1" w:styleId="Heading2Char">
    <w:name w:val="Heading 2 Char"/>
    <w:basedOn w:val="DefaultParagraphFont"/>
    <w:link w:val="Heading2"/>
    <w:uiPriority w:val="9"/>
    <w:rsid w:val="004C7458"/>
    <w:rPr>
      <w:rFonts w:ascii="Franklin Gothic Medium" w:eastAsiaTheme="majorEastAsia" w:hAnsi="Franklin Gothic Medium" w:cstheme="majorBidi"/>
      <w:color w:val="000000" w:themeColor="text1"/>
      <w:sz w:val="32"/>
      <w:szCs w:val="26"/>
    </w:rPr>
  </w:style>
  <w:style w:type="table" w:customStyle="1" w:styleId="TableGrid1">
    <w:name w:val="Table Grid1"/>
    <w:basedOn w:val="TableNormal"/>
    <w:uiPriority w:val="59"/>
    <w:rsid w:val="006478E7"/>
    <w:pPr>
      <w:spacing w:after="240" w:line="240" w:lineRule="auto"/>
      <w:ind w:left="72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478E7"/>
    <w:pPr>
      <w:ind w:left="720"/>
      <w:contextualSpacing/>
    </w:pPr>
  </w:style>
  <w:style w:type="table" w:styleId="TableGrid">
    <w:name w:val="Table Grid"/>
    <w:aliases w:val="Table Gridbeth,Summary box,HealthConsult"/>
    <w:basedOn w:val="TableNormal"/>
    <w:uiPriority w:val="59"/>
    <w:rsid w:val="002F3E40"/>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E01349"/>
    <w:pPr>
      <w:keepNext/>
      <w:spacing w:before="360" w:after="120" w:line="240" w:lineRule="auto"/>
      <w:ind w:left="709" w:hanging="709"/>
    </w:pPr>
    <w:rPr>
      <w:rFonts w:ascii="Arial Narrow" w:eastAsia="Times New Roman" w:hAnsi="Arial Narrow" w:cs="Tahoma"/>
      <w:b/>
      <w:sz w:val="20"/>
      <w:szCs w:val="20"/>
      <w:lang w:val="en-GB" w:eastAsia="ja-JP"/>
    </w:rPr>
  </w:style>
  <w:style w:type="paragraph" w:customStyle="1" w:styleId="TableHeading">
    <w:name w:val="TableHeading"/>
    <w:basedOn w:val="Normal"/>
    <w:link w:val="TableHeadingChar"/>
    <w:qFormat/>
    <w:rsid w:val="000939E0"/>
    <w:pPr>
      <w:keepNext/>
      <w:spacing w:before="40" w:after="40" w:line="240" w:lineRule="auto"/>
    </w:pPr>
    <w:rPr>
      <w:rFonts w:ascii="Arial Narrow" w:eastAsia="Times New Roman" w:hAnsi="Arial Narrow" w:cs="Tahoma"/>
      <w:b/>
      <w:sz w:val="20"/>
      <w:szCs w:val="20"/>
      <w:lang w:eastAsia="en-AU"/>
    </w:rPr>
  </w:style>
  <w:style w:type="character" w:customStyle="1" w:styleId="TableHeadingChar">
    <w:name w:val="TableHeading Char"/>
    <w:link w:val="TableHeading"/>
    <w:rsid w:val="000939E0"/>
    <w:rPr>
      <w:rFonts w:ascii="Arial Narrow" w:eastAsia="Times New Roman" w:hAnsi="Arial Narrow" w:cs="Tahoma"/>
      <w:b/>
      <w:sz w:val="20"/>
      <w:szCs w:val="20"/>
      <w:lang w:eastAsia="en-AU"/>
    </w:rPr>
  </w:style>
  <w:style w:type="paragraph" w:customStyle="1" w:styleId="Tabletext">
    <w:name w:val="Table text"/>
    <w:basedOn w:val="Normal"/>
    <w:link w:val="TabletextChar"/>
    <w:qFormat/>
    <w:rsid w:val="000939E0"/>
    <w:pPr>
      <w:spacing w:before="40" w:after="40" w:line="240" w:lineRule="auto"/>
    </w:pPr>
    <w:rPr>
      <w:rFonts w:ascii="Arial Narrow" w:eastAsia="Times New Roman" w:hAnsi="Arial Narrow" w:cs="Tahoma"/>
      <w:sz w:val="20"/>
      <w:szCs w:val="20"/>
      <w:lang w:eastAsia="en-AU"/>
    </w:rPr>
  </w:style>
  <w:style w:type="character" w:customStyle="1" w:styleId="TabletextChar">
    <w:name w:val="Table text Char"/>
    <w:link w:val="Tabletext"/>
    <w:rsid w:val="000939E0"/>
    <w:rPr>
      <w:rFonts w:ascii="Arial Narrow" w:eastAsia="Times New Roman" w:hAnsi="Arial Narrow" w:cs="Tahoma"/>
      <w:sz w:val="20"/>
      <w:szCs w:val="20"/>
      <w:lang w:eastAsia="en-AU"/>
    </w:rPr>
  </w:style>
  <w:style w:type="paragraph" w:customStyle="1" w:styleId="Tablenotes">
    <w:name w:val="Tablenotes"/>
    <w:basedOn w:val="Normal"/>
    <w:link w:val="TablenotesChar"/>
    <w:qFormat/>
    <w:rsid w:val="000939E0"/>
    <w:pPr>
      <w:widowControl w:val="0"/>
      <w:spacing w:after="120" w:line="240" w:lineRule="auto"/>
      <w:jc w:val="both"/>
    </w:pPr>
    <w:rPr>
      <w:rFonts w:ascii="Arial Narrow" w:eastAsia="Times New Roman" w:hAnsi="Arial Narrow" w:cs="Arial"/>
      <w:snapToGrid w:val="0"/>
      <w:sz w:val="18"/>
      <w:szCs w:val="20"/>
    </w:rPr>
  </w:style>
  <w:style w:type="character" w:customStyle="1" w:styleId="TablenotesChar">
    <w:name w:val="Tablenotes Char"/>
    <w:basedOn w:val="DefaultParagraphFont"/>
    <w:link w:val="Tablenotes"/>
    <w:rsid w:val="000939E0"/>
    <w:rPr>
      <w:rFonts w:ascii="Arial Narrow" w:eastAsia="Times New Roman" w:hAnsi="Arial Narrow" w:cs="Arial"/>
      <w:snapToGrid w:val="0"/>
      <w:sz w:val="18"/>
      <w:szCs w:val="20"/>
    </w:rPr>
  </w:style>
  <w:style w:type="paragraph" w:customStyle="1" w:styleId="TableName">
    <w:name w:val="TableName"/>
    <w:basedOn w:val="Normal"/>
    <w:qFormat/>
    <w:rsid w:val="00891488"/>
    <w:pPr>
      <w:keepNext/>
      <w:spacing w:after="240" w:line="240" w:lineRule="auto"/>
      <w:ind w:left="1134" w:hanging="1134"/>
    </w:pPr>
    <w:rPr>
      <w:rFonts w:ascii="Franklin Gothic Medium" w:eastAsiaTheme="minorHAnsi" w:hAnsi="Franklin Gothic Medium" w:cstheme="minorBidi"/>
    </w:rPr>
  </w:style>
  <w:style w:type="character" w:customStyle="1" w:styleId="ListParagraphChar">
    <w:name w:val="List Paragraph Char"/>
    <w:basedOn w:val="DefaultParagraphFont"/>
    <w:link w:val="ListParagraph"/>
    <w:uiPriority w:val="34"/>
    <w:rsid w:val="00D867D5"/>
    <w:rPr>
      <w:rFonts w:ascii="Calibri" w:eastAsia="Calibri" w:hAnsi="Calibri" w:cs="Times New Roman"/>
    </w:rPr>
  </w:style>
  <w:style w:type="paragraph" w:styleId="Header">
    <w:name w:val="header"/>
    <w:basedOn w:val="Normal"/>
    <w:link w:val="HeaderChar"/>
    <w:uiPriority w:val="99"/>
    <w:unhideWhenUsed/>
    <w:rsid w:val="001631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15C"/>
    <w:rPr>
      <w:rFonts w:ascii="Calibri" w:eastAsia="Calibri" w:hAnsi="Calibri" w:cs="Times New Roman"/>
    </w:rPr>
  </w:style>
  <w:style w:type="paragraph" w:styleId="Footer">
    <w:name w:val="footer"/>
    <w:basedOn w:val="Normal"/>
    <w:link w:val="FooterChar"/>
    <w:uiPriority w:val="99"/>
    <w:unhideWhenUsed/>
    <w:rsid w:val="001631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15C"/>
    <w:rPr>
      <w:rFonts w:ascii="Calibri" w:eastAsia="Calibri" w:hAnsi="Calibri" w:cs="Times New Roman"/>
    </w:rPr>
  </w:style>
  <w:style w:type="paragraph" w:styleId="Subtitle">
    <w:name w:val="Subtitle"/>
    <w:basedOn w:val="Normal"/>
    <w:next w:val="Normal"/>
    <w:link w:val="SubtitleChar"/>
    <w:uiPriority w:val="11"/>
    <w:qFormat/>
    <w:rsid w:val="006F01C4"/>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F01C4"/>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A331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126"/>
    <w:rPr>
      <w:rFonts w:ascii="Segoe UI" w:eastAsia="Calibri" w:hAnsi="Segoe UI" w:cs="Segoe UI"/>
      <w:sz w:val="18"/>
      <w:szCs w:val="18"/>
    </w:rPr>
  </w:style>
  <w:style w:type="character" w:styleId="CommentReference">
    <w:name w:val="annotation reference"/>
    <w:aliases w:val="Table Title"/>
    <w:basedOn w:val="DefaultParagraphFont"/>
    <w:uiPriority w:val="99"/>
    <w:unhideWhenUsed/>
    <w:qFormat/>
    <w:rsid w:val="00D84E12"/>
    <w:rPr>
      <w:sz w:val="16"/>
      <w:szCs w:val="16"/>
    </w:rPr>
  </w:style>
  <w:style w:type="paragraph" w:styleId="CommentText">
    <w:name w:val="annotation text"/>
    <w:basedOn w:val="Normal"/>
    <w:link w:val="CommentTextChar"/>
    <w:uiPriority w:val="99"/>
    <w:unhideWhenUsed/>
    <w:rsid w:val="00D84E12"/>
    <w:pPr>
      <w:spacing w:line="240" w:lineRule="auto"/>
    </w:pPr>
    <w:rPr>
      <w:sz w:val="20"/>
      <w:szCs w:val="20"/>
    </w:rPr>
  </w:style>
  <w:style w:type="character" w:customStyle="1" w:styleId="CommentTextChar">
    <w:name w:val="Comment Text Char"/>
    <w:basedOn w:val="DefaultParagraphFont"/>
    <w:link w:val="CommentText"/>
    <w:uiPriority w:val="99"/>
    <w:rsid w:val="00D84E1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84E12"/>
    <w:rPr>
      <w:b/>
      <w:bCs/>
    </w:rPr>
  </w:style>
  <w:style w:type="character" w:customStyle="1" w:styleId="CommentSubjectChar">
    <w:name w:val="Comment Subject Char"/>
    <w:basedOn w:val="CommentTextChar"/>
    <w:link w:val="CommentSubject"/>
    <w:uiPriority w:val="99"/>
    <w:semiHidden/>
    <w:rsid w:val="00D84E12"/>
    <w:rPr>
      <w:rFonts w:ascii="Calibri" w:eastAsia="Calibri" w:hAnsi="Calibri" w:cs="Times New Roman"/>
      <w:b/>
      <w:bCs/>
      <w:sz w:val="20"/>
      <w:szCs w:val="20"/>
    </w:rPr>
  </w:style>
  <w:style w:type="character" w:styleId="FollowedHyperlink">
    <w:name w:val="FollowedHyperlink"/>
    <w:basedOn w:val="DefaultParagraphFont"/>
    <w:uiPriority w:val="99"/>
    <w:semiHidden/>
    <w:unhideWhenUsed/>
    <w:rsid w:val="008C4B3C"/>
    <w:rPr>
      <w:color w:val="954F72" w:themeColor="followedHyperlink"/>
      <w:u w:val="single"/>
    </w:rPr>
  </w:style>
  <w:style w:type="character" w:customStyle="1" w:styleId="Heading1Char">
    <w:name w:val="Heading 1 Char"/>
    <w:basedOn w:val="DefaultParagraphFont"/>
    <w:link w:val="Heading1"/>
    <w:uiPriority w:val="9"/>
    <w:rsid w:val="008C4B3C"/>
    <w:rPr>
      <w:rFonts w:ascii="Calibri" w:eastAsia="Calibri" w:hAnsi="Calibri" w:cs="Calibri"/>
      <w:b/>
      <w:bCs/>
      <w:color w:val="000000"/>
      <w:sz w:val="72"/>
      <w:szCs w:val="72"/>
      <w:u w:color="000000"/>
      <w:lang w:val="en-US" w:eastAsia="en-AU"/>
    </w:rPr>
  </w:style>
  <w:style w:type="paragraph" w:customStyle="1" w:styleId="Instructionaltext">
    <w:name w:val="Instructional text"/>
    <w:basedOn w:val="Normal"/>
    <w:link w:val="InstructionaltextChar"/>
    <w:qFormat/>
    <w:rsid w:val="006A467F"/>
    <w:pPr>
      <w:spacing w:before="120" w:after="160" w:line="259" w:lineRule="auto"/>
    </w:pPr>
    <w:rPr>
      <w:rFonts w:eastAsiaTheme="minorHAnsi" w:cstheme="minorBidi"/>
      <w:color w:val="258221"/>
    </w:rPr>
  </w:style>
  <w:style w:type="character" w:customStyle="1" w:styleId="InstructionaltextChar">
    <w:name w:val="Instructional text Char"/>
    <w:basedOn w:val="DefaultParagraphFont"/>
    <w:link w:val="Instructionaltext"/>
    <w:rsid w:val="006A467F"/>
    <w:rPr>
      <w:rFonts w:ascii="Calibri" w:hAnsi="Calibri"/>
      <w:color w:val="258221"/>
    </w:rPr>
  </w:style>
  <w:style w:type="character" w:customStyle="1" w:styleId="Heading3Char">
    <w:name w:val="Heading 3 Char"/>
    <w:basedOn w:val="DefaultParagraphFont"/>
    <w:link w:val="Heading3"/>
    <w:uiPriority w:val="9"/>
    <w:rsid w:val="00713728"/>
    <w:rPr>
      <w:rFonts w:ascii="Calibri" w:eastAsia="MS Gothic" w:hAnsi="Calibri" w:cs="Times New Roman"/>
      <w:b/>
      <w:bCs/>
      <w:i/>
      <w:sz w:val="24"/>
      <w:szCs w:val="24"/>
    </w:rPr>
  </w:style>
  <w:style w:type="paragraph" w:customStyle="1" w:styleId="Instructionaltext-bullet">
    <w:name w:val="Instructional text - bullet"/>
    <w:basedOn w:val="Instructionaltext"/>
    <w:qFormat/>
    <w:rsid w:val="006A467F"/>
    <w:pPr>
      <w:numPr>
        <w:numId w:val="3"/>
      </w:numPr>
      <w:spacing w:before="0" w:after="0"/>
    </w:pPr>
  </w:style>
  <w:style w:type="paragraph" w:customStyle="1" w:styleId="Guidelinescross-ref">
    <w:name w:val="Guidelines cross-ref"/>
    <w:basedOn w:val="Normal"/>
    <w:qFormat/>
    <w:rsid w:val="00E01349"/>
    <w:pPr>
      <w:keepNext/>
      <w:spacing w:before="240" w:after="240" w:line="259" w:lineRule="auto"/>
    </w:pPr>
    <w:rPr>
      <w:rFonts w:eastAsiaTheme="minorHAnsi" w:cstheme="minorBidi"/>
      <w:b/>
      <w:color w:val="0070C0"/>
      <w:sz w:val="24"/>
    </w:rPr>
  </w:style>
  <w:style w:type="paragraph" w:customStyle="1" w:styleId="Instructionaltext-afterfiguretable">
    <w:name w:val="Instructional text - after figure/table"/>
    <w:basedOn w:val="Instructionaltext"/>
    <w:qFormat/>
    <w:rsid w:val="00E01349"/>
    <w:pPr>
      <w:spacing w:before="360"/>
    </w:pPr>
  </w:style>
  <w:style w:type="paragraph" w:styleId="Revision">
    <w:name w:val="Revision"/>
    <w:hidden/>
    <w:uiPriority w:val="99"/>
    <w:semiHidden/>
    <w:rsid w:val="004E3ABF"/>
    <w:pPr>
      <w:spacing w:after="0" w:line="240" w:lineRule="auto"/>
    </w:pPr>
    <w:rPr>
      <w:rFonts w:ascii="Calibri" w:eastAsia="Calibri" w:hAnsi="Calibri" w:cs="Times New Roman"/>
    </w:rPr>
  </w:style>
  <w:style w:type="paragraph" w:customStyle="1" w:styleId="TableText0">
    <w:name w:val="Table Text"/>
    <w:basedOn w:val="Normal"/>
    <w:link w:val="TableTextChar0"/>
    <w:qFormat/>
    <w:rsid w:val="000D1FCF"/>
    <w:pPr>
      <w:spacing w:before="40" w:after="40" w:line="240" w:lineRule="auto"/>
    </w:pPr>
    <w:rPr>
      <w:rFonts w:ascii="Arial Narrow" w:eastAsiaTheme="minorHAnsi" w:hAnsi="Arial Narrow" w:cstheme="minorBidi"/>
      <w:sz w:val="20"/>
    </w:rPr>
  </w:style>
  <w:style w:type="character" w:customStyle="1" w:styleId="TableTextChar0">
    <w:name w:val="Table Text Char"/>
    <w:basedOn w:val="DefaultParagraphFont"/>
    <w:link w:val="TableText0"/>
    <w:rsid w:val="000D1FCF"/>
    <w:rPr>
      <w:rFonts w:ascii="Arial Narrow" w:hAnsi="Arial Narrow"/>
      <w:sz w:val="20"/>
    </w:rPr>
  </w:style>
  <w:style w:type="character" w:styleId="PageNumber">
    <w:name w:val="page number"/>
    <w:basedOn w:val="DefaultParagraphFont"/>
    <w:uiPriority w:val="99"/>
    <w:semiHidden/>
    <w:unhideWhenUsed/>
    <w:rsid w:val="00685355"/>
  </w:style>
  <w:style w:type="paragraph" w:styleId="FootnoteText">
    <w:name w:val="footnote text"/>
    <w:basedOn w:val="Normal"/>
    <w:link w:val="FootnoteTextChar"/>
    <w:uiPriority w:val="99"/>
    <w:semiHidden/>
    <w:unhideWhenUsed/>
    <w:rsid w:val="003F5A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5A2A"/>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3F5A2A"/>
    <w:rPr>
      <w:vertAlign w:val="superscript"/>
    </w:rPr>
  </w:style>
  <w:style w:type="character" w:styleId="UnresolvedMention">
    <w:name w:val="Unresolved Mention"/>
    <w:basedOn w:val="DefaultParagraphFont"/>
    <w:uiPriority w:val="99"/>
    <w:semiHidden/>
    <w:unhideWhenUsed/>
    <w:rsid w:val="00774E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400520">
      <w:bodyDiv w:val="1"/>
      <w:marLeft w:val="0"/>
      <w:marRight w:val="0"/>
      <w:marTop w:val="0"/>
      <w:marBottom w:val="0"/>
      <w:divBdr>
        <w:top w:val="none" w:sz="0" w:space="0" w:color="auto"/>
        <w:left w:val="none" w:sz="0" w:space="0" w:color="auto"/>
        <w:bottom w:val="none" w:sz="0" w:space="0" w:color="auto"/>
        <w:right w:val="none" w:sz="0" w:space="0" w:color="auto"/>
      </w:divBdr>
    </w:div>
    <w:div w:id="116920213">
      <w:bodyDiv w:val="1"/>
      <w:marLeft w:val="0"/>
      <w:marRight w:val="0"/>
      <w:marTop w:val="0"/>
      <w:marBottom w:val="0"/>
      <w:divBdr>
        <w:top w:val="none" w:sz="0" w:space="0" w:color="auto"/>
        <w:left w:val="none" w:sz="0" w:space="0" w:color="auto"/>
        <w:bottom w:val="none" w:sz="0" w:space="0" w:color="auto"/>
        <w:right w:val="none" w:sz="0" w:space="0" w:color="auto"/>
      </w:divBdr>
    </w:div>
    <w:div w:id="378169523">
      <w:bodyDiv w:val="1"/>
      <w:marLeft w:val="0"/>
      <w:marRight w:val="0"/>
      <w:marTop w:val="0"/>
      <w:marBottom w:val="0"/>
      <w:divBdr>
        <w:top w:val="none" w:sz="0" w:space="0" w:color="auto"/>
        <w:left w:val="none" w:sz="0" w:space="0" w:color="auto"/>
        <w:bottom w:val="none" w:sz="0" w:space="0" w:color="auto"/>
        <w:right w:val="none" w:sz="0" w:space="0" w:color="auto"/>
      </w:divBdr>
    </w:div>
    <w:div w:id="402030214">
      <w:bodyDiv w:val="1"/>
      <w:marLeft w:val="0"/>
      <w:marRight w:val="0"/>
      <w:marTop w:val="0"/>
      <w:marBottom w:val="0"/>
      <w:divBdr>
        <w:top w:val="none" w:sz="0" w:space="0" w:color="auto"/>
        <w:left w:val="none" w:sz="0" w:space="0" w:color="auto"/>
        <w:bottom w:val="none" w:sz="0" w:space="0" w:color="auto"/>
        <w:right w:val="none" w:sz="0" w:space="0" w:color="auto"/>
      </w:divBdr>
    </w:div>
    <w:div w:id="510267069">
      <w:bodyDiv w:val="1"/>
      <w:marLeft w:val="0"/>
      <w:marRight w:val="0"/>
      <w:marTop w:val="0"/>
      <w:marBottom w:val="0"/>
      <w:divBdr>
        <w:top w:val="none" w:sz="0" w:space="0" w:color="auto"/>
        <w:left w:val="none" w:sz="0" w:space="0" w:color="auto"/>
        <w:bottom w:val="none" w:sz="0" w:space="0" w:color="auto"/>
        <w:right w:val="none" w:sz="0" w:space="0" w:color="auto"/>
      </w:divBdr>
    </w:div>
    <w:div w:id="534275418">
      <w:bodyDiv w:val="1"/>
      <w:marLeft w:val="0"/>
      <w:marRight w:val="0"/>
      <w:marTop w:val="0"/>
      <w:marBottom w:val="0"/>
      <w:divBdr>
        <w:top w:val="none" w:sz="0" w:space="0" w:color="auto"/>
        <w:left w:val="none" w:sz="0" w:space="0" w:color="auto"/>
        <w:bottom w:val="none" w:sz="0" w:space="0" w:color="auto"/>
        <w:right w:val="none" w:sz="0" w:space="0" w:color="auto"/>
      </w:divBdr>
    </w:div>
    <w:div w:id="557087695">
      <w:bodyDiv w:val="1"/>
      <w:marLeft w:val="0"/>
      <w:marRight w:val="0"/>
      <w:marTop w:val="0"/>
      <w:marBottom w:val="0"/>
      <w:divBdr>
        <w:top w:val="none" w:sz="0" w:space="0" w:color="auto"/>
        <w:left w:val="none" w:sz="0" w:space="0" w:color="auto"/>
        <w:bottom w:val="none" w:sz="0" w:space="0" w:color="auto"/>
        <w:right w:val="none" w:sz="0" w:space="0" w:color="auto"/>
      </w:divBdr>
    </w:div>
    <w:div w:id="688532201">
      <w:bodyDiv w:val="1"/>
      <w:marLeft w:val="0"/>
      <w:marRight w:val="0"/>
      <w:marTop w:val="0"/>
      <w:marBottom w:val="0"/>
      <w:divBdr>
        <w:top w:val="none" w:sz="0" w:space="0" w:color="auto"/>
        <w:left w:val="none" w:sz="0" w:space="0" w:color="auto"/>
        <w:bottom w:val="none" w:sz="0" w:space="0" w:color="auto"/>
        <w:right w:val="none" w:sz="0" w:space="0" w:color="auto"/>
      </w:divBdr>
    </w:div>
    <w:div w:id="779689763">
      <w:bodyDiv w:val="1"/>
      <w:marLeft w:val="0"/>
      <w:marRight w:val="0"/>
      <w:marTop w:val="0"/>
      <w:marBottom w:val="0"/>
      <w:divBdr>
        <w:top w:val="none" w:sz="0" w:space="0" w:color="auto"/>
        <w:left w:val="none" w:sz="0" w:space="0" w:color="auto"/>
        <w:bottom w:val="none" w:sz="0" w:space="0" w:color="auto"/>
        <w:right w:val="none" w:sz="0" w:space="0" w:color="auto"/>
      </w:divBdr>
    </w:div>
    <w:div w:id="1023242140">
      <w:bodyDiv w:val="1"/>
      <w:marLeft w:val="0"/>
      <w:marRight w:val="0"/>
      <w:marTop w:val="0"/>
      <w:marBottom w:val="0"/>
      <w:divBdr>
        <w:top w:val="none" w:sz="0" w:space="0" w:color="auto"/>
        <w:left w:val="none" w:sz="0" w:space="0" w:color="auto"/>
        <w:bottom w:val="none" w:sz="0" w:space="0" w:color="auto"/>
        <w:right w:val="none" w:sz="0" w:space="0" w:color="auto"/>
      </w:divBdr>
    </w:div>
    <w:div w:id="1258444929">
      <w:bodyDiv w:val="1"/>
      <w:marLeft w:val="0"/>
      <w:marRight w:val="0"/>
      <w:marTop w:val="0"/>
      <w:marBottom w:val="0"/>
      <w:divBdr>
        <w:top w:val="none" w:sz="0" w:space="0" w:color="auto"/>
        <w:left w:val="none" w:sz="0" w:space="0" w:color="auto"/>
        <w:bottom w:val="none" w:sz="0" w:space="0" w:color="auto"/>
        <w:right w:val="none" w:sz="0" w:space="0" w:color="auto"/>
      </w:divBdr>
    </w:div>
    <w:div w:id="1284458912">
      <w:bodyDiv w:val="1"/>
      <w:marLeft w:val="0"/>
      <w:marRight w:val="0"/>
      <w:marTop w:val="0"/>
      <w:marBottom w:val="0"/>
      <w:divBdr>
        <w:top w:val="none" w:sz="0" w:space="0" w:color="auto"/>
        <w:left w:val="none" w:sz="0" w:space="0" w:color="auto"/>
        <w:bottom w:val="none" w:sz="0" w:space="0" w:color="auto"/>
        <w:right w:val="none" w:sz="0" w:space="0" w:color="auto"/>
      </w:divBdr>
    </w:div>
    <w:div w:id="1321810890">
      <w:bodyDiv w:val="1"/>
      <w:marLeft w:val="0"/>
      <w:marRight w:val="0"/>
      <w:marTop w:val="0"/>
      <w:marBottom w:val="0"/>
      <w:divBdr>
        <w:top w:val="none" w:sz="0" w:space="0" w:color="auto"/>
        <w:left w:val="none" w:sz="0" w:space="0" w:color="auto"/>
        <w:bottom w:val="none" w:sz="0" w:space="0" w:color="auto"/>
        <w:right w:val="none" w:sz="0" w:space="0" w:color="auto"/>
      </w:divBdr>
    </w:div>
    <w:div w:id="1511987132">
      <w:bodyDiv w:val="1"/>
      <w:marLeft w:val="0"/>
      <w:marRight w:val="0"/>
      <w:marTop w:val="0"/>
      <w:marBottom w:val="0"/>
      <w:divBdr>
        <w:top w:val="none" w:sz="0" w:space="0" w:color="auto"/>
        <w:left w:val="none" w:sz="0" w:space="0" w:color="auto"/>
        <w:bottom w:val="none" w:sz="0" w:space="0" w:color="auto"/>
        <w:right w:val="none" w:sz="0" w:space="0" w:color="auto"/>
      </w:divBdr>
    </w:div>
    <w:div w:id="1559246317">
      <w:bodyDiv w:val="1"/>
      <w:marLeft w:val="0"/>
      <w:marRight w:val="0"/>
      <w:marTop w:val="0"/>
      <w:marBottom w:val="0"/>
      <w:divBdr>
        <w:top w:val="none" w:sz="0" w:space="0" w:color="auto"/>
        <w:left w:val="none" w:sz="0" w:space="0" w:color="auto"/>
        <w:bottom w:val="none" w:sz="0" w:space="0" w:color="auto"/>
        <w:right w:val="none" w:sz="0" w:space="0" w:color="auto"/>
      </w:divBdr>
    </w:div>
    <w:div w:id="1689982625">
      <w:bodyDiv w:val="1"/>
      <w:marLeft w:val="0"/>
      <w:marRight w:val="0"/>
      <w:marTop w:val="0"/>
      <w:marBottom w:val="0"/>
      <w:divBdr>
        <w:top w:val="none" w:sz="0" w:space="0" w:color="auto"/>
        <w:left w:val="none" w:sz="0" w:space="0" w:color="auto"/>
        <w:bottom w:val="none" w:sz="0" w:space="0" w:color="auto"/>
        <w:right w:val="none" w:sz="0" w:space="0" w:color="auto"/>
      </w:divBdr>
    </w:div>
    <w:div w:id="1706439602">
      <w:bodyDiv w:val="1"/>
      <w:marLeft w:val="0"/>
      <w:marRight w:val="0"/>
      <w:marTop w:val="0"/>
      <w:marBottom w:val="0"/>
      <w:divBdr>
        <w:top w:val="none" w:sz="0" w:space="0" w:color="auto"/>
        <w:left w:val="none" w:sz="0" w:space="0" w:color="auto"/>
        <w:bottom w:val="none" w:sz="0" w:space="0" w:color="auto"/>
        <w:right w:val="none" w:sz="0" w:space="0" w:color="auto"/>
      </w:divBdr>
    </w:div>
    <w:div w:id="1741444278">
      <w:bodyDiv w:val="1"/>
      <w:marLeft w:val="0"/>
      <w:marRight w:val="0"/>
      <w:marTop w:val="0"/>
      <w:marBottom w:val="0"/>
      <w:divBdr>
        <w:top w:val="none" w:sz="0" w:space="0" w:color="auto"/>
        <w:left w:val="none" w:sz="0" w:space="0" w:color="auto"/>
        <w:bottom w:val="none" w:sz="0" w:space="0" w:color="auto"/>
        <w:right w:val="none" w:sz="0" w:space="0" w:color="auto"/>
      </w:divBdr>
    </w:div>
    <w:div w:id="1776095209">
      <w:bodyDiv w:val="1"/>
      <w:marLeft w:val="0"/>
      <w:marRight w:val="0"/>
      <w:marTop w:val="0"/>
      <w:marBottom w:val="0"/>
      <w:divBdr>
        <w:top w:val="none" w:sz="0" w:space="0" w:color="auto"/>
        <w:left w:val="none" w:sz="0" w:space="0" w:color="auto"/>
        <w:bottom w:val="none" w:sz="0" w:space="0" w:color="auto"/>
        <w:right w:val="none" w:sz="0" w:space="0" w:color="auto"/>
      </w:divBdr>
    </w:div>
    <w:div w:id="1947886161">
      <w:bodyDiv w:val="1"/>
      <w:marLeft w:val="0"/>
      <w:marRight w:val="0"/>
      <w:marTop w:val="0"/>
      <w:marBottom w:val="0"/>
      <w:divBdr>
        <w:top w:val="none" w:sz="0" w:space="0" w:color="auto"/>
        <w:left w:val="none" w:sz="0" w:space="0" w:color="auto"/>
        <w:bottom w:val="none" w:sz="0" w:space="0" w:color="auto"/>
        <w:right w:val="none" w:sz="0" w:space="0" w:color="auto"/>
      </w:divBdr>
    </w:div>
    <w:div w:id="2032880099">
      <w:bodyDiv w:val="1"/>
      <w:marLeft w:val="0"/>
      <w:marRight w:val="0"/>
      <w:marTop w:val="0"/>
      <w:marBottom w:val="0"/>
      <w:divBdr>
        <w:top w:val="none" w:sz="0" w:space="0" w:color="auto"/>
        <w:left w:val="none" w:sz="0" w:space="0" w:color="auto"/>
        <w:bottom w:val="none" w:sz="0" w:space="0" w:color="auto"/>
        <w:right w:val="none" w:sz="0" w:space="0" w:color="auto"/>
      </w:divBdr>
    </w:div>
    <w:div w:id="2049913389">
      <w:bodyDiv w:val="1"/>
      <w:marLeft w:val="0"/>
      <w:marRight w:val="0"/>
      <w:marTop w:val="0"/>
      <w:marBottom w:val="0"/>
      <w:divBdr>
        <w:top w:val="none" w:sz="0" w:space="0" w:color="auto"/>
        <w:left w:val="none" w:sz="0" w:space="0" w:color="auto"/>
        <w:bottom w:val="none" w:sz="0" w:space="0" w:color="auto"/>
        <w:right w:val="none" w:sz="0" w:space="0" w:color="auto"/>
      </w:divBdr>
    </w:div>
    <w:div w:id="21381819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federalfinancialrelations.gov.au/sites/federalfinancialrelations.gov.au/files/2021-07/NHRA_2020-25_Addendum_consolidated.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clinicaltrials.gov/ct2/show/NCT03548207?term=CARTITUDE-1&amp;draw=2&amp;rank=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C0ADB-7CCF-4BC9-8F3A-D8E39C8F0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5860</Words>
  <Characters>33404</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2022-02-21T00:11:00Z</dcterms:created>
  <dcterms:modified xsi:type="dcterms:W3CDTF">2022-02-21T00:11:00Z</dcterms:modified>
</cp:coreProperties>
</file>