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ABE851" w14:textId="77777777" w:rsidR="00BC1364" w:rsidRPr="00707064" w:rsidRDefault="00C67DD2" w:rsidP="001B305A">
      <w:pPr>
        <w:spacing w:after="240"/>
        <w:jc w:val="center"/>
        <w:rPr>
          <w:b/>
          <w:i/>
          <w:szCs w:val="24"/>
          <w:highlight w:val="yellow"/>
        </w:rPr>
      </w:pPr>
      <w:r>
        <w:rPr>
          <w:rFonts w:ascii="Arial" w:hAnsi="Arial" w:cs="Arial"/>
          <w:b/>
          <w:noProof/>
          <w:color w:val="000080"/>
          <w:sz w:val="28"/>
          <w:szCs w:val="28"/>
        </w:rPr>
        <w:drawing>
          <wp:inline distT="0" distB="0" distL="0" distR="0" wp14:anchorId="674A1C1B" wp14:editId="21253384">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614806E7" w14:textId="77777777" w:rsidR="00C67DD2" w:rsidRPr="008D5885" w:rsidRDefault="00C67DD2" w:rsidP="001B305A">
      <w:pPr>
        <w:spacing w:after="240"/>
      </w:pPr>
    </w:p>
    <w:p w14:paraId="10406750" w14:textId="0DE16CA8" w:rsidR="00BC1364" w:rsidRPr="00C7589F" w:rsidRDefault="00BF479B" w:rsidP="00C7589F">
      <w:pPr>
        <w:pStyle w:val="Title"/>
      </w:pPr>
      <w:r w:rsidRPr="00C7589F">
        <w:t>Public Summary Document</w:t>
      </w:r>
    </w:p>
    <w:p w14:paraId="11C82E80" w14:textId="77777777" w:rsidR="00BC1364" w:rsidRPr="00C7589F" w:rsidRDefault="00BC1364" w:rsidP="00C7589F">
      <w:pPr>
        <w:pStyle w:val="Subtitle"/>
      </w:pPr>
      <w:r w:rsidRPr="00C7589F">
        <w:t xml:space="preserve">Application No. </w:t>
      </w:r>
      <w:r w:rsidR="00B9099B" w:rsidRPr="00C7589F">
        <w:t>1237</w:t>
      </w:r>
      <w:r w:rsidRPr="00C7589F">
        <w:t xml:space="preserve"> – </w:t>
      </w:r>
      <w:r w:rsidR="001A58B9" w:rsidRPr="00C7589F">
        <w:t>Cardiac MRI</w:t>
      </w:r>
      <w:r w:rsidR="00B9099B" w:rsidRPr="00C7589F">
        <w:t xml:space="preserve"> – Coronary Artery Disease</w:t>
      </w:r>
    </w:p>
    <w:p w14:paraId="41D3B490" w14:textId="77777777" w:rsidR="00BC1364" w:rsidRPr="00707064" w:rsidRDefault="00BC1364" w:rsidP="00BB3F32">
      <w:pPr>
        <w:tabs>
          <w:tab w:val="left" w:pos="3600"/>
        </w:tabs>
        <w:spacing w:after="240"/>
        <w:rPr>
          <w:szCs w:val="24"/>
        </w:rPr>
      </w:pPr>
    </w:p>
    <w:p w14:paraId="71C2D898" w14:textId="77777777" w:rsidR="00BC1364" w:rsidRPr="00D90A38" w:rsidRDefault="00B35595" w:rsidP="001B305A">
      <w:pPr>
        <w:spacing w:after="240"/>
        <w:ind w:left="3600" w:hanging="3600"/>
        <w:rPr>
          <w:rFonts w:ascii="Arial" w:hAnsi="Arial" w:cs="Arial"/>
          <w:b/>
          <w:szCs w:val="24"/>
        </w:rPr>
      </w:pPr>
      <w:r>
        <w:rPr>
          <w:rFonts w:ascii="Arial" w:hAnsi="Arial" w:cs="Arial"/>
          <w:b/>
          <w:szCs w:val="24"/>
        </w:rPr>
        <w:t>Applicant</w:t>
      </w:r>
      <w:r w:rsidR="00BC1364" w:rsidRPr="00D90A38">
        <w:rPr>
          <w:rFonts w:ascii="Arial" w:hAnsi="Arial" w:cs="Arial"/>
          <w:b/>
          <w:szCs w:val="24"/>
        </w:rPr>
        <w:t>:</w:t>
      </w:r>
      <w:r w:rsidR="00BC1364" w:rsidRPr="00D90A38">
        <w:rPr>
          <w:rFonts w:ascii="Arial" w:hAnsi="Arial" w:cs="Arial"/>
          <w:b/>
          <w:szCs w:val="24"/>
        </w:rPr>
        <w:tab/>
      </w:r>
      <w:r w:rsidR="00B9099B">
        <w:rPr>
          <w:rFonts w:ascii="Arial" w:hAnsi="Arial" w:cs="Arial"/>
          <w:b/>
          <w:szCs w:val="24"/>
        </w:rPr>
        <w:t>The Cardiac Society of A</w:t>
      </w:r>
      <w:r w:rsidR="002D2218">
        <w:rPr>
          <w:rFonts w:ascii="Arial" w:hAnsi="Arial" w:cs="Arial"/>
          <w:b/>
          <w:szCs w:val="24"/>
        </w:rPr>
        <w:t xml:space="preserve">ustralia and New Zealand </w:t>
      </w:r>
    </w:p>
    <w:p w14:paraId="5AFC28B7" w14:textId="77777777" w:rsidR="00BC1364" w:rsidRPr="00D90A38" w:rsidRDefault="00BC1364" w:rsidP="001B305A">
      <w:pPr>
        <w:tabs>
          <w:tab w:val="left" w:pos="2265"/>
          <w:tab w:val="left" w:pos="3420"/>
          <w:tab w:val="left" w:pos="4320"/>
        </w:tabs>
        <w:spacing w:after="240"/>
        <w:rPr>
          <w:rFonts w:ascii="Arial" w:hAnsi="Arial" w:cs="Arial"/>
          <w:b/>
        </w:rPr>
      </w:pPr>
    </w:p>
    <w:p w14:paraId="16B2EB18" w14:textId="77777777" w:rsidR="00BC1364" w:rsidRPr="00725B10" w:rsidRDefault="00BC1364" w:rsidP="001B305A">
      <w:pPr>
        <w:spacing w:after="240"/>
        <w:rPr>
          <w:rStyle w:val="Strong"/>
        </w:rPr>
      </w:pPr>
      <w:r w:rsidRPr="00725B10">
        <w:rPr>
          <w:rStyle w:val="Strong"/>
        </w:rPr>
        <w:t>Date of MSAC consideration:</w:t>
      </w:r>
      <w:r w:rsidRPr="00725B10">
        <w:rPr>
          <w:rStyle w:val="Strong"/>
        </w:rPr>
        <w:tab/>
      </w:r>
      <w:r w:rsidR="00C67DD2" w:rsidRPr="00725B10">
        <w:rPr>
          <w:rStyle w:val="Strong"/>
        </w:rPr>
        <w:t xml:space="preserve">MSAC </w:t>
      </w:r>
      <w:r w:rsidR="00B35595" w:rsidRPr="00725B10">
        <w:rPr>
          <w:rStyle w:val="Strong"/>
        </w:rPr>
        <w:t>6</w:t>
      </w:r>
      <w:r w:rsidR="00EB6B6F" w:rsidRPr="00725B10">
        <w:rPr>
          <w:rStyle w:val="Strong"/>
        </w:rPr>
        <w:t xml:space="preserve">7th </w:t>
      </w:r>
      <w:r w:rsidRPr="00725B10">
        <w:rPr>
          <w:rStyle w:val="Strong"/>
        </w:rPr>
        <w:t xml:space="preserve">Meeting, </w:t>
      </w:r>
      <w:r w:rsidR="00B35595" w:rsidRPr="00725B10">
        <w:rPr>
          <w:rStyle w:val="Strong"/>
        </w:rPr>
        <w:t>2</w:t>
      </w:r>
      <w:r w:rsidR="00EB6B6F" w:rsidRPr="00725B10">
        <w:rPr>
          <w:rStyle w:val="Strong"/>
        </w:rPr>
        <w:t>8</w:t>
      </w:r>
      <w:r w:rsidR="00B35595" w:rsidRPr="00725B10">
        <w:rPr>
          <w:rStyle w:val="Strong"/>
        </w:rPr>
        <w:t>-2</w:t>
      </w:r>
      <w:r w:rsidR="00EB6B6F" w:rsidRPr="00725B10">
        <w:rPr>
          <w:rStyle w:val="Strong"/>
        </w:rPr>
        <w:t>9</w:t>
      </w:r>
      <w:r w:rsidR="00B35595" w:rsidRPr="00725B10">
        <w:rPr>
          <w:rStyle w:val="Strong"/>
        </w:rPr>
        <w:t xml:space="preserve"> </w:t>
      </w:r>
      <w:r w:rsidR="00EB6B6F" w:rsidRPr="00725B10">
        <w:rPr>
          <w:rStyle w:val="Strong"/>
        </w:rPr>
        <w:t>July 2016</w:t>
      </w:r>
    </w:p>
    <w:p w14:paraId="68F1BFCC" w14:textId="77777777" w:rsidR="00BC1364" w:rsidRDefault="00BC1364" w:rsidP="001B305A">
      <w:pPr>
        <w:spacing w:after="240"/>
        <w:rPr>
          <w:szCs w:val="24"/>
        </w:rPr>
      </w:pPr>
    </w:p>
    <w:p w14:paraId="2DD4CB57" w14:textId="670F0891" w:rsidR="00F41812" w:rsidRDefault="006A0D97" w:rsidP="001B305A">
      <w:pPr>
        <w:spacing w:after="240"/>
        <w:rPr>
          <w:szCs w:val="24"/>
        </w:rPr>
      </w:pPr>
      <w:r>
        <w:rPr>
          <w:szCs w:val="24"/>
        </w:rPr>
        <w:t xml:space="preserve">Context for decision: MSAC makes its advice in accordance with its Terms of Reference, see at </w:t>
      </w:r>
      <w:hyperlink r:id="rId10" w:history="1">
        <w:r w:rsidR="00C7589F">
          <w:rPr>
            <w:rFonts w:eastAsia="Calibri"/>
            <w:color w:val="0000FF"/>
            <w:szCs w:val="24"/>
            <w:u w:val="single"/>
          </w:rPr>
          <w:t>MSAC Website</w:t>
        </w:r>
      </w:hyperlink>
    </w:p>
    <w:p w14:paraId="52A60990" w14:textId="1C81E238" w:rsidR="003D7F29" w:rsidRPr="00725B10" w:rsidRDefault="003D7F29" w:rsidP="00725B10">
      <w:pPr>
        <w:pStyle w:val="Heading1"/>
      </w:pPr>
      <w:r w:rsidRPr="00725B10">
        <w:t>Purpose of application</w:t>
      </w:r>
      <w:r w:rsidR="00822C7E" w:rsidRPr="00725B10">
        <w:t xml:space="preserve"> and links to other applications</w:t>
      </w:r>
    </w:p>
    <w:p w14:paraId="466E685C" w14:textId="6F35AD21" w:rsidR="003D7F29" w:rsidRPr="001B305A" w:rsidRDefault="002D2218" w:rsidP="001B305A">
      <w:pPr>
        <w:spacing w:after="240"/>
      </w:pPr>
      <w:r>
        <w:rPr>
          <w:color w:val="000000"/>
        </w:rPr>
        <w:t xml:space="preserve">An application </w:t>
      </w:r>
      <w:r w:rsidR="009E17EB">
        <w:rPr>
          <w:color w:val="000000"/>
        </w:rPr>
        <w:t>requesting two</w:t>
      </w:r>
      <w:r w:rsidRPr="004803FE">
        <w:rPr>
          <w:color w:val="000000"/>
        </w:rPr>
        <w:t xml:space="preserve"> new MBS listing</w:t>
      </w:r>
      <w:r w:rsidR="009E17EB">
        <w:rPr>
          <w:color w:val="000000"/>
        </w:rPr>
        <w:t>s</w:t>
      </w:r>
      <w:r w:rsidRPr="004803FE">
        <w:rPr>
          <w:color w:val="000000"/>
        </w:rPr>
        <w:t xml:space="preserve"> of </w:t>
      </w:r>
      <w:r w:rsidR="00D279FC">
        <w:rPr>
          <w:color w:val="000000"/>
        </w:rPr>
        <w:t>ca</w:t>
      </w:r>
      <w:r w:rsidR="00AC6199">
        <w:rPr>
          <w:color w:val="000000"/>
        </w:rPr>
        <w:t>r</w:t>
      </w:r>
      <w:r w:rsidR="00D279FC">
        <w:rPr>
          <w:color w:val="000000"/>
        </w:rPr>
        <w:t xml:space="preserve">diac </w:t>
      </w:r>
      <w:r w:rsidRPr="004803FE">
        <w:rPr>
          <w:color w:val="000000"/>
        </w:rPr>
        <w:t>magnetic resonance imaging (</w:t>
      </w:r>
      <w:r w:rsidR="00D279FC">
        <w:rPr>
          <w:color w:val="000000"/>
        </w:rPr>
        <w:t>C</w:t>
      </w:r>
      <w:r w:rsidRPr="004803FE">
        <w:rPr>
          <w:color w:val="000000"/>
        </w:rPr>
        <w:t>MR) for</w:t>
      </w:r>
      <w:r w:rsidRPr="004803FE">
        <w:t xml:space="preserve"> myocardial stress perfusion (</w:t>
      </w:r>
      <w:r>
        <w:t>P</w:t>
      </w:r>
      <w:r w:rsidRPr="004803FE">
        <w:t xml:space="preserve">opulation </w:t>
      </w:r>
      <w:r>
        <w:t>O</w:t>
      </w:r>
      <w:r w:rsidRPr="004803FE">
        <w:t>ne) and viability imaging (</w:t>
      </w:r>
      <w:r>
        <w:t>P</w:t>
      </w:r>
      <w:r w:rsidRPr="004803FE">
        <w:t xml:space="preserve">opulation </w:t>
      </w:r>
      <w:r>
        <w:t>T</w:t>
      </w:r>
      <w:r w:rsidRPr="004803FE">
        <w:t xml:space="preserve">wo) in patients with </w:t>
      </w:r>
      <w:r w:rsidR="00D279FC">
        <w:t xml:space="preserve">suspected or </w:t>
      </w:r>
      <w:r w:rsidRPr="004803FE">
        <w:t>known coronary artery disease (CAD)</w:t>
      </w:r>
      <w:r>
        <w:t xml:space="preserve"> was received by the Department of Health from the Cardiac Society of Australia and New Zealand (CSANZ)</w:t>
      </w:r>
      <w:r w:rsidRPr="004803FE">
        <w:t>.</w:t>
      </w:r>
    </w:p>
    <w:p w14:paraId="518742D4" w14:textId="7151EF7B" w:rsidR="00E977EE" w:rsidRPr="00725B10" w:rsidRDefault="00E977EE" w:rsidP="00725B10">
      <w:pPr>
        <w:pStyle w:val="Heading1"/>
      </w:pPr>
      <w:r w:rsidRPr="00725B10">
        <w:t>MSAC’s advice to the Minister</w:t>
      </w:r>
    </w:p>
    <w:p w14:paraId="4D1B9508" w14:textId="77777777" w:rsidR="00CE0FFD" w:rsidRPr="00CE0FFD" w:rsidRDefault="00CE0FFD" w:rsidP="001B305A">
      <w:pPr>
        <w:pStyle w:val="BodyText"/>
        <w:spacing w:before="0" w:after="240" w:line="240" w:lineRule="auto"/>
        <w:rPr>
          <w:rFonts w:ascii="Times New Roman" w:hAnsi="Times New Roman"/>
          <w:sz w:val="24"/>
        </w:rPr>
      </w:pPr>
      <w:r w:rsidRPr="00CE0FFD">
        <w:rPr>
          <w:rFonts w:ascii="Times New Roman" w:hAnsi="Times New Roman"/>
          <w:sz w:val="24"/>
        </w:rPr>
        <w:t>After considering the available evidence in relation to the safety, clinical effectiveness and cost-effectiveness of:</w:t>
      </w:r>
    </w:p>
    <w:p w14:paraId="363141D4" w14:textId="25E6C073" w:rsidR="00CE0FFD" w:rsidRPr="00CE0FFD" w:rsidRDefault="00CE0FFD" w:rsidP="001B305A">
      <w:pPr>
        <w:pStyle w:val="BodyText"/>
        <w:numPr>
          <w:ilvl w:val="0"/>
          <w:numId w:val="32"/>
        </w:numPr>
        <w:spacing w:before="0" w:after="240" w:line="240" w:lineRule="auto"/>
        <w:rPr>
          <w:rFonts w:ascii="Times New Roman" w:hAnsi="Times New Roman"/>
          <w:sz w:val="24"/>
        </w:rPr>
      </w:pPr>
      <w:r w:rsidRPr="00CE0FFD">
        <w:rPr>
          <w:rFonts w:ascii="Times New Roman" w:hAnsi="Times New Roman"/>
          <w:sz w:val="24"/>
        </w:rPr>
        <w:t xml:space="preserve">stress perfusion cardiac magnetic resonance imaging (SP-CMR) with late gadolinium enhancement (LGE) for the evaluation of suspected myocardial </w:t>
      </w:r>
      <w:proofErr w:type="spellStart"/>
      <w:r w:rsidRPr="00CE0FFD">
        <w:rPr>
          <w:rFonts w:ascii="Times New Roman" w:hAnsi="Times New Roman"/>
          <w:sz w:val="24"/>
        </w:rPr>
        <w:t>ischaemia</w:t>
      </w:r>
      <w:proofErr w:type="spellEnd"/>
      <w:r w:rsidRPr="00CE0FFD">
        <w:rPr>
          <w:rFonts w:ascii="Times New Roman" w:hAnsi="Times New Roman"/>
          <w:sz w:val="24"/>
        </w:rPr>
        <w:t xml:space="preserve"> in patients with an intermediate pre-test probability (PTP) of CAD; and </w:t>
      </w:r>
    </w:p>
    <w:p w14:paraId="1AB72767" w14:textId="2071C37C" w:rsidR="00CE0FFD" w:rsidRPr="00CE0FFD" w:rsidRDefault="00CE0FFD" w:rsidP="001B305A">
      <w:pPr>
        <w:pStyle w:val="BodyText"/>
        <w:numPr>
          <w:ilvl w:val="0"/>
          <w:numId w:val="32"/>
        </w:numPr>
        <w:spacing w:before="0" w:after="240" w:line="240" w:lineRule="auto"/>
        <w:rPr>
          <w:rFonts w:ascii="Times New Roman" w:hAnsi="Times New Roman"/>
          <w:sz w:val="24"/>
        </w:rPr>
      </w:pPr>
      <w:r w:rsidRPr="00CE0FFD">
        <w:rPr>
          <w:rFonts w:ascii="Times New Roman" w:hAnsi="Times New Roman"/>
          <w:sz w:val="24"/>
        </w:rPr>
        <w:t>cardiac magnetic resonance imaging with late gadolinium enhancement (LGE-CMR) for the assessment of myocardial viability in patients with CAD and impaired left ventricular systolic function who are being considered for revascularisation,</w:t>
      </w:r>
    </w:p>
    <w:p w14:paraId="6D314EAB" w14:textId="1AB15E9C" w:rsidR="00817F01" w:rsidRDefault="00CE0FFD" w:rsidP="001B305A">
      <w:pPr>
        <w:pStyle w:val="Default"/>
        <w:spacing w:after="240"/>
      </w:pPr>
      <w:r w:rsidRPr="00CE0FFD">
        <w:t xml:space="preserve">MSAC did not support public funding for either indication as the </w:t>
      </w:r>
      <w:r w:rsidR="00DF1BAF" w:rsidRPr="00D34362">
        <w:rPr>
          <w:sz w:val="23"/>
          <w:szCs w:val="23"/>
        </w:rPr>
        <w:t xml:space="preserve">clinical need was not </w:t>
      </w:r>
      <w:r w:rsidR="00D279FC">
        <w:rPr>
          <w:sz w:val="23"/>
          <w:szCs w:val="23"/>
        </w:rPr>
        <w:t>established</w:t>
      </w:r>
      <w:r w:rsidR="00DF1BAF" w:rsidRPr="00D34362">
        <w:rPr>
          <w:sz w:val="23"/>
          <w:szCs w:val="23"/>
        </w:rPr>
        <w:t xml:space="preserve"> and the modelled economic evaluation showed that</w:t>
      </w:r>
      <w:r w:rsidR="00D279FC">
        <w:rPr>
          <w:sz w:val="23"/>
          <w:szCs w:val="23"/>
        </w:rPr>
        <w:t>,</w:t>
      </w:r>
      <w:r w:rsidR="00DF1BAF" w:rsidRPr="00D34362">
        <w:rPr>
          <w:sz w:val="23"/>
          <w:szCs w:val="23"/>
        </w:rPr>
        <w:t xml:space="preserve"> at the fee proposed</w:t>
      </w:r>
      <w:r w:rsidR="00D279FC">
        <w:rPr>
          <w:sz w:val="23"/>
          <w:szCs w:val="23"/>
        </w:rPr>
        <w:t>,</w:t>
      </w:r>
      <w:r w:rsidR="00DF1BAF" w:rsidRPr="00D34362">
        <w:rPr>
          <w:sz w:val="23"/>
          <w:szCs w:val="23"/>
        </w:rPr>
        <w:t xml:space="preserve"> </w:t>
      </w:r>
      <w:r w:rsidR="00D279FC">
        <w:rPr>
          <w:sz w:val="23"/>
          <w:szCs w:val="23"/>
        </w:rPr>
        <w:t xml:space="preserve">CMR </w:t>
      </w:r>
      <w:r w:rsidR="00DF1BAF" w:rsidRPr="00D34362">
        <w:rPr>
          <w:sz w:val="23"/>
          <w:szCs w:val="23"/>
        </w:rPr>
        <w:t xml:space="preserve">is </w:t>
      </w:r>
      <w:r w:rsidR="00D279FC">
        <w:rPr>
          <w:sz w:val="23"/>
          <w:szCs w:val="23"/>
        </w:rPr>
        <w:t>less</w:t>
      </w:r>
      <w:r w:rsidR="00DF1BAF" w:rsidRPr="00D34362">
        <w:rPr>
          <w:sz w:val="23"/>
          <w:szCs w:val="23"/>
        </w:rPr>
        <w:t xml:space="preserve"> cost effective in the management of coronary artery disease </w:t>
      </w:r>
      <w:r w:rsidR="00D279FC">
        <w:rPr>
          <w:sz w:val="23"/>
          <w:szCs w:val="23"/>
        </w:rPr>
        <w:t>than</w:t>
      </w:r>
      <w:r w:rsidR="00DF1BAF" w:rsidRPr="00D34362">
        <w:rPr>
          <w:sz w:val="23"/>
          <w:szCs w:val="23"/>
        </w:rPr>
        <w:t xml:space="preserve"> current funded options within the MBS, including CT </w:t>
      </w:r>
      <w:r w:rsidR="00D279FC">
        <w:rPr>
          <w:sz w:val="23"/>
          <w:szCs w:val="23"/>
        </w:rPr>
        <w:t>c</w:t>
      </w:r>
      <w:r w:rsidR="00DF1BAF" w:rsidRPr="00D34362">
        <w:rPr>
          <w:sz w:val="23"/>
          <w:szCs w:val="23"/>
        </w:rPr>
        <w:t xml:space="preserve">oronary </w:t>
      </w:r>
      <w:r w:rsidR="00D279FC">
        <w:rPr>
          <w:sz w:val="23"/>
          <w:szCs w:val="23"/>
        </w:rPr>
        <w:t>a</w:t>
      </w:r>
      <w:r w:rsidR="00DF1BAF" w:rsidRPr="00D34362">
        <w:rPr>
          <w:sz w:val="23"/>
          <w:szCs w:val="23"/>
        </w:rPr>
        <w:t xml:space="preserve">ngiography and stress echocardiography. </w:t>
      </w:r>
      <w:r w:rsidR="00D279FC">
        <w:rPr>
          <w:sz w:val="23"/>
          <w:szCs w:val="23"/>
        </w:rPr>
        <w:t xml:space="preserve">In view of a higher rate of equivocal or failed examinations, </w:t>
      </w:r>
      <w:r w:rsidR="001A58B9">
        <w:rPr>
          <w:sz w:val="23"/>
          <w:szCs w:val="23"/>
        </w:rPr>
        <w:t>CMR</w:t>
      </w:r>
      <w:r w:rsidR="00DF1BAF" w:rsidRPr="00D34362">
        <w:rPr>
          <w:sz w:val="23"/>
          <w:szCs w:val="23"/>
        </w:rPr>
        <w:t xml:space="preserve"> also generates more indeterminate results than </w:t>
      </w:r>
      <w:r w:rsidR="00D279FC">
        <w:rPr>
          <w:sz w:val="23"/>
          <w:szCs w:val="23"/>
        </w:rPr>
        <w:t>single-photon emission computed tomographic (</w:t>
      </w:r>
      <w:r w:rsidR="00DF1BAF" w:rsidRPr="00D34362">
        <w:rPr>
          <w:sz w:val="23"/>
          <w:szCs w:val="23"/>
        </w:rPr>
        <w:t>SPECT</w:t>
      </w:r>
      <w:r w:rsidR="00D279FC">
        <w:rPr>
          <w:sz w:val="23"/>
          <w:szCs w:val="23"/>
        </w:rPr>
        <w:t>) myocardial perfusion imaging</w:t>
      </w:r>
      <w:r w:rsidR="00DF1BAF" w:rsidRPr="00D34362">
        <w:rPr>
          <w:sz w:val="23"/>
          <w:szCs w:val="23"/>
        </w:rPr>
        <w:t>, even in high volume c</w:t>
      </w:r>
      <w:r w:rsidR="00A953A7">
        <w:rPr>
          <w:sz w:val="23"/>
          <w:szCs w:val="23"/>
        </w:rPr>
        <w:t>entres</w:t>
      </w:r>
      <w:r w:rsidRPr="00CE0FFD">
        <w:t xml:space="preserve">. </w:t>
      </w:r>
    </w:p>
    <w:p w14:paraId="17A3F786" w14:textId="77777777" w:rsidR="00E977EE" w:rsidRPr="00CE0FFD" w:rsidRDefault="00CE0FFD" w:rsidP="001B305A">
      <w:pPr>
        <w:pStyle w:val="Default"/>
        <w:spacing w:after="240"/>
      </w:pPr>
      <w:r w:rsidRPr="00CE0FFD">
        <w:lastRenderedPageBreak/>
        <w:t xml:space="preserve">MSAC also noted that due to limited access to </w:t>
      </w:r>
      <w:proofErr w:type="spellStart"/>
      <w:r w:rsidRPr="00CE0FFD">
        <w:t>rebatable</w:t>
      </w:r>
      <w:proofErr w:type="spellEnd"/>
      <w:r w:rsidRPr="00CE0FFD">
        <w:t xml:space="preserve"> magnetic resonance imaging (MRI) machines, demand for MRI from other specialties</w:t>
      </w:r>
      <w:r w:rsidR="00D279FC">
        <w:t>, the requirement for specialists specifically trained in CMR,</w:t>
      </w:r>
      <w:r w:rsidRPr="00CE0FFD">
        <w:t xml:space="preserve"> and the time required to conduct the proposed tests, access to CMR is likely to be severely restricted in the foreseeable future</w:t>
      </w:r>
      <w:r>
        <w:t>.</w:t>
      </w:r>
    </w:p>
    <w:p w14:paraId="7246505A" w14:textId="51C33A08" w:rsidR="00550354" w:rsidRPr="00725B10" w:rsidRDefault="00067F85" w:rsidP="00725B10">
      <w:pPr>
        <w:pStyle w:val="Heading1"/>
      </w:pPr>
      <w:r w:rsidRPr="00725B10">
        <w:tab/>
      </w:r>
      <w:r w:rsidR="00550354" w:rsidRPr="00725B10">
        <w:t xml:space="preserve">Summary of consideration and rationale for MSAC’s advice </w:t>
      </w:r>
    </w:p>
    <w:p w14:paraId="0E859392" w14:textId="725EBF27" w:rsidR="00CE0FFD" w:rsidRPr="00CE0FFD" w:rsidRDefault="00CE0FFD" w:rsidP="001B305A">
      <w:pPr>
        <w:pStyle w:val="BodyText"/>
        <w:spacing w:before="0" w:after="240" w:line="240" w:lineRule="auto"/>
        <w:rPr>
          <w:rFonts w:ascii="Times New Roman" w:hAnsi="Times New Roman"/>
          <w:sz w:val="24"/>
        </w:rPr>
      </w:pPr>
      <w:r w:rsidRPr="00CE0FFD">
        <w:rPr>
          <w:rFonts w:ascii="Times New Roman" w:hAnsi="Times New Roman"/>
          <w:sz w:val="24"/>
        </w:rPr>
        <w:t xml:space="preserve">MSAC </w:t>
      </w:r>
      <w:r w:rsidR="00817F01">
        <w:rPr>
          <w:rFonts w:ascii="Times New Roman" w:hAnsi="Times New Roman"/>
          <w:sz w:val="24"/>
        </w:rPr>
        <w:t>noted that t</w:t>
      </w:r>
      <w:r w:rsidRPr="00CE0FFD">
        <w:rPr>
          <w:rFonts w:ascii="Times New Roman" w:hAnsi="Times New Roman"/>
          <w:sz w:val="24"/>
        </w:rPr>
        <w:t xml:space="preserve">he proposed imaging would be conducted using a standard MRI machine performed by cardiologists or radiologists with appropriate training. MSAC noted that the applicant was working with The Royal Australian and New Zealand College of Radiologists (RANZCR) to develop a joint training program that would provide accreditation for cardiologists and radiologists to provide this service. However, MSAC noted that in order for cardiologists to be </w:t>
      </w:r>
      <w:r w:rsidR="00D279FC">
        <w:rPr>
          <w:rFonts w:ascii="Times New Roman" w:hAnsi="Times New Roman"/>
          <w:sz w:val="24"/>
        </w:rPr>
        <w:t>reimbursed for</w:t>
      </w:r>
      <w:r w:rsidRPr="00CE0FFD">
        <w:rPr>
          <w:rFonts w:ascii="Times New Roman" w:hAnsi="Times New Roman"/>
          <w:sz w:val="24"/>
        </w:rPr>
        <w:t xml:space="preserve"> this service</w:t>
      </w:r>
      <w:r w:rsidR="00D279FC">
        <w:rPr>
          <w:rFonts w:ascii="Times New Roman" w:hAnsi="Times New Roman"/>
          <w:sz w:val="24"/>
        </w:rPr>
        <w:t xml:space="preserve"> through the Medical Benefits Schedule</w:t>
      </w:r>
      <w:r w:rsidRPr="00CE0FFD">
        <w:rPr>
          <w:rFonts w:ascii="Times New Roman" w:hAnsi="Times New Roman"/>
          <w:sz w:val="24"/>
        </w:rPr>
        <w:t xml:space="preserve">, formal legislative changes to the </w:t>
      </w:r>
      <w:r w:rsidRPr="00CE0FFD">
        <w:rPr>
          <w:rFonts w:ascii="Times New Roman" w:hAnsi="Times New Roman"/>
          <w:i/>
          <w:sz w:val="24"/>
        </w:rPr>
        <w:t>Health Insurance (Diagnostic Imaging Services Table) Regulations</w:t>
      </w:r>
      <w:r w:rsidRPr="00CE0FFD">
        <w:rPr>
          <w:rFonts w:ascii="Times New Roman" w:hAnsi="Times New Roman"/>
          <w:sz w:val="24"/>
        </w:rPr>
        <w:t xml:space="preserve"> will be required. The application proposed the use of this service in two distinct populations. MSAC reviewed the evidence for each population separately. </w:t>
      </w:r>
    </w:p>
    <w:p w14:paraId="357AF9B8" w14:textId="41AF5D8C" w:rsidR="00CE0FFD" w:rsidRPr="00CE0FFD" w:rsidRDefault="00CE0FFD" w:rsidP="001B305A">
      <w:pPr>
        <w:pStyle w:val="BodyText"/>
        <w:spacing w:before="0" w:after="240" w:line="240" w:lineRule="auto"/>
        <w:rPr>
          <w:rFonts w:ascii="Times New Roman" w:hAnsi="Times New Roman"/>
          <w:sz w:val="24"/>
        </w:rPr>
      </w:pPr>
      <w:r w:rsidRPr="00CE0FFD">
        <w:rPr>
          <w:rFonts w:ascii="Times New Roman" w:hAnsi="Times New Roman"/>
          <w:sz w:val="24"/>
        </w:rPr>
        <w:t xml:space="preserve">The first population </w:t>
      </w:r>
      <w:r w:rsidR="00AB406F">
        <w:rPr>
          <w:rFonts w:ascii="Times New Roman" w:hAnsi="Times New Roman"/>
          <w:sz w:val="24"/>
        </w:rPr>
        <w:t xml:space="preserve">(“Population One”) </w:t>
      </w:r>
      <w:r w:rsidRPr="00CE0FFD">
        <w:rPr>
          <w:rFonts w:ascii="Times New Roman" w:hAnsi="Times New Roman"/>
          <w:sz w:val="24"/>
        </w:rPr>
        <w:t>encompassed patients presenting with symptoms consistent with stable CAD and an intermediate</w:t>
      </w:r>
      <w:r w:rsidR="00873592">
        <w:rPr>
          <w:rFonts w:ascii="Times New Roman" w:hAnsi="Times New Roman"/>
          <w:sz w:val="24"/>
        </w:rPr>
        <w:t xml:space="preserve"> (15-85%)</w:t>
      </w:r>
      <w:r w:rsidRPr="00CE0FFD">
        <w:rPr>
          <w:rFonts w:ascii="Times New Roman" w:hAnsi="Times New Roman"/>
          <w:sz w:val="24"/>
        </w:rPr>
        <w:t xml:space="preserve"> </w:t>
      </w:r>
      <w:proofErr w:type="gramStart"/>
      <w:r w:rsidRPr="00CE0FFD">
        <w:rPr>
          <w:rFonts w:ascii="Times New Roman" w:hAnsi="Times New Roman"/>
          <w:sz w:val="24"/>
        </w:rPr>
        <w:t>PTP of CAD.</w:t>
      </w:r>
      <w:proofErr w:type="gramEnd"/>
      <w:r w:rsidRPr="00CE0FFD">
        <w:rPr>
          <w:rFonts w:ascii="Times New Roman" w:hAnsi="Times New Roman"/>
          <w:sz w:val="24"/>
        </w:rPr>
        <w:t xml:space="preserve"> For this population, the proposed imaging involves the use of SP-CMR, with adenosine as the pharmacological stress agent, and viability assessment with LGE-CMR. MSAC noted that</w:t>
      </w:r>
      <w:r w:rsidR="0065797A">
        <w:rPr>
          <w:rFonts w:ascii="Times New Roman" w:hAnsi="Times New Roman"/>
          <w:sz w:val="24"/>
        </w:rPr>
        <w:t>,</w:t>
      </w:r>
      <w:r w:rsidRPr="00CE0FFD">
        <w:rPr>
          <w:rFonts w:ascii="Times New Roman" w:hAnsi="Times New Roman"/>
          <w:sz w:val="24"/>
        </w:rPr>
        <w:t xml:space="preserve"> combined, these imaging modalities were anticipated to allow diagnosis of CAD. </w:t>
      </w:r>
    </w:p>
    <w:p w14:paraId="49CACBBA" w14:textId="745D1149" w:rsidR="00CE0FFD" w:rsidRPr="00CE0FFD" w:rsidRDefault="00CE0FFD" w:rsidP="001B305A">
      <w:pPr>
        <w:pStyle w:val="BodyText"/>
        <w:spacing w:before="0" w:after="240" w:line="240" w:lineRule="auto"/>
        <w:rPr>
          <w:rFonts w:ascii="Times New Roman" w:hAnsi="Times New Roman"/>
          <w:sz w:val="24"/>
        </w:rPr>
      </w:pPr>
      <w:r w:rsidRPr="00CE0FFD">
        <w:rPr>
          <w:rFonts w:ascii="Times New Roman" w:hAnsi="Times New Roman"/>
          <w:sz w:val="24"/>
        </w:rPr>
        <w:t xml:space="preserve">The applicant claimed that SP-CMR in combination with LGE-CMR (SP-CMR + LGE-CMR) would substitute </w:t>
      </w:r>
      <w:r w:rsidR="001A58B9">
        <w:rPr>
          <w:rFonts w:ascii="Times New Roman" w:hAnsi="Times New Roman"/>
          <w:sz w:val="24"/>
        </w:rPr>
        <w:t xml:space="preserve">for </w:t>
      </w:r>
      <w:r w:rsidRPr="00CE0FFD">
        <w:rPr>
          <w:rFonts w:ascii="Times New Roman" w:hAnsi="Times New Roman"/>
          <w:sz w:val="24"/>
        </w:rPr>
        <w:t xml:space="preserve">existing diagnostic cardiac stress tests. Hence the comparators included: exercise </w:t>
      </w:r>
      <w:r w:rsidR="00873592" w:rsidRPr="00CE0FFD">
        <w:rPr>
          <w:rFonts w:ascii="Times New Roman" w:hAnsi="Times New Roman"/>
          <w:sz w:val="24"/>
        </w:rPr>
        <w:t>electrocardiogra</w:t>
      </w:r>
      <w:r w:rsidR="00873592">
        <w:rPr>
          <w:rFonts w:ascii="Times New Roman" w:hAnsi="Times New Roman"/>
          <w:sz w:val="24"/>
        </w:rPr>
        <w:t>phy</w:t>
      </w:r>
      <w:r w:rsidR="00873592" w:rsidRPr="00CE0FFD">
        <w:rPr>
          <w:rFonts w:ascii="Times New Roman" w:hAnsi="Times New Roman"/>
          <w:sz w:val="24"/>
        </w:rPr>
        <w:t xml:space="preserve"> </w:t>
      </w:r>
      <w:r w:rsidRPr="00CE0FFD">
        <w:rPr>
          <w:rFonts w:ascii="Times New Roman" w:hAnsi="Times New Roman"/>
          <w:sz w:val="24"/>
        </w:rPr>
        <w:t xml:space="preserve">(ex-ECG); exercise or pharmacological stress </w:t>
      </w:r>
      <w:r w:rsidR="00873592" w:rsidRPr="00CE0FFD">
        <w:rPr>
          <w:rFonts w:ascii="Times New Roman" w:hAnsi="Times New Roman"/>
          <w:sz w:val="24"/>
        </w:rPr>
        <w:t>echocardiogra</w:t>
      </w:r>
      <w:r w:rsidR="00873592">
        <w:rPr>
          <w:rFonts w:ascii="Times New Roman" w:hAnsi="Times New Roman"/>
          <w:sz w:val="24"/>
        </w:rPr>
        <w:t>phy</w:t>
      </w:r>
      <w:r w:rsidR="00873592" w:rsidRPr="00CE0FFD">
        <w:rPr>
          <w:rFonts w:ascii="Times New Roman" w:hAnsi="Times New Roman"/>
          <w:sz w:val="24"/>
        </w:rPr>
        <w:t xml:space="preserve"> </w:t>
      </w:r>
      <w:r w:rsidRPr="00CE0FFD">
        <w:rPr>
          <w:rFonts w:ascii="Times New Roman" w:hAnsi="Times New Roman"/>
          <w:sz w:val="24"/>
        </w:rPr>
        <w:t xml:space="preserve">(stress-Echo); </w:t>
      </w:r>
      <w:r w:rsidR="00873592">
        <w:rPr>
          <w:rFonts w:ascii="Times New Roman" w:hAnsi="Times New Roman"/>
          <w:sz w:val="24"/>
        </w:rPr>
        <w:t xml:space="preserve">exercise or pharmacologic </w:t>
      </w:r>
      <w:r w:rsidRPr="00CE0FFD">
        <w:rPr>
          <w:rFonts w:ascii="Times New Roman" w:hAnsi="Times New Roman"/>
          <w:sz w:val="24"/>
        </w:rPr>
        <w:t>stress SPECT</w:t>
      </w:r>
      <w:r w:rsidR="0065797A">
        <w:rPr>
          <w:rFonts w:ascii="Times New Roman" w:hAnsi="Times New Roman"/>
          <w:sz w:val="24"/>
        </w:rPr>
        <w:t>;</w:t>
      </w:r>
      <w:r w:rsidRPr="00CE0FFD">
        <w:rPr>
          <w:rFonts w:ascii="Times New Roman" w:hAnsi="Times New Roman"/>
          <w:sz w:val="24"/>
        </w:rPr>
        <w:t xml:space="preserve"> and </w:t>
      </w:r>
      <w:r w:rsidR="0065797A">
        <w:rPr>
          <w:rFonts w:ascii="Times New Roman" w:hAnsi="Times New Roman"/>
          <w:sz w:val="24"/>
        </w:rPr>
        <w:t xml:space="preserve">computed tomographic </w:t>
      </w:r>
      <w:r w:rsidRPr="00CE0FFD">
        <w:rPr>
          <w:rFonts w:ascii="Times New Roman" w:hAnsi="Times New Roman"/>
          <w:sz w:val="24"/>
        </w:rPr>
        <w:t>coronary angiography (CTCA). However, MSAC considered that</w:t>
      </w:r>
      <w:r w:rsidR="0065797A">
        <w:rPr>
          <w:rFonts w:ascii="Times New Roman" w:hAnsi="Times New Roman"/>
          <w:sz w:val="24"/>
        </w:rPr>
        <w:t>,</w:t>
      </w:r>
      <w:r w:rsidRPr="00CE0FFD">
        <w:rPr>
          <w:rFonts w:ascii="Times New Roman" w:hAnsi="Times New Roman"/>
          <w:sz w:val="24"/>
        </w:rPr>
        <w:t xml:space="preserve"> in clinical practice, it is common for patients to undergo </w:t>
      </w:r>
      <w:r w:rsidR="00873592">
        <w:rPr>
          <w:rFonts w:ascii="Times New Roman" w:hAnsi="Times New Roman"/>
          <w:sz w:val="24"/>
        </w:rPr>
        <w:t>one or more prior</w:t>
      </w:r>
      <w:r w:rsidR="00873592" w:rsidRPr="00CE0FFD">
        <w:rPr>
          <w:rFonts w:ascii="Times New Roman" w:hAnsi="Times New Roman"/>
          <w:sz w:val="24"/>
        </w:rPr>
        <w:t xml:space="preserve"> </w:t>
      </w:r>
      <w:r w:rsidRPr="00CE0FFD">
        <w:rPr>
          <w:rFonts w:ascii="Times New Roman" w:hAnsi="Times New Roman"/>
          <w:sz w:val="24"/>
        </w:rPr>
        <w:t>tests, particularly ex-ECGs and stress-</w:t>
      </w:r>
      <w:proofErr w:type="spellStart"/>
      <w:r w:rsidRPr="00CE0FFD">
        <w:rPr>
          <w:rFonts w:ascii="Times New Roman" w:hAnsi="Times New Roman"/>
          <w:sz w:val="24"/>
        </w:rPr>
        <w:t>Echos</w:t>
      </w:r>
      <w:proofErr w:type="spellEnd"/>
      <w:r w:rsidR="0065797A">
        <w:rPr>
          <w:rFonts w:ascii="Times New Roman" w:hAnsi="Times New Roman"/>
          <w:sz w:val="24"/>
        </w:rPr>
        <w:t>,</w:t>
      </w:r>
      <w:r w:rsidRPr="00CE0FFD">
        <w:rPr>
          <w:rFonts w:ascii="Times New Roman" w:hAnsi="Times New Roman"/>
          <w:sz w:val="24"/>
        </w:rPr>
        <w:t xml:space="preserve"> and that as a consequence the comparator tests may not be entirely replaced by </w:t>
      </w:r>
      <w:r w:rsidR="0065797A">
        <w:rPr>
          <w:rFonts w:ascii="Times New Roman" w:hAnsi="Times New Roman"/>
          <w:sz w:val="24"/>
        </w:rPr>
        <w:t>CMR</w:t>
      </w:r>
      <w:r w:rsidRPr="00CE0FFD">
        <w:rPr>
          <w:rFonts w:ascii="Times New Roman" w:hAnsi="Times New Roman"/>
          <w:sz w:val="24"/>
        </w:rPr>
        <w:t xml:space="preserve">. MSAC noted that invasive coronary angiography (ICA) is currently considered the </w:t>
      </w:r>
      <w:r w:rsidR="00873592">
        <w:rPr>
          <w:rFonts w:ascii="Times New Roman" w:hAnsi="Times New Roman"/>
          <w:sz w:val="24"/>
        </w:rPr>
        <w:t>reference</w:t>
      </w:r>
      <w:r w:rsidR="00873592" w:rsidRPr="00CE0FFD">
        <w:rPr>
          <w:rFonts w:ascii="Times New Roman" w:hAnsi="Times New Roman"/>
          <w:sz w:val="24"/>
        </w:rPr>
        <w:t xml:space="preserve"> </w:t>
      </w:r>
      <w:r w:rsidRPr="00CE0FFD">
        <w:rPr>
          <w:rFonts w:ascii="Times New Roman" w:hAnsi="Times New Roman"/>
          <w:sz w:val="24"/>
        </w:rPr>
        <w:t xml:space="preserve">standard </w:t>
      </w:r>
      <w:r w:rsidR="0065797A">
        <w:rPr>
          <w:rFonts w:ascii="Times New Roman" w:hAnsi="Times New Roman"/>
          <w:sz w:val="24"/>
        </w:rPr>
        <w:t>for</w:t>
      </w:r>
      <w:r w:rsidR="0065797A" w:rsidRPr="00CE0FFD">
        <w:rPr>
          <w:rFonts w:ascii="Times New Roman" w:hAnsi="Times New Roman"/>
          <w:sz w:val="24"/>
        </w:rPr>
        <w:t xml:space="preserve"> </w:t>
      </w:r>
      <w:r w:rsidRPr="00CE0FFD">
        <w:rPr>
          <w:rFonts w:ascii="Times New Roman" w:hAnsi="Times New Roman"/>
          <w:sz w:val="24"/>
        </w:rPr>
        <w:t xml:space="preserve">confirming or ruling out CAD. </w:t>
      </w:r>
    </w:p>
    <w:p w14:paraId="03F68E24" w14:textId="4C58B824" w:rsidR="00CE0FFD" w:rsidRPr="00CE0FFD" w:rsidRDefault="00CE0FFD" w:rsidP="001B305A">
      <w:pPr>
        <w:pStyle w:val="BodyText"/>
        <w:spacing w:before="0" w:after="240" w:line="240" w:lineRule="auto"/>
        <w:rPr>
          <w:rFonts w:ascii="Times New Roman" w:hAnsi="Times New Roman"/>
          <w:sz w:val="24"/>
        </w:rPr>
      </w:pPr>
      <w:r w:rsidRPr="00CE0FFD">
        <w:rPr>
          <w:rFonts w:ascii="Times New Roman" w:hAnsi="Times New Roman"/>
          <w:sz w:val="24"/>
        </w:rPr>
        <w:t xml:space="preserve">MSAC considered the estimated risk of serious adverse events (AEs) associated with the proposed imaging and its comparators. MSAC noted that ICA had the highest risk of serious AEs due to the invasive nature of the procedure and that the proposed SP-CMR ± LGE had a similar AE rate to its remaining comparators. With regards to the risk </w:t>
      </w:r>
      <w:r w:rsidR="0065797A">
        <w:rPr>
          <w:rFonts w:ascii="Times New Roman" w:hAnsi="Times New Roman"/>
          <w:sz w:val="24"/>
        </w:rPr>
        <w:t>of</w:t>
      </w:r>
      <w:r w:rsidR="0065797A" w:rsidRPr="00CE0FFD">
        <w:rPr>
          <w:rFonts w:ascii="Times New Roman" w:hAnsi="Times New Roman"/>
          <w:sz w:val="24"/>
        </w:rPr>
        <w:t xml:space="preserve"> </w:t>
      </w:r>
      <w:r w:rsidRPr="00CE0FFD">
        <w:rPr>
          <w:rFonts w:ascii="Times New Roman" w:hAnsi="Times New Roman"/>
          <w:sz w:val="24"/>
        </w:rPr>
        <w:t xml:space="preserve">mortality associated with the imaging procedures, MSAC noted that ex-ECG had the lowest risk, followed by stress-Echo, SP-CMR ± LGE, stress-SPECT, CTCA and ICA. MSAC </w:t>
      </w:r>
      <w:r w:rsidR="00873592">
        <w:rPr>
          <w:rFonts w:ascii="Times New Roman" w:hAnsi="Times New Roman"/>
          <w:sz w:val="24"/>
        </w:rPr>
        <w:t>understood</w:t>
      </w:r>
      <w:r w:rsidR="00873592" w:rsidRPr="00CE0FFD">
        <w:rPr>
          <w:rFonts w:ascii="Times New Roman" w:hAnsi="Times New Roman"/>
          <w:sz w:val="24"/>
        </w:rPr>
        <w:t xml:space="preserve"> </w:t>
      </w:r>
      <w:r w:rsidRPr="00CE0FFD">
        <w:rPr>
          <w:rFonts w:ascii="Times New Roman" w:hAnsi="Times New Roman"/>
          <w:sz w:val="24"/>
        </w:rPr>
        <w:t xml:space="preserve">that the risk attributed to the use of the gadolinium contrast agent for SP-CMR + LGE was likely to be overestimated, </w:t>
      </w:r>
      <w:r w:rsidR="00873592">
        <w:rPr>
          <w:rFonts w:ascii="Times New Roman" w:hAnsi="Times New Roman"/>
          <w:sz w:val="24"/>
        </w:rPr>
        <w:t>and likely to be lower than</w:t>
      </w:r>
      <w:r w:rsidRPr="00CE0FFD">
        <w:rPr>
          <w:rFonts w:ascii="Times New Roman" w:hAnsi="Times New Roman"/>
          <w:sz w:val="24"/>
        </w:rPr>
        <w:t xml:space="preserve"> that reported for the iodinated contrast agents used for CTCA and ICA which have a substantially higher risk of nephrotoxicity. MSAC summarised that</w:t>
      </w:r>
      <w:r w:rsidR="0065797A">
        <w:rPr>
          <w:rFonts w:ascii="Times New Roman" w:hAnsi="Times New Roman"/>
          <w:sz w:val="24"/>
        </w:rPr>
        <w:t>,</w:t>
      </w:r>
      <w:r w:rsidRPr="00CE0FFD">
        <w:rPr>
          <w:rFonts w:ascii="Times New Roman" w:hAnsi="Times New Roman"/>
          <w:sz w:val="24"/>
        </w:rPr>
        <w:t xml:space="preserve"> using ICA as a reference standard, SP-CMR ± LGE is less safe than ex-ECG and stress-Echo and as safe </w:t>
      </w:r>
      <w:r w:rsidR="00873592">
        <w:rPr>
          <w:rFonts w:ascii="Times New Roman" w:hAnsi="Times New Roman"/>
          <w:sz w:val="24"/>
        </w:rPr>
        <w:t xml:space="preserve">as </w:t>
      </w:r>
      <w:r w:rsidRPr="00CE0FFD">
        <w:rPr>
          <w:rFonts w:ascii="Times New Roman" w:hAnsi="Times New Roman"/>
          <w:sz w:val="24"/>
        </w:rPr>
        <w:t xml:space="preserve">or potentially safer than stress-SPECT and CTCA, respectively. </w:t>
      </w:r>
    </w:p>
    <w:p w14:paraId="24B7C050" w14:textId="1D09F030" w:rsidR="00CE0FFD" w:rsidRPr="00CE0FFD" w:rsidRDefault="00CE0FFD" w:rsidP="001B305A">
      <w:pPr>
        <w:pStyle w:val="BodyText"/>
        <w:spacing w:before="0" w:after="240" w:line="240" w:lineRule="auto"/>
        <w:rPr>
          <w:rFonts w:ascii="Times New Roman" w:hAnsi="Times New Roman"/>
          <w:sz w:val="24"/>
        </w:rPr>
      </w:pPr>
      <w:r w:rsidRPr="00CE0FFD">
        <w:rPr>
          <w:rFonts w:ascii="Times New Roman" w:hAnsi="Times New Roman"/>
          <w:sz w:val="24"/>
        </w:rPr>
        <w:t>MSAC noted the findings of the Cost-effectiveness of Non-invasive Cardiac Testing (</w:t>
      </w:r>
      <w:proofErr w:type="spellStart"/>
      <w:r w:rsidRPr="00CE0FFD">
        <w:rPr>
          <w:rFonts w:ascii="Times New Roman" w:hAnsi="Times New Roman"/>
          <w:sz w:val="24"/>
        </w:rPr>
        <w:t>CECaT</w:t>
      </w:r>
      <w:proofErr w:type="spellEnd"/>
      <w:r w:rsidRPr="00CE0FFD">
        <w:rPr>
          <w:rFonts w:ascii="Times New Roman" w:hAnsi="Times New Roman"/>
          <w:sz w:val="24"/>
        </w:rPr>
        <w:t xml:space="preserve">) trial </w:t>
      </w:r>
      <w:r w:rsidR="0065797A">
        <w:rPr>
          <w:rFonts w:ascii="Times New Roman" w:hAnsi="Times New Roman"/>
          <w:sz w:val="24"/>
        </w:rPr>
        <w:t>(</w:t>
      </w:r>
      <w:proofErr w:type="spellStart"/>
      <w:r w:rsidRPr="00CE0FFD">
        <w:rPr>
          <w:rFonts w:ascii="Times New Roman" w:hAnsi="Times New Roman"/>
          <w:sz w:val="24"/>
        </w:rPr>
        <w:t>Sharples</w:t>
      </w:r>
      <w:proofErr w:type="spellEnd"/>
      <w:r w:rsidRPr="00CE0FFD">
        <w:rPr>
          <w:rFonts w:ascii="Times New Roman" w:hAnsi="Times New Roman"/>
          <w:sz w:val="24"/>
        </w:rPr>
        <w:t xml:space="preserve"> L et al 2007</w:t>
      </w:r>
      <w:r w:rsidR="0065797A">
        <w:rPr>
          <w:rFonts w:ascii="Times New Roman" w:hAnsi="Times New Roman"/>
          <w:sz w:val="24"/>
        </w:rPr>
        <w:t>)</w:t>
      </w:r>
      <w:r w:rsidRPr="00CE0FFD">
        <w:rPr>
          <w:rFonts w:ascii="Times New Roman" w:hAnsi="Times New Roman"/>
          <w:sz w:val="24"/>
        </w:rPr>
        <w:t>, in their consideration of the effectiveness of the proposed imaging. The trial reported on the diagnostic accuracy of SP-CMR, SPECT and stress-Echo compared with ICA. It was pragmatic in design and</w:t>
      </w:r>
      <w:r w:rsidR="0065797A">
        <w:rPr>
          <w:rFonts w:ascii="Times New Roman" w:hAnsi="Times New Roman"/>
          <w:sz w:val="24"/>
        </w:rPr>
        <w:t>,</w:t>
      </w:r>
      <w:r w:rsidRPr="00CE0FFD">
        <w:rPr>
          <w:rFonts w:ascii="Times New Roman" w:hAnsi="Times New Roman"/>
          <w:sz w:val="24"/>
        </w:rPr>
        <w:t xml:space="preserve"> as a consequence, not all patients received both initial non-invasive imaging test and ICA. MSAC noted that using ICA as the reference standard, SP-CMR was less sensitive but more specific than </w:t>
      </w:r>
      <w:r w:rsidR="0065797A">
        <w:rPr>
          <w:rFonts w:ascii="Times New Roman" w:hAnsi="Times New Roman"/>
          <w:sz w:val="24"/>
        </w:rPr>
        <w:t>either</w:t>
      </w:r>
      <w:r w:rsidR="0065797A" w:rsidRPr="00CE0FFD">
        <w:rPr>
          <w:rFonts w:ascii="Times New Roman" w:hAnsi="Times New Roman"/>
          <w:sz w:val="24"/>
        </w:rPr>
        <w:t xml:space="preserve"> </w:t>
      </w:r>
      <w:r w:rsidRPr="00CE0FFD">
        <w:rPr>
          <w:rFonts w:ascii="Times New Roman" w:hAnsi="Times New Roman"/>
          <w:sz w:val="24"/>
        </w:rPr>
        <w:t>stress-</w:t>
      </w:r>
      <w:r w:rsidR="00873592" w:rsidRPr="00CE0FFD">
        <w:rPr>
          <w:rFonts w:ascii="Times New Roman" w:hAnsi="Times New Roman"/>
          <w:sz w:val="24"/>
        </w:rPr>
        <w:t>E</w:t>
      </w:r>
      <w:r w:rsidR="00873592">
        <w:rPr>
          <w:rFonts w:ascii="Times New Roman" w:hAnsi="Times New Roman"/>
          <w:sz w:val="24"/>
        </w:rPr>
        <w:t>cho</w:t>
      </w:r>
      <w:r w:rsidR="00873592" w:rsidRPr="00CE0FFD">
        <w:rPr>
          <w:rFonts w:ascii="Times New Roman" w:hAnsi="Times New Roman"/>
          <w:sz w:val="24"/>
        </w:rPr>
        <w:t xml:space="preserve"> </w:t>
      </w:r>
      <w:r w:rsidR="0065797A">
        <w:rPr>
          <w:rFonts w:ascii="Times New Roman" w:hAnsi="Times New Roman"/>
          <w:sz w:val="24"/>
        </w:rPr>
        <w:t>or</w:t>
      </w:r>
      <w:r w:rsidR="0065797A" w:rsidRPr="00CE0FFD">
        <w:rPr>
          <w:rFonts w:ascii="Times New Roman" w:hAnsi="Times New Roman"/>
          <w:sz w:val="24"/>
        </w:rPr>
        <w:t xml:space="preserve"> </w:t>
      </w:r>
      <w:r w:rsidRPr="00CE0FFD">
        <w:rPr>
          <w:rFonts w:ascii="Times New Roman" w:hAnsi="Times New Roman"/>
          <w:sz w:val="24"/>
        </w:rPr>
        <w:t xml:space="preserve">SPECT, although the differences between the modalities were not statistically </w:t>
      </w:r>
      <w:r w:rsidRPr="00CE0FFD">
        <w:rPr>
          <w:rFonts w:ascii="Times New Roman" w:hAnsi="Times New Roman"/>
          <w:sz w:val="24"/>
        </w:rPr>
        <w:lastRenderedPageBreak/>
        <w:t xml:space="preserve">significant. MSAC acknowledged the limitations of the </w:t>
      </w:r>
      <w:proofErr w:type="spellStart"/>
      <w:r w:rsidRPr="00CE0FFD">
        <w:rPr>
          <w:rFonts w:ascii="Times New Roman" w:hAnsi="Times New Roman"/>
          <w:sz w:val="24"/>
        </w:rPr>
        <w:t>CECaT</w:t>
      </w:r>
      <w:proofErr w:type="spellEnd"/>
      <w:r w:rsidRPr="00CE0FFD">
        <w:rPr>
          <w:rFonts w:ascii="Times New Roman" w:hAnsi="Times New Roman"/>
          <w:sz w:val="24"/>
        </w:rPr>
        <w:t xml:space="preserve"> trial as highlighted by the applicant</w:t>
      </w:r>
      <w:r w:rsidR="0065797A">
        <w:rPr>
          <w:rFonts w:ascii="Times New Roman" w:hAnsi="Times New Roman"/>
          <w:sz w:val="24"/>
        </w:rPr>
        <w:t>,</w:t>
      </w:r>
      <w:r w:rsidRPr="00CE0FFD">
        <w:rPr>
          <w:rFonts w:ascii="Times New Roman" w:hAnsi="Times New Roman"/>
          <w:sz w:val="24"/>
        </w:rPr>
        <w:t xml:space="preserve"> including that the trial included patients with suspected or known CAD, relied on older </w:t>
      </w:r>
      <w:r w:rsidR="00873592">
        <w:rPr>
          <w:rFonts w:ascii="Times New Roman" w:hAnsi="Times New Roman"/>
          <w:sz w:val="24"/>
        </w:rPr>
        <w:t>CMR</w:t>
      </w:r>
      <w:r w:rsidR="00873592" w:rsidRPr="00CE0FFD">
        <w:rPr>
          <w:rFonts w:ascii="Times New Roman" w:hAnsi="Times New Roman"/>
          <w:sz w:val="24"/>
        </w:rPr>
        <w:t xml:space="preserve"> </w:t>
      </w:r>
      <w:r w:rsidRPr="00CE0FFD">
        <w:rPr>
          <w:rFonts w:ascii="Times New Roman" w:hAnsi="Times New Roman"/>
          <w:sz w:val="24"/>
        </w:rPr>
        <w:t xml:space="preserve">technology than is currently used and assessed SP-CMR without LGE. </w:t>
      </w:r>
    </w:p>
    <w:p w14:paraId="3859909C" w14:textId="07A0472D" w:rsidR="00CE0FFD" w:rsidRPr="00CE0FFD" w:rsidRDefault="00CE0FFD" w:rsidP="001B305A">
      <w:pPr>
        <w:pStyle w:val="BodyText"/>
        <w:spacing w:before="0" w:after="240" w:line="240" w:lineRule="auto"/>
        <w:rPr>
          <w:rFonts w:ascii="Times New Roman" w:hAnsi="Times New Roman"/>
          <w:sz w:val="24"/>
        </w:rPr>
      </w:pPr>
      <w:r w:rsidRPr="00CE0FFD">
        <w:rPr>
          <w:rFonts w:ascii="Times New Roman" w:hAnsi="Times New Roman"/>
          <w:sz w:val="24"/>
        </w:rPr>
        <w:t xml:space="preserve">MSAC also considered the findings of a meta-analysis of studies (conducted as part of the contracted assessment) regarding the diagnostic accuracy of SP-CMR + LGE compared to ICA. MSAC noted that the pooled sensitivity and specificity values reported in this meta-analysis were very similar to those reported in the </w:t>
      </w:r>
      <w:proofErr w:type="spellStart"/>
      <w:r w:rsidRPr="00CE0FFD">
        <w:rPr>
          <w:rFonts w:ascii="Times New Roman" w:hAnsi="Times New Roman"/>
          <w:sz w:val="24"/>
        </w:rPr>
        <w:t>CECaT</w:t>
      </w:r>
      <w:proofErr w:type="spellEnd"/>
      <w:r w:rsidRPr="00CE0FFD">
        <w:rPr>
          <w:rFonts w:ascii="Times New Roman" w:hAnsi="Times New Roman"/>
          <w:sz w:val="24"/>
        </w:rPr>
        <w:t xml:space="preserve"> trial, each at approximately 85%. These values varied slightly depending on the ICA cut-off used in the analysed studies (i.e. whether a 50% or a 70% diameter stenosis was used as </w:t>
      </w:r>
      <w:r w:rsidR="00873592">
        <w:rPr>
          <w:rFonts w:ascii="Times New Roman" w:hAnsi="Times New Roman"/>
          <w:sz w:val="24"/>
        </w:rPr>
        <w:t>the criterion</w:t>
      </w:r>
      <w:r w:rsidRPr="00CE0FFD">
        <w:rPr>
          <w:rFonts w:ascii="Times New Roman" w:hAnsi="Times New Roman"/>
          <w:sz w:val="24"/>
        </w:rPr>
        <w:t xml:space="preserve"> for CAD diagnosis)</w:t>
      </w:r>
      <w:proofErr w:type="gramStart"/>
      <w:r w:rsidRPr="00CE0FFD">
        <w:rPr>
          <w:rFonts w:ascii="Times New Roman" w:hAnsi="Times New Roman"/>
          <w:sz w:val="24"/>
        </w:rPr>
        <w:t>,</w:t>
      </w:r>
      <w:proofErr w:type="gramEnd"/>
      <w:r w:rsidRPr="00CE0FFD">
        <w:rPr>
          <w:rFonts w:ascii="Times New Roman" w:hAnsi="Times New Roman"/>
          <w:sz w:val="24"/>
        </w:rPr>
        <w:t xml:space="preserve"> however the differences were not statistically different. MSAC also considered the post</w:t>
      </w:r>
      <w:r w:rsidR="00873592">
        <w:rPr>
          <w:rFonts w:ascii="Times New Roman" w:hAnsi="Times New Roman"/>
          <w:sz w:val="24"/>
        </w:rPr>
        <w:t>-</w:t>
      </w:r>
      <w:r w:rsidRPr="00CE0FFD">
        <w:rPr>
          <w:rFonts w:ascii="Times New Roman" w:hAnsi="Times New Roman"/>
          <w:sz w:val="24"/>
        </w:rPr>
        <w:t xml:space="preserve">test probability of CAD after a positive result (positive predictive value) and after a negative result (negative predictive value) for the proposed imaging and its comparators. MSAC noted that ex-ECG had the lowest positive </w:t>
      </w:r>
      <w:r w:rsidR="00873592">
        <w:rPr>
          <w:rFonts w:ascii="Times New Roman" w:hAnsi="Times New Roman"/>
          <w:sz w:val="24"/>
        </w:rPr>
        <w:t xml:space="preserve">and negative </w:t>
      </w:r>
      <w:r w:rsidRPr="00CE0FFD">
        <w:rPr>
          <w:rFonts w:ascii="Times New Roman" w:hAnsi="Times New Roman"/>
          <w:sz w:val="24"/>
        </w:rPr>
        <w:t>predictive value</w:t>
      </w:r>
      <w:r w:rsidR="00873592">
        <w:rPr>
          <w:rFonts w:ascii="Times New Roman" w:hAnsi="Times New Roman"/>
          <w:sz w:val="24"/>
        </w:rPr>
        <w:t>s</w:t>
      </w:r>
      <w:r w:rsidRPr="00CE0FFD">
        <w:rPr>
          <w:rFonts w:ascii="Times New Roman" w:hAnsi="Times New Roman"/>
          <w:sz w:val="24"/>
        </w:rPr>
        <w:t xml:space="preserve"> followed by SPECT. CTCA had the highest positive </w:t>
      </w:r>
      <w:r w:rsidR="00873592">
        <w:rPr>
          <w:rFonts w:ascii="Times New Roman" w:hAnsi="Times New Roman"/>
          <w:sz w:val="24"/>
        </w:rPr>
        <w:t xml:space="preserve">and negative </w:t>
      </w:r>
      <w:r w:rsidRPr="00CE0FFD">
        <w:rPr>
          <w:rFonts w:ascii="Times New Roman" w:hAnsi="Times New Roman"/>
          <w:sz w:val="24"/>
        </w:rPr>
        <w:t>predictive value</w:t>
      </w:r>
      <w:r w:rsidR="00873592">
        <w:rPr>
          <w:rFonts w:ascii="Times New Roman" w:hAnsi="Times New Roman"/>
          <w:sz w:val="24"/>
        </w:rPr>
        <w:t>s</w:t>
      </w:r>
      <w:r w:rsidRPr="00CE0FFD">
        <w:rPr>
          <w:rFonts w:ascii="Times New Roman" w:hAnsi="Times New Roman"/>
          <w:sz w:val="24"/>
        </w:rPr>
        <w:t>, while the values for SP-CMR ± LGE and stress-Echo were very similar. MSAC summarised that</w:t>
      </w:r>
      <w:r w:rsidR="0065797A">
        <w:rPr>
          <w:rFonts w:ascii="Times New Roman" w:hAnsi="Times New Roman"/>
          <w:sz w:val="24"/>
        </w:rPr>
        <w:t>,</w:t>
      </w:r>
      <w:r w:rsidRPr="00CE0FFD">
        <w:rPr>
          <w:rFonts w:ascii="Times New Roman" w:hAnsi="Times New Roman"/>
          <w:sz w:val="24"/>
        </w:rPr>
        <w:t xml:space="preserve"> using ICA as a reference standard, SP-CMR ± LGE has lower diagnostic accuracy than CTCA, similar accuracy to stress-Echo, greater accuracy than SPECT and much greater accuracy than ex-ECG. </w:t>
      </w:r>
    </w:p>
    <w:p w14:paraId="5F0D7874" w14:textId="1D8784DD" w:rsidR="00CE0FFD" w:rsidRPr="00CE0FFD" w:rsidRDefault="00CE0FFD" w:rsidP="001B305A">
      <w:pPr>
        <w:pStyle w:val="BodyText"/>
        <w:spacing w:before="0" w:after="240" w:line="240" w:lineRule="auto"/>
        <w:rPr>
          <w:rFonts w:ascii="Times New Roman" w:hAnsi="Times New Roman"/>
          <w:sz w:val="24"/>
        </w:rPr>
      </w:pPr>
      <w:r w:rsidRPr="00CE0FFD">
        <w:rPr>
          <w:rFonts w:ascii="Times New Roman" w:hAnsi="Times New Roman"/>
          <w:sz w:val="24"/>
        </w:rPr>
        <w:t xml:space="preserve">MSAC reviewed the economic evaluation and was concerned that the </w:t>
      </w:r>
      <w:r w:rsidR="00485006">
        <w:rPr>
          <w:rFonts w:ascii="Times New Roman" w:hAnsi="Times New Roman"/>
          <w:sz w:val="24"/>
        </w:rPr>
        <w:t>higher</w:t>
      </w:r>
      <w:r w:rsidR="00485006" w:rsidRPr="00CE0FFD">
        <w:rPr>
          <w:rFonts w:ascii="Times New Roman" w:hAnsi="Times New Roman"/>
          <w:sz w:val="24"/>
        </w:rPr>
        <w:t xml:space="preserve"> </w:t>
      </w:r>
      <w:r w:rsidRPr="00CE0FFD">
        <w:rPr>
          <w:rFonts w:ascii="Times New Roman" w:hAnsi="Times New Roman"/>
          <w:sz w:val="24"/>
        </w:rPr>
        <w:t xml:space="preserve">fee for the procedure suggested by RANZCR in their consultation feedback was not used in the analysis. MSAC noted that the model assumed all patients with a positive result from an initial non-invasive test would undergo an ICA in the base case. In contrast, patients with a negative result would not be referred for an ICA. Where initial test results were equivocal, patients were assumed to receive a CTCA. If CTCA results were negative ICA would not subsequently be undertaken. MSAC highlighted that approximately 11% of SP-CMR test results are indeterminate, compared to approximately 4% and 7% of SPECT and stress-Echo test results, respectively. MSAC noted that this was likely to have an impact on overall costs associated with SP-CMR due </w:t>
      </w:r>
      <w:r w:rsidR="0065797A">
        <w:rPr>
          <w:rFonts w:ascii="Times New Roman" w:hAnsi="Times New Roman"/>
          <w:sz w:val="24"/>
        </w:rPr>
        <w:t xml:space="preserve">to </w:t>
      </w:r>
      <w:r w:rsidRPr="00CE0FFD">
        <w:rPr>
          <w:rFonts w:ascii="Times New Roman" w:hAnsi="Times New Roman"/>
          <w:sz w:val="24"/>
        </w:rPr>
        <w:t>the need for downstream follow-up testing. MSAC noted that</w:t>
      </w:r>
      <w:r w:rsidR="00485006">
        <w:rPr>
          <w:rFonts w:ascii="Times New Roman" w:hAnsi="Times New Roman"/>
          <w:sz w:val="24"/>
        </w:rPr>
        <w:t>, at the lower proposed fee,</w:t>
      </w:r>
      <w:r w:rsidRPr="00CE0FFD">
        <w:rPr>
          <w:rFonts w:ascii="Times New Roman" w:hAnsi="Times New Roman"/>
          <w:sz w:val="24"/>
        </w:rPr>
        <w:t xml:space="preserve"> the modelled economic analysis indicated that SP-CMR + LGE is less cost-effective than CTCA and stress-Echo across the full range of PTPs (15%-85%), and less cost-effective than SPECT for a PTP </w:t>
      </w:r>
      <w:r w:rsidRPr="00CE0FFD">
        <w:rPr>
          <w:rFonts w:ascii="Times New Roman" w:eastAsiaTheme="minorHAnsi" w:hAnsi="Times New Roman"/>
          <w:sz w:val="24"/>
        </w:rPr>
        <w:t>≥</w:t>
      </w:r>
      <w:r w:rsidRPr="00CE0FFD">
        <w:rPr>
          <w:rFonts w:ascii="Times New Roman" w:hAnsi="Times New Roman"/>
          <w:sz w:val="24"/>
        </w:rPr>
        <w:t xml:space="preserve">45%. </w:t>
      </w:r>
    </w:p>
    <w:p w14:paraId="22D2D46E" w14:textId="7300C8C1" w:rsidR="00CE0FFD" w:rsidRPr="00CE0FFD" w:rsidRDefault="00CE0FFD" w:rsidP="001B305A">
      <w:pPr>
        <w:pStyle w:val="BodyText"/>
        <w:spacing w:before="0" w:after="240" w:line="240" w:lineRule="auto"/>
        <w:rPr>
          <w:rFonts w:ascii="Times New Roman" w:hAnsi="Times New Roman"/>
          <w:sz w:val="24"/>
        </w:rPr>
      </w:pPr>
      <w:r w:rsidRPr="00CE0FFD">
        <w:rPr>
          <w:rFonts w:ascii="Times New Roman" w:hAnsi="Times New Roman"/>
          <w:sz w:val="24"/>
        </w:rPr>
        <w:t xml:space="preserve">MSAC considered the projected net cost to the MBS of listing CMR for the diagnosis of CAD to be highly uncertain. The assumption that uptake of CMR will be equivalent to approximately 10% of the current number of services for all non-invasive tests for CAD was considered to be to be an overestimate due to: limited accessibility to </w:t>
      </w:r>
      <w:proofErr w:type="spellStart"/>
      <w:r w:rsidRPr="00CE0FFD">
        <w:rPr>
          <w:rFonts w:ascii="Times New Roman" w:hAnsi="Times New Roman"/>
          <w:sz w:val="24"/>
        </w:rPr>
        <w:t>rebatable</w:t>
      </w:r>
      <w:proofErr w:type="spellEnd"/>
      <w:r w:rsidRPr="00CE0FFD">
        <w:rPr>
          <w:rFonts w:ascii="Times New Roman" w:hAnsi="Times New Roman"/>
          <w:sz w:val="24"/>
        </w:rPr>
        <w:t xml:space="preserve"> MRI machines and suitably trained specialists; lengthy imaging and analysis time associated with the procedure; contraindications to CMR including </w:t>
      </w:r>
      <w:r w:rsidR="00485006">
        <w:rPr>
          <w:rFonts w:ascii="Times New Roman" w:hAnsi="Times New Roman"/>
          <w:sz w:val="24"/>
        </w:rPr>
        <w:t xml:space="preserve">implanted devices, </w:t>
      </w:r>
      <w:r w:rsidRPr="00CE0FFD">
        <w:rPr>
          <w:rFonts w:ascii="Times New Roman" w:hAnsi="Times New Roman"/>
          <w:sz w:val="24"/>
        </w:rPr>
        <w:t xml:space="preserve">renal impairment and claustrophobia; and the high demand for MRI in other specialties such as orthopaedics and neurology. In </w:t>
      </w:r>
      <w:r w:rsidR="00485006">
        <w:rPr>
          <w:rFonts w:ascii="Times New Roman" w:hAnsi="Times New Roman"/>
          <w:sz w:val="24"/>
        </w:rPr>
        <w:t>consequence</w:t>
      </w:r>
      <w:r w:rsidRPr="00CE0FFD">
        <w:rPr>
          <w:rFonts w:ascii="Times New Roman" w:hAnsi="Times New Roman"/>
          <w:sz w:val="24"/>
        </w:rPr>
        <w:t xml:space="preserve">, MSAC foreshadowed that access to CMR is likely to be severely restricted in the foreseeable future. The number of non-invasive services offset by the proposed CMR was also considered to be an overestimate given that </w:t>
      </w:r>
      <w:r w:rsidR="00485006">
        <w:rPr>
          <w:rFonts w:ascii="Times New Roman" w:hAnsi="Times New Roman"/>
          <w:sz w:val="24"/>
        </w:rPr>
        <w:t xml:space="preserve">ex-ECG, </w:t>
      </w:r>
      <w:r w:rsidRPr="00CE0FFD">
        <w:rPr>
          <w:rFonts w:ascii="Times New Roman" w:hAnsi="Times New Roman"/>
          <w:sz w:val="24"/>
        </w:rPr>
        <w:t xml:space="preserve">stress-Echo and SPECT can currently be requested by general practitioners, in contrast to CMR which is proposed as a specialist-only item. </w:t>
      </w:r>
    </w:p>
    <w:p w14:paraId="0D2C5515" w14:textId="5756F885" w:rsidR="00CE0FFD" w:rsidRPr="00CE0FFD" w:rsidRDefault="00CE0FFD" w:rsidP="001B305A">
      <w:pPr>
        <w:pStyle w:val="BodyText"/>
        <w:spacing w:before="0" w:after="240" w:line="240" w:lineRule="auto"/>
        <w:rPr>
          <w:rFonts w:ascii="Times New Roman" w:hAnsi="Times New Roman"/>
          <w:sz w:val="24"/>
        </w:rPr>
      </w:pPr>
      <w:r w:rsidRPr="00CE0FFD">
        <w:rPr>
          <w:rFonts w:ascii="Times New Roman" w:hAnsi="Times New Roman"/>
          <w:sz w:val="24"/>
        </w:rPr>
        <w:t xml:space="preserve">The second population </w:t>
      </w:r>
      <w:r w:rsidR="00AB406F">
        <w:rPr>
          <w:rFonts w:ascii="Times New Roman" w:hAnsi="Times New Roman"/>
          <w:sz w:val="24"/>
        </w:rPr>
        <w:t xml:space="preserve">(“Population Two”) </w:t>
      </w:r>
      <w:r w:rsidRPr="00CE0FFD">
        <w:rPr>
          <w:rFonts w:ascii="Times New Roman" w:hAnsi="Times New Roman"/>
          <w:sz w:val="24"/>
        </w:rPr>
        <w:t xml:space="preserve">encompassed patients with known CAD and left ventricular (LV) </w:t>
      </w:r>
      <w:r w:rsidR="00485006">
        <w:rPr>
          <w:rFonts w:ascii="Times New Roman" w:hAnsi="Times New Roman"/>
          <w:sz w:val="24"/>
        </w:rPr>
        <w:t xml:space="preserve">systolic </w:t>
      </w:r>
      <w:r w:rsidRPr="00CE0FFD">
        <w:rPr>
          <w:rFonts w:ascii="Times New Roman" w:hAnsi="Times New Roman"/>
          <w:sz w:val="24"/>
        </w:rPr>
        <w:t xml:space="preserve">dysfunction </w:t>
      </w:r>
      <w:proofErr w:type="gramStart"/>
      <w:r w:rsidRPr="00CE0FFD">
        <w:rPr>
          <w:rFonts w:ascii="Times New Roman" w:hAnsi="Times New Roman"/>
          <w:sz w:val="24"/>
        </w:rPr>
        <w:t>who</w:t>
      </w:r>
      <w:proofErr w:type="gramEnd"/>
      <w:r w:rsidRPr="00CE0FFD">
        <w:rPr>
          <w:rFonts w:ascii="Times New Roman" w:hAnsi="Times New Roman"/>
          <w:sz w:val="24"/>
        </w:rPr>
        <w:t xml:space="preserve"> are being considered for revascularisation. MSAC noted that viability assessment with LGE–CMR was the sole test proposed for this group</w:t>
      </w:r>
      <w:r w:rsidR="003127E1">
        <w:rPr>
          <w:rFonts w:ascii="Times New Roman" w:hAnsi="Times New Roman"/>
          <w:sz w:val="24"/>
        </w:rPr>
        <w:t xml:space="preserve"> to determine</w:t>
      </w:r>
      <w:r w:rsidRPr="00CE0FFD">
        <w:rPr>
          <w:rFonts w:ascii="Times New Roman" w:hAnsi="Times New Roman"/>
          <w:sz w:val="24"/>
        </w:rPr>
        <w:t xml:space="preserve"> the extent of viable myocardium and consequently patients’ suitability for surgery. </w:t>
      </w:r>
    </w:p>
    <w:p w14:paraId="78C8C74A" w14:textId="040A86B9" w:rsidR="00CE0FFD" w:rsidRPr="00CE0FFD" w:rsidRDefault="00CE0FFD" w:rsidP="001B305A">
      <w:pPr>
        <w:pStyle w:val="BodyText"/>
        <w:spacing w:before="0" w:after="240" w:line="240" w:lineRule="auto"/>
        <w:rPr>
          <w:rFonts w:ascii="Times New Roman" w:hAnsi="Times New Roman"/>
          <w:sz w:val="24"/>
        </w:rPr>
      </w:pPr>
      <w:r w:rsidRPr="00CE0FFD">
        <w:rPr>
          <w:rFonts w:ascii="Times New Roman" w:hAnsi="Times New Roman"/>
          <w:sz w:val="24"/>
        </w:rPr>
        <w:lastRenderedPageBreak/>
        <w:t xml:space="preserve">MSAC noted that the applicant claimed LGE-CMR would substitute available viability tests including low-dose </w:t>
      </w:r>
      <w:proofErr w:type="spellStart"/>
      <w:r w:rsidRPr="00CE0FFD">
        <w:rPr>
          <w:rFonts w:ascii="Times New Roman" w:hAnsi="Times New Roman"/>
          <w:sz w:val="24"/>
        </w:rPr>
        <w:t>dobutamine</w:t>
      </w:r>
      <w:proofErr w:type="spellEnd"/>
      <w:r w:rsidRPr="00CE0FFD">
        <w:rPr>
          <w:rFonts w:ascii="Times New Roman" w:hAnsi="Times New Roman"/>
          <w:sz w:val="24"/>
        </w:rPr>
        <w:t xml:space="preserve"> </w:t>
      </w:r>
      <w:r w:rsidR="00485006" w:rsidRPr="00CE0FFD">
        <w:rPr>
          <w:rFonts w:ascii="Times New Roman" w:hAnsi="Times New Roman"/>
          <w:sz w:val="24"/>
        </w:rPr>
        <w:t>echocardiogra</w:t>
      </w:r>
      <w:r w:rsidR="00485006">
        <w:rPr>
          <w:rFonts w:ascii="Times New Roman" w:hAnsi="Times New Roman"/>
          <w:sz w:val="24"/>
        </w:rPr>
        <w:t>phy</w:t>
      </w:r>
      <w:r w:rsidR="00485006" w:rsidRPr="00CE0FFD">
        <w:rPr>
          <w:rFonts w:ascii="Times New Roman" w:hAnsi="Times New Roman"/>
          <w:sz w:val="24"/>
        </w:rPr>
        <w:t xml:space="preserve"> </w:t>
      </w:r>
      <w:r w:rsidRPr="00CE0FFD">
        <w:rPr>
          <w:rFonts w:ascii="Times New Roman" w:hAnsi="Times New Roman"/>
          <w:sz w:val="24"/>
        </w:rPr>
        <w:t>(</w:t>
      </w:r>
      <w:proofErr w:type="spellStart"/>
      <w:r w:rsidRPr="00CE0FFD">
        <w:rPr>
          <w:rFonts w:ascii="Times New Roman" w:hAnsi="Times New Roman"/>
          <w:sz w:val="24"/>
        </w:rPr>
        <w:t>Db</w:t>
      </w:r>
      <w:proofErr w:type="spellEnd"/>
      <w:r w:rsidRPr="00CE0FFD">
        <w:rPr>
          <w:rFonts w:ascii="Times New Roman" w:hAnsi="Times New Roman"/>
          <w:sz w:val="24"/>
        </w:rPr>
        <w:t xml:space="preserve">-Echo) and resting </w:t>
      </w:r>
      <w:r w:rsidR="00485006">
        <w:rPr>
          <w:rFonts w:ascii="Times New Roman" w:hAnsi="Times New Roman"/>
          <w:sz w:val="24"/>
        </w:rPr>
        <w:t>SPECT</w:t>
      </w:r>
      <w:r w:rsidRPr="00CE0FFD">
        <w:rPr>
          <w:rFonts w:ascii="Times New Roman" w:hAnsi="Times New Roman"/>
          <w:sz w:val="24"/>
        </w:rPr>
        <w:t xml:space="preserve"> (rest-SPECT) which were the nominated comparators for this population. </w:t>
      </w:r>
    </w:p>
    <w:p w14:paraId="499258B8" w14:textId="2EAB3306" w:rsidR="00CE0FFD" w:rsidRPr="00CE0FFD" w:rsidRDefault="00CE0FFD" w:rsidP="001B305A">
      <w:pPr>
        <w:pStyle w:val="BodyText"/>
        <w:spacing w:before="0" w:after="240" w:line="240" w:lineRule="auto"/>
        <w:rPr>
          <w:rFonts w:ascii="Times New Roman" w:hAnsi="Times New Roman"/>
          <w:sz w:val="24"/>
        </w:rPr>
      </w:pPr>
      <w:r w:rsidRPr="00CE0FFD">
        <w:rPr>
          <w:rFonts w:ascii="Times New Roman" w:hAnsi="Times New Roman"/>
          <w:sz w:val="24"/>
        </w:rPr>
        <w:t xml:space="preserve">When considering the safety of LGE-CMR for population two, MSAC highlighted that an unknown proportion of these patients (with LVEF &lt;35%) </w:t>
      </w:r>
      <w:r w:rsidR="00485006">
        <w:rPr>
          <w:rFonts w:ascii="Times New Roman" w:hAnsi="Times New Roman"/>
          <w:sz w:val="24"/>
        </w:rPr>
        <w:t>may</w:t>
      </w:r>
      <w:r w:rsidR="00485006" w:rsidRPr="00CE0FFD">
        <w:rPr>
          <w:rFonts w:ascii="Times New Roman" w:hAnsi="Times New Roman"/>
          <w:sz w:val="24"/>
        </w:rPr>
        <w:t xml:space="preserve"> </w:t>
      </w:r>
      <w:r w:rsidRPr="00CE0FFD">
        <w:rPr>
          <w:rFonts w:ascii="Times New Roman" w:hAnsi="Times New Roman"/>
          <w:sz w:val="24"/>
        </w:rPr>
        <w:t>have implanted cardiac devices which would serve as a contraindication for the CMR procedure. MSAC noted the estimated risk of serious AEs associated with LGE-CMR was similar to rest-SPECT, with the main risk associated with the use of the gadolinium contrast agent. In comparison, the risk of AEs was estimated to be higher with Db-</w:t>
      </w:r>
      <w:r w:rsidR="003127E1" w:rsidRPr="00CE0FFD">
        <w:rPr>
          <w:rFonts w:ascii="Times New Roman" w:hAnsi="Times New Roman"/>
          <w:sz w:val="24"/>
        </w:rPr>
        <w:t>E</w:t>
      </w:r>
      <w:r w:rsidR="003127E1">
        <w:rPr>
          <w:rFonts w:ascii="Times New Roman" w:hAnsi="Times New Roman"/>
          <w:sz w:val="24"/>
        </w:rPr>
        <w:t>cho</w:t>
      </w:r>
      <w:r w:rsidR="003127E1" w:rsidRPr="00CE0FFD">
        <w:rPr>
          <w:rFonts w:ascii="Times New Roman" w:hAnsi="Times New Roman"/>
          <w:sz w:val="24"/>
        </w:rPr>
        <w:t xml:space="preserve"> </w:t>
      </w:r>
      <w:r w:rsidRPr="00CE0FFD">
        <w:rPr>
          <w:rFonts w:ascii="Times New Roman" w:hAnsi="Times New Roman"/>
          <w:sz w:val="24"/>
        </w:rPr>
        <w:t xml:space="preserve">due to the </w:t>
      </w:r>
      <w:proofErr w:type="spellStart"/>
      <w:r w:rsidRPr="00CE0FFD">
        <w:rPr>
          <w:rFonts w:ascii="Times New Roman" w:hAnsi="Times New Roman"/>
          <w:sz w:val="24"/>
        </w:rPr>
        <w:t>dobutamine</w:t>
      </w:r>
      <w:proofErr w:type="spellEnd"/>
      <w:r w:rsidRPr="00CE0FFD">
        <w:rPr>
          <w:rFonts w:ascii="Times New Roman" w:hAnsi="Times New Roman"/>
          <w:sz w:val="24"/>
        </w:rPr>
        <w:t xml:space="preserve"> pharmacological stressor</w:t>
      </w:r>
      <w:r w:rsidR="003127E1">
        <w:rPr>
          <w:rFonts w:ascii="Times New Roman" w:hAnsi="Times New Roman"/>
          <w:sz w:val="24"/>
        </w:rPr>
        <w:t>; h</w:t>
      </w:r>
      <w:r w:rsidRPr="00CE0FFD">
        <w:rPr>
          <w:rFonts w:ascii="Times New Roman" w:hAnsi="Times New Roman"/>
          <w:sz w:val="24"/>
        </w:rPr>
        <w:t xml:space="preserve">owever, MSAC considered </w:t>
      </w:r>
      <w:r w:rsidR="003127E1">
        <w:rPr>
          <w:rFonts w:ascii="Times New Roman" w:hAnsi="Times New Roman"/>
          <w:sz w:val="24"/>
        </w:rPr>
        <w:t>this</w:t>
      </w:r>
      <w:r w:rsidR="003127E1" w:rsidRPr="00CE0FFD">
        <w:rPr>
          <w:rFonts w:ascii="Times New Roman" w:hAnsi="Times New Roman"/>
          <w:sz w:val="24"/>
        </w:rPr>
        <w:t xml:space="preserve"> </w:t>
      </w:r>
      <w:r w:rsidRPr="00CE0FFD">
        <w:rPr>
          <w:rFonts w:ascii="Times New Roman" w:hAnsi="Times New Roman"/>
          <w:sz w:val="24"/>
        </w:rPr>
        <w:t xml:space="preserve">risk was likely to have been overestimated given the low dose of </w:t>
      </w:r>
      <w:proofErr w:type="spellStart"/>
      <w:r w:rsidR="00485006">
        <w:rPr>
          <w:rFonts w:ascii="Times New Roman" w:hAnsi="Times New Roman"/>
          <w:sz w:val="24"/>
        </w:rPr>
        <w:t>dobutamine</w:t>
      </w:r>
      <w:proofErr w:type="spellEnd"/>
      <w:r w:rsidRPr="00CE0FFD">
        <w:rPr>
          <w:rFonts w:ascii="Times New Roman" w:hAnsi="Times New Roman"/>
          <w:sz w:val="24"/>
        </w:rPr>
        <w:t xml:space="preserve"> used </w:t>
      </w:r>
      <w:r w:rsidR="00485006">
        <w:rPr>
          <w:rFonts w:ascii="Times New Roman" w:hAnsi="Times New Roman"/>
          <w:sz w:val="24"/>
        </w:rPr>
        <w:t>for viability assessment</w:t>
      </w:r>
      <w:r w:rsidRPr="00CE0FFD">
        <w:rPr>
          <w:rFonts w:ascii="Times New Roman" w:hAnsi="Times New Roman"/>
          <w:sz w:val="24"/>
        </w:rPr>
        <w:t xml:space="preserve">. MSAC noted that the </w:t>
      </w:r>
      <w:r w:rsidR="003127E1">
        <w:rPr>
          <w:rFonts w:ascii="Times New Roman" w:hAnsi="Times New Roman"/>
          <w:sz w:val="24"/>
        </w:rPr>
        <w:t xml:space="preserve">long-term </w:t>
      </w:r>
      <w:r w:rsidRPr="00CE0FFD">
        <w:rPr>
          <w:rFonts w:ascii="Times New Roman" w:hAnsi="Times New Roman"/>
          <w:sz w:val="24"/>
        </w:rPr>
        <w:t>risk of mortality was higher for LGE-CMR than Db-Echo and lower than rest-SPECT. However, MSAC noted that the risk attributed to radiation exposure during rest-SPECT had not been age-adjusted and consequently the mortality rates for the proposed population may have been overestimated. MSAC summarised that</w:t>
      </w:r>
      <w:r w:rsidR="003127E1">
        <w:rPr>
          <w:rFonts w:ascii="Times New Roman" w:hAnsi="Times New Roman"/>
          <w:sz w:val="24"/>
        </w:rPr>
        <w:t>,</w:t>
      </w:r>
      <w:r w:rsidRPr="00CE0FFD">
        <w:rPr>
          <w:rFonts w:ascii="Times New Roman" w:hAnsi="Times New Roman"/>
          <w:sz w:val="24"/>
        </w:rPr>
        <w:t xml:space="preserve"> for population two, all three imaging modalities were similar in safety.</w:t>
      </w:r>
    </w:p>
    <w:p w14:paraId="0E6267FC" w14:textId="16C3D141" w:rsidR="00817F01" w:rsidRDefault="00CE0FFD" w:rsidP="001B305A">
      <w:pPr>
        <w:pStyle w:val="BodyText"/>
        <w:spacing w:before="0" w:after="240" w:line="240" w:lineRule="auto"/>
        <w:rPr>
          <w:rFonts w:ascii="Times New Roman" w:hAnsi="Times New Roman"/>
          <w:sz w:val="24"/>
        </w:rPr>
      </w:pPr>
      <w:r w:rsidRPr="00CE0FFD">
        <w:rPr>
          <w:rFonts w:ascii="Times New Roman" w:hAnsi="Times New Roman"/>
          <w:sz w:val="24"/>
        </w:rPr>
        <w:t xml:space="preserve">MSAC noted that the recovery of regional </w:t>
      </w:r>
      <w:r w:rsidR="00485006">
        <w:rPr>
          <w:rFonts w:ascii="Times New Roman" w:hAnsi="Times New Roman"/>
          <w:sz w:val="24"/>
        </w:rPr>
        <w:t xml:space="preserve">LV </w:t>
      </w:r>
      <w:r w:rsidRPr="00CE0FFD">
        <w:rPr>
          <w:rFonts w:ascii="Times New Roman" w:hAnsi="Times New Roman"/>
          <w:sz w:val="24"/>
        </w:rPr>
        <w:t>function after revascularisation was the reference standard used to assess the accuracy of LGE-CMR with its comparators. The pooled sensitivity and specificity values for LGE-CMR varied depending on the cut-off used for the extent of myocardium enhanced by the test, known as the hyper-enhancement (HE) value. MSAC noted that when a low cut-off (</w:t>
      </w:r>
      <w:r w:rsidRPr="00CE0FFD">
        <w:rPr>
          <w:rFonts w:ascii="Times New Roman" w:hAnsi="Times New Roman"/>
          <w:sz w:val="24"/>
          <w:lang w:val="en-US"/>
        </w:rPr>
        <w:t>≤25% HE) was used, the sensitivity of the test was approximately 72% compared to 94% when a high cut</w:t>
      </w:r>
      <w:r w:rsidRPr="00CE0FFD">
        <w:rPr>
          <w:rFonts w:ascii="Times New Roman" w:hAnsi="Times New Roman"/>
          <w:sz w:val="24"/>
        </w:rPr>
        <w:t>-off (</w:t>
      </w:r>
      <w:r w:rsidRPr="00CE0FFD">
        <w:rPr>
          <w:rFonts w:ascii="Times New Roman" w:eastAsiaTheme="minorHAnsi" w:hAnsi="Times New Roman"/>
          <w:sz w:val="24"/>
        </w:rPr>
        <w:t>≥</w:t>
      </w:r>
      <w:r w:rsidRPr="00CE0FFD">
        <w:rPr>
          <w:rFonts w:ascii="Times New Roman" w:hAnsi="Times New Roman"/>
          <w:sz w:val="24"/>
        </w:rPr>
        <w:t>50% HE) was used. MSAC noted that in comparison, Db-Echo and SPECT had sensitivities of 79% and 83-87% respectively. However, MSAC noted that Db-</w:t>
      </w:r>
      <w:r w:rsidR="003127E1">
        <w:rPr>
          <w:rFonts w:ascii="Times New Roman" w:hAnsi="Times New Roman"/>
          <w:sz w:val="24"/>
        </w:rPr>
        <w:t>Echo</w:t>
      </w:r>
      <w:r w:rsidR="003127E1" w:rsidRPr="00CE0FFD">
        <w:rPr>
          <w:rFonts w:ascii="Times New Roman" w:hAnsi="Times New Roman"/>
          <w:sz w:val="24"/>
        </w:rPr>
        <w:t xml:space="preserve"> </w:t>
      </w:r>
      <w:r w:rsidRPr="00CE0FFD">
        <w:rPr>
          <w:rFonts w:ascii="Times New Roman" w:hAnsi="Times New Roman"/>
          <w:sz w:val="24"/>
        </w:rPr>
        <w:t>had the highest specificity (78%) followed by LGE-CMR (</w:t>
      </w:r>
      <w:r w:rsidRPr="00CE0FFD">
        <w:rPr>
          <w:rFonts w:ascii="Times New Roman" w:hAnsi="Times New Roman"/>
          <w:sz w:val="24"/>
          <w:lang w:val="en-US"/>
        </w:rPr>
        <w:t xml:space="preserve">≤25% HE) and SPECT, with </w:t>
      </w:r>
      <w:r w:rsidRPr="00CE0FFD">
        <w:rPr>
          <w:rFonts w:ascii="Times New Roman" w:hAnsi="Times New Roman"/>
          <w:sz w:val="24"/>
        </w:rPr>
        <w:t>LGE-CMR (</w:t>
      </w:r>
      <w:r w:rsidRPr="00CE0FFD">
        <w:rPr>
          <w:rFonts w:ascii="Times New Roman" w:eastAsiaTheme="minorHAnsi" w:hAnsi="Times New Roman"/>
          <w:sz w:val="24"/>
        </w:rPr>
        <w:t>≥</w:t>
      </w:r>
      <w:r w:rsidRPr="00CE0FFD">
        <w:rPr>
          <w:rFonts w:ascii="Times New Roman" w:hAnsi="Times New Roman"/>
          <w:sz w:val="24"/>
        </w:rPr>
        <w:t>50% HE) demonstrating the lowest specificity (46%). MSAC also noted that LGE-CMR (</w:t>
      </w:r>
      <w:r w:rsidRPr="00CE0FFD">
        <w:rPr>
          <w:rFonts w:ascii="Times New Roman" w:eastAsiaTheme="minorHAnsi" w:hAnsi="Times New Roman"/>
          <w:sz w:val="24"/>
        </w:rPr>
        <w:t>≥</w:t>
      </w:r>
      <w:r w:rsidRPr="00CE0FFD">
        <w:rPr>
          <w:rFonts w:ascii="Times New Roman" w:hAnsi="Times New Roman"/>
          <w:sz w:val="24"/>
        </w:rPr>
        <w:t>50% HE) had the highest negative predictive value of the modalities considered at 83%. MSAC summarised that at a high cut-off (</w:t>
      </w:r>
      <w:r w:rsidRPr="00CE0FFD">
        <w:rPr>
          <w:rFonts w:ascii="Times New Roman" w:eastAsiaTheme="minorHAnsi" w:hAnsi="Times New Roman"/>
          <w:sz w:val="24"/>
        </w:rPr>
        <w:t>≥</w:t>
      </w:r>
      <w:r w:rsidRPr="00CE0FFD">
        <w:rPr>
          <w:rFonts w:ascii="Times New Roman" w:hAnsi="Times New Roman"/>
          <w:sz w:val="24"/>
        </w:rPr>
        <w:t>50% HE), LGE-CMR was better able to rule out viability than Db-</w:t>
      </w:r>
      <w:r w:rsidR="003127E1">
        <w:rPr>
          <w:rFonts w:ascii="Times New Roman" w:hAnsi="Times New Roman"/>
          <w:sz w:val="24"/>
        </w:rPr>
        <w:t>Echo</w:t>
      </w:r>
      <w:r w:rsidR="003127E1" w:rsidRPr="00CE0FFD">
        <w:rPr>
          <w:rFonts w:ascii="Times New Roman" w:hAnsi="Times New Roman"/>
          <w:sz w:val="24"/>
        </w:rPr>
        <w:t xml:space="preserve"> </w:t>
      </w:r>
      <w:r w:rsidRPr="00CE0FFD">
        <w:rPr>
          <w:rFonts w:ascii="Times New Roman" w:hAnsi="Times New Roman"/>
          <w:sz w:val="24"/>
        </w:rPr>
        <w:t xml:space="preserve">or SPECT. </w:t>
      </w:r>
    </w:p>
    <w:p w14:paraId="703BD98E" w14:textId="605BCDEB" w:rsidR="00817F01" w:rsidRDefault="00CE0FFD" w:rsidP="001B305A">
      <w:pPr>
        <w:pStyle w:val="BodyText"/>
        <w:spacing w:before="0" w:after="240" w:line="240" w:lineRule="auto"/>
        <w:rPr>
          <w:rFonts w:ascii="Times New Roman" w:hAnsi="Times New Roman"/>
          <w:sz w:val="24"/>
        </w:rPr>
      </w:pPr>
      <w:r w:rsidRPr="00CE0FFD">
        <w:rPr>
          <w:rFonts w:ascii="Times New Roman" w:hAnsi="Times New Roman"/>
          <w:sz w:val="24"/>
        </w:rPr>
        <w:t xml:space="preserve">MSAC also considered the evidence presented on whether the change in patient management expected from viability testing as assessed by LGE-CMR, Db-Echo and SPECT, resulted in reduced mortality. MSAC noted that </w:t>
      </w:r>
      <w:r w:rsidR="00107108">
        <w:rPr>
          <w:rFonts w:ascii="Times New Roman" w:hAnsi="Times New Roman"/>
          <w:sz w:val="24"/>
        </w:rPr>
        <w:t>two poor-quality systematic reviews (</w:t>
      </w:r>
      <w:r w:rsidR="00107108" w:rsidRPr="00CE0FFD">
        <w:rPr>
          <w:rFonts w:ascii="Times New Roman" w:hAnsi="Times New Roman"/>
          <w:sz w:val="24"/>
        </w:rPr>
        <w:t>Allman KC et al 2002</w:t>
      </w:r>
      <w:r w:rsidR="00107108">
        <w:rPr>
          <w:rFonts w:ascii="Times New Roman" w:hAnsi="Times New Roman"/>
          <w:sz w:val="24"/>
        </w:rPr>
        <w:t xml:space="preserve">; </w:t>
      </w:r>
      <w:proofErr w:type="spellStart"/>
      <w:r w:rsidR="00107108" w:rsidRPr="00CE0FFD">
        <w:rPr>
          <w:rFonts w:ascii="Times New Roman" w:hAnsi="Times New Roman"/>
          <w:sz w:val="24"/>
        </w:rPr>
        <w:t>Schinkel</w:t>
      </w:r>
      <w:proofErr w:type="spellEnd"/>
      <w:r w:rsidR="00107108" w:rsidRPr="00CE0FFD">
        <w:rPr>
          <w:rFonts w:ascii="Times New Roman" w:hAnsi="Times New Roman"/>
          <w:sz w:val="24"/>
        </w:rPr>
        <w:t xml:space="preserve"> AFL et al 2007</w:t>
      </w:r>
      <w:r w:rsidR="00107108">
        <w:rPr>
          <w:rFonts w:ascii="Times New Roman" w:hAnsi="Times New Roman"/>
          <w:sz w:val="24"/>
        </w:rPr>
        <w:t>) and one cohort study (</w:t>
      </w:r>
      <w:r w:rsidR="00107108" w:rsidRPr="00CE0FFD">
        <w:rPr>
          <w:rFonts w:ascii="Times New Roman" w:hAnsi="Times New Roman"/>
          <w:sz w:val="24"/>
        </w:rPr>
        <w:t>Gerber BL et al 2012</w:t>
      </w:r>
      <w:r w:rsidR="00107108">
        <w:rPr>
          <w:rFonts w:ascii="Times New Roman" w:hAnsi="Times New Roman"/>
          <w:sz w:val="24"/>
        </w:rPr>
        <w:t xml:space="preserve">) had indicated that </w:t>
      </w:r>
      <w:r w:rsidRPr="00CE0FFD">
        <w:rPr>
          <w:rFonts w:ascii="Times New Roman" w:hAnsi="Times New Roman"/>
          <w:sz w:val="24"/>
        </w:rPr>
        <w:t xml:space="preserve">patients who were assessed as having viable myocardium and received revascularisation had a </w:t>
      </w:r>
      <w:r w:rsidR="00107108">
        <w:rPr>
          <w:rFonts w:ascii="Times New Roman" w:hAnsi="Times New Roman"/>
          <w:sz w:val="24"/>
        </w:rPr>
        <w:t>lower mortality</w:t>
      </w:r>
      <w:r w:rsidRPr="00CE0FFD">
        <w:rPr>
          <w:rFonts w:ascii="Times New Roman" w:hAnsi="Times New Roman"/>
          <w:sz w:val="24"/>
        </w:rPr>
        <w:t xml:space="preserve"> compared to those who received medical treatment alone. Therefore, MSAC considered </w:t>
      </w:r>
      <w:r w:rsidR="002D000C">
        <w:rPr>
          <w:rFonts w:ascii="Times New Roman" w:hAnsi="Times New Roman"/>
          <w:sz w:val="24"/>
        </w:rPr>
        <w:t xml:space="preserve">prospective </w:t>
      </w:r>
      <w:r w:rsidR="00107108">
        <w:rPr>
          <w:rFonts w:ascii="Times New Roman" w:hAnsi="Times New Roman"/>
          <w:sz w:val="24"/>
        </w:rPr>
        <w:t>randomised, controlled trial</w:t>
      </w:r>
      <w:r w:rsidR="002D000C">
        <w:rPr>
          <w:rFonts w:ascii="Times New Roman" w:hAnsi="Times New Roman"/>
          <w:sz w:val="24"/>
        </w:rPr>
        <w:t xml:space="preserve"> (RCT)</w:t>
      </w:r>
      <w:r w:rsidR="00107108">
        <w:rPr>
          <w:rFonts w:ascii="Times New Roman" w:hAnsi="Times New Roman"/>
          <w:sz w:val="24"/>
        </w:rPr>
        <w:t xml:space="preserve"> </w:t>
      </w:r>
      <w:r w:rsidRPr="00CE0FFD">
        <w:rPr>
          <w:rFonts w:ascii="Times New Roman" w:hAnsi="Times New Roman"/>
          <w:sz w:val="24"/>
        </w:rPr>
        <w:t xml:space="preserve">evidence from the </w:t>
      </w:r>
      <w:r w:rsidR="001F1FDF" w:rsidRPr="00A953A7">
        <w:rPr>
          <w:rFonts w:ascii="Times New Roman" w:hAnsi="Times New Roman"/>
          <w:sz w:val="24"/>
        </w:rPr>
        <w:t>Surgical Treatment for Ischemic Heart Failure</w:t>
      </w:r>
      <w:r w:rsidR="001F1FDF" w:rsidRPr="00A953A7">
        <w:rPr>
          <w:sz w:val="24"/>
        </w:rPr>
        <w:t xml:space="preserve"> </w:t>
      </w:r>
      <w:r w:rsidR="001F1FDF">
        <w:rPr>
          <w:sz w:val="24"/>
        </w:rPr>
        <w:t>(</w:t>
      </w:r>
      <w:r w:rsidRPr="00CE0FFD">
        <w:rPr>
          <w:rFonts w:ascii="Times New Roman" w:hAnsi="Times New Roman"/>
          <w:sz w:val="24"/>
        </w:rPr>
        <w:t>STICH</w:t>
      </w:r>
      <w:r w:rsidR="001F1FDF">
        <w:rPr>
          <w:rFonts w:ascii="Times New Roman" w:hAnsi="Times New Roman"/>
          <w:sz w:val="24"/>
        </w:rPr>
        <w:t>)</w:t>
      </w:r>
      <w:r w:rsidRPr="00CE0FFD">
        <w:rPr>
          <w:rFonts w:ascii="Times New Roman" w:hAnsi="Times New Roman"/>
          <w:sz w:val="24"/>
        </w:rPr>
        <w:t xml:space="preserve"> </w:t>
      </w:r>
      <w:r w:rsidR="00107108">
        <w:rPr>
          <w:rFonts w:ascii="Times New Roman" w:hAnsi="Times New Roman"/>
          <w:sz w:val="24"/>
        </w:rPr>
        <w:t>study</w:t>
      </w:r>
      <w:r w:rsidR="00107108" w:rsidRPr="00CE0FFD">
        <w:rPr>
          <w:rFonts w:ascii="Times New Roman" w:hAnsi="Times New Roman"/>
          <w:sz w:val="24"/>
        </w:rPr>
        <w:t xml:space="preserve"> </w:t>
      </w:r>
      <w:r w:rsidRPr="00CE0FFD">
        <w:rPr>
          <w:rFonts w:ascii="Times New Roman" w:hAnsi="Times New Roman"/>
          <w:sz w:val="24"/>
        </w:rPr>
        <w:t>(</w:t>
      </w:r>
      <w:proofErr w:type="spellStart"/>
      <w:r w:rsidRPr="00CE0FFD">
        <w:rPr>
          <w:rFonts w:ascii="Times New Roman" w:hAnsi="Times New Roman"/>
          <w:sz w:val="24"/>
        </w:rPr>
        <w:t>Bonow</w:t>
      </w:r>
      <w:proofErr w:type="spellEnd"/>
      <w:r w:rsidRPr="00CE0FFD">
        <w:rPr>
          <w:rFonts w:ascii="Times New Roman" w:hAnsi="Times New Roman"/>
          <w:sz w:val="24"/>
        </w:rPr>
        <w:t xml:space="preserve"> RO et al 2011) which  </w:t>
      </w:r>
      <w:r w:rsidR="002D000C">
        <w:rPr>
          <w:rFonts w:ascii="Times New Roman" w:hAnsi="Times New Roman"/>
          <w:sz w:val="24"/>
        </w:rPr>
        <w:t>found</w:t>
      </w:r>
      <w:r w:rsidR="002D000C" w:rsidRPr="00CE0FFD">
        <w:rPr>
          <w:rFonts w:ascii="Times New Roman" w:hAnsi="Times New Roman"/>
          <w:sz w:val="24"/>
        </w:rPr>
        <w:t xml:space="preserve"> </w:t>
      </w:r>
      <w:r w:rsidRPr="00CE0FFD">
        <w:rPr>
          <w:rFonts w:ascii="Times New Roman" w:hAnsi="Times New Roman"/>
          <w:sz w:val="24"/>
        </w:rPr>
        <w:t xml:space="preserve">that there </w:t>
      </w:r>
      <w:r w:rsidR="002D000C">
        <w:rPr>
          <w:rFonts w:ascii="Times New Roman" w:hAnsi="Times New Roman"/>
          <w:sz w:val="24"/>
        </w:rPr>
        <w:t>was</w:t>
      </w:r>
      <w:r w:rsidR="002D000C" w:rsidRPr="00CE0FFD">
        <w:rPr>
          <w:rFonts w:ascii="Times New Roman" w:hAnsi="Times New Roman"/>
          <w:sz w:val="24"/>
        </w:rPr>
        <w:t xml:space="preserve"> </w:t>
      </w:r>
      <w:r w:rsidRPr="00CE0FFD">
        <w:rPr>
          <w:rFonts w:ascii="Times New Roman" w:hAnsi="Times New Roman"/>
          <w:sz w:val="24"/>
        </w:rPr>
        <w:t xml:space="preserve">no significant difference in the mortality of patients with </w:t>
      </w:r>
      <w:r w:rsidR="002D000C">
        <w:rPr>
          <w:rFonts w:ascii="Times New Roman" w:hAnsi="Times New Roman"/>
          <w:sz w:val="24"/>
        </w:rPr>
        <w:t xml:space="preserve">or without </w:t>
      </w:r>
      <w:r w:rsidRPr="00CE0FFD">
        <w:rPr>
          <w:rFonts w:ascii="Times New Roman" w:hAnsi="Times New Roman"/>
          <w:sz w:val="24"/>
        </w:rPr>
        <w:t>viable myocardium</w:t>
      </w:r>
      <w:r w:rsidR="002D000C">
        <w:rPr>
          <w:rFonts w:ascii="Times New Roman" w:hAnsi="Times New Roman"/>
          <w:sz w:val="24"/>
        </w:rPr>
        <w:t>, assessed by Db-Echo or SPECT,</w:t>
      </w:r>
      <w:r w:rsidRPr="00CE0FFD">
        <w:rPr>
          <w:rFonts w:ascii="Times New Roman" w:hAnsi="Times New Roman"/>
          <w:sz w:val="24"/>
        </w:rPr>
        <w:t xml:space="preserve"> who were </w:t>
      </w:r>
      <w:proofErr w:type="spellStart"/>
      <w:r w:rsidRPr="00CE0FFD">
        <w:rPr>
          <w:rFonts w:ascii="Times New Roman" w:hAnsi="Times New Roman"/>
          <w:sz w:val="24"/>
        </w:rPr>
        <w:t>rev</w:t>
      </w:r>
      <w:r w:rsidR="003127E1">
        <w:rPr>
          <w:rFonts w:ascii="Times New Roman" w:hAnsi="Times New Roman"/>
          <w:sz w:val="24"/>
        </w:rPr>
        <w:t>a</w:t>
      </w:r>
      <w:r w:rsidRPr="00CE0FFD">
        <w:rPr>
          <w:rFonts w:ascii="Times New Roman" w:hAnsi="Times New Roman"/>
          <w:sz w:val="24"/>
        </w:rPr>
        <w:t>scularised</w:t>
      </w:r>
      <w:proofErr w:type="spellEnd"/>
      <w:r w:rsidRPr="00CE0FFD">
        <w:rPr>
          <w:rFonts w:ascii="Times New Roman" w:hAnsi="Times New Roman"/>
          <w:sz w:val="24"/>
        </w:rPr>
        <w:t xml:space="preserve"> and those who received medical therapy alone. MSAC </w:t>
      </w:r>
      <w:r w:rsidR="002D000C">
        <w:rPr>
          <w:rFonts w:ascii="Times New Roman" w:hAnsi="Times New Roman"/>
          <w:sz w:val="24"/>
        </w:rPr>
        <w:t>concluded</w:t>
      </w:r>
      <w:r w:rsidR="002D000C" w:rsidRPr="00CE0FFD">
        <w:rPr>
          <w:rFonts w:ascii="Times New Roman" w:hAnsi="Times New Roman"/>
          <w:sz w:val="24"/>
        </w:rPr>
        <w:t xml:space="preserve"> </w:t>
      </w:r>
      <w:r w:rsidRPr="00CE0FFD">
        <w:rPr>
          <w:rFonts w:ascii="Times New Roman" w:hAnsi="Times New Roman"/>
          <w:sz w:val="24"/>
        </w:rPr>
        <w:t xml:space="preserve">that there was no interaction between viability and the likelihood of benefit from revascularisation compared with medical </w:t>
      </w:r>
      <w:r w:rsidR="00817F01">
        <w:rPr>
          <w:rFonts w:ascii="Times New Roman" w:hAnsi="Times New Roman"/>
          <w:sz w:val="24"/>
        </w:rPr>
        <w:t xml:space="preserve">therapy alone. </w:t>
      </w:r>
      <w:r w:rsidRPr="00CE0FFD">
        <w:rPr>
          <w:rFonts w:ascii="Times New Roman" w:hAnsi="Times New Roman"/>
          <w:sz w:val="24"/>
        </w:rPr>
        <w:t xml:space="preserve">MSAC acknowledged the applicant’s concern that the STICH trial did not use LGE-CMR as a measure of viability. However, MSAC noted that the trial provided the only </w:t>
      </w:r>
      <w:r w:rsidR="002D000C">
        <w:rPr>
          <w:rFonts w:ascii="Times New Roman" w:hAnsi="Times New Roman"/>
          <w:sz w:val="24"/>
        </w:rPr>
        <w:t>RCT</w:t>
      </w:r>
      <w:r w:rsidRPr="00CE0FFD">
        <w:rPr>
          <w:rFonts w:ascii="Times New Roman" w:hAnsi="Times New Roman"/>
          <w:sz w:val="24"/>
        </w:rPr>
        <w:t xml:space="preserve"> evidence available for this population and</w:t>
      </w:r>
      <w:r w:rsidR="002D000C">
        <w:rPr>
          <w:rFonts w:ascii="Times New Roman" w:hAnsi="Times New Roman"/>
          <w:sz w:val="24"/>
        </w:rPr>
        <w:t>,</w:t>
      </w:r>
      <w:r w:rsidRPr="00CE0FFD">
        <w:rPr>
          <w:rFonts w:ascii="Times New Roman" w:hAnsi="Times New Roman"/>
          <w:sz w:val="24"/>
        </w:rPr>
        <w:t xml:space="preserve"> in the absence of better evidence, it was not clear that the presence or absence of viability should guide the decision to </w:t>
      </w:r>
      <w:proofErr w:type="spellStart"/>
      <w:r w:rsidRPr="00CE0FFD">
        <w:rPr>
          <w:rFonts w:ascii="Times New Roman" w:hAnsi="Times New Roman"/>
          <w:sz w:val="24"/>
        </w:rPr>
        <w:t>revascularise</w:t>
      </w:r>
      <w:proofErr w:type="spellEnd"/>
      <w:r w:rsidRPr="00CE0FFD">
        <w:rPr>
          <w:rFonts w:ascii="Times New Roman" w:hAnsi="Times New Roman"/>
          <w:sz w:val="24"/>
        </w:rPr>
        <w:t xml:space="preserve">. MSAC also highlighted that the 2014 </w:t>
      </w:r>
      <w:r w:rsidR="003127E1">
        <w:rPr>
          <w:rFonts w:ascii="Times New Roman" w:hAnsi="Times New Roman"/>
          <w:sz w:val="24"/>
        </w:rPr>
        <w:t>European Socie</w:t>
      </w:r>
      <w:r w:rsidR="002D000C">
        <w:rPr>
          <w:rFonts w:ascii="Times New Roman" w:hAnsi="Times New Roman"/>
          <w:sz w:val="24"/>
        </w:rPr>
        <w:t>ty of Cardiology/European Association of Cardiothoracic Surgery (</w:t>
      </w:r>
      <w:r w:rsidRPr="00CE0FFD">
        <w:rPr>
          <w:rFonts w:ascii="Times New Roman" w:hAnsi="Times New Roman"/>
          <w:sz w:val="24"/>
        </w:rPr>
        <w:t>ESC/EACTS</w:t>
      </w:r>
      <w:r w:rsidR="002D000C">
        <w:rPr>
          <w:rFonts w:ascii="Times New Roman" w:hAnsi="Times New Roman"/>
          <w:sz w:val="24"/>
        </w:rPr>
        <w:t>)</w:t>
      </w:r>
      <w:r w:rsidRPr="00CE0FFD">
        <w:rPr>
          <w:rFonts w:ascii="Times New Roman" w:hAnsi="Times New Roman"/>
          <w:sz w:val="24"/>
        </w:rPr>
        <w:t xml:space="preserve"> guidelines on myocardial revascularisation recommend</w:t>
      </w:r>
      <w:r w:rsidR="003127E1">
        <w:rPr>
          <w:rFonts w:ascii="Times New Roman" w:hAnsi="Times New Roman"/>
          <w:sz w:val="24"/>
        </w:rPr>
        <w:t>ation</w:t>
      </w:r>
      <w:r w:rsidRPr="00CE0FFD">
        <w:rPr>
          <w:rFonts w:ascii="Times New Roman" w:hAnsi="Times New Roman"/>
          <w:sz w:val="24"/>
        </w:rPr>
        <w:t xml:space="preserve"> that, </w:t>
      </w:r>
      <w:r w:rsidR="002D000C">
        <w:rPr>
          <w:rFonts w:ascii="Times New Roman" w:hAnsi="Times New Roman"/>
          <w:sz w:val="24"/>
        </w:rPr>
        <w:t>based on the findings of</w:t>
      </w:r>
      <w:r w:rsidRPr="00CE0FFD">
        <w:rPr>
          <w:rFonts w:ascii="Times New Roman" w:hAnsi="Times New Roman"/>
          <w:sz w:val="24"/>
        </w:rPr>
        <w:t xml:space="preserve"> the STICH trial, assessment of myocardial </w:t>
      </w:r>
      <w:r w:rsidRPr="00CE0FFD">
        <w:rPr>
          <w:rFonts w:ascii="Times New Roman" w:hAnsi="Times New Roman"/>
          <w:sz w:val="24"/>
        </w:rPr>
        <w:lastRenderedPageBreak/>
        <w:t xml:space="preserve">viability should not be the sole factor in guiding decisions about the best therapy for these patients.  </w:t>
      </w:r>
    </w:p>
    <w:p w14:paraId="43160077" w14:textId="49ACF52E" w:rsidR="00817F01" w:rsidRDefault="00CE0FFD" w:rsidP="001B305A">
      <w:pPr>
        <w:pStyle w:val="BodyText"/>
        <w:spacing w:before="0" w:after="240" w:line="240" w:lineRule="auto"/>
        <w:rPr>
          <w:rFonts w:ascii="Times New Roman" w:hAnsi="Times New Roman"/>
          <w:sz w:val="24"/>
        </w:rPr>
      </w:pPr>
      <w:r w:rsidRPr="00CE0FFD">
        <w:rPr>
          <w:rFonts w:ascii="Times New Roman" w:hAnsi="Times New Roman"/>
          <w:sz w:val="24"/>
        </w:rPr>
        <w:t xml:space="preserve">MSAC noted that the economic evaluation for population two was very similar in structure to that used for population one, with Db-Echo and SPECT used as the comparators </w:t>
      </w:r>
      <w:r w:rsidR="002D000C">
        <w:rPr>
          <w:rFonts w:ascii="Times New Roman" w:hAnsi="Times New Roman"/>
          <w:sz w:val="24"/>
        </w:rPr>
        <w:t>for</w:t>
      </w:r>
      <w:r w:rsidR="002D000C" w:rsidRPr="00CE0FFD">
        <w:rPr>
          <w:rFonts w:ascii="Times New Roman" w:hAnsi="Times New Roman"/>
          <w:sz w:val="24"/>
        </w:rPr>
        <w:t xml:space="preserve"> </w:t>
      </w:r>
      <w:r w:rsidRPr="00CE0FFD">
        <w:rPr>
          <w:rFonts w:ascii="Times New Roman" w:hAnsi="Times New Roman"/>
          <w:sz w:val="24"/>
        </w:rPr>
        <w:t xml:space="preserve">LGE-CMR. In the base case, it was assumed that those with viable myocardium would receive revascularisation and those with non-viable myocardium would receive </w:t>
      </w:r>
      <w:r w:rsidR="002D000C">
        <w:rPr>
          <w:rFonts w:ascii="Times New Roman" w:hAnsi="Times New Roman"/>
          <w:sz w:val="24"/>
        </w:rPr>
        <w:t>optimal</w:t>
      </w:r>
      <w:r w:rsidR="002D000C" w:rsidRPr="00CE0FFD">
        <w:rPr>
          <w:rFonts w:ascii="Times New Roman" w:hAnsi="Times New Roman"/>
          <w:sz w:val="24"/>
        </w:rPr>
        <w:t xml:space="preserve"> </w:t>
      </w:r>
      <w:r w:rsidRPr="00CE0FFD">
        <w:rPr>
          <w:rFonts w:ascii="Times New Roman" w:hAnsi="Times New Roman"/>
          <w:sz w:val="24"/>
        </w:rPr>
        <w:t>medical therapy. MSAC noted that</w:t>
      </w:r>
      <w:r w:rsidR="003127E1">
        <w:rPr>
          <w:rFonts w:ascii="Times New Roman" w:hAnsi="Times New Roman"/>
          <w:sz w:val="24"/>
        </w:rPr>
        <w:t>,</w:t>
      </w:r>
      <w:r w:rsidRPr="00CE0FFD">
        <w:rPr>
          <w:rFonts w:ascii="Times New Roman" w:hAnsi="Times New Roman"/>
          <w:sz w:val="24"/>
        </w:rPr>
        <w:t xml:space="preserve"> in terms of the incremental cost per correct diagnosis and per unnecessary revascularisations averted, LGE-CMR was less cost-effective than </w:t>
      </w:r>
      <w:r w:rsidR="002D000C">
        <w:rPr>
          <w:rFonts w:ascii="Times New Roman" w:hAnsi="Times New Roman"/>
          <w:sz w:val="24"/>
        </w:rPr>
        <w:t>either</w:t>
      </w:r>
      <w:r w:rsidR="002D000C" w:rsidRPr="00CE0FFD">
        <w:rPr>
          <w:rFonts w:ascii="Times New Roman" w:hAnsi="Times New Roman"/>
          <w:sz w:val="24"/>
        </w:rPr>
        <w:t xml:space="preserve"> </w:t>
      </w:r>
      <w:r w:rsidRPr="00CE0FFD">
        <w:rPr>
          <w:rFonts w:ascii="Times New Roman" w:hAnsi="Times New Roman"/>
          <w:sz w:val="24"/>
        </w:rPr>
        <w:t xml:space="preserve">Db-Echo </w:t>
      </w:r>
      <w:r w:rsidR="002D000C">
        <w:rPr>
          <w:rFonts w:ascii="Times New Roman" w:hAnsi="Times New Roman"/>
          <w:sz w:val="24"/>
        </w:rPr>
        <w:t>or</w:t>
      </w:r>
      <w:r w:rsidR="002D000C" w:rsidRPr="00CE0FFD">
        <w:rPr>
          <w:rFonts w:ascii="Times New Roman" w:hAnsi="Times New Roman"/>
          <w:sz w:val="24"/>
        </w:rPr>
        <w:t xml:space="preserve"> </w:t>
      </w:r>
      <w:r w:rsidRPr="00CE0FFD">
        <w:rPr>
          <w:rFonts w:ascii="Times New Roman" w:hAnsi="Times New Roman"/>
          <w:sz w:val="24"/>
        </w:rPr>
        <w:t>SPECT. MSAC noted that</w:t>
      </w:r>
      <w:r w:rsidR="003127E1">
        <w:rPr>
          <w:rFonts w:ascii="Times New Roman" w:hAnsi="Times New Roman"/>
          <w:sz w:val="24"/>
        </w:rPr>
        <w:t>,</w:t>
      </w:r>
      <w:r w:rsidRPr="00CE0FFD">
        <w:rPr>
          <w:rFonts w:ascii="Times New Roman" w:hAnsi="Times New Roman"/>
          <w:sz w:val="24"/>
        </w:rPr>
        <w:t xml:space="preserve"> regarding the cost per revascularisations undertaken with the correct diagnosis, the increments for LGE-CMR compared to Db-Echo ($136,002) and SPECT ($129,301) were high. MSAC was again concerned that the </w:t>
      </w:r>
      <w:r w:rsidR="002D000C">
        <w:rPr>
          <w:rFonts w:ascii="Times New Roman" w:hAnsi="Times New Roman"/>
          <w:sz w:val="24"/>
        </w:rPr>
        <w:t>higher</w:t>
      </w:r>
      <w:r w:rsidR="002D000C" w:rsidRPr="00CE0FFD">
        <w:rPr>
          <w:rFonts w:ascii="Times New Roman" w:hAnsi="Times New Roman"/>
          <w:sz w:val="24"/>
        </w:rPr>
        <w:t xml:space="preserve"> </w:t>
      </w:r>
      <w:r w:rsidRPr="00CE0FFD">
        <w:rPr>
          <w:rFonts w:ascii="Times New Roman" w:hAnsi="Times New Roman"/>
          <w:sz w:val="24"/>
        </w:rPr>
        <w:t xml:space="preserve">fee for the procedure suggested by RANZCR was not used in the analysis. MSAC noted that incorporating </w:t>
      </w:r>
      <w:r w:rsidR="003127E1">
        <w:rPr>
          <w:rFonts w:ascii="Times New Roman" w:hAnsi="Times New Roman"/>
          <w:sz w:val="24"/>
        </w:rPr>
        <w:t>this</w:t>
      </w:r>
      <w:r w:rsidR="003127E1" w:rsidRPr="00CE0FFD">
        <w:rPr>
          <w:rFonts w:ascii="Times New Roman" w:hAnsi="Times New Roman"/>
          <w:sz w:val="24"/>
        </w:rPr>
        <w:t xml:space="preserve"> </w:t>
      </w:r>
      <w:r w:rsidR="003127E1">
        <w:rPr>
          <w:rFonts w:ascii="Times New Roman" w:hAnsi="Times New Roman"/>
          <w:sz w:val="24"/>
        </w:rPr>
        <w:t>fee</w:t>
      </w:r>
      <w:r w:rsidR="003127E1" w:rsidRPr="00CE0FFD">
        <w:rPr>
          <w:rFonts w:ascii="Times New Roman" w:hAnsi="Times New Roman"/>
          <w:sz w:val="24"/>
        </w:rPr>
        <w:t xml:space="preserve"> </w:t>
      </w:r>
      <w:r w:rsidRPr="00CE0FFD">
        <w:rPr>
          <w:rFonts w:ascii="Times New Roman" w:hAnsi="Times New Roman"/>
          <w:sz w:val="24"/>
        </w:rPr>
        <w:t>would be likely to have a negative influence on the cost-effectiveness of the proposed imaging for both populations.</w:t>
      </w:r>
    </w:p>
    <w:p w14:paraId="3E1CB404" w14:textId="548F6E41" w:rsidR="00817F01" w:rsidRDefault="00CE0FFD" w:rsidP="001B305A">
      <w:pPr>
        <w:pStyle w:val="BodyText"/>
        <w:spacing w:before="0" w:after="240" w:line="240" w:lineRule="auto"/>
        <w:rPr>
          <w:rFonts w:ascii="Times New Roman" w:hAnsi="Times New Roman"/>
          <w:sz w:val="24"/>
        </w:rPr>
      </w:pPr>
      <w:r w:rsidRPr="00CE0FFD">
        <w:rPr>
          <w:rFonts w:ascii="Times New Roman" w:hAnsi="Times New Roman"/>
          <w:sz w:val="24"/>
        </w:rPr>
        <w:t xml:space="preserve">MSAC considered the projected net cost to the MBS of listing LGE-CMR for the assessment of myocardial viability to be </w:t>
      </w:r>
      <w:r w:rsidR="002D000C">
        <w:rPr>
          <w:rFonts w:ascii="Times New Roman" w:hAnsi="Times New Roman"/>
          <w:sz w:val="24"/>
        </w:rPr>
        <w:t xml:space="preserve">highly </w:t>
      </w:r>
      <w:r w:rsidRPr="00CE0FFD">
        <w:rPr>
          <w:rFonts w:ascii="Times New Roman" w:hAnsi="Times New Roman"/>
          <w:sz w:val="24"/>
        </w:rPr>
        <w:t>uncertain</w:t>
      </w:r>
      <w:r w:rsidR="00FA595A">
        <w:rPr>
          <w:rFonts w:ascii="Times New Roman" w:hAnsi="Times New Roman"/>
          <w:sz w:val="24"/>
        </w:rPr>
        <w:t>,</w:t>
      </w:r>
      <w:r w:rsidRPr="00CE0FFD">
        <w:rPr>
          <w:rFonts w:ascii="Times New Roman" w:hAnsi="Times New Roman"/>
          <w:sz w:val="24"/>
        </w:rPr>
        <w:t xml:space="preserve"> as</w:t>
      </w:r>
      <w:r w:rsidR="00FA595A">
        <w:rPr>
          <w:rFonts w:ascii="Times New Roman" w:hAnsi="Times New Roman"/>
          <w:sz w:val="24"/>
        </w:rPr>
        <w:t>:</w:t>
      </w:r>
      <w:r w:rsidRPr="00CE0FFD">
        <w:rPr>
          <w:rFonts w:ascii="Times New Roman" w:hAnsi="Times New Roman"/>
          <w:sz w:val="24"/>
        </w:rPr>
        <w:t xml:space="preserve"> the </w:t>
      </w:r>
      <w:r w:rsidR="00FA595A">
        <w:rPr>
          <w:rFonts w:ascii="Times New Roman" w:hAnsi="Times New Roman"/>
          <w:sz w:val="24"/>
        </w:rPr>
        <w:t>analysis assumed</w:t>
      </w:r>
      <w:r w:rsidR="00FA595A" w:rsidRPr="00CE0FFD">
        <w:rPr>
          <w:rFonts w:ascii="Times New Roman" w:hAnsi="Times New Roman"/>
          <w:sz w:val="24"/>
        </w:rPr>
        <w:t xml:space="preserve"> </w:t>
      </w:r>
      <w:r w:rsidR="00FA595A">
        <w:rPr>
          <w:rFonts w:ascii="Times New Roman" w:hAnsi="Times New Roman"/>
          <w:sz w:val="24"/>
        </w:rPr>
        <w:t>that 50% of Db-Echo studies (Item 55117) and single SPECT studies (Item 61303) are currently performed for viability assessment – likely to be an overestimate – and</w:t>
      </w:r>
      <w:r w:rsidR="00FA595A" w:rsidRPr="00CE0FFD">
        <w:rPr>
          <w:rFonts w:ascii="Times New Roman" w:hAnsi="Times New Roman"/>
          <w:sz w:val="24"/>
        </w:rPr>
        <w:t xml:space="preserve"> </w:t>
      </w:r>
      <w:r w:rsidRPr="00CE0FFD">
        <w:rPr>
          <w:rFonts w:ascii="Times New Roman" w:hAnsi="Times New Roman"/>
          <w:sz w:val="24"/>
        </w:rPr>
        <w:t xml:space="preserve">that LGE-CMR will </w:t>
      </w:r>
      <w:r w:rsidR="00FA595A">
        <w:rPr>
          <w:rFonts w:ascii="Times New Roman" w:hAnsi="Times New Roman"/>
          <w:sz w:val="24"/>
        </w:rPr>
        <w:t>replace 10% of these</w:t>
      </w:r>
      <w:r w:rsidRPr="00CE0FFD">
        <w:rPr>
          <w:rFonts w:ascii="Times New Roman" w:hAnsi="Times New Roman"/>
          <w:sz w:val="24"/>
        </w:rPr>
        <w:t xml:space="preserve"> items</w:t>
      </w:r>
      <w:r w:rsidR="00FA595A">
        <w:rPr>
          <w:rFonts w:ascii="Times New Roman" w:hAnsi="Times New Roman"/>
          <w:sz w:val="24"/>
        </w:rPr>
        <w:t xml:space="preserve">; and the extent to which LGE-CMR could replace Db-Echo or SPECT is uncertain given the likely limited access to CMR already described. </w:t>
      </w:r>
      <w:r w:rsidRPr="00CE0FFD">
        <w:rPr>
          <w:rFonts w:ascii="Times New Roman" w:hAnsi="Times New Roman"/>
          <w:sz w:val="24"/>
        </w:rPr>
        <w:t>.</w:t>
      </w:r>
    </w:p>
    <w:p w14:paraId="6E32CEAC" w14:textId="2F66598B" w:rsidR="00550354" w:rsidRPr="00817F01" w:rsidRDefault="00CE0FFD" w:rsidP="001B305A">
      <w:pPr>
        <w:pStyle w:val="BodyText"/>
        <w:spacing w:before="0" w:after="240" w:line="240" w:lineRule="auto"/>
        <w:rPr>
          <w:rFonts w:ascii="Times New Roman" w:hAnsi="Times New Roman"/>
          <w:sz w:val="24"/>
        </w:rPr>
      </w:pPr>
      <w:r w:rsidRPr="00CE0FFD">
        <w:rPr>
          <w:rFonts w:ascii="Times New Roman" w:hAnsi="Times New Roman"/>
          <w:sz w:val="24"/>
        </w:rPr>
        <w:t>MSAC noted that</w:t>
      </w:r>
      <w:r w:rsidR="00FA595A">
        <w:rPr>
          <w:rFonts w:ascii="Times New Roman" w:hAnsi="Times New Roman"/>
          <w:sz w:val="24"/>
        </w:rPr>
        <w:t>,</w:t>
      </w:r>
      <w:r w:rsidRPr="00CE0FFD">
        <w:rPr>
          <w:rFonts w:ascii="Times New Roman" w:hAnsi="Times New Roman"/>
          <w:sz w:val="24"/>
        </w:rPr>
        <w:t xml:space="preserve"> overall, there was no pressing clinical need for the proposed imaging service in either </w:t>
      </w:r>
      <w:r w:rsidR="00AB406F">
        <w:rPr>
          <w:rFonts w:ascii="Times New Roman" w:hAnsi="Times New Roman"/>
          <w:sz w:val="24"/>
        </w:rPr>
        <w:t>P</w:t>
      </w:r>
      <w:r w:rsidR="00AB406F" w:rsidRPr="00CE0FFD">
        <w:rPr>
          <w:rFonts w:ascii="Times New Roman" w:hAnsi="Times New Roman"/>
          <w:sz w:val="24"/>
        </w:rPr>
        <w:t xml:space="preserve">opulation </w:t>
      </w:r>
      <w:r w:rsidR="00AB406F">
        <w:rPr>
          <w:rFonts w:ascii="Times New Roman" w:hAnsi="Times New Roman"/>
          <w:sz w:val="24"/>
        </w:rPr>
        <w:t>O</w:t>
      </w:r>
      <w:r w:rsidR="00AB406F" w:rsidRPr="00CE0FFD">
        <w:rPr>
          <w:rFonts w:ascii="Times New Roman" w:hAnsi="Times New Roman"/>
          <w:sz w:val="24"/>
        </w:rPr>
        <w:t xml:space="preserve">ne </w:t>
      </w:r>
      <w:r w:rsidRPr="00CE0FFD">
        <w:rPr>
          <w:rFonts w:ascii="Times New Roman" w:hAnsi="Times New Roman"/>
          <w:sz w:val="24"/>
        </w:rPr>
        <w:t xml:space="preserve">or </w:t>
      </w:r>
      <w:proofErr w:type="gramStart"/>
      <w:r w:rsidR="00AB406F">
        <w:rPr>
          <w:rFonts w:ascii="Times New Roman" w:hAnsi="Times New Roman"/>
          <w:sz w:val="24"/>
        </w:rPr>
        <w:t>T</w:t>
      </w:r>
      <w:r w:rsidR="00AB406F" w:rsidRPr="00CE0FFD">
        <w:rPr>
          <w:rFonts w:ascii="Times New Roman" w:hAnsi="Times New Roman"/>
          <w:sz w:val="24"/>
        </w:rPr>
        <w:t>wo</w:t>
      </w:r>
      <w:proofErr w:type="gramEnd"/>
      <w:r w:rsidR="00AB406F" w:rsidRPr="00CE0FFD">
        <w:rPr>
          <w:rFonts w:ascii="Times New Roman" w:hAnsi="Times New Roman"/>
          <w:sz w:val="24"/>
        </w:rPr>
        <w:t xml:space="preserve"> </w:t>
      </w:r>
      <w:r w:rsidRPr="00CE0FFD">
        <w:rPr>
          <w:rFonts w:ascii="Times New Roman" w:hAnsi="Times New Roman"/>
          <w:sz w:val="24"/>
        </w:rPr>
        <w:t xml:space="preserve">given that there </w:t>
      </w:r>
      <w:r w:rsidR="00FA595A">
        <w:rPr>
          <w:rFonts w:ascii="Times New Roman" w:hAnsi="Times New Roman"/>
          <w:sz w:val="24"/>
        </w:rPr>
        <w:t>is</w:t>
      </w:r>
      <w:r w:rsidR="00FA595A" w:rsidRPr="00CE0FFD">
        <w:rPr>
          <w:rFonts w:ascii="Times New Roman" w:hAnsi="Times New Roman"/>
          <w:sz w:val="24"/>
        </w:rPr>
        <w:t xml:space="preserve"> </w:t>
      </w:r>
      <w:r w:rsidRPr="00CE0FFD">
        <w:rPr>
          <w:rFonts w:ascii="Times New Roman" w:hAnsi="Times New Roman"/>
          <w:sz w:val="24"/>
        </w:rPr>
        <w:t>a range of alternative imaging tests currently listed on the MBS for both groups. In addition, MSAC noted that</w:t>
      </w:r>
      <w:r w:rsidR="00FA595A">
        <w:rPr>
          <w:rFonts w:ascii="Times New Roman" w:hAnsi="Times New Roman"/>
          <w:sz w:val="24"/>
        </w:rPr>
        <w:t>,</w:t>
      </w:r>
      <w:r w:rsidRPr="00CE0FFD">
        <w:rPr>
          <w:rFonts w:ascii="Times New Roman" w:hAnsi="Times New Roman"/>
          <w:sz w:val="24"/>
        </w:rPr>
        <w:t xml:space="preserve"> for </w:t>
      </w:r>
      <w:r w:rsidR="00AB406F">
        <w:rPr>
          <w:rFonts w:ascii="Times New Roman" w:hAnsi="Times New Roman"/>
          <w:sz w:val="24"/>
        </w:rPr>
        <w:t>P</w:t>
      </w:r>
      <w:r w:rsidR="00AB406F" w:rsidRPr="00CE0FFD">
        <w:rPr>
          <w:rFonts w:ascii="Times New Roman" w:hAnsi="Times New Roman"/>
          <w:sz w:val="24"/>
        </w:rPr>
        <w:t xml:space="preserve">opulation </w:t>
      </w:r>
      <w:r w:rsidR="00AB406F">
        <w:rPr>
          <w:rFonts w:ascii="Times New Roman" w:hAnsi="Times New Roman"/>
          <w:sz w:val="24"/>
        </w:rPr>
        <w:t>O</w:t>
      </w:r>
      <w:r w:rsidR="00AB406F" w:rsidRPr="00CE0FFD">
        <w:rPr>
          <w:rFonts w:ascii="Times New Roman" w:hAnsi="Times New Roman"/>
          <w:sz w:val="24"/>
        </w:rPr>
        <w:t>ne</w:t>
      </w:r>
      <w:r w:rsidRPr="00CE0FFD">
        <w:rPr>
          <w:rFonts w:ascii="Times New Roman" w:hAnsi="Times New Roman"/>
          <w:sz w:val="24"/>
        </w:rPr>
        <w:t xml:space="preserve">, all of the comparator modalities are more widely available and accessible than CMR. In particular, CMR was less cost effective than stress-Echo across a </w:t>
      </w:r>
      <w:r w:rsidR="00FA595A">
        <w:rPr>
          <w:rFonts w:ascii="Times New Roman" w:hAnsi="Times New Roman"/>
          <w:sz w:val="24"/>
        </w:rPr>
        <w:t>broad</w:t>
      </w:r>
      <w:r w:rsidR="00FA595A" w:rsidRPr="00CE0FFD">
        <w:rPr>
          <w:rFonts w:ascii="Times New Roman" w:hAnsi="Times New Roman"/>
          <w:sz w:val="24"/>
        </w:rPr>
        <w:t xml:space="preserve"> </w:t>
      </w:r>
      <w:r w:rsidRPr="00CE0FFD">
        <w:rPr>
          <w:rFonts w:ascii="Times New Roman" w:hAnsi="Times New Roman"/>
          <w:sz w:val="24"/>
        </w:rPr>
        <w:t xml:space="preserve">range of PTPs. For </w:t>
      </w:r>
      <w:r w:rsidR="00AB406F">
        <w:rPr>
          <w:rFonts w:ascii="Times New Roman" w:hAnsi="Times New Roman"/>
          <w:sz w:val="24"/>
        </w:rPr>
        <w:t>P</w:t>
      </w:r>
      <w:r w:rsidR="00AB406F" w:rsidRPr="00CE0FFD">
        <w:rPr>
          <w:rFonts w:ascii="Times New Roman" w:hAnsi="Times New Roman"/>
          <w:sz w:val="24"/>
        </w:rPr>
        <w:t xml:space="preserve">opulation </w:t>
      </w:r>
      <w:r w:rsidR="00AB406F">
        <w:rPr>
          <w:rFonts w:ascii="Times New Roman" w:hAnsi="Times New Roman"/>
          <w:sz w:val="24"/>
        </w:rPr>
        <w:t>T</w:t>
      </w:r>
      <w:r w:rsidR="00AB406F" w:rsidRPr="00CE0FFD">
        <w:rPr>
          <w:rFonts w:ascii="Times New Roman" w:hAnsi="Times New Roman"/>
          <w:sz w:val="24"/>
        </w:rPr>
        <w:t>wo</w:t>
      </w:r>
      <w:r w:rsidRPr="00CE0FFD">
        <w:rPr>
          <w:rFonts w:ascii="Times New Roman" w:hAnsi="Times New Roman"/>
          <w:sz w:val="24"/>
        </w:rPr>
        <w:t xml:space="preserve">, MSAC noted that the modelled economic analysis showed LGE-CMR was less cost effective than </w:t>
      </w:r>
      <w:r w:rsidR="00FA595A">
        <w:rPr>
          <w:rFonts w:ascii="Times New Roman" w:hAnsi="Times New Roman"/>
          <w:sz w:val="24"/>
        </w:rPr>
        <w:t>either</w:t>
      </w:r>
      <w:r w:rsidR="00FA595A" w:rsidRPr="00CE0FFD">
        <w:rPr>
          <w:rFonts w:ascii="Times New Roman" w:hAnsi="Times New Roman"/>
          <w:sz w:val="24"/>
        </w:rPr>
        <w:t xml:space="preserve"> </w:t>
      </w:r>
      <w:r w:rsidRPr="00CE0FFD">
        <w:rPr>
          <w:rFonts w:ascii="Times New Roman" w:hAnsi="Times New Roman"/>
          <w:sz w:val="24"/>
        </w:rPr>
        <w:t xml:space="preserve">Db-Echo </w:t>
      </w:r>
      <w:r w:rsidR="00FA595A">
        <w:rPr>
          <w:rFonts w:ascii="Times New Roman" w:hAnsi="Times New Roman"/>
          <w:sz w:val="24"/>
        </w:rPr>
        <w:t>or</w:t>
      </w:r>
      <w:r w:rsidR="00FA595A" w:rsidRPr="00CE0FFD">
        <w:rPr>
          <w:rFonts w:ascii="Times New Roman" w:hAnsi="Times New Roman"/>
          <w:sz w:val="24"/>
        </w:rPr>
        <w:t xml:space="preserve"> </w:t>
      </w:r>
      <w:r w:rsidRPr="00CE0FFD">
        <w:rPr>
          <w:rFonts w:ascii="Times New Roman" w:hAnsi="Times New Roman"/>
          <w:sz w:val="24"/>
        </w:rPr>
        <w:t xml:space="preserve">SPECT. MSAC reinforced that current guidelines indicate that assessment of viability should not be the </w:t>
      </w:r>
      <w:r w:rsidR="00FA595A" w:rsidRPr="00CE0FFD">
        <w:rPr>
          <w:rFonts w:ascii="Times New Roman" w:hAnsi="Times New Roman"/>
          <w:sz w:val="24"/>
        </w:rPr>
        <w:t>princip</w:t>
      </w:r>
      <w:r w:rsidR="00FA595A">
        <w:rPr>
          <w:rFonts w:ascii="Times New Roman" w:hAnsi="Times New Roman"/>
          <w:sz w:val="24"/>
        </w:rPr>
        <w:t>al</w:t>
      </w:r>
      <w:r w:rsidR="00FA595A" w:rsidRPr="00CE0FFD">
        <w:rPr>
          <w:rFonts w:ascii="Times New Roman" w:hAnsi="Times New Roman"/>
          <w:sz w:val="24"/>
        </w:rPr>
        <w:t xml:space="preserve"> </w:t>
      </w:r>
      <w:r w:rsidRPr="00CE0FFD">
        <w:rPr>
          <w:rFonts w:ascii="Times New Roman" w:hAnsi="Times New Roman"/>
          <w:sz w:val="24"/>
        </w:rPr>
        <w:t xml:space="preserve">factor in selecting the best therapy for this patient population. MSAC also indicated that an MBS review of cardiac imaging services was currently ongoing. </w:t>
      </w:r>
    </w:p>
    <w:p w14:paraId="73056468" w14:textId="12FD8D2C" w:rsidR="00BC1364" w:rsidRPr="00725B10" w:rsidRDefault="00BC1364" w:rsidP="00725B10">
      <w:pPr>
        <w:pStyle w:val="Heading1"/>
      </w:pPr>
      <w:r w:rsidRPr="00725B10">
        <w:t>Background</w:t>
      </w:r>
    </w:p>
    <w:p w14:paraId="175AEA8A" w14:textId="6DB7A705" w:rsidR="00391FE0" w:rsidRPr="004803FE" w:rsidRDefault="00391FE0" w:rsidP="001B305A">
      <w:pPr>
        <w:spacing w:after="240"/>
      </w:pPr>
      <w:r w:rsidRPr="004803FE">
        <w:t xml:space="preserve">There are currently four items related to the use of </w:t>
      </w:r>
      <w:r w:rsidR="001A58B9">
        <w:t>CMR</w:t>
      </w:r>
      <w:r w:rsidRPr="004803FE">
        <w:t xml:space="preserve"> to diagnose heart conditions listed on the MBS. Two relate to the investigation of vascular abnormalities in patients with a previous anaphylactic reaction to an iodinated contrast medium (MBS item numbers 63401 and 63407). </w:t>
      </w:r>
      <w:r>
        <w:t xml:space="preserve"> </w:t>
      </w:r>
      <w:r w:rsidRPr="004803FE">
        <w:t>The other two relate to the investigation and diagnosis of congenital heart or great vessel defects (MBS item number 63385), and the investigation of heart or great vessel tumours (MBS item number 63388).</w:t>
      </w:r>
    </w:p>
    <w:p w14:paraId="748957F4" w14:textId="2CAC6BFD" w:rsidR="007B32D1" w:rsidRPr="007B32D1" w:rsidRDefault="00391FE0" w:rsidP="001B305A">
      <w:pPr>
        <w:spacing w:after="240"/>
      </w:pPr>
      <w:r w:rsidRPr="004803FE">
        <w:t xml:space="preserve">There is currently limited funding provided by the Victorian Government to The Alfred Hospital for </w:t>
      </w:r>
      <w:r w:rsidR="001A58B9">
        <w:t>CMR</w:t>
      </w:r>
      <w:r w:rsidRPr="004803FE">
        <w:t xml:space="preserve"> investigations of CAD.</w:t>
      </w:r>
      <w:r>
        <w:t xml:space="preserve"> </w:t>
      </w:r>
      <w:r w:rsidRPr="004803FE">
        <w:t xml:space="preserve"> There may be other state-based public hospital arrangements for </w:t>
      </w:r>
      <w:r w:rsidR="001A58B9">
        <w:t>CMR</w:t>
      </w:r>
      <w:r w:rsidRPr="004803FE">
        <w:t xml:space="preserve">, but these arrangements are limited to public hospital inpatients. </w:t>
      </w:r>
      <w:r>
        <w:t xml:space="preserve"> </w:t>
      </w:r>
      <w:r w:rsidRPr="004803FE">
        <w:t xml:space="preserve">The applicant </w:t>
      </w:r>
      <w:r>
        <w:t>indicated</w:t>
      </w:r>
      <w:r w:rsidRPr="004803FE">
        <w:t xml:space="preserve"> that </w:t>
      </w:r>
      <w:r w:rsidR="001A58B9">
        <w:t>CMR</w:t>
      </w:r>
      <w:r w:rsidRPr="004803FE">
        <w:t xml:space="preserve"> for CAD is not currently covered by private health insurance. </w:t>
      </w:r>
      <w:r>
        <w:t xml:space="preserve"> </w:t>
      </w:r>
      <w:r w:rsidRPr="004803FE">
        <w:t xml:space="preserve">Private patients who utilise </w:t>
      </w:r>
      <w:r w:rsidR="001A58B9">
        <w:t>CMR</w:t>
      </w:r>
      <w:r w:rsidRPr="004803FE">
        <w:t xml:space="preserve"> services are therefore required to pay the full cost of the procedure. </w:t>
      </w:r>
      <w:r>
        <w:t xml:space="preserve"> </w:t>
      </w:r>
      <w:r w:rsidRPr="004803FE">
        <w:t xml:space="preserve">This is a major factor in current utilisation of </w:t>
      </w:r>
      <w:r w:rsidR="001A58B9">
        <w:t>CMR</w:t>
      </w:r>
      <w:r w:rsidRPr="004803FE">
        <w:t xml:space="preserve"> services beyond the current MBS items.</w:t>
      </w:r>
    </w:p>
    <w:p w14:paraId="2659A6BC" w14:textId="3179E755" w:rsidR="00BC1364" w:rsidRPr="00725B10" w:rsidRDefault="00BC1364" w:rsidP="00725B10">
      <w:pPr>
        <w:pStyle w:val="Heading1"/>
      </w:pPr>
      <w:r w:rsidRPr="00725B10">
        <w:t>Prerequisites to implementation of any funding advice</w:t>
      </w:r>
    </w:p>
    <w:p w14:paraId="585E545C" w14:textId="77777777" w:rsidR="0028661E" w:rsidRPr="004803FE" w:rsidRDefault="0028661E" w:rsidP="001B305A">
      <w:pPr>
        <w:autoSpaceDE w:val="0"/>
        <w:autoSpaceDN w:val="0"/>
        <w:adjustRightInd w:val="0"/>
        <w:spacing w:after="240"/>
        <w:rPr>
          <w:color w:val="000000"/>
          <w:u w:val="single"/>
        </w:rPr>
      </w:pPr>
      <w:r w:rsidRPr="004803FE">
        <w:rPr>
          <w:color w:val="000000"/>
          <w:u w:val="single"/>
        </w:rPr>
        <w:t>T</w:t>
      </w:r>
      <w:r>
        <w:rPr>
          <w:color w:val="000000"/>
          <w:u w:val="single"/>
        </w:rPr>
        <w:t xml:space="preserve">herapeutic </w:t>
      </w:r>
      <w:r w:rsidRPr="004803FE">
        <w:rPr>
          <w:color w:val="000000"/>
          <w:u w:val="single"/>
        </w:rPr>
        <w:t>G</w:t>
      </w:r>
      <w:r>
        <w:rPr>
          <w:color w:val="000000"/>
          <w:u w:val="single"/>
        </w:rPr>
        <w:t xml:space="preserve">oods </w:t>
      </w:r>
      <w:r w:rsidRPr="004803FE">
        <w:rPr>
          <w:color w:val="000000"/>
          <w:u w:val="single"/>
        </w:rPr>
        <w:t>A</w:t>
      </w:r>
      <w:r>
        <w:rPr>
          <w:color w:val="000000"/>
          <w:u w:val="single"/>
        </w:rPr>
        <w:t>dministration (TGA)</w:t>
      </w:r>
      <w:r w:rsidRPr="004803FE">
        <w:rPr>
          <w:color w:val="000000"/>
          <w:u w:val="single"/>
        </w:rPr>
        <w:t xml:space="preserve"> status</w:t>
      </w:r>
    </w:p>
    <w:p w14:paraId="1BF2B107" w14:textId="20444093" w:rsidR="0028661E" w:rsidRPr="001B305A" w:rsidRDefault="0028661E" w:rsidP="001B305A">
      <w:pPr>
        <w:spacing w:after="240"/>
      </w:pPr>
      <w:r w:rsidRPr="004803FE">
        <w:lastRenderedPageBreak/>
        <w:t xml:space="preserve">There are a large number of MRI devices included on the Australian Register of Therapeutic Goods (ARTG). </w:t>
      </w:r>
      <w:r>
        <w:t xml:space="preserve"> </w:t>
      </w:r>
      <w:r w:rsidRPr="004803FE">
        <w:t xml:space="preserve">For the purposes of ARTG classification, MRI machines are considered active medical devices for diagnosis. </w:t>
      </w:r>
      <w:r>
        <w:t xml:space="preserve"> T</w:t>
      </w:r>
      <w:r w:rsidRPr="004803FE">
        <w:t xml:space="preserve">he device is intended by the manufacturer to be used on a human being, either alone or in combination with another medical device, to supply information for the purpose of detecting, diagnosing, monitoring or treating physiological conditions, states of health, illness or congenital deformities. </w:t>
      </w:r>
      <w:r>
        <w:t xml:space="preserve"> </w:t>
      </w:r>
      <w:r w:rsidRPr="004803FE">
        <w:t xml:space="preserve">The classification of devices in this category varies according to the intended purpose of the device. </w:t>
      </w:r>
      <w:r>
        <w:t xml:space="preserve"> </w:t>
      </w:r>
      <w:r w:rsidRPr="004803FE">
        <w:t xml:space="preserve">MRI machines are Class </w:t>
      </w:r>
      <w:proofErr w:type="spellStart"/>
      <w:r w:rsidRPr="004803FE">
        <w:t>IIa</w:t>
      </w:r>
      <w:proofErr w:type="spellEnd"/>
      <w:r w:rsidRPr="004803FE">
        <w:t xml:space="preserve"> (low-medium risk) or Class </w:t>
      </w:r>
      <w:proofErr w:type="spellStart"/>
      <w:r w:rsidRPr="004803FE">
        <w:t>IIb</w:t>
      </w:r>
      <w:proofErr w:type="spellEnd"/>
      <w:r w:rsidRPr="004803FE">
        <w:t xml:space="preserve"> (medium-high risk) medical devices.</w:t>
      </w:r>
    </w:p>
    <w:p w14:paraId="487E28E4" w14:textId="77777777" w:rsidR="0028661E" w:rsidRPr="004803FE" w:rsidRDefault="0028661E" w:rsidP="001B305A">
      <w:pPr>
        <w:autoSpaceDE w:val="0"/>
        <w:autoSpaceDN w:val="0"/>
        <w:adjustRightInd w:val="0"/>
        <w:spacing w:after="240"/>
        <w:rPr>
          <w:color w:val="000000"/>
          <w:u w:val="single"/>
        </w:rPr>
      </w:pPr>
      <w:r w:rsidRPr="004803FE">
        <w:rPr>
          <w:color w:val="000000"/>
          <w:u w:val="single"/>
        </w:rPr>
        <w:t xml:space="preserve">Qualification necessary to perform </w:t>
      </w:r>
      <w:r>
        <w:rPr>
          <w:color w:val="000000"/>
          <w:u w:val="single"/>
        </w:rPr>
        <w:t>the p</w:t>
      </w:r>
      <w:r w:rsidRPr="004803FE">
        <w:rPr>
          <w:color w:val="000000"/>
          <w:u w:val="single"/>
        </w:rPr>
        <w:t xml:space="preserve">roposed </w:t>
      </w:r>
      <w:r>
        <w:rPr>
          <w:color w:val="000000"/>
          <w:u w:val="single"/>
        </w:rPr>
        <w:t>m</w:t>
      </w:r>
      <w:r w:rsidRPr="004803FE">
        <w:rPr>
          <w:color w:val="000000"/>
          <w:u w:val="single"/>
        </w:rPr>
        <w:t xml:space="preserve">edical </w:t>
      </w:r>
      <w:r>
        <w:rPr>
          <w:color w:val="000000"/>
          <w:u w:val="single"/>
        </w:rPr>
        <w:t>s</w:t>
      </w:r>
      <w:r w:rsidRPr="004803FE">
        <w:rPr>
          <w:color w:val="000000"/>
          <w:u w:val="single"/>
        </w:rPr>
        <w:t>ervice</w:t>
      </w:r>
    </w:p>
    <w:p w14:paraId="5E765620" w14:textId="21873CFF" w:rsidR="0028661E" w:rsidRPr="004803FE" w:rsidRDefault="0028661E" w:rsidP="001B305A">
      <w:pPr>
        <w:autoSpaceDE w:val="0"/>
        <w:autoSpaceDN w:val="0"/>
        <w:adjustRightInd w:val="0"/>
        <w:spacing w:after="240"/>
        <w:rPr>
          <w:color w:val="000000"/>
        </w:rPr>
      </w:pPr>
      <w:r w:rsidRPr="004803FE">
        <w:rPr>
          <w:color w:val="000000"/>
        </w:rPr>
        <w:t xml:space="preserve">It is the intention of the applicant that </w:t>
      </w:r>
      <w:r>
        <w:rPr>
          <w:color w:val="000000"/>
        </w:rPr>
        <w:t xml:space="preserve">both </w:t>
      </w:r>
      <w:r w:rsidRPr="004803FE">
        <w:rPr>
          <w:color w:val="000000"/>
        </w:rPr>
        <w:t xml:space="preserve">radiologists and cardiologists trained in </w:t>
      </w:r>
      <w:r w:rsidR="001A58B9">
        <w:rPr>
          <w:color w:val="000000"/>
        </w:rPr>
        <w:t>CMR</w:t>
      </w:r>
      <w:r w:rsidRPr="004803FE">
        <w:rPr>
          <w:color w:val="000000"/>
        </w:rPr>
        <w:t xml:space="preserve"> will be able to perform </w:t>
      </w:r>
      <w:r w:rsidR="001A58B9">
        <w:rPr>
          <w:color w:val="000000"/>
        </w:rPr>
        <w:t>CMR</w:t>
      </w:r>
      <w:r w:rsidRPr="004803FE">
        <w:rPr>
          <w:color w:val="000000"/>
        </w:rPr>
        <w:t xml:space="preserve"> services.  The level of specialist accreditation recommended </w:t>
      </w:r>
      <w:r>
        <w:rPr>
          <w:color w:val="000000"/>
        </w:rPr>
        <w:t xml:space="preserve">by the applicant </w:t>
      </w:r>
      <w:r w:rsidRPr="004803FE">
        <w:rPr>
          <w:color w:val="000000"/>
        </w:rPr>
        <w:t xml:space="preserve">for </w:t>
      </w:r>
      <w:r>
        <w:rPr>
          <w:color w:val="000000"/>
        </w:rPr>
        <w:t xml:space="preserve">performing </w:t>
      </w:r>
      <w:r w:rsidR="001A58B9">
        <w:rPr>
          <w:color w:val="000000"/>
        </w:rPr>
        <w:t>CMR</w:t>
      </w:r>
      <w:r w:rsidRPr="004803FE">
        <w:rPr>
          <w:color w:val="000000"/>
        </w:rPr>
        <w:t xml:space="preserve"> is equivalent to at least the Society for Cardiovascular Magnetic Resonance (SCMR) level 2 training.  The requirement for a minimum level of training for specialists eligible to provide </w:t>
      </w:r>
      <w:r w:rsidR="001A58B9">
        <w:rPr>
          <w:color w:val="000000"/>
        </w:rPr>
        <w:t>CMR</w:t>
      </w:r>
      <w:r w:rsidRPr="004803FE">
        <w:rPr>
          <w:color w:val="000000"/>
        </w:rPr>
        <w:t xml:space="preserve"> services is encouraged by the Department; however, this will have an impact on the initial availability of </w:t>
      </w:r>
      <w:r w:rsidR="001A58B9">
        <w:rPr>
          <w:color w:val="000000"/>
        </w:rPr>
        <w:t>CMR</w:t>
      </w:r>
      <w:r w:rsidRPr="004803FE">
        <w:rPr>
          <w:color w:val="000000"/>
        </w:rPr>
        <w:t xml:space="preserve"> services as it is presumed that few Australian radiologists or cardiologists have attained these qualifications to date. </w:t>
      </w:r>
    </w:p>
    <w:p w14:paraId="4352E80C" w14:textId="0746511E" w:rsidR="00BC1364" w:rsidRPr="001B305A" w:rsidRDefault="0028661E" w:rsidP="001B305A">
      <w:pPr>
        <w:autoSpaceDE w:val="0"/>
        <w:autoSpaceDN w:val="0"/>
        <w:adjustRightInd w:val="0"/>
        <w:spacing w:after="240"/>
        <w:rPr>
          <w:color w:val="000000"/>
        </w:rPr>
      </w:pPr>
      <w:r w:rsidRPr="004803FE">
        <w:rPr>
          <w:color w:val="000000"/>
        </w:rPr>
        <w:t xml:space="preserve">The Royal Australian and New Zealand College of Radiologists and the Cardiac Society of Australia and New Zealand are working together to develop the training requirements for specialists supervising and reporting </w:t>
      </w:r>
      <w:r w:rsidR="001A58B9">
        <w:rPr>
          <w:color w:val="000000"/>
        </w:rPr>
        <w:t>CMR</w:t>
      </w:r>
      <w:r w:rsidR="00A953A7">
        <w:rPr>
          <w:color w:val="000000"/>
        </w:rPr>
        <w:t>.</w:t>
      </w:r>
    </w:p>
    <w:p w14:paraId="44797710" w14:textId="1A8BFBC4" w:rsidR="00BC1364" w:rsidRPr="00725B10" w:rsidRDefault="00BC1364" w:rsidP="00725B10">
      <w:pPr>
        <w:pStyle w:val="Heading1"/>
      </w:pPr>
      <w:r w:rsidRPr="00725B10">
        <w:t>Proposal for public funding</w:t>
      </w:r>
    </w:p>
    <w:p w14:paraId="3CB5484B" w14:textId="77777777" w:rsidR="00BB3F32" w:rsidRDefault="009E17EB" w:rsidP="00BB3F32">
      <w:pPr>
        <w:spacing w:after="240"/>
      </w:pPr>
      <w:r w:rsidRPr="004803FE">
        <w:t>The proposed MBS item descriptor</w:t>
      </w:r>
      <w:r>
        <w:t>s are</w:t>
      </w:r>
      <w:r w:rsidRPr="004803FE">
        <w:t xml:space="preserve"> </w:t>
      </w:r>
      <w:r>
        <w:t xml:space="preserve">shown </w:t>
      </w:r>
      <w:r w:rsidRPr="004803FE">
        <w:t xml:space="preserve">in </w:t>
      </w:r>
      <w:r w:rsidRPr="004803FE">
        <w:fldChar w:fldCharType="begin"/>
      </w:r>
      <w:r w:rsidRPr="004803FE">
        <w:instrText xml:space="preserve"> REF _Ref430254307 \h  \* MERGEFORMAT </w:instrText>
      </w:r>
      <w:r w:rsidRPr="004803FE">
        <w:fldChar w:fldCharType="separate"/>
      </w:r>
      <w:r w:rsidR="00AB406F" w:rsidRPr="004803FE">
        <w:t xml:space="preserve">Table </w:t>
      </w:r>
      <w:r w:rsidR="00AB406F">
        <w:t>1</w:t>
      </w:r>
      <w:r w:rsidRPr="004803FE">
        <w:fldChar w:fldCharType="end"/>
      </w:r>
      <w:r w:rsidRPr="004803FE">
        <w:t>.</w:t>
      </w:r>
      <w:bookmarkStart w:id="0" w:name="_Ref430254307"/>
      <w:bookmarkStart w:id="1" w:name="_Toc399510779"/>
      <w:bookmarkStart w:id="2" w:name="_Toc436645222"/>
      <w:bookmarkStart w:id="3" w:name="_Toc439954530"/>
    </w:p>
    <w:p w14:paraId="7D62A056" w14:textId="11A34BAD" w:rsidR="009E17EB" w:rsidRPr="004803FE" w:rsidRDefault="009E17EB" w:rsidP="00BB3F32">
      <w:pPr>
        <w:spacing w:after="240"/>
      </w:pPr>
      <w:r w:rsidRPr="004803FE">
        <w:t xml:space="preserve">Table </w:t>
      </w:r>
      <w:r w:rsidR="003753F3">
        <w:fldChar w:fldCharType="begin"/>
      </w:r>
      <w:r w:rsidR="003753F3">
        <w:instrText xml:space="preserve"> SEQ Table \* ARABIC </w:instrText>
      </w:r>
      <w:r w:rsidR="003753F3">
        <w:fldChar w:fldCharType="separate"/>
      </w:r>
      <w:r w:rsidR="00AB406F">
        <w:t>1</w:t>
      </w:r>
      <w:r w:rsidR="003753F3">
        <w:fldChar w:fldCharType="end"/>
      </w:r>
      <w:bookmarkEnd w:id="0"/>
      <w:r w:rsidRPr="004803FE">
        <w:tab/>
        <w:t>Proposed MBS item descriptor</w:t>
      </w:r>
      <w:bookmarkEnd w:id="1"/>
      <w:bookmarkEnd w:id="2"/>
      <w:bookmarkEnd w:id="3"/>
      <w:r>
        <w:t>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Table 1. This table provides the proposed description of the requested Medicare Benefits Schedule item."/>
      </w:tblPr>
      <w:tblGrid>
        <w:gridCol w:w="9072"/>
      </w:tblGrid>
      <w:tr w:rsidR="009E17EB" w:rsidRPr="004803FE" w14:paraId="6FD2269F" w14:textId="77777777" w:rsidTr="006111E4">
        <w:trPr>
          <w:cantSplit/>
        </w:trPr>
        <w:tc>
          <w:tcPr>
            <w:tcW w:w="9072" w:type="dxa"/>
          </w:tcPr>
          <w:p w14:paraId="4BAE1115" w14:textId="77777777" w:rsidR="009E17EB" w:rsidRPr="004803FE" w:rsidRDefault="009E17EB" w:rsidP="001B305A">
            <w:pPr>
              <w:keepNext/>
              <w:spacing w:after="240"/>
              <w:jc w:val="right"/>
              <w:rPr>
                <w:b/>
                <w:sz w:val="20"/>
                <w:lang w:val="en-US" w:eastAsia="ja-JP"/>
              </w:rPr>
            </w:pPr>
            <w:r w:rsidRPr="004803FE">
              <w:rPr>
                <w:b/>
                <w:sz w:val="20"/>
                <w:lang w:val="en-US" w:eastAsia="ja-JP"/>
              </w:rPr>
              <w:t>Category 5 – Diagnostic Imaging Services</w:t>
            </w:r>
          </w:p>
        </w:tc>
      </w:tr>
      <w:tr w:rsidR="009E17EB" w:rsidRPr="004803FE" w14:paraId="4C207356" w14:textId="77777777" w:rsidTr="006111E4">
        <w:trPr>
          <w:cantSplit/>
          <w:trHeight w:val="1700"/>
        </w:trPr>
        <w:tc>
          <w:tcPr>
            <w:tcW w:w="9072" w:type="dxa"/>
          </w:tcPr>
          <w:p w14:paraId="6C20935A" w14:textId="77777777" w:rsidR="009E17EB" w:rsidRPr="004803FE" w:rsidRDefault="009E17EB" w:rsidP="001B305A">
            <w:pPr>
              <w:spacing w:after="240"/>
              <w:rPr>
                <w:b/>
                <w:sz w:val="20"/>
                <w:lang w:val="en-US" w:eastAsia="ja-JP"/>
              </w:rPr>
            </w:pPr>
            <w:r w:rsidRPr="004803FE">
              <w:rPr>
                <w:b/>
                <w:sz w:val="20"/>
                <w:lang w:val="en-US" w:eastAsia="ja-JP"/>
              </w:rPr>
              <w:t>MBS [item number to be assigned]</w:t>
            </w:r>
          </w:p>
          <w:p w14:paraId="38C1CB9F" w14:textId="77777777" w:rsidR="009E17EB" w:rsidRPr="004803FE" w:rsidRDefault="009E17EB" w:rsidP="001B305A">
            <w:pPr>
              <w:spacing w:after="240"/>
              <w:rPr>
                <w:sz w:val="20"/>
                <w:lang w:val="en-US" w:eastAsia="ja-JP"/>
              </w:rPr>
            </w:pPr>
            <w:r w:rsidRPr="004803FE">
              <w:rPr>
                <w:sz w:val="20"/>
                <w:lang w:val="en-US" w:eastAsia="ja-JP"/>
              </w:rPr>
              <w:t xml:space="preserve">NOTE: Benefits are payable for each service included by Subgroup 15 on one occasion only in any 12 month period </w:t>
            </w:r>
          </w:p>
          <w:p w14:paraId="7DAD6A33" w14:textId="77777777" w:rsidR="009E17EB" w:rsidRPr="004803FE" w:rsidRDefault="009E17EB" w:rsidP="001B305A">
            <w:pPr>
              <w:spacing w:after="240"/>
              <w:rPr>
                <w:sz w:val="20"/>
                <w:lang w:val="en-US" w:eastAsia="ja-JP"/>
              </w:rPr>
            </w:pPr>
            <w:r w:rsidRPr="004803FE">
              <w:rPr>
                <w:sz w:val="20"/>
                <w:lang w:val="en-US" w:eastAsia="ja-JP"/>
              </w:rPr>
              <w:t xml:space="preserve">MAGNETIC RESONANCE IMAGING performed under the professional supervision of an eligible provider at an eligible location where the patient is referred by a specialist or by a consultant physician and where the request for the scan specifically identifies the clinical indication for the scan - scan of the heart for: </w:t>
            </w:r>
          </w:p>
          <w:p w14:paraId="00D025C3" w14:textId="77777777" w:rsidR="009E17EB" w:rsidRPr="004803FE" w:rsidRDefault="009E17EB" w:rsidP="001B305A">
            <w:pPr>
              <w:spacing w:after="240"/>
              <w:ind w:left="318" w:hanging="318"/>
              <w:rPr>
                <w:sz w:val="20"/>
                <w:lang w:val="en-US" w:eastAsia="ja-JP"/>
              </w:rPr>
            </w:pPr>
            <w:r w:rsidRPr="004803FE">
              <w:rPr>
                <w:sz w:val="20"/>
                <w:lang w:val="en-US" w:eastAsia="ja-JP"/>
              </w:rPr>
              <w:t>(a)</w:t>
            </w:r>
            <w:r w:rsidRPr="004803FE">
              <w:rPr>
                <w:sz w:val="20"/>
                <w:lang w:val="en-US" w:eastAsia="ja-JP"/>
              </w:rPr>
              <w:tab/>
              <w:t>myocardial viability using delayed gadolinium enhancement (Contrast); and</w:t>
            </w:r>
          </w:p>
          <w:p w14:paraId="4C454770" w14:textId="77777777" w:rsidR="009E17EB" w:rsidRPr="004803FE" w:rsidRDefault="009E17EB" w:rsidP="001B305A">
            <w:pPr>
              <w:spacing w:after="240"/>
              <w:ind w:left="318" w:hanging="318"/>
              <w:rPr>
                <w:sz w:val="20"/>
                <w:lang w:val="en-US" w:eastAsia="ja-JP"/>
              </w:rPr>
            </w:pPr>
            <w:r w:rsidRPr="004803FE">
              <w:rPr>
                <w:sz w:val="20"/>
                <w:lang w:val="en-US" w:eastAsia="ja-JP"/>
              </w:rPr>
              <w:t>(b)</w:t>
            </w:r>
            <w:r w:rsidRPr="004803FE">
              <w:rPr>
                <w:sz w:val="20"/>
                <w:lang w:val="en-US" w:eastAsia="ja-JP"/>
              </w:rPr>
              <w:tab/>
              <w:t>stress myocardial perfusion (Contrast); and</w:t>
            </w:r>
          </w:p>
          <w:p w14:paraId="18D263DD" w14:textId="77777777" w:rsidR="009E17EB" w:rsidRPr="004803FE" w:rsidRDefault="009E17EB" w:rsidP="001B305A">
            <w:pPr>
              <w:spacing w:after="240"/>
              <w:ind w:left="318" w:hanging="318"/>
              <w:rPr>
                <w:sz w:val="20"/>
                <w:lang w:val="en-US" w:eastAsia="ja-JP"/>
              </w:rPr>
            </w:pPr>
            <w:r w:rsidRPr="004803FE">
              <w:rPr>
                <w:sz w:val="20"/>
                <w:lang w:val="en-US" w:eastAsia="ja-JP"/>
              </w:rPr>
              <w:t>(c)</w:t>
            </w:r>
            <w:r w:rsidRPr="004803FE">
              <w:rPr>
                <w:sz w:val="20"/>
                <w:lang w:val="en-US" w:eastAsia="ja-JP"/>
              </w:rPr>
              <w:tab/>
              <w:t>the request for the scan identifies that the patient presents with:</w:t>
            </w:r>
          </w:p>
          <w:p w14:paraId="5A4DE1DC" w14:textId="77777777" w:rsidR="009E17EB" w:rsidRPr="004803FE" w:rsidRDefault="009E17EB" w:rsidP="001B305A">
            <w:pPr>
              <w:spacing w:after="240"/>
              <w:ind w:left="743" w:hanging="318"/>
              <w:rPr>
                <w:sz w:val="20"/>
                <w:lang w:val="en-US" w:eastAsia="ja-JP"/>
              </w:rPr>
            </w:pPr>
            <w:r w:rsidRPr="004803FE">
              <w:rPr>
                <w:sz w:val="20"/>
                <w:lang w:val="en-US" w:eastAsia="ja-JP"/>
              </w:rPr>
              <w:t>(</w:t>
            </w:r>
            <w:proofErr w:type="spellStart"/>
            <w:r w:rsidRPr="004803FE">
              <w:rPr>
                <w:sz w:val="20"/>
                <w:lang w:val="en-US" w:eastAsia="ja-JP"/>
              </w:rPr>
              <w:t>i</w:t>
            </w:r>
            <w:proofErr w:type="spellEnd"/>
            <w:r w:rsidRPr="004803FE">
              <w:rPr>
                <w:sz w:val="20"/>
                <w:lang w:val="en-US" w:eastAsia="ja-JP"/>
              </w:rPr>
              <w:t>)</w:t>
            </w:r>
            <w:r w:rsidRPr="004803FE">
              <w:rPr>
                <w:sz w:val="20"/>
                <w:lang w:val="en-US" w:eastAsia="ja-JP"/>
              </w:rPr>
              <w:tab/>
            </w:r>
            <w:proofErr w:type="gramStart"/>
            <w:r w:rsidRPr="004803FE">
              <w:rPr>
                <w:sz w:val="20"/>
                <w:lang w:val="en-US" w:eastAsia="ja-JP"/>
              </w:rPr>
              <w:t>symptoms</w:t>
            </w:r>
            <w:proofErr w:type="gramEnd"/>
            <w:r w:rsidRPr="004803FE">
              <w:rPr>
                <w:sz w:val="20"/>
                <w:lang w:val="en-US" w:eastAsia="ja-JP"/>
              </w:rPr>
              <w:t xml:space="preserve"> consistent with stable </w:t>
            </w:r>
            <w:proofErr w:type="spellStart"/>
            <w:r w:rsidRPr="004803FE">
              <w:rPr>
                <w:sz w:val="20"/>
                <w:lang w:val="en-US" w:eastAsia="ja-JP"/>
              </w:rPr>
              <w:t>ischaemic</w:t>
            </w:r>
            <w:proofErr w:type="spellEnd"/>
            <w:r w:rsidRPr="004803FE">
              <w:rPr>
                <w:sz w:val="20"/>
                <w:lang w:val="en-US" w:eastAsia="ja-JP"/>
              </w:rPr>
              <w:t xml:space="preserve"> heart disease, with an intermediate pre-test probability of coronary artery disease.</w:t>
            </w:r>
          </w:p>
          <w:p w14:paraId="10C0B65B" w14:textId="29BB9EA5" w:rsidR="00A953A7" w:rsidRPr="004803FE" w:rsidRDefault="009E17EB" w:rsidP="001B305A">
            <w:pPr>
              <w:spacing w:after="240"/>
              <w:rPr>
                <w:sz w:val="20"/>
                <w:lang w:val="en-US" w:eastAsia="ja-JP"/>
              </w:rPr>
            </w:pPr>
            <w:r w:rsidRPr="004803FE">
              <w:rPr>
                <w:sz w:val="20"/>
                <w:lang w:val="en-US" w:eastAsia="ja-JP"/>
              </w:rPr>
              <w:t>Fee: $900 Benefit: 75% = $675; 85% = $765</w:t>
            </w:r>
          </w:p>
        </w:tc>
      </w:tr>
    </w:tbl>
    <w:p w14:paraId="2F53416F" w14:textId="7EE418C4" w:rsidR="00A953A7" w:rsidRDefault="00A953A7" w:rsidP="001B305A">
      <w:pPr>
        <w:spacing w:after="24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Table 1"/>
        <w:tblDescription w:val="This table provides the proposed description of the requested Medicare Benefits Schedule item."/>
      </w:tblPr>
      <w:tblGrid>
        <w:gridCol w:w="9072"/>
      </w:tblGrid>
      <w:tr w:rsidR="00A953A7" w:rsidRPr="004803FE" w14:paraId="7FF419AB" w14:textId="77777777" w:rsidTr="00DA7046">
        <w:trPr>
          <w:cantSplit/>
          <w:trHeight w:val="132"/>
        </w:trPr>
        <w:tc>
          <w:tcPr>
            <w:tcW w:w="9072" w:type="dxa"/>
          </w:tcPr>
          <w:p w14:paraId="3395413A" w14:textId="47CA0933" w:rsidR="00A953A7" w:rsidRPr="004803FE" w:rsidRDefault="00A953A7" w:rsidP="001B305A">
            <w:pPr>
              <w:spacing w:after="240"/>
              <w:jc w:val="right"/>
              <w:rPr>
                <w:b/>
                <w:sz w:val="20"/>
                <w:lang w:val="en-US" w:eastAsia="ja-JP"/>
              </w:rPr>
            </w:pPr>
            <w:r>
              <w:br w:type="page"/>
            </w:r>
            <w:r w:rsidRPr="004803FE">
              <w:rPr>
                <w:b/>
                <w:sz w:val="20"/>
                <w:lang w:val="en-US" w:eastAsia="ja-JP"/>
              </w:rPr>
              <w:t>Category 5 – Diagnostic Imaging Services</w:t>
            </w:r>
          </w:p>
        </w:tc>
      </w:tr>
      <w:tr w:rsidR="00A953A7" w:rsidRPr="004803FE" w14:paraId="6D9F3893" w14:textId="77777777" w:rsidTr="00DA7046">
        <w:trPr>
          <w:cantSplit/>
        </w:trPr>
        <w:tc>
          <w:tcPr>
            <w:tcW w:w="9072" w:type="dxa"/>
          </w:tcPr>
          <w:p w14:paraId="5289BFE3" w14:textId="77777777" w:rsidR="00A953A7" w:rsidRPr="004803FE" w:rsidRDefault="00A953A7" w:rsidP="001B305A">
            <w:pPr>
              <w:spacing w:after="240"/>
              <w:rPr>
                <w:b/>
                <w:sz w:val="20"/>
                <w:lang w:val="en-US" w:eastAsia="ja-JP"/>
              </w:rPr>
            </w:pPr>
            <w:r w:rsidRPr="004803FE">
              <w:rPr>
                <w:b/>
                <w:sz w:val="20"/>
                <w:lang w:val="en-US" w:eastAsia="ja-JP"/>
              </w:rPr>
              <w:lastRenderedPageBreak/>
              <w:t>MBS [item number to be assigned]</w:t>
            </w:r>
          </w:p>
          <w:p w14:paraId="09935098" w14:textId="77777777" w:rsidR="00A953A7" w:rsidRPr="004803FE" w:rsidRDefault="00A953A7" w:rsidP="001B305A">
            <w:pPr>
              <w:spacing w:after="240"/>
              <w:rPr>
                <w:sz w:val="20"/>
                <w:lang w:val="en-US" w:eastAsia="ja-JP"/>
              </w:rPr>
            </w:pPr>
            <w:r w:rsidRPr="004803FE">
              <w:rPr>
                <w:sz w:val="20"/>
                <w:lang w:val="en-US" w:eastAsia="ja-JP"/>
              </w:rPr>
              <w:t xml:space="preserve">NOTE: Benefits are payable for each service included by Subgroup 15 on one occasion only in any 12 month period </w:t>
            </w:r>
          </w:p>
          <w:p w14:paraId="7387849F" w14:textId="77777777" w:rsidR="00A953A7" w:rsidRPr="004803FE" w:rsidRDefault="00A953A7" w:rsidP="001B305A">
            <w:pPr>
              <w:spacing w:after="240"/>
              <w:rPr>
                <w:sz w:val="20"/>
                <w:lang w:val="en-US" w:eastAsia="ja-JP"/>
              </w:rPr>
            </w:pPr>
            <w:r w:rsidRPr="004803FE">
              <w:rPr>
                <w:sz w:val="20"/>
                <w:lang w:val="en-US" w:eastAsia="ja-JP"/>
              </w:rPr>
              <w:t xml:space="preserve">MAGNETIC RESONANCE IMAGING performed under the professional supervision of an eligible provider at an eligible location where the patient is referred by a specialist or by a consultant physician and where the request for the scan specifically identifies the clinical indication for the scan - scan of the heart for: </w:t>
            </w:r>
          </w:p>
          <w:p w14:paraId="30F7CAD0" w14:textId="77777777" w:rsidR="00A953A7" w:rsidRPr="004803FE" w:rsidRDefault="00A953A7" w:rsidP="001B305A">
            <w:pPr>
              <w:spacing w:after="240"/>
              <w:ind w:left="318" w:hanging="318"/>
              <w:rPr>
                <w:sz w:val="20"/>
                <w:lang w:val="en-US" w:eastAsia="ja-JP"/>
              </w:rPr>
            </w:pPr>
            <w:r w:rsidRPr="004803FE">
              <w:rPr>
                <w:sz w:val="20"/>
                <w:lang w:val="en-US" w:eastAsia="ja-JP"/>
              </w:rPr>
              <w:t>(a)</w:t>
            </w:r>
            <w:r w:rsidRPr="004803FE">
              <w:rPr>
                <w:sz w:val="20"/>
                <w:lang w:val="en-US" w:eastAsia="ja-JP"/>
              </w:rPr>
              <w:tab/>
              <w:t>myocardial viability using delayed gadolinium enhancement (Contrast); and</w:t>
            </w:r>
          </w:p>
          <w:p w14:paraId="2D2C5B90" w14:textId="77777777" w:rsidR="00A953A7" w:rsidRPr="004803FE" w:rsidRDefault="00A953A7" w:rsidP="001B305A">
            <w:pPr>
              <w:spacing w:after="240"/>
              <w:ind w:left="318" w:hanging="318"/>
              <w:rPr>
                <w:sz w:val="20"/>
                <w:lang w:val="en-US" w:eastAsia="ja-JP"/>
              </w:rPr>
            </w:pPr>
            <w:r w:rsidRPr="004803FE">
              <w:rPr>
                <w:sz w:val="20"/>
                <w:lang w:val="en-US" w:eastAsia="ja-JP"/>
              </w:rPr>
              <w:t>(b)</w:t>
            </w:r>
            <w:r w:rsidRPr="004803FE">
              <w:rPr>
                <w:sz w:val="20"/>
                <w:lang w:val="en-US" w:eastAsia="ja-JP"/>
              </w:rPr>
              <w:tab/>
              <w:t xml:space="preserve">the request for the scan identifies that an adult patient being considered for </w:t>
            </w:r>
            <w:proofErr w:type="spellStart"/>
            <w:r w:rsidRPr="004803FE">
              <w:rPr>
                <w:sz w:val="20"/>
                <w:lang w:val="en-US" w:eastAsia="ja-JP"/>
              </w:rPr>
              <w:t>revascularisation</w:t>
            </w:r>
            <w:proofErr w:type="spellEnd"/>
            <w:r w:rsidRPr="004803FE">
              <w:rPr>
                <w:sz w:val="20"/>
                <w:lang w:val="en-US" w:eastAsia="ja-JP"/>
              </w:rPr>
              <w:t xml:space="preserve"> presents with:</w:t>
            </w:r>
          </w:p>
          <w:p w14:paraId="19C18087" w14:textId="77777777" w:rsidR="00A953A7" w:rsidRPr="004803FE" w:rsidRDefault="00A953A7" w:rsidP="001B305A">
            <w:pPr>
              <w:spacing w:after="240"/>
              <w:ind w:left="743" w:hanging="318"/>
              <w:rPr>
                <w:sz w:val="20"/>
                <w:lang w:val="en-US" w:eastAsia="ja-JP"/>
              </w:rPr>
            </w:pPr>
            <w:r w:rsidRPr="004803FE">
              <w:rPr>
                <w:sz w:val="20"/>
                <w:lang w:val="en-US" w:eastAsia="ja-JP"/>
              </w:rPr>
              <w:t>(</w:t>
            </w:r>
            <w:proofErr w:type="spellStart"/>
            <w:r w:rsidRPr="004803FE">
              <w:rPr>
                <w:sz w:val="20"/>
                <w:lang w:val="en-US" w:eastAsia="ja-JP"/>
              </w:rPr>
              <w:t>i</w:t>
            </w:r>
            <w:proofErr w:type="spellEnd"/>
            <w:r w:rsidRPr="004803FE">
              <w:rPr>
                <w:sz w:val="20"/>
                <w:lang w:val="en-US" w:eastAsia="ja-JP"/>
              </w:rPr>
              <w:t>)</w:t>
            </w:r>
            <w:r w:rsidRPr="004803FE">
              <w:rPr>
                <w:sz w:val="20"/>
                <w:lang w:val="en-US" w:eastAsia="ja-JP"/>
              </w:rPr>
              <w:tab/>
            </w:r>
            <w:proofErr w:type="gramStart"/>
            <w:r w:rsidRPr="004803FE">
              <w:rPr>
                <w:sz w:val="20"/>
                <w:lang w:val="en-US" w:eastAsia="ja-JP"/>
              </w:rPr>
              <w:t>an</w:t>
            </w:r>
            <w:proofErr w:type="gramEnd"/>
            <w:r w:rsidRPr="004803FE">
              <w:rPr>
                <w:sz w:val="20"/>
                <w:lang w:val="en-US" w:eastAsia="ja-JP"/>
              </w:rPr>
              <w:t xml:space="preserve"> existing diagnosis of significant CAD, a history of </w:t>
            </w:r>
            <w:proofErr w:type="spellStart"/>
            <w:r w:rsidRPr="004803FE">
              <w:rPr>
                <w:sz w:val="20"/>
                <w:lang w:val="en-US" w:eastAsia="ja-JP"/>
              </w:rPr>
              <w:t>ischaemic</w:t>
            </w:r>
            <w:proofErr w:type="spellEnd"/>
            <w:r w:rsidRPr="004803FE">
              <w:rPr>
                <w:sz w:val="20"/>
                <w:lang w:val="en-US" w:eastAsia="ja-JP"/>
              </w:rPr>
              <w:t xml:space="preserve"> heart disease and impaired left ventricular function.</w:t>
            </w:r>
          </w:p>
          <w:p w14:paraId="2F6C6D05" w14:textId="77777777" w:rsidR="00A953A7" w:rsidRPr="004803FE" w:rsidRDefault="00A953A7" w:rsidP="001B305A">
            <w:pPr>
              <w:spacing w:after="240"/>
              <w:rPr>
                <w:sz w:val="20"/>
                <w:lang w:val="en-US" w:eastAsia="ja-JP"/>
              </w:rPr>
            </w:pPr>
            <w:r w:rsidRPr="004803FE">
              <w:rPr>
                <w:sz w:val="20"/>
                <w:lang w:val="en-US" w:eastAsia="ja-JP"/>
              </w:rPr>
              <w:t>Fee: $700 Benefit: 75% = $525; 85% = $595</w:t>
            </w:r>
          </w:p>
        </w:tc>
      </w:tr>
    </w:tbl>
    <w:p w14:paraId="71C6065C" w14:textId="00C853EA" w:rsidR="00893C38" w:rsidRDefault="00C11DE2" w:rsidP="001B305A">
      <w:pPr>
        <w:spacing w:before="240" w:after="240"/>
      </w:pPr>
      <w:r w:rsidRPr="004803FE">
        <w:t xml:space="preserve">The </w:t>
      </w:r>
      <w:r w:rsidR="00BE76AF">
        <w:t>application</w:t>
      </w:r>
      <w:r w:rsidRPr="004803FE">
        <w:t xml:space="preserve"> indicated that </w:t>
      </w:r>
      <w:r w:rsidR="0071347B">
        <w:t xml:space="preserve">pharmacologic </w:t>
      </w:r>
      <w:r w:rsidR="001D5AF1">
        <w:t xml:space="preserve">SP-CMR </w:t>
      </w:r>
      <w:r w:rsidR="0071347B">
        <w:t xml:space="preserve">with LGE </w:t>
      </w:r>
      <w:r w:rsidRPr="004803FE">
        <w:t xml:space="preserve">is a more complicated technique than </w:t>
      </w:r>
      <w:r w:rsidR="0071347B">
        <w:t xml:space="preserve">rest </w:t>
      </w:r>
      <w:r w:rsidRPr="004803FE">
        <w:t>myocardial viability imaging</w:t>
      </w:r>
      <w:r w:rsidR="0071347B">
        <w:t xml:space="preserve"> with LGE</w:t>
      </w:r>
      <w:r w:rsidRPr="004803FE">
        <w:t>, and therefore should attract a higher fee to cover the additional time and resources required to perform the scans.</w:t>
      </w:r>
      <w:r>
        <w:t xml:space="preserve"> </w:t>
      </w:r>
      <w:r w:rsidRPr="004803FE">
        <w:t xml:space="preserve"> Feedback from H</w:t>
      </w:r>
      <w:r w:rsidR="00885193">
        <w:t xml:space="preserve">ealth </w:t>
      </w:r>
      <w:r w:rsidRPr="004803FE">
        <w:t>E</w:t>
      </w:r>
      <w:r w:rsidR="00885193">
        <w:t xml:space="preserve">xpert </w:t>
      </w:r>
      <w:r w:rsidRPr="004803FE">
        <w:t>S</w:t>
      </w:r>
      <w:r w:rsidR="00885193">
        <w:t xml:space="preserve">tanding </w:t>
      </w:r>
      <w:r w:rsidRPr="004803FE">
        <w:t>P</w:t>
      </w:r>
      <w:r w:rsidR="00885193">
        <w:t>anel (HESP)</w:t>
      </w:r>
      <w:r w:rsidRPr="004803FE">
        <w:t xml:space="preserve"> indicated that</w:t>
      </w:r>
      <w:r>
        <w:t xml:space="preserve"> </w:t>
      </w:r>
      <w:r w:rsidR="001D5AF1">
        <w:t>SP-</w:t>
      </w:r>
      <w:r w:rsidR="001A58B9">
        <w:t>CMR</w:t>
      </w:r>
      <w:r w:rsidRPr="004803FE">
        <w:t xml:space="preserve"> requires the use of a greater amount of the contrast agent compared with myocardial viability imaging, as well as an infusion of the pharmacological stress agent. </w:t>
      </w:r>
      <w:r>
        <w:t xml:space="preserve"> </w:t>
      </w:r>
      <w:r w:rsidRPr="004803FE">
        <w:t>These factors are reflected in the proposed fee for each item.</w:t>
      </w:r>
    </w:p>
    <w:p w14:paraId="6E650975" w14:textId="66E1D57F" w:rsidR="00893C38" w:rsidRDefault="00893C38" w:rsidP="001B305A">
      <w:pPr>
        <w:spacing w:after="240"/>
      </w:pPr>
      <w:r w:rsidRPr="004803FE">
        <w:t>The total dose of contrast agent required is dependent on the gadolinium</w:t>
      </w:r>
      <w:r w:rsidR="001D5AF1">
        <w:t xml:space="preserve"> chelate</w:t>
      </w:r>
      <w:r w:rsidRPr="004803FE">
        <w:t xml:space="preserve"> used and the weight of the patient. </w:t>
      </w:r>
      <w:r>
        <w:t xml:space="preserve"> </w:t>
      </w:r>
      <w:r w:rsidRPr="004803FE">
        <w:t>The applicant suggested that the volume of contrast agent required for myocardial stress perfusion and/or viability testing is greater than for non-</w:t>
      </w:r>
      <w:r w:rsidR="001A58B9">
        <w:t>CMR</w:t>
      </w:r>
      <w:r w:rsidRPr="004803FE">
        <w:t xml:space="preserve"> and magnetic resonance angiography applications, which is covered under MBS item number 63491. </w:t>
      </w:r>
      <w:r>
        <w:t xml:space="preserve"> </w:t>
      </w:r>
      <w:r w:rsidRPr="004803FE">
        <w:t xml:space="preserve">Therefore, the current MBS item is unlikely to offset the additional cost of the proposed service. </w:t>
      </w:r>
      <w:r>
        <w:t xml:space="preserve"> </w:t>
      </w:r>
      <w:r w:rsidRPr="004803FE">
        <w:t xml:space="preserve">In gadolinium-contraindicated patients, the </w:t>
      </w:r>
      <w:r w:rsidR="0071347B">
        <w:t>ability to detect</w:t>
      </w:r>
      <w:r w:rsidRPr="004803FE">
        <w:t xml:space="preserve"> diseases through tissue characterisation would be </w:t>
      </w:r>
      <w:r w:rsidR="0071347B">
        <w:t>compromised</w:t>
      </w:r>
      <w:r w:rsidRPr="004803FE">
        <w:t>.</w:t>
      </w:r>
    </w:p>
    <w:p w14:paraId="268D8495" w14:textId="1A9F2882" w:rsidR="0071347B" w:rsidRDefault="00C11DE2" w:rsidP="001B305A">
      <w:pPr>
        <w:spacing w:after="240"/>
      </w:pPr>
      <w:r w:rsidRPr="004803FE">
        <w:t xml:space="preserve">The application requested that new MBS items be made available via specialist referral only. </w:t>
      </w:r>
      <w:r>
        <w:t xml:space="preserve"> </w:t>
      </w:r>
      <w:r w:rsidR="003E195F">
        <w:t>G</w:t>
      </w:r>
      <w:r>
        <w:t xml:space="preserve">uidance </w:t>
      </w:r>
      <w:r w:rsidR="003E195F">
        <w:t xml:space="preserve">from the PICO Advisory Subcommittee (PASC) </w:t>
      </w:r>
      <w:r>
        <w:t>indicated</w:t>
      </w:r>
      <w:r w:rsidRPr="004803FE">
        <w:t xml:space="preserve"> that, as evidence emerges, the first proposed MBS item may need to be revised to allow for GP referral, as </w:t>
      </w:r>
      <w:r w:rsidR="001A58B9">
        <w:t>CMR</w:t>
      </w:r>
      <w:r w:rsidRPr="004803FE">
        <w:t xml:space="preserve"> may act as a replacement for current GP-ordered tests for CAD.</w:t>
      </w:r>
    </w:p>
    <w:p w14:paraId="5FCF14E3" w14:textId="442DADC6" w:rsidR="00BC1364" w:rsidRPr="001B305A" w:rsidRDefault="00C11DE2" w:rsidP="001B305A">
      <w:pPr>
        <w:spacing w:after="240"/>
      </w:pPr>
      <w:r w:rsidRPr="004803FE">
        <w:t>The applicant recommend</w:t>
      </w:r>
      <w:r w:rsidR="00893C38">
        <w:t>ed</w:t>
      </w:r>
      <w:r w:rsidRPr="004803FE">
        <w:t xml:space="preserve"> that the condition of ‘exercise and/or electrocardiogram (ECG) stress testing unfeasible’ not be used to limit this population for two reasons. </w:t>
      </w:r>
      <w:r>
        <w:t xml:space="preserve"> </w:t>
      </w:r>
      <w:r w:rsidRPr="004803FE">
        <w:t xml:space="preserve">First, there are patients in whom ECG will report a high proportion of false positive results, and in whom </w:t>
      </w:r>
      <w:r w:rsidR="001A58B9">
        <w:t>CMR</w:t>
      </w:r>
      <w:r w:rsidRPr="004803FE">
        <w:t xml:space="preserve"> is superior regardless of the feasibility of exercise or ECG stress testing</w:t>
      </w:r>
      <w:r>
        <w:t>, and se</w:t>
      </w:r>
      <w:r w:rsidRPr="004803FE">
        <w:t>cond, the MBS items for the comparator tests are not limited in this way.</w:t>
      </w:r>
    </w:p>
    <w:p w14:paraId="77E0D6D5" w14:textId="49B3B28E" w:rsidR="00BC1364" w:rsidRPr="00725B10" w:rsidRDefault="00BC1364" w:rsidP="00725B10">
      <w:pPr>
        <w:pStyle w:val="Heading1"/>
      </w:pPr>
      <w:r w:rsidRPr="00725B10">
        <w:t xml:space="preserve">Summary of </w:t>
      </w:r>
      <w:r w:rsidR="003D7F29" w:rsidRPr="00725B10">
        <w:t>Public Consultation</w:t>
      </w:r>
      <w:r w:rsidRPr="00725B10">
        <w:t xml:space="preserve"> Feedback</w:t>
      </w:r>
      <w:r w:rsidR="003D7F29" w:rsidRPr="00725B10">
        <w:t>/Consumer Issues</w:t>
      </w:r>
    </w:p>
    <w:p w14:paraId="6B165F4F" w14:textId="7DCD4544" w:rsidR="00893C38" w:rsidRPr="004803FE" w:rsidRDefault="00893C38" w:rsidP="001B305A">
      <w:pPr>
        <w:spacing w:after="240"/>
        <w:rPr>
          <w:szCs w:val="24"/>
        </w:rPr>
      </w:pPr>
      <w:r w:rsidRPr="004803FE">
        <w:rPr>
          <w:szCs w:val="24"/>
        </w:rPr>
        <w:t>The PASC received one response from a peak body and three responses from</w:t>
      </w:r>
      <w:r>
        <w:rPr>
          <w:szCs w:val="24"/>
        </w:rPr>
        <w:t xml:space="preserve"> o</w:t>
      </w:r>
      <w:r w:rsidRPr="004803FE">
        <w:rPr>
          <w:szCs w:val="24"/>
        </w:rPr>
        <w:t>rganisations and specialists.</w:t>
      </w:r>
    </w:p>
    <w:p w14:paraId="54533902" w14:textId="77777777" w:rsidR="00893C38" w:rsidRPr="004803FE" w:rsidRDefault="00893C38" w:rsidP="001B305A">
      <w:pPr>
        <w:spacing w:after="240"/>
        <w:rPr>
          <w:szCs w:val="24"/>
        </w:rPr>
      </w:pPr>
      <w:r w:rsidRPr="004803FE">
        <w:rPr>
          <w:szCs w:val="24"/>
        </w:rPr>
        <w:t>Consultation feedback for the protocol was positive.  Issues raised in the responses were:</w:t>
      </w:r>
    </w:p>
    <w:p w14:paraId="17BEDD5E" w14:textId="77777777" w:rsidR="00893C38" w:rsidRPr="004803FE" w:rsidRDefault="00893C38" w:rsidP="001B305A">
      <w:pPr>
        <w:pStyle w:val="ListParagraph"/>
        <w:numPr>
          <w:ilvl w:val="0"/>
          <w:numId w:val="26"/>
        </w:numPr>
        <w:spacing w:after="240"/>
        <w:ind w:left="714" w:hanging="357"/>
        <w:rPr>
          <w:szCs w:val="24"/>
        </w:rPr>
      </w:pPr>
      <w:r w:rsidRPr="004803FE">
        <w:rPr>
          <w:szCs w:val="24"/>
        </w:rPr>
        <w:t xml:space="preserve">The proposed population should be expanded to include low to intermediate risk patient groups to remove the need for multiple tests. </w:t>
      </w:r>
    </w:p>
    <w:p w14:paraId="103F183F" w14:textId="77777777" w:rsidR="00893C38" w:rsidRPr="004803FE" w:rsidRDefault="00893C38" w:rsidP="001B305A">
      <w:pPr>
        <w:pStyle w:val="ListParagraph"/>
        <w:numPr>
          <w:ilvl w:val="0"/>
          <w:numId w:val="26"/>
        </w:numPr>
        <w:spacing w:after="240"/>
        <w:ind w:left="714" w:hanging="357"/>
        <w:rPr>
          <w:szCs w:val="24"/>
        </w:rPr>
      </w:pPr>
      <w:r w:rsidRPr="004803FE">
        <w:rPr>
          <w:szCs w:val="24"/>
        </w:rPr>
        <w:lastRenderedPageBreak/>
        <w:t xml:space="preserve">The </w:t>
      </w:r>
      <w:r>
        <w:rPr>
          <w:szCs w:val="24"/>
        </w:rPr>
        <w:t>P</w:t>
      </w:r>
      <w:r w:rsidRPr="004803FE">
        <w:rPr>
          <w:szCs w:val="24"/>
        </w:rPr>
        <w:t>rotocol states that specialist referral is required for the procedure due to its complexity, specialist understanding of its uses and limitations, and the interpretation of image scans.  The inclusion of General Practitioner referral for the procedure would assist patients to receive the appropriate imaging study in the first instance.</w:t>
      </w:r>
    </w:p>
    <w:p w14:paraId="5F91EC19" w14:textId="77777777" w:rsidR="00893C38" w:rsidRPr="004803FE" w:rsidRDefault="00893C38" w:rsidP="001B305A">
      <w:pPr>
        <w:pStyle w:val="ListParagraph"/>
        <w:numPr>
          <w:ilvl w:val="0"/>
          <w:numId w:val="26"/>
        </w:numPr>
        <w:spacing w:after="240"/>
        <w:ind w:left="714" w:hanging="357"/>
        <w:rPr>
          <w:szCs w:val="24"/>
        </w:rPr>
      </w:pPr>
      <w:r w:rsidRPr="004803FE">
        <w:rPr>
          <w:szCs w:val="24"/>
        </w:rPr>
        <w:t>The proposed MBS item fees are below the current cost of the procedure and should be increased to $1,100-$1,200.</w:t>
      </w:r>
    </w:p>
    <w:p w14:paraId="3F3117EF" w14:textId="7505E273" w:rsidR="00BC1364" w:rsidRPr="001B305A" w:rsidRDefault="00893C38" w:rsidP="001B305A">
      <w:pPr>
        <w:pStyle w:val="ListParagraph"/>
        <w:numPr>
          <w:ilvl w:val="0"/>
          <w:numId w:val="26"/>
        </w:numPr>
        <w:spacing w:after="240"/>
        <w:ind w:left="714" w:hanging="357"/>
        <w:rPr>
          <w:szCs w:val="24"/>
        </w:rPr>
      </w:pPr>
      <w:r w:rsidRPr="004803FE">
        <w:rPr>
          <w:szCs w:val="24"/>
        </w:rPr>
        <w:t>Patient access to the procedure may be limited due to difficulty in accessing MRI</w:t>
      </w:r>
      <w:r>
        <w:rPr>
          <w:szCs w:val="24"/>
        </w:rPr>
        <w:t xml:space="preserve"> that has Medicare eligibility</w:t>
      </w:r>
      <w:r w:rsidRPr="004803FE">
        <w:rPr>
          <w:szCs w:val="24"/>
        </w:rPr>
        <w:t>.</w:t>
      </w:r>
    </w:p>
    <w:p w14:paraId="596FFC12" w14:textId="77777777" w:rsidR="00205E85" w:rsidRPr="00725B10" w:rsidRDefault="00205E85" w:rsidP="00725B10">
      <w:pPr>
        <w:pStyle w:val="Heading2"/>
      </w:pPr>
      <w:r w:rsidRPr="00725B10">
        <w:t>Consumer impact summary</w:t>
      </w:r>
    </w:p>
    <w:p w14:paraId="38262CFC" w14:textId="77777777" w:rsidR="00205E85" w:rsidRPr="004803FE" w:rsidRDefault="00205E85" w:rsidP="001B305A">
      <w:pPr>
        <w:spacing w:after="240"/>
      </w:pPr>
      <w:r w:rsidRPr="004803FE">
        <w:t>The main issues arising from the public consultation period in November 2014 were:</w:t>
      </w:r>
    </w:p>
    <w:p w14:paraId="2B988F59" w14:textId="77777777" w:rsidR="00205E85" w:rsidRPr="004803FE" w:rsidRDefault="00205E85" w:rsidP="001B305A">
      <w:pPr>
        <w:numPr>
          <w:ilvl w:val="0"/>
          <w:numId w:val="28"/>
        </w:numPr>
        <w:spacing w:after="240"/>
        <w:ind w:left="851" w:hanging="567"/>
      </w:pPr>
      <w:r w:rsidRPr="004803FE">
        <w:t>Patient access:</w:t>
      </w:r>
    </w:p>
    <w:p w14:paraId="16C00DF8" w14:textId="77777777" w:rsidR="00205E85" w:rsidRPr="004803FE" w:rsidRDefault="00205E85" w:rsidP="001B305A">
      <w:pPr>
        <w:numPr>
          <w:ilvl w:val="4"/>
          <w:numId w:val="29"/>
        </w:numPr>
        <w:spacing w:after="240"/>
        <w:ind w:left="1418" w:hanging="567"/>
      </w:pPr>
      <w:r w:rsidRPr="004803FE">
        <w:t>There are currently long waiting times for CMR within public hospitals due to the high demand for MRI from other specialties, such as orthopaedics and neurology;</w:t>
      </w:r>
    </w:p>
    <w:p w14:paraId="60E4A541" w14:textId="77777777" w:rsidR="00205E85" w:rsidRPr="004803FE" w:rsidRDefault="00205E85" w:rsidP="001B305A">
      <w:pPr>
        <w:numPr>
          <w:ilvl w:val="4"/>
          <w:numId w:val="29"/>
        </w:numPr>
        <w:spacing w:after="240"/>
        <w:ind w:left="1418" w:hanging="567"/>
      </w:pPr>
      <w:r w:rsidRPr="004803FE">
        <w:t xml:space="preserve">In the private diagnostic imaging environment, access for CMR is extremely limited due to high demand in other areas and the time required </w:t>
      </w:r>
      <w:proofErr w:type="gramStart"/>
      <w:r w:rsidRPr="004803FE">
        <w:t>to undertake</w:t>
      </w:r>
      <w:proofErr w:type="gramEnd"/>
      <w:r w:rsidRPr="004803FE">
        <w:t xml:space="preserve"> each CMR (45–60 minutes per scan).</w:t>
      </w:r>
    </w:p>
    <w:p w14:paraId="3EA4975D" w14:textId="77777777" w:rsidR="00205E85" w:rsidRPr="004803FE" w:rsidRDefault="00205E85" w:rsidP="001B305A">
      <w:pPr>
        <w:numPr>
          <w:ilvl w:val="0"/>
          <w:numId w:val="28"/>
        </w:numPr>
        <w:spacing w:after="240"/>
        <w:ind w:left="851" w:hanging="567"/>
      </w:pPr>
      <w:r w:rsidRPr="004803FE">
        <w:t>Performing CMR and interpreting CMR scans:</w:t>
      </w:r>
    </w:p>
    <w:p w14:paraId="4B4FA214" w14:textId="77777777" w:rsidR="00205E85" w:rsidRPr="004803FE" w:rsidRDefault="00205E85" w:rsidP="001B305A">
      <w:pPr>
        <w:numPr>
          <w:ilvl w:val="4"/>
          <w:numId w:val="29"/>
        </w:numPr>
        <w:spacing w:after="240"/>
        <w:ind w:left="1418" w:hanging="567"/>
      </w:pPr>
      <w:r w:rsidRPr="004803FE">
        <w:t>Due to the complexity and experience necessary, there is a wide gap in experience/knowledge in performing and reporting CMR to a high level.</w:t>
      </w:r>
    </w:p>
    <w:p w14:paraId="4909A432" w14:textId="77777777" w:rsidR="00205E85" w:rsidRPr="004803FE" w:rsidRDefault="00205E85" w:rsidP="001B305A">
      <w:pPr>
        <w:numPr>
          <w:ilvl w:val="0"/>
          <w:numId w:val="28"/>
        </w:numPr>
        <w:spacing w:after="240"/>
        <w:ind w:left="851" w:hanging="567"/>
      </w:pPr>
      <w:r w:rsidRPr="004803FE">
        <w:t>The proposed MBS fee:</w:t>
      </w:r>
    </w:p>
    <w:p w14:paraId="4715CBD5" w14:textId="5AD26B9F" w:rsidR="00205E85" w:rsidRPr="001B305A" w:rsidRDefault="00205E85" w:rsidP="001B305A">
      <w:pPr>
        <w:numPr>
          <w:ilvl w:val="4"/>
          <w:numId w:val="29"/>
        </w:numPr>
        <w:spacing w:after="240"/>
        <w:ind w:left="1418" w:hanging="567"/>
      </w:pPr>
      <w:r w:rsidRPr="004803FE">
        <w:t xml:space="preserve">$900 for MBS item 1 and $700 for MBS item 2 are less than the costs of performing the CMR investigation and will require the patient to pay a significant gap. </w:t>
      </w:r>
      <w:r>
        <w:t xml:space="preserve"> </w:t>
      </w:r>
      <w:r w:rsidRPr="004803FE">
        <w:t>A fee of $1,100–1,200 would be more appropriate.</w:t>
      </w:r>
    </w:p>
    <w:p w14:paraId="7A27FA4F" w14:textId="1E571C50" w:rsidR="00BC1364" w:rsidRPr="00725B10" w:rsidRDefault="00BC1364" w:rsidP="00725B10">
      <w:pPr>
        <w:pStyle w:val="Heading1"/>
      </w:pPr>
      <w:r w:rsidRPr="00725B10">
        <w:t>Proposed intervention’s place in clinical management</w:t>
      </w:r>
    </w:p>
    <w:p w14:paraId="13B5F888" w14:textId="5B7182B8" w:rsidR="00BC1364" w:rsidRPr="001B305A" w:rsidRDefault="001A58B9" w:rsidP="001B305A">
      <w:pPr>
        <w:tabs>
          <w:tab w:val="left" w:pos="720"/>
          <w:tab w:val="left" w:pos="1140"/>
        </w:tabs>
        <w:spacing w:after="240"/>
        <w:rPr>
          <w:color w:val="000000"/>
          <w:szCs w:val="18"/>
          <w:shd w:val="clear" w:color="auto" w:fill="FFFFFF"/>
        </w:rPr>
      </w:pPr>
      <w:r>
        <w:rPr>
          <w:color w:val="000000"/>
          <w:szCs w:val="18"/>
          <w:shd w:val="clear" w:color="auto" w:fill="FFFFFF"/>
        </w:rPr>
        <w:t>CMR</w:t>
      </w:r>
      <w:r w:rsidR="00885193">
        <w:rPr>
          <w:color w:val="000000"/>
          <w:szCs w:val="18"/>
          <w:shd w:val="clear" w:color="auto" w:fill="FFFFFF"/>
        </w:rPr>
        <w:t xml:space="preserve"> image</w:t>
      </w:r>
      <w:r w:rsidR="001D5AF1">
        <w:rPr>
          <w:color w:val="000000"/>
          <w:szCs w:val="18"/>
          <w:shd w:val="clear" w:color="auto" w:fill="FFFFFF"/>
        </w:rPr>
        <w:t>s</w:t>
      </w:r>
      <w:r w:rsidR="00885193">
        <w:rPr>
          <w:color w:val="000000"/>
          <w:szCs w:val="18"/>
          <w:shd w:val="clear" w:color="auto" w:fill="FFFFFF"/>
        </w:rPr>
        <w:t xml:space="preserve"> </w:t>
      </w:r>
      <w:r w:rsidR="00885193" w:rsidRPr="004803FE">
        <w:rPr>
          <w:color w:val="000000"/>
          <w:szCs w:val="18"/>
          <w:shd w:val="clear" w:color="auto" w:fill="FFFFFF"/>
        </w:rPr>
        <w:t xml:space="preserve">the heart and vascular structures, </w:t>
      </w:r>
      <w:r w:rsidR="001D5AF1">
        <w:rPr>
          <w:color w:val="000000"/>
          <w:szCs w:val="18"/>
          <w:shd w:val="clear" w:color="auto" w:fill="FFFFFF"/>
        </w:rPr>
        <w:t xml:space="preserve">ventricular </w:t>
      </w:r>
      <w:r w:rsidR="00885193" w:rsidRPr="004803FE">
        <w:rPr>
          <w:color w:val="000000"/>
          <w:szCs w:val="18"/>
          <w:shd w:val="clear" w:color="auto" w:fill="FFFFFF"/>
        </w:rPr>
        <w:t xml:space="preserve">function and </w:t>
      </w:r>
      <w:r w:rsidR="001D5AF1">
        <w:rPr>
          <w:color w:val="000000"/>
          <w:szCs w:val="18"/>
          <w:shd w:val="clear" w:color="auto" w:fill="FFFFFF"/>
        </w:rPr>
        <w:t xml:space="preserve">myocardial </w:t>
      </w:r>
      <w:r w:rsidR="00885193" w:rsidRPr="004803FE">
        <w:rPr>
          <w:color w:val="000000"/>
          <w:szCs w:val="18"/>
          <w:shd w:val="clear" w:color="auto" w:fill="FFFFFF"/>
        </w:rPr>
        <w:t>perfusion (blood flow)</w:t>
      </w:r>
      <w:r w:rsidR="00514EBF">
        <w:rPr>
          <w:color w:val="000000"/>
          <w:szCs w:val="18"/>
          <w:shd w:val="clear" w:color="auto" w:fill="FFFFFF"/>
        </w:rPr>
        <w:t>. It</w:t>
      </w:r>
      <w:r w:rsidR="006060EF">
        <w:rPr>
          <w:color w:val="000000"/>
          <w:szCs w:val="18"/>
          <w:shd w:val="clear" w:color="auto" w:fill="FFFFFF"/>
        </w:rPr>
        <w:t xml:space="preserve"> </w:t>
      </w:r>
      <w:r w:rsidR="0071347B">
        <w:rPr>
          <w:color w:val="000000"/>
          <w:szCs w:val="18"/>
          <w:shd w:val="clear" w:color="auto" w:fill="FFFFFF"/>
        </w:rPr>
        <w:t>is applied</w:t>
      </w:r>
      <w:r w:rsidR="00885193" w:rsidRPr="004803FE">
        <w:rPr>
          <w:color w:val="000000"/>
          <w:szCs w:val="18"/>
          <w:shd w:val="clear" w:color="auto" w:fill="FFFFFF"/>
        </w:rPr>
        <w:t xml:space="preserve"> in </w:t>
      </w:r>
      <w:r w:rsidR="0071347B">
        <w:rPr>
          <w:color w:val="000000"/>
          <w:szCs w:val="18"/>
          <w:shd w:val="clear" w:color="auto" w:fill="FFFFFF"/>
        </w:rPr>
        <w:t xml:space="preserve">the </w:t>
      </w:r>
      <w:r w:rsidR="00885193" w:rsidRPr="004803FE">
        <w:rPr>
          <w:color w:val="000000"/>
          <w:szCs w:val="18"/>
          <w:shd w:val="clear" w:color="auto" w:fill="FFFFFF"/>
        </w:rPr>
        <w:t xml:space="preserve">diagnosis of </w:t>
      </w:r>
      <w:r w:rsidR="0071347B">
        <w:rPr>
          <w:color w:val="000000"/>
          <w:szCs w:val="18"/>
          <w:shd w:val="clear" w:color="auto" w:fill="FFFFFF"/>
        </w:rPr>
        <w:t>cardiac</w:t>
      </w:r>
      <w:r w:rsidR="0071347B" w:rsidRPr="004803FE">
        <w:rPr>
          <w:color w:val="000000"/>
          <w:szCs w:val="18"/>
          <w:shd w:val="clear" w:color="auto" w:fill="FFFFFF"/>
        </w:rPr>
        <w:t xml:space="preserve"> </w:t>
      </w:r>
      <w:r w:rsidR="00885193" w:rsidRPr="004803FE">
        <w:rPr>
          <w:color w:val="000000"/>
          <w:szCs w:val="18"/>
          <w:shd w:val="clear" w:color="auto" w:fill="FFFFFF"/>
        </w:rPr>
        <w:t xml:space="preserve">disease </w:t>
      </w:r>
      <w:r w:rsidR="00885193">
        <w:rPr>
          <w:color w:val="000000"/>
          <w:szCs w:val="18"/>
          <w:shd w:val="clear" w:color="auto" w:fill="FFFFFF"/>
        </w:rPr>
        <w:t>including</w:t>
      </w:r>
      <w:r w:rsidR="00885193" w:rsidRPr="004803FE">
        <w:rPr>
          <w:color w:val="000000"/>
          <w:szCs w:val="18"/>
          <w:shd w:val="clear" w:color="auto" w:fill="FFFFFF"/>
        </w:rPr>
        <w:t xml:space="preserve"> ischaemic heart disease, valvular heart disease, cardiomyopathy, heart failure, congenital heart disease, and other vascular disease</w:t>
      </w:r>
      <w:r w:rsidR="001D5AF1">
        <w:rPr>
          <w:color w:val="000000"/>
          <w:szCs w:val="18"/>
          <w:shd w:val="clear" w:color="auto" w:fill="FFFFFF"/>
        </w:rPr>
        <w:t>s</w:t>
      </w:r>
      <w:r w:rsidR="00885193" w:rsidRPr="004803FE">
        <w:rPr>
          <w:color w:val="000000"/>
          <w:szCs w:val="18"/>
          <w:shd w:val="clear" w:color="auto" w:fill="FFFFFF"/>
        </w:rPr>
        <w:t>.</w:t>
      </w:r>
    </w:p>
    <w:p w14:paraId="57CA3C2D" w14:textId="0DD5BAF2" w:rsidR="006060EF" w:rsidRPr="001B305A" w:rsidRDefault="003E195F" w:rsidP="001B305A">
      <w:pPr>
        <w:spacing w:after="240"/>
        <w:rPr>
          <w:szCs w:val="24"/>
        </w:rPr>
      </w:pPr>
      <w:r w:rsidRPr="003E195F">
        <w:rPr>
          <w:szCs w:val="24"/>
        </w:rPr>
        <w:t xml:space="preserve">The use of </w:t>
      </w:r>
      <w:r w:rsidR="001A58B9">
        <w:rPr>
          <w:szCs w:val="24"/>
        </w:rPr>
        <w:t>CMR</w:t>
      </w:r>
      <w:r>
        <w:rPr>
          <w:szCs w:val="24"/>
        </w:rPr>
        <w:t xml:space="preserve"> i</w:t>
      </w:r>
      <w:r w:rsidRPr="003E195F">
        <w:rPr>
          <w:szCs w:val="24"/>
        </w:rPr>
        <w:t>s proposed in two distinct populations</w:t>
      </w:r>
      <w:r w:rsidR="006060EF">
        <w:rPr>
          <w:szCs w:val="24"/>
        </w:rPr>
        <w:t>:</w:t>
      </w:r>
      <w:r w:rsidRPr="003E195F">
        <w:rPr>
          <w:szCs w:val="24"/>
        </w:rPr>
        <w:t xml:space="preserve"> </w:t>
      </w:r>
    </w:p>
    <w:p w14:paraId="395F090F" w14:textId="4A3469C3" w:rsidR="003E195F" w:rsidRPr="00725B10" w:rsidRDefault="003A017E" w:rsidP="001B305A">
      <w:pPr>
        <w:spacing w:after="240"/>
        <w:rPr>
          <w:rStyle w:val="SubtleEmphasis"/>
        </w:rPr>
      </w:pPr>
      <w:r w:rsidRPr="00725B10">
        <w:rPr>
          <w:rStyle w:val="SubtleEmphasis"/>
        </w:rPr>
        <w:t>Population One</w:t>
      </w:r>
    </w:p>
    <w:p w14:paraId="18034046" w14:textId="2CB0BE83" w:rsidR="003E195F" w:rsidRDefault="003E195F" w:rsidP="001B305A">
      <w:pPr>
        <w:spacing w:after="240"/>
        <w:rPr>
          <w:szCs w:val="24"/>
        </w:rPr>
      </w:pPr>
      <w:r w:rsidRPr="003E195F">
        <w:rPr>
          <w:szCs w:val="24"/>
        </w:rPr>
        <w:t xml:space="preserve">SP-CMR and LGE would be used to diagnose CAD in patients presenting with symptoms consistent with stable </w:t>
      </w:r>
      <w:r w:rsidR="001D5AF1">
        <w:rPr>
          <w:szCs w:val="24"/>
        </w:rPr>
        <w:t>CAD</w:t>
      </w:r>
      <w:r w:rsidR="001D5AF1" w:rsidRPr="003E195F">
        <w:rPr>
          <w:szCs w:val="24"/>
        </w:rPr>
        <w:t xml:space="preserve"> </w:t>
      </w:r>
      <w:r w:rsidRPr="003E195F">
        <w:rPr>
          <w:szCs w:val="24"/>
        </w:rPr>
        <w:t xml:space="preserve">and with an intermediate </w:t>
      </w:r>
      <w:r w:rsidR="006060EF">
        <w:rPr>
          <w:szCs w:val="24"/>
        </w:rPr>
        <w:t xml:space="preserve">(15-85%) </w:t>
      </w:r>
      <w:proofErr w:type="gramStart"/>
      <w:r>
        <w:rPr>
          <w:szCs w:val="24"/>
        </w:rPr>
        <w:t>PTP) of CAD</w:t>
      </w:r>
      <w:r w:rsidRPr="003E195F">
        <w:rPr>
          <w:szCs w:val="24"/>
        </w:rPr>
        <w:t>.</w:t>
      </w:r>
      <w:proofErr w:type="gramEnd"/>
      <w:r w:rsidRPr="003E195F">
        <w:rPr>
          <w:szCs w:val="24"/>
        </w:rPr>
        <w:t xml:space="preserve"> The PTP would be determined using a clinical decision matrix, which would take into account </w:t>
      </w:r>
      <w:r w:rsidR="001D5AF1">
        <w:rPr>
          <w:szCs w:val="24"/>
        </w:rPr>
        <w:t>risk factors</w:t>
      </w:r>
      <w:r w:rsidR="001D5AF1" w:rsidRPr="003E195F">
        <w:rPr>
          <w:szCs w:val="24"/>
        </w:rPr>
        <w:t xml:space="preserve"> </w:t>
      </w:r>
      <w:r w:rsidRPr="003E195F">
        <w:rPr>
          <w:szCs w:val="24"/>
        </w:rPr>
        <w:t>such as age</w:t>
      </w:r>
      <w:r w:rsidR="001D5AF1">
        <w:rPr>
          <w:szCs w:val="24"/>
        </w:rPr>
        <w:t>,</w:t>
      </w:r>
      <w:r w:rsidRPr="003E195F">
        <w:rPr>
          <w:szCs w:val="24"/>
        </w:rPr>
        <w:t xml:space="preserve"> gender</w:t>
      </w:r>
      <w:r w:rsidR="001D5AF1">
        <w:rPr>
          <w:szCs w:val="24"/>
        </w:rPr>
        <w:t>,</w:t>
      </w:r>
      <w:r w:rsidRPr="003E195F">
        <w:rPr>
          <w:szCs w:val="24"/>
        </w:rPr>
        <w:t xml:space="preserve"> family history</w:t>
      </w:r>
      <w:r w:rsidR="001D5AF1">
        <w:rPr>
          <w:szCs w:val="24"/>
        </w:rPr>
        <w:t>,</w:t>
      </w:r>
      <w:r w:rsidRPr="003E195F">
        <w:rPr>
          <w:szCs w:val="24"/>
        </w:rPr>
        <w:t xml:space="preserve"> hypertension, </w:t>
      </w:r>
      <w:proofErr w:type="spellStart"/>
      <w:r w:rsidRPr="003E195F">
        <w:rPr>
          <w:szCs w:val="24"/>
        </w:rPr>
        <w:t>hypercholesterolaemia</w:t>
      </w:r>
      <w:proofErr w:type="spellEnd"/>
      <w:r w:rsidRPr="003E195F">
        <w:rPr>
          <w:szCs w:val="24"/>
        </w:rPr>
        <w:t>, diabetes and smoking</w:t>
      </w:r>
      <w:r w:rsidR="00883634">
        <w:rPr>
          <w:szCs w:val="24"/>
        </w:rPr>
        <w:t xml:space="preserve">, </w:t>
      </w:r>
      <w:r w:rsidRPr="003E195F">
        <w:rPr>
          <w:szCs w:val="24"/>
        </w:rPr>
        <w:t xml:space="preserve">as well as the presence of symptoms such as dyspnoea and chest pain. </w:t>
      </w:r>
    </w:p>
    <w:p w14:paraId="6896F744" w14:textId="13897020" w:rsidR="003E195F" w:rsidRDefault="003A017E" w:rsidP="001B305A">
      <w:pPr>
        <w:spacing w:after="240"/>
        <w:rPr>
          <w:szCs w:val="24"/>
        </w:rPr>
      </w:pPr>
      <w:r>
        <w:rPr>
          <w:szCs w:val="24"/>
        </w:rPr>
        <w:t xml:space="preserve">In </w:t>
      </w:r>
      <w:r w:rsidR="00883634">
        <w:rPr>
          <w:szCs w:val="24"/>
        </w:rPr>
        <w:t>Population One</w:t>
      </w:r>
      <w:r>
        <w:rPr>
          <w:szCs w:val="24"/>
        </w:rPr>
        <w:t>,</w:t>
      </w:r>
      <w:r w:rsidR="003E195F" w:rsidRPr="003E195F">
        <w:rPr>
          <w:szCs w:val="24"/>
        </w:rPr>
        <w:t xml:space="preserve"> the two tests would be performed consecutively during the same MRI procedure. The rest and stress perfusion (SP) images would be taken first, the order depending on the protocol, followed by LGE imaging.</w:t>
      </w:r>
    </w:p>
    <w:p w14:paraId="6CDA7E17" w14:textId="49DC14E1" w:rsidR="00A953A7" w:rsidRPr="001B305A" w:rsidRDefault="003A017E" w:rsidP="001B305A">
      <w:pPr>
        <w:spacing w:after="240"/>
        <w:rPr>
          <w:szCs w:val="24"/>
        </w:rPr>
      </w:pPr>
      <w:r w:rsidRPr="00CE699C">
        <w:rPr>
          <w:szCs w:val="24"/>
        </w:rPr>
        <w:lastRenderedPageBreak/>
        <w:t xml:space="preserve">In </w:t>
      </w:r>
      <w:r w:rsidR="00883634">
        <w:rPr>
          <w:szCs w:val="24"/>
        </w:rPr>
        <w:t>P</w:t>
      </w:r>
      <w:r w:rsidR="00883634" w:rsidRPr="00CE699C">
        <w:rPr>
          <w:szCs w:val="24"/>
        </w:rPr>
        <w:t xml:space="preserve">opulation </w:t>
      </w:r>
      <w:r w:rsidR="00883634">
        <w:rPr>
          <w:szCs w:val="24"/>
        </w:rPr>
        <w:t>One</w:t>
      </w:r>
      <w:r>
        <w:rPr>
          <w:szCs w:val="24"/>
        </w:rPr>
        <w:t>,</w:t>
      </w:r>
      <w:r w:rsidRPr="00CE699C">
        <w:rPr>
          <w:szCs w:val="24"/>
        </w:rPr>
        <w:t xml:space="preserve"> </w:t>
      </w:r>
      <w:r w:rsidR="001A58B9">
        <w:t>CMR</w:t>
      </w:r>
      <w:r w:rsidRPr="004803FE">
        <w:t xml:space="preserve"> </w:t>
      </w:r>
      <w:r w:rsidRPr="00CE699C">
        <w:rPr>
          <w:szCs w:val="24"/>
        </w:rPr>
        <w:t>is p</w:t>
      </w:r>
      <w:r w:rsidR="006060EF">
        <w:rPr>
          <w:szCs w:val="24"/>
        </w:rPr>
        <w:t>rop</w:t>
      </w:r>
      <w:r w:rsidRPr="00CE699C">
        <w:rPr>
          <w:szCs w:val="24"/>
        </w:rPr>
        <w:t xml:space="preserve">osed as an alternative investigative test to existing stress testing modalities and CTCA. </w:t>
      </w:r>
      <w:r>
        <w:rPr>
          <w:szCs w:val="24"/>
        </w:rPr>
        <w:t xml:space="preserve"> </w:t>
      </w:r>
      <w:r w:rsidRPr="00CE699C">
        <w:rPr>
          <w:szCs w:val="24"/>
        </w:rPr>
        <w:t xml:space="preserve">Patients using </w:t>
      </w:r>
      <w:r w:rsidR="001A58B9">
        <w:t>CMR</w:t>
      </w:r>
      <w:r w:rsidRPr="004803FE">
        <w:t xml:space="preserve"> </w:t>
      </w:r>
      <w:r w:rsidRPr="00CE699C">
        <w:rPr>
          <w:szCs w:val="24"/>
        </w:rPr>
        <w:t xml:space="preserve">instead of SPECT or CTCA also avoid exposure to ionising radiation. </w:t>
      </w:r>
      <w:r>
        <w:rPr>
          <w:szCs w:val="24"/>
        </w:rPr>
        <w:t xml:space="preserve"> </w:t>
      </w:r>
      <w:r w:rsidRPr="00CE699C">
        <w:rPr>
          <w:szCs w:val="24"/>
        </w:rPr>
        <w:t xml:space="preserve">The advantages and disadvantages </w:t>
      </w:r>
      <w:r>
        <w:rPr>
          <w:szCs w:val="24"/>
        </w:rPr>
        <w:t xml:space="preserve">are </w:t>
      </w:r>
      <w:r w:rsidR="006060EF">
        <w:rPr>
          <w:szCs w:val="24"/>
        </w:rPr>
        <w:t>summarised</w:t>
      </w:r>
      <w:r w:rsidR="006060EF" w:rsidRPr="00CE699C">
        <w:rPr>
          <w:szCs w:val="24"/>
        </w:rPr>
        <w:t xml:space="preserve"> </w:t>
      </w:r>
      <w:r w:rsidRPr="00CE699C">
        <w:rPr>
          <w:szCs w:val="24"/>
        </w:rPr>
        <w:t xml:space="preserve">in the </w:t>
      </w:r>
      <w:r w:rsidRPr="00FE79BC">
        <w:rPr>
          <w:szCs w:val="24"/>
        </w:rPr>
        <w:t>2013 ESC guidelines on the management of stable coronary artery disease</w:t>
      </w:r>
      <w:r w:rsidRPr="00CE699C">
        <w:rPr>
          <w:szCs w:val="24"/>
        </w:rPr>
        <w:t xml:space="preserve"> </w:t>
      </w:r>
      <w:r w:rsidRPr="00CE699C">
        <w:rPr>
          <w:szCs w:val="24"/>
        </w:rPr>
        <w:fldChar w:fldCharType="begin">
          <w:fldData xml:space="preserve">PEVuZE5vdGU+PENpdGU+PEF1dGhvcj5Nb250YWxlc2NvdDwvQXV0aG9yPjxZZWFyPjIwMTM8L1ll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</w:fldData>
        </w:fldChar>
      </w:r>
      <w:r w:rsidRPr="00CE699C">
        <w:rPr>
          <w:szCs w:val="24"/>
        </w:rPr>
        <w:instrText xml:space="preserve"> ADDIN EN.CITE </w:instrText>
      </w:r>
      <w:r w:rsidRPr="00CE699C">
        <w:rPr>
          <w:szCs w:val="24"/>
        </w:rPr>
        <w:fldChar w:fldCharType="begin">
          <w:fldData xml:space="preserve">PEVuZE5vdGU+PENpdGU+PEF1dGhvcj5Nb250YWxlc2NvdDwvQXV0aG9yPjxZZWFyPjIwMTM8L1ll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</w:fldData>
        </w:fldChar>
      </w:r>
      <w:r w:rsidRPr="00CE699C">
        <w:rPr>
          <w:szCs w:val="24"/>
        </w:rPr>
        <w:instrText xml:space="preserve"> ADDIN EN.CITE.DATA </w:instrText>
      </w:r>
      <w:r w:rsidRPr="00CE699C">
        <w:rPr>
          <w:szCs w:val="24"/>
        </w:rPr>
      </w:r>
      <w:r w:rsidRPr="00CE699C">
        <w:rPr>
          <w:szCs w:val="24"/>
        </w:rPr>
        <w:fldChar w:fldCharType="end"/>
      </w:r>
      <w:r w:rsidRPr="00CE699C">
        <w:rPr>
          <w:szCs w:val="24"/>
        </w:rPr>
      </w:r>
      <w:r w:rsidRPr="00CE699C">
        <w:rPr>
          <w:szCs w:val="24"/>
        </w:rPr>
        <w:fldChar w:fldCharType="separate"/>
      </w:r>
      <w:r w:rsidRPr="00FE79BC">
        <w:rPr>
          <w:szCs w:val="24"/>
        </w:rPr>
        <w:t>(</w:t>
      </w:r>
      <w:hyperlink w:anchor="_ENREF_141" w:tooltip="Montalescot, 2013 #65" w:history="1">
        <w:r w:rsidRPr="00FE79BC">
          <w:rPr>
            <w:szCs w:val="24"/>
          </w:rPr>
          <w:t>Montalescot et al. 2013</w:t>
        </w:r>
      </w:hyperlink>
      <w:r w:rsidRPr="00FE79BC">
        <w:rPr>
          <w:szCs w:val="24"/>
        </w:rPr>
        <w:t>)</w:t>
      </w:r>
      <w:r w:rsidRPr="00CE699C">
        <w:rPr>
          <w:szCs w:val="24"/>
        </w:rPr>
        <w:fldChar w:fldCharType="end"/>
      </w:r>
      <w:r>
        <w:rPr>
          <w:szCs w:val="24"/>
        </w:rPr>
        <w:t>.</w:t>
      </w:r>
    </w:p>
    <w:p w14:paraId="5AC28850" w14:textId="33FC306C" w:rsidR="003E195F" w:rsidRPr="00725B10" w:rsidRDefault="003E195F" w:rsidP="001B305A">
      <w:pPr>
        <w:spacing w:after="240"/>
        <w:rPr>
          <w:rStyle w:val="SubtleEmphasis"/>
        </w:rPr>
      </w:pPr>
      <w:r w:rsidRPr="00725B10">
        <w:rPr>
          <w:rStyle w:val="SubtleEmphasis"/>
        </w:rPr>
        <w:t xml:space="preserve">Population </w:t>
      </w:r>
      <w:r w:rsidR="00883634" w:rsidRPr="00725B10">
        <w:rPr>
          <w:rStyle w:val="SubtleEmphasis"/>
        </w:rPr>
        <w:t>Two</w:t>
      </w:r>
    </w:p>
    <w:p w14:paraId="7E14FEF4" w14:textId="533568E6" w:rsidR="00885193" w:rsidRPr="00CE699C" w:rsidRDefault="003E195F" w:rsidP="001B305A">
      <w:pPr>
        <w:spacing w:after="240"/>
        <w:rPr>
          <w:szCs w:val="24"/>
        </w:rPr>
      </w:pPr>
      <w:r w:rsidRPr="003E195F">
        <w:rPr>
          <w:szCs w:val="24"/>
        </w:rPr>
        <w:t xml:space="preserve">LGE would be used to assess myocardial viability in patients with an existing diagnosis of </w:t>
      </w:r>
      <w:proofErr w:type="gramStart"/>
      <w:r w:rsidRPr="003E195F">
        <w:rPr>
          <w:szCs w:val="24"/>
        </w:rPr>
        <w:t>significant</w:t>
      </w:r>
      <w:proofErr w:type="gramEnd"/>
      <w:r w:rsidRPr="003E195F">
        <w:rPr>
          <w:szCs w:val="24"/>
        </w:rPr>
        <w:t xml:space="preserve"> CAD who have </w:t>
      </w:r>
      <w:r w:rsidR="006060EF">
        <w:rPr>
          <w:szCs w:val="24"/>
        </w:rPr>
        <w:t>LV</w:t>
      </w:r>
      <w:r w:rsidRPr="003E195F">
        <w:rPr>
          <w:szCs w:val="24"/>
        </w:rPr>
        <w:t xml:space="preserve"> </w:t>
      </w:r>
      <w:r w:rsidR="006060EF">
        <w:rPr>
          <w:szCs w:val="24"/>
        </w:rPr>
        <w:t xml:space="preserve">systolic </w:t>
      </w:r>
      <w:r w:rsidRPr="003E195F">
        <w:rPr>
          <w:szCs w:val="24"/>
        </w:rPr>
        <w:t>dysfunction (LVD), and are being considered for revascularisation.</w:t>
      </w:r>
    </w:p>
    <w:p w14:paraId="7EA71D9F" w14:textId="0ECD20B2" w:rsidR="00885193" w:rsidRPr="00CE699C" w:rsidRDefault="00885193" w:rsidP="001B305A">
      <w:pPr>
        <w:spacing w:after="240"/>
        <w:rPr>
          <w:szCs w:val="24"/>
        </w:rPr>
      </w:pPr>
      <w:r w:rsidRPr="00CE699C">
        <w:t xml:space="preserve">In </w:t>
      </w:r>
      <w:r w:rsidR="00883634">
        <w:t>P</w:t>
      </w:r>
      <w:r w:rsidR="00883634" w:rsidRPr="00CE699C">
        <w:t xml:space="preserve">opulation </w:t>
      </w:r>
      <w:r w:rsidR="00883634">
        <w:t>Two</w:t>
      </w:r>
      <w:r>
        <w:t>,</w:t>
      </w:r>
      <w:r w:rsidRPr="00CE699C">
        <w:t xml:space="preserve"> the use of </w:t>
      </w:r>
      <w:r w:rsidR="001A58B9">
        <w:t>CMR</w:t>
      </w:r>
      <w:r w:rsidRPr="00CE699C">
        <w:t xml:space="preserve"> for myocardial viability </w:t>
      </w:r>
      <w:r w:rsidR="00883634">
        <w:t>evaluation</w:t>
      </w:r>
      <w:r w:rsidR="00883634" w:rsidRPr="00CE699C">
        <w:t xml:space="preserve"> </w:t>
      </w:r>
      <w:r w:rsidRPr="00CE699C">
        <w:t xml:space="preserve">is intended to replace existing methods of viability </w:t>
      </w:r>
      <w:r w:rsidR="00883634">
        <w:t>evaluation</w:t>
      </w:r>
      <w:r w:rsidR="00883634" w:rsidRPr="00CE699C">
        <w:t xml:space="preserve"> </w:t>
      </w:r>
      <w:r w:rsidRPr="00CE699C">
        <w:t>due to</w:t>
      </w:r>
      <w:r w:rsidR="00883634">
        <w:t xml:space="preserve">: (a) </w:t>
      </w:r>
      <w:r w:rsidRPr="00CE699C">
        <w:t>improved safety compared with nuclear imaging technologies</w:t>
      </w:r>
      <w:r>
        <w:t xml:space="preserve"> so that</w:t>
      </w:r>
      <w:r w:rsidRPr="00CE699C">
        <w:t xml:space="preserve"> patients will not be exposed to ionising radiation</w:t>
      </w:r>
      <w:proofErr w:type="gramStart"/>
      <w:r w:rsidR="00883634">
        <w:t>;</w:t>
      </w:r>
      <w:r>
        <w:t xml:space="preserve">  </w:t>
      </w:r>
      <w:r w:rsidR="00883634">
        <w:rPr>
          <w:szCs w:val="24"/>
        </w:rPr>
        <w:t>and</w:t>
      </w:r>
      <w:proofErr w:type="gramEnd"/>
      <w:r w:rsidR="00883634">
        <w:rPr>
          <w:szCs w:val="24"/>
        </w:rPr>
        <w:t xml:space="preserve"> (b) </w:t>
      </w:r>
      <w:r w:rsidRPr="00CE699C">
        <w:rPr>
          <w:szCs w:val="24"/>
        </w:rPr>
        <w:t xml:space="preserve">superior diagnostic accuracy compared with existing </w:t>
      </w:r>
      <w:r w:rsidR="00883634">
        <w:rPr>
          <w:szCs w:val="24"/>
        </w:rPr>
        <w:t xml:space="preserve">imaging </w:t>
      </w:r>
      <w:r w:rsidRPr="00CE699C">
        <w:rPr>
          <w:szCs w:val="24"/>
        </w:rPr>
        <w:t xml:space="preserve">modalities on the basis that it provides more detailed and reliable data with reduced inter- and intra-observer variability. </w:t>
      </w:r>
      <w:r>
        <w:rPr>
          <w:szCs w:val="24"/>
        </w:rPr>
        <w:t xml:space="preserve"> </w:t>
      </w:r>
      <w:r w:rsidRPr="00CE699C">
        <w:rPr>
          <w:szCs w:val="24"/>
        </w:rPr>
        <w:t xml:space="preserve">Thus, the use of </w:t>
      </w:r>
      <w:r w:rsidR="001A58B9">
        <w:t>CMR</w:t>
      </w:r>
      <w:r w:rsidRPr="004803FE">
        <w:t xml:space="preserve"> </w:t>
      </w:r>
      <w:r w:rsidRPr="00CE699C">
        <w:rPr>
          <w:szCs w:val="24"/>
        </w:rPr>
        <w:t>should:</w:t>
      </w:r>
    </w:p>
    <w:p w14:paraId="6C284B94" w14:textId="2A0B2A19" w:rsidR="00885193" w:rsidRPr="004803FE" w:rsidRDefault="00885193" w:rsidP="001B305A">
      <w:pPr>
        <w:spacing w:after="240"/>
        <w:ind w:left="851" w:hanging="567"/>
      </w:pPr>
      <w:proofErr w:type="spellStart"/>
      <w:proofErr w:type="gramStart"/>
      <w:r w:rsidRPr="004803FE">
        <w:t>i</w:t>
      </w:r>
      <w:proofErr w:type="spellEnd"/>
      <w:proofErr w:type="gramEnd"/>
      <w:r w:rsidRPr="004803FE">
        <w:t>.</w:t>
      </w:r>
      <w:r w:rsidRPr="004803FE">
        <w:tab/>
        <w:t xml:space="preserve">reduce the test failure rate, leading to earlier diagnosis </w:t>
      </w:r>
      <w:r w:rsidR="00883634">
        <w:t>myocardial viability</w:t>
      </w:r>
      <w:r w:rsidRPr="004803FE">
        <w:t xml:space="preserve">, or earlier exclusion of </w:t>
      </w:r>
      <w:r w:rsidR="00883634">
        <w:t>viability</w:t>
      </w:r>
      <w:r w:rsidRPr="004803FE">
        <w:t>;</w:t>
      </w:r>
    </w:p>
    <w:p w14:paraId="60E85F7B" w14:textId="77777777" w:rsidR="00885193" w:rsidRPr="004803FE" w:rsidRDefault="00885193" w:rsidP="001B305A">
      <w:pPr>
        <w:spacing w:after="240"/>
        <w:ind w:left="851" w:hanging="567"/>
      </w:pPr>
      <w:r w:rsidRPr="004803FE">
        <w:t>ii.</w:t>
      </w:r>
      <w:r w:rsidRPr="004803FE">
        <w:tab/>
      </w:r>
      <w:proofErr w:type="gramStart"/>
      <w:r w:rsidRPr="004803FE">
        <w:t>allow</w:t>
      </w:r>
      <w:proofErr w:type="gramEnd"/>
      <w:r w:rsidRPr="004803FE">
        <w:t xml:space="preserve"> additional/earlier case detection and management, with fewer false negatives; and</w:t>
      </w:r>
    </w:p>
    <w:p w14:paraId="204D9F25" w14:textId="430631E5" w:rsidR="00885193" w:rsidRPr="001B305A" w:rsidRDefault="00885193" w:rsidP="001B305A">
      <w:pPr>
        <w:spacing w:after="240"/>
        <w:ind w:left="851" w:hanging="567"/>
      </w:pPr>
      <w:r w:rsidRPr="004803FE">
        <w:t>iii.</w:t>
      </w:r>
      <w:r w:rsidRPr="004803FE">
        <w:tab/>
      </w:r>
      <w:proofErr w:type="gramStart"/>
      <w:r w:rsidRPr="004803FE">
        <w:t>produce</w:t>
      </w:r>
      <w:proofErr w:type="gramEnd"/>
      <w:r w:rsidRPr="004803FE">
        <w:t xml:space="preserve"> fewer false positives, reducing the </w:t>
      </w:r>
      <w:r w:rsidR="00883634">
        <w:t>likelihood of inappropriate revascularisation</w:t>
      </w:r>
      <w:r w:rsidRPr="004803FE">
        <w:t>.</w:t>
      </w:r>
    </w:p>
    <w:p w14:paraId="40CF3DDB" w14:textId="5FB4FF12" w:rsidR="00883634" w:rsidRDefault="00883634" w:rsidP="001B305A">
      <w:pPr>
        <w:spacing w:after="240"/>
      </w:pPr>
      <w:r w:rsidRPr="004803FE">
        <w:t>The</w:t>
      </w:r>
      <w:r w:rsidRPr="00CE699C">
        <w:t xml:space="preserve"> two included studies </w:t>
      </w:r>
      <w:r>
        <w:t>that informed</w:t>
      </w:r>
      <w:r w:rsidRPr="00CE699C">
        <w:t xml:space="preserve"> the impact of LGE-</w:t>
      </w:r>
      <w:r>
        <w:t>CMR</w:t>
      </w:r>
      <w:r w:rsidRPr="004803FE">
        <w:t xml:space="preserve"> </w:t>
      </w:r>
      <w:r w:rsidRPr="00CE699C">
        <w:t xml:space="preserve">on clinical management were non-comparative and were individually assessed for risk of bias using the IHE checklist </w:t>
      </w:r>
      <w:r w:rsidRPr="00CE699C">
        <w:fldChar w:fldCharType="begin"/>
      </w:r>
      <w:r w:rsidRPr="00CE699C">
        <w:instrText xml:space="preserve"> ADDIN EN.CITE &lt;EndNote&gt;&lt;Cite&gt;&lt;Author&gt;Moga&lt;/Author&gt;&lt;Year&gt;2012&lt;/Year&gt;&lt;RecNum&gt;178&lt;/RecNum&gt;&lt;DisplayText&gt;(Moga et al. 2012)&lt;/DisplayText&gt;&lt;record&gt;&lt;rec-number&gt;178&lt;/rec-number&gt;&lt;foreign-keys&gt;&lt;key app="EN" db-id="9wevt9zsm0frf1ezepbpa9dgrfez55etdvpa" timestamp="1444191060"&gt;178&lt;/key&gt;&lt;/foreign-keys&gt;&lt;ref-type name="Aggregated Database"&gt;55&lt;/ref-type&gt;&lt;contributors&gt;&lt;authors&gt;&lt;author&gt;Moga, C.&lt;/author&gt;&lt;author&gt;Guo, B.&lt;/author&gt;&lt;author&gt;Schopflocher, D.&lt;/author&gt;&lt;author&gt;Harstall, C.&lt;/author&gt;&lt;/authors&gt;&lt;/contributors&gt;&lt;titles&gt;&lt;title&gt;Development of a Quality Appraisal Tool for Case Series Studies Using a Modified Delphi Technique&lt;/title&gt;&lt;/titles&gt;&lt;dates&gt;&lt;year&gt;2012&lt;/year&gt;&lt;/dates&gt;&lt;pub-location&gt;Edmonton AB&lt;/pub-location&gt;&lt;publisher&gt;Institute of Health Economics&lt;/publisher&gt;&lt;urls&gt;&lt;/urls&gt;&lt;/record&gt;&lt;/Cite&gt;&lt;/EndNote&gt;</w:instrText>
      </w:r>
      <w:r w:rsidRPr="00CE699C">
        <w:fldChar w:fldCharType="separate"/>
      </w:r>
      <w:r w:rsidRPr="00FE79BC">
        <w:t>(</w:t>
      </w:r>
      <w:hyperlink w:anchor="_ENREF_140" w:tooltip="Moga, 2012 #178" w:history="1">
        <w:r w:rsidRPr="00FE79BC">
          <w:t>Moga et al. 2012</w:t>
        </w:r>
      </w:hyperlink>
      <w:r w:rsidRPr="00FE79BC">
        <w:t>)</w:t>
      </w:r>
      <w:r w:rsidRPr="00CE699C">
        <w:fldChar w:fldCharType="end"/>
      </w:r>
      <w:r w:rsidRPr="00CE699C">
        <w:t>.</w:t>
      </w:r>
    </w:p>
    <w:p w14:paraId="7E67EF8A" w14:textId="1EA13E99" w:rsidR="00885193" w:rsidRPr="001B305A" w:rsidRDefault="00885193" w:rsidP="001B305A">
      <w:pPr>
        <w:spacing w:after="240"/>
        <w:rPr>
          <w:szCs w:val="24"/>
        </w:rPr>
      </w:pPr>
      <w:r w:rsidRPr="00CE699C">
        <w:rPr>
          <w:szCs w:val="24"/>
        </w:rPr>
        <w:t xml:space="preserve">In patients with </w:t>
      </w:r>
      <w:r w:rsidR="003316E8">
        <w:rPr>
          <w:szCs w:val="24"/>
        </w:rPr>
        <w:t xml:space="preserve">known </w:t>
      </w:r>
      <w:r w:rsidRPr="00CE699C">
        <w:rPr>
          <w:szCs w:val="24"/>
        </w:rPr>
        <w:t xml:space="preserve">CAD and </w:t>
      </w:r>
      <w:r w:rsidR="003316E8">
        <w:rPr>
          <w:szCs w:val="24"/>
        </w:rPr>
        <w:t>LV dysfunction</w:t>
      </w:r>
      <w:r w:rsidRPr="00CE699C">
        <w:rPr>
          <w:szCs w:val="24"/>
        </w:rPr>
        <w:t xml:space="preserve"> who are being considered for revascularisation, LGE-</w:t>
      </w:r>
      <w:r w:rsidR="001A58B9">
        <w:t>CMR</w:t>
      </w:r>
      <w:r w:rsidRPr="004803FE">
        <w:t xml:space="preserve"> </w:t>
      </w:r>
      <w:r w:rsidRPr="00CE699C">
        <w:rPr>
          <w:szCs w:val="24"/>
        </w:rPr>
        <w:t xml:space="preserve">is proposed to be non-inferior to existing modalities with improved safety. </w:t>
      </w:r>
      <w:r>
        <w:rPr>
          <w:szCs w:val="24"/>
        </w:rPr>
        <w:t xml:space="preserve"> </w:t>
      </w:r>
      <w:r w:rsidR="00FC25D6">
        <w:rPr>
          <w:szCs w:val="24"/>
        </w:rPr>
        <w:t>The application also claimed</w:t>
      </w:r>
      <w:r w:rsidRPr="00CE699C">
        <w:rPr>
          <w:szCs w:val="24"/>
        </w:rPr>
        <w:t xml:space="preserve"> that </w:t>
      </w:r>
      <w:r w:rsidR="001A58B9">
        <w:t>CMR</w:t>
      </w:r>
      <w:r w:rsidRPr="004803FE">
        <w:t xml:space="preserve"> </w:t>
      </w:r>
      <w:r w:rsidRPr="00CE699C">
        <w:rPr>
          <w:szCs w:val="24"/>
        </w:rPr>
        <w:t xml:space="preserve">has a significant impact on therapy planning and patients’ preferred choice of therapy </w:t>
      </w:r>
      <w:r w:rsidRPr="00CE699C">
        <w:rPr>
          <w:szCs w:val="24"/>
        </w:rPr>
        <w:fldChar w:fldCharType="begin"/>
      </w:r>
      <w:r w:rsidRPr="00CE699C">
        <w:rPr>
          <w:szCs w:val="24"/>
        </w:rPr>
        <w:instrText xml:space="preserve"> ADDIN EN.CITE &lt;EndNote&gt;&lt;Cite&gt;&lt;Author&gt;Taylor&lt;/Author&gt;&lt;Year&gt;2013&lt;/Year&gt;&lt;RecNum&gt;74&lt;/RecNum&gt;&lt;DisplayText&gt;(Taylor et al. 2013)&lt;/DisplayText&gt;&lt;record&gt;&lt;rec-number&gt;74&lt;/rec-number&gt;&lt;foreign-keys&gt;&lt;key app="EN" db-id="9wevt9zsm0frf1ezepbpa9dgrfez55etdvpa" timestamp="1431407289"&gt;74&lt;/key&gt;&lt;/foreign-keys&gt;&lt;ref-type name="Journal Article"&gt;17&lt;/ref-type&gt;&lt;contributors&gt;&lt;authors&gt;&lt;author&gt;Taylor, AndrewJ&lt;/author&gt;&lt;author&gt;Ellims, Andris&lt;/author&gt;&lt;author&gt;Lew, PhilipJ K.&lt;/author&gt;&lt;author&gt;Murphy, Bridie&lt;/author&gt;&lt;author&gt;Pally, Suzana&lt;/author&gt;&lt;author&gt;Younie, Sandra&lt;/author&gt;&lt;/authors&gt;&lt;/contributors&gt;&lt;titles&gt;&lt;title&gt;Impact of cardiac magnetic resonance imaging on cardiac device and surgical therapy: a prospective study&lt;/title&gt;&lt;secondary-title&gt;The International Journal of Cardiovascular Imaging&lt;/secondary-title&gt;&lt;alt-title&gt;Int J Cardiovasc Imaging&lt;/alt-title&gt;&lt;/titles&gt;&lt;periodical&gt;&lt;full-title&gt;The International Journal of Cardiovascular Imaging&lt;/full-title&gt;&lt;abbr-1&gt;Int J Cardiovasc Imaging&lt;/abbr-1&gt;&lt;/periodical&gt;&lt;alt-periodical&gt;&lt;full-title&gt;The International Journal of Cardiovascular Imaging&lt;/full-title&gt;&lt;abbr-1&gt;Int J Cardiovasc Imaging&lt;/abbr-1&gt;&lt;/alt-periodical&gt;&lt;pages&gt;855-864&lt;/pages&gt;&lt;volume&gt;29&lt;/volume&gt;&lt;number&gt;4&lt;/number&gt;&lt;keywords&gt;&lt;keyword&gt;Magnetic resonance imaging&lt;/keyword&gt;&lt;keyword&gt;Cost-benefit analysis&lt;/keyword&gt;&lt;keyword&gt;Surgery&lt;/keyword&gt;&lt;keyword&gt;Pacemakers&lt;/keyword&gt;&lt;/keywords&gt;&lt;dates&gt;&lt;year&gt;2013&lt;/year&gt;&lt;pub-dates&gt;&lt;date&gt;2013/04/01&lt;/date&gt;&lt;/pub-dates&gt;&lt;/dates&gt;&lt;publisher&gt;Springer Netherlands&lt;/publisher&gt;&lt;isbn&gt;1569-5794&lt;/isbn&gt;&lt;urls&gt;&lt;related-urls&gt;&lt;url&gt;http://dx.doi.org/10.1007/s10554-012-0131-4&lt;/url&gt;&lt;url&gt;http://download-v2.springer.com/static/pdf/983/art%253A10.1007%252Fs10554-012-0131-4.pdf?token2=exp=1431408528~acl=%2Fstatic%2Fpdf%2F983%2Fart%25253A10.1007%25252Fs10554-012-0131-4.pdf*~hmac=dd7d39030b4a144d5fc86c6d70f9a5b36a87a50ed1ecd42d05dfde1362a6e891&lt;/url&gt;&lt;/related-urls&gt;&lt;/urls&gt;&lt;electronic-resource-num&gt;10.1007/s10554-012-0131-4&lt;/electronic-resource-num&gt;&lt;language&gt;English&lt;/language&gt;&lt;/record&gt;&lt;/Cite&gt;&lt;/EndNote&gt;</w:instrText>
      </w:r>
      <w:r w:rsidRPr="00CE699C">
        <w:rPr>
          <w:szCs w:val="24"/>
        </w:rPr>
        <w:fldChar w:fldCharType="separate"/>
      </w:r>
      <w:r w:rsidRPr="00FE79BC">
        <w:rPr>
          <w:szCs w:val="24"/>
        </w:rPr>
        <w:t>(</w:t>
      </w:r>
      <w:hyperlink w:anchor="_ENREF_202" w:tooltip="Taylor, 2013 #74" w:history="1">
        <w:r w:rsidRPr="00FE79BC">
          <w:rPr>
            <w:szCs w:val="24"/>
          </w:rPr>
          <w:t>Taylor et al. 2013</w:t>
        </w:r>
      </w:hyperlink>
      <w:r w:rsidRPr="00FE79BC">
        <w:rPr>
          <w:szCs w:val="24"/>
        </w:rPr>
        <w:t>)</w:t>
      </w:r>
      <w:r w:rsidRPr="00CE699C">
        <w:rPr>
          <w:szCs w:val="24"/>
        </w:rPr>
        <w:fldChar w:fldCharType="end"/>
      </w:r>
      <w:r w:rsidRPr="00CE699C">
        <w:rPr>
          <w:szCs w:val="24"/>
        </w:rPr>
        <w:t>.</w:t>
      </w:r>
    </w:p>
    <w:p w14:paraId="745D8408" w14:textId="77777777" w:rsidR="00BC1364" w:rsidRPr="00725B10" w:rsidRDefault="00BC1364" w:rsidP="00725B10">
      <w:pPr>
        <w:pStyle w:val="Heading1"/>
      </w:pPr>
      <w:r w:rsidRPr="00725B10">
        <w:t xml:space="preserve">Comparator </w:t>
      </w:r>
    </w:p>
    <w:p w14:paraId="6ACF5B68" w14:textId="77777777" w:rsidR="000D5C0C" w:rsidRPr="00725B10" w:rsidRDefault="000D5C0C" w:rsidP="001B305A">
      <w:pPr>
        <w:spacing w:after="240"/>
        <w:rPr>
          <w:rStyle w:val="SubtleEmphasis"/>
        </w:rPr>
      </w:pPr>
      <w:r w:rsidRPr="00725B10">
        <w:rPr>
          <w:rStyle w:val="SubtleEmphasis"/>
        </w:rPr>
        <w:t>Population One</w:t>
      </w:r>
    </w:p>
    <w:p w14:paraId="05A58371" w14:textId="2AEB48B4" w:rsidR="00BE76AF" w:rsidRDefault="000D5C0C" w:rsidP="001B305A">
      <w:pPr>
        <w:spacing w:after="240"/>
      </w:pPr>
      <w:r w:rsidRPr="004803FE">
        <w:t>SP-</w:t>
      </w:r>
      <w:r w:rsidR="001A58B9">
        <w:t>CMR</w:t>
      </w:r>
      <w:r w:rsidRPr="004803FE">
        <w:t xml:space="preserve"> </w:t>
      </w:r>
      <w:r>
        <w:t>and</w:t>
      </w:r>
      <w:r w:rsidRPr="004803FE">
        <w:t xml:space="preserve"> LGE is proposed as a diagnostic test in patients with an intermediate </w:t>
      </w:r>
      <w:r>
        <w:t>p</w:t>
      </w:r>
      <w:r w:rsidRPr="00A52480">
        <w:t>re-test probability</w:t>
      </w:r>
      <w:r w:rsidRPr="004803FE">
        <w:t xml:space="preserve"> of having CAD</w:t>
      </w:r>
      <w:r>
        <w:t>. Fo</w:t>
      </w:r>
      <w:r w:rsidRPr="004803FE">
        <w:t xml:space="preserve">ur comparators were recognised: </w:t>
      </w:r>
      <w:r w:rsidR="006060EF">
        <w:t>ex-</w:t>
      </w:r>
      <w:r w:rsidRPr="004803FE">
        <w:t xml:space="preserve">ECG, </w:t>
      </w:r>
      <w:r w:rsidR="006060EF">
        <w:t>stress-E</w:t>
      </w:r>
      <w:r w:rsidRPr="004803FE">
        <w:t xml:space="preserve">cho, exercise or pharmacological SPECT, and CTCA. </w:t>
      </w:r>
      <w:r>
        <w:t xml:space="preserve"> </w:t>
      </w:r>
      <w:r w:rsidRPr="004803FE">
        <w:t>In this population ICA</w:t>
      </w:r>
      <w:r w:rsidR="006B4333">
        <w:t xml:space="preserve"> </w:t>
      </w:r>
      <w:r w:rsidRPr="004803FE">
        <w:t>is considered to be the reference standard.</w:t>
      </w:r>
    </w:p>
    <w:p w14:paraId="36377D43" w14:textId="1F50E20E" w:rsidR="0069355C" w:rsidRDefault="001A58B9" w:rsidP="001B305A">
      <w:pPr>
        <w:spacing w:after="240"/>
      </w:pPr>
      <w:r>
        <w:t>CMR</w:t>
      </w:r>
      <w:r w:rsidR="0069355C" w:rsidRPr="0045599B">
        <w:t xml:space="preserve"> is posed as an alternative investigative test to existing </w:t>
      </w:r>
      <w:proofErr w:type="spellStart"/>
      <w:r w:rsidR="0069355C" w:rsidRPr="0045599B">
        <w:t>ischaemia</w:t>
      </w:r>
      <w:proofErr w:type="spellEnd"/>
      <w:r w:rsidR="0069355C" w:rsidRPr="0045599B">
        <w:t xml:space="preserve"> stress testing modalities and </w:t>
      </w:r>
      <w:r w:rsidR="0069355C">
        <w:t xml:space="preserve">CTCA. Patients using </w:t>
      </w:r>
      <w:r>
        <w:t>CMR</w:t>
      </w:r>
      <w:r w:rsidR="0069355C">
        <w:t xml:space="preserve"> instead of SPECT or CTCA also avoid exposure to ionising radiation.</w:t>
      </w:r>
    </w:p>
    <w:p w14:paraId="09CD482A" w14:textId="77777777" w:rsidR="000D5C0C" w:rsidRPr="00725B10" w:rsidRDefault="000D5C0C" w:rsidP="001B305A">
      <w:pPr>
        <w:spacing w:after="240"/>
        <w:rPr>
          <w:rStyle w:val="SubtleEmphasis"/>
        </w:rPr>
      </w:pPr>
      <w:r w:rsidRPr="00725B10">
        <w:rPr>
          <w:rStyle w:val="SubtleEmphasis"/>
        </w:rPr>
        <w:t>Population 2</w:t>
      </w:r>
    </w:p>
    <w:p w14:paraId="38E56551" w14:textId="3EEE335E" w:rsidR="00BC1364" w:rsidRPr="001B305A" w:rsidRDefault="002C5B39" w:rsidP="001B305A">
      <w:pPr>
        <w:spacing w:after="240"/>
      </w:pPr>
      <w:r>
        <w:t>LGE-</w:t>
      </w:r>
      <w:r w:rsidR="001A58B9">
        <w:t>CMR</w:t>
      </w:r>
      <w:r w:rsidR="000D5C0C" w:rsidRPr="004803FE">
        <w:t xml:space="preserve"> is used in patients with CAD </w:t>
      </w:r>
      <w:r w:rsidR="00635AEA">
        <w:t xml:space="preserve">and LVD </w:t>
      </w:r>
      <w:r w:rsidR="000D5C0C" w:rsidRPr="004803FE">
        <w:t>to determine their eligibility for revascularisation</w:t>
      </w:r>
      <w:r>
        <w:t>. T</w:t>
      </w:r>
      <w:r w:rsidR="000D5C0C" w:rsidRPr="004803FE">
        <w:t xml:space="preserve">hree comparators were identified: low-dose </w:t>
      </w:r>
      <w:proofErr w:type="spellStart"/>
      <w:r w:rsidR="000D5C0C" w:rsidRPr="004803FE">
        <w:t>dobutamine</w:t>
      </w:r>
      <w:proofErr w:type="spellEnd"/>
      <w:r w:rsidR="000D5C0C" w:rsidRPr="004803FE">
        <w:t xml:space="preserve"> stress </w:t>
      </w:r>
      <w:r w:rsidR="000D5C0C">
        <w:t>e</w:t>
      </w:r>
      <w:r w:rsidR="000D5C0C" w:rsidRPr="004803FE">
        <w:t>cho</w:t>
      </w:r>
      <w:r w:rsidR="00635AEA">
        <w:t xml:space="preserve"> (</w:t>
      </w:r>
      <w:proofErr w:type="spellStart"/>
      <w:r w:rsidR="00DA7046">
        <w:t>Db</w:t>
      </w:r>
      <w:proofErr w:type="spellEnd"/>
      <w:r w:rsidR="00635AEA">
        <w:t>-</w:t>
      </w:r>
      <w:r w:rsidR="00635AEA">
        <w:lastRenderedPageBreak/>
        <w:t>Echo)</w:t>
      </w:r>
      <w:r w:rsidR="000D5C0C" w:rsidRPr="004803FE">
        <w:t xml:space="preserve">, </w:t>
      </w:r>
      <w:r w:rsidR="00635AEA">
        <w:t xml:space="preserve">rest </w:t>
      </w:r>
      <w:r w:rsidR="000D5C0C" w:rsidRPr="004803FE">
        <w:t xml:space="preserve">SPECT and computed tomography </w:t>
      </w:r>
      <w:r w:rsidR="003316E8">
        <w:t>with delayed contrast enhancement (CT-DCE)</w:t>
      </w:r>
      <w:r w:rsidR="000D5C0C" w:rsidRPr="004803FE">
        <w:t>.</w:t>
      </w:r>
    </w:p>
    <w:p w14:paraId="0BA57589" w14:textId="7BA9DF73" w:rsidR="006111E4" w:rsidRPr="006111E4" w:rsidRDefault="006111E4" w:rsidP="001B305A">
      <w:pPr>
        <w:spacing w:after="240"/>
        <w:rPr>
          <w:szCs w:val="24"/>
        </w:rPr>
      </w:pPr>
      <w:r w:rsidRPr="006111E4">
        <w:rPr>
          <w:szCs w:val="24"/>
        </w:rPr>
        <w:t xml:space="preserve">The applicant’s </w:t>
      </w:r>
      <w:proofErr w:type="spellStart"/>
      <w:r w:rsidRPr="006111E4">
        <w:rPr>
          <w:szCs w:val="24"/>
        </w:rPr>
        <w:t>preESC</w:t>
      </w:r>
      <w:proofErr w:type="spellEnd"/>
      <w:r w:rsidRPr="006111E4">
        <w:rPr>
          <w:szCs w:val="24"/>
        </w:rPr>
        <w:t xml:space="preserve"> and </w:t>
      </w:r>
      <w:proofErr w:type="spellStart"/>
      <w:r w:rsidRPr="006111E4">
        <w:rPr>
          <w:szCs w:val="24"/>
        </w:rPr>
        <w:t>preMSAC</w:t>
      </w:r>
      <w:proofErr w:type="spellEnd"/>
      <w:r w:rsidRPr="006111E4">
        <w:rPr>
          <w:szCs w:val="24"/>
        </w:rPr>
        <w:t xml:space="preserve"> response stated that CT</w:t>
      </w:r>
      <w:r w:rsidR="003316E8">
        <w:rPr>
          <w:szCs w:val="24"/>
        </w:rPr>
        <w:t xml:space="preserve">-DCE </w:t>
      </w:r>
      <w:r w:rsidRPr="006111E4">
        <w:rPr>
          <w:szCs w:val="24"/>
        </w:rPr>
        <w:t xml:space="preserve">is not </w:t>
      </w:r>
      <w:r w:rsidR="00635AEA">
        <w:rPr>
          <w:szCs w:val="24"/>
        </w:rPr>
        <w:t>in current clinical use</w:t>
      </w:r>
      <w:r w:rsidRPr="006111E4">
        <w:rPr>
          <w:szCs w:val="24"/>
        </w:rPr>
        <w:t xml:space="preserve"> to assess myocardial viability and </w:t>
      </w:r>
      <w:r w:rsidR="00635AEA">
        <w:rPr>
          <w:szCs w:val="24"/>
        </w:rPr>
        <w:t>should therefore not be considered as a comparator</w:t>
      </w:r>
      <w:r w:rsidRPr="006111E4">
        <w:rPr>
          <w:szCs w:val="24"/>
        </w:rPr>
        <w:t xml:space="preserve"> in </w:t>
      </w:r>
      <w:r w:rsidR="003316E8">
        <w:rPr>
          <w:szCs w:val="24"/>
        </w:rPr>
        <w:t>P</w:t>
      </w:r>
      <w:r w:rsidRPr="006111E4">
        <w:rPr>
          <w:szCs w:val="24"/>
        </w:rPr>
        <w:t xml:space="preserve">opulation </w:t>
      </w:r>
      <w:r w:rsidR="003316E8">
        <w:rPr>
          <w:szCs w:val="24"/>
        </w:rPr>
        <w:t>Two</w:t>
      </w:r>
      <w:r w:rsidRPr="006111E4">
        <w:rPr>
          <w:szCs w:val="24"/>
        </w:rPr>
        <w:t>.</w:t>
      </w:r>
    </w:p>
    <w:p w14:paraId="7A0CA763" w14:textId="0EE5E276" w:rsidR="0069355C" w:rsidRPr="001B305A" w:rsidRDefault="001A58B9" w:rsidP="001B305A">
      <w:pPr>
        <w:spacing w:after="240"/>
      </w:pPr>
      <w:r>
        <w:t>CMR</w:t>
      </w:r>
      <w:r w:rsidR="0069355C" w:rsidRPr="00742EB5">
        <w:t xml:space="preserve"> for myocardial viability imaging is intended to replace existing methods of viability imaging</w:t>
      </w:r>
      <w:r w:rsidR="0069355C">
        <w:t xml:space="preserve"> due to improved safety </w:t>
      </w:r>
      <w:r w:rsidR="003316E8">
        <w:t xml:space="preserve">and improved diagnostic performance </w:t>
      </w:r>
      <w:r w:rsidR="0069355C">
        <w:t xml:space="preserve">compared </w:t>
      </w:r>
      <w:r w:rsidR="003316E8">
        <w:t>to Db-Echo and SPECT</w:t>
      </w:r>
      <w:r w:rsidR="0069355C">
        <w:t xml:space="preserve">; patients will not be exposed to </w:t>
      </w:r>
      <w:r w:rsidR="003316E8">
        <w:t xml:space="preserve">a stressor (as in Db-Echo) or to </w:t>
      </w:r>
      <w:r w:rsidR="0069355C">
        <w:t>ionising radiation</w:t>
      </w:r>
      <w:r w:rsidR="003316E8">
        <w:t xml:space="preserve"> (as in SPECT)</w:t>
      </w:r>
      <w:r w:rsidR="0069355C">
        <w:t>.</w:t>
      </w:r>
    </w:p>
    <w:p w14:paraId="57F4F9F9" w14:textId="08929D51" w:rsidR="00BC1364" w:rsidRPr="00725B10" w:rsidRDefault="00BC1364" w:rsidP="00725B10">
      <w:pPr>
        <w:pStyle w:val="Heading1"/>
      </w:pPr>
      <w:r w:rsidRPr="00725B10">
        <w:t>Comparative safety</w:t>
      </w:r>
    </w:p>
    <w:p w14:paraId="6C26B027" w14:textId="77777777" w:rsidR="002C5B39" w:rsidRPr="00C14E47" w:rsidRDefault="002C5B39" w:rsidP="001B305A">
      <w:pPr>
        <w:tabs>
          <w:tab w:val="left" w:pos="720"/>
          <w:tab w:val="left" w:pos="1140"/>
        </w:tabs>
        <w:spacing w:after="240"/>
        <w:rPr>
          <w:i/>
          <w:szCs w:val="22"/>
        </w:rPr>
      </w:pPr>
      <w:r w:rsidRPr="00C14E47">
        <w:rPr>
          <w:i/>
          <w:szCs w:val="22"/>
        </w:rPr>
        <w:t>Population One</w:t>
      </w:r>
    </w:p>
    <w:p w14:paraId="0559CD06" w14:textId="12AE63A7" w:rsidR="002C5B39" w:rsidRPr="004803FE" w:rsidRDefault="002C5B39" w:rsidP="001B305A">
      <w:pPr>
        <w:tabs>
          <w:tab w:val="left" w:pos="1134"/>
          <w:tab w:val="left" w:pos="2268"/>
        </w:tabs>
        <w:spacing w:after="240"/>
        <w:rPr>
          <w:szCs w:val="23"/>
        </w:rPr>
      </w:pPr>
      <w:r w:rsidRPr="004803FE">
        <w:rPr>
          <w:szCs w:val="23"/>
        </w:rPr>
        <w:t xml:space="preserve">Most </w:t>
      </w:r>
      <w:r w:rsidR="003316E8">
        <w:rPr>
          <w:szCs w:val="23"/>
        </w:rPr>
        <w:t xml:space="preserve">acute </w:t>
      </w:r>
      <w:r w:rsidRPr="004803FE">
        <w:rPr>
          <w:szCs w:val="23"/>
        </w:rPr>
        <w:t xml:space="preserve">adverse events (AEs) associated with non-invasive imaging modalities are attributable to the use of a </w:t>
      </w:r>
      <w:r>
        <w:rPr>
          <w:szCs w:val="23"/>
        </w:rPr>
        <w:t>stressor</w:t>
      </w:r>
      <w:r w:rsidRPr="004803FE">
        <w:rPr>
          <w:szCs w:val="23"/>
        </w:rPr>
        <w:t xml:space="preserve">. </w:t>
      </w:r>
      <w:r>
        <w:rPr>
          <w:szCs w:val="23"/>
        </w:rPr>
        <w:t xml:space="preserve"> </w:t>
      </w:r>
      <w:r w:rsidR="00635AEA">
        <w:rPr>
          <w:szCs w:val="23"/>
        </w:rPr>
        <w:t>T</w:t>
      </w:r>
      <w:r w:rsidRPr="004803FE">
        <w:rPr>
          <w:szCs w:val="23"/>
        </w:rPr>
        <w:t xml:space="preserve">he number of serious AEs experienced by patients during ICA far outnumbers those resulting from any non-invasive imaging modality. </w:t>
      </w:r>
    </w:p>
    <w:p w14:paraId="6717A3A8" w14:textId="5FEFEEF0" w:rsidR="002C5B39" w:rsidRDefault="002C5B39" w:rsidP="001B305A">
      <w:pPr>
        <w:tabs>
          <w:tab w:val="left" w:pos="1134"/>
          <w:tab w:val="left" w:pos="2268"/>
        </w:tabs>
        <w:spacing w:after="240"/>
        <w:rPr>
          <w:szCs w:val="23"/>
        </w:rPr>
      </w:pPr>
      <w:r w:rsidRPr="004803FE">
        <w:rPr>
          <w:szCs w:val="23"/>
        </w:rPr>
        <w:t xml:space="preserve">The ICA procedure was associated with the highest risk of acute </w:t>
      </w:r>
      <w:r w:rsidR="00635AEA">
        <w:rPr>
          <w:szCs w:val="23"/>
        </w:rPr>
        <w:t>AEs</w:t>
      </w:r>
      <w:r w:rsidRPr="004803FE">
        <w:rPr>
          <w:szCs w:val="23"/>
        </w:rPr>
        <w:t xml:space="preserve">, and the use of a stressor was the most common cause of acute </w:t>
      </w:r>
      <w:r w:rsidR="00635AEA">
        <w:rPr>
          <w:szCs w:val="23"/>
        </w:rPr>
        <w:t>AEs</w:t>
      </w:r>
      <w:r w:rsidR="00635AEA" w:rsidRPr="004803FE">
        <w:rPr>
          <w:szCs w:val="23"/>
        </w:rPr>
        <w:t xml:space="preserve"> </w:t>
      </w:r>
      <w:r w:rsidRPr="004803FE">
        <w:rPr>
          <w:szCs w:val="23"/>
        </w:rPr>
        <w:t xml:space="preserve">with non-invasive imaging. </w:t>
      </w:r>
      <w:r>
        <w:rPr>
          <w:szCs w:val="23"/>
        </w:rPr>
        <w:t xml:space="preserve"> </w:t>
      </w:r>
      <w:r w:rsidRPr="004803FE">
        <w:rPr>
          <w:szCs w:val="23"/>
        </w:rPr>
        <w:t xml:space="preserve">Long-term mortality, mostly from </w:t>
      </w:r>
      <w:r w:rsidR="00635AEA">
        <w:rPr>
          <w:szCs w:val="23"/>
        </w:rPr>
        <w:t xml:space="preserve">radiation-induced </w:t>
      </w:r>
      <w:r w:rsidRPr="004803FE">
        <w:rPr>
          <w:szCs w:val="23"/>
        </w:rPr>
        <w:t xml:space="preserve">cancer or renal failure, is due to the use of </w:t>
      </w:r>
      <w:r w:rsidR="00635AEA">
        <w:rPr>
          <w:szCs w:val="23"/>
        </w:rPr>
        <w:t>X-rays (CTCA, ICA), radiopharmaceuticals (SPECT)</w:t>
      </w:r>
      <w:r w:rsidR="00635AEA" w:rsidRPr="004803FE">
        <w:rPr>
          <w:szCs w:val="23"/>
        </w:rPr>
        <w:t xml:space="preserve"> </w:t>
      </w:r>
      <w:r w:rsidRPr="004803FE">
        <w:rPr>
          <w:szCs w:val="23"/>
        </w:rPr>
        <w:t>and contrast agents</w:t>
      </w:r>
      <w:r w:rsidR="00635AEA">
        <w:rPr>
          <w:szCs w:val="23"/>
        </w:rPr>
        <w:t xml:space="preserve"> (CTCA, ICA and CMR)</w:t>
      </w:r>
      <w:r w:rsidRPr="004803FE">
        <w:rPr>
          <w:szCs w:val="23"/>
        </w:rPr>
        <w:t xml:space="preserve">. </w:t>
      </w:r>
      <w:r>
        <w:rPr>
          <w:szCs w:val="23"/>
        </w:rPr>
        <w:t xml:space="preserve"> </w:t>
      </w:r>
      <w:r w:rsidRPr="004803FE">
        <w:rPr>
          <w:szCs w:val="23"/>
        </w:rPr>
        <w:t xml:space="preserve">Conversely, the long-term mortality rate associated with exercise ECG and stress Echo are </w:t>
      </w:r>
      <w:r w:rsidR="00635AEA">
        <w:rPr>
          <w:szCs w:val="23"/>
        </w:rPr>
        <w:t>lowest</w:t>
      </w:r>
      <w:r w:rsidR="00635AEA" w:rsidRPr="004803FE">
        <w:rPr>
          <w:szCs w:val="23"/>
        </w:rPr>
        <w:t xml:space="preserve"> </w:t>
      </w:r>
      <w:r w:rsidRPr="004803FE">
        <w:rPr>
          <w:szCs w:val="23"/>
        </w:rPr>
        <w:t xml:space="preserve">because </w:t>
      </w:r>
      <w:r w:rsidR="00635AEA">
        <w:rPr>
          <w:szCs w:val="23"/>
        </w:rPr>
        <w:t>ionising radiation is</w:t>
      </w:r>
      <w:r w:rsidRPr="004803FE">
        <w:rPr>
          <w:szCs w:val="23"/>
        </w:rPr>
        <w:t xml:space="preserve"> not used with these tests, and contrast agents are only rarely used with </w:t>
      </w:r>
      <w:r>
        <w:rPr>
          <w:szCs w:val="23"/>
        </w:rPr>
        <w:t>e</w:t>
      </w:r>
      <w:r w:rsidRPr="004803FE">
        <w:rPr>
          <w:szCs w:val="23"/>
        </w:rPr>
        <w:t>cho.</w:t>
      </w:r>
    </w:p>
    <w:p w14:paraId="236010CB" w14:textId="0DF3E048" w:rsidR="006453E6" w:rsidRPr="00F412B4" w:rsidRDefault="00F412B4" w:rsidP="001B305A">
      <w:pPr>
        <w:tabs>
          <w:tab w:val="left" w:pos="1134"/>
          <w:tab w:val="left" w:pos="2268"/>
        </w:tabs>
        <w:spacing w:after="240"/>
        <w:rPr>
          <w:szCs w:val="24"/>
        </w:rPr>
      </w:pPr>
      <w:r w:rsidRPr="00F412B4">
        <w:rPr>
          <w:szCs w:val="24"/>
        </w:rPr>
        <w:t xml:space="preserve">The applicant’s </w:t>
      </w:r>
      <w:proofErr w:type="spellStart"/>
      <w:r w:rsidRPr="00F412B4">
        <w:rPr>
          <w:szCs w:val="24"/>
        </w:rPr>
        <w:t>preESC</w:t>
      </w:r>
      <w:proofErr w:type="spellEnd"/>
      <w:r w:rsidRPr="00F412B4">
        <w:rPr>
          <w:szCs w:val="24"/>
        </w:rPr>
        <w:t xml:space="preserve"> and </w:t>
      </w:r>
      <w:proofErr w:type="spellStart"/>
      <w:r w:rsidRPr="00F412B4">
        <w:rPr>
          <w:szCs w:val="24"/>
        </w:rPr>
        <w:t>preMSAC</w:t>
      </w:r>
      <w:proofErr w:type="spellEnd"/>
      <w:r w:rsidRPr="00F412B4">
        <w:rPr>
          <w:szCs w:val="24"/>
        </w:rPr>
        <w:t xml:space="preserve"> response stated</w:t>
      </w:r>
      <w:r w:rsidRPr="006453E6">
        <w:rPr>
          <w:szCs w:val="24"/>
        </w:rPr>
        <w:t xml:space="preserve"> </w:t>
      </w:r>
      <w:r w:rsidR="006453E6">
        <w:rPr>
          <w:szCs w:val="24"/>
        </w:rPr>
        <w:t>that</w:t>
      </w:r>
      <w:r w:rsidRPr="00F412B4">
        <w:rPr>
          <w:szCs w:val="24"/>
        </w:rPr>
        <w:t xml:space="preserve"> the acute risk of these tests includes death (albeit small) which would affect long-term mortality rates. Stress echo, particularly with a pharmacological agent, </w:t>
      </w:r>
      <w:r w:rsidR="004D062B">
        <w:rPr>
          <w:szCs w:val="24"/>
        </w:rPr>
        <w:t>may</w:t>
      </w:r>
      <w:r w:rsidRPr="00F412B4">
        <w:rPr>
          <w:szCs w:val="24"/>
        </w:rPr>
        <w:t xml:space="preserve"> cause </w:t>
      </w:r>
      <w:r w:rsidR="003316E8">
        <w:rPr>
          <w:szCs w:val="24"/>
        </w:rPr>
        <w:t>adverse</w:t>
      </w:r>
      <w:r w:rsidRPr="00F412B4">
        <w:rPr>
          <w:szCs w:val="24"/>
        </w:rPr>
        <w:t xml:space="preserve"> effects including cardiac arrhythmia (such as non-sustained ventricular tachycardia) and myocardial infarction, which may be life threatening. A major stress echo registry </w:t>
      </w:r>
      <w:r w:rsidR="004D062B">
        <w:rPr>
          <w:szCs w:val="24"/>
        </w:rPr>
        <w:t xml:space="preserve">of 85,997 patient examinations </w:t>
      </w:r>
      <w:r w:rsidRPr="00F412B4">
        <w:rPr>
          <w:szCs w:val="24"/>
        </w:rPr>
        <w:t xml:space="preserve">indicated major complications occurred in 86 cases and </w:t>
      </w:r>
      <w:r w:rsidR="004D062B">
        <w:rPr>
          <w:szCs w:val="24"/>
        </w:rPr>
        <w:t>6</w:t>
      </w:r>
      <w:r w:rsidRPr="00F412B4">
        <w:rPr>
          <w:szCs w:val="24"/>
        </w:rPr>
        <w:t xml:space="preserve"> died as a direct result of the stress echo </w:t>
      </w:r>
      <w:r w:rsidRPr="00F412B4">
        <w:rPr>
          <w:i/>
          <w:szCs w:val="24"/>
        </w:rPr>
        <w:t>(</w:t>
      </w:r>
      <w:proofErr w:type="spellStart"/>
      <w:r w:rsidRPr="00F412B4">
        <w:rPr>
          <w:i/>
          <w:szCs w:val="24"/>
        </w:rPr>
        <w:t>Varga</w:t>
      </w:r>
      <w:proofErr w:type="spellEnd"/>
      <w:r w:rsidRPr="00F412B4">
        <w:rPr>
          <w:i/>
          <w:szCs w:val="24"/>
        </w:rPr>
        <w:t xml:space="preserve"> A et al. Am J </w:t>
      </w:r>
      <w:proofErr w:type="spellStart"/>
      <w:r w:rsidRPr="00F412B4">
        <w:rPr>
          <w:i/>
          <w:szCs w:val="24"/>
        </w:rPr>
        <w:t>Cardiol</w:t>
      </w:r>
      <w:proofErr w:type="spellEnd"/>
      <w:r w:rsidRPr="00F412B4">
        <w:rPr>
          <w:i/>
          <w:szCs w:val="24"/>
        </w:rPr>
        <w:t>. 2006 Aug 15</w:t>
      </w:r>
      <w:proofErr w:type="gramStart"/>
      <w:r w:rsidRPr="00F412B4">
        <w:rPr>
          <w:i/>
          <w:szCs w:val="24"/>
        </w:rPr>
        <w:t>;98</w:t>
      </w:r>
      <w:proofErr w:type="gramEnd"/>
      <w:r w:rsidRPr="00F412B4">
        <w:rPr>
          <w:i/>
          <w:szCs w:val="24"/>
        </w:rPr>
        <w:t>(4):541-3)</w:t>
      </w:r>
      <w:r w:rsidRPr="00F412B4">
        <w:rPr>
          <w:szCs w:val="24"/>
        </w:rPr>
        <w:t>.</w:t>
      </w:r>
    </w:p>
    <w:p w14:paraId="3770F13F" w14:textId="77777777" w:rsidR="002C5B39" w:rsidRPr="00725B10" w:rsidRDefault="002C5B39" w:rsidP="001B305A">
      <w:pPr>
        <w:tabs>
          <w:tab w:val="left" w:pos="1134"/>
          <w:tab w:val="left" w:pos="2268"/>
        </w:tabs>
        <w:spacing w:after="240"/>
        <w:rPr>
          <w:rStyle w:val="SubtleEmphasis"/>
        </w:rPr>
      </w:pPr>
      <w:r w:rsidRPr="00725B10">
        <w:rPr>
          <w:rStyle w:val="SubtleEmphasis"/>
        </w:rPr>
        <w:t>Population Two</w:t>
      </w:r>
    </w:p>
    <w:p w14:paraId="7811A0AC" w14:textId="3B107DE8" w:rsidR="002C5B39" w:rsidRPr="004803FE" w:rsidRDefault="002C5B39" w:rsidP="001B305A">
      <w:pPr>
        <w:spacing w:after="240"/>
      </w:pPr>
      <w:r w:rsidRPr="004803FE">
        <w:t xml:space="preserve">The number of serious AEs experienced by patients during </w:t>
      </w:r>
      <w:r w:rsidR="00DA7046">
        <w:t>Db-Echo</w:t>
      </w:r>
      <w:r w:rsidRPr="004803FE">
        <w:t xml:space="preserve"> outnumbers those resulting from the other </w:t>
      </w:r>
      <w:r w:rsidR="006B2CA8">
        <w:t>two</w:t>
      </w:r>
      <w:r w:rsidR="006B2CA8" w:rsidRPr="004803FE">
        <w:t xml:space="preserve"> </w:t>
      </w:r>
      <w:r w:rsidRPr="004803FE">
        <w:t>non-invasive imaging modalities</w:t>
      </w:r>
      <w:r w:rsidR="0037558F">
        <w:t xml:space="preserve"> in current clinical use</w:t>
      </w:r>
      <w:r w:rsidRPr="004803FE">
        <w:t xml:space="preserve"> </w:t>
      </w:r>
      <w:r w:rsidR="006B2CA8">
        <w:t xml:space="preserve">(rest SPECT and LGE-CMR) </w:t>
      </w:r>
      <w:r w:rsidRPr="004803FE">
        <w:t xml:space="preserve">due to the use of a stressor. </w:t>
      </w:r>
      <w:r>
        <w:t xml:space="preserve"> LGE-</w:t>
      </w:r>
      <w:r w:rsidR="001A58B9">
        <w:t>CMR</w:t>
      </w:r>
      <w:r w:rsidRPr="004803FE">
        <w:t xml:space="preserve"> has similar safety with respect to serious AEs to SPECT; for </w:t>
      </w:r>
      <w:r w:rsidR="006B2CA8">
        <w:t xml:space="preserve">LGE-CMR, </w:t>
      </w:r>
      <w:r w:rsidRPr="004803FE">
        <w:t>the majority of the serious AEs are caused by the contrast agent.</w:t>
      </w:r>
    </w:p>
    <w:p w14:paraId="4676F56A" w14:textId="19004980" w:rsidR="002C5B39" w:rsidRPr="001B305A" w:rsidRDefault="00C258C6" w:rsidP="001B305A">
      <w:pPr>
        <w:spacing w:after="240"/>
      </w:pPr>
      <w:r>
        <w:t>Whilst p</w:t>
      </w:r>
      <w:r w:rsidR="002C5B39" w:rsidRPr="004803FE">
        <w:t xml:space="preserve">atients undergoing </w:t>
      </w:r>
      <w:r w:rsidR="00DA7046">
        <w:t>Db-Echo</w:t>
      </w:r>
      <w:r w:rsidR="00DA7046" w:rsidRPr="004803FE">
        <w:t xml:space="preserve"> </w:t>
      </w:r>
      <w:r w:rsidR="002C5B39" w:rsidRPr="004803FE">
        <w:t>are more likely to suffer an acute event resulting in death than those having LGE-CMR</w:t>
      </w:r>
      <w:r w:rsidR="006B2CA8">
        <w:t xml:space="preserve"> or </w:t>
      </w:r>
      <w:r w:rsidR="002C5B39" w:rsidRPr="004803FE">
        <w:t xml:space="preserve">SPECT due to the use of a stressor, patients undergoing </w:t>
      </w:r>
      <w:r w:rsidR="00DA7046">
        <w:t>Db-Echo</w:t>
      </w:r>
      <w:r w:rsidR="00DA7046" w:rsidRPr="004803FE">
        <w:t xml:space="preserve"> </w:t>
      </w:r>
      <w:r w:rsidR="002C5B39" w:rsidRPr="004803FE">
        <w:t xml:space="preserve">are unlikely to die from the long-term effects </w:t>
      </w:r>
      <w:r w:rsidR="006B2CA8">
        <w:t xml:space="preserve">potentially </w:t>
      </w:r>
      <w:r w:rsidR="002C5B39" w:rsidRPr="004803FE">
        <w:t xml:space="preserve">caused by </w:t>
      </w:r>
      <w:r>
        <w:t xml:space="preserve">SPECT </w:t>
      </w:r>
      <w:r w:rsidR="006B2CA8">
        <w:t>radiopharmaceuticals</w:t>
      </w:r>
      <w:r w:rsidR="002C5B39" w:rsidRPr="004803FE">
        <w:t xml:space="preserve"> or the contrast agents used in LGE-CMR. LGE-CMR </w:t>
      </w:r>
      <w:r w:rsidR="006B2CA8">
        <w:t>is therefore likely to have</w:t>
      </w:r>
      <w:r w:rsidR="006B2CA8" w:rsidRPr="004803FE">
        <w:t xml:space="preserve"> </w:t>
      </w:r>
      <w:r w:rsidR="002C5B39" w:rsidRPr="004803FE">
        <w:t xml:space="preserve">similar </w:t>
      </w:r>
      <w:r w:rsidR="0037558F">
        <w:t xml:space="preserve">long-term </w:t>
      </w:r>
      <w:r w:rsidR="002C5B39" w:rsidRPr="004803FE">
        <w:t>safety to SPECT.</w:t>
      </w:r>
    </w:p>
    <w:p w14:paraId="17EC130B" w14:textId="3DFA7912" w:rsidR="00BC1364" w:rsidRPr="001B305A" w:rsidRDefault="002C5B39" w:rsidP="001B305A">
      <w:pPr>
        <w:pStyle w:val="Default"/>
        <w:spacing w:after="240"/>
      </w:pPr>
      <w:r w:rsidRPr="004803FE">
        <w:t>On the basis of the benefits and harms reported in the evidence-base, it is suggested that LGE-</w:t>
      </w:r>
      <w:r w:rsidR="001A58B9">
        <w:t>CMR</w:t>
      </w:r>
      <w:r w:rsidRPr="004803FE">
        <w:t xml:space="preserve"> has </w:t>
      </w:r>
      <w:r w:rsidR="000D79CC" w:rsidRPr="004D2CE1">
        <w:rPr>
          <w:bCs/>
        </w:rPr>
        <w:t xml:space="preserve">non-inferior safety </w:t>
      </w:r>
      <w:r w:rsidR="000D79CC" w:rsidRPr="004D2CE1">
        <w:t xml:space="preserve">relative to </w:t>
      </w:r>
      <w:r w:rsidR="00DA7046">
        <w:rPr>
          <w:bCs/>
        </w:rPr>
        <w:t>Db-Echo</w:t>
      </w:r>
      <w:r w:rsidR="00DA7046" w:rsidRPr="004D2CE1">
        <w:rPr>
          <w:bCs/>
        </w:rPr>
        <w:t xml:space="preserve"> </w:t>
      </w:r>
      <w:r w:rsidR="000D79CC" w:rsidRPr="004D2CE1">
        <w:rPr>
          <w:bCs/>
        </w:rPr>
        <w:t>and SPECT</w:t>
      </w:r>
      <w:r w:rsidR="000D79CC">
        <w:rPr>
          <w:bCs/>
        </w:rPr>
        <w:t>.</w:t>
      </w:r>
    </w:p>
    <w:p w14:paraId="4F159D54" w14:textId="6E4DE942" w:rsidR="00BC1364" w:rsidRPr="00725B10" w:rsidRDefault="00BC1364" w:rsidP="00725B10">
      <w:pPr>
        <w:pStyle w:val="Heading1"/>
      </w:pPr>
      <w:r w:rsidRPr="00725B10">
        <w:lastRenderedPageBreak/>
        <w:t>Comparative effectiveness</w:t>
      </w:r>
    </w:p>
    <w:p w14:paraId="0B417B15" w14:textId="77777777" w:rsidR="00C14E47" w:rsidRPr="00C14E47" w:rsidRDefault="00C14E47" w:rsidP="001B305A">
      <w:pPr>
        <w:spacing w:after="240"/>
        <w:rPr>
          <w:i/>
        </w:rPr>
      </w:pPr>
      <w:r w:rsidRPr="00C14E47">
        <w:rPr>
          <w:i/>
        </w:rPr>
        <w:t>Population One</w:t>
      </w:r>
    </w:p>
    <w:p w14:paraId="3D0D87CF" w14:textId="6D9C7037" w:rsidR="00C14E47" w:rsidRPr="001B305A" w:rsidRDefault="000D79CC" w:rsidP="001B305A">
      <w:pPr>
        <w:spacing w:after="240"/>
        <w:rPr>
          <w:szCs w:val="23"/>
        </w:rPr>
      </w:pPr>
      <w:r>
        <w:t>A</w:t>
      </w:r>
      <w:r w:rsidRPr="004803FE">
        <w:t xml:space="preserve"> </w:t>
      </w:r>
      <w:r w:rsidR="00C14E47" w:rsidRPr="004803FE">
        <w:t xml:space="preserve">pragmatic </w:t>
      </w:r>
      <w:r>
        <w:t>trial</w:t>
      </w:r>
      <w:r w:rsidR="00C14E47" w:rsidRPr="004803FE">
        <w:t xml:space="preserve"> of non-invasive cardiac testing (</w:t>
      </w:r>
      <w:proofErr w:type="spellStart"/>
      <w:r w:rsidR="00C14E47" w:rsidRPr="004803FE">
        <w:t>CECaT</w:t>
      </w:r>
      <w:proofErr w:type="spellEnd"/>
      <w:r w:rsidR="00C14E47" w:rsidRPr="004803FE">
        <w:t>) compared the effect of initial diagnosis of CAD using SP-</w:t>
      </w:r>
      <w:r w:rsidR="001A58B9">
        <w:t>CMR</w:t>
      </w:r>
      <w:r w:rsidR="00C14E47" w:rsidRPr="004803FE">
        <w:t xml:space="preserve">, </w:t>
      </w:r>
      <w:proofErr w:type="gramStart"/>
      <w:r w:rsidR="00C14E47" w:rsidRPr="004803FE">
        <w:t>SPECT,</w:t>
      </w:r>
      <w:proofErr w:type="gramEnd"/>
      <w:r w:rsidR="00C14E47" w:rsidRPr="004803FE">
        <w:t xml:space="preserve"> stress Echo or ICA on patient management and outcomes. </w:t>
      </w:r>
      <w:r w:rsidR="00C14E47">
        <w:t xml:space="preserve"> </w:t>
      </w:r>
      <w:r w:rsidR="00C14E47" w:rsidRPr="004803FE">
        <w:t xml:space="preserve">The trial reported that having an initial non-invasive imaging test reduced the number of patients having ICA by 25%, consisting mostly of patients with negative </w:t>
      </w:r>
      <w:r>
        <w:t xml:space="preserve">non-invasive test </w:t>
      </w:r>
      <w:r w:rsidR="00C14E47" w:rsidRPr="004803FE">
        <w:t>result</w:t>
      </w:r>
      <w:r>
        <w:t>s</w:t>
      </w:r>
      <w:r w:rsidR="00C14E47" w:rsidRPr="004803FE">
        <w:t xml:space="preserve">. </w:t>
      </w:r>
      <w:r w:rsidR="00C14E47">
        <w:t xml:space="preserve"> </w:t>
      </w:r>
      <w:r w:rsidR="00C14E47" w:rsidRPr="004803FE">
        <w:t>There were no significant differences between imaging modality groups.</w:t>
      </w:r>
      <w:r w:rsidR="00C14E47" w:rsidRPr="004803FE">
        <w:rPr>
          <w:szCs w:val="23"/>
        </w:rPr>
        <w:t xml:space="preserve"> </w:t>
      </w:r>
      <w:r w:rsidR="00C14E47">
        <w:rPr>
          <w:szCs w:val="23"/>
        </w:rPr>
        <w:t xml:space="preserve"> </w:t>
      </w:r>
      <w:r w:rsidR="00C14E47" w:rsidRPr="004803FE">
        <w:rPr>
          <w:szCs w:val="23"/>
        </w:rPr>
        <w:t>However, SP-</w:t>
      </w:r>
      <w:r w:rsidR="001A58B9">
        <w:t>CMR</w:t>
      </w:r>
      <w:r w:rsidR="00C14E47" w:rsidRPr="004803FE">
        <w:t xml:space="preserve"> </w:t>
      </w:r>
      <w:r w:rsidR="00C14E47" w:rsidRPr="004803FE">
        <w:rPr>
          <w:szCs w:val="23"/>
        </w:rPr>
        <w:t xml:space="preserve">had a successful completion rate of only 78%, compared with 98%, 94% and 90% for the ICA, SPECT and stress </w:t>
      </w:r>
      <w:r w:rsidR="00C14E47">
        <w:rPr>
          <w:szCs w:val="23"/>
        </w:rPr>
        <w:t>e</w:t>
      </w:r>
      <w:r w:rsidR="00C14E47" w:rsidRPr="004803FE">
        <w:rPr>
          <w:szCs w:val="23"/>
        </w:rPr>
        <w:t xml:space="preserve">cho groups, respectively. </w:t>
      </w:r>
      <w:r w:rsidR="00C14E47">
        <w:rPr>
          <w:szCs w:val="23"/>
        </w:rPr>
        <w:t xml:space="preserve"> </w:t>
      </w:r>
      <w:r w:rsidR="00C14E47" w:rsidRPr="004803FE">
        <w:rPr>
          <w:szCs w:val="23"/>
        </w:rPr>
        <w:t>Thus, SP-</w:t>
      </w:r>
      <w:r w:rsidR="001A58B9">
        <w:t>CMR</w:t>
      </w:r>
      <w:r w:rsidR="00C14E47" w:rsidRPr="004803FE">
        <w:t xml:space="preserve"> </w:t>
      </w:r>
      <w:r w:rsidR="00C14E47" w:rsidRPr="004803FE">
        <w:rPr>
          <w:szCs w:val="23"/>
        </w:rPr>
        <w:t>may not be suitable for use in approximately 20% of the eligible testing population.</w:t>
      </w:r>
    </w:p>
    <w:p w14:paraId="21EF587B" w14:textId="2589D156" w:rsidR="00C14E47" w:rsidRDefault="00C14E47" w:rsidP="001B305A">
      <w:pPr>
        <w:spacing w:after="240"/>
      </w:pPr>
      <w:r w:rsidRPr="004803FE">
        <w:t>There were no clinically or statistically significant differences in morbidity, mortality or quality of life (</w:t>
      </w:r>
      <w:proofErr w:type="spellStart"/>
      <w:r w:rsidRPr="004803FE">
        <w:t>QoL</w:t>
      </w:r>
      <w:proofErr w:type="spellEnd"/>
      <w:r w:rsidRPr="004803FE">
        <w:t>) between the three non-invasive imaging groups when compared with the ICA group.</w:t>
      </w:r>
    </w:p>
    <w:p w14:paraId="16F615B0" w14:textId="13CBD695" w:rsidR="003F2C62" w:rsidRDefault="003F2C62" w:rsidP="001B305A">
      <w:pPr>
        <w:spacing w:after="240"/>
      </w:pPr>
      <w:r>
        <w:t xml:space="preserve">Non-invasive imaging may allow 20%–25% of patients suspected of having CAD to avoid having an ICA by ruling out those who are </w:t>
      </w:r>
      <w:r w:rsidR="001F1FDF">
        <w:t>at low risk</w:t>
      </w:r>
      <w:r>
        <w:t xml:space="preserve"> of cardiac events.</w:t>
      </w:r>
    </w:p>
    <w:p w14:paraId="79AAC019" w14:textId="343D2108" w:rsidR="00C14E47" w:rsidRPr="004803FE" w:rsidRDefault="00C14E47" w:rsidP="001B305A">
      <w:pPr>
        <w:spacing w:after="240"/>
      </w:pPr>
      <w:r>
        <w:t xml:space="preserve">For </w:t>
      </w:r>
      <w:r w:rsidR="00C258C6">
        <w:t>Population One</w:t>
      </w:r>
      <w:r w:rsidR="004D67F9">
        <w:t>,</w:t>
      </w:r>
      <w:r>
        <w:t xml:space="preserve"> o</w:t>
      </w:r>
      <w:r w:rsidRPr="004803FE">
        <w:t>n the basis of the benefits and harms reported in the evidence</w:t>
      </w:r>
      <w:r w:rsidR="00C258C6">
        <w:t xml:space="preserve"> </w:t>
      </w:r>
      <w:r w:rsidRPr="004803FE">
        <w:t>base, it is suggested that SP-</w:t>
      </w:r>
      <w:r w:rsidR="001A58B9">
        <w:t>CMR</w:t>
      </w:r>
      <w:r w:rsidRPr="004803FE">
        <w:t xml:space="preserve"> with/without LGE has:</w:t>
      </w:r>
    </w:p>
    <w:p w14:paraId="26988402" w14:textId="77777777" w:rsidR="00C14E47" w:rsidRPr="00FE79BC" w:rsidRDefault="00C14E47" w:rsidP="001B305A">
      <w:pPr>
        <w:pStyle w:val="Default"/>
        <w:numPr>
          <w:ilvl w:val="0"/>
          <w:numId w:val="27"/>
        </w:numPr>
        <w:tabs>
          <w:tab w:val="clear" w:pos="1080"/>
        </w:tabs>
        <w:spacing w:after="240"/>
        <w:ind w:left="851" w:hanging="567"/>
        <w:rPr>
          <w:bCs/>
        </w:rPr>
      </w:pPr>
      <w:r w:rsidRPr="00FE79BC">
        <w:rPr>
          <w:bCs/>
        </w:rPr>
        <w:t>non-inferior safety and inferior effectiveness relative to CTCA</w:t>
      </w:r>
    </w:p>
    <w:p w14:paraId="440CFD32" w14:textId="77777777" w:rsidR="00C14E47" w:rsidRPr="00FE79BC" w:rsidRDefault="00C14E47" w:rsidP="001B305A">
      <w:pPr>
        <w:pStyle w:val="Default"/>
        <w:numPr>
          <w:ilvl w:val="0"/>
          <w:numId w:val="27"/>
        </w:numPr>
        <w:tabs>
          <w:tab w:val="clear" w:pos="1080"/>
        </w:tabs>
        <w:spacing w:after="240"/>
        <w:ind w:left="851" w:hanging="567"/>
        <w:rPr>
          <w:bCs/>
        </w:rPr>
      </w:pPr>
      <w:r w:rsidRPr="00FE79BC">
        <w:rPr>
          <w:bCs/>
        </w:rPr>
        <w:t xml:space="preserve">inferior safety and non-inferior effectiveness relative to stress </w:t>
      </w:r>
      <w:r>
        <w:rPr>
          <w:bCs/>
        </w:rPr>
        <w:t>e</w:t>
      </w:r>
      <w:r w:rsidRPr="00FE79BC">
        <w:rPr>
          <w:bCs/>
        </w:rPr>
        <w:t>cho</w:t>
      </w:r>
    </w:p>
    <w:p w14:paraId="415A310B" w14:textId="77777777" w:rsidR="00C14E47" w:rsidRPr="00FE79BC" w:rsidRDefault="00C14E47" w:rsidP="001B305A">
      <w:pPr>
        <w:pStyle w:val="Default"/>
        <w:numPr>
          <w:ilvl w:val="0"/>
          <w:numId w:val="27"/>
        </w:numPr>
        <w:tabs>
          <w:tab w:val="clear" w:pos="1080"/>
        </w:tabs>
        <w:spacing w:after="240"/>
        <w:ind w:left="851" w:hanging="567"/>
        <w:rPr>
          <w:bCs/>
        </w:rPr>
      </w:pPr>
      <w:r w:rsidRPr="00FE79BC">
        <w:rPr>
          <w:bCs/>
        </w:rPr>
        <w:t>non-inferior safety and non-inferior effectiveness relative to SPECT</w:t>
      </w:r>
    </w:p>
    <w:p w14:paraId="0BD838F4" w14:textId="6C49AA01" w:rsidR="00C14E47" w:rsidRPr="001B305A" w:rsidRDefault="00C14E47" w:rsidP="001B305A">
      <w:pPr>
        <w:pStyle w:val="Default"/>
        <w:numPr>
          <w:ilvl w:val="0"/>
          <w:numId w:val="27"/>
        </w:numPr>
        <w:tabs>
          <w:tab w:val="clear" w:pos="1080"/>
        </w:tabs>
        <w:spacing w:after="240"/>
        <w:ind w:left="851" w:hanging="567"/>
        <w:rPr>
          <w:bCs/>
        </w:rPr>
      </w:pPr>
      <w:proofErr w:type="gramStart"/>
      <w:r w:rsidRPr="00FE79BC">
        <w:rPr>
          <w:bCs/>
        </w:rPr>
        <w:t>inferior</w:t>
      </w:r>
      <w:proofErr w:type="gramEnd"/>
      <w:r w:rsidRPr="00FE79BC">
        <w:rPr>
          <w:bCs/>
        </w:rPr>
        <w:t xml:space="preserve"> safety and superior effectiveness relative to exercise ECG.</w:t>
      </w:r>
    </w:p>
    <w:p w14:paraId="010D8D6F" w14:textId="77777777" w:rsidR="00C14E47" w:rsidRPr="00725B10" w:rsidRDefault="00C14E47" w:rsidP="001B305A">
      <w:pPr>
        <w:spacing w:after="240"/>
        <w:rPr>
          <w:rStyle w:val="SubtleEmphasis"/>
        </w:rPr>
      </w:pPr>
      <w:r w:rsidRPr="00725B10">
        <w:rPr>
          <w:rStyle w:val="SubtleEmphasis"/>
        </w:rPr>
        <w:t>Population Two</w:t>
      </w:r>
    </w:p>
    <w:p w14:paraId="7FF795EA" w14:textId="77777777" w:rsidR="00C14E47" w:rsidRDefault="00C14E47" w:rsidP="001B305A">
      <w:pPr>
        <w:pStyle w:val="ListParagraph"/>
        <w:spacing w:after="240"/>
        <w:ind w:left="0"/>
      </w:pPr>
      <w:r w:rsidRPr="004803FE">
        <w:t xml:space="preserve">There was no direct evidence for </w:t>
      </w:r>
      <w:r>
        <w:t>P</w:t>
      </w:r>
      <w:r w:rsidRPr="004803FE">
        <w:t xml:space="preserve">opulation </w:t>
      </w:r>
      <w:r>
        <w:t>Two</w:t>
      </w:r>
      <w:r w:rsidRPr="004803FE">
        <w:t>.</w:t>
      </w:r>
    </w:p>
    <w:p w14:paraId="583F33DC" w14:textId="77777777" w:rsidR="00BE76AF" w:rsidRDefault="00BE76AF" w:rsidP="001B305A">
      <w:pPr>
        <w:pStyle w:val="ListParagraph"/>
        <w:spacing w:after="240"/>
        <w:ind w:left="0"/>
      </w:pPr>
    </w:p>
    <w:p w14:paraId="47997CD2" w14:textId="7650A6A1" w:rsidR="00FA104E" w:rsidRDefault="00FA104E" w:rsidP="001B305A">
      <w:pPr>
        <w:pStyle w:val="ListParagraph"/>
        <w:spacing w:after="240"/>
        <w:ind w:left="0"/>
      </w:pPr>
      <w:r>
        <w:t>One good-quality RCT was identified</w:t>
      </w:r>
      <w:r w:rsidR="00E5218F">
        <w:t xml:space="preserve">, the </w:t>
      </w:r>
      <w:r w:rsidR="00E5218F" w:rsidRPr="006964DF">
        <w:t xml:space="preserve">Surgical Treatment for Ischemic Heart Failure (STICH) </w:t>
      </w:r>
      <w:r w:rsidR="00E5218F">
        <w:t>trial</w:t>
      </w:r>
      <w:r>
        <w:t xml:space="preserve">, which showed that when patients with and without </w:t>
      </w:r>
      <w:r w:rsidR="00E12685">
        <w:t xml:space="preserve">evidence of myocardial </w:t>
      </w:r>
      <w:r>
        <w:t xml:space="preserve">viability </w:t>
      </w:r>
      <w:r w:rsidR="00E12685">
        <w:t xml:space="preserve">on SPECT or Db-Echo </w:t>
      </w:r>
      <w:r>
        <w:t xml:space="preserve">were randomised to medical therapy or revascularisation, there </w:t>
      </w:r>
      <w:r w:rsidR="00E12685">
        <w:t xml:space="preserve">was </w:t>
      </w:r>
      <w:r>
        <w:t xml:space="preserve">no significant difference </w:t>
      </w:r>
      <w:r w:rsidR="00E12685">
        <w:t xml:space="preserve">in mortality </w:t>
      </w:r>
      <w:r>
        <w:t xml:space="preserve">between treatments in either the viability or non-viability arms. Therefore, regardless of the accuracy of LGE-CMR for ruling out viability, using </w:t>
      </w:r>
      <w:r w:rsidR="00E12685">
        <w:t xml:space="preserve">viability </w:t>
      </w:r>
      <w:r>
        <w:t xml:space="preserve">information to guide whether </w:t>
      </w:r>
      <w:r w:rsidR="00E12685">
        <w:t xml:space="preserve">or not </w:t>
      </w:r>
      <w:r>
        <w:t xml:space="preserve">patients </w:t>
      </w:r>
      <w:r w:rsidR="00E12685">
        <w:t xml:space="preserve">should be </w:t>
      </w:r>
      <w:proofErr w:type="spellStart"/>
      <w:r>
        <w:t>revascularised</w:t>
      </w:r>
      <w:proofErr w:type="spellEnd"/>
      <w:r>
        <w:t xml:space="preserve"> does not appear to </w:t>
      </w:r>
      <w:r w:rsidR="00E12685">
        <w:t>improve mortality</w:t>
      </w:r>
      <w:r>
        <w:t>. Assessment of viability cannot therefore be considered to be effective.</w:t>
      </w:r>
    </w:p>
    <w:p w14:paraId="6656682B" w14:textId="77777777" w:rsidR="004D67F9" w:rsidRPr="00E55D15" w:rsidRDefault="004D67F9" w:rsidP="001B305A">
      <w:pPr>
        <w:tabs>
          <w:tab w:val="left" w:pos="1134"/>
          <w:tab w:val="left" w:pos="2268"/>
        </w:tabs>
        <w:spacing w:after="240"/>
      </w:pPr>
      <w:r>
        <w:t xml:space="preserve">On the basis of the benefits and harms reported in the evidence-base, </w:t>
      </w:r>
      <w:r w:rsidRPr="00E55D15">
        <w:t xml:space="preserve">it is suggested that </w:t>
      </w:r>
      <w:r>
        <w:t>LGE</w:t>
      </w:r>
      <w:r w:rsidRPr="00E55D15">
        <w:t>-CMR has:</w:t>
      </w:r>
    </w:p>
    <w:p w14:paraId="1BE71855" w14:textId="34786151" w:rsidR="004D67F9" w:rsidRPr="004D67F9" w:rsidRDefault="004D67F9" w:rsidP="001B305A">
      <w:pPr>
        <w:pStyle w:val="ListParagraph"/>
        <w:numPr>
          <w:ilvl w:val="0"/>
          <w:numId w:val="31"/>
        </w:numPr>
        <w:spacing w:after="240"/>
        <w:ind w:left="425" w:hanging="357"/>
        <w:contextualSpacing w:val="0"/>
        <w:jc w:val="both"/>
      </w:pPr>
      <w:r w:rsidRPr="004D67F9">
        <w:t xml:space="preserve">non-inferior safety and superior ability to rule out </w:t>
      </w:r>
      <w:r w:rsidR="00E12685">
        <w:t>significant myocardial</w:t>
      </w:r>
      <w:r w:rsidRPr="004D67F9">
        <w:t xml:space="preserve"> viability relative to </w:t>
      </w:r>
      <w:r w:rsidR="00DA7046">
        <w:t>Db-Echo</w:t>
      </w:r>
      <w:r w:rsidR="00DA7046" w:rsidRPr="004D67F9">
        <w:t xml:space="preserve"> </w:t>
      </w:r>
      <w:r w:rsidRPr="004D67F9">
        <w:t>and SPECT</w:t>
      </w:r>
      <w:r w:rsidR="00E12685">
        <w:t>, with recovery of regional LV function as the reference standard;</w:t>
      </w:r>
    </w:p>
    <w:p w14:paraId="50C7DD90" w14:textId="5938E25B" w:rsidR="00C258C6" w:rsidRDefault="004D67F9" w:rsidP="001B305A">
      <w:pPr>
        <w:pStyle w:val="ListParagraph"/>
        <w:numPr>
          <w:ilvl w:val="0"/>
          <w:numId w:val="31"/>
        </w:numPr>
        <w:spacing w:after="240"/>
        <w:ind w:left="426"/>
        <w:contextualSpacing w:val="0"/>
        <w:jc w:val="both"/>
      </w:pPr>
      <w:proofErr w:type="gramStart"/>
      <w:r w:rsidRPr="004D67F9">
        <w:t>superior</w:t>
      </w:r>
      <w:proofErr w:type="gramEnd"/>
      <w:r w:rsidRPr="004D67F9">
        <w:t xml:space="preserve"> safety and unknown effectiveness relative to CT-DCE.</w:t>
      </w:r>
    </w:p>
    <w:p w14:paraId="51872A15" w14:textId="610BEAD0" w:rsidR="004D67F9" w:rsidRDefault="004D67F9" w:rsidP="001B305A">
      <w:pPr>
        <w:tabs>
          <w:tab w:val="left" w:pos="1134"/>
          <w:tab w:val="left" w:pos="2268"/>
        </w:tabs>
        <w:spacing w:after="240"/>
      </w:pPr>
      <w:r w:rsidRPr="004D67F9">
        <w:lastRenderedPageBreak/>
        <w:t xml:space="preserve">However, strong evidence suggests that testing for viability does not </w:t>
      </w:r>
      <w:r w:rsidR="00E12685">
        <w:t>improve mortality</w:t>
      </w:r>
      <w:r w:rsidRPr="004D67F9">
        <w:t xml:space="preserve"> </w:t>
      </w:r>
      <w:r w:rsidR="00E12685">
        <w:t>over</w:t>
      </w:r>
      <w:r w:rsidR="00E12685" w:rsidRPr="004D67F9">
        <w:t xml:space="preserve"> </w:t>
      </w:r>
      <w:r w:rsidRPr="004D67F9">
        <w:t>5 years.</w:t>
      </w:r>
    </w:p>
    <w:p w14:paraId="22E1183D" w14:textId="58D32516" w:rsidR="00BC1364" w:rsidRPr="00725B10" w:rsidRDefault="00BC1364" w:rsidP="00725B10">
      <w:pPr>
        <w:pStyle w:val="Heading1"/>
      </w:pPr>
      <w:r w:rsidRPr="00725B10">
        <w:t>Economic evaluation</w:t>
      </w:r>
    </w:p>
    <w:p w14:paraId="306BAA3D" w14:textId="77777777" w:rsidR="006C0C5B" w:rsidRPr="00725B10" w:rsidRDefault="006C0C5B" w:rsidP="001B305A">
      <w:pPr>
        <w:spacing w:after="240"/>
        <w:rPr>
          <w:rStyle w:val="SubtleEmphasis"/>
        </w:rPr>
      </w:pPr>
      <w:r w:rsidRPr="00725B10">
        <w:rPr>
          <w:rStyle w:val="SubtleEmphasis"/>
        </w:rPr>
        <w:t>Population One</w:t>
      </w:r>
    </w:p>
    <w:p w14:paraId="2D6EA3FA" w14:textId="49A864E0" w:rsidR="006C0C5B" w:rsidRDefault="006C0C5B" w:rsidP="001B305A">
      <w:pPr>
        <w:spacing w:after="240"/>
        <w:rPr>
          <w:szCs w:val="24"/>
        </w:rPr>
      </w:pPr>
      <w:r w:rsidRPr="00DB3529">
        <w:rPr>
          <w:szCs w:val="24"/>
        </w:rPr>
        <w:t xml:space="preserve">The economic model for </w:t>
      </w:r>
      <w:r>
        <w:rPr>
          <w:szCs w:val="24"/>
        </w:rPr>
        <w:t>P</w:t>
      </w:r>
      <w:r w:rsidRPr="00DB3529">
        <w:rPr>
          <w:szCs w:val="24"/>
        </w:rPr>
        <w:t xml:space="preserve">opulation </w:t>
      </w:r>
      <w:r>
        <w:rPr>
          <w:szCs w:val="24"/>
        </w:rPr>
        <w:t>One</w:t>
      </w:r>
      <w:r w:rsidRPr="00DB3529">
        <w:rPr>
          <w:szCs w:val="24"/>
        </w:rPr>
        <w:t xml:space="preserve"> </w:t>
      </w:r>
      <w:r>
        <w:rPr>
          <w:szCs w:val="24"/>
        </w:rPr>
        <w:t>compared</w:t>
      </w:r>
      <w:r w:rsidRPr="00DB3529">
        <w:rPr>
          <w:szCs w:val="24"/>
        </w:rPr>
        <w:t xml:space="preserve"> SP-CMR with CTCA, ECG, Echo and SPECT in the population with an intermediate PTP of CAD. There </w:t>
      </w:r>
      <w:r>
        <w:rPr>
          <w:szCs w:val="24"/>
        </w:rPr>
        <w:t>are</w:t>
      </w:r>
      <w:r w:rsidRPr="00DB3529">
        <w:rPr>
          <w:szCs w:val="24"/>
        </w:rPr>
        <w:t xml:space="preserve"> inadequate data to reliably construct an economic model to generate a full cost-utility analysis. However, a comparative cost analysis of SP-CMR</w:t>
      </w:r>
      <w:r w:rsidR="000817E1">
        <w:rPr>
          <w:szCs w:val="24"/>
        </w:rPr>
        <w:t xml:space="preserve"> with LGE</w:t>
      </w:r>
      <w:r w:rsidRPr="00DB3529">
        <w:rPr>
          <w:szCs w:val="24"/>
        </w:rPr>
        <w:t xml:space="preserve"> and its comparators, incorporating downstream diagnostic costs and utilising data from the clinical evaluation regarding the accuracy, re-testing and AE rates has been undertaken and the consequences of the different testing strategies is discussed. Additionally, cost-effectiveness analyses with outcomes of interest being (</w:t>
      </w:r>
      <w:proofErr w:type="spellStart"/>
      <w:r w:rsidRPr="00DB3529">
        <w:rPr>
          <w:szCs w:val="24"/>
        </w:rPr>
        <w:t>i</w:t>
      </w:r>
      <w:proofErr w:type="spellEnd"/>
      <w:r w:rsidRPr="00DB3529">
        <w:rPr>
          <w:szCs w:val="24"/>
        </w:rPr>
        <w:t>) incremental cost per correct initial test result (ii) cost per unnecessary ICA avoided and (iii) cost per useful ICA referred are provided.</w:t>
      </w:r>
    </w:p>
    <w:p w14:paraId="7AF174FE" w14:textId="3742ABF6" w:rsidR="006B4333" w:rsidRDefault="00B35529" w:rsidP="001B305A">
      <w:pPr>
        <w:pStyle w:val="Default"/>
        <w:spacing w:after="240"/>
      </w:pPr>
      <w:r w:rsidRPr="00183E4D">
        <w:t xml:space="preserve">The </w:t>
      </w:r>
      <w:r>
        <w:t>absolute</w:t>
      </w:r>
      <w:r w:rsidRPr="00183E4D">
        <w:t xml:space="preserve"> costs and outcomes</w:t>
      </w:r>
      <w:r>
        <w:t xml:space="preserve"> for each of the non-invasive testing strategies are presented in Table 2.</w:t>
      </w:r>
    </w:p>
    <w:p w14:paraId="2DD9CFC4" w14:textId="77777777" w:rsidR="00B35529" w:rsidRDefault="00B35529" w:rsidP="001B305A">
      <w:pPr>
        <w:pStyle w:val="TableHeading"/>
        <w:spacing w:before="0" w:after="0"/>
      </w:pPr>
      <w:bookmarkStart w:id="4" w:name="_Ref437009361"/>
      <w:bookmarkStart w:id="5" w:name="_Toc439954433"/>
      <w:r>
        <w:t xml:space="preserve">Table </w:t>
      </w:r>
      <w:bookmarkEnd w:id="4"/>
      <w:r>
        <w:t>2</w:t>
      </w:r>
      <w:r>
        <w:tab/>
        <w:t>Absolute results—test results and costs across all comparators</w:t>
      </w:r>
      <w:bookmarkEnd w:id="5"/>
    </w:p>
    <w:tbl>
      <w:tblPr>
        <w:tblStyle w:val="TableGrid"/>
        <w:tblW w:w="0" w:type="auto"/>
        <w:tblInd w:w="108" w:type="dxa"/>
        <w:tblLayout w:type="fixed"/>
        <w:tblLook w:val="04A0" w:firstRow="1" w:lastRow="0" w:firstColumn="1" w:lastColumn="0" w:noHBand="0" w:noVBand="1"/>
        <w:tblDescription w:val="Table ES.5 Absolute results for each non-invasive tetsing strategy in the economic evaluation, including the outcomes of testing, ICAs performed and missed and costs"/>
      </w:tblPr>
      <w:tblGrid>
        <w:gridCol w:w="3119"/>
        <w:gridCol w:w="1203"/>
        <w:gridCol w:w="1065"/>
        <w:gridCol w:w="1341"/>
        <w:gridCol w:w="1069"/>
        <w:gridCol w:w="1337"/>
      </w:tblGrid>
      <w:tr w:rsidR="00B35529" w14:paraId="5D9852BE" w14:textId="77777777" w:rsidTr="006111E4">
        <w:trPr>
          <w:tblHeader/>
        </w:trPr>
        <w:tc>
          <w:tcPr>
            <w:tcW w:w="3119" w:type="dxa"/>
            <w:tcBorders>
              <w:bottom w:val="single" w:sz="4" w:space="0" w:color="auto"/>
            </w:tcBorders>
          </w:tcPr>
          <w:p w14:paraId="18046AB2" w14:textId="77777777" w:rsidR="00B35529" w:rsidRPr="00407341" w:rsidRDefault="00B35529" w:rsidP="001B305A">
            <w:pPr>
              <w:pStyle w:val="TableHeading"/>
              <w:spacing w:before="0" w:after="240"/>
              <w:ind w:left="0" w:firstLine="0"/>
              <w:rPr>
                <w:color w:val="FFFFFF" w:themeColor="background1"/>
              </w:rPr>
            </w:pPr>
            <w:r w:rsidRPr="00407341">
              <w:rPr>
                <w:color w:val="FFFFFF" w:themeColor="background1"/>
              </w:rPr>
              <w:t>-</w:t>
            </w:r>
          </w:p>
        </w:tc>
        <w:tc>
          <w:tcPr>
            <w:tcW w:w="1203" w:type="dxa"/>
            <w:tcBorders>
              <w:bottom w:val="single" w:sz="4" w:space="0" w:color="auto"/>
            </w:tcBorders>
          </w:tcPr>
          <w:p w14:paraId="7C7DF5FE" w14:textId="77777777" w:rsidR="00B35529" w:rsidRDefault="00B35529" w:rsidP="001B305A">
            <w:pPr>
              <w:pStyle w:val="TableHeading"/>
              <w:spacing w:before="0" w:after="240"/>
              <w:ind w:left="0" w:firstLine="0"/>
            </w:pPr>
            <w:r>
              <w:t>CMR</w:t>
            </w:r>
          </w:p>
        </w:tc>
        <w:tc>
          <w:tcPr>
            <w:tcW w:w="1065" w:type="dxa"/>
            <w:tcBorders>
              <w:bottom w:val="single" w:sz="4" w:space="0" w:color="auto"/>
            </w:tcBorders>
          </w:tcPr>
          <w:p w14:paraId="07530E7B" w14:textId="77777777" w:rsidR="00B35529" w:rsidRDefault="00B35529" w:rsidP="001B305A">
            <w:pPr>
              <w:pStyle w:val="TableHeading"/>
              <w:spacing w:before="0" w:after="240"/>
              <w:ind w:left="0" w:firstLine="0"/>
            </w:pPr>
            <w:r>
              <w:t>CTCA</w:t>
            </w:r>
          </w:p>
        </w:tc>
        <w:tc>
          <w:tcPr>
            <w:tcW w:w="1341" w:type="dxa"/>
            <w:tcBorders>
              <w:bottom w:val="single" w:sz="4" w:space="0" w:color="auto"/>
            </w:tcBorders>
          </w:tcPr>
          <w:p w14:paraId="185F4C3E" w14:textId="77777777" w:rsidR="00B35529" w:rsidRDefault="00B35529" w:rsidP="001B305A">
            <w:pPr>
              <w:pStyle w:val="TableHeading"/>
              <w:spacing w:before="0" w:after="240"/>
              <w:ind w:left="0" w:firstLine="0"/>
            </w:pPr>
            <w:r>
              <w:t>Stress Echo</w:t>
            </w:r>
          </w:p>
        </w:tc>
        <w:tc>
          <w:tcPr>
            <w:tcW w:w="1069" w:type="dxa"/>
            <w:tcBorders>
              <w:bottom w:val="single" w:sz="4" w:space="0" w:color="auto"/>
            </w:tcBorders>
          </w:tcPr>
          <w:p w14:paraId="1AFCABE9" w14:textId="77777777" w:rsidR="00B35529" w:rsidRDefault="00B35529" w:rsidP="001B305A">
            <w:pPr>
              <w:pStyle w:val="TableHeading"/>
              <w:spacing w:before="0" w:after="240"/>
              <w:ind w:left="0" w:firstLine="0"/>
            </w:pPr>
            <w:r>
              <w:t>SPECT</w:t>
            </w:r>
          </w:p>
        </w:tc>
        <w:tc>
          <w:tcPr>
            <w:tcW w:w="1337" w:type="dxa"/>
            <w:tcBorders>
              <w:bottom w:val="single" w:sz="4" w:space="0" w:color="auto"/>
            </w:tcBorders>
          </w:tcPr>
          <w:p w14:paraId="6A5BC4C3" w14:textId="77777777" w:rsidR="00B35529" w:rsidRDefault="00B35529" w:rsidP="001B305A">
            <w:pPr>
              <w:pStyle w:val="TableHeading"/>
              <w:spacing w:before="0" w:after="240"/>
              <w:ind w:left="0" w:firstLine="0"/>
            </w:pPr>
            <w:r>
              <w:t>Exercise ECG</w:t>
            </w:r>
          </w:p>
        </w:tc>
      </w:tr>
      <w:tr w:rsidR="00B35529" w14:paraId="6F1C4C2B" w14:textId="77777777" w:rsidTr="006111E4">
        <w:tc>
          <w:tcPr>
            <w:tcW w:w="3119" w:type="dxa"/>
            <w:tcBorders>
              <w:bottom w:val="single" w:sz="4" w:space="0" w:color="auto"/>
              <w:right w:val="nil"/>
            </w:tcBorders>
          </w:tcPr>
          <w:p w14:paraId="37AB1E10" w14:textId="77777777" w:rsidR="00B35529" w:rsidRDefault="00B35529" w:rsidP="001B305A">
            <w:pPr>
              <w:pStyle w:val="TableHeading"/>
              <w:spacing w:before="0" w:after="240"/>
            </w:pPr>
            <w:r>
              <w:t>Costs</w:t>
            </w:r>
          </w:p>
        </w:tc>
        <w:tc>
          <w:tcPr>
            <w:tcW w:w="1203" w:type="dxa"/>
            <w:tcBorders>
              <w:left w:val="nil"/>
              <w:bottom w:val="single" w:sz="4" w:space="0" w:color="auto"/>
              <w:right w:val="nil"/>
            </w:tcBorders>
          </w:tcPr>
          <w:p w14:paraId="3AAD19E3" w14:textId="77777777" w:rsidR="00B35529" w:rsidRPr="00FA4B09" w:rsidRDefault="00B35529" w:rsidP="001B305A">
            <w:pPr>
              <w:pStyle w:val="TableHeading"/>
              <w:spacing w:before="0" w:after="240"/>
            </w:pPr>
            <w:r w:rsidRPr="00FA4B09">
              <w:t>-</w:t>
            </w:r>
          </w:p>
        </w:tc>
        <w:tc>
          <w:tcPr>
            <w:tcW w:w="1065" w:type="dxa"/>
            <w:tcBorders>
              <w:left w:val="nil"/>
              <w:bottom w:val="single" w:sz="4" w:space="0" w:color="auto"/>
              <w:right w:val="nil"/>
            </w:tcBorders>
          </w:tcPr>
          <w:p w14:paraId="1DC6FDA5" w14:textId="77777777" w:rsidR="00B35529" w:rsidRPr="00FA4B09" w:rsidRDefault="00B35529" w:rsidP="001B305A">
            <w:pPr>
              <w:pStyle w:val="TableHeading"/>
              <w:spacing w:before="0" w:after="240"/>
            </w:pPr>
            <w:r w:rsidRPr="00FA4B09">
              <w:t>-</w:t>
            </w:r>
          </w:p>
        </w:tc>
        <w:tc>
          <w:tcPr>
            <w:tcW w:w="1341" w:type="dxa"/>
            <w:tcBorders>
              <w:left w:val="nil"/>
              <w:bottom w:val="single" w:sz="4" w:space="0" w:color="auto"/>
              <w:right w:val="nil"/>
            </w:tcBorders>
          </w:tcPr>
          <w:p w14:paraId="75FD7728" w14:textId="77777777" w:rsidR="00B35529" w:rsidRPr="00FA4B09" w:rsidRDefault="00B35529" w:rsidP="001B305A">
            <w:pPr>
              <w:pStyle w:val="TableHeading"/>
              <w:spacing w:before="0" w:after="240"/>
            </w:pPr>
            <w:r w:rsidRPr="00FA4B09">
              <w:t>-</w:t>
            </w:r>
          </w:p>
        </w:tc>
        <w:tc>
          <w:tcPr>
            <w:tcW w:w="1069" w:type="dxa"/>
            <w:tcBorders>
              <w:left w:val="nil"/>
              <w:bottom w:val="single" w:sz="4" w:space="0" w:color="auto"/>
              <w:right w:val="nil"/>
            </w:tcBorders>
          </w:tcPr>
          <w:p w14:paraId="17D14008" w14:textId="77777777" w:rsidR="00B35529" w:rsidRPr="00FA4B09" w:rsidRDefault="00B35529" w:rsidP="001B305A">
            <w:pPr>
              <w:pStyle w:val="TableHeading"/>
              <w:spacing w:before="0" w:after="240"/>
            </w:pPr>
            <w:r w:rsidRPr="00FA4B09">
              <w:t>-</w:t>
            </w:r>
          </w:p>
        </w:tc>
        <w:tc>
          <w:tcPr>
            <w:tcW w:w="1337" w:type="dxa"/>
            <w:tcBorders>
              <w:left w:val="nil"/>
              <w:bottom w:val="single" w:sz="4" w:space="0" w:color="auto"/>
            </w:tcBorders>
          </w:tcPr>
          <w:p w14:paraId="5192282E" w14:textId="77777777" w:rsidR="00B35529" w:rsidRPr="00FA4B09" w:rsidRDefault="00B35529" w:rsidP="001B305A">
            <w:pPr>
              <w:pStyle w:val="TableHeading"/>
              <w:spacing w:before="0" w:after="240"/>
            </w:pPr>
          </w:p>
        </w:tc>
      </w:tr>
      <w:tr w:rsidR="00B35529" w:rsidRPr="006E77C1" w14:paraId="52856630" w14:textId="77777777" w:rsidTr="006111E4">
        <w:tc>
          <w:tcPr>
            <w:tcW w:w="3119" w:type="dxa"/>
            <w:tcBorders>
              <w:bottom w:val="nil"/>
            </w:tcBorders>
          </w:tcPr>
          <w:p w14:paraId="2BA2F732" w14:textId="77777777" w:rsidR="00B35529" w:rsidRPr="006E77C1" w:rsidRDefault="00B35529" w:rsidP="001B305A">
            <w:pPr>
              <w:pStyle w:val="Tabletext"/>
              <w:keepNext/>
              <w:spacing w:after="240"/>
            </w:pPr>
            <w:r>
              <w:t>Test costs (including treatment of AEs)</w:t>
            </w:r>
          </w:p>
        </w:tc>
        <w:tc>
          <w:tcPr>
            <w:tcW w:w="1203" w:type="dxa"/>
            <w:tcBorders>
              <w:bottom w:val="nil"/>
            </w:tcBorders>
          </w:tcPr>
          <w:p w14:paraId="25F21075" w14:textId="77777777" w:rsidR="00B35529" w:rsidRPr="006E77C1" w:rsidRDefault="00B35529" w:rsidP="001B305A">
            <w:pPr>
              <w:pStyle w:val="Tabletext"/>
              <w:keepNext/>
              <w:spacing w:after="240"/>
              <w:jc w:val="right"/>
            </w:pPr>
            <w:r w:rsidRPr="006E77C1">
              <w:t>$1,005</w:t>
            </w:r>
          </w:p>
        </w:tc>
        <w:tc>
          <w:tcPr>
            <w:tcW w:w="1065" w:type="dxa"/>
            <w:tcBorders>
              <w:bottom w:val="nil"/>
            </w:tcBorders>
          </w:tcPr>
          <w:p w14:paraId="526E236E" w14:textId="77777777" w:rsidR="00B35529" w:rsidRPr="006E77C1" w:rsidRDefault="00B35529" w:rsidP="001B305A">
            <w:pPr>
              <w:pStyle w:val="Tabletext"/>
              <w:keepNext/>
              <w:spacing w:after="240"/>
              <w:jc w:val="right"/>
            </w:pPr>
            <w:r w:rsidRPr="006E77C1">
              <w:t>$747</w:t>
            </w:r>
          </w:p>
        </w:tc>
        <w:tc>
          <w:tcPr>
            <w:tcW w:w="1341" w:type="dxa"/>
            <w:tcBorders>
              <w:bottom w:val="nil"/>
            </w:tcBorders>
            <w:vAlign w:val="bottom"/>
          </w:tcPr>
          <w:p w14:paraId="66522560" w14:textId="77777777" w:rsidR="00B35529" w:rsidRDefault="00B35529" w:rsidP="001B305A">
            <w:pPr>
              <w:pStyle w:val="Tabletext"/>
              <w:keepNext/>
              <w:spacing w:after="240"/>
              <w:jc w:val="right"/>
            </w:pPr>
            <w:r>
              <w:t>$459</w:t>
            </w:r>
          </w:p>
        </w:tc>
        <w:tc>
          <w:tcPr>
            <w:tcW w:w="1069" w:type="dxa"/>
            <w:tcBorders>
              <w:bottom w:val="nil"/>
            </w:tcBorders>
            <w:vAlign w:val="bottom"/>
          </w:tcPr>
          <w:p w14:paraId="7870BBB9" w14:textId="77777777" w:rsidR="00B35529" w:rsidRDefault="00B35529" w:rsidP="001B305A">
            <w:pPr>
              <w:pStyle w:val="Tabletext"/>
              <w:keepNext/>
              <w:spacing w:after="240"/>
              <w:jc w:val="right"/>
            </w:pPr>
            <w:r>
              <w:t>$880</w:t>
            </w:r>
          </w:p>
        </w:tc>
        <w:tc>
          <w:tcPr>
            <w:tcW w:w="1337" w:type="dxa"/>
            <w:tcBorders>
              <w:bottom w:val="nil"/>
            </w:tcBorders>
            <w:vAlign w:val="bottom"/>
          </w:tcPr>
          <w:p w14:paraId="17DE9EF9" w14:textId="77777777" w:rsidR="00B35529" w:rsidRDefault="00B35529" w:rsidP="001B305A">
            <w:pPr>
              <w:pStyle w:val="Tabletext"/>
              <w:keepNext/>
              <w:spacing w:after="240"/>
              <w:jc w:val="right"/>
            </w:pPr>
            <w:r>
              <w:t>$196</w:t>
            </w:r>
          </w:p>
        </w:tc>
      </w:tr>
      <w:tr w:rsidR="00B35529" w:rsidRPr="006E77C1" w14:paraId="6002D8DB" w14:textId="77777777" w:rsidTr="006111E4">
        <w:tc>
          <w:tcPr>
            <w:tcW w:w="3119" w:type="dxa"/>
            <w:tcBorders>
              <w:top w:val="nil"/>
              <w:bottom w:val="nil"/>
            </w:tcBorders>
          </w:tcPr>
          <w:p w14:paraId="62AE0DF6" w14:textId="77777777" w:rsidR="00B35529" w:rsidRPr="006E77C1" w:rsidRDefault="00B35529" w:rsidP="001B305A">
            <w:pPr>
              <w:pStyle w:val="Tabletext"/>
              <w:keepNext/>
              <w:spacing w:after="240"/>
            </w:pPr>
            <w:r w:rsidRPr="006E77C1">
              <w:t>Modelled cost of re-testing</w:t>
            </w:r>
          </w:p>
        </w:tc>
        <w:tc>
          <w:tcPr>
            <w:tcW w:w="1203" w:type="dxa"/>
            <w:tcBorders>
              <w:top w:val="nil"/>
              <w:bottom w:val="nil"/>
            </w:tcBorders>
          </w:tcPr>
          <w:p w14:paraId="4A5A7DFE" w14:textId="77777777" w:rsidR="00B35529" w:rsidRPr="006E77C1" w:rsidRDefault="00B35529" w:rsidP="001B305A">
            <w:pPr>
              <w:pStyle w:val="Tabletext"/>
              <w:keepNext/>
              <w:spacing w:after="240"/>
              <w:jc w:val="right"/>
            </w:pPr>
            <w:r w:rsidRPr="006E77C1">
              <w:t>$83</w:t>
            </w:r>
          </w:p>
        </w:tc>
        <w:tc>
          <w:tcPr>
            <w:tcW w:w="1065" w:type="dxa"/>
            <w:tcBorders>
              <w:top w:val="nil"/>
              <w:bottom w:val="nil"/>
            </w:tcBorders>
          </w:tcPr>
          <w:p w14:paraId="0CA05B22" w14:textId="77777777" w:rsidR="00B35529" w:rsidRPr="006E77C1" w:rsidRDefault="00B35529" w:rsidP="001B305A">
            <w:pPr>
              <w:pStyle w:val="Tabletext"/>
              <w:keepNext/>
              <w:spacing w:after="240"/>
              <w:jc w:val="right"/>
            </w:pPr>
            <w:r w:rsidRPr="006E77C1">
              <w:t>$0</w:t>
            </w:r>
          </w:p>
        </w:tc>
        <w:tc>
          <w:tcPr>
            <w:tcW w:w="1341" w:type="dxa"/>
            <w:tcBorders>
              <w:top w:val="nil"/>
              <w:bottom w:val="nil"/>
            </w:tcBorders>
            <w:vAlign w:val="bottom"/>
          </w:tcPr>
          <w:p w14:paraId="7ED4E35E" w14:textId="77777777" w:rsidR="00B35529" w:rsidRDefault="00B35529" w:rsidP="001B305A">
            <w:pPr>
              <w:pStyle w:val="Tabletext"/>
              <w:keepNext/>
              <w:spacing w:after="240"/>
              <w:jc w:val="right"/>
            </w:pPr>
            <w:r>
              <w:t>$50</w:t>
            </w:r>
          </w:p>
        </w:tc>
        <w:tc>
          <w:tcPr>
            <w:tcW w:w="1069" w:type="dxa"/>
            <w:tcBorders>
              <w:top w:val="nil"/>
              <w:bottom w:val="nil"/>
            </w:tcBorders>
            <w:vAlign w:val="bottom"/>
          </w:tcPr>
          <w:p w14:paraId="482379F2" w14:textId="77777777" w:rsidR="00B35529" w:rsidRDefault="00B35529" w:rsidP="001B305A">
            <w:pPr>
              <w:pStyle w:val="Tabletext"/>
              <w:keepNext/>
              <w:spacing w:after="240"/>
              <w:jc w:val="right"/>
            </w:pPr>
            <w:r>
              <w:t>$30</w:t>
            </w:r>
          </w:p>
        </w:tc>
        <w:tc>
          <w:tcPr>
            <w:tcW w:w="1337" w:type="dxa"/>
            <w:tcBorders>
              <w:top w:val="nil"/>
              <w:bottom w:val="nil"/>
            </w:tcBorders>
            <w:vAlign w:val="bottom"/>
          </w:tcPr>
          <w:p w14:paraId="140A08DE" w14:textId="77777777" w:rsidR="00B35529" w:rsidRDefault="00B35529" w:rsidP="001B305A">
            <w:pPr>
              <w:pStyle w:val="Tabletext"/>
              <w:keepNext/>
              <w:spacing w:after="240"/>
              <w:jc w:val="right"/>
            </w:pPr>
            <w:r>
              <w:t>$49</w:t>
            </w:r>
          </w:p>
        </w:tc>
      </w:tr>
      <w:tr w:rsidR="00B35529" w14:paraId="38F2BE46" w14:textId="77777777" w:rsidTr="006111E4">
        <w:tc>
          <w:tcPr>
            <w:tcW w:w="3119" w:type="dxa"/>
            <w:tcBorders>
              <w:top w:val="nil"/>
              <w:bottom w:val="nil"/>
            </w:tcBorders>
          </w:tcPr>
          <w:p w14:paraId="684629D7" w14:textId="77777777" w:rsidR="00B35529" w:rsidRPr="006E77C1" w:rsidRDefault="00B35529" w:rsidP="001B305A">
            <w:pPr>
              <w:pStyle w:val="Tabletext"/>
              <w:keepNext/>
              <w:spacing w:after="240"/>
            </w:pPr>
            <w:r w:rsidRPr="006E77C1">
              <w:t>Modelled cost of ICA</w:t>
            </w:r>
          </w:p>
        </w:tc>
        <w:tc>
          <w:tcPr>
            <w:tcW w:w="1203" w:type="dxa"/>
            <w:tcBorders>
              <w:top w:val="nil"/>
              <w:bottom w:val="nil"/>
            </w:tcBorders>
          </w:tcPr>
          <w:p w14:paraId="66C0069A" w14:textId="77777777" w:rsidR="00B35529" w:rsidRPr="006E77C1" w:rsidRDefault="00B35529" w:rsidP="001B305A">
            <w:pPr>
              <w:pStyle w:val="Tabletext"/>
              <w:keepNext/>
              <w:spacing w:after="240"/>
              <w:jc w:val="right"/>
            </w:pPr>
            <w:r w:rsidRPr="006E77C1">
              <w:t>$2,165</w:t>
            </w:r>
          </w:p>
        </w:tc>
        <w:tc>
          <w:tcPr>
            <w:tcW w:w="1065" w:type="dxa"/>
            <w:tcBorders>
              <w:top w:val="nil"/>
              <w:bottom w:val="nil"/>
            </w:tcBorders>
          </w:tcPr>
          <w:p w14:paraId="6FCA388E" w14:textId="77777777" w:rsidR="00B35529" w:rsidRPr="006E77C1" w:rsidRDefault="00B35529" w:rsidP="001B305A">
            <w:pPr>
              <w:pStyle w:val="Tabletext"/>
              <w:keepNext/>
              <w:spacing w:after="240"/>
              <w:jc w:val="right"/>
            </w:pPr>
            <w:r w:rsidRPr="006E77C1">
              <w:t>$2,319</w:t>
            </w:r>
          </w:p>
        </w:tc>
        <w:tc>
          <w:tcPr>
            <w:tcW w:w="1341" w:type="dxa"/>
            <w:tcBorders>
              <w:top w:val="nil"/>
              <w:bottom w:val="nil"/>
            </w:tcBorders>
            <w:vAlign w:val="bottom"/>
          </w:tcPr>
          <w:p w14:paraId="3BE88E08" w14:textId="77777777" w:rsidR="00B35529" w:rsidRDefault="00B35529" w:rsidP="001B305A">
            <w:pPr>
              <w:pStyle w:val="Tabletext"/>
              <w:keepNext/>
              <w:spacing w:after="240"/>
              <w:jc w:val="right"/>
            </w:pPr>
            <w:r>
              <w:t>$2,172</w:t>
            </w:r>
          </w:p>
        </w:tc>
        <w:tc>
          <w:tcPr>
            <w:tcW w:w="1069" w:type="dxa"/>
            <w:tcBorders>
              <w:top w:val="nil"/>
              <w:bottom w:val="nil"/>
            </w:tcBorders>
            <w:vAlign w:val="bottom"/>
          </w:tcPr>
          <w:p w14:paraId="639D98DA" w14:textId="77777777" w:rsidR="00B35529" w:rsidRDefault="00B35529" w:rsidP="001B305A">
            <w:pPr>
              <w:pStyle w:val="Tabletext"/>
              <w:keepNext/>
              <w:spacing w:after="240"/>
              <w:jc w:val="right"/>
            </w:pPr>
            <w:r>
              <w:t>$2,308</w:t>
            </w:r>
          </w:p>
        </w:tc>
        <w:tc>
          <w:tcPr>
            <w:tcW w:w="1337" w:type="dxa"/>
            <w:tcBorders>
              <w:top w:val="nil"/>
              <w:bottom w:val="nil"/>
            </w:tcBorders>
            <w:vAlign w:val="bottom"/>
          </w:tcPr>
          <w:p w14:paraId="2FFDDC22" w14:textId="77777777" w:rsidR="00B35529" w:rsidRDefault="00B35529" w:rsidP="001B305A">
            <w:pPr>
              <w:pStyle w:val="Tabletext"/>
              <w:keepNext/>
              <w:spacing w:after="240"/>
              <w:jc w:val="right"/>
            </w:pPr>
            <w:r>
              <w:t>$2,017</w:t>
            </w:r>
          </w:p>
        </w:tc>
      </w:tr>
      <w:tr w:rsidR="00B35529" w14:paraId="01D7C543" w14:textId="77777777" w:rsidTr="006111E4">
        <w:tc>
          <w:tcPr>
            <w:tcW w:w="3119" w:type="dxa"/>
            <w:tcBorders>
              <w:top w:val="nil"/>
            </w:tcBorders>
          </w:tcPr>
          <w:p w14:paraId="537A4691" w14:textId="77777777" w:rsidR="00B35529" w:rsidRPr="00281D74" w:rsidRDefault="00B35529" w:rsidP="001B305A">
            <w:pPr>
              <w:pStyle w:val="Tabletext"/>
              <w:spacing w:after="240"/>
              <w:rPr>
                <w:b/>
              </w:rPr>
            </w:pPr>
            <w:r w:rsidRPr="00281D74">
              <w:rPr>
                <w:b/>
              </w:rPr>
              <w:t>Total</w:t>
            </w:r>
          </w:p>
        </w:tc>
        <w:tc>
          <w:tcPr>
            <w:tcW w:w="1203" w:type="dxa"/>
            <w:tcBorders>
              <w:top w:val="nil"/>
            </w:tcBorders>
          </w:tcPr>
          <w:p w14:paraId="14F1F8ED" w14:textId="77777777" w:rsidR="00B35529" w:rsidRPr="002A56EE" w:rsidRDefault="00B35529" w:rsidP="001B305A">
            <w:pPr>
              <w:pStyle w:val="Tabletext"/>
              <w:spacing w:after="240"/>
              <w:jc w:val="right"/>
              <w:rPr>
                <w:b/>
              </w:rPr>
            </w:pPr>
            <w:r w:rsidRPr="002A56EE">
              <w:rPr>
                <w:b/>
              </w:rPr>
              <w:t>$3,252</w:t>
            </w:r>
          </w:p>
        </w:tc>
        <w:tc>
          <w:tcPr>
            <w:tcW w:w="1065" w:type="dxa"/>
            <w:tcBorders>
              <w:top w:val="nil"/>
            </w:tcBorders>
          </w:tcPr>
          <w:p w14:paraId="21E7642E" w14:textId="77777777" w:rsidR="00B35529" w:rsidRPr="002A56EE" w:rsidRDefault="00B35529" w:rsidP="001B305A">
            <w:pPr>
              <w:pStyle w:val="Tabletext"/>
              <w:spacing w:after="240"/>
              <w:jc w:val="right"/>
              <w:rPr>
                <w:b/>
              </w:rPr>
            </w:pPr>
            <w:r w:rsidRPr="002A56EE">
              <w:rPr>
                <w:b/>
              </w:rPr>
              <w:t>$3,065</w:t>
            </w:r>
          </w:p>
        </w:tc>
        <w:tc>
          <w:tcPr>
            <w:tcW w:w="1341" w:type="dxa"/>
            <w:tcBorders>
              <w:top w:val="nil"/>
            </w:tcBorders>
            <w:vAlign w:val="bottom"/>
          </w:tcPr>
          <w:p w14:paraId="44FB0882" w14:textId="77777777" w:rsidR="00B35529" w:rsidRPr="00D04287" w:rsidRDefault="00B35529" w:rsidP="001B305A">
            <w:pPr>
              <w:pStyle w:val="Tabletext"/>
              <w:spacing w:after="240"/>
              <w:jc w:val="right"/>
              <w:rPr>
                <w:b/>
              </w:rPr>
            </w:pPr>
            <w:r w:rsidRPr="00D04287">
              <w:rPr>
                <w:b/>
              </w:rPr>
              <w:t>$2,681</w:t>
            </w:r>
          </w:p>
        </w:tc>
        <w:tc>
          <w:tcPr>
            <w:tcW w:w="1069" w:type="dxa"/>
            <w:tcBorders>
              <w:top w:val="nil"/>
            </w:tcBorders>
            <w:vAlign w:val="bottom"/>
          </w:tcPr>
          <w:p w14:paraId="6D824E39" w14:textId="77777777" w:rsidR="00B35529" w:rsidRPr="003250F7" w:rsidRDefault="00B35529" w:rsidP="001B305A">
            <w:pPr>
              <w:pStyle w:val="Tabletext"/>
              <w:spacing w:after="240"/>
              <w:jc w:val="right"/>
              <w:rPr>
                <w:b/>
              </w:rPr>
            </w:pPr>
            <w:r w:rsidRPr="003250F7">
              <w:rPr>
                <w:b/>
              </w:rPr>
              <w:t>$3,217</w:t>
            </w:r>
          </w:p>
        </w:tc>
        <w:tc>
          <w:tcPr>
            <w:tcW w:w="1337" w:type="dxa"/>
            <w:tcBorders>
              <w:top w:val="nil"/>
            </w:tcBorders>
            <w:vAlign w:val="bottom"/>
          </w:tcPr>
          <w:p w14:paraId="3AFFC93C" w14:textId="77777777" w:rsidR="00B35529" w:rsidRPr="00741DB3" w:rsidRDefault="00B35529" w:rsidP="001B305A">
            <w:pPr>
              <w:pStyle w:val="Tabletext"/>
              <w:spacing w:after="240"/>
              <w:jc w:val="right"/>
              <w:rPr>
                <w:b/>
              </w:rPr>
            </w:pPr>
            <w:r w:rsidRPr="00741DB3">
              <w:rPr>
                <w:b/>
              </w:rPr>
              <w:t>$2,262</w:t>
            </w:r>
          </w:p>
        </w:tc>
      </w:tr>
      <w:tr w:rsidR="00B35529" w:rsidRPr="00FA4B09" w14:paraId="5E8FEDFB" w14:textId="77777777" w:rsidTr="006111E4">
        <w:tc>
          <w:tcPr>
            <w:tcW w:w="3119" w:type="dxa"/>
            <w:tcBorders>
              <w:bottom w:val="single" w:sz="4" w:space="0" w:color="auto"/>
              <w:right w:val="nil"/>
            </w:tcBorders>
          </w:tcPr>
          <w:p w14:paraId="4DB7533C" w14:textId="77777777" w:rsidR="00B35529" w:rsidRPr="00FA4B09" w:rsidRDefault="00B35529" w:rsidP="001B305A">
            <w:pPr>
              <w:pStyle w:val="Tabletext"/>
              <w:keepNext/>
              <w:spacing w:after="240"/>
              <w:rPr>
                <w:b/>
              </w:rPr>
            </w:pPr>
            <w:r w:rsidRPr="00FA4B09">
              <w:rPr>
                <w:b/>
              </w:rPr>
              <w:t>Testing outcomes</w:t>
            </w:r>
          </w:p>
        </w:tc>
        <w:tc>
          <w:tcPr>
            <w:tcW w:w="1203" w:type="dxa"/>
            <w:tcBorders>
              <w:left w:val="nil"/>
              <w:bottom w:val="single" w:sz="4" w:space="0" w:color="auto"/>
              <w:right w:val="nil"/>
            </w:tcBorders>
          </w:tcPr>
          <w:p w14:paraId="0D0111F9" w14:textId="77777777" w:rsidR="00B35529" w:rsidRPr="00FA4B09" w:rsidRDefault="00B35529" w:rsidP="001B305A">
            <w:pPr>
              <w:pStyle w:val="TableHeading"/>
              <w:spacing w:before="0" w:after="240"/>
            </w:pPr>
            <w:r w:rsidRPr="00FA4B09">
              <w:t>-</w:t>
            </w:r>
          </w:p>
        </w:tc>
        <w:tc>
          <w:tcPr>
            <w:tcW w:w="1065" w:type="dxa"/>
            <w:tcBorders>
              <w:left w:val="nil"/>
              <w:bottom w:val="single" w:sz="4" w:space="0" w:color="auto"/>
              <w:right w:val="nil"/>
            </w:tcBorders>
          </w:tcPr>
          <w:p w14:paraId="7D1B3A85" w14:textId="77777777" w:rsidR="00B35529" w:rsidRPr="00FA4B09" w:rsidRDefault="00B35529" w:rsidP="001B305A">
            <w:pPr>
              <w:pStyle w:val="TableHeading"/>
              <w:spacing w:before="0" w:after="240"/>
            </w:pPr>
            <w:r w:rsidRPr="00FA4B09">
              <w:t>-</w:t>
            </w:r>
          </w:p>
        </w:tc>
        <w:tc>
          <w:tcPr>
            <w:tcW w:w="1341" w:type="dxa"/>
            <w:tcBorders>
              <w:left w:val="nil"/>
              <w:bottom w:val="single" w:sz="4" w:space="0" w:color="auto"/>
              <w:right w:val="nil"/>
            </w:tcBorders>
          </w:tcPr>
          <w:p w14:paraId="18A101F2" w14:textId="77777777" w:rsidR="00B35529" w:rsidRPr="00FA4B09" w:rsidRDefault="00B35529" w:rsidP="001B305A">
            <w:pPr>
              <w:pStyle w:val="TableHeading"/>
              <w:spacing w:before="0" w:after="240"/>
            </w:pPr>
            <w:r w:rsidRPr="00FA4B09">
              <w:t>-</w:t>
            </w:r>
          </w:p>
        </w:tc>
        <w:tc>
          <w:tcPr>
            <w:tcW w:w="1069" w:type="dxa"/>
            <w:tcBorders>
              <w:left w:val="nil"/>
              <w:bottom w:val="single" w:sz="4" w:space="0" w:color="auto"/>
              <w:right w:val="nil"/>
            </w:tcBorders>
          </w:tcPr>
          <w:p w14:paraId="73D45DAE" w14:textId="77777777" w:rsidR="00B35529" w:rsidRPr="00FA4B09" w:rsidRDefault="00B35529" w:rsidP="001B305A">
            <w:pPr>
              <w:pStyle w:val="TableHeading"/>
              <w:spacing w:before="0" w:after="240"/>
            </w:pPr>
            <w:r w:rsidRPr="00FA4B09">
              <w:t>-</w:t>
            </w:r>
          </w:p>
        </w:tc>
        <w:tc>
          <w:tcPr>
            <w:tcW w:w="1337" w:type="dxa"/>
            <w:tcBorders>
              <w:left w:val="nil"/>
              <w:bottom w:val="single" w:sz="4" w:space="0" w:color="auto"/>
            </w:tcBorders>
          </w:tcPr>
          <w:p w14:paraId="351AC1F7" w14:textId="77777777" w:rsidR="00B35529" w:rsidRPr="00FA4B09" w:rsidRDefault="00B35529" w:rsidP="001B305A">
            <w:pPr>
              <w:pStyle w:val="TableHeading"/>
              <w:spacing w:before="0" w:after="240"/>
            </w:pPr>
            <w:r w:rsidRPr="00FA4B09">
              <w:t>-</w:t>
            </w:r>
          </w:p>
        </w:tc>
      </w:tr>
      <w:tr w:rsidR="00B35529" w:rsidRPr="00FA4B09" w14:paraId="72C94E4D" w14:textId="77777777" w:rsidTr="006111E4">
        <w:tc>
          <w:tcPr>
            <w:tcW w:w="3119" w:type="dxa"/>
            <w:tcBorders>
              <w:bottom w:val="nil"/>
            </w:tcBorders>
          </w:tcPr>
          <w:p w14:paraId="52A99A70" w14:textId="77777777" w:rsidR="00B35529" w:rsidRPr="00FA4B09" w:rsidRDefault="00B35529" w:rsidP="001B305A">
            <w:pPr>
              <w:pStyle w:val="Tabletext"/>
              <w:spacing w:after="240"/>
            </w:pPr>
            <w:r w:rsidRPr="00FA4B09">
              <w:t>Total correct diagnoses</w:t>
            </w:r>
          </w:p>
        </w:tc>
        <w:tc>
          <w:tcPr>
            <w:tcW w:w="1203" w:type="dxa"/>
            <w:tcBorders>
              <w:bottom w:val="nil"/>
            </w:tcBorders>
          </w:tcPr>
          <w:p w14:paraId="4F9695E0" w14:textId="77777777" w:rsidR="00B35529" w:rsidRPr="00FA4B09" w:rsidRDefault="00B35529" w:rsidP="001B305A">
            <w:pPr>
              <w:pStyle w:val="Tabletext"/>
              <w:spacing w:after="240"/>
              <w:jc w:val="center"/>
            </w:pPr>
            <w:r w:rsidRPr="00FA4B09">
              <w:t>75.6%</w:t>
            </w:r>
          </w:p>
        </w:tc>
        <w:tc>
          <w:tcPr>
            <w:tcW w:w="1065" w:type="dxa"/>
            <w:tcBorders>
              <w:bottom w:val="nil"/>
            </w:tcBorders>
          </w:tcPr>
          <w:p w14:paraId="5F008E63" w14:textId="77777777" w:rsidR="00B35529" w:rsidRPr="00FA4B09" w:rsidRDefault="00B35529" w:rsidP="001B305A">
            <w:pPr>
              <w:pStyle w:val="Tabletext"/>
              <w:spacing w:after="240"/>
              <w:jc w:val="center"/>
            </w:pPr>
            <w:r w:rsidRPr="00FA4B09">
              <w:t>92.1%</w:t>
            </w:r>
          </w:p>
        </w:tc>
        <w:tc>
          <w:tcPr>
            <w:tcW w:w="1341" w:type="dxa"/>
            <w:tcBorders>
              <w:bottom w:val="nil"/>
            </w:tcBorders>
            <w:vAlign w:val="bottom"/>
          </w:tcPr>
          <w:p w14:paraId="336347E7" w14:textId="77777777" w:rsidR="00B35529" w:rsidRPr="00F36217" w:rsidRDefault="00B35529" w:rsidP="001B305A">
            <w:pPr>
              <w:pStyle w:val="Tabletext"/>
              <w:spacing w:after="240"/>
              <w:jc w:val="center"/>
            </w:pPr>
            <w:r w:rsidRPr="00F36217">
              <w:t>80.7%</w:t>
            </w:r>
          </w:p>
        </w:tc>
        <w:tc>
          <w:tcPr>
            <w:tcW w:w="1069" w:type="dxa"/>
            <w:tcBorders>
              <w:bottom w:val="nil"/>
            </w:tcBorders>
            <w:vAlign w:val="bottom"/>
          </w:tcPr>
          <w:p w14:paraId="02CA3DE4" w14:textId="77777777" w:rsidR="00B35529" w:rsidRPr="00BA4719" w:rsidRDefault="00B35529" w:rsidP="001B305A">
            <w:pPr>
              <w:pStyle w:val="Tabletext"/>
              <w:spacing w:after="240"/>
              <w:jc w:val="center"/>
            </w:pPr>
            <w:r w:rsidRPr="00BA4719">
              <w:t>76.5%</w:t>
            </w:r>
          </w:p>
        </w:tc>
        <w:tc>
          <w:tcPr>
            <w:tcW w:w="1337" w:type="dxa"/>
            <w:tcBorders>
              <w:bottom w:val="nil"/>
            </w:tcBorders>
            <w:vAlign w:val="bottom"/>
          </w:tcPr>
          <w:p w14:paraId="23B5068E" w14:textId="77777777" w:rsidR="00B35529" w:rsidRPr="00BA4719" w:rsidRDefault="00B35529" w:rsidP="001B305A">
            <w:pPr>
              <w:pStyle w:val="Tabletext"/>
              <w:spacing w:after="240"/>
              <w:jc w:val="center"/>
            </w:pPr>
            <w:r w:rsidRPr="00BA4719">
              <w:t>68.2%</w:t>
            </w:r>
          </w:p>
        </w:tc>
      </w:tr>
      <w:tr w:rsidR="00B35529" w:rsidRPr="00FA4B09" w14:paraId="4280919F" w14:textId="77777777" w:rsidTr="006111E4">
        <w:tc>
          <w:tcPr>
            <w:tcW w:w="3119" w:type="dxa"/>
            <w:tcBorders>
              <w:top w:val="nil"/>
              <w:bottom w:val="nil"/>
            </w:tcBorders>
          </w:tcPr>
          <w:p w14:paraId="2FCDD337" w14:textId="77777777" w:rsidR="00B35529" w:rsidRPr="00FA4B09" w:rsidRDefault="00B35529" w:rsidP="001B305A">
            <w:pPr>
              <w:pStyle w:val="Tabletext"/>
              <w:spacing w:after="240"/>
            </w:pPr>
            <w:r w:rsidRPr="00FA4B09">
              <w:t>Total incorrect diagnoses</w:t>
            </w:r>
          </w:p>
        </w:tc>
        <w:tc>
          <w:tcPr>
            <w:tcW w:w="1203" w:type="dxa"/>
            <w:tcBorders>
              <w:top w:val="nil"/>
              <w:bottom w:val="nil"/>
            </w:tcBorders>
          </w:tcPr>
          <w:p w14:paraId="062CA68C" w14:textId="77777777" w:rsidR="00B35529" w:rsidRPr="00FA4B09" w:rsidRDefault="00B35529" w:rsidP="001B305A">
            <w:pPr>
              <w:pStyle w:val="Tabletext"/>
              <w:spacing w:after="240"/>
              <w:jc w:val="center"/>
            </w:pPr>
            <w:r w:rsidRPr="00FA4B09">
              <w:t>13.3%</w:t>
            </w:r>
          </w:p>
        </w:tc>
        <w:tc>
          <w:tcPr>
            <w:tcW w:w="1065" w:type="dxa"/>
            <w:tcBorders>
              <w:top w:val="nil"/>
              <w:bottom w:val="nil"/>
            </w:tcBorders>
          </w:tcPr>
          <w:p w14:paraId="79FDF9DC" w14:textId="77777777" w:rsidR="00B35529" w:rsidRPr="00FA4B09" w:rsidRDefault="00B35529" w:rsidP="001B305A">
            <w:pPr>
              <w:pStyle w:val="Tabletext"/>
              <w:spacing w:after="240"/>
              <w:jc w:val="center"/>
            </w:pPr>
            <w:r w:rsidRPr="00FA4B09">
              <w:t>8.0%</w:t>
            </w:r>
          </w:p>
        </w:tc>
        <w:tc>
          <w:tcPr>
            <w:tcW w:w="1341" w:type="dxa"/>
            <w:tcBorders>
              <w:top w:val="nil"/>
              <w:bottom w:val="nil"/>
            </w:tcBorders>
            <w:vAlign w:val="bottom"/>
          </w:tcPr>
          <w:p w14:paraId="1F67652F" w14:textId="77777777" w:rsidR="00B35529" w:rsidRPr="00F36217" w:rsidRDefault="00B35529" w:rsidP="001B305A">
            <w:pPr>
              <w:pStyle w:val="Tabletext"/>
              <w:spacing w:after="240"/>
              <w:jc w:val="center"/>
            </w:pPr>
            <w:r w:rsidRPr="00F36217">
              <w:t>12.7%</w:t>
            </w:r>
          </w:p>
        </w:tc>
        <w:tc>
          <w:tcPr>
            <w:tcW w:w="1069" w:type="dxa"/>
            <w:tcBorders>
              <w:top w:val="nil"/>
              <w:bottom w:val="nil"/>
            </w:tcBorders>
            <w:vAlign w:val="bottom"/>
          </w:tcPr>
          <w:p w14:paraId="5CA18414" w14:textId="77777777" w:rsidR="00B35529" w:rsidRPr="00BA4719" w:rsidRDefault="00B35529" w:rsidP="001B305A">
            <w:pPr>
              <w:pStyle w:val="Tabletext"/>
              <w:spacing w:after="240"/>
              <w:jc w:val="center"/>
            </w:pPr>
            <w:r w:rsidRPr="00BA4719">
              <w:t>19.5%</w:t>
            </w:r>
          </w:p>
        </w:tc>
        <w:tc>
          <w:tcPr>
            <w:tcW w:w="1337" w:type="dxa"/>
            <w:tcBorders>
              <w:top w:val="nil"/>
              <w:bottom w:val="nil"/>
            </w:tcBorders>
            <w:vAlign w:val="bottom"/>
          </w:tcPr>
          <w:p w14:paraId="3B54E276" w14:textId="77777777" w:rsidR="00B35529" w:rsidRPr="00BA4719" w:rsidRDefault="00B35529" w:rsidP="001B305A">
            <w:pPr>
              <w:pStyle w:val="Tabletext"/>
              <w:spacing w:after="240"/>
              <w:jc w:val="center"/>
            </w:pPr>
            <w:r w:rsidRPr="00BA4719">
              <w:t>25.3%</w:t>
            </w:r>
          </w:p>
        </w:tc>
      </w:tr>
      <w:tr w:rsidR="00B35529" w14:paraId="7E431E99" w14:textId="77777777" w:rsidTr="006111E4">
        <w:tc>
          <w:tcPr>
            <w:tcW w:w="3119" w:type="dxa"/>
            <w:tcBorders>
              <w:top w:val="nil"/>
              <w:bottom w:val="single" w:sz="4" w:space="0" w:color="auto"/>
            </w:tcBorders>
          </w:tcPr>
          <w:p w14:paraId="595F68E9" w14:textId="77777777" w:rsidR="00B35529" w:rsidRPr="006E77C1" w:rsidRDefault="00B35529" w:rsidP="001B305A">
            <w:pPr>
              <w:pStyle w:val="Tabletext"/>
              <w:spacing w:after="240"/>
            </w:pPr>
            <w:r>
              <w:t>No result (initial equivocal or failed test)</w:t>
            </w:r>
          </w:p>
        </w:tc>
        <w:tc>
          <w:tcPr>
            <w:tcW w:w="1203" w:type="dxa"/>
            <w:tcBorders>
              <w:top w:val="nil"/>
              <w:bottom w:val="single" w:sz="4" w:space="0" w:color="auto"/>
            </w:tcBorders>
          </w:tcPr>
          <w:p w14:paraId="3C489EEB" w14:textId="77777777" w:rsidR="00B35529" w:rsidRDefault="00B35529" w:rsidP="001B305A">
            <w:pPr>
              <w:pStyle w:val="Tabletext"/>
              <w:spacing w:after="240"/>
              <w:jc w:val="center"/>
            </w:pPr>
            <w:r>
              <w:t>11.1%</w:t>
            </w:r>
          </w:p>
        </w:tc>
        <w:tc>
          <w:tcPr>
            <w:tcW w:w="1065" w:type="dxa"/>
            <w:tcBorders>
              <w:top w:val="nil"/>
              <w:bottom w:val="single" w:sz="4" w:space="0" w:color="auto"/>
            </w:tcBorders>
          </w:tcPr>
          <w:p w14:paraId="490562E8" w14:textId="77777777" w:rsidR="00B35529" w:rsidRDefault="00B35529" w:rsidP="001B305A">
            <w:pPr>
              <w:pStyle w:val="Tabletext"/>
              <w:spacing w:after="240"/>
              <w:jc w:val="center"/>
            </w:pPr>
            <w:r>
              <w:t>0.0%</w:t>
            </w:r>
          </w:p>
        </w:tc>
        <w:tc>
          <w:tcPr>
            <w:tcW w:w="1341" w:type="dxa"/>
            <w:tcBorders>
              <w:top w:val="nil"/>
              <w:bottom w:val="single" w:sz="4" w:space="0" w:color="auto"/>
            </w:tcBorders>
            <w:vAlign w:val="bottom"/>
          </w:tcPr>
          <w:p w14:paraId="6EB02755" w14:textId="77777777" w:rsidR="00B35529" w:rsidRDefault="00B35529" w:rsidP="001B305A">
            <w:pPr>
              <w:pStyle w:val="Tabletext"/>
              <w:spacing w:after="240"/>
              <w:jc w:val="center"/>
            </w:pPr>
            <w:r>
              <w:t>6.6%</w:t>
            </w:r>
          </w:p>
        </w:tc>
        <w:tc>
          <w:tcPr>
            <w:tcW w:w="1069" w:type="dxa"/>
            <w:tcBorders>
              <w:top w:val="nil"/>
              <w:bottom w:val="single" w:sz="4" w:space="0" w:color="auto"/>
            </w:tcBorders>
            <w:vAlign w:val="bottom"/>
          </w:tcPr>
          <w:p w14:paraId="76E1EBE6" w14:textId="77777777" w:rsidR="00B35529" w:rsidRDefault="00B35529" w:rsidP="001B305A">
            <w:pPr>
              <w:pStyle w:val="Tabletext"/>
              <w:spacing w:after="240"/>
              <w:jc w:val="center"/>
            </w:pPr>
            <w:r>
              <w:t>4.0%</w:t>
            </w:r>
          </w:p>
        </w:tc>
        <w:tc>
          <w:tcPr>
            <w:tcW w:w="1337" w:type="dxa"/>
            <w:tcBorders>
              <w:top w:val="nil"/>
              <w:bottom w:val="single" w:sz="4" w:space="0" w:color="auto"/>
            </w:tcBorders>
            <w:vAlign w:val="bottom"/>
          </w:tcPr>
          <w:p w14:paraId="5423D8DB" w14:textId="77777777" w:rsidR="00B35529" w:rsidRDefault="00B35529" w:rsidP="001B305A">
            <w:pPr>
              <w:pStyle w:val="Tabletext"/>
              <w:spacing w:after="240"/>
              <w:jc w:val="center"/>
            </w:pPr>
            <w:r>
              <w:t>6.6%</w:t>
            </w:r>
          </w:p>
        </w:tc>
      </w:tr>
      <w:tr w:rsidR="00B35529" w14:paraId="49E0B0E0" w14:textId="77777777" w:rsidTr="006111E4">
        <w:tc>
          <w:tcPr>
            <w:tcW w:w="3119" w:type="dxa"/>
            <w:tcBorders>
              <w:bottom w:val="nil"/>
            </w:tcBorders>
          </w:tcPr>
          <w:p w14:paraId="6FF9DA00" w14:textId="77777777" w:rsidR="00B35529" w:rsidRPr="007900F9" w:rsidRDefault="00B35529" w:rsidP="001B305A">
            <w:pPr>
              <w:pStyle w:val="Tabletext"/>
              <w:spacing w:after="240"/>
              <w:rPr>
                <w:i/>
              </w:rPr>
            </w:pPr>
            <w:r w:rsidRPr="007900F9">
              <w:rPr>
                <w:i/>
              </w:rPr>
              <w:t>Total ICA</w:t>
            </w:r>
          </w:p>
        </w:tc>
        <w:tc>
          <w:tcPr>
            <w:tcW w:w="1203" w:type="dxa"/>
            <w:tcBorders>
              <w:bottom w:val="nil"/>
            </w:tcBorders>
          </w:tcPr>
          <w:p w14:paraId="5F2D2D1B" w14:textId="77777777" w:rsidR="00B35529" w:rsidRPr="007900F9" w:rsidRDefault="00B35529" w:rsidP="001B305A">
            <w:pPr>
              <w:pStyle w:val="Tabletext"/>
              <w:spacing w:after="240"/>
              <w:jc w:val="center"/>
              <w:rPr>
                <w:i/>
              </w:rPr>
            </w:pPr>
            <w:r w:rsidRPr="007900F9">
              <w:rPr>
                <w:i/>
              </w:rPr>
              <w:t>46.9%</w:t>
            </w:r>
          </w:p>
        </w:tc>
        <w:tc>
          <w:tcPr>
            <w:tcW w:w="1065" w:type="dxa"/>
            <w:tcBorders>
              <w:bottom w:val="nil"/>
            </w:tcBorders>
          </w:tcPr>
          <w:p w14:paraId="63284F6E" w14:textId="77777777" w:rsidR="00B35529" w:rsidRPr="007900F9" w:rsidRDefault="00B35529" w:rsidP="001B305A">
            <w:pPr>
              <w:pStyle w:val="Tabletext"/>
              <w:spacing w:after="240"/>
              <w:jc w:val="center"/>
              <w:rPr>
                <w:i/>
              </w:rPr>
            </w:pPr>
            <w:r w:rsidRPr="007900F9">
              <w:rPr>
                <w:i/>
              </w:rPr>
              <w:t>50.3%</w:t>
            </w:r>
          </w:p>
        </w:tc>
        <w:tc>
          <w:tcPr>
            <w:tcW w:w="1341" w:type="dxa"/>
            <w:tcBorders>
              <w:bottom w:val="nil"/>
            </w:tcBorders>
            <w:vAlign w:val="bottom"/>
          </w:tcPr>
          <w:p w14:paraId="1C7C1B03" w14:textId="77777777" w:rsidR="00B35529" w:rsidRPr="00F36217" w:rsidRDefault="00B35529" w:rsidP="001B305A">
            <w:pPr>
              <w:pStyle w:val="Tabletext"/>
              <w:spacing w:after="240"/>
              <w:jc w:val="center"/>
              <w:rPr>
                <w:i/>
              </w:rPr>
            </w:pPr>
            <w:r w:rsidRPr="00F36217">
              <w:rPr>
                <w:i/>
              </w:rPr>
              <w:t>47.1%</w:t>
            </w:r>
          </w:p>
        </w:tc>
        <w:tc>
          <w:tcPr>
            <w:tcW w:w="1069" w:type="dxa"/>
            <w:tcBorders>
              <w:bottom w:val="nil"/>
            </w:tcBorders>
            <w:vAlign w:val="bottom"/>
          </w:tcPr>
          <w:p w14:paraId="6024F2B7" w14:textId="77777777" w:rsidR="00B35529" w:rsidRPr="00BA4719" w:rsidRDefault="00B35529" w:rsidP="001B305A">
            <w:pPr>
              <w:pStyle w:val="Tabletext"/>
              <w:spacing w:after="240"/>
              <w:jc w:val="center"/>
              <w:rPr>
                <w:i/>
              </w:rPr>
            </w:pPr>
            <w:r w:rsidRPr="00BA4719">
              <w:rPr>
                <w:i/>
              </w:rPr>
              <w:t>50.0%</w:t>
            </w:r>
          </w:p>
        </w:tc>
        <w:tc>
          <w:tcPr>
            <w:tcW w:w="1337" w:type="dxa"/>
            <w:tcBorders>
              <w:bottom w:val="nil"/>
            </w:tcBorders>
            <w:vAlign w:val="bottom"/>
          </w:tcPr>
          <w:p w14:paraId="04805244" w14:textId="77777777" w:rsidR="00B35529" w:rsidRPr="00BA4719" w:rsidRDefault="00B35529" w:rsidP="001B305A">
            <w:pPr>
              <w:pStyle w:val="Tabletext"/>
              <w:spacing w:after="240"/>
              <w:jc w:val="center"/>
              <w:rPr>
                <w:i/>
              </w:rPr>
            </w:pPr>
            <w:r w:rsidRPr="00BA4719">
              <w:rPr>
                <w:i/>
              </w:rPr>
              <w:t>43.7%</w:t>
            </w:r>
          </w:p>
        </w:tc>
      </w:tr>
      <w:tr w:rsidR="00B35529" w14:paraId="309C442D" w14:textId="77777777" w:rsidTr="006111E4">
        <w:tc>
          <w:tcPr>
            <w:tcW w:w="3119" w:type="dxa"/>
            <w:tcBorders>
              <w:top w:val="nil"/>
              <w:bottom w:val="nil"/>
            </w:tcBorders>
          </w:tcPr>
          <w:p w14:paraId="4BEE67BA" w14:textId="77777777" w:rsidR="00B35529" w:rsidRDefault="00B35529" w:rsidP="001B305A">
            <w:pPr>
              <w:pStyle w:val="Tabletext"/>
              <w:spacing w:after="240"/>
            </w:pPr>
            <w:r>
              <w:t>ICA in CAD+</w:t>
            </w:r>
          </w:p>
        </w:tc>
        <w:tc>
          <w:tcPr>
            <w:tcW w:w="1203" w:type="dxa"/>
            <w:tcBorders>
              <w:top w:val="nil"/>
              <w:bottom w:val="nil"/>
            </w:tcBorders>
            <w:vAlign w:val="bottom"/>
          </w:tcPr>
          <w:p w14:paraId="140E290F" w14:textId="77777777" w:rsidR="00B35529" w:rsidRPr="008003B9" w:rsidRDefault="00B35529" w:rsidP="001B305A">
            <w:pPr>
              <w:pStyle w:val="Tabletext"/>
              <w:spacing w:after="240"/>
              <w:jc w:val="center"/>
            </w:pPr>
            <w:r w:rsidRPr="008003B9">
              <w:t>38.8%</w:t>
            </w:r>
          </w:p>
        </w:tc>
        <w:tc>
          <w:tcPr>
            <w:tcW w:w="1065" w:type="dxa"/>
            <w:tcBorders>
              <w:top w:val="nil"/>
              <w:bottom w:val="nil"/>
            </w:tcBorders>
          </w:tcPr>
          <w:p w14:paraId="7E49D9CB" w14:textId="77777777" w:rsidR="00B35529" w:rsidRDefault="00B35529" w:rsidP="001B305A">
            <w:pPr>
              <w:pStyle w:val="Tabletext"/>
              <w:spacing w:after="240"/>
              <w:jc w:val="center"/>
            </w:pPr>
            <w:r w:rsidRPr="008003B9">
              <w:t>43.7%</w:t>
            </w:r>
          </w:p>
        </w:tc>
        <w:tc>
          <w:tcPr>
            <w:tcW w:w="1341" w:type="dxa"/>
            <w:tcBorders>
              <w:top w:val="nil"/>
              <w:bottom w:val="nil"/>
            </w:tcBorders>
            <w:vAlign w:val="bottom"/>
          </w:tcPr>
          <w:p w14:paraId="72354D89" w14:textId="77777777" w:rsidR="00B35529" w:rsidRDefault="00B35529" w:rsidP="001B305A">
            <w:pPr>
              <w:pStyle w:val="Tabletext"/>
              <w:spacing w:after="240"/>
              <w:jc w:val="center"/>
            </w:pPr>
            <w:r w:rsidRPr="00B77A0A">
              <w:t>39.4%</w:t>
            </w:r>
          </w:p>
        </w:tc>
        <w:tc>
          <w:tcPr>
            <w:tcW w:w="1069" w:type="dxa"/>
            <w:tcBorders>
              <w:top w:val="nil"/>
              <w:bottom w:val="nil"/>
            </w:tcBorders>
            <w:vAlign w:val="bottom"/>
          </w:tcPr>
          <w:p w14:paraId="01EC664D" w14:textId="77777777" w:rsidR="00B35529" w:rsidRDefault="00B35529" w:rsidP="001B305A">
            <w:pPr>
              <w:pStyle w:val="Tabletext"/>
              <w:spacing w:after="240"/>
              <w:jc w:val="center"/>
            </w:pPr>
            <w:r w:rsidRPr="00FC01E4">
              <w:t>37.6%</w:t>
            </w:r>
          </w:p>
        </w:tc>
        <w:tc>
          <w:tcPr>
            <w:tcW w:w="1337" w:type="dxa"/>
            <w:tcBorders>
              <w:top w:val="nil"/>
              <w:bottom w:val="nil"/>
            </w:tcBorders>
            <w:vAlign w:val="bottom"/>
          </w:tcPr>
          <w:p w14:paraId="651D503E" w14:textId="77777777" w:rsidR="00B35529" w:rsidRDefault="00B35529" w:rsidP="001B305A">
            <w:pPr>
              <w:pStyle w:val="Tabletext"/>
              <w:spacing w:after="240"/>
              <w:jc w:val="center"/>
            </w:pPr>
            <w:r w:rsidRPr="00247C85">
              <w:t>31.5%</w:t>
            </w:r>
          </w:p>
        </w:tc>
      </w:tr>
      <w:tr w:rsidR="00B35529" w14:paraId="1CD7F999" w14:textId="77777777" w:rsidTr="006111E4">
        <w:tc>
          <w:tcPr>
            <w:tcW w:w="3119" w:type="dxa"/>
            <w:tcBorders>
              <w:top w:val="nil"/>
            </w:tcBorders>
          </w:tcPr>
          <w:p w14:paraId="75F0412B" w14:textId="77777777" w:rsidR="00B35529" w:rsidRDefault="00B35529" w:rsidP="001B305A">
            <w:pPr>
              <w:pStyle w:val="Tabletext"/>
              <w:spacing w:after="240"/>
            </w:pPr>
            <w:r>
              <w:t>ICA in CAD-</w:t>
            </w:r>
          </w:p>
        </w:tc>
        <w:tc>
          <w:tcPr>
            <w:tcW w:w="1203" w:type="dxa"/>
            <w:tcBorders>
              <w:top w:val="nil"/>
            </w:tcBorders>
          </w:tcPr>
          <w:p w14:paraId="1D01121F" w14:textId="77777777" w:rsidR="00B35529" w:rsidRDefault="00B35529" w:rsidP="001B305A">
            <w:pPr>
              <w:pStyle w:val="Tabletext"/>
              <w:spacing w:after="240"/>
              <w:jc w:val="center"/>
            </w:pPr>
            <w:r>
              <w:t>8.1%</w:t>
            </w:r>
          </w:p>
        </w:tc>
        <w:tc>
          <w:tcPr>
            <w:tcW w:w="1065" w:type="dxa"/>
            <w:tcBorders>
              <w:top w:val="nil"/>
            </w:tcBorders>
          </w:tcPr>
          <w:p w14:paraId="4D2100B5" w14:textId="77777777" w:rsidR="00B35529" w:rsidRDefault="00B35529" w:rsidP="001B305A">
            <w:pPr>
              <w:pStyle w:val="Tabletext"/>
              <w:spacing w:after="240"/>
              <w:jc w:val="center"/>
            </w:pPr>
            <w:r>
              <w:t>6.6%</w:t>
            </w:r>
          </w:p>
        </w:tc>
        <w:tc>
          <w:tcPr>
            <w:tcW w:w="1341" w:type="dxa"/>
            <w:tcBorders>
              <w:top w:val="nil"/>
            </w:tcBorders>
            <w:vAlign w:val="bottom"/>
          </w:tcPr>
          <w:p w14:paraId="06250A9B" w14:textId="77777777" w:rsidR="00B35529" w:rsidRDefault="00B35529" w:rsidP="001B305A">
            <w:pPr>
              <w:pStyle w:val="Tabletext"/>
              <w:spacing w:after="240"/>
              <w:jc w:val="center"/>
            </w:pPr>
            <w:r>
              <w:t>7.6%</w:t>
            </w:r>
          </w:p>
        </w:tc>
        <w:tc>
          <w:tcPr>
            <w:tcW w:w="1069" w:type="dxa"/>
            <w:tcBorders>
              <w:top w:val="nil"/>
            </w:tcBorders>
            <w:vAlign w:val="bottom"/>
          </w:tcPr>
          <w:p w14:paraId="56149088" w14:textId="77777777" w:rsidR="00B35529" w:rsidRDefault="00B35529" w:rsidP="001B305A">
            <w:pPr>
              <w:pStyle w:val="Tabletext"/>
              <w:spacing w:after="240"/>
              <w:jc w:val="center"/>
            </w:pPr>
            <w:r>
              <w:t>12.4%</w:t>
            </w:r>
          </w:p>
        </w:tc>
        <w:tc>
          <w:tcPr>
            <w:tcW w:w="1337" w:type="dxa"/>
            <w:tcBorders>
              <w:top w:val="nil"/>
            </w:tcBorders>
            <w:vAlign w:val="bottom"/>
          </w:tcPr>
          <w:p w14:paraId="6DF9A265" w14:textId="77777777" w:rsidR="00B35529" w:rsidRDefault="00B35529" w:rsidP="001B305A">
            <w:pPr>
              <w:pStyle w:val="Tabletext"/>
              <w:spacing w:after="240"/>
              <w:jc w:val="center"/>
            </w:pPr>
            <w:r>
              <w:t>12.3%</w:t>
            </w:r>
          </w:p>
        </w:tc>
      </w:tr>
    </w:tbl>
    <w:p w14:paraId="3BE1549B" w14:textId="213C108C" w:rsidR="006165E0" w:rsidRPr="001B305A" w:rsidRDefault="006165E0" w:rsidP="001B305A">
      <w:pPr>
        <w:pStyle w:val="Default"/>
        <w:spacing w:after="240"/>
        <w:rPr>
          <w:color w:val="auto"/>
          <w:sz w:val="16"/>
          <w:szCs w:val="16"/>
        </w:rPr>
      </w:pPr>
      <w:r w:rsidRPr="006165E0">
        <w:rPr>
          <w:color w:val="auto"/>
          <w:sz w:val="16"/>
          <w:szCs w:val="16"/>
        </w:rPr>
        <w:t>AE = adverse event; CAD = coronary artery disease; CMR = stress perfusion cardiac magnetic resonance imaging with late gadolinium enhancement; CTCA = computed tomography coronary angiography; ECG = electrocardiography; Echo = echocardiography; ICA = invasive coronary angiography; SPECT = single-photon emission computed tomography</w:t>
      </w:r>
    </w:p>
    <w:p w14:paraId="7A31349E" w14:textId="18537C51" w:rsidR="00B35529" w:rsidRPr="001B305A" w:rsidRDefault="00B35529" w:rsidP="001B305A">
      <w:pPr>
        <w:pStyle w:val="Default"/>
        <w:spacing w:after="240"/>
      </w:pPr>
      <w:r>
        <w:t>The incremental costs,</w:t>
      </w:r>
      <w:r w:rsidRPr="00183E4D">
        <w:t xml:space="preserve"> outcomes</w:t>
      </w:r>
      <w:r>
        <w:t xml:space="preserve"> and cost-effectiveness ratios comparing CMR with the comparators are presented in Table 3.</w:t>
      </w:r>
    </w:p>
    <w:p w14:paraId="4CBC987E" w14:textId="451A0426" w:rsidR="00B35529" w:rsidRPr="001B305A" w:rsidRDefault="001B305A" w:rsidP="001B305A">
      <w:pPr>
        <w:rPr>
          <w:rFonts w:ascii="Arial Narrow" w:hAnsi="Arial Narrow"/>
          <w:b/>
          <w:sz w:val="20"/>
        </w:rPr>
      </w:pPr>
      <w:bookmarkStart w:id="6" w:name="_Ref437272765"/>
      <w:bookmarkStart w:id="7" w:name="_Toc439954434"/>
      <w:r>
        <w:br w:type="page"/>
      </w:r>
      <w:r w:rsidR="00B35529" w:rsidRPr="001B305A">
        <w:rPr>
          <w:rFonts w:ascii="Arial Narrow" w:hAnsi="Arial Narrow"/>
          <w:b/>
          <w:sz w:val="20"/>
        </w:rPr>
        <w:lastRenderedPageBreak/>
        <w:t xml:space="preserve">Table </w:t>
      </w:r>
      <w:bookmarkEnd w:id="6"/>
      <w:r w:rsidR="00B35529" w:rsidRPr="001B305A">
        <w:rPr>
          <w:rFonts w:ascii="Arial Narrow" w:hAnsi="Arial Narrow"/>
          <w:b/>
          <w:sz w:val="20"/>
        </w:rPr>
        <w:t>3</w:t>
      </w:r>
      <w:r w:rsidR="00B35529" w:rsidRPr="001B305A">
        <w:rPr>
          <w:rFonts w:ascii="Arial Narrow" w:hAnsi="Arial Narrow"/>
          <w:b/>
          <w:sz w:val="20"/>
        </w:rPr>
        <w:tab/>
        <w:t>Incremental results and results of the cost-effectiveness analyses, all comparisons</w:t>
      </w:r>
      <w:bookmarkEnd w:id="7"/>
    </w:p>
    <w:tbl>
      <w:tblPr>
        <w:tblStyle w:val="TableGrid"/>
        <w:tblW w:w="4942" w:type="pct"/>
        <w:tblInd w:w="108" w:type="dxa"/>
        <w:tblLayout w:type="fixed"/>
        <w:tblLook w:val="04A0" w:firstRow="1" w:lastRow="0" w:firstColumn="1" w:lastColumn="0" w:noHBand="0" w:noVBand="1"/>
        <w:tblDescription w:val="Table ES.6 Incremental results comparing CMR to each non-invasive testing strategy in the economic evaluation, including the outcomes of testing, ICAs performed and missed, costs and cost-effectiveness ratios."/>
      </w:tblPr>
      <w:tblGrid>
        <w:gridCol w:w="3967"/>
        <w:gridCol w:w="1292"/>
        <w:gridCol w:w="1292"/>
        <w:gridCol w:w="1292"/>
        <w:gridCol w:w="1292"/>
      </w:tblGrid>
      <w:tr w:rsidR="00B35529" w14:paraId="4806119F" w14:textId="77777777" w:rsidTr="006111E4">
        <w:trPr>
          <w:tblHeader/>
        </w:trPr>
        <w:tc>
          <w:tcPr>
            <w:tcW w:w="2171" w:type="pct"/>
            <w:tcBorders>
              <w:bottom w:val="single" w:sz="4" w:space="0" w:color="auto"/>
            </w:tcBorders>
          </w:tcPr>
          <w:p w14:paraId="7A3306CA" w14:textId="77777777" w:rsidR="00B35529" w:rsidRPr="00407341" w:rsidRDefault="00B35529" w:rsidP="001B305A">
            <w:pPr>
              <w:pStyle w:val="TableHeading"/>
              <w:spacing w:before="0" w:after="240"/>
              <w:ind w:left="0" w:firstLine="0"/>
              <w:rPr>
                <w:color w:val="FFFFFF" w:themeColor="background1"/>
              </w:rPr>
            </w:pPr>
            <w:r w:rsidRPr="00407341">
              <w:rPr>
                <w:color w:val="FFFFFF" w:themeColor="background1"/>
              </w:rPr>
              <w:t>-</w:t>
            </w:r>
          </w:p>
        </w:tc>
        <w:tc>
          <w:tcPr>
            <w:tcW w:w="707" w:type="pct"/>
            <w:tcBorders>
              <w:bottom w:val="single" w:sz="4" w:space="0" w:color="auto"/>
            </w:tcBorders>
          </w:tcPr>
          <w:p w14:paraId="12987E9A" w14:textId="77777777" w:rsidR="00B35529" w:rsidRDefault="00B35529" w:rsidP="001B305A">
            <w:pPr>
              <w:pStyle w:val="TableHeading"/>
              <w:spacing w:before="0" w:after="240"/>
              <w:ind w:left="0" w:firstLine="0"/>
            </w:pPr>
            <w:r>
              <w:t>Increment vs. CTCA</w:t>
            </w:r>
          </w:p>
        </w:tc>
        <w:tc>
          <w:tcPr>
            <w:tcW w:w="707" w:type="pct"/>
            <w:tcBorders>
              <w:bottom w:val="single" w:sz="4" w:space="0" w:color="auto"/>
            </w:tcBorders>
          </w:tcPr>
          <w:p w14:paraId="7F3DA04D" w14:textId="77777777" w:rsidR="00B35529" w:rsidRDefault="00B35529" w:rsidP="001B305A">
            <w:pPr>
              <w:pStyle w:val="TableHeading"/>
              <w:spacing w:before="0" w:after="240"/>
              <w:ind w:left="0" w:firstLine="0"/>
            </w:pPr>
            <w:r>
              <w:t>Increment vs. Stress Echo</w:t>
            </w:r>
          </w:p>
        </w:tc>
        <w:tc>
          <w:tcPr>
            <w:tcW w:w="707" w:type="pct"/>
            <w:tcBorders>
              <w:bottom w:val="single" w:sz="4" w:space="0" w:color="auto"/>
            </w:tcBorders>
          </w:tcPr>
          <w:p w14:paraId="7A3B9950" w14:textId="77777777" w:rsidR="00B35529" w:rsidRDefault="00B35529" w:rsidP="001B305A">
            <w:pPr>
              <w:pStyle w:val="TableHeading"/>
              <w:spacing w:before="0" w:after="240"/>
              <w:ind w:left="0" w:firstLine="0"/>
            </w:pPr>
            <w:r>
              <w:t>Increment vs. SPECT</w:t>
            </w:r>
          </w:p>
        </w:tc>
        <w:tc>
          <w:tcPr>
            <w:tcW w:w="707" w:type="pct"/>
            <w:tcBorders>
              <w:bottom w:val="single" w:sz="4" w:space="0" w:color="auto"/>
            </w:tcBorders>
          </w:tcPr>
          <w:p w14:paraId="5B758F44" w14:textId="77777777" w:rsidR="00B35529" w:rsidRDefault="00B35529" w:rsidP="001B305A">
            <w:pPr>
              <w:pStyle w:val="TableHeading"/>
              <w:spacing w:before="0" w:after="240"/>
              <w:ind w:left="0" w:firstLine="0"/>
            </w:pPr>
            <w:r>
              <w:t>Increment vs. Exercise ECG</w:t>
            </w:r>
          </w:p>
        </w:tc>
      </w:tr>
      <w:tr w:rsidR="00B35529" w14:paraId="6959E436" w14:textId="77777777" w:rsidTr="006111E4">
        <w:tc>
          <w:tcPr>
            <w:tcW w:w="2171" w:type="pct"/>
            <w:tcBorders>
              <w:bottom w:val="single" w:sz="4" w:space="0" w:color="auto"/>
              <w:right w:val="nil"/>
            </w:tcBorders>
          </w:tcPr>
          <w:p w14:paraId="2BDEEC83" w14:textId="77777777" w:rsidR="00B35529" w:rsidRDefault="00B35529" w:rsidP="001B305A">
            <w:pPr>
              <w:pStyle w:val="TableHeading"/>
              <w:spacing w:before="0" w:after="240"/>
            </w:pPr>
            <w:r>
              <w:t>Costs</w:t>
            </w:r>
          </w:p>
        </w:tc>
        <w:tc>
          <w:tcPr>
            <w:tcW w:w="707" w:type="pct"/>
            <w:tcBorders>
              <w:left w:val="nil"/>
              <w:bottom w:val="single" w:sz="4" w:space="0" w:color="auto"/>
              <w:right w:val="nil"/>
            </w:tcBorders>
          </w:tcPr>
          <w:p w14:paraId="222418B6" w14:textId="77777777" w:rsidR="00B35529" w:rsidRPr="00407341" w:rsidRDefault="00B35529" w:rsidP="001B305A">
            <w:pPr>
              <w:pStyle w:val="TableHeading"/>
              <w:spacing w:before="0" w:after="240"/>
              <w:rPr>
                <w:color w:val="FFFFFF" w:themeColor="background1"/>
              </w:rPr>
            </w:pPr>
            <w:r w:rsidRPr="00407341">
              <w:rPr>
                <w:color w:val="FFFFFF" w:themeColor="background1"/>
              </w:rPr>
              <w:t>-</w:t>
            </w:r>
          </w:p>
        </w:tc>
        <w:tc>
          <w:tcPr>
            <w:tcW w:w="707" w:type="pct"/>
            <w:tcBorders>
              <w:left w:val="nil"/>
              <w:bottom w:val="single" w:sz="4" w:space="0" w:color="auto"/>
              <w:right w:val="nil"/>
            </w:tcBorders>
          </w:tcPr>
          <w:p w14:paraId="5DD4BDA8" w14:textId="77777777" w:rsidR="00B35529" w:rsidRPr="00407341" w:rsidRDefault="00B35529" w:rsidP="001B305A">
            <w:pPr>
              <w:pStyle w:val="TableHeading"/>
              <w:spacing w:before="0" w:after="240"/>
              <w:rPr>
                <w:color w:val="FFFFFF" w:themeColor="background1"/>
              </w:rPr>
            </w:pPr>
            <w:r w:rsidRPr="00407341">
              <w:rPr>
                <w:color w:val="FFFFFF" w:themeColor="background1"/>
              </w:rPr>
              <w:t>-</w:t>
            </w:r>
          </w:p>
        </w:tc>
        <w:tc>
          <w:tcPr>
            <w:tcW w:w="707" w:type="pct"/>
            <w:tcBorders>
              <w:left w:val="nil"/>
              <w:bottom w:val="single" w:sz="4" w:space="0" w:color="auto"/>
              <w:right w:val="nil"/>
            </w:tcBorders>
          </w:tcPr>
          <w:p w14:paraId="457CB112" w14:textId="77777777" w:rsidR="00B35529" w:rsidRPr="00407341" w:rsidRDefault="00B35529" w:rsidP="001B305A">
            <w:pPr>
              <w:pStyle w:val="TableHeading"/>
              <w:spacing w:before="0" w:after="240"/>
              <w:rPr>
                <w:color w:val="FFFFFF" w:themeColor="background1"/>
              </w:rPr>
            </w:pPr>
            <w:r w:rsidRPr="00407341">
              <w:rPr>
                <w:color w:val="FFFFFF" w:themeColor="background1"/>
              </w:rPr>
              <w:t>-</w:t>
            </w:r>
          </w:p>
        </w:tc>
        <w:tc>
          <w:tcPr>
            <w:tcW w:w="707" w:type="pct"/>
            <w:tcBorders>
              <w:left w:val="nil"/>
              <w:bottom w:val="single" w:sz="4" w:space="0" w:color="auto"/>
            </w:tcBorders>
          </w:tcPr>
          <w:p w14:paraId="5BA1CD9D" w14:textId="77777777" w:rsidR="00B35529" w:rsidRPr="00407341" w:rsidRDefault="00B35529" w:rsidP="001B305A">
            <w:pPr>
              <w:pStyle w:val="TableHeading"/>
              <w:spacing w:before="0" w:after="240"/>
              <w:rPr>
                <w:color w:val="FFFFFF" w:themeColor="background1"/>
              </w:rPr>
            </w:pPr>
            <w:r w:rsidRPr="00407341">
              <w:rPr>
                <w:color w:val="FFFFFF" w:themeColor="background1"/>
              </w:rPr>
              <w:t>-</w:t>
            </w:r>
          </w:p>
        </w:tc>
      </w:tr>
      <w:tr w:rsidR="00B35529" w:rsidRPr="006E77C1" w14:paraId="0131C44F" w14:textId="77777777" w:rsidTr="006111E4">
        <w:tc>
          <w:tcPr>
            <w:tcW w:w="2171" w:type="pct"/>
            <w:tcBorders>
              <w:bottom w:val="nil"/>
            </w:tcBorders>
          </w:tcPr>
          <w:p w14:paraId="3894E633" w14:textId="77777777" w:rsidR="00B35529" w:rsidRPr="006E77C1" w:rsidRDefault="00B35529" w:rsidP="001B305A">
            <w:pPr>
              <w:pStyle w:val="Tabletext"/>
              <w:keepNext/>
              <w:spacing w:after="240"/>
            </w:pPr>
            <w:r>
              <w:t>Test costs (including treatment of AEs)</w:t>
            </w:r>
          </w:p>
        </w:tc>
        <w:tc>
          <w:tcPr>
            <w:tcW w:w="707" w:type="pct"/>
            <w:tcBorders>
              <w:bottom w:val="nil"/>
            </w:tcBorders>
          </w:tcPr>
          <w:p w14:paraId="435012A9" w14:textId="77777777" w:rsidR="00B35529" w:rsidRPr="006E77C1" w:rsidRDefault="00B35529" w:rsidP="001B305A">
            <w:pPr>
              <w:pStyle w:val="Tabletext"/>
              <w:keepNext/>
              <w:spacing w:after="240"/>
              <w:jc w:val="right"/>
            </w:pPr>
            <w:r w:rsidRPr="006E77C1">
              <w:t>$258</w:t>
            </w:r>
          </w:p>
        </w:tc>
        <w:tc>
          <w:tcPr>
            <w:tcW w:w="707" w:type="pct"/>
            <w:tcBorders>
              <w:bottom w:val="nil"/>
            </w:tcBorders>
            <w:vAlign w:val="bottom"/>
          </w:tcPr>
          <w:p w14:paraId="71E8B8F4" w14:textId="77777777" w:rsidR="00B35529" w:rsidRDefault="00B35529" w:rsidP="001B305A">
            <w:pPr>
              <w:pStyle w:val="Tabletext"/>
              <w:keepNext/>
              <w:spacing w:after="240"/>
              <w:jc w:val="right"/>
            </w:pPr>
            <w:r>
              <w:t>$546</w:t>
            </w:r>
          </w:p>
        </w:tc>
        <w:tc>
          <w:tcPr>
            <w:tcW w:w="707" w:type="pct"/>
            <w:tcBorders>
              <w:bottom w:val="nil"/>
            </w:tcBorders>
            <w:vAlign w:val="bottom"/>
          </w:tcPr>
          <w:p w14:paraId="080C677F" w14:textId="77777777" w:rsidR="00B35529" w:rsidRDefault="00B35529" w:rsidP="001B305A">
            <w:pPr>
              <w:pStyle w:val="Tabletext"/>
              <w:keepNext/>
              <w:spacing w:after="240"/>
              <w:jc w:val="right"/>
            </w:pPr>
            <w:r>
              <w:t>$125</w:t>
            </w:r>
          </w:p>
        </w:tc>
        <w:tc>
          <w:tcPr>
            <w:tcW w:w="707" w:type="pct"/>
            <w:tcBorders>
              <w:bottom w:val="nil"/>
            </w:tcBorders>
            <w:vAlign w:val="bottom"/>
          </w:tcPr>
          <w:p w14:paraId="5EEB3A8B" w14:textId="77777777" w:rsidR="00B35529" w:rsidRDefault="00B35529" w:rsidP="001B305A">
            <w:pPr>
              <w:pStyle w:val="Tabletext"/>
              <w:keepNext/>
              <w:spacing w:after="240"/>
              <w:jc w:val="right"/>
            </w:pPr>
            <w:r>
              <w:t>$808</w:t>
            </w:r>
          </w:p>
        </w:tc>
      </w:tr>
      <w:tr w:rsidR="00B35529" w:rsidRPr="006E77C1" w14:paraId="21DC77CD" w14:textId="77777777" w:rsidTr="006111E4">
        <w:tc>
          <w:tcPr>
            <w:tcW w:w="2171" w:type="pct"/>
            <w:tcBorders>
              <w:top w:val="nil"/>
              <w:bottom w:val="nil"/>
            </w:tcBorders>
          </w:tcPr>
          <w:p w14:paraId="6D44CE0F" w14:textId="77777777" w:rsidR="00B35529" w:rsidRPr="006E77C1" w:rsidRDefault="00B35529" w:rsidP="001B305A">
            <w:pPr>
              <w:pStyle w:val="Tabletext"/>
              <w:keepNext/>
              <w:spacing w:after="240"/>
            </w:pPr>
            <w:r w:rsidRPr="006E77C1">
              <w:t>Modelled cost of re-testing</w:t>
            </w:r>
          </w:p>
        </w:tc>
        <w:tc>
          <w:tcPr>
            <w:tcW w:w="707" w:type="pct"/>
            <w:tcBorders>
              <w:top w:val="nil"/>
              <w:bottom w:val="nil"/>
            </w:tcBorders>
          </w:tcPr>
          <w:p w14:paraId="03A1FA9C" w14:textId="77777777" w:rsidR="00B35529" w:rsidRPr="006E77C1" w:rsidRDefault="00B35529" w:rsidP="001B305A">
            <w:pPr>
              <w:pStyle w:val="Tabletext"/>
              <w:keepNext/>
              <w:spacing w:after="240"/>
              <w:jc w:val="right"/>
            </w:pPr>
            <w:r w:rsidRPr="006E77C1">
              <w:t>$83</w:t>
            </w:r>
          </w:p>
        </w:tc>
        <w:tc>
          <w:tcPr>
            <w:tcW w:w="707" w:type="pct"/>
            <w:tcBorders>
              <w:top w:val="nil"/>
              <w:bottom w:val="nil"/>
            </w:tcBorders>
            <w:vAlign w:val="bottom"/>
          </w:tcPr>
          <w:p w14:paraId="7817D390" w14:textId="77777777" w:rsidR="00B35529" w:rsidRDefault="00B35529" w:rsidP="001B305A">
            <w:pPr>
              <w:pStyle w:val="Tabletext"/>
              <w:keepNext/>
              <w:spacing w:after="240"/>
              <w:jc w:val="right"/>
            </w:pPr>
            <w:r>
              <w:t>$33</w:t>
            </w:r>
          </w:p>
        </w:tc>
        <w:tc>
          <w:tcPr>
            <w:tcW w:w="707" w:type="pct"/>
            <w:tcBorders>
              <w:top w:val="nil"/>
              <w:bottom w:val="nil"/>
            </w:tcBorders>
            <w:vAlign w:val="bottom"/>
          </w:tcPr>
          <w:p w14:paraId="451C318D" w14:textId="77777777" w:rsidR="00B35529" w:rsidRDefault="00B35529" w:rsidP="001B305A">
            <w:pPr>
              <w:pStyle w:val="Tabletext"/>
              <w:keepNext/>
              <w:spacing w:after="240"/>
              <w:jc w:val="right"/>
            </w:pPr>
            <w:r>
              <w:t>$53</w:t>
            </w:r>
          </w:p>
        </w:tc>
        <w:tc>
          <w:tcPr>
            <w:tcW w:w="707" w:type="pct"/>
            <w:tcBorders>
              <w:top w:val="nil"/>
              <w:bottom w:val="nil"/>
            </w:tcBorders>
            <w:vAlign w:val="bottom"/>
          </w:tcPr>
          <w:p w14:paraId="65A5B9F9" w14:textId="77777777" w:rsidR="00B35529" w:rsidRDefault="00B35529" w:rsidP="001B305A">
            <w:pPr>
              <w:pStyle w:val="Tabletext"/>
              <w:keepNext/>
              <w:spacing w:after="240"/>
              <w:jc w:val="right"/>
            </w:pPr>
            <w:r>
              <w:t>$34</w:t>
            </w:r>
          </w:p>
        </w:tc>
      </w:tr>
      <w:tr w:rsidR="00B35529" w14:paraId="51C948EA" w14:textId="77777777" w:rsidTr="006111E4">
        <w:tc>
          <w:tcPr>
            <w:tcW w:w="2171" w:type="pct"/>
            <w:tcBorders>
              <w:top w:val="nil"/>
              <w:bottom w:val="nil"/>
            </w:tcBorders>
          </w:tcPr>
          <w:p w14:paraId="21ECADFE" w14:textId="77777777" w:rsidR="00B35529" w:rsidRPr="006E77C1" w:rsidRDefault="00B35529" w:rsidP="001B305A">
            <w:pPr>
              <w:pStyle w:val="Tabletext"/>
              <w:keepNext/>
              <w:spacing w:after="240"/>
            </w:pPr>
            <w:r w:rsidRPr="006E77C1">
              <w:t>Modelled cost of ICA</w:t>
            </w:r>
          </w:p>
        </w:tc>
        <w:tc>
          <w:tcPr>
            <w:tcW w:w="707" w:type="pct"/>
            <w:tcBorders>
              <w:top w:val="nil"/>
              <w:bottom w:val="nil"/>
            </w:tcBorders>
          </w:tcPr>
          <w:p w14:paraId="0FDBBDCC" w14:textId="77777777" w:rsidR="00B35529" w:rsidRPr="006E77C1" w:rsidRDefault="00B35529" w:rsidP="001B305A">
            <w:pPr>
              <w:pStyle w:val="Tabletext"/>
              <w:keepNext/>
              <w:spacing w:after="240"/>
              <w:jc w:val="right"/>
            </w:pPr>
            <w:r>
              <w:rPr>
                <w:color w:val="FF0000"/>
              </w:rPr>
              <w:t>–</w:t>
            </w:r>
            <w:r w:rsidRPr="006E77C1">
              <w:rPr>
                <w:color w:val="FF0000"/>
              </w:rPr>
              <w:t>$154</w:t>
            </w:r>
          </w:p>
        </w:tc>
        <w:tc>
          <w:tcPr>
            <w:tcW w:w="707" w:type="pct"/>
            <w:tcBorders>
              <w:top w:val="nil"/>
              <w:bottom w:val="nil"/>
            </w:tcBorders>
            <w:vAlign w:val="bottom"/>
          </w:tcPr>
          <w:p w14:paraId="7C0CEA63" w14:textId="77777777" w:rsidR="00B35529" w:rsidRDefault="00B35529" w:rsidP="001B305A">
            <w:pPr>
              <w:pStyle w:val="Tabletext"/>
              <w:keepNext/>
              <w:spacing w:after="240"/>
              <w:jc w:val="right"/>
            </w:pPr>
            <w:r>
              <w:rPr>
                <w:color w:val="FF0000"/>
              </w:rPr>
              <w:t>–$7</w:t>
            </w:r>
          </w:p>
        </w:tc>
        <w:tc>
          <w:tcPr>
            <w:tcW w:w="707" w:type="pct"/>
            <w:tcBorders>
              <w:top w:val="nil"/>
              <w:bottom w:val="nil"/>
            </w:tcBorders>
            <w:vAlign w:val="bottom"/>
          </w:tcPr>
          <w:p w14:paraId="1688C969" w14:textId="77777777" w:rsidR="00B35529" w:rsidRDefault="00B35529" w:rsidP="001B305A">
            <w:pPr>
              <w:pStyle w:val="Tabletext"/>
              <w:keepNext/>
              <w:spacing w:after="240"/>
              <w:jc w:val="right"/>
            </w:pPr>
            <w:r>
              <w:rPr>
                <w:color w:val="FF0000"/>
              </w:rPr>
              <w:t>–$143</w:t>
            </w:r>
          </w:p>
        </w:tc>
        <w:tc>
          <w:tcPr>
            <w:tcW w:w="707" w:type="pct"/>
            <w:tcBorders>
              <w:top w:val="nil"/>
              <w:bottom w:val="nil"/>
            </w:tcBorders>
            <w:vAlign w:val="bottom"/>
          </w:tcPr>
          <w:p w14:paraId="18A374EC" w14:textId="77777777" w:rsidR="00B35529" w:rsidRDefault="00B35529" w:rsidP="001B305A">
            <w:pPr>
              <w:pStyle w:val="Tabletext"/>
              <w:keepNext/>
              <w:spacing w:after="240"/>
              <w:jc w:val="right"/>
            </w:pPr>
            <w:r>
              <w:t>$148</w:t>
            </w:r>
          </w:p>
        </w:tc>
      </w:tr>
      <w:tr w:rsidR="00B35529" w14:paraId="43148337" w14:textId="77777777" w:rsidTr="006111E4">
        <w:tc>
          <w:tcPr>
            <w:tcW w:w="2171" w:type="pct"/>
            <w:tcBorders>
              <w:top w:val="nil"/>
            </w:tcBorders>
          </w:tcPr>
          <w:p w14:paraId="31FF2847" w14:textId="77777777" w:rsidR="00B35529" w:rsidRPr="00281D74" w:rsidRDefault="00B35529" w:rsidP="001B305A">
            <w:pPr>
              <w:pStyle w:val="Tabletext"/>
              <w:spacing w:after="240"/>
              <w:rPr>
                <w:b/>
              </w:rPr>
            </w:pPr>
            <w:r w:rsidRPr="00281D74">
              <w:rPr>
                <w:b/>
              </w:rPr>
              <w:t>Total</w:t>
            </w:r>
          </w:p>
        </w:tc>
        <w:tc>
          <w:tcPr>
            <w:tcW w:w="707" w:type="pct"/>
            <w:tcBorders>
              <w:top w:val="nil"/>
            </w:tcBorders>
          </w:tcPr>
          <w:p w14:paraId="24B8FB85" w14:textId="77777777" w:rsidR="00B35529" w:rsidRPr="002A56EE" w:rsidRDefault="00B35529" w:rsidP="001B305A">
            <w:pPr>
              <w:pStyle w:val="Tabletext"/>
              <w:spacing w:after="240"/>
              <w:jc w:val="right"/>
              <w:rPr>
                <w:b/>
              </w:rPr>
            </w:pPr>
            <w:r w:rsidRPr="002A56EE">
              <w:rPr>
                <w:b/>
              </w:rPr>
              <w:t>$187</w:t>
            </w:r>
          </w:p>
        </w:tc>
        <w:tc>
          <w:tcPr>
            <w:tcW w:w="707" w:type="pct"/>
            <w:tcBorders>
              <w:top w:val="nil"/>
            </w:tcBorders>
            <w:vAlign w:val="bottom"/>
          </w:tcPr>
          <w:p w14:paraId="6795DAFB" w14:textId="77777777" w:rsidR="00B35529" w:rsidRPr="00D04287" w:rsidRDefault="00B35529" w:rsidP="001B305A">
            <w:pPr>
              <w:pStyle w:val="Tabletext"/>
              <w:spacing w:after="240"/>
              <w:jc w:val="right"/>
              <w:rPr>
                <w:b/>
              </w:rPr>
            </w:pPr>
            <w:r w:rsidRPr="00D04287">
              <w:rPr>
                <w:b/>
              </w:rPr>
              <w:t>$571</w:t>
            </w:r>
          </w:p>
        </w:tc>
        <w:tc>
          <w:tcPr>
            <w:tcW w:w="707" w:type="pct"/>
            <w:tcBorders>
              <w:top w:val="nil"/>
            </w:tcBorders>
            <w:vAlign w:val="bottom"/>
          </w:tcPr>
          <w:p w14:paraId="7AFEBBD4" w14:textId="77777777" w:rsidR="00B35529" w:rsidRPr="003250F7" w:rsidRDefault="00B35529" w:rsidP="001B305A">
            <w:pPr>
              <w:pStyle w:val="Tabletext"/>
              <w:spacing w:after="240"/>
              <w:jc w:val="right"/>
              <w:rPr>
                <w:b/>
              </w:rPr>
            </w:pPr>
            <w:r w:rsidRPr="003250F7">
              <w:rPr>
                <w:b/>
              </w:rPr>
              <w:t>$35</w:t>
            </w:r>
          </w:p>
        </w:tc>
        <w:tc>
          <w:tcPr>
            <w:tcW w:w="707" w:type="pct"/>
            <w:tcBorders>
              <w:top w:val="nil"/>
            </w:tcBorders>
            <w:vAlign w:val="bottom"/>
          </w:tcPr>
          <w:p w14:paraId="19789C65" w14:textId="77777777" w:rsidR="00B35529" w:rsidRPr="00741DB3" w:rsidRDefault="00B35529" w:rsidP="001B305A">
            <w:pPr>
              <w:pStyle w:val="Tabletext"/>
              <w:spacing w:after="240"/>
              <w:jc w:val="right"/>
              <w:rPr>
                <w:b/>
              </w:rPr>
            </w:pPr>
            <w:r w:rsidRPr="00741DB3">
              <w:rPr>
                <w:b/>
              </w:rPr>
              <w:t>$990</w:t>
            </w:r>
          </w:p>
        </w:tc>
      </w:tr>
      <w:tr w:rsidR="00B35529" w:rsidRPr="00FA4B09" w14:paraId="0210309C" w14:textId="77777777" w:rsidTr="006111E4">
        <w:tc>
          <w:tcPr>
            <w:tcW w:w="2171" w:type="pct"/>
            <w:tcBorders>
              <w:bottom w:val="single" w:sz="4" w:space="0" w:color="auto"/>
              <w:right w:val="nil"/>
            </w:tcBorders>
          </w:tcPr>
          <w:p w14:paraId="04FABB7C" w14:textId="77777777" w:rsidR="00B35529" w:rsidRPr="00FA4B09" w:rsidRDefault="00B35529" w:rsidP="001B305A">
            <w:pPr>
              <w:pStyle w:val="Tabletext"/>
              <w:keepNext/>
              <w:spacing w:after="240"/>
              <w:rPr>
                <w:b/>
              </w:rPr>
            </w:pPr>
            <w:r w:rsidRPr="00FA4B09">
              <w:rPr>
                <w:b/>
              </w:rPr>
              <w:t>Testing outcomes</w:t>
            </w:r>
          </w:p>
        </w:tc>
        <w:tc>
          <w:tcPr>
            <w:tcW w:w="707" w:type="pct"/>
            <w:tcBorders>
              <w:left w:val="nil"/>
              <w:bottom w:val="single" w:sz="4" w:space="0" w:color="auto"/>
              <w:right w:val="nil"/>
            </w:tcBorders>
          </w:tcPr>
          <w:p w14:paraId="21F74A1B" w14:textId="77777777" w:rsidR="00B35529" w:rsidRPr="00407341" w:rsidRDefault="00B35529" w:rsidP="001B305A">
            <w:pPr>
              <w:pStyle w:val="TableHeading"/>
              <w:spacing w:before="0" w:after="240"/>
              <w:rPr>
                <w:color w:val="FFFFFF" w:themeColor="background1"/>
              </w:rPr>
            </w:pPr>
            <w:r w:rsidRPr="00407341">
              <w:rPr>
                <w:color w:val="FFFFFF" w:themeColor="background1"/>
              </w:rPr>
              <w:t>-</w:t>
            </w:r>
          </w:p>
        </w:tc>
        <w:tc>
          <w:tcPr>
            <w:tcW w:w="707" w:type="pct"/>
            <w:tcBorders>
              <w:left w:val="nil"/>
              <w:bottom w:val="single" w:sz="4" w:space="0" w:color="auto"/>
              <w:right w:val="nil"/>
            </w:tcBorders>
          </w:tcPr>
          <w:p w14:paraId="26E2C148" w14:textId="77777777" w:rsidR="00B35529" w:rsidRPr="00407341" w:rsidRDefault="00B35529" w:rsidP="001B305A">
            <w:pPr>
              <w:pStyle w:val="TableHeading"/>
              <w:spacing w:before="0" w:after="240"/>
              <w:rPr>
                <w:color w:val="FFFFFF" w:themeColor="background1"/>
              </w:rPr>
            </w:pPr>
            <w:r w:rsidRPr="00407341">
              <w:rPr>
                <w:color w:val="FFFFFF" w:themeColor="background1"/>
              </w:rPr>
              <w:t>-</w:t>
            </w:r>
          </w:p>
        </w:tc>
        <w:tc>
          <w:tcPr>
            <w:tcW w:w="707" w:type="pct"/>
            <w:tcBorders>
              <w:left w:val="nil"/>
              <w:bottom w:val="single" w:sz="4" w:space="0" w:color="auto"/>
              <w:right w:val="nil"/>
            </w:tcBorders>
          </w:tcPr>
          <w:p w14:paraId="641DA7F8" w14:textId="77777777" w:rsidR="00B35529" w:rsidRPr="00407341" w:rsidRDefault="00B35529" w:rsidP="001B305A">
            <w:pPr>
              <w:pStyle w:val="TableHeading"/>
              <w:spacing w:before="0" w:after="240"/>
              <w:rPr>
                <w:color w:val="FFFFFF" w:themeColor="background1"/>
              </w:rPr>
            </w:pPr>
            <w:r w:rsidRPr="00407341">
              <w:rPr>
                <w:color w:val="FFFFFF" w:themeColor="background1"/>
              </w:rPr>
              <w:t>-</w:t>
            </w:r>
          </w:p>
        </w:tc>
        <w:tc>
          <w:tcPr>
            <w:tcW w:w="707" w:type="pct"/>
            <w:tcBorders>
              <w:left w:val="nil"/>
              <w:bottom w:val="single" w:sz="4" w:space="0" w:color="auto"/>
            </w:tcBorders>
          </w:tcPr>
          <w:p w14:paraId="60C1B380" w14:textId="77777777" w:rsidR="00B35529" w:rsidRPr="00407341" w:rsidRDefault="00B35529" w:rsidP="001B305A">
            <w:pPr>
              <w:pStyle w:val="TableHeading"/>
              <w:spacing w:before="0" w:after="240"/>
              <w:rPr>
                <w:color w:val="FFFFFF" w:themeColor="background1"/>
              </w:rPr>
            </w:pPr>
            <w:r w:rsidRPr="00407341">
              <w:rPr>
                <w:color w:val="FFFFFF" w:themeColor="background1"/>
              </w:rPr>
              <w:t>-</w:t>
            </w:r>
          </w:p>
        </w:tc>
      </w:tr>
      <w:tr w:rsidR="00B35529" w:rsidRPr="00FA4B09" w14:paraId="248FAA92" w14:textId="77777777" w:rsidTr="006111E4">
        <w:tc>
          <w:tcPr>
            <w:tcW w:w="2171" w:type="pct"/>
            <w:tcBorders>
              <w:bottom w:val="nil"/>
            </w:tcBorders>
          </w:tcPr>
          <w:p w14:paraId="422594DB" w14:textId="77777777" w:rsidR="00B35529" w:rsidRPr="00FA4B09" w:rsidRDefault="00B35529" w:rsidP="001B305A">
            <w:pPr>
              <w:pStyle w:val="Tabletext"/>
              <w:spacing w:after="240"/>
            </w:pPr>
            <w:r w:rsidRPr="00FA4B09">
              <w:t>Total correct diagnoses</w:t>
            </w:r>
          </w:p>
        </w:tc>
        <w:tc>
          <w:tcPr>
            <w:tcW w:w="707" w:type="pct"/>
            <w:tcBorders>
              <w:bottom w:val="nil"/>
            </w:tcBorders>
            <w:vAlign w:val="bottom"/>
          </w:tcPr>
          <w:p w14:paraId="36CC7AA4" w14:textId="77777777" w:rsidR="00B35529" w:rsidRPr="00FA4B09" w:rsidRDefault="00B35529" w:rsidP="001B305A">
            <w:pPr>
              <w:pStyle w:val="Tabletext"/>
              <w:spacing w:after="240"/>
              <w:jc w:val="center"/>
            </w:pPr>
            <w:r>
              <w:t>–</w:t>
            </w:r>
            <w:r w:rsidRPr="00FA4B09">
              <w:t>16.5%</w:t>
            </w:r>
          </w:p>
        </w:tc>
        <w:tc>
          <w:tcPr>
            <w:tcW w:w="707" w:type="pct"/>
            <w:tcBorders>
              <w:bottom w:val="nil"/>
            </w:tcBorders>
            <w:vAlign w:val="bottom"/>
          </w:tcPr>
          <w:p w14:paraId="5D89B154" w14:textId="77777777" w:rsidR="00B35529" w:rsidRPr="00F36217" w:rsidRDefault="00B35529" w:rsidP="001B305A">
            <w:pPr>
              <w:pStyle w:val="Tabletext"/>
              <w:spacing w:after="240"/>
              <w:jc w:val="center"/>
            </w:pPr>
            <w:r>
              <w:t>–</w:t>
            </w:r>
            <w:r w:rsidRPr="00F36217">
              <w:t>5.1%</w:t>
            </w:r>
          </w:p>
        </w:tc>
        <w:tc>
          <w:tcPr>
            <w:tcW w:w="707" w:type="pct"/>
            <w:tcBorders>
              <w:bottom w:val="nil"/>
            </w:tcBorders>
            <w:vAlign w:val="bottom"/>
          </w:tcPr>
          <w:p w14:paraId="0664D5DC" w14:textId="77777777" w:rsidR="00B35529" w:rsidRPr="00BA4719" w:rsidRDefault="00B35529" w:rsidP="001B305A">
            <w:pPr>
              <w:pStyle w:val="Tabletext"/>
              <w:spacing w:after="240"/>
              <w:jc w:val="center"/>
            </w:pPr>
            <w:r>
              <w:t>–</w:t>
            </w:r>
            <w:r w:rsidRPr="00BA4719">
              <w:t>0.9%</w:t>
            </w:r>
          </w:p>
        </w:tc>
        <w:tc>
          <w:tcPr>
            <w:tcW w:w="707" w:type="pct"/>
            <w:tcBorders>
              <w:bottom w:val="nil"/>
            </w:tcBorders>
            <w:vAlign w:val="bottom"/>
          </w:tcPr>
          <w:p w14:paraId="656D1370" w14:textId="77777777" w:rsidR="00B35529" w:rsidRPr="00BA4719" w:rsidRDefault="00B35529" w:rsidP="001B305A">
            <w:pPr>
              <w:pStyle w:val="Tabletext"/>
              <w:spacing w:after="240"/>
              <w:jc w:val="center"/>
            </w:pPr>
            <w:r w:rsidRPr="00BA4719">
              <w:t>7.4%</w:t>
            </w:r>
          </w:p>
        </w:tc>
      </w:tr>
      <w:tr w:rsidR="00B35529" w:rsidRPr="00FA4B09" w14:paraId="6B772A8B" w14:textId="77777777" w:rsidTr="006111E4">
        <w:tc>
          <w:tcPr>
            <w:tcW w:w="2171" w:type="pct"/>
            <w:tcBorders>
              <w:top w:val="nil"/>
              <w:bottom w:val="nil"/>
            </w:tcBorders>
          </w:tcPr>
          <w:p w14:paraId="368F78AF" w14:textId="77777777" w:rsidR="00B35529" w:rsidRPr="00FA4B09" w:rsidRDefault="00B35529" w:rsidP="001B305A">
            <w:pPr>
              <w:pStyle w:val="Tabletext"/>
              <w:spacing w:after="240"/>
            </w:pPr>
            <w:r w:rsidRPr="00FA4B09">
              <w:t>Total incorrect diagnoses</w:t>
            </w:r>
          </w:p>
        </w:tc>
        <w:tc>
          <w:tcPr>
            <w:tcW w:w="707" w:type="pct"/>
            <w:tcBorders>
              <w:top w:val="nil"/>
              <w:bottom w:val="nil"/>
            </w:tcBorders>
            <w:vAlign w:val="bottom"/>
          </w:tcPr>
          <w:p w14:paraId="39159CA7" w14:textId="77777777" w:rsidR="00B35529" w:rsidRPr="00FA4B09" w:rsidRDefault="00B35529" w:rsidP="001B305A">
            <w:pPr>
              <w:pStyle w:val="Tabletext"/>
              <w:spacing w:after="240"/>
              <w:jc w:val="center"/>
            </w:pPr>
            <w:r w:rsidRPr="00FA4B09">
              <w:t>5.4%</w:t>
            </w:r>
          </w:p>
        </w:tc>
        <w:tc>
          <w:tcPr>
            <w:tcW w:w="707" w:type="pct"/>
            <w:tcBorders>
              <w:top w:val="nil"/>
              <w:bottom w:val="nil"/>
            </w:tcBorders>
            <w:vAlign w:val="bottom"/>
          </w:tcPr>
          <w:p w14:paraId="0D278CA9" w14:textId="77777777" w:rsidR="00B35529" w:rsidRPr="00F36217" w:rsidRDefault="00B35529" w:rsidP="001B305A">
            <w:pPr>
              <w:pStyle w:val="Tabletext"/>
              <w:spacing w:after="240"/>
              <w:jc w:val="center"/>
            </w:pPr>
            <w:r w:rsidRPr="00F36217">
              <w:t>0.7%</w:t>
            </w:r>
          </w:p>
        </w:tc>
        <w:tc>
          <w:tcPr>
            <w:tcW w:w="707" w:type="pct"/>
            <w:tcBorders>
              <w:top w:val="nil"/>
              <w:bottom w:val="nil"/>
            </w:tcBorders>
            <w:vAlign w:val="bottom"/>
          </w:tcPr>
          <w:p w14:paraId="414BE8A4" w14:textId="77777777" w:rsidR="00B35529" w:rsidRPr="00BA4719" w:rsidRDefault="00B35529" w:rsidP="001B305A">
            <w:pPr>
              <w:pStyle w:val="Tabletext"/>
              <w:spacing w:after="240"/>
              <w:jc w:val="center"/>
            </w:pPr>
            <w:r>
              <w:t>–</w:t>
            </w:r>
            <w:r w:rsidRPr="00BA4719">
              <w:t>6.1%</w:t>
            </w:r>
          </w:p>
        </w:tc>
        <w:tc>
          <w:tcPr>
            <w:tcW w:w="707" w:type="pct"/>
            <w:tcBorders>
              <w:top w:val="nil"/>
              <w:bottom w:val="nil"/>
            </w:tcBorders>
            <w:vAlign w:val="bottom"/>
          </w:tcPr>
          <w:p w14:paraId="1828ACBA" w14:textId="77777777" w:rsidR="00B35529" w:rsidRPr="00BA4719" w:rsidRDefault="00B35529" w:rsidP="001B305A">
            <w:pPr>
              <w:pStyle w:val="Tabletext"/>
              <w:spacing w:after="240"/>
              <w:jc w:val="center"/>
            </w:pPr>
            <w:r>
              <w:t>–</w:t>
            </w:r>
            <w:r w:rsidRPr="00BA4719">
              <w:t>11.9%</w:t>
            </w:r>
          </w:p>
        </w:tc>
      </w:tr>
      <w:tr w:rsidR="00B35529" w14:paraId="41499079" w14:textId="77777777" w:rsidTr="006111E4">
        <w:tc>
          <w:tcPr>
            <w:tcW w:w="2171" w:type="pct"/>
            <w:tcBorders>
              <w:top w:val="nil"/>
              <w:bottom w:val="single" w:sz="4" w:space="0" w:color="auto"/>
            </w:tcBorders>
          </w:tcPr>
          <w:p w14:paraId="55A80191" w14:textId="77777777" w:rsidR="00B35529" w:rsidRPr="006E77C1" w:rsidRDefault="00B35529" w:rsidP="001B305A">
            <w:pPr>
              <w:pStyle w:val="Tabletext"/>
              <w:spacing w:after="240"/>
            </w:pPr>
            <w:r>
              <w:t>No result (initial equivocal or failed test)</w:t>
            </w:r>
          </w:p>
        </w:tc>
        <w:tc>
          <w:tcPr>
            <w:tcW w:w="707" w:type="pct"/>
            <w:tcBorders>
              <w:top w:val="nil"/>
              <w:bottom w:val="single" w:sz="4" w:space="0" w:color="auto"/>
            </w:tcBorders>
            <w:vAlign w:val="bottom"/>
          </w:tcPr>
          <w:p w14:paraId="2951073F" w14:textId="77777777" w:rsidR="00B35529" w:rsidRDefault="00B35529" w:rsidP="001B305A">
            <w:pPr>
              <w:pStyle w:val="Tabletext"/>
              <w:spacing w:after="240"/>
              <w:jc w:val="center"/>
            </w:pPr>
            <w:r>
              <w:t>11.1%</w:t>
            </w:r>
          </w:p>
        </w:tc>
        <w:tc>
          <w:tcPr>
            <w:tcW w:w="707" w:type="pct"/>
            <w:tcBorders>
              <w:top w:val="nil"/>
              <w:bottom w:val="single" w:sz="4" w:space="0" w:color="auto"/>
            </w:tcBorders>
            <w:vAlign w:val="bottom"/>
          </w:tcPr>
          <w:p w14:paraId="248FC11F" w14:textId="77777777" w:rsidR="00B35529" w:rsidRDefault="00B35529" w:rsidP="001B305A">
            <w:pPr>
              <w:pStyle w:val="Tabletext"/>
              <w:spacing w:after="240"/>
              <w:jc w:val="center"/>
            </w:pPr>
            <w:r>
              <w:t>4.4%</w:t>
            </w:r>
          </w:p>
        </w:tc>
        <w:tc>
          <w:tcPr>
            <w:tcW w:w="707" w:type="pct"/>
            <w:tcBorders>
              <w:top w:val="nil"/>
              <w:bottom w:val="single" w:sz="4" w:space="0" w:color="auto"/>
            </w:tcBorders>
            <w:vAlign w:val="bottom"/>
          </w:tcPr>
          <w:p w14:paraId="39F095CF" w14:textId="77777777" w:rsidR="00B35529" w:rsidRDefault="00B35529" w:rsidP="001B305A">
            <w:pPr>
              <w:pStyle w:val="Tabletext"/>
              <w:spacing w:after="240"/>
              <w:jc w:val="center"/>
            </w:pPr>
            <w:r>
              <w:t>7.0%</w:t>
            </w:r>
          </w:p>
        </w:tc>
        <w:tc>
          <w:tcPr>
            <w:tcW w:w="707" w:type="pct"/>
            <w:tcBorders>
              <w:top w:val="nil"/>
              <w:bottom w:val="single" w:sz="4" w:space="0" w:color="auto"/>
            </w:tcBorders>
            <w:vAlign w:val="bottom"/>
          </w:tcPr>
          <w:p w14:paraId="5DAFEDFB" w14:textId="77777777" w:rsidR="00B35529" w:rsidRDefault="00B35529" w:rsidP="001B305A">
            <w:pPr>
              <w:pStyle w:val="Tabletext"/>
              <w:spacing w:after="240"/>
              <w:jc w:val="center"/>
            </w:pPr>
            <w:r>
              <w:t>4.5%</w:t>
            </w:r>
          </w:p>
        </w:tc>
      </w:tr>
      <w:tr w:rsidR="00B35529" w14:paraId="4EA179C2" w14:textId="77777777" w:rsidTr="006111E4">
        <w:tc>
          <w:tcPr>
            <w:tcW w:w="2171" w:type="pct"/>
            <w:tcBorders>
              <w:bottom w:val="nil"/>
            </w:tcBorders>
          </w:tcPr>
          <w:p w14:paraId="3E384713" w14:textId="77777777" w:rsidR="00B35529" w:rsidRPr="007900F9" w:rsidRDefault="00B35529" w:rsidP="001B305A">
            <w:pPr>
              <w:pStyle w:val="Tabletext"/>
              <w:spacing w:after="240"/>
              <w:rPr>
                <w:i/>
              </w:rPr>
            </w:pPr>
            <w:r w:rsidRPr="007900F9">
              <w:rPr>
                <w:i/>
              </w:rPr>
              <w:t>Total ICA</w:t>
            </w:r>
          </w:p>
        </w:tc>
        <w:tc>
          <w:tcPr>
            <w:tcW w:w="707" w:type="pct"/>
            <w:tcBorders>
              <w:bottom w:val="nil"/>
            </w:tcBorders>
            <w:vAlign w:val="bottom"/>
          </w:tcPr>
          <w:p w14:paraId="100B8AEF" w14:textId="77777777" w:rsidR="00B35529" w:rsidRPr="007900F9" w:rsidRDefault="00B35529" w:rsidP="001B305A">
            <w:pPr>
              <w:pStyle w:val="Tabletext"/>
              <w:spacing w:after="240"/>
              <w:jc w:val="center"/>
              <w:rPr>
                <w:i/>
              </w:rPr>
            </w:pPr>
            <w:r>
              <w:t>–</w:t>
            </w:r>
            <w:r w:rsidRPr="007900F9">
              <w:rPr>
                <w:i/>
              </w:rPr>
              <w:t>3.3%</w:t>
            </w:r>
          </w:p>
        </w:tc>
        <w:tc>
          <w:tcPr>
            <w:tcW w:w="707" w:type="pct"/>
            <w:tcBorders>
              <w:bottom w:val="nil"/>
            </w:tcBorders>
            <w:vAlign w:val="bottom"/>
          </w:tcPr>
          <w:p w14:paraId="25DD9CF0" w14:textId="77777777" w:rsidR="00B35529" w:rsidRPr="00F36217" w:rsidRDefault="00B35529" w:rsidP="001B305A">
            <w:pPr>
              <w:pStyle w:val="Tabletext"/>
              <w:spacing w:after="240"/>
              <w:jc w:val="center"/>
              <w:rPr>
                <w:i/>
              </w:rPr>
            </w:pPr>
            <w:r>
              <w:t>–</w:t>
            </w:r>
            <w:r w:rsidRPr="00F36217">
              <w:rPr>
                <w:i/>
              </w:rPr>
              <w:t>0.2%</w:t>
            </w:r>
          </w:p>
        </w:tc>
        <w:tc>
          <w:tcPr>
            <w:tcW w:w="707" w:type="pct"/>
            <w:tcBorders>
              <w:bottom w:val="nil"/>
            </w:tcBorders>
            <w:vAlign w:val="bottom"/>
          </w:tcPr>
          <w:p w14:paraId="41DA59CF" w14:textId="77777777" w:rsidR="00B35529" w:rsidRPr="00BA4719" w:rsidRDefault="00B35529" w:rsidP="001B305A">
            <w:pPr>
              <w:pStyle w:val="Tabletext"/>
              <w:spacing w:after="240"/>
              <w:jc w:val="center"/>
              <w:rPr>
                <w:i/>
              </w:rPr>
            </w:pPr>
            <w:r>
              <w:t>–</w:t>
            </w:r>
            <w:r w:rsidRPr="00BA4719">
              <w:rPr>
                <w:i/>
              </w:rPr>
              <w:t>3.1%</w:t>
            </w:r>
          </w:p>
        </w:tc>
        <w:tc>
          <w:tcPr>
            <w:tcW w:w="707" w:type="pct"/>
            <w:tcBorders>
              <w:bottom w:val="nil"/>
            </w:tcBorders>
            <w:vAlign w:val="bottom"/>
          </w:tcPr>
          <w:p w14:paraId="70B443FF" w14:textId="77777777" w:rsidR="00B35529" w:rsidRPr="00BA4719" w:rsidRDefault="00B35529" w:rsidP="001B305A">
            <w:pPr>
              <w:pStyle w:val="Tabletext"/>
              <w:spacing w:after="240"/>
              <w:jc w:val="center"/>
              <w:rPr>
                <w:i/>
              </w:rPr>
            </w:pPr>
            <w:r w:rsidRPr="00BA4719">
              <w:rPr>
                <w:i/>
              </w:rPr>
              <w:t>3.2%</w:t>
            </w:r>
          </w:p>
        </w:tc>
      </w:tr>
      <w:tr w:rsidR="00B35529" w14:paraId="7E7F15A4" w14:textId="77777777" w:rsidTr="006111E4">
        <w:tc>
          <w:tcPr>
            <w:tcW w:w="2171" w:type="pct"/>
            <w:tcBorders>
              <w:top w:val="nil"/>
              <w:bottom w:val="nil"/>
            </w:tcBorders>
          </w:tcPr>
          <w:p w14:paraId="23C8E583" w14:textId="77777777" w:rsidR="00B35529" w:rsidRPr="00D0606D" w:rsidRDefault="00B35529" w:rsidP="001B305A">
            <w:pPr>
              <w:pStyle w:val="Tabletext"/>
              <w:spacing w:after="240"/>
            </w:pPr>
            <w:r w:rsidRPr="00D0606D">
              <w:t>ICA in CAD+</w:t>
            </w:r>
          </w:p>
        </w:tc>
        <w:tc>
          <w:tcPr>
            <w:tcW w:w="707" w:type="pct"/>
            <w:tcBorders>
              <w:top w:val="nil"/>
              <w:bottom w:val="nil"/>
            </w:tcBorders>
            <w:vAlign w:val="bottom"/>
          </w:tcPr>
          <w:p w14:paraId="6D19AADA" w14:textId="77777777" w:rsidR="00B35529" w:rsidRPr="00D0606D" w:rsidRDefault="00B35529" w:rsidP="001B305A">
            <w:pPr>
              <w:pStyle w:val="Tabletext"/>
              <w:spacing w:after="240"/>
              <w:jc w:val="center"/>
            </w:pPr>
            <w:r>
              <w:t>–</w:t>
            </w:r>
            <w:r w:rsidRPr="00D0606D">
              <w:t>4.8%</w:t>
            </w:r>
          </w:p>
        </w:tc>
        <w:tc>
          <w:tcPr>
            <w:tcW w:w="707" w:type="pct"/>
            <w:tcBorders>
              <w:top w:val="nil"/>
              <w:bottom w:val="nil"/>
            </w:tcBorders>
            <w:vAlign w:val="bottom"/>
          </w:tcPr>
          <w:p w14:paraId="0CBC6C5A" w14:textId="77777777" w:rsidR="00B35529" w:rsidRPr="00D0606D" w:rsidRDefault="00B35529" w:rsidP="001B305A">
            <w:pPr>
              <w:pStyle w:val="Tabletext"/>
              <w:spacing w:after="240"/>
              <w:jc w:val="center"/>
            </w:pPr>
            <w:r>
              <w:t>–</w:t>
            </w:r>
            <w:r w:rsidRPr="00D0606D">
              <w:t>0.6%</w:t>
            </w:r>
          </w:p>
        </w:tc>
        <w:tc>
          <w:tcPr>
            <w:tcW w:w="707" w:type="pct"/>
            <w:tcBorders>
              <w:top w:val="nil"/>
              <w:bottom w:val="nil"/>
            </w:tcBorders>
            <w:vAlign w:val="bottom"/>
          </w:tcPr>
          <w:p w14:paraId="3395759D" w14:textId="77777777" w:rsidR="00B35529" w:rsidRPr="00D0606D" w:rsidRDefault="00B35529" w:rsidP="001B305A">
            <w:pPr>
              <w:pStyle w:val="Tabletext"/>
              <w:spacing w:after="240"/>
              <w:jc w:val="center"/>
            </w:pPr>
            <w:r w:rsidRPr="00D0606D">
              <w:t>1.2%</w:t>
            </w:r>
          </w:p>
        </w:tc>
        <w:tc>
          <w:tcPr>
            <w:tcW w:w="707" w:type="pct"/>
            <w:tcBorders>
              <w:top w:val="nil"/>
              <w:bottom w:val="nil"/>
            </w:tcBorders>
            <w:vAlign w:val="bottom"/>
          </w:tcPr>
          <w:p w14:paraId="07CDD55D" w14:textId="77777777" w:rsidR="00B35529" w:rsidRPr="00D0606D" w:rsidRDefault="00B35529" w:rsidP="001B305A">
            <w:pPr>
              <w:pStyle w:val="Tabletext"/>
              <w:spacing w:after="240"/>
              <w:jc w:val="center"/>
            </w:pPr>
            <w:r w:rsidRPr="00D0606D">
              <w:t>7.4%</w:t>
            </w:r>
          </w:p>
        </w:tc>
      </w:tr>
      <w:tr w:rsidR="00B35529" w14:paraId="6FDC0590" w14:textId="77777777" w:rsidTr="006111E4">
        <w:tc>
          <w:tcPr>
            <w:tcW w:w="2171" w:type="pct"/>
            <w:tcBorders>
              <w:top w:val="nil"/>
            </w:tcBorders>
          </w:tcPr>
          <w:p w14:paraId="6C6E3201" w14:textId="77777777" w:rsidR="00B35529" w:rsidRDefault="00B35529" w:rsidP="001B305A">
            <w:pPr>
              <w:pStyle w:val="Tabletext"/>
              <w:spacing w:after="240"/>
            </w:pPr>
            <w:r>
              <w:t>ICA in CAD–</w:t>
            </w:r>
          </w:p>
        </w:tc>
        <w:tc>
          <w:tcPr>
            <w:tcW w:w="707" w:type="pct"/>
            <w:tcBorders>
              <w:top w:val="nil"/>
            </w:tcBorders>
            <w:vAlign w:val="bottom"/>
          </w:tcPr>
          <w:p w14:paraId="5A815343" w14:textId="77777777" w:rsidR="00B35529" w:rsidRDefault="00B35529" w:rsidP="001B305A">
            <w:pPr>
              <w:pStyle w:val="Tabletext"/>
              <w:spacing w:after="240"/>
              <w:jc w:val="center"/>
            </w:pPr>
            <w:r>
              <w:t>1.5%</w:t>
            </w:r>
          </w:p>
        </w:tc>
        <w:tc>
          <w:tcPr>
            <w:tcW w:w="707" w:type="pct"/>
            <w:tcBorders>
              <w:top w:val="nil"/>
            </w:tcBorders>
            <w:vAlign w:val="bottom"/>
          </w:tcPr>
          <w:p w14:paraId="2E6417C5" w14:textId="77777777" w:rsidR="00B35529" w:rsidRDefault="00B35529" w:rsidP="001B305A">
            <w:pPr>
              <w:pStyle w:val="Tabletext"/>
              <w:spacing w:after="240"/>
              <w:jc w:val="center"/>
            </w:pPr>
            <w:r>
              <w:t>0.4%</w:t>
            </w:r>
          </w:p>
        </w:tc>
        <w:tc>
          <w:tcPr>
            <w:tcW w:w="707" w:type="pct"/>
            <w:tcBorders>
              <w:top w:val="nil"/>
            </w:tcBorders>
            <w:vAlign w:val="bottom"/>
          </w:tcPr>
          <w:p w14:paraId="50F09FA8" w14:textId="77777777" w:rsidR="00B35529" w:rsidRDefault="00B35529" w:rsidP="001B305A">
            <w:pPr>
              <w:pStyle w:val="Tabletext"/>
              <w:spacing w:after="240"/>
              <w:jc w:val="center"/>
            </w:pPr>
            <w:r>
              <w:t>–4.3%</w:t>
            </w:r>
          </w:p>
        </w:tc>
        <w:tc>
          <w:tcPr>
            <w:tcW w:w="707" w:type="pct"/>
            <w:tcBorders>
              <w:top w:val="nil"/>
            </w:tcBorders>
            <w:vAlign w:val="bottom"/>
          </w:tcPr>
          <w:p w14:paraId="3A29C7A0" w14:textId="77777777" w:rsidR="00B35529" w:rsidRDefault="00B35529" w:rsidP="001B305A">
            <w:pPr>
              <w:pStyle w:val="Tabletext"/>
              <w:spacing w:after="240"/>
              <w:jc w:val="center"/>
            </w:pPr>
            <w:r>
              <w:t>–4.2%</w:t>
            </w:r>
          </w:p>
        </w:tc>
      </w:tr>
      <w:tr w:rsidR="00B35529" w14:paraId="65F4215F" w14:textId="77777777" w:rsidTr="006111E4">
        <w:tc>
          <w:tcPr>
            <w:tcW w:w="2171" w:type="pct"/>
          </w:tcPr>
          <w:p w14:paraId="66CE473E" w14:textId="77777777" w:rsidR="00B35529" w:rsidRPr="00281D74" w:rsidRDefault="00B35529" w:rsidP="001B305A">
            <w:pPr>
              <w:pStyle w:val="Tabletext"/>
              <w:spacing w:after="240"/>
              <w:rPr>
                <w:b/>
              </w:rPr>
            </w:pPr>
            <w:r w:rsidRPr="00814CE0">
              <w:rPr>
                <w:b/>
              </w:rPr>
              <w:t>Incremental cost per correct</w:t>
            </w:r>
            <w:r>
              <w:rPr>
                <w:b/>
              </w:rPr>
              <w:t xml:space="preserve"> initial</w:t>
            </w:r>
            <w:r w:rsidRPr="00814CE0">
              <w:rPr>
                <w:b/>
              </w:rPr>
              <w:t xml:space="preserve"> test result</w:t>
            </w:r>
          </w:p>
        </w:tc>
        <w:tc>
          <w:tcPr>
            <w:tcW w:w="707" w:type="pct"/>
          </w:tcPr>
          <w:p w14:paraId="128FFEF3" w14:textId="77777777" w:rsidR="00B35529" w:rsidRPr="002A56EE" w:rsidRDefault="00B35529" w:rsidP="001B305A">
            <w:pPr>
              <w:pStyle w:val="Tabletext"/>
              <w:spacing w:after="240"/>
              <w:jc w:val="right"/>
              <w:rPr>
                <w:b/>
              </w:rPr>
            </w:pPr>
            <w:r w:rsidRPr="00814CE0">
              <w:rPr>
                <w:b/>
              </w:rPr>
              <w:t>Dominated</w:t>
            </w:r>
          </w:p>
        </w:tc>
        <w:tc>
          <w:tcPr>
            <w:tcW w:w="707" w:type="pct"/>
          </w:tcPr>
          <w:p w14:paraId="3934798F" w14:textId="77777777" w:rsidR="00B35529" w:rsidRPr="002A56EE" w:rsidRDefault="00B35529" w:rsidP="001B305A">
            <w:pPr>
              <w:pStyle w:val="Tabletext"/>
              <w:spacing w:after="240"/>
              <w:jc w:val="right"/>
              <w:rPr>
                <w:b/>
              </w:rPr>
            </w:pPr>
            <w:r w:rsidRPr="00814CE0">
              <w:rPr>
                <w:b/>
              </w:rPr>
              <w:t>Dominated</w:t>
            </w:r>
          </w:p>
        </w:tc>
        <w:tc>
          <w:tcPr>
            <w:tcW w:w="707" w:type="pct"/>
          </w:tcPr>
          <w:p w14:paraId="2D282F27" w14:textId="77777777" w:rsidR="00B35529" w:rsidRPr="002A56EE" w:rsidRDefault="00B35529" w:rsidP="001B305A">
            <w:pPr>
              <w:pStyle w:val="Tabletext"/>
              <w:spacing w:after="240"/>
              <w:jc w:val="right"/>
              <w:rPr>
                <w:b/>
              </w:rPr>
            </w:pPr>
            <w:r w:rsidRPr="00814CE0">
              <w:rPr>
                <w:b/>
              </w:rPr>
              <w:t>Dominated</w:t>
            </w:r>
          </w:p>
        </w:tc>
        <w:tc>
          <w:tcPr>
            <w:tcW w:w="707" w:type="pct"/>
          </w:tcPr>
          <w:p w14:paraId="79A5BA97" w14:textId="77777777" w:rsidR="00B35529" w:rsidRPr="002A56EE" w:rsidRDefault="00B35529" w:rsidP="001B305A">
            <w:pPr>
              <w:pStyle w:val="Tabletext"/>
              <w:spacing w:after="240"/>
              <w:jc w:val="right"/>
              <w:rPr>
                <w:b/>
              </w:rPr>
            </w:pPr>
            <w:r>
              <w:rPr>
                <w:b/>
              </w:rPr>
              <w:t>$13,304</w:t>
            </w:r>
          </w:p>
        </w:tc>
      </w:tr>
      <w:tr w:rsidR="00B35529" w14:paraId="5638532A" w14:textId="77777777" w:rsidTr="006111E4">
        <w:tc>
          <w:tcPr>
            <w:tcW w:w="2171" w:type="pct"/>
          </w:tcPr>
          <w:p w14:paraId="61B136B7" w14:textId="77777777" w:rsidR="00B35529" w:rsidRPr="00814CE0" w:rsidRDefault="00B35529" w:rsidP="001B305A">
            <w:pPr>
              <w:pStyle w:val="Tabletext"/>
              <w:spacing w:after="240"/>
              <w:rPr>
                <w:b/>
              </w:rPr>
            </w:pPr>
            <w:r w:rsidRPr="00814CE0">
              <w:rPr>
                <w:b/>
              </w:rPr>
              <w:t xml:space="preserve">Incremental cost </w:t>
            </w:r>
            <w:r w:rsidRPr="00FA4B09">
              <w:rPr>
                <w:b/>
              </w:rPr>
              <w:t>per unnecessary ICA avoided</w:t>
            </w:r>
          </w:p>
        </w:tc>
        <w:tc>
          <w:tcPr>
            <w:tcW w:w="707" w:type="pct"/>
          </w:tcPr>
          <w:p w14:paraId="668CF853" w14:textId="77777777" w:rsidR="00B35529" w:rsidRPr="00814CE0" w:rsidRDefault="00B35529" w:rsidP="001B305A">
            <w:pPr>
              <w:pStyle w:val="Tabletext"/>
              <w:spacing w:after="240"/>
              <w:jc w:val="right"/>
              <w:rPr>
                <w:b/>
              </w:rPr>
            </w:pPr>
            <w:r w:rsidRPr="00B35CF8">
              <w:rPr>
                <w:b/>
              </w:rPr>
              <w:t>Dominated</w:t>
            </w:r>
          </w:p>
        </w:tc>
        <w:tc>
          <w:tcPr>
            <w:tcW w:w="707" w:type="pct"/>
          </w:tcPr>
          <w:p w14:paraId="491F6CEE" w14:textId="77777777" w:rsidR="00B35529" w:rsidRPr="00814CE0" w:rsidRDefault="00B35529" w:rsidP="001B305A">
            <w:pPr>
              <w:pStyle w:val="Tabletext"/>
              <w:spacing w:after="240"/>
              <w:jc w:val="right"/>
              <w:rPr>
                <w:b/>
              </w:rPr>
            </w:pPr>
            <w:r w:rsidRPr="00B35CF8">
              <w:rPr>
                <w:b/>
              </w:rPr>
              <w:t>Dominated</w:t>
            </w:r>
          </w:p>
        </w:tc>
        <w:tc>
          <w:tcPr>
            <w:tcW w:w="707" w:type="pct"/>
          </w:tcPr>
          <w:p w14:paraId="55A2CC10" w14:textId="77777777" w:rsidR="00B35529" w:rsidRPr="00814CE0" w:rsidRDefault="00B35529" w:rsidP="001B305A">
            <w:pPr>
              <w:pStyle w:val="Tabletext"/>
              <w:spacing w:after="240"/>
              <w:jc w:val="right"/>
              <w:rPr>
                <w:b/>
              </w:rPr>
            </w:pPr>
            <w:r w:rsidRPr="00FF66AB">
              <w:rPr>
                <w:b/>
              </w:rPr>
              <w:t>$802</w:t>
            </w:r>
          </w:p>
        </w:tc>
        <w:tc>
          <w:tcPr>
            <w:tcW w:w="707" w:type="pct"/>
          </w:tcPr>
          <w:p w14:paraId="617B6757" w14:textId="77777777" w:rsidR="00B35529" w:rsidRPr="00814CE0" w:rsidRDefault="00B35529" w:rsidP="001B305A">
            <w:pPr>
              <w:pStyle w:val="Tabletext"/>
              <w:spacing w:after="240"/>
              <w:jc w:val="right"/>
              <w:rPr>
                <w:b/>
              </w:rPr>
            </w:pPr>
            <w:r w:rsidRPr="00741DB3">
              <w:rPr>
                <w:b/>
              </w:rPr>
              <w:t>$23,651</w:t>
            </w:r>
          </w:p>
        </w:tc>
      </w:tr>
      <w:tr w:rsidR="00B35529" w14:paraId="28AB0500" w14:textId="77777777" w:rsidTr="006111E4">
        <w:tc>
          <w:tcPr>
            <w:tcW w:w="2171" w:type="pct"/>
          </w:tcPr>
          <w:p w14:paraId="49DB54F0" w14:textId="77777777" w:rsidR="00B35529" w:rsidRPr="00281D74" w:rsidRDefault="00B35529" w:rsidP="001B305A">
            <w:pPr>
              <w:pStyle w:val="Tabletext"/>
              <w:spacing w:after="240"/>
              <w:rPr>
                <w:b/>
              </w:rPr>
            </w:pPr>
            <w:r>
              <w:rPr>
                <w:b/>
              </w:rPr>
              <w:t>Incremental cost per indicated ICA missed</w:t>
            </w:r>
          </w:p>
        </w:tc>
        <w:tc>
          <w:tcPr>
            <w:tcW w:w="707" w:type="pct"/>
          </w:tcPr>
          <w:p w14:paraId="7E565D7D" w14:textId="77777777" w:rsidR="00B35529" w:rsidRPr="00B35CF8" w:rsidRDefault="00B35529" w:rsidP="001B305A">
            <w:pPr>
              <w:pStyle w:val="Tabletext"/>
              <w:spacing w:after="240"/>
              <w:jc w:val="right"/>
              <w:rPr>
                <w:b/>
              </w:rPr>
            </w:pPr>
            <w:r>
              <w:rPr>
                <w:b/>
              </w:rPr>
              <w:t>Dominated</w:t>
            </w:r>
          </w:p>
        </w:tc>
        <w:tc>
          <w:tcPr>
            <w:tcW w:w="707" w:type="pct"/>
          </w:tcPr>
          <w:p w14:paraId="524D909A" w14:textId="77777777" w:rsidR="00B35529" w:rsidRPr="00B35CF8" w:rsidRDefault="00B35529" w:rsidP="001B305A">
            <w:pPr>
              <w:pStyle w:val="Tabletext"/>
              <w:spacing w:after="240"/>
              <w:jc w:val="right"/>
              <w:rPr>
                <w:b/>
              </w:rPr>
            </w:pPr>
            <w:r>
              <w:rPr>
                <w:b/>
              </w:rPr>
              <w:t>Dominated</w:t>
            </w:r>
          </w:p>
        </w:tc>
        <w:tc>
          <w:tcPr>
            <w:tcW w:w="707" w:type="pct"/>
            <w:vAlign w:val="bottom"/>
          </w:tcPr>
          <w:p w14:paraId="04B13818" w14:textId="77777777" w:rsidR="00B35529" w:rsidRPr="003250F7" w:rsidRDefault="00B35529" w:rsidP="001B305A">
            <w:pPr>
              <w:pStyle w:val="Tabletext"/>
              <w:spacing w:after="240"/>
              <w:jc w:val="right"/>
              <w:rPr>
                <w:b/>
              </w:rPr>
            </w:pPr>
            <w:r>
              <w:rPr>
                <w:b/>
              </w:rPr>
              <w:t>$2,798</w:t>
            </w:r>
          </w:p>
        </w:tc>
        <w:tc>
          <w:tcPr>
            <w:tcW w:w="707" w:type="pct"/>
            <w:vAlign w:val="bottom"/>
          </w:tcPr>
          <w:p w14:paraId="1DC1A386" w14:textId="77777777" w:rsidR="00B35529" w:rsidRPr="00741DB3" w:rsidRDefault="00B35529" w:rsidP="001B305A">
            <w:pPr>
              <w:pStyle w:val="Tabletext"/>
              <w:spacing w:after="240"/>
              <w:jc w:val="right"/>
              <w:rPr>
                <w:b/>
              </w:rPr>
            </w:pPr>
            <w:r>
              <w:rPr>
                <w:b/>
              </w:rPr>
              <w:t>$13,394</w:t>
            </w:r>
          </w:p>
        </w:tc>
      </w:tr>
    </w:tbl>
    <w:p w14:paraId="42C3AEC1" w14:textId="705BE127" w:rsidR="00B35529" w:rsidRPr="006165E0" w:rsidRDefault="006165E0" w:rsidP="001B305A">
      <w:pPr>
        <w:pStyle w:val="Default"/>
        <w:spacing w:after="240"/>
        <w:rPr>
          <w:color w:val="auto"/>
          <w:sz w:val="16"/>
          <w:szCs w:val="16"/>
        </w:rPr>
      </w:pPr>
      <w:r w:rsidRPr="006165E0">
        <w:rPr>
          <w:color w:val="auto"/>
          <w:sz w:val="16"/>
          <w:szCs w:val="16"/>
        </w:rPr>
        <w:t>AE = adverse event; CAD = coronary artery disease; CMR = stress perfusion cardiac magnetic resonance imaging with late gadolinium enhancement; CTCA = computed tomography coronary angiography; ECG = electrocardiography; Echo = echocardiography; ICA = invasive coronary angiography; SPECT = single-photon emission computed tomography</w:t>
      </w:r>
    </w:p>
    <w:p w14:paraId="6813E732" w14:textId="3FA996FD" w:rsidR="00B35529" w:rsidRPr="00183E4D" w:rsidRDefault="00B35529" w:rsidP="001B305A">
      <w:pPr>
        <w:spacing w:after="240"/>
      </w:pPr>
      <w:r w:rsidRPr="00183E4D">
        <w:t xml:space="preserve">The modelled </w:t>
      </w:r>
      <w:r>
        <w:t xml:space="preserve">results were most sensitive to changes in the accuracy inputs, </w:t>
      </w:r>
      <w:r w:rsidRPr="00EB3DCE">
        <w:t xml:space="preserve">the proportion of </w:t>
      </w:r>
      <w:r w:rsidR="000817E1">
        <w:t>patients</w:t>
      </w:r>
      <w:r w:rsidR="000817E1" w:rsidRPr="00EB3DCE">
        <w:t xml:space="preserve"> </w:t>
      </w:r>
      <w:r w:rsidRPr="00EB3DCE">
        <w:t>requiring re-testing</w:t>
      </w:r>
      <w:r>
        <w:t xml:space="preserve"> and the cost of CMR.</w:t>
      </w:r>
    </w:p>
    <w:p w14:paraId="3B63EFBD" w14:textId="77777777" w:rsidR="006C0C5B" w:rsidRPr="00DD60FB" w:rsidRDefault="006C0C5B" w:rsidP="001B305A">
      <w:pPr>
        <w:spacing w:after="240"/>
        <w:rPr>
          <w:rStyle w:val="SubtleEmphasis"/>
        </w:rPr>
      </w:pPr>
      <w:r w:rsidRPr="00DD60FB">
        <w:rPr>
          <w:rStyle w:val="SubtleEmphasis"/>
        </w:rPr>
        <w:t>Population Two</w:t>
      </w:r>
    </w:p>
    <w:p w14:paraId="03F0FF34" w14:textId="77777777" w:rsidR="00BC1364" w:rsidRDefault="006C0C5B" w:rsidP="001B305A">
      <w:pPr>
        <w:spacing w:after="240"/>
        <w:rPr>
          <w:szCs w:val="24"/>
        </w:rPr>
      </w:pPr>
      <w:r w:rsidRPr="00DB3529">
        <w:rPr>
          <w:szCs w:val="24"/>
        </w:rPr>
        <w:t>Due to the lack of consistent evidence informing health outcomes following revascularisation versus medical management in the population tested (i.e. patients with CAD and LVD)</w:t>
      </w:r>
      <w:proofErr w:type="gramStart"/>
      <w:r w:rsidRPr="00DB3529">
        <w:rPr>
          <w:szCs w:val="24"/>
        </w:rPr>
        <w:t>,</w:t>
      </w:r>
      <w:proofErr w:type="gramEnd"/>
      <w:r w:rsidRPr="00DB3529">
        <w:rPr>
          <w:szCs w:val="24"/>
        </w:rPr>
        <w:t xml:space="preserve"> neither a cost-utility, nor any long-term model could be reliably constructed.  Therefore modelled cost-effectiveness analyses examining cost per additional correct diagnosis, cost per additional low benefit (non-viable) revascularisations avoided, and cost per additional appropriate revascularisation performed were undertaken.</w:t>
      </w:r>
    </w:p>
    <w:p w14:paraId="3ACCF84A" w14:textId="5FFD92C5" w:rsidR="006C0C5B" w:rsidRDefault="006C0C5B" w:rsidP="001B305A">
      <w:pPr>
        <w:spacing w:after="240"/>
        <w:rPr>
          <w:szCs w:val="24"/>
        </w:rPr>
      </w:pPr>
      <w:r w:rsidRPr="004803FE">
        <w:rPr>
          <w:szCs w:val="24"/>
        </w:rPr>
        <w:t>The costs and outcomes for each of the non-invasive testing strategies are presented in</w:t>
      </w:r>
      <w:r w:rsidR="00B35529">
        <w:rPr>
          <w:szCs w:val="24"/>
        </w:rPr>
        <w:t xml:space="preserve"> Table 4</w:t>
      </w:r>
      <w:r w:rsidRPr="004803FE">
        <w:rPr>
          <w:szCs w:val="24"/>
        </w:rPr>
        <w:t>.</w:t>
      </w:r>
      <w:r w:rsidR="00510584" w:rsidRPr="004803FE" w:rsidDel="00510584">
        <w:rPr>
          <w:szCs w:val="24"/>
        </w:rPr>
        <w:t xml:space="preserve"> </w:t>
      </w:r>
      <w:bookmarkStart w:id="8" w:name="_Ref437617988"/>
      <w:bookmarkStart w:id="9" w:name="_Toc439954439"/>
    </w:p>
    <w:p w14:paraId="671C55F2" w14:textId="77777777" w:rsidR="001B305A" w:rsidRDefault="001B305A">
      <w:r>
        <w:br w:type="page"/>
      </w:r>
    </w:p>
    <w:p w14:paraId="645E08B8" w14:textId="5A576DCE" w:rsidR="006C0C5B" w:rsidRPr="001B305A" w:rsidRDefault="006C0C5B" w:rsidP="001B305A">
      <w:pPr>
        <w:rPr>
          <w:rFonts w:ascii="Arial Narrow" w:hAnsi="Arial Narrow"/>
          <w:b/>
          <w:sz w:val="20"/>
        </w:rPr>
      </w:pPr>
      <w:r w:rsidRPr="001B305A">
        <w:rPr>
          <w:rFonts w:ascii="Arial Narrow" w:hAnsi="Arial Narrow"/>
          <w:b/>
          <w:sz w:val="20"/>
        </w:rPr>
        <w:lastRenderedPageBreak/>
        <w:t xml:space="preserve">Table </w:t>
      </w:r>
      <w:bookmarkEnd w:id="8"/>
      <w:r w:rsidR="00B35529" w:rsidRPr="001B305A">
        <w:rPr>
          <w:rFonts w:ascii="Arial Narrow" w:hAnsi="Arial Narrow"/>
          <w:b/>
          <w:sz w:val="20"/>
        </w:rPr>
        <w:t>4</w:t>
      </w:r>
      <w:r w:rsidRPr="001B305A">
        <w:rPr>
          <w:rFonts w:ascii="Arial Narrow" w:hAnsi="Arial Narrow"/>
          <w:b/>
          <w:sz w:val="20"/>
        </w:rPr>
        <w:tab/>
        <w:t>Test results and costs across all comparators</w:t>
      </w:r>
      <w:bookmarkEnd w:id="9"/>
    </w:p>
    <w:tbl>
      <w:tblPr>
        <w:tblStyle w:val="TableGrid10"/>
        <w:tblW w:w="0" w:type="auto"/>
        <w:tblInd w:w="108" w:type="dxa"/>
        <w:tblLook w:val="04A0" w:firstRow="1" w:lastRow="0" w:firstColumn="1" w:lastColumn="0" w:noHBand="0" w:noVBand="1"/>
        <w:tblDescription w:val="Table ES.11 Test results and costs across all comparators"/>
      </w:tblPr>
      <w:tblGrid>
        <w:gridCol w:w="4820"/>
        <w:gridCol w:w="1417"/>
        <w:gridCol w:w="1228"/>
        <w:gridCol w:w="1607"/>
      </w:tblGrid>
      <w:tr w:rsidR="006C0C5B" w:rsidRPr="004803FE" w14:paraId="3D8FE446" w14:textId="77777777" w:rsidTr="006111E4">
        <w:trPr>
          <w:tblHeader/>
        </w:trPr>
        <w:tc>
          <w:tcPr>
            <w:tcW w:w="4820" w:type="dxa"/>
          </w:tcPr>
          <w:p w14:paraId="068172E2" w14:textId="77777777" w:rsidR="006C0C5B" w:rsidRPr="004803FE" w:rsidRDefault="006C0C5B" w:rsidP="001B305A">
            <w:pPr>
              <w:pStyle w:val="Tabletext"/>
              <w:spacing w:before="0" w:after="240"/>
              <w:rPr>
                <w:rFonts w:ascii="Times New Roman" w:hAnsi="Times New Roman"/>
                <w:b/>
                <w:color w:val="FFFFFF" w:themeColor="background1"/>
              </w:rPr>
            </w:pPr>
            <w:r w:rsidRPr="004803FE">
              <w:rPr>
                <w:rFonts w:ascii="Times New Roman" w:hAnsi="Times New Roman"/>
                <w:b/>
                <w:color w:val="FFFFFF" w:themeColor="background1"/>
              </w:rPr>
              <w:t>-</w:t>
            </w:r>
          </w:p>
        </w:tc>
        <w:tc>
          <w:tcPr>
            <w:tcW w:w="1417" w:type="dxa"/>
            <w:tcBorders>
              <w:bottom w:val="single" w:sz="4" w:space="0" w:color="auto"/>
            </w:tcBorders>
            <w:vAlign w:val="bottom"/>
          </w:tcPr>
          <w:p w14:paraId="2F20FB21" w14:textId="77777777" w:rsidR="006C0C5B" w:rsidRPr="004803FE" w:rsidRDefault="006C0C5B" w:rsidP="001B305A">
            <w:pPr>
              <w:pStyle w:val="Tabletext"/>
              <w:spacing w:before="0" w:after="240"/>
              <w:rPr>
                <w:rFonts w:ascii="Times New Roman" w:hAnsi="Times New Roman"/>
                <w:b/>
              </w:rPr>
            </w:pPr>
            <w:r w:rsidRPr="004803FE">
              <w:rPr>
                <w:rFonts w:ascii="Times New Roman" w:hAnsi="Times New Roman"/>
                <w:b/>
              </w:rPr>
              <w:t xml:space="preserve">LGE-CMR </w:t>
            </w:r>
          </w:p>
        </w:tc>
        <w:tc>
          <w:tcPr>
            <w:tcW w:w="1228" w:type="dxa"/>
            <w:tcBorders>
              <w:bottom w:val="single" w:sz="4" w:space="0" w:color="auto"/>
            </w:tcBorders>
          </w:tcPr>
          <w:p w14:paraId="1F4EEF37" w14:textId="77777777" w:rsidR="006C0C5B" w:rsidRPr="004803FE" w:rsidRDefault="006C0C5B" w:rsidP="001B305A">
            <w:pPr>
              <w:pStyle w:val="Tabletext"/>
              <w:spacing w:before="0" w:after="240"/>
              <w:rPr>
                <w:rFonts w:ascii="Times New Roman" w:hAnsi="Times New Roman"/>
                <w:b/>
              </w:rPr>
            </w:pPr>
            <w:proofErr w:type="spellStart"/>
            <w:r w:rsidRPr="004803FE">
              <w:rPr>
                <w:rFonts w:ascii="Times New Roman" w:hAnsi="Times New Roman"/>
                <w:b/>
              </w:rPr>
              <w:t>DbE</w:t>
            </w:r>
            <w:proofErr w:type="spellEnd"/>
          </w:p>
        </w:tc>
        <w:tc>
          <w:tcPr>
            <w:tcW w:w="1607" w:type="dxa"/>
            <w:tcBorders>
              <w:bottom w:val="single" w:sz="4" w:space="0" w:color="auto"/>
            </w:tcBorders>
          </w:tcPr>
          <w:p w14:paraId="323BDCBC" w14:textId="77777777" w:rsidR="006C0C5B" w:rsidRPr="004803FE" w:rsidRDefault="006C0C5B" w:rsidP="001B305A">
            <w:pPr>
              <w:pStyle w:val="Tabletext"/>
              <w:spacing w:before="0" w:after="240"/>
              <w:rPr>
                <w:rFonts w:ascii="Times New Roman" w:hAnsi="Times New Roman"/>
                <w:b/>
              </w:rPr>
            </w:pPr>
            <w:r w:rsidRPr="004803FE">
              <w:rPr>
                <w:rFonts w:ascii="Times New Roman" w:hAnsi="Times New Roman"/>
                <w:b/>
              </w:rPr>
              <w:t>SPECT</w:t>
            </w:r>
          </w:p>
        </w:tc>
      </w:tr>
      <w:tr w:rsidR="006C0C5B" w:rsidRPr="004803FE" w14:paraId="365479B7" w14:textId="77777777" w:rsidTr="006111E4">
        <w:tc>
          <w:tcPr>
            <w:tcW w:w="4820" w:type="dxa"/>
            <w:tcBorders>
              <w:right w:val="nil"/>
            </w:tcBorders>
          </w:tcPr>
          <w:p w14:paraId="54353250" w14:textId="77777777" w:rsidR="006C0C5B" w:rsidRPr="004803FE" w:rsidRDefault="006C0C5B" w:rsidP="001B305A">
            <w:pPr>
              <w:pStyle w:val="Tabletext"/>
              <w:spacing w:before="0" w:after="240"/>
              <w:rPr>
                <w:rFonts w:ascii="Times New Roman" w:hAnsi="Times New Roman"/>
                <w:b/>
              </w:rPr>
            </w:pPr>
            <w:r w:rsidRPr="004803FE">
              <w:rPr>
                <w:rFonts w:ascii="Times New Roman" w:hAnsi="Times New Roman"/>
                <w:b/>
              </w:rPr>
              <w:t>Costs</w:t>
            </w:r>
          </w:p>
        </w:tc>
        <w:tc>
          <w:tcPr>
            <w:tcW w:w="1417" w:type="dxa"/>
            <w:tcBorders>
              <w:left w:val="nil"/>
              <w:right w:val="nil"/>
            </w:tcBorders>
            <w:vAlign w:val="bottom"/>
          </w:tcPr>
          <w:p w14:paraId="17D7FB96" w14:textId="77777777" w:rsidR="006C0C5B" w:rsidRPr="004803FE" w:rsidRDefault="006C0C5B" w:rsidP="001B305A">
            <w:pPr>
              <w:pStyle w:val="Tabletext"/>
              <w:spacing w:before="0" w:after="240"/>
              <w:rPr>
                <w:rFonts w:ascii="Times New Roman" w:hAnsi="Times New Roman"/>
                <w:b/>
              </w:rPr>
            </w:pPr>
          </w:p>
        </w:tc>
        <w:tc>
          <w:tcPr>
            <w:tcW w:w="1228" w:type="dxa"/>
            <w:tcBorders>
              <w:left w:val="nil"/>
              <w:right w:val="nil"/>
            </w:tcBorders>
            <w:vAlign w:val="bottom"/>
          </w:tcPr>
          <w:p w14:paraId="53DB58C5" w14:textId="77777777" w:rsidR="006C0C5B" w:rsidRPr="004803FE" w:rsidRDefault="006C0C5B" w:rsidP="001B305A">
            <w:pPr>
              <w:pStyle w:val="Tabletext"/>
              <w:spacing w:before="0" w:after="240"/>
              <w:rPr>
                <w:rFonts w:ascii="Times New Roman" w:hAnsi="Times New Roman"/>
                <w:b/>
              </w:rPr>
            </w:pPr>
          </w:p>
        </w:tc>
        <w:tc>
          <w:tcPr>
            <w:tcW w:w="1607" w:type="dxa"/>
            <w:tcBorders>
              <w:left w:val="nil"/>
            </w:tcBorders>
            <w:vAlign w:val="bottom"/>
          </w:tcPr>
          <w:p w14:paraId="20E96F03" w14:textId="77777777" w:rsidR="006C0C5B" w:rsidRPr="004803FE" w:rsidRDefault="006C0C5B" w:rsidP="001B305A">
            <w:pPr>
              <w:pStyle w:val="Tabletext"/>
              <w:spacing w:before="0" w:after="240"/>
              <w:rPr>
                <w:rFonts w:ascii="Times New Roman" w:hAnsi="Times New Roman"/>
                <w:b/>
              </w:rPr>
            </w:pPr>
          </w:p>
        </w:tc>
      </w:tr>
      <w:tr w:rsidR="006C0C5B" w:rsidRPr="004803FE" w14:paraId="3531820F" w14:textId="77777777" w:rsidTr="006111E4">
        <w:tc>
          <w:tcPr>
            <w:tcW w:w="4820" w:type="dxa"/>
            <w:tcBorders>
              <w:bottom w:val="nil"/>
            </w:tcBorders>
          </w:tcPr>
          <w:p w14:paraId="61CE4116" w14:textId="77777777" w:rsidR="006C0C5B" w:rsidRPr="004803FE" w:rsidRDefault="006C0C5B" w:rsidP="001B305A">
            <w:pPr>
              <w:pStyle w:val="Tabletext"/>
              <w:spacing w:before="0" w:after="240"/>
              <w:rPr>
                <w:rFonts w:ascii="Times New Roman" w:hAnsi="Times New Roman"/>
              </w:rPr>
            </w:pPr>
            <w:r w:rsidRPr="004803FE">
              <w:rPr>
                <w:rFonts w:ascii="Times New Roman" w:hAnsi="Times New Roman"/>
              </w:rPr>
              <w:t>Test (including treatment of AEs and specialist referral)</w:t>
            </w:r>
          </w:p>
        </w:tc>
        <w:tc>
          <w:tcPr>
            <w:tcW w:w="1417" w:type="dxa"/>
            <w:tcBorders>
              <w:bottom w:val="nil"/>
            </w:tcBorders>
            <w:vAlign w:val="bottom"/>
          </w:tcPr>
          <w:p w14:paraId="40A3E081" w14:textId="77777777" w:rsidR="006C0C5B" w:rsidRPr="004803FE" w:rsidRDefault="006C0C5B" w:rsidP="001B305A">
            <w:pPr>
              <w:pStyle w:val="Tabletext"/>
              <w:spacing w:before="0" w:after="240"/>
              <w:jc w:val="right"/>
              <w:rPr>
                <w:rFonts w:ascii="Times New Roman" w:hAnsi="Times New Roman"/>
              </w:rPr>
            </w:pPr>
            <w:r w:rsidRPr="004803FE">
              <w:rPr>
                <w:rFonts w:ascii="Times New Roman" w:hAnsi="Times New Roman"/>
              </w:rPr>
              <w:t>$788</w:t>
            </w:r>
          </w:p>
        </w:tc>
        <w:tc>
          <w:tcPr>
            <w:tcW w:w="1228" w:type="dxa"/>
            <w:tcBorders>
              <w:bottom w:val="nil"/>
            </w:tcBorders>
            <w:vAlign w:val="center"/>
          </w:tcPr>
          <w:p w14:paraId="69E883D6" w14:textId="77777777" w:rsidR="006C0C5B" w:rsidRPr="004803FE" w:rsidRDefault="006C0C5B" w:rsidP="001B305A">
            <w:pPr>
              <w:pStyle w:val="Tabletext"/>
              <w:spacing w:before="0" w:after="240"/>
              <w:jc w:val="right"/>
              <w:rPr>
                <w:rFonts w:ascii="Times New Roman" w:hAnsi="Times New Roman"/>
              </w:rPr>
            </w:pPr>
            <w:r w:rsidRPr="004803FE">
              <w:rPr>
                <w:rFonts w:ascii="Times New Roman" w:hAnsi="Times New Roman"/>
              </w:rPr>
              <w:t>$480</w:t>
            </w:r>
          </w:p>
        </w:tc>
        <w:tc>
          <w:tcPr>
            <w:tcW w:w="1607" w:type="dxa"/>
            <w:tcBorders>
              <w:bottom w:val="nil"/>
            </w:tcBorders>
            <w:vAlign w:val="bottom"/>
          </w:tcPr>
          <w:p w14:paraId="181693D1" w14:textId="77777777" w:rsidR="006C0C5B" w:rsidRPr="004803FE" w:rsidRDefault="006C0C5B" w:rsidP="001B305A">
            <w:pPr>
              <w:pStyle w:val="Tabletext"/>
              <w:spacing w:before="0" w:after="240"/>
              <w:jc w:val="right"/>
              <w:rPr>
                <w:rFonts w:ascii="Times New Roman" w:hAnsi="Times New Roman"/>
              </w:rPr>
            </w:pPr>
            <w:r w:rsidRPr="004803FE">
              <w:rPr>
                <w:rFonts w:ascii="Times New Roman" w:hAnsi="Times New Roman"/>
              </w:rPr>
              <w:t>$608</w:t>
            </w:r>
          </w:p>
        </w:tc>
      </w:tr>
      <w:tr w:rsidR="006C0C5B" w:rsidRPr="004803FE" w14:paraId="782F5C30" w14:textId="77777777" w:rsidTr="006111E4">
        <w:tc>
          <w:tcPr>
            <w:tcW w:w="4820" w:type="dxa"/>
            <w:tcBorders>
              <w:top w:val="nil"/>
              <w:bottom w:val="nil"/>
            </w:tcBorders>
          </w:tcPr>
          <w:p w14:paraId="475737B7" w14:textId="77777777" w:rsidR="006C0C5B" w:rsidRPr="004803FE" w:rsidRDefault="006C0C5B" w:rsidP="001B305A">
            <w:pPr>
              <w:pStyle w:val="Tabletext"/>
              <w:spacing w:before="0" w:after="240"/>
              <w:rPr>
                <w:rFonts w:ascii="Times New Roman" w:hAnsi="Times New Roman"/>
              </w:rPr>
            </w:pPr>
            <w:r w:rsidRPr="004803FE">
              <w:rPr>
                <w:rFonts w:ascii="Times New Roman" w:hAnsi="Times New Roman"/>
              </w:rPr>
              <w:t>Cost of revascularisation + OMT+ complications</w:t>
            </w:r>
          </w:p>
        </w:tc>
        <w:tc>
          <w:tcPr>
            <w:tcW w:w="1417" w:type="dxa"/>
            <w:tcBorders>
              <w:top w:val="nil"/>
              <w:bottom w:val="nil"/>
            </w:tcBorders>
            <w:vAlign w:val="center"/>
          </w:tcPr>
          <w:p w14:paraId="78013F25" w14:textId="77777777" w:rsidR="006C0C5B" w:rsidRPr="004803FE" w:rsidRDefault="006C0C5B" w:rsidP="001B305A">
            <w:pPr>
              <w:pStyle w:val="Tabletext"/>
              <w:spacing w:before="0" w:after="240"/>
              <w:jc w:val="right"/>
              <w:rPr>
                <w:rFonts w:ascii="Times New Roman" w:hAnsi="Times New Roman"/>
              </w:rPr>
            </w:pPr>
            <w:r w:rsidRPr="004803FE">
              <w:rPr>
                <w:rFonts w:ascii="Times New Roman" w:hAnsi="Times New Roman"/>
              </w:rPr>
              <w:t>$35,438</w:t>
            </w:r>
          </w:p>
        </w:tc>
        <w:tc>
          <w:tcPr>
            <w:tcW w:w="1228" w:type="dxa"/>
            <w:tcBorders>
              <w:top w:val="nil"/>
              <w:bottom w:val="nil"/>
            </w:tcBorders>
            <w:vAlign w:val="bottom"/>
          </w:tcPr>
          <w:p w14:paraId="62E05C36" w14:textId="77777777" w:rsidR="006C0C5B" w:rsidRPr="004803FE" w:rsidRDefault="006C0C5B" w:rsidP="001B305A">
            <w:pPr>
              <w:pStyle w:val="Tabletext"/>
              <w:spacing w:before="0" w:after="240"/>
              <w:jc w:val="right"/>
              <w:rPr>
                <w:rFonts w:ascii="Times New Roman" w:hAnsi="Times New Roman"/>
              </w:rPr>
            </w:pPr>
            <w:r w:rsidRPr="004803FE">
              <w:rPr>
                <w:rFonts w:ascii="Times New Roman" w:hAnsi="Times New Roman"/>
              </w:rPr>
              <w:t>$25,138</w:t>
            </w:r>
          </w:p>
        </w:tc>
        <w:tc>
          <w:tcPr>
            <w:tcW w:w="1607" w:type="dxa"/>
            <w:tcBorders>
              <w:top w:val="nil"/>
              <w:bottom w:val="nil"/>
            </w:tcBorders>
          </w:tcPr>
          <w:p w14:paraId="543E6180" w14:textId="77777777" w:rsidR="006C0C5B" w:rsidRPr="004803FE" w:rsidRDefault="006C0C5B" w:rsidP="001B305A">
            <w:pPr>
              <w:pStyle w:val="Tabletext"/>
              <w:spacing w:before="0" w:after="240"/>
              <w:jc w:val="right"/>
              <w:rPr>
                <w:rFonts w:ascii="Times New Roman" w:hAnsi="Times New Roman"/>
              </w:rPr>
            </w:pPr>
            <w:r w:rsidRPr="004803FE">
              <w:rPr>
                <w:rFonts w:ascii="Times New Roman" w:hAnsi="Times New Roman"/>
              </w:rPr>
              <w:t>$29,929</w:t>
            </w:r>
          </w:p>
        </w:tc>
      </w:tr>
      <w:tr w:rsidR="006C0C5B" w:rsidRPr="004803FE" w14:paraId="554F1137" w14:textId="77777777" w:rsidTr="006111E4">
        <w:tc>
          <w:tcPr>
            <w:tcW w:w="4820" w:type="dxa"/>
            <w:tcBorders>
              <w:top w:val="nil"/>
            </w:tcBorders>
          </w:tcPr>
          <w:p w14:paraId="4BF0A4D5" w14:textId="77777777" w:rsidR="006C0C5B" w:rsidRPr="004803FE" w:rsidRDefault="006C0C5B" w:rsidP="001B305A">
            <w:pPr>
              <w:pStyle w:val="Tabletext"/>
              <w:spacing w:before="0" w:after="240"/>
              <w:rPr>
                <w:rFonts w:ascii="Times New Roman" w:hAnsi="Times New Roman"/>
                <w:b/>
              </w:rPr>
            </w:pPr>
            <w:r w:rsidRPr="004803FE">
              <w:rPr>
                <w:rFonts w:ascii="Times New Roman" w:hAnsi="Times New Roman"/>
                <w:b/>
              </w:rPr>
              <w:t>Total</w:t>
            </w:r>
          </w:p>
        </w:tc>
        <w:tc>
          <w:tcPr>
            <w:tcW w:w="1417" w:type="dxa"/>
            <w:tcBorders>
              <w:top w:val="nil"/>
              <w:bottom w:val="single" w:sz="4" w:space="0" w:color="auto"/>
            </w:tcBorders>
          </w:tcPr>
          <w:p w14:paraId="69F061E8" w14:textId="77777777" w:rsidR="006C0C5B" w:rsidRPr="004803FE" w:rsidRDefault="006C0C5B" w:rsidP="001B305A">
            <w:pPr>
              <w:pStyle w:val="Tabletext"/>
              <w:spacing w:before="0" w:after="240"/>
              <w:jc w:val="right"/>
              <w:rPr>
                <w:rFonts w:ascii="Times New Roman" w:hAnsi="Times New Roman"/>
                <w:b/>
              </w:rPr>
            </w:pPr>
            <w:r w:rsidRPr="004803FE">
              <w:rPr>
                <w:rFonts w:ascii="Times New Roman" w:hAnsi="Times New Roman"/>
                <w:b/>
              </w:rPr>
              <w:t>$36,226</w:t>
            </w:r>
          </w:p>
        </w:tc>
        <w:tc>
          <w:tcPr>
            <w:tcW w:w="1228" w:type="dxa"/>
            <w:tcBorders>
              <w:top w:val="nil"/>
              <w:bottom w:val="single" w:sz="4" w:space="0" w:color="auto"/>
            </w:tcBorders>
          </w:tcPr>
          <w:p w14:paraId="45E8FC04" w14:textId="77777777" w:rsidR="006C0C5B" w:rsidRPr="004803FE" w:rsidRDefault="006C0C5B" w:rsidP="001B305A">
            <w:pPr>
              <w:pStyle w:val="Tabletext"/>
              <w:spacing w:before="0" w:after="240"/>
              <w:jc w:val="right"/>
              <w:rPr>
                <w:rFonts w:ascii="Times New Roman" w:hAnsi="Times New Roman"/>
                <w:b/>
              </w:rPr>
            </w:pPr>
            <w:r w:rsidRPr="004803FE">
              <w:rPr>
                <w:rFonts w:ascii="Times New Roman" w:hAnsi="Times New Roman"/>
                <w:b/>
              </w:rPr>
              <w:t>$25,618</w:t>
            </w:r>
          </w:p>
        </w:tc>
        <w:tc>
          <w:tcPr>
            <w:tcW w:w="1607" w:type="dxa"/>
            <w:tcBorders>
              <w:top w:val="nil"/>
              <w:bottom w:val="single" w:sz="4" w:space="0" w:color="auto"/>
            </w:tcBorders>
          </w:tcPr>
          <w:p w14:paraId="1618ED2A" w14:textId="77777777" w:rsidR="006C0C5B" w:rsidRPr="004803FE" w:rsidRDefault="006C0C5B" w:rsidP="001B305A">
            <w:pPr>
              <w:pStyle w:val="Tabletext"/>
              <w:spacing w:before="0" w:after="240"/>
              <w:jc w:val="right"/>
              <w:rPr>
                <w:rFonts w:ascii="Times New Roman" w:hAnsi="Times New Roman"/>
                <w:b/>
              </w:rPr>
            </w:pPr>
            <w:r w:rsidRPr="004803FE">
              <w:rPr>
                <w:rFonts w:ascii="Times New Roman" w:hAnsi="Times New Roman"/>
                <w:b/>
              </w:rPr>
              <w:t>$30,537</w:t>
            </w:r>
          </w:p>
        </w:tc>
      </w:tr>
      <w:tr w:rsidR="006C0C5B" w:rsidRPr="004803FE" w14:paraId="300A4131" w14:textId="77777777" w:rsidTr="006111E4">
        <w:tc>
          <w:tcPr>
            <w:tcW w:w="4820" w:type="dxa"/>
            <w:tcBorders>
              <w:right w:val="nil"/>
            </w:tcBorders>
          </w:tcPr>
          <w:p w14:paraId="55544438" w14:textId="77777777" w:rsidR="006C0C5B" w:rsidRPr="004803FE" w:rsidRDefault="006C0C5B" w:rsidP="001B305A">
            <w:pPr>
              <w:pStyle w:val="Tabletext"/>
              <w:spacing w:before="0" w:after="240"/>
              <w:rPr>
                <w:rFonts w:ascii="Times New Roman" w:hAnsi="Times New Roman"/>
              </w:rPr>
            </w:pPr>
            <w:r w:rsidRPr="004803FE">
              <w:rPr>
                <w:rFonts w:ascii="Times New Roman" w:hAnsi="Times New Roman"/>
                <w:b/>
              </w:rPr>
              <w:t>Testing outcomes</w:t>
            </w:r>
          </w:p>
        </w:tc>
        <w:tc>
          <w:tcPr>
            <w:tcW w:w="1417" w:type="dxa"/>
            <w:tcBorders>
              <w:left w:val="nil"/>
              <w:right w:val="nil"/>
            </w:tcBorders>
          </w:tcPr>
          <w:p w14:paraId="1CC9FEFF" w14:textId="77777777" w:rsidR="006C0C5B" w:rsidRPr="004803FE" w:rsidRDefault="006C0C5B" w:rsidP="001B305A">
            <w:pPr>
              <w:pStyle w:val="Tabletext"/>
              <w:spacing w:before="0" w:after="240"/>
              <w:jc w:val="right"/>
              <w:rPr>
                <w:rFonts w:ascii="Times New Roman" w:hAnsi="Times New Roman"/>
              </w:rPr>
            </w:pPr>
          </w:p>
        </w:tc>
        <w:tc>
          <w:tcPr>
            <w:tcW w:w="1228" w:type="dxa"/>
            <w:tcBorders>
              <w:left w:val="nil"/>
              <w:right w:val="nil"/>
            </w:tcBorders>
          </w:tcPr>
          <w:p w14:paraId="0C4850A3" w14:textId="77777777" w:rsidR="006C0C5B" w:rsidRPr="004803FE" w:rsidRDefault="006C0C5B" w:rsidP="001B305A">
            <w:pPr>
              <w:pStyle w:val="Tabletext"/>
              <w:spacing w:before="0" w:after="240"/>
              <w:jc w:val="right"/>
              <w:rPr>
                <w:rFonts w:ascii="Times New Roman" w:hAnsi="Times New Roman"/>
              </w:rPr>
            </w:pPr>
          </w:p>
        </w:tc>
        <w:tc>
          <w:tcPr>
            <w:tcW w:w="1607" w:type="dxa"/>
            <w:tcBorders>
              <w:left w:val="nil"/>
            </w:tcBorders>
          </w:tcPr>
          <w:p w14:paraId="4D4A2214" w14:textId="77777777" w:rsidR="006C0C5B" w:rsidRPr="004803FE" w:rsidRDefault="006C0C5B" w:rsidP="001B305A">
            <w:pPr>
              <w:pStyle w:val="Tabletext"/>
              <w:spacing w:before="0" w:after="240"/>
              <w:jc w:val="right"/>
              <w:rPr>
                <w:rFonts w:ascii="Times New Roman" w:hAnsi="Times New Roman"/>
              </w:rPr>
            </w:pPr>
          </w:p>
        </w:tc>
      </w:tr>
      <w:tr w:rsidR="006C0C5B" w:rsidRPr="004803FE" w14:paraId="16C83B6A" w14:textId="77777777" w:rsidTr="006111E4">
        <w:tc>
          <w:tcPr>
            <w:tcW w:w="4820" w:type="dxa"/>
            <w:tcBorders>
              <w:bottom w:val="nil"/>
            </w:tcBorders>
          </w:tcPr>
          <w:p w14:paraId="1473CC2C" w14:textId="77777777" w:rsidR="006C0C5B" w:rsidRPr="004803FE" w:rsidRDefault="006C0C5B" w:rsidP="001B305A">
            <w:pPr>
              <w:pStyle w:val="Tabletext"/>
              <w:spacing w:before="0" w:after="240"/>
              <w:rPr>
                <w:rFonts w:ascii="Times New Roman" w:hAnsi="Times New Roman"/>
              </w:rPr>
            </w:pPr>
            <w:r w:rsidRPr="004803FE">
              <w:rPr>
                <w:rFonts w:ascii="Times New Roman" w:hAnsi="Times New Roman"/>
              </w:rPr>
              <w:t>Total correct diagnoses</w:t>
            </w:r>
          </w:p>
        </w:tc>
        <w:tc>
          <w:tcPr>
            <w:tcW w:w="1417" w:type="dxa"/>
            <w:tcBorders>
              <w:bottom w:val="nil"/>
            </w:tcBorders>
          </w:tcPr>
          <w:p w14:paraId="396C5F85" w14:textId="77777777" w:rsidR="006C0C5B" w:rsidRPr="004803FE" w:rsidRDefault="006C0C5B" w:rsidP="001B305A">
            <w:pPr>
              <w:pStyle w:val="Tabletext"/>
              <w:spacing w:before="0" w:after="240"/>
              <w:jc w:val="center"/>
              <w:rPr>
                <w:rFonts w:ascii="Times New Roman" w:hAnsi="Times New Roman"/>
              </w:rPr>
            </w:pPr>
            <w:r w:rsidRPr="004803FE">
              <w:rPr>
                <w:rFonts w:ascii="Times New Roman" w:hAnsi="Times New Roman"/>
              </w:rPr>
              <w:t>71.8%</w:t>
            </w:r>
          </w:p>
        </w:tc>
        <w:tc>
          <w:tcPr>
            <w:tcW w:w="1228" w:type="dxa"/>
            <w:tcBorders>
              <w:bottom w:val="nil"/>
            </w:tcBorders>
          </w:tcPr>
          <w:p w14:paraId="0D993940" w14:textId="77777777" w:rsidR="006C0C5B" w:rsidRPr="004803FE" w:rsidRDefault="006C0C5B" w:rsidP="001B305A">
            <w:pPr>
              <w:pStyle w:val="Tabletext"/>
              <w:spacing w:before="0" w:after="240"/>
              <w:jc w:val="center"/>
              <w:rPr>
                <w:rFonts w:ascii="Times New Roman" w:hAnsi="Times New Roman"/>
              </w:rPr>
            </w:pPr>
            <w:r w:rsidRPr="004803FE">
              <w:rPr>
                <w:rFonts w:ascii="Times New Roman" w:hAnsi="Times New Roman"/>
              </w:rPr>
              <w:t>78.5%</w:t>
            </w:r>
          </w:p>
        </w:tc>
        <w:tc>
          <w:tcPr>
            <w:tcW w:w="1607" w:type="dxa"/>
            <w:tcBorders>
              <w:bottom w:val="nil"/>
            </w:tcBorders>
          </w:tcPr>
          <w:p w14:paraId="4A360E1D" w14:textId="77777777" w:rsidR="006C0C5B" w:rsidRPr="004803FE" w:rsidRDefault="006C0C5B" w:rsidP="001B305A">
            <w:pPr>
              <w:pStyle w:val="Tabletext"/>
              <w:spacing w:before="0" w:after="240"/>
              <w:jc w:val="center"/>
              <w:rPr>
                <w:rFonts w:ascii="Times New Roman" w:hAnsi="Times New Roman"/>
              </w:rPr>
            </w:pPr>
            <w:r w:rsidRPr="004803FE">
              <w:rPr>
                <w:rFonts w:ascii="Times New Roman" w:hAnsi="Times New Roman"/>
              </w:rPr>
              <w:t>74.9%</w:t>
            </w:r>
          </w:p>
        </w:tc>
      </w:tr>
      <w:tr w:rsidR="006C0C5B" w:rsidRPr="004803FE" w14:paraId="2E151EF0" w14:textId="77777777" w:rsidTr="006111E4">
        <w:tc>
          <w:tcPr>
            <w:tcW w:w="4820" w:type="dxa"/>
            <w:tcBorders>
              <w:top w:val="nil"/>
              <w:bottom w:val="nil"/>
            </w:tcBorders>
          </w:tcPr>
          <w:p w14:paraId="1A9C12EC" w14:textId="77777777" w:rsidR="006C0C5B" w:rsidRPr="004803FE" w:rsidRDefault="006C0C5B" w:rsidP="001B305A">
            <w:pPr>
              <w:pStyle w:val="Tabletext"/>
              <w:spacing w:before="0" w:after="240"/>
              <w:rPr>
                <w:rFonts w:ascii="Times New Roman" w:hAnsi="Times New Roman"/>
              </w:rPr>
            </w:pPr>
            <w:r w:rsidRPr="004803FE">
              <w:rPr>
                <w:rFonts w:ascii="Times New Roman" w:hAnsi="Times New Roman"/>
              </w:rPr>
              <w:t>Unnecessary revascularisations averted</w:t>
            </w:r>
          </w:p>
        </w:tc>
        <w:tc>
          <w:tcPr>
            <w:tcW w:w="1417" w:type="dxa"/>
            <w:tcBorders>
              <w:top w:val="nil"/>
              <w:bottom w:val="nil"/>
            </w:tcBorders>
          </w:tcPr>
          <w:p w14:paraId="708EB129" w14:textId="77777777" w:rsidR="006C0C5B" w:rsidRPr="004803FE" w:rsidRDefault="006C0C5B" w:rsidP="001B305A">
            <w:pPr>
              <w:pStyle w:val="Tabletext"/>
              <w:spacing w:before="0" w:after="240"/>
              <w:jc w:val="center"/>
              <w:rPr>
                <w:rFonts w:ascii="Times New Roman" w:hAnsi="Times New Roman"/>
              </w:rPr>
            </w:pPr>
            <w:r w:rsidRPr="004803FE">
              <w:rPr>
                <w:rFonts w:ascii="Times New Roman" w:hAnsi="Times New Roman"/>
              </w:rPr>
              <w:t>19.8%</w:t>
            </w:r>
          </w:p>
        </w:tc>
        <w:tc>
          <w:tcPr>
            <w:tcW w:w="1228" w:type="dxa"/>
            <w:tcBorders>
              <w:top w:val="nil"/>
              <w:bottom w:val="nil"/>
            </w:tcBorders>
          </w:tcPr>
          <w:p w14:paraId="2D2F7266" w14:textId="77777777" w:rsidR="006C0C5B" w:rsidRPr="004803FE" w:rsidRDefault="006C0C5B" w:rsidP="001B305A">
            <w:pPr>
              <w:pStyle w:val="Tabletext"/>
              <w:spacing w:before="0" w:after="240"/>
              <w:jc w:val="center"/>
              <w:rPr>
                <w:rFonts w:ascii="Times New Roman" w:hAnsi="Times New Roman"/>
              </w:rPr>
            </w:pPr>
            <w:r w:rsidRPr="004803FE">
              <w:rPr>
                <w:rFonts w:ascii="Times New Roman" w:hAnsi="Times New Roman"/>
              </w:rPr>
              <w:t>34.3%</w:t>
            </w:r>
          </w:p>
        </w:tc>
        <w:tc>
          <w:tcPr>
            <w:tcW w:w="1607" w:type="dxa"/>
            <w:tcBorders>
              <w:top w:val="nil"/>
              <w:bottom w:val="nil"/>
            </w:tcBorders>
          </w:tcPr>
          <w:p w14:paraId="10447A51" w14:textId="77777777" w:rsidR="006C0C5B" w:rsidRPr="004803FE" w:rsidRDefault="006C0C5B" w:rsidP="001B305A">
            <w:pPr>
              <w:pStyle w:val="Tabletext"/>
              <w:spacing w:before="0" w:after="240"/>
              <w:jc w:val="center"/>
              <w:rPr>
                <w:rFonts w:ascii="Times New Roman" w:hAnsi="Times New Roman"/>
              </w:rPr>
            </w:pPr>
            <w:r w:rsidRPr="004803FE">
              <w:rPr>
                <w:rFonts w:ascii="Times New Roman" w:hAnsi="Times New Roman"/>
              </w:rPr>
              <w:t>27.3%</w:t>
            </w:r>
          </w:p>
        </w:tc>
      </w:tr>
      <w:tr w:rsidR="006C0C5B" w:rsidRPr="004803FE" w14:paraId="67DDB44D" w14:textId="77777777" w:rsidTr="006111E4">
        <w:tc>
          <w:tcPr>
            <w:tcW w:w="4820" w:type="dxa"/>
            <w:tcBorders>
              <w:top w:val="nil"/>
            </w:tcBorders>
          </w:tcPr>
          <w:p w14:paraId="7B50A8C9" w14:textId="77777777" w:rsidR="006C0C5B" w:rsidRPr="004803FE" w:rsidRDefault="006C0C5B" w:rsidP="001B305A">
            <w:pPr>
              <w:pStyle w:val="Tabletext"/>
              <w:spacing w:before="0" w:after="240"/>
              <w:rPr>
                <w:rFonts w:ascii="Times New Roman" w:hAnsi="Times New Roman"/>
              </w:rPr>
            </w:pPr>
            <w:r w:rsidRPr="004803FE">
              <w:rPr>
                <w:rFonts w:ascii="Times New Roman" w:hAnsi="Times New Roman"/>
              </w:rPr>
              <w:t>Revascularisations undertaken with correct diagnosis</w:t>
            </w:r>
          </w:p>
        </w:tc>
        <w:tc>
          <w:tcPr>
            <w:tcW w:w="1417" w:type="dxa"/>
            <w:tcBorders>
              <w:top w:val="nil"/>
            </w:tcBorders>
          </w:tcPr>
          <w:p w14:paraId="606831C9" w14:textId="77777777" w:rsidR="006C0C5B" w:rsidRPr="004803FE" w:rsidRDefault="006C0C5B" w:rsidP="001B305A">
            <w:pPr>
              <w:pStyle w:val="Tabletext"/>
              <w:spacing w:before="0" w:after="240"/>
              <w:jc w:val="center"/>
              <w:rPr>
                <w:rFonts w:ascii="Times New Roman" w:hAnsi="Times New Roman"/>
              </w:rPr>
            </w:pPr>
            <w:r w:rsidRPr="004803FE">
              <w:rPr>
                <w:rFonts w:ascii="Times New Roman" w:hAnsi="Times New Roman"/>
              </w:rPr>
              <w:t>52.0%</w:t>
            </w:r>
          </w:p>
        </w:tc>
        <w:tc>
          <w:tcPr>
            <w:tcW w:w="1228" w:type="dxa"/>
            <w:tcBorders>
              <w:top w:val="nil"/>
            </w:tcBorders>
          </w:tcPr>
          <w:p w14:paraId="184AD526" w14:textId="77777777" w:rsidR="006C0C5B" w:rsidRPr="004803FE" w:rsidRDefault="006C0C5B" w:rsidP="001B305A">
            <w:pPr>
              <w:pStyle w:val="Tabletext"/>
              <w:spacing w:before="0" w:after="240"/>
              <w:jc w:val="center"/>
              <w:rPr>
                <w:rFonts w:ascii="Times New Roman" w:hAnsi="Times New Roman"/>
              </w:rPr>
            </w:pPr>
            <w:r w:rsidRPr="004803FE">
              <w:rPr>
                <w:rFonts w:ascii="Times New Roman" w:hAnsi="Times New Roman"/>
              </w:rPr>
              <w:t>44.2%</w:t>
            </w:r>
          </w:p>
        </w:tc>
        <w:tc>
          <w:tcPr>
            <w:tcW w:w="1607" w:type="dxa"/>
            <w:tcBorders>
              <w:top w:val="nil"/>
            </w:tcBorders>
          </w:tcPr>
          <w:p w14:paraId="09DFC037" w14:textId="77777777" w:rsidR="006C0C5B" w:rsidRPr="004803FE" w:rsidRDefault="006C0C5B" w:rsidP="001B305A">
            <w:pPr>
              <w:pStyle w:val="Tabletext"/>
              <w:spacing w:before="0" w:after="240"/>
              <w:jc w:val="center"/>
              <w:rPr>
                <w:rFonts w:ascii="Times New Roman" w:hAnsi="Times New Roman"/>
              </w:rPr>
            </w:pPr>
            <w:r w:rsidRPr="004803FE">
              <w:rPr>
                <w:rFonts w:ascii="Times New Roman" w:hAnsi="Times New Roman"/>
              </w:rPr>
              <w:t>47.6%</w:t>
            </w:r>
          </w:p>
        </w:tc>
      </w:tr>
    </w:tbl>
    <w:p w14:paraId="5B1D9C28" w14:textId="59A57D70" w:rsidR="006165E0" w:rsidRPr="001B305A" w:rsidRDefault="006165E0" w:rsidP="001B305A">
      <w:pPr>
        <w:spacing w:after="240"/>
        <w:rPr>
          <w:sz w:val="16"/>
          <w:szCs w:val="16"/>
        </w:rPr>
      </w:pPr>
      <w:bookmarkStart w:id="10" w:name="_Ref437618003"/>
      <w:bookmarkStart w:id="11" w:name="_Toc439954440"/>
      <w:r w:rsidRPr="006165E0">
        <w:rPr>
          <w:sz w:val="16"/>
          <w:szCs w:val="16"/>
        </w:rPr>
        <w:t xml:space="preserve">AE=adverse event; </w:t>
      </w:r>
      <w:proofErr w:type="spellStart"/>
      <w:r w:rsidRPr="006165E0">
        <w:rPr>
          <w:sz w:val="16"/>
          <w:szCs w:val="16"/>
        </w:rPr>
        <w:t>DbE</w:t>
      </w:r>
      <w:proofErr w:type="spellEnd"/>
      <w:r w:rsidRPr="006165E0">
        <w:rPr>
          <w:sz w:val="16"/>
          <w:szCs w:val="16"/>
        </w:rPr>
        <w:t xml:space="preserve"> = low-dose </w:t>
      </w:r>
      <w:proofErr w:type="spellStart"/>
      <w:r w:rsidRPr="006165E0">
        <w:rPr>
          <w:sz w:val="16"/>
          <w:szCs w:val="16"/>
        </w:rPr>
        <w:t>dobutamine</w:t>
      </w:r>
      <w:proofErr w:type="spellEnd"/>
      <w:r w:rsidRPr="006165E0">
        <w:rPr>
          <w:sz w:val="16"/>
          <w:szCs w:val="16"/>
        </w:rPr>
        <w:t xml:space="preserve"> echocardiography; LGE-CMR = late gadolinium enhancement cardiac magnetic resonance imaging; OMT = optimal medical therapy SPECT=single-photon emission computed tomography</w:t>
      </w:r>
    </w:p>
    <w:p w14:paraId="7BB83A3C" w14:textId="08FAD9D9" w:rsidR="006C0C5B" w:rsidRPr="00367095" w:rsidRDefault="006C0C5B" w:rsidP="001B305A">
      <w:pPr>
        <w:spacing w:after="240"/>
        <w:rPr>
          <w:szCs w:val="24"/>
        </w:rPr>
      </w:pPr>
      <w:r w:rsidRPr="004803FE">
        <w:rPr>
          <w:szCs w:val="24"/>
        </w:rPr>
        <w:t>The incremental costs, outcomes and cost-effectiveness ratios comparing LGE-CMR to the comparators are presented in</w:t>
      </w:r>
      <w:r w:rsidR="00B35529">
        <w:rPr>
          <w:szCs w:val="24"/>
        </w:rPr>
        <w:t xml:space="preserve"> Table 5</w:t>
      </w:r>
      <w:r w:rsidRPr="004803FE">
        <w:rPr>
          <w:szCs w:val="24"/>
        </w:rPr>
        <w:t>.</w:t>
      </w:r>
    </w:p>
    <w:p w14:paraId="659F18C4" w14:textId="77777777" w:rsidR="006C0C5B" w:rsidRPr="001B305A" w:rsidRDefault="006C0C5B" w:rsidP="001B305A">
      <w:pPr>
        <w:pStyle w:val="TableHeading"/>
        <w:spacing w:before="0" w:after="0"/>
        <w:rPr>
          <w:rFonts w:cs="Times New Roman"/>
        </w:rPr>
      </w:pPr>
      <w:r w:rsidRPr="001B305A">
        <w:rPr>
          <w:rFonts w:cs="Times New Roman"/>
        </w:rPr>
        <w:t xml:space="preserve">Table </w:t>
      </w:r>
      <w:bookmarkEnd w:id="10"/>
      <w:r w:rsidR="00B35529" w:rsidRPr="001B305A">
        <w:rPr>
          <w:rFonts w:cs="Times New Roman"/>
        </w:rPr>
        <w:t>5</w:t>
      </w:r>
      <w:r w:rsidRPr="001B305A">
        <w:rPr>
          <w:rFonts w:cs="Times New Roman"/>
        </w:rPr>
        <w:tab/>
        <w:t>Incremental results and results of the cost-effectiveness analyses, all comparisons</w:t>
      </w:r>
      <w:bookmarkEnd w:id="11"/>
    </w:p>
    <w:tbl>
      <w:tblPr>
        <w:tblStyle w:val="TableGrid"/>
        <w:tblW w:w="4942" w:type="pct"/>
        <w:tblInd w:w="108" w:type="dxa"/>
        <w:tblLook w:val="04A0" w:firstRow="1" w:lastRow="0" w:firstColumn="1" w:lastColumn="0" w:noHBand="0" w:noVBand="1"/>
        <w:tblDescription w:val="Table ES.12 Incremental results comparing CMR to each non-invasive testing strategy in the economic evaluation, including the outcomes of testing, ICAs performed and missed, costs and cost-effectiveness ratios."/>
      </w:tblPr>
      <w:tblGrid>
        <w:gridCol w:w="4819"/>
        <w:gridCol w:w="2158"/>
        <w:gridCol w:w="2158"/>
      </w:tblGrid>
      <w:tr w:rsidR="006C0C5B" w:rsidRPr="004803FE" w14:paraId="1E22CCDF" w14:textId="77777777" w:rsidTr="006111E4">
        <w:trPr>
          <w:tblHeader/>
        </w:trPr>
        <w:tc>
          <w:tcPr>
            <w:tcW w:w="2638" w:type="pct"/>
            <w:tcBorders>
              <w:bottom w:val="single" w:sz="4" w:space="0" w:color="auto"/>
            </w:tcBorders>
          </w:tcPr>
          <w:p w14:paraId="2385F28B" w14:textId="77777777" w:rsidR="006C0C5B" w:rsidRPr="004803FE" w:rsidRDefault="006C0C5B" w:rsidP="001B305A">
            <w:pPr>
              <w:pStyle w:val="Tabletext"/>
              <w:spacing w:after="240"/>
              <w:rPr>
                <w:rFonts w:ascii="Times New Roman" w:hAnsi="Times New Roman"/>
                <w:b/>
                <w:color w:val="FFFFFF" w:themeColor="background1"/>
              </w:rPr>
            </w:pPr>
            <w:r w:rsidRPr="004803FE">
              <w:rPr>
                <w:rFonts w:ascii="Times New Roman" w:hAnsi="Times New Roman"/>
                <w:b/>
                <w:color w:val="FFFFFF" w:themeColor="background1"/>
              </w:rPr>
              <w:t>-</w:t>
            </w:r>
          </w:p>
        </w:tc>
        <w:tc>
          <w:tcPr>
            <w:tcW w:w="1181" w:type="pct"/>
            <w:tcBorders>
              <w:bottom w:val="single" w:sz="4" w:space="0" w:color="auto"/>
            </w:tcBorders>
          </w:tcPr>
          <w:p w14:paraId="64B68214" w14:textId="77777777" w:rsidR="006C0C5B" w:rsidRPr="004803FE" w:rsidRDefault="006C0C5B" w:rsidP="001B305A">
            <w:pPr>
              <w:pStyle w:val="Tabletext"/>
              <w:spacing w:after="240"/>
              <w:rPr>
                <w:rFonts w:ascii="Times New Roman" w:hAnsi="Times New Roman"/>
                <w:b/>
              </w:rPr>
            </w:pPr>
            <w:r w:rsidRPr="004803FE">
              <w:rPr>
                <w:rFonts w:ascii="Times New Roman" w:hAnsi="Times New Roman"/>
                <w:b/>
              </w:rPr>
              <w:t xml:space="preserve">Increment </w:t>
            </w:r>
            <w:proofErr w:type="spellStart"/>
            <w:r w:rsidRPr="004803FE">
              <w:rPr>
                <w:rFonts w:ascii="Times New Roman" w:hAnsi="Times New Roman"/>
                <w:b/>
              </w:rPr>
              <w:t>vs</w:t>
            </w:r>
            <w:proofErr w:type="spellEnd"/>
            <w:r w:rsidRPr="004803FE">
              <w:rPr>
                <w:rFonts w:ascii="Times New Roman" w:hAnsi="Times New Roman"/>
                <w:b/>
              </w:rPr>
              <w:t xml:space="preserve"> </w:t>
            </w:r>
            <w:proofErr w:type="spellStart"/>
            <w:r w:rsidRPr="004803FE">
              <w:rPr>
                <w:rFonts w:ascii="Times New Roman" w:hAnsi="Times New Roman"/>
                <w:b/>
              </w:rPr>
              <w:t>DbE</w:t>
            </w:r>
            <w:proofErr w:type="spellEnd"/>
          </w:p>
        </w:tc>
        <w:tc>
          <w:tcPr>
            <w:tcW w:w="1181" w:type="pct"/>
            <w:tcBorders>
              <w:bottom w:val="single" w:sz="4" w:space="0" w:color="auto"/>
            </w:tcBorders>
          </w:tcPr>
          <w:p w14:paraId="48A93353" w14:textId="77777777" w:rsidR="006C0C5B" w:rsidRPr="004803FE" w:rsidRDefault="006C0C5B" w:rsidP="001B305A">
            <w:pPr>
              <w:pStyle w:val="Tabletext"/>
              <w:spacing w:after="240"/>
              <w:rPr>
                <w:rFonts w:ascii="Times New Roman" w:hAnsi="Times New Roman"/>
                <w:b/>
              </w:rPr>
            </w:pPr>
            <w:r w:rsidRPr="004803FE">
              <w:rPr>
                <w:rFonts w:ascii="Times New Roman" w:hAnsi="Times New Roman"/>
                <w:b/>
              </w:rPr>
              <w:t>Increment vs SPECT</w:t>
            </w:r>
          </w:p>
        </w:tc>
      </w:tr>
      <w:tr w:rsidR="006C0C5B" w:rsidRPr="004803FE" w14:paraId="3F08DAC5" w14:textId="77777777" w:rsidTr="006111E4">
        <w:tc>
          <w:tcPr>
            <w:tcW w:w="2638" w:type="pct"/>
            <w:tcBorders>
              <w:bottom w:val="single" w:sz="4" w:space="0" w:color="auto"/>
              <w:right w:val="nil"/>
            </w:tcBorders>
          </w:tcPr>
          <w:p w14:paraId="381A590F" w14:textId="77777777" w:rsidR="006C0C5B" w:rsidRPr="004803FE" w:rsidRDefault="006C0C5B" w:rsidP="001B305A">
            <w:pPr>
              <w:pStyle w:val="TableHeading"/>
              <w:spacing w:before="0" w:after="240"/>
              <w:jc w:val="left"/>
              <w:rPr>
                <w:rFonts w:ascii="Times New Roman" w:hAnsi="Times New Roman" w:cs="Times New Roman"/>
              </w:rPr>
            </w:pPr>
            <w:r w:rsidRPr="004803FE">
              <w:rPr>
                <w:rFonts w:ascii="Times New Roman" w:hAnsi="Times New Roman" w:cs="Times New Roman"/>
              </w:rPr>
              <w:t>Costs</w:t>
            </w:r>
          </w:p>
        </w:tc>
        <w:tc>
          <w:tcPr>
            <w:tcW w:w="1181" w:type="pct"/>
            <w:tcBorders>
              <w:left w:val="nil"/>
              <w:bottom w:val="single" w:sz="4" w:space="0" w:color="auto"/>
              <w:right w:val="nil"/>
            </w:tcBorders>
          </w:tcPr>
          <w:p w14:paraId="65D76A51" w14:textId="77777777" w:rsidR="006C0C5B" w:rsidRPr="004803FE" w:rsidRDefault="006C0C5B" w:rsidP="001B305A">
            <w:pPr>
              <w:pStyle w:val="TableHeading"/>
              <w:spacing w:before="0" w:after="240"/>
              <w:rPr>
                <w:rFonts w:ascii="Times New Roman" w:hAnsi="Times New Roman" w:cs="Times New Roman"/>
              </w:rPr>
            </w:pPr>
            <w:r w:rsidRPr="004803FE">
              <w:rPr>
                <w:rFonts w:ascii="Times New Roman" w:hAnsi="Times New Roman" w:cs="Times New Roman"/>
              </w:rPr>
              <w:t>-</w:t>
            </w:r>
          </w:p>
        </w:tc>
        <w:tc>
          <w:tcPr>
            <w:tcW w:w="1181" w:type="pct"/>
            <w:tcBorders>
              <w:left w:val="nil"/>
              <w:bottom w:val="single" w:sz="4" w:space="0" w:color="auto"/>
              <w:right w:val="nil"/>
            </w:tcBorders>
          </w:tcPr>
          <w:p w14:paraId="14168569" w14:textId="77777777" w:rsidR="006C0C5B" w:rsidRPr="004803FE" w:rsidRDefault="006C0C5B" w:rsidP="001B305A">
            <w:pPr>
              <w:pStyle w:val="TableHeading"/>
              <w:spacing w:before="0" w:after="240"/>
              <w:rPr>
                <w:rFonts w:ascii="Times New Roman" w:hAnsi="Times New Roman" w:cs="Times New Roman"/>
              </w:rPr>
            </w:pPr>
            <w:r w:rsidRPr="004803FE">
              <w:rPr>
                <w:rFonts w:ascii="Times New Roman" w:hAnsi="Times New Roman" w:cs="Times New Roman"/>
              </w:rPr>
              <w:t>-</w:t>
            </w:r>
          </w:p>
        </w:tc>
      </w:tr>
      <w:tr w:rsidR="006C0C5B" w:rsidRPr="004803FE" w14:paraId="709F255C" w14:textId="77777777" w:rsidTr="006111E4">
        <w:tc>
          <w:tcPr>
            <w:tcW w:w="2638" w:type="pct"/>
            <w:tcBorders>
              <w:bottom w:val="nil"/>
            </w:tcBorders>
          </w:tcPr>
          <w:p w14:paraId="51BD984C" w14:textId="77777777" w:rsidR="006C0C5B" w:rsidRPr="004803FE" w:rsidRDefault="006C0C5B" w:rsidP="001B305A">
            <w:pPr>
              <w:pStyle w:val="Tabletext"/>
              <w:spacing w:after="240"/>
              <w:rPr>
                <w:rFonts w:ascii="Times New Roman" w:hAnsi="Times New Roman"/>
              </w:rPr>
            </w:pPr>
            <w:r w:rsidRPr="004803FE">
              <w:rPr>
                <w:rFonts w:ascii="Times New Roman" w:hAnsi="Times New Roman"/>
              </w:rPr>
              <w:t>Test (including treatment of AEs and specialist referral)</w:t>
            </w:r>
          </w:p>
        </w:tc>
        <w:tc>
          <w:tcPr>
            <w:tcW w:w="1181" w:type="pct"/>
            <w:tcBorders>
              <w:bottom w:val="nil"/>
            </w:tcBorders>
            <w:vAlign w:val="center"/>
          </w:tcPr>
          <w:p w14:paraId="7188888D" w14:textId="77777777" w:rsidR="006C0C5B" w:rsidRPr="004803FE" w:rsidRDefault="006C0C5B" w:rsidP="001B305A">
            <w:pPr>
              <w:pStyle w:val="Tabletext"/>
              <w:spacing w:after="240"/>
              <w:ind w:right="65"/>
              <w:jc w:val="right"/>
              <w:rPr>
                <w:rFonts w:ascii="Times New Roman" w:hAnsi="Times New Roman"/>
              </w:rPr>
            </w:pPr>
            <w:r w:rsidRPr="004803FE">
              <w:rPr>
                <w:rFonts w:ascii="Times New Roman" w:hAnsi="Times New Roman"/>
              </w:rPr>
              <w:t>$308</w:t>
            </w:r>
          </w:p>
        </w:tc>
        <w:tc>
          <w:tcPr>
            <w:tcW w:w="1181" w:type="pct"/>
            <w:tcBorders>
              <w:bottom w:val="nil"/>
            </w:tcBorders>
            <w:vAlign w:val="bottom"/>
          </w:tcPr>
          <w:p w14:paraId="1DEB8D79" w14:textId="77777777" w:rsidR="006C0C5B" w:rsidRPr="004803FE" w:rsidRDefault="006C0C5B" w:rsidP="001B305A">
            <w:pPr>
              <w:pStyle w:val="Tabletext"/>
              <w:spacing w:after="240"/>
              <w:ind w:right="96"/>
              <w:jc w:val="right"/>
              <w:rPr>
                <w:rFonts w:ascii="Times New Roman" w:hAnsi="Times New Roman"/>
              </w:rPr>
            </w:pPr>
            <w:r w:rsidRPr="004803FE">
              <w:rPr>
                <w:rFonts w:ascii="Times New Roman" w:hAnsi="Times New Roman"/>
              </w:rPr>
              <w:t>$180</w:t>
            </w:r>
          </w:p>
        </w:tc>
      </w:tr>
      <w:tr w:rsidR="006C0C5B" w:rsidRPr="004803FE" w14:paraId="6A9F2F61" w14:textId="77777777" w:rsidTr="006111E4">
        <w:tc>
          <w:tcPr>
            <w:tcW w:w="2638" w:type="pct"/>
            <w:tcBorders>
              <w:top w:val="nil"/>
              <w:bottom w:val="nil"/>
            </w:tcBorders>
          </w:tcPr>
          <w:p w14:paraId="2469226D" w14:textId="77777777" w:rsidR="006C0C5B" w:rsidRPr="004803FE" w:rsidRDefault="006C0C5B" w:rsidP="001B305A">
            <w:pPr>
              <w:pStyle w:val="Tabletext"/>
              <w:spacing w:after="240"/>
              <w:rPr>
                <w:rFonts w:ascii="Times New Roman" w:hAnsi="Times New Roman"/>
              </w:rPr>
            </w:pPr>
            <w:r w:rsidRPr="004803FE">
              <w:rPr>
                <w:rFonts w:ascii="Times New Roman" w:hAnsi="Times New Roman"/>
              </w:rPr>
              <w:t>Cost of revascularisation + OMT+ complications</w:t>
            </w:r>
          </w:p>
        </w:tc>
        <w:tc>
          <w:tcPr>
            <w:tcW w:w="1181" w:type="pct"/>
            <w:tcBorders>
              <w:top w:val="nil"/>
              <w:bottom w:val="nil"/>
            </w:tcBorders>
            <w:vAlign w:val="bottom"/>
          </w:tcPr>
          <w:p w14:paraId="705A6791" w14:textId="77777777" w:rsidR="006C0C5B" w:rsidRPr="004803FE" w:rsidRDefault="006C0C5B" w:rsidP="001B305A">
            <w:pPr>
              <w:pStyle w:val="Tabletext"/>
              <w:spacing w:after="240"/>
              <w:ind w:right="65"/>
              <w:jc w:val="right"/>
              <w:rPr>
                <w:rFonts w:ascii="Times New Roman" w:hAnsi="Times New Roman"/>
              </w:rPr>
            </w:pPr>
            <w:r w:rsidRPr="004803FE">
              <w:rPr>
                <w:rFonts w:ascii="Times New Roman" w:hAnsi="Times New Roman"/>
              </w:rPr>
              <w:t>$10,300</w:t>
            </w:r>
          </w:p>
        </w:tc>
        <w:tc>
          <w:tcPr>
            <w:tcW w:w="1181" w:type="pct"/>
            <w:tcBorders>
              <w:top w:val="nil"/>
              <w:bottom w:val="nil"/>
            </w:tcBorders>
          </w:tcPr>
          <w:p w14:paraId="574419D0" w14:textId="77777777" w:rsidR="006C0C5B" w:rsidRPr="004803FE" w:rsidRDefault="006C0C5B" w:rsidP="001B305A">
            <w:pPr>
              <w:pStyle w:val="Tabletext"/>
              <w:spacing w:after="240"/>
              <w:ind w:right="96"/>
              <w:jc w:val="right"/>
              <w:rPr>
                <w:rFonts w:ascii="Times New Roman" w:hAnsi="Times New Roman"/>
              </w:rPr>
            </w:pPr>
            <w:r w:rsidRPr="004803FE">
              <w:rPr>
                <w:rFonts w:ascii="Times New Roman" w:hAnsi="Times New Roman"/>
              </w:rPr>
              <w:t>$5,509</w:t>
            </w:r>
          </w:p>
        </w:tc>
      </w:tr>
      <w:tr w:rsidR="006C0C5B" w:rsidRPr="004803FE" w14:paraId="1826BCFB" w14:textId="77777777" w:rsidTr="006111E4">
        <w:tc>
          <w:tcPr>
            <w:tcW w:w="2638" w:type="pct"/>
            <w:tcBorders>
              <w:top w:val="nil"/>
            </w:tcBorders>
          </w:tcPr>
          <w:p w14:paraId="77E98EE0" w14:textId="77777777" w:rsidR="006C0C5B" w:rsidRPr="004803FE" w:rsidRDefault="006C0C5B" w:rsidP="001B305A">
            <w:pPr>
              <w:pStyle w:val="Tabletext"/>
              <w:spacing w:after="240"/>
              <w:rPr>
                <w:rFonts w:ascii="Times New Roman" w:hAnsi="Times New Roman"/>
                <w:b/>
              </w:rPr>
            </w:pPr>
            <w:r w:rsidRPr="004803FE">
              <w:rPr>
                <w:rFonts w:ascii="Times New Roman" w:hAnsi="Times New Roman"/>
                <w:b/>
              </w:rPr>
              <w:t>Total</w:t>
            </w:r>
          </w:p>
        </w:tc>
        <w:tc>
          <w:tcPr>
            <w:tcW w:w="1181" w:type="pct"/>
            <w:tcBorders>
              <w:top w:val="nil"/>
            </w:tcBorders>
          </w:tcPr>
          <w:p w14:paraId="561B2421" w14:textId="77777777" w:rsidR="006C0C5B" w:rsidRPr="004803FE" w:rsidRDefault="006C0C5B" w:rsidP="001B305A">
            <w:pPr>
              <w:pStyle w:val="Tabletext"/>
              <w:spacing w:after="240"/>
              <w:ind w:right="65"/>
              <w:jc w:val="right"/>
              <w:rPr>
                <w:rFonts w:ascii="Times New Roman" w:hAnsi="Times New Roman"/>
                <w:b/>
              </w:rPr>
            </w:pPr>
            <w:r w:rsidRPr="004803FE">
              <w:rPr>
                <w:rFonts w:ascii="Times New Roman" w:hAnsi="Times New Roman"/>
                <w:b/>
              </w:rPr>
              <w:t>$10,608</w:t>
            </w:r>
          </w:p>
        </w:tc>
        <w:tc>
          <w:tcPr>
            <w:tcW w:w="1181" w:type="pct"/>
            <w:tcBorders>
              <w:top w:val="nil"/>
            </w:tcBorders>
          </w:tcPr>
          <w:p w14:paraId="6A45F076" w14:textId="77777777" w:rsidR="006C0C5B" w:rsidRPr="004803FE" w:rsidRDefault="006C0C5B" w:rsidP="001B305A">
            <w:pPr>
              <w:pStyle w:val="Tabletext"/>
              <w:spacing w:after="240"/>
              <w:ind w:right="96"/>
              <w:jc w:val="right"/>
              <w:rPr>
                <w:rFonts w:ascii="Times New Roman" w:hAnsi="Times New Roman"/>
                <w:b/>
              </w:rPr>
            </w:pPr>
            <w:r w:rsidRPr="004803FE">
              <w:rPr>
                <w:rFonts w:ascii="Times New Roman" w:hAnsi="Times New Roman"/>
                <w:b/>
              </w:rPr>
              <w:t>$5,689</w:t>
            </w:r>
          </w:p>
        </w:tc>
      </w:tr>
      <w:tr w:rsidR="006C0C5B" w:rsidRPr="004803FE" w14:paraId="4F31E180" w14:textId="77777777" w:rsidTr="006111E4">
        <w:tc>
          <w:tcPr>
            <w:tcW w:w="2638" w:type="pct"/>
            <w:tcBorders>
              <w:bottom w:val="single" w:sz="4" w:space="0" w:color="auto"/>
              <w:right w:val="nil"/>
            </w:tcBorders>
          </w:tcPr>
          <w:p w14:paraId="212CA20E" w14:textId="77777777" w:rsidR="006C0C5B" w:rsidRPr="004803FE" w:rsidRDefault="006C0C5B" w:rsidP="001B305A">
            <w:pPr>
              <w:pStyle w:val="Tabletext"/>
              <w:keepNext/>
              <w:spacing w:after="240"/>
              <w:rPr>
                <w:rFonts w:ascii="Times New Roman" w:hAnsi="Times New Roman"/>
                <w:b/>
              </w:rPr>
            </w:pPr>
            <w:r w:rsidRPr="004803FE">
              <w:rPr>
                <w:rFonts w:ascii="Times New Roman" w:hAnsi="Times New Roman"/>
                <w:b/>
              </w:rPr>
              <w:t>Testing outcomes</w:t>
            </w:r>
          </w:p>
        </w:tc>
        <w:tc>
          <w:tcPr>
            <w:tcW w:w="1181" w:type="pct"/>
            <w:tcBorders>
              <w:left w:val="nil"/>
              <w:bottom w:val="single" w:sz="4" w:space="0" w:color="auto"/>
              <w:right w:val="nil"/>
            </w:tcBorders>
          </w:tcPr>
          <w:p w14:paraId="4851C7C1" w14:textId="77777777" w:rsidR="006C0C5B" w:rsidRPr="004803FE" w:rsidRDefault="006C0C5B" w:rsidP="001B305A">
            <w:pPr>
              <w:pStyle w:val="TableHeading"/>
              <w:spacing w:before="0" w:after="240"/>
              <w:rPr>
                <w:rFonts w:ascii="Times New Roman" w:hAnsi="Times New Roman" w:cs="Times New Roman"/>
              </w:rPr>
            </w:pPr>
            <w:r w:rsidRPr="004803FE">
              <w:rPr>
                <w:rFonts w:ascii="Times New Roman" w:hAnsi="Times New Roman" w:cs="Times New Roman"/>
              </w:rPr>
              <w:t>-</w:t>
            </w:r>
          </w:p>
        </w:tc>
        <w:tc>
          <w:tcPr>
            <w:tcW w:w="1181" w:type="pct"/>
            <w:tcBorders>
              <w:left w:val="nil"/>
              <w:bottom w:val="single" w:sz="4" w:space="0" w:color="auto"/>
              <w:right w:val="nil"/>
            </w:tcBorders>
          </w:tcPr>
          <w:p w14:paraId="04691AB2" w14:textId="77777777" w:rsidR="006C0C5B" w:rsidRPr="004803FE" w:rsidRDefault="006C0C5B" w:rsidP="001B305A">
            <w:pPr>
              <w:pStyle w:val="TableHeading"/>
              <w:spacing w:before="0" w:after="240"/>
              <w:rPr>
                <w:rFonts w:ascii="Times New Roman" w:hAnsi="Times New Roman" w:cs="Times New Roman"/>
              </w:rPr>
            </w:pPr>
            <w:r w:rsidRPr="004803FE">
              <w:rPr>
                <w:rFonts w:ascii="Times New Roman" w:hAnsi="Times New Roman" w:cs="Times New Roman"/>
              </w:rPr>
              <w:t>-</w:t>
            </w:r>
          </w:p>
        </w:tc>
      </w:tr>
      <w:tr w:rsidR="006C0C5B" w:rsidRPr="004803FE" w14:paraId="58D9D0BB" w14:textId="77777777" w:rsidTr="006111E4">
        <w:tc>
          <w:tcPr>
            <w:tcW w:w="2638" w:type="pct"/>
            <w:tcBorders>
              <w:bottom w:val="nil"/>
            </w:tcBorders>
          </w:tcPr>
          <w:p w14:paraId="47A4C63D" w14:textId="77777777" w:rsidR="006C0C5B" w:rsidRPr="004803FE" w:rsidRDefault="006C0C5B" w:rsidP="001B305A">
            <w:pPr>
              <w:pStyle w:val="Tabletext"/>
              <w:spacing w:after="240"/>
              <w:rPr>
                <w:rFonts w:ascii="Times New Roman" w:hAnsi="Times New Roman"/>
              </w:rPr>
            </w:pPr>
            <w:r w:rsidRPr="004803FE">
              <w:rPr>
                <w:rFonts w:ascii="Times New Roman" w:hAnsi="Times New Roman"/>
              </w:rPr>
              <w:t>Total correct diagnoses</w:t>
            </w:r>
          </w:p>
        </w:tc>
        <w:tc>
          <w:tcPr>
            <w:tcW w:w="1181" w:type="pct"/>
            <w:tcBorders>
              <w:bottom w:val="nil"/>
            </w:tcBorders>
            <w:vAlign w:val="bottom"/>
          </w:tcPr>
          <w:p w14:paraId="1755EABA" w14:textId="77777777" w:rsidR="006C0C5B" w:rsidRPr="004803FE" w:rsidRDefault="006C0C5B" w:rsidP="001B305A">
            <w:pPr>
              <w:pStyle w:val="Tabletext"/>
              <w:spacing w:after="240"/>
              <w:jc w:val="center"/>
              <w:rPr>
                <w:rFonts w:ascii="Times New Roman" w:hAnsi="Times New Roman"/>
              </w:rPr>
            </w:pPr>
            <w:r w:rsidRPr="004803FE">
              <w:rPr>
                <w:rFonts w:ascii="Times New Roman" w:hAnsi="Times New Roman"/>
              </w:rPr>
              <w:t>–6.7%</w:t>
            </w:r>
          </w:p>
        </w:tc>
        <w:tc>
          <w:tcPr>
            <w:tcW w:w="1181" w:type="pct"/>
            <w:tcBorders>
              <w:bottom w:val="nil"/>
            </w:tcBorders>
            <w:vAlign w:val="bottom"/>
          </w:tcPr>
          <w:p w14:paraId="561AAFDF" w14:textId="77777777" w:rsidR="006C0C5B" w:rsidRPr="004803FE" w:rsidRDefault="006C0C5B" w:rsidP="001B305A">
            <w:pPr>
              <w:pStyle w:val="Tabletext"/>
              <w:spacing w:after="240"/>
              <w:jc w:val="center"/>
              <w:rPr>
                <w:rFonts w:ascii="Times New Roman" w:hAnsi="Times New Roman"/>
              </w:rPr>
            </w:pPr>
            <w:r w:rsidRPr="004803FE">
              <w:rPr>
                <w:rFonts w:ascii="Times New Roman" w:hAnsi="Times New Roman"/>
              </w:rPr>
              <w:t>–3.1%</w:t>
            </w:r>
          </w:p>
        </w:tc>
      </w:tr>
      <w:tr w:rsidR="006C0C5B" w:rsidRPr="004803FE" w14:paraId="3296519F" w14:textId="77777777" w:rsidTr="006111E4">
        <w:tc>
          <w:tcPr>
            <w:tcW w:w="2638" w:type="pct"/>
            <w:tcBorders>
              <w:top w:val="nil"/>
              <w:bottom w:val="nil"/>
            </w:tcBorders>
          </w:tcPr>
          <w:p w14:paraId="37298427" w14:textId="77777777" w:rsidR="006C0C5B" w:rsidRPr="004803FE" w:rsidRDefault="006C0C5B" w:rsidP="001B305A">
            <w:pPr>
              <w:pStyle w:val="Tabletext"/>
              <w:spacing w:after="240"/>
              <w:rPr>
                <w:rFonts w:ascii="Times New Roman" w:hAnsi="Times New Roman"/>
              </w:rPr>
            </w:pPr>
            <w:r w:rsidRPr="004803FE">
              <w:rPr>
                <w:rFonts w:ascii="Times New Roman" w:hAnsi="Times New Roman"/>
              </w:rPr>
              <w:t>Unnecessary revascularisations averted</w:t>
            </w:r>
          </w:p>
        </w:tc>
        <w:tc>
          <w:tcPr>
            <w:tcW w:w="1181" w:type="pct"/>
            <w:tcBorders>
              <w:top w:val="nil"/>
              <w:bottom w:val="nil"/>
            </w:tcBorders>
            <w:vAlign w:val="bottom"/>
          </w:tcPr>
          <w:p w14:paraId="4EBFAD6D" w14:textId="77777777" w:rsidR="006C0C5B" w:rsidRPr="004803FE" w:rsidRDefault="006C0C5B" w:rsidP="001B305A">
            <w:pPr>
              <w:pStyle w:val="Tabletext"/>
              <w:spacing w:after="240"/>
              <w:jc w:val="center"/>
              <w:rPr>
                <w:rFonts w:ascii="Times New Roman" w:hAnsi="Times New Roman"/>
                <w:i/>
              </w:rPr>
            </w:pPr>
            <w:r w:rsidRPr="004803FE">
              <w:rPr>
                <w:rFonts w:ascii="Times New Roman" w:hAnsi="Times New Roman"/>
              </w:rPr>
              <w:t>–14.5%</w:t>
            </w:r>
          </w:p>
        </w:tc>
        <w:tc>
          <w:tcPr>
            <w:tcW w:w="1181" w:type="pct"/>
            <w:tcBorders>
              <w:top w:val="nil"/>
              <w:bottom w:val="nil"/>
            </w:tcBorders>
            <w:vAlign w:val="bottom"/>
          </w:tcPr>
          <w:p w14:paraId="2A6CFF99" w14:textId="77777777" w:rsidR="006C0C5B" w:rsidRPr="004803FE" w:rsidRDefault="006C0C5B" w:rsidP="001B305A">
            <w:pPr>
              <w:pStyle w:val="Tabletext"/>
              <w:spacing w:after="240"/>
              <w:jc w:val="center"/>
              <w:rPr>
                <w:rFonts w:ascii="Times New Roman" w:hAnsi="Times New Roman"/>
                <w:i/>
              </w:rPr>
            </w:pPr>
            <w:r w:rsidRPr="004803FE">
              <w:rPr>
                <w:rFonts w:ascii="Times New Roman" w:hAnsi="Times New Roman"/>
              </w:rPr>
              <w:t>–7.5%</w:t>
            </w:r>
          </w:p>
        </w:tc>
      </w:tr>
      <w:tr w:rsidR="006C0C5B" w:rsidRPr="004803FE" w14:paraId="037C2DBC" w14:textId="77777777" w:rsidTr="006111E4">
        <w:tc>
          <w:tcPr>
            <w:tcW w:w="2638" w:type="pct"/>
            <w:tcBorders>
              <w:top w:val="nil"/>
              <w:bottom w:val="nil"/>
            </w:tcBorders>
          </w:tcPr>
          <w:p w14:paraId="4BC60DB6" w14:textId="77777777" w:rsidR="006C0C5B" w:rsidRPr="004803FE" w:rsidRDefault="006C0C5B" w:rsidP="001B305A">
            <w:pPr>
              <w:pStyle w:val="Tabletext"/>
              <w:spacing w:after="240"/>
              <w:rPr>
                <w:rFonts w:ascii="Times New Roman" w:hAnsi="Times New Roman"/>
              </w:rPr>
            </w:pPr>
            <w:r w:rsidRPr="004803FE">
              <w:rPr>
                <w:rFonts w:ascii="Times New Roman" w:hAnsi="Times New Roman"/>
              </w:rPr>
              <w:t>Revascularisations undertaken with correct diagnosis</w:t>
            </w:r>
          </w:p>
        </w:tc>
        <w:tc>
          <w:tcPr>
            <w:tcW w:w="1181" w:type="pct"/>
            <w:tcBorders>
              <w:top w:val="nil"/>
              <w:bottom w:val="nil"/>
            </w:tcBorders>
            <w:vAlign w:val="bottom"/>
          </w:tcPr>
          <w:p w14:paraId="0808EDDD" w14:textId="77777777" w:rsidR="006C0C5B" w:rsidRPr="004803FE" w:rsidRDefault="006C0C5B" w:rsidP="001B305A">
            <w:pPr>
              <w:pStyle w:val="Tabletext"/>
              <w:spacing w:after="240"/>
              <w:jc w:val="center"/>
              <w:rPr>
                <w:rFonts w:ascii="Times New Roman" w:hAnsi="Times New Roman"/>
              </w:rPr>
            </w:pPr>
            <w:r w:rsidRPr="004803FE">
              <w:rPr>
                <w:rFonts w:ascii="Times New Roman" w:hAnsi="Times New Roman"/>
              </w:rPr>
              <w:t>7.8%</w:t>
            </w:r>
          </w:p>
        </w:tc>
        <w:tc>
          <w:tcPr>
            <w:tcW w:w="1181" w:type="pct"/>
            <w:tcBorders>
              <w:top w:val="nil"/>
              <w:bottom w:val="nil"/>
            </w:tcBorders>
            <w:vAlign w:val="bottom"/>
          </w:tcPr>
          <w:p w14:paraId="5999FC98" w14:textId="77777777" w:rsidR="006C0C5B" w:rsidRPr="004803FE" w:rsidRDefault="006C0C5B" w:rsidP="001B305A">
            <w:pPr>
              <w:pStyle w:val="Tabletext"/>
              <w:spacing w:after="240"/>
              <w:jc w:val="center"/>
              <w:rPr>
                <w:rFonts w:ascii="Times New Roman" w:hAnsi="Times New Roman"/>
              </w:rPr>
            </w:pPr>
            <w:r w:rsidRPr="004803FE">
              <w:rPr>
                <w:rFonts w:ascii="Times New Roman" w:hAnsi="Times New Roman"/>
              </w:rPr>
              <w:t>4.4%</w:t>
            </w:r>
          </w:p>
        </w:tc>
      </w:tr>
      <w:tr w:rsidR="006C0C5B" w:rsidRPr="004803FE" w14:paraId="3BDDB344" w14:textId="77777777" w:rsidTr="006111E4">
        <w:tc>
          <w:tcPr>
            <w:tcW w:w="2638" w:type="pct"/>
          </w:tcPr>
          <w:p w14:paraId="4DF348F5" w14:textId="77777777" w:rsidR="006C0C5B" w:rsidRPr="004803FE" w:rsidRDefault="006C0C5B" w:rsidP="001B305A">
            <w:pPr>
              <w:pStyle w:val="Tabletext"/>
              <w:spacing w:after="240"/>
              <w:rPr>
                <w:rFonts w:ascii="Times New Roman" w:hAnsi="Times New Roman"/>
                <w:b/>
              </w:rPr>
            </w:pPr>
            <w:r w:rsidRPr="004803FE">
              <w:rPr>
                <w:rFonts w:ascii="Times New Roman" w:hAnsi="Times New Roman"/>
                <w:b/>
              </w:rPr>
              <w:t>Incremental cost per correct diagnosis</w:t>
            </w:r>
          </w:p>
        </w:tc>
        <w:tc>
          <w:tcPr>
            <w:tcW w:w="1181" w:type="pct"/>
          </w:tcPr>
          <w:p w14:paraId="0942B9AC" w14:textId="77777777" w:rsidR="006C0C5B" w:rsidRPr="004803FE" w:rsidRDefault="006C0C5B" w:rsidP="001B305A">
            <w:pPr>
              <w:pStyle w:val="Tabletext"/>
              <w:spacing w:after="240"/>
              <w:ind w:right="65"/>
              <w:jc w:val="right"/>
              <w:rPr>
                <w:rFonts w:ascii="Times New Roman" w:hAnsi="Times New Roman"/>
                <w:b/>
              </w:rPr>
            </w:pPr>
            <w:r w:rsidRPr="004803FE">
              <w:rPr>
                <w:rFonts w:ascii="Times New Roman" w:hAnsi="Times New Roman"/>
                <w:b/>
              </w:rPr>
              <w:t>Dominated</w:t>
            </w:r>
          </w:p>
        </w:tc>
        <w:tc>
          <w:tcPr>
            <w:tcW w:w="1181" w:type="pct"/>
          </w:tcPr>
          <w:p w14:paraId="5FD9A6B7" w14:textId="77777777" w:rsidR="006C0C5B" w:rsidRPr="004803FE" w:rsidRDefault="006C0C5B" w:rsidP="001B305A">
            <w:pPr>
              <w:pStyle w:val="Tabletext"/>
              <w:spacing w:after="240"/>
              <w:ind w:right="96"/>
              <w:jc w:val="right"/>
              <w:rPr>
                <w:rFonts w:ascii="Times New Roman" w:hAnsi="Times New Roman"/>
                <w:b/>
              </w:rPr>
            </w:pPr>
            <w:r w:rsidRPr="004803FE">
              <w:rPr>
                <w:rFonts w:ascii="Times New Roman" w:hAnsi="Times New Roman"/>
                <w:b/>
              </w:rPr>
              <w:t>Dominated</w:t>
            </w:r>
          </w:p>
        </w:tc>
      </w:tr>
      <w:tr w:rsidR="006C0C5B" w:rsidRPr="004803FE" w14:paraId="3BA2D70A" w14:textId="77777777" w:rsidTr="006111E4">
        <w:tc>
          <w:tcPr>
            <w:tcW w:w="2638" w:type="pct"/>
          </w:tcPr>
          <w:p w14:paraId="43330A0D" w14:textId="77777777" w:rsidR="006C0C5B" w:rsidRPr="004803FE" w:rsidRDefault="006C0C5B" w:rsidP="001B305A">
            <w:pPr>
              <w:pStyle w:val="Tabletext"/>
              <w:spacing w:after="240"/>
              <w:rPr>
                <w:rFonts w:ascii="Times New Roman" w:hAnsi="Times New Roman"/>
                <w:b/>
              </w:rPr>
            </w:pPr>
            <w:r w:rsidRPr="004803FE">
              <w:rPr>
                <w:rFonts w:ascii="Times New Roman" w:hAnsi="Times New Roman"/>
                <w:b/>
              </w:rPr>
              <w:t>Incremental cost per unnecessary revascularisations averted</w:t>
            </w:r>
          </w:p>
        </w:tc>
        <w:tc>
          <w:tcPr>
            <w:tcW w:w="1181" w:type="pct"/>
          </w:tcPr>
          <w:p w14:paraId="1815601A" w14:textId="77777777" w:rsidR="006C0C5B" w:rsidRPr="004803FE" w:rsidRDefault="006C0C5B" w:rsidP="001B305A">
            <w:pPr>
              <w:pStyle w:val="Tabletext"/>
              <w:spacing w:after="240"/>
              <w:ind w:right="65"/>
              <w:jc w:val="right"/>
              <w:rPr>
                <w:rFonts w:ascii="Times New Roman" w:hAnsi="Times New Roman"/>
                <w:b/>
              </w:rPr>
            </w:pPr>
            <w:r w:rsidRPr="004803FE">
              <w:rPr>
                <w:rFonts w:ascii="Times New Roman" w:hAnsi="Times New Roman"/>
                <w:b/>
              </w:rPr>
              <w:t>Dominated</w:t>
            </w:r>
          </w:p>
        </w:tc>
        <w:tc>
          <w:tcPr>
            <w:tcW w:w="1181" w:type="pct"/>
          </w:tcPr>
          <w:p w14:paraId="071494F3" w14:textId="77777777" w:rsidR="006C0C5B" w:rsidRPr="004803FE" w:rsidRDefault="006C0C5B" w:rsidP="001B305A">
            <w:pPr>
              <w:pStyle w:val="Tabletext"/>
              <w:spacing w:after="240"/>
              <w:ind w:right="96"/>
              <w:jc w:val="right"/>
              <w:rPr>
                <w:rFonts w:ascii="Times New Roman" w:hAnsi="Times New Roman"/>
                <w:b/>
              </w:rPr>
            </w:pPr>
            <w:r w:rsidRPr="004803FE">
              <w:rPr>
                <w:rFonts w:ascii="Times New Roman" w:hAnsi="Times New Roman"/>
                <w:b/>
              </w:rPr>
              <w:t>Dominated</w:t>
            </w:r>
          </w:p>
        </w:tc>
      </w:tr>
      <w:tr w:rsidR="006C0C5B" w:rsidRPr="004803FE" w14:paraId="55F0B63D" w14:textId="77777777" w:rsidTr="006111E4">
        <w:tc>
          <w:tcPr>
            <w:tcW w:w="2638" w:type="pct"/>
          </w:tcPr>
          <w:p w14:paraId="71206D47" w14:textId="77777777" w:rsidR="006C0C5B" w:rsidRPr="004803FE" w:rsidRDefault="006C0C5B" w:rsidP="001B305A">
            <w:pPr>
              <w:pStyle w:val="Tabletext"/>
              <w:spacing w:after="240"/>
              <w:rPr>
                <w:rFonts w:ascii="Times New Roman" w:hAnsi="Times New Roman"/>
                <w:b/>
              </w:rPr>
            </w:pPr>
            <w:r w:rsidRPr="004803FE">
              <w:rPr>
                <w:rFonts w:ascii="Times New Roman" w:hAnsi="Times New Roman"/>
                <w:b/>
              </w:rPr>
              <w:t>Incremental cost per revascularisations undertaken with correct diagnosis</w:t>
            </w:r>
          </w:p>
        </w:tc>
        <w:tc>
          <w:tcPr>
            <w:tcW w:w="1181" w:type="pct"/>
          </w:tcPr>
          <w:p w14:paraId="040D240C" w14:textId="77777777" w:rsidR="006C0C5B" w:rsidRPr="004803FE" w:rsidRDefault="006C0C5B" w:rsidP="001B305A">
            <w:pPr>
              <w:pStyle w:val="Tabletext"/>
              <w:spacing w:after="240"/>
              <w:ind w:right="65"/>
              <w:jc w:val="right"/>
              <w:rPr>
                <w:rFonts w:ascii="Times New Roman" w:hAnsi="Times New Roman"/>
                <w:b/>
              </w:rPr>
            </w:pPr>
            <w:r w:rsidRPr="004803FE">
              <w:rPr>
                <w:rFonts w:ascii="Times New Roman" w:hAnsi="Times New Roman"/>
                <w:b/>
              </w:rPr>
              <w:t>$136,002</w:t>
            </w:r>
          </w:p>
        </w:tc>
        <w:tc>
          <w:tcPr>
            <w:tcW w:w="1181" w:type="pct"/>
          </w:tcPr>
          <w:p w14:paraId="072C9F87" w14:textId="77777777" w:rsidR="006C0C5B" w:rsidRPr="004803FE" w:rsidRDefault="006C0C5B" w:rsidP="001B305A">
            <w:pPr>
              <w:pStyle w:val="Tabletext"/>
              <w:spacing w:after="240"/>
              <w:ind w:right="96"/>
              <w:jc w:val="right"/>
              <w:rPr>
                <w:rFonts w:ascii="Times New Roman" w:hAnsi="Times New Roman"/>
                <w:b/>
              </w:rPr>
            </w:pPr>
            <w:r w:rsidRPr="004803FE">
              <w:rPr>
                <w:rFonts w:ascii="Times New Roman" w:hAnsi="Times New Roman"/>
                <w:b/>
              </w:rPr>
              <w:t>$129,301</w:t>
            </w:r>
          </w:p>
        </w:tc>
      </w:tr>
    </w:tbl>
    <w:p w14:paraId="270FA97C" w14:textId="3BDE5C06" w:rsidR="006165E0" w:rsidRPr="001B305A" w:rsidRDefault="006165E0" w:rsidP="001B305A">
      <w:pPr>
        <w:spacing w:after="240"/>
        <w:rPr>
          <w:sz w:val="16"/>
          <w:szCs w:val="16"/>
        </w:rPr>
      </w:pPr>
      <w:r w:rsidRPr="006165E0">
        <w:rPr>
          <w:sz w:val="16"/>
          <w:szCs w:val="16"/>
        </w:rPr>
        <w:t xml:space="preserve">AE = adverse event; </w:t>
      </w:r>
      <w:proofErr w:type="spellStart"/>
      <w:r w:rsidRPr="006165E0">
        <w:rPr>
          <w:sz w:val="16"/>
          <w:szCs w:val="16"/>
        </w:rPr>
        <w:t>DbE</w:t>
      </w:r>
      <w:proofErr w:type="spellEnd"/>
      <w:r w:rsidRPr="006165E0">
        <w:rPr>
          <w:sz w:val="16"/>
          <w:szCs w:val="16"/>
        </w:rPr>
        <w:t xml:space="preserve"> = low-dose </w:t>
      </w:r>
      <w:proofErr w:type="spellStart"/>
      <w:r w:rsidRPr="006165E0">
        <w:rPr>
          <w:sz w:val="16"/>
          <w:szCs w:val="16"/>
        </w:rPr>
        <w:t>dobutamine</w:t>
      </w:r>
      <w:proofErr w:type="spellEnd"/>
      <w:r w:rsidRPr="006165E0">
        <w:rPr>
          <w:sz w:val="16"/>
          <w:szCs w:val="16"/>
        </w:rPr>
        <w:t xml:space="preserve"> echocardiography; OMT = optimal medical therapy; SPECT = single-photon emission computed tomography</w:t>
      </w:r>
    </w:p>
    <w:p w14:paraId="2DF6BF87" w14:textId="03FAAC43" w:rsidR="006C0C5B" w:rsidRPr="001B305A" w:rsidRDefault="006C0C5B" w:rsidP="001B305A">
      <w:pPr>
        <w:spacing w:after="240"/>
      </w:pPr>
      <w:r w:rsidRPr="004803FE">
        <w:t>Sensitivity analyses were performed varying the important parameters, and the modelled results were identified to be most sensitive to changes in the accuracy inputs of LGE-CMR.</w:t>
      </w:r>
    </w:p>
    <w:p w14:paraId="20CA77B5" w14:textId="2C8EF932" w:rsidR="00BC1364" w:rsidRPr="00DD60FB" w:rsidRDefault="00BC1364" w:rsidP="00DD60FB">
      <w:pPr>
        <w:pStyle w:val="Heading1"/>
      </w:pPr>
      <w:r w:rsidRPr="00DD60FB">
        <w:t>Financial/budgetary impacts</w:t>
      </w:r>
    </w:p>
    <w:p w14:paraId="125F2A68" w14:textId="77777777" w:rsidR="00B35529" w:rsidRPr="00DD60FB" w:rsidRDefault="00B35529" w:rsidP="001B305A">
      <w:pPr>
        <w:pStyle w:val="Default"/>
        <w:spacing w:after="240"/>
        <w:rPr>
          <w:rStyle w:val="SubtleEmphasis"/>
        </w:rPr>
      </w:pPr>
      <w:r w:rsidRPr="00DD60FB">
        <w:rPr>
          <w:rStyle w:val="SubtleEmphasis"/>
        </w:rPr>
        <w:t>Population One</w:t>
      </w:r>
    </w:p>
    <w:p w14:paraId="2C68CF17" w14:textId="42AF498D" w:rsidR="00205E85" w:rsidRPr="004803FE" w:rsidRDefault="00205E85" w:rsidP="001B305A">
      <w:pPr>
        <w:spacing w:after="240"/>
      </w:pPr>
      <w:r w:rsidRPr="004803FE">
        <w:lastRenderedPageBreak/>
        <w:t xml:space="preserve">A market-based approach </w:t>
      </w:r>
      <w:r>
        <w:t xml:space="preserve">was </w:t>
      </w:r>
      <w:r w:rsidRPr="004803FE">
        <w:t xml:space="preserve">used to estimate the financial implications of the introduction of </w:t>
      </w:r>
      <w:r w:rsidR="001A58B9">
        <w:t>CMR</w:t>
      </w:r>
      <w:r w:rsidRPr="004803FE">
        <w:t xml:space="preserve"> for the diagnosis of CAD. </w:t>
      </w:r>
      <w:r>
        <w:t xml:space="preserve"> </w:t>
      </w:r>
      <w:r w:rsidRPr="004803FE">
        <w:t xml:space="preserve">However, as MBS items for the comparator tests are not specific to the population that is proposed to be eligible for </w:t>
      </w:r>
      <w:r w:rsidR="001A58B9">
        <w:t>CMR</w:t>
      </w:r>
      <w:r w:rsidRPr="004803FE">
        <w:t>, the estimated number of tests has been back-calculated based on the number of ICAs performed in the population who have an intermediate PTP of CAD.</w:t>
      </w:r>
    </w:p>
    <w:p w14:paraId="59C08760" w14:textId="1C223E38" w:rsidR="00442F59" w:rsidRDefault="006B4333" w:rsidP="001B305A">
      <w:pPr>
        <w:spacing w:after="240"/>
      </w:pPr>
      <w:r>
        <w:t>Key assumptions:</w:t>
      </w:r>
    </w:p>
    <w:p w14:paraId="07C4FC9D" w14:textId="5F15934B" w:rsidR="00205E85" w:rsidRPr="004803FE" w:rsidRDefault="00205E85" w:rsidP="001B305A">
      <w:pPr>
        <w:numPr>
          <w:ilvl w:val="0"/>
          <w:numId w:val="28"/>
        </w:numPr>
        <w:spacing w:after="240"/>
        <w:ind w:left="567" w:hanging="283"/>
      </w:pPr>
      <w:r w:rsidRPr="004803FE">
        <w:t xml:space="preserve">That uptake of </w:t>
      </w:r>
      <w:r w:rsidR="001A58B9">
        <w:t>CMR</w:t>
      </w:r>
      <w:r w:rsidRPr="004803FE">
        <w:t xml:space="preserve"> for the diagnosis of CAD is low (approximately 10%), because of limited access and low patient acceptability of MRI scanners, due to the high demand in other specialties and indications and the time required to undertake each </w:t>
      </w:r>
      <w:r w:rsidR="001A58B9">
        <w:t>CMR</w:t>
      </w:r>
      <w:r w:rsidRPr="004803FE">
        <w:t>; and</w:t>
      </w:r>
    </w:p>
    <w:p w14:paraId="61CC9615" w14:textId="101FDC94" w:rsidR="00205E85" w:rsidRDefault="00205E85" w:rsidP="001B305A">
      <w:pPr>
        <w:numPr>
          <w:ilvl w:val="0"/>
          <w:numId w:val="28"/>
        </w:numPr>
        <w:spacing w:after="240"/>
        <w:ind w:left="567" w:hanging="283"/>
      </w:pPr>
      <w:r w:rsidRPr="004803FE">
        <w:t xml:space="preserve">That cost offsets for current testing assume that the relative use of the tests across all indications applies to the tests offset by the introduction of </w:t>
      </w:r>
      <w:r w:rsidR="001A58B9">
        <w:t>CMR</w:t>
      </w:r>
      <w:r w:rsidRPr="004803FE">
        <w:t>.</w:t>
      </w:r>
    </w:p>
    <w:p w14:paraId="00A68856" w14:textId="77777777" w:rsidR="00205E85" w:rsidRPr="004803FE" w:rsidRDefault="00205E85" w:rsidP="001B305A">
      <w:pPr>
        <w:spacing w:after="240"/>
      </w:pPr>
      <w:r w:rsidRPr="004803FE">
        <w:t xml:space="preserve">The financial implications to the MBS resulting from the proposed listing of </w:t>
      </w:r>
      <w:r w:rsidR="001A58B9">
        <w:t>CMR</w:t>
      </w:r>
      <w:r w:rsidRPr="004803FE">
        <w:t xml:space="preserve"> for the diagnosis of CAD are summarised in</w:t>
      </w:r>
      <w:r w:rsidR="00B35529">
        <w:t xml:space="preserve"> Table 6</w:t>
      </w:r>
      <w:r w:rsidRPr="004803FE">
        <w:t>.</w:t>
      </w:r>
    </w:p>
    <w:p w14:paraId="0FC90384" w14:textId="77777777" w:rsidR="00205E85" w:rsidRDefault="00205E85" w:rsidP="001B305A">
      <w:pPr>
        <w:pStyle w:val="TableHeading"/>
        <w:spacing w:before="0" w:after="240"/>
        <w:ind w:left="0" w:firstLine="0"/>
        <w:rPr>
          <w:rFonts w:ascii="Times New Roman" w:hAnsi="Times New Roman" w:cs="Times New Roman"/>
        </w:rPr>
      </w:pPr>
      <w:bookmarkStart w:id="12" w:name="_Ref437009569"/>
      <w:bookmarkStart w:id="13" w:name="_Toc439954435"/>
    </w:p>
    <w:p w14:paraId="2D98A23E" w14:textId="77777777" w:rsidR="00205E85" w:rsidRPr="001B305A" w:rsidRDefault="00205E85" w:rsidP="001B305A">
      <w:pPr>
        <w:pStyle w:val="TableHeading"/>
        <w:spacing w:before="0" w:after="0"/>
        <w:rPr>
          <w:rFonts w:cs="Times New Roman"/>
        </w:rPr>
      </w:pPr>
      <w:r w:rsidRPr="001B305A">
        <w:rPr>
          <w:rFonts w:cs="Times New Roman"/>
        </w:rPr>
        <w:t xml:space="preserve">Table </w:t>
      </w:r>
      <w:bookmarkEnd w:id="12"/>
      <w:r w:rsidR="00B35529" w:rsidRPr="001B305A">
        <w:rPr>
          <w:rFonts w:cs="Times New Roman"/>
        </w:rPr>
        <w:t>6</w:t>
      </w:r>
      <w:r w:rsidRPr="001B305A">
        <w:rPr>
          <w:rFonts w:cs="Times New Roman"/>
        </w:rPr>
        <w:tab/>
        <w:t>Total costs to the MBS associated with CMR for diagnosis of CAD</w:t>
      </w:r>
      <w:bookmarkEnd w:id="13"/>
    </w:p>
    <w:tbl>
      <w:tblPr>
        <w:tblStyle w:val="TableGrid"/>
        <w:tblW w:w="4908" w:type="pct"/>
        <w:tblInd w:w="108" w:type="dxa"/>
        <w:tblLook w:val="04A0" w:firstRow="1" w:lastRow="0" w:firstColumn="1" w:lastColumn="0" w:noHBand="0" w:noVBand="1"/>
        <w:tblDescription w:val="Table ES.7 This table provides a summary of the financial impact of the proposed new medical service over the next five years to the MBS"/>
      </w:tblPr>
      <w:tblGrid>
        <w:gridCol w:w="2409"/>
        <w:gridCol w:w="1331"/>
        <w:gridCol w:w="1334"/>
        <w:gridCol w:w="1332"/>
        <w:gridCol w:w="1334"/>
        <w:gridCol w:w="1332"/>
      </w:tblGrid>
      <w:tr w:rsidR="00205E85" w:rsidRPr="004803FE" w14:paraId="2930753C" w14:textId="77777777" w:rsidTr="006111E4">
        <w:trPr>
          <w:trHeight w:val="300"/>
          <w:tblHeader/>
        </w:trPr>
        <w:tc>
          <w:tcPr>
            <w:tcW w:w="1328" w:type="pct"/>
            <w:tcBorders>
              <w:bottom w:val="single" w:sz="4" w:space="0" w:color="auto"/>
            </w:tcBorders>
          </w:tcPr>
          <w:p w14:paraId="5394E7D8" w14:textId="77777777" w:rsidR="00205E85" w:rsidRPr="004803FE" w:rsidRDefault="00205E85" w:rsidP="001B305A">
            <w:pPr>
              <w:keepNext/>
              <w:spacing w:after="240"/>
              <w:rPr>
                <w:rFonts w:ascii="Times New Roman" w:hAnsi="Times New Roman"/>
                <w:b/>
                <w:color w:val="FFFFFF" w:themeColor="background1"/>
                <w:sz w:val="20"/>
              </w:rPr>
            </w:pPr>
            <w:r w:rsidRPr="004803FE">
              <w:rPr>
                <w:rFonts w:ascii="Times New Roman" w:hAnsi="Times New Roman"/>
                <w:b/>
                <w:color w:val="FFFFFF" w:themeColor="background1"/>
                <w:sz w:val="20"/>
              </w:rPr>
              <w:t>-</w:t>
            </w:r>
          </w:p>
        </w:tc>
        <w:tc>
          <w:tcPr>
            <w:tcW w:w="734" w:type="pct"/>
            <w:tcBorders>
              <w:bottom w:val="single" w:sz="4" w:space="0" w:color="auto"/>
            </w:tcBorders>
          </w:tcPr>
          <w:p w14:paraId="128F3E53" w14:textId="77777777" w:rsidR="00205E85" w:rsidRPr="004803FE" w:rsidRDefault="00205E85" w:rsidP="001B305A">
            <w:pPr>
              <w:keepNext/>
              <w:spacing w:after="240"/>
              <w:jc w:val="center"/>
              <w:rPr>
                <w:rFonts w:ascii="Times New Roman" w:hAnsi="Times New Roman"/>
                <w:b/>
                <w:sz w:val="20"/>
              </w:rPr>
            </w:pPr>
            <w:r w:rsidRPr="004803FE">
              <w:rPr>
                <w:rFonts w:ascii="Times New Roman" w:hAnsi="Times New Roman"/>
                <w:b/>
                <w:sz w:val="20"/>
              </w:rPr>
              <w:t>2016–17</w:t>
            </w:r>
          </w:p>
        </w:tc>
        <w:tc>
          <w:tcPr>
            <w:tcW w:w="735" w:type="pct"/>
            <w:tcBorders>
              <w:bottom w:val="single" w:sz="4" w:space="0" w:color="auto"/>
            </w:tcBorders>
          </w:tcPr>
          <w:p w14:paraId="1C56A0B7" w14:textId="77777777" w:rsidR="00205E85" w:rsidRPr="004803FE" w:rsidRDefault="00205E85" w:rsidP="001B305A">
            <w:pPr>
              <w:keepNext/>
              <w:spacing w:after="240"/>
              <w:jc w:val="center"/>
              <w:rPr>
                <w:rFonts w:ascii="Times New Roman" w:hAnsi="Times New Roman"/>
                <w:b/>
                <w:sz w:val="20"/>
              </w:rPr>
            </w:pPr>
            <w:r w:rsidRPr="004803FE">
              <w:rPr>
                <w:rFonts w:ascii="Times New Roman" w:hAnsi="Times New Roman"/>
                <w:b/>
                <w:sz w:val="20"/>
              </w:rPr>
              <w:t>2017–18</w:t>
            </w:r>
          </w:p>
        </w:tc>
        <w:tc>
          <w:tcPr>
            <w:tcW w:w="734" w:type="pct"/>
            <w:tcBorders>
              <w:bottom w:val="single" w:sz="4" w:space="0" w:color="auto"/>
            </w:tcBorders>
          </w:tcPr>
          <w:p w14:paraId="4260468D" w14:textId="77777777" w:rsidR="00205E85" w:rsidRPr="004803FE" w:rsidRDefault="00205E85" w:rsidP="001B305A">
            <w:pPr>
              <w:keepNext/>
              <w:spacing w:after="240"/>
              <w:jc w:val="center"/>
              <w:rPr>
                <w:rFonts w:ascii="Times New Roman" w:hAnsi="Times New Roman"/>
                <w:b/>
                <w:sz w:val="20"/>
              </w:rPr>
            </w:pPr>
            <w:r w:rsidRPr="004803FE">
              <w:rPr>
                <w:rFonts w:ascii="Times New Roman" w:hAnsi="Times New Roman"/>
                <w:b/>
                <w:sz w:val="20"/>
              </w:rPr>
              <w:t>2018–19</w:t>
            </w:r>
          </w:p>
        </w:tc>
        <w:tc>
          <w:tcPr>
            <w:tcW w:w="735" w:type="pct"/>
            <w:tcBorders>
              <w:bottom w:val="single" w:sz="4" w:space="0" w:color="auto"/>
            </w:tcBorders>
          </w:tcPr>
          <w:p w14:paraId="027F604D" w14:textId="77777777" w:rsidR="00205E85" w:rsidRPr="004803FE" w:rsidRDefault="00205E85" w:rsidP="001B305A">
            <w:pPr>
              <w:keepNext/>
              <w:spacing w:after="240"/>
              <w:jc w:val="center"/>
              <w:rPr>
                <w:rFonts w:ascii="Times New Roman" w:hAnsi="Times New Roman"/>
                <w:b/>
                <w:sz w:val="20"/>
              </w:rPr>
            </w:pPr>
            <w:r w:rsidRPr="004803FE">
              <w:rPr>
                <w:rFonts w:ascii="Times New Roman" w:hAnsi="Times New Roman"/>
                <w:b/>
                <w:sz w:val="20"/>
              </w:rPr>
              <w:t>2019–20</w:t>
            </w:r>
          </w:p>
        </w:tc>
        <w:tc>
          <w:tcPr>
            <w:tcW w:w="734" w:type="pct"/>
            <w:tcBorders>
              <w:bottom w:val="single" w:sz="4" w:space="0" w:color="auto"/>
            </w:tcBorders>
          </w:tcPr>
          <w:p w14:paraId="6B9E0B9D" w14:textId="77777777" w:rsidR="00205E85" w:rsidRPr="004803FE" w:rsidRDefault="00205E85" w:rsidP="001B305A">
            <w:pPr>
              <w:keepNext/>
              <w:spacing w:after="240"/>
              <w:jc w:val="center"/>
              <w:rPr>
                <w:rFonts w:ascii="Times New Roman" w:hAnsi="Times New Roman"/>
                <w:b/>
                <w:sz w:val="20"/>
              </w:rPr>
            </w:pPr>
            <w:r w:rsidRPr="004803FE">
              <w:rPr>
                <w:rFonts w:ascii="Times New Roman" w:hAnsi="Times New Roman"/>
                <w:b/>
                <w:sz w:val="20"/>
              </w:rPr>
              <w:t>2020–21</w:t>
            </w:r>
          </w:p>
        </w:tc>
      </w:tr>
      <w:tr w:rsidR="00205E85" w:rsidRPr="004803FE" w14:paraId="1DEBBD50" w14:textId="77777777" w:rsidTr="006111E4">
        <w:trPr>
          <w:trHeight w:val="300"/>
        </w:trPr>
        <w:tc>
          <w:tcPr>
            <w:tcW w:w="1328" w:type="pct"/>
            <w:tcBorders>
              <w:right w:val="nil"/>
            </w:tcBorders>
          </w:tcPr>
          <w:p w14:paraId="430E3844" w14:textId="77777777" w:rsidR="00205E85" w:rsidRPr="004803FE" w:rsidRDefault="00205E85" w:rsidP="001B305A">
            <w:pPr>
              <w:widowControl w:val="0"/>
              <w:tabs>
                <w:tab w:val="left" w:pos="851"/>
              </w:tabs>
              <w:spacing w:after="240"/>
              <w:rPr>
                <w:rFonts w:ascii="Times New Roman" w:hAnsi="Times New Roman"/>
                <w:b/>
                <w:sz w:val="20"/>
              </w:rPr>
            </w:pPr>
            <w:r w:rsidRPr="004803FE">
              <w:rPr>
                <w:rFonts w:ascii="Times New Roman" w:hAnsi="Times New Roman"/>
                <w:b/>
                <w:sz w:val="20"/>
              </w:rPr>
              <w:t>CMR</w:t>
            </w:r>
          </w:p>
        </w:tc>
        <w:tc>
          <w:tcPr>
            <w:tcW w:w="734" w:type="pct"/>
            <w:tcBorders>
              <w:left w:val="nil"/>
              <w:right w:val="nil"/>
            </w:tcBorders>
            <w:vAlign w:val="bottom"/>
          </w:tcPr>
          <w:p w14:paraId="13916EC2" w14:textId="77777777" w:rsidR="00205E85" w:rsidRPr="004803FE" w:rsidRDefault="00205E85" w:rsidP="001B305A">
            <w:pPr>
              <w:pStyle w:val="Tabletext"/>
              <w:spacing w:after="240"/>
              <w:jc w:val="center"/>
              <w:rPr>
                <w:rFonts w:ascii="Times New Roman" w:hAnsi="Times New Roman"/>
                <w:color w:val="FFFFFF" w:themeColor="background1"/>
              </w:rPr>
            </w:pPr>
            <w:r w:rsidRPr="004803FE">
              <w:rPr>
                <w:rFonts w:ascii="Times New Roman" w:hAnsi="Times New Roman"/>
                <w:color w:val="FFFFFF" w:themeColor="background1"/>
              </w:rPr>
              <w:t>-</w:t>
            </w:r>
          </w:p>
        </w:tc>
        <w:tc>
          <w:tcPr>
            <w:tcW w:w="735" w:type="pct"/>
            <w:tcBorders>
              <w:left w:val="nil"/>
              <w:right w:val="nil"/>
            </w:tcBorders>
            <w:vAlign w:val="bottom"/>
          </w:tcPr>
          <w:p w14:paraId="4D52CB16" w14:textId="77777777" w:rsidR="00205E85" w:rsidRPr="004803FE" w:rsidRDefault="00205E85" w:rsidP="001B305A">
            <w:pPr>
              <w:pStyle w:val="Tabletext"/>
              <w:spacing w:after="240"/>
              <w:jc w:val="center"/>
              <w:rPr>
                <w:rFonts w:ascii="Times New Roman" w:hAnsi="Times New Roman"/>
                <w:color w:val="FFFFFF" w:themeColor="background1"/>
              </w:rPr>
            </w:pPr>
            <w:r w:rsidRPr="004803FE">
              <w:rPr>
                <w:rFonts w:ascii="Times New Roman" w:hAnsi="Times New Roman"/>
                <w:color w:val="FFFFFF" w:themeColor="background1"/>
              </w:rPr>
              <w:t>-</w:t>
            </w:r>
          </w:p>
        </w:tc>
        <w:tc>
          <w:tcPr>
            <w:tcW w:w="734" w:type="pct"/>
            <w:tcBorders>
              <w:left w:val="nil"/>
              <w:right w:val="nil"/>
            </w:tcBorders>
            <w:vAlign w:val="bottom"/>
          </w:tcPr>
          <w:p w14:paraId="7C45F72F" w14:textId="77777777" w:rsidR="00205E85" w:rsidRPr="004803FE" w:rsidRDefault="00205E85" w:rsidP="001B305A">
            <w:pPr>
              <w:pStyle w:val="Tabletext"/>
              <w:spacing w:after="240"/>
              <w:jc w:val="center"/>
              <w:rPr>
                <w:rFonts w:ascii="Times New Roman" w:hAnsi="Times New Roman"/>
                <w:color w:val="FFFFFF" w:themeColor="background1"/>
              </w:rPr>
            </w:pPr>
            <w:r w:rsidRPr="004803FE">
              <w:rPr>
                <w:rFonts w:ascii="Times New Roman" w:hAnsi="Times New Roman"/>
                <w:color w:val="FFFFFF" w:themeColor="background1"/>
              </w:rPr>
              <w:t>-</w:t>
            </w:r>
          </w:p>
        </w:tc>
        <w:tc>
          <w:tcPr>
            <w:tcW w:w="735" w:type="pct"/>
            <w:tcBorders>
              <w:left w:val="nil"/>
              <w:right w:val="nil"/>
            </w:tcBorders>
            <w:vAlign w:val="bottom"/>
          </w:tcPr>
          <w:p w14:paraId="2328D15E" w14:textId="77777777" w:rsidR="00205E85" w:rsidRPr="004803FE" w:rsidRDefault="00205E85" w:rsidP="001B305A">
            <w:pPr>
              <w:pStyle w:val="Tabletext"/>
              <w:spacing w:after="240"/>
              <w:jc w:val="center"/>
              <w:rPr>
                <w:rFonts w:ascii="Times New Roman" w:hAnsi="Times New Roman"/>
                <w:color w:val="FFFFFF" w:themeColor="background1"/>
              </w:rPr>
            </w:pPr>
            <w:r w:rsidRPr="004803FE">
              <w:rPr>
                <w:rFonts w:ascii="Times New Roman" w:hAnsi="Times New Roman"/>
                <w:color w:val="FFFFFF" w:themeColor="background1"/>
              </w:rPr>
              <w:t>-</w:t>
            </w:r>
          </w:p>
        </w:tc>
        <w:tc>
          <w:tcPr>
            <w:tcW w:w="734" w:type="pct"/>
            <w:tcBorders>
              <w:left w:val="nil"/>
            </w:tcBorders>
            <w:vAlign w:val="bottom"/>
          </w:tcPr>
          <w:p w14:paraId="6FF4D066" w14:textId="77777777" w:rsidR="00205E85" w:rsidRPr="004803FE" w:rsidRDefault="00205E85" w:rsidP="001B305A">
            <w:pPr>
              <w:pStyle w:val="Tabletext"/>
              <w:spacing w:after="240"/>
              <w:jc w:val="center"/>
              <w:rPr>
                <w:rFonts w:ascii="Times New Roman" w:hAnsi="Times New Roman"/>
                <w:color w:val="FFFFFF" w:themeColor="background1"/>
              </w:rPr>
            </w:pPr>
            <w:r w:rsidRPr="004803FE">
              <w:rPr>
                <w:rFonts w:ascii="Times New Roman" w:hAnsi="Times New Roman"/>
                <w:color w:val="FFFFFF" w:themeColor="background1"/>
              </w:rPr>
              <w:t>-</w:t>
            </w:r>
          </w:p>
        </w:tc>
      </w:tr>
      <w:tr w:rsidR="00205E85" w:rsidRPr="004803FE" w14:paraId="6EE8988C" w14:textId="77777777" w:rsidTr="006111E4">
        <w:trPr>
          <w:trHeight w:val="300"/>
        </w:trPr>
        <w:tc>
          <w:tcPr>
            <w:tcW w:w="1328" w:type="pct"/>
          </w:tcPr>
          <w:p w14:paraId="77CA5B09" w14:textId="77777777" w:rsidR="00205E85" w:rsidRPr="004803FE" w:rsidRDefault="00205E85" w:rsidP="001B305A">
            <w:pPr>
              <w:widowControl w:val="0"/>
              <w:tabs>
                <w:tab w:val="left" w:pos="851"/>
              </w:tabs>
              <w:spacing w:after="240"/>
              <w:rPr>
                <w:rFonts w:ascii="Times New Roman" w:hAnsi="Times New Roman"/>
                <w:b/>
                <w:sz w:val="20"/>
                <w:highlight w:val="cyan"/>
              </w:rPr>
            </w:pPr>
            <w:r w:rsidRPr="004803FE">
              <w:rPr>
                <w:rFonts w:ascii="Times New Roman" w:hAnsi="Times New Roman"/>
                <w:sz w:val="20"/>
              </w:rPr>
              <w:t>Number of services</w:t>
            </w:r>
          </w:p>
        </w:tc>
        <w:tc>
          <w:tcPr>
            <w:tcW w:w="734" w:type="pct"/>
            <w:vAlign w:val="bottom"/>
          </w:tcPr>
          <w:p w14:paraId="29135238" w14:textId="77777777" w:rsidR="00205E85" w:rsidRPr="004803FE" w:rsidRDefault="00205E85" w:rsidP="001B305A">
            <w:pPr>
              <w:pStyle w:val="Tabletext"/>
              <w:spacing w:after="240"/>
              <w:jc w:val="center"/>
              <w:rPr>
                <w:rFonts w:ascii="Times New Roman" w:hAnsi="Times New Roman"/>
              </w:rPr>
            </w:pPr>
            <w:r w:rsidRPr="004803FE">
              <w:rPr>
                <w:rFonts w:ascii="Times New Roman" w:hAnsi="Times New Roman"/>
              </w:rPr>
              <w:t>6,763</w:t>
            </w:r>
          </w:p>
        </w:tc>
        <w:tc>
          <w:tcPr>
            <w:tcW w:w="735" w:type="pct"/>
            <w:vAlign w:val="bottom"/>
          </w:tcPr>
          <w:p w14:paraId="65460230" w14:textId="77777777" w:rsidR="00205E85" w:rsidRPr="004803FE" w:rsidRDefault="00205E85" w:rsidP="001B305A">
            <w:pPr>
              <w:pStyle w:val="Tabletext"/>
              <w:spacing w:after="240"/>
              <w:jc w:val="center"/>
              <w:rPr>
                <w:rFonts w:ascii="Times New Roman" w:hAnsi="Times New Roman"/>
              </w:rPr>
            </w:pPr>
            <w:r w:rsidRPr="004803FE">
              <w:rPr>
                <w:rFonts w:ascii="Times New Roman" w:hAnsi="Times New Roman"/>
              </w:rPr>
              <w:t>6,843</w:t>
            </w:r>
          </w:p>
        </w:tc>
        <w:tc>
          <w:tcPr>
            <w:tcW w:w="734" w:type="pct"/>
            <w:vAlign w:val="bottom"/>
          </w:tcPr>
          <w:p w14:paraId="49CECF18" w14:textId="77777777" w:rsidR="00205E85" w:rsidRPr="004803FE" w:rsidRDefault="00205E85" w:rsidP="001B305A">
            <w:pPr>
              <w:pStyle w:val="Tabletext"/>
              <w:spacing w:after="240"/>
              <w:jc w:val="center"/>
              <w:rPr>
                <w:rFonts w:ascii="Times New Roman" w:hAnsi="Times New Roman"/>
              </w:rPr>
            </w:pPr>
            <w:r w:rsidRPr="004803FE">
              <w:rPr>
                <w:rFonts w:ascii="Times New Roman" w:hAnsi="Times New Roman"/>
              </w:rPr>
              <w:t>6,924</w:t>
            </w:r>
          </w:p>
        </w:tc>
        <w:tc>
          <w:tcPr>
            <w:tcW w:w="735" w:type="pct"/>
            <w:vAlign w:val="bottom"/>
          </w:tcPr>
          <w:p w14:paraId="1DEB9587" w14:textId="77777777" w:rsidR="00205E85" w:rsidRPr="004803FE" w:rsidRDefault="00205E85" w:rsidP="001B305A">
            <w:pPr>
              <w:pStyle w:val="Tabletext"/>
              <w:spacing w:after="240"/>
              <w:jc w:val="center"/>
              <w:rPr>
                <w:rFonts w:ascii="Times New Roman" w:hAnsi="Times New Roman"/>
              </w:rPr>
            </w:pPr>
            <w:r w:rsidRPr="004803FE">
              <w:rPr>
                <w:rFonts w:ascii="Times New Roman" w:hAnsi="Times New Roman"/>
              </w:rPr>
              <w:t>7,004</w:t>
            </w:r>
          </w:p>
        </w:tc>
        <w:tc>
          <w:tcPr>
            <w:tcW w:w="734" w:type="pct"/>
            <w:vAlign w:val="bottom"/>
          </w:tcPr>
          <w:p w14:paraId="71D40C4B" w14:textId="77777777" w:rsidR="00205E85" w:rsidRPr="004803FE" w:rsidRDefault="00205E85" w:rsidP="001B305A">
            <w:pPr>
              <w:pStyle w:val="Tabletext"/>
              <w:spacing w:after="240"/>
              <w:jc w:val="center"/>
              <w:rPr>
                <w:rFonts w:ascii="Times New Roman" w:hAnsi="Times New Roman"/>
              </w:rPr>
            </w:pPr>
            <w:r w:rsidRPr="004803FE">
              <w:rPr>
                <w:rFonts w:ascii="Times New Roman" w:hAnsi="Times New Roman"/>
              </w:rPr>
              <w:t>7,084</w:t>
            </w:r>
          </w:p>
        </w:tc>
      </w:tr>
      <w:tr w:rsidR="00205E85" w:rsidRPr="004803FE" w14:paraId="243F0032" w14:textId="77777777" w:rsidTr="006111E4">
        <w:trPr>
          <w:trHeight w:val="300"/>
        </w:trPr>
        <w:tc>
          <w:tcPr>
            <w:tcW w:w="1328" w:type="pct"/>
            <w:tcBorders>
              <w:bottom w:val="single" w:sz="4" w:space="0" w:color="auto"/>
            </w:tcBorders>
          </w:tcPr>
          <w:p w14:paraId="6C312413" w14:textId="77777777" w:rsidR="00205E85" w:rsidRPr="004803FE" w:rsidRDefault="00205E85" w:rsidP="001B305A">
            <w:pPr>
              <w:widowControl w:val="0"/>
              <w:tabs>
                <w:tab w:val="left" w:pos="851"/>
              </w:tabs>
              <w:spacing w:after="240"/>
              <w:rPr>
                <w:rFonts w:ascii="Times New Roman" w:hAnsi="Times New Roman"/>
                <w:b/>
                <w:sz w:val="20"/>
                <w:highlight w:val="cyan"/>
              </w:rPr>
            </w:pPr>
            <w:r w:rsidRPr="004803FE">
              <w:rPr>
                <w:rFonts w:ascii="Times New Roman" w:hAnsi="Times New Roman"/>
                <w:sz w:val="20"/>
              </w:rPr>
              <w:t>Cost to the MBS</w:t>
            </w:r>
          </w:p>
        </w:tc>
        <w:tc>
          <w:tcPr>
            <w:tcW w:w="734" w:type="pct"/>
            <w:tcBorders>
              <w:bottom w:val="single" w:sz="4" w:space="0" w:color="auto"/>
            </w:tcBorders>
            <w:vAlign w:val="bottom"/>
          </w:tcPr>
          <w:p w14:paraId="3441D86D" w14:textId="77777777" w:rsidR="00205E85" w:rsidRPr="004803FE" w:rsidRDefault="00205E85" w:rsidP="001B305A">
            <w:pPr>
              <w:pStyle w:val="Tabletext"/>
              <w:spacing w:after="240"/>
              <w:jc w:val="right"/>
              <w:rPr>
                <w:rFonts w:ascii="Times New Roman" w:hAnsi="Times New Roman"/>
              </w:rPr>
            </w:pPr>
            <w:r w:rsidRPr="004803FE">
              <w:rPr>
                <w:rFonts w:ascii="Times New Roman" w:hAnsi="Times New Roman"/>
              </w:rPr>
              <w:t>$5,173,817</w:t>
            </w:r>
          </w:p>
        </w:tc>
        <w:tc>
          <w:tcPr>
            <w:tcW w:w="735" w:type="pct"/>
            <w:tcBorders>
              <w:bottom w:val="single" w:sz="4" w:space="0" w:color="auto"/>
            </w:tcBorders>
            <w:vAlign w:val="bottom"/>
          </w:tcPr>
          <w:p w14:paraId="5D189A3F" w14:textId="77777777" w:rsidR="00205E85" w:rsidRPr="004803FE" w:rsidRDefault="00205E85" w:rsidP="001B305A">
            <w:pPr>
              <w:pStyle w:val="Tabletext"/>
              <w:spacing w:after="240"/>
              <w:jc w:val="right"/>
              <w:rPr>
                <w:rFonts w:ascii="Times New Roman" w:hAnsi="Times New Roman"/>
              </w:rPr>
            </w:pPr>
            <w:r w:rsidRPr="004803FE">
              <w:rPr>
                <w:rFonts w:ascii="Times New Roman" w:hAnsi="Times New Roman"/>
              </w:rPr>
              <w:t>$5,235,202</w:t>
            </w:r>
          </w:p>
        </w:tc>
        <w:tc>
          <w:tcPr>
            <w:tcW w:w="734" w:type="pct"/>
            <w:tcBorders>
              <w:bottom w:val="single" w:sz="4" w:space="0" w:color="auto"/>
            </w:tcBorders>
            <w:vAlign w:val="bottom"/>
          </w:tcPr>
          <w:p w14:paraId="13E25C20" w14:textId="77777777" w:rsidR="00205E85" w:rsidRPr="004803FE" w:rsidRDefault="00205E85" w:rsidP="001B305A">
            <w:pPr>
              <w:pStyle w:val="Tabletext"/>
              <w:spacing w:after="240"/>
              <w:jc w:val="right"/>
              <w:rPr>
                <w:rFonts w:ascii="Times New Roman" w:hAnsi="Times New Roman"/>
              </w:rPr>
            </w:pPr>
            <w:r w:rsidRPr="004803FE">
              <w:rPr>
                <w:rFonts w:ascii="Times New Roman" w:hAnsi="Times New Roman"/>
              </w:rPr>
              <w:t>$5,296,587</w:t>
            </w:r>
          </w:p>
        </w:tc>
        <w:tc>
          <w:tcPr>
            <w:tcW w:w="735" w:type="pct"/>
            <w:tcBorders>
              <w:bottom w:val="single" w:sz="4" w:space="0" w:color="auto"/>
            </w:tcBorders>
            <w:vAlign w:val="bottom"/>
          </w:tcPr>
          <w:p w14:paraId="6DF4E70D" w14:textId="77777777" w:rsidR="00205E85" w:rsidRPr="004803FE" w:rsidRDefault="00205E85" w:rsidP="001B305A">
            <w:pPr>
              <w:pStyle w:val="Tabletext"/>
              <w:spacing w:after="240"/>
              <w:jc w:val="right"/>
              <w:rPr>
                <w:rFonts w:ascii="Times New Roman" w:hAnsi="Times New Roman"/>
              </w:rPr>
            </w:pPr>
            <w:r w:rsidRPr="004803FE">
              <w:rPr>
                <w:rFonts w:ascii="Times New Roman" w:hAnsi="Times New Roman"/>
              </w:rPr>
              <w:t>$5,357,972</w:t>
            </w:r>
          </w:p>
        </w:tc>
        <w:tc>
          <w:tcPr>
            <w:tcW w:w="734" w:type="pct"/>
            <w:tcBorders>
              <w:bottom w:val="single" w:sz="4" w:space="0" w:color="auto"/>
            </w:tcBorders>
            <w:vAlign w:val="bottom"/>
          </w:tcPr>
          <w:p w14:paraId="6750DD19" w14:textId="77777777" w:rsidR="00205E85" w:rsidRPr="004803FE" w:rsidRDefault="00205E85" w:rsidP="001B305A">
            <w:pPr>
              <w:pStyle w:val="Tabletext"/>
              <w:spacing w:after="240"/>
              <w:jc w:val="right"/>
              <w:rPr>
                <w:rFonts w:ascii="Times New Roman" w:hAnsi="Times New Roman"/>
              </w:rPr>
            </w:pPr>
            <w:r w:rsidRPr="004803FE">
              <w:rPr>
                <w:rFonts w:ascii="Times New Roman" w:hAnsi="Times New Roman"/>
              </w:rPr>
              <w:t>$5,419,357</w:t>
            </w:r>
          </w:p>
        </w:tc>
      </w:tr>
      <w:tr w:rsidR="00205E85" w:rsidRPr="004803FE" w14:paraId="718D6EB2" w14:textId="77777777" w:rsidTr="006111E4">
        <w:trPr>
          <w:trHeight w:val="300"/>
        </w:trPr>
        <w:tc>
          <w:tcPr>
            <w:tcW w:w="1328" w:type="pct"/>
            <w:tcBorders>
              <w:right w:val="nil"/>
            </w:tcBorders>
          </w:tcPr>
          <w:p w14:paraId="1FF73829" w14:textId="77777777" w:rsidR="00205E85" w:rsidRPr="004803FE" w:rsidRDefault="00205E85" w:rsidP="001B305A">
            <w:pPr>
              <w:widowControl w:val="0"/>
              <w:tabs>
                <w:tab w:val="left" w:pos="851"/>
              </w:tabs>
              <w:spacing w:after="240"/>
              <w:rPr>
                <w:rFonts w:ascii="Times New Roman" w:hAnsi="Times New Roman"/>
                <w:b/>
                <w:sz w:val="20"/>
              </w:rPr>
            </w:pPr>
            <w:r w:rsidRPr="004803FE">
              <w:rPr>
                <w:rFonts w:ascii="Times New Roman" w:hAnsi="Times New Roman"/>
                <w:b/>
                <w:sz w:val="20"/>
              </w:rPr>
              <w:t>Tests offset</w:t>
            </w:r>
          </w:p>
        </w:tc>
        <w:tc>
          <w:tcPr>
            <w:tcW w:w="734" w:type="pct"/>
            <w:tcBorders>
              <w:left w:val="nil"/>
              <w:right w:val="nil"/>
            </w:tcBorders>
          </w:tcPr>
          <w:p w14:paraId="6A3246FF" w14:textId="77777777" w:rsidR="00205E85" w:rsidRPr="004803FE" w:rsidRDefault="00205E85" w:rsidP="001B305A">
            <w:pPr>
              <w:widowControl w:val="0"/>
              <w:spacing w:after="240"/>
              <w:jc w:val="right"/>
              <w:rPr>
                <w:rFonts w:ascii="Times New Roman" w:hAnsi="Times New Roman"/>
                <w:b/>
                <w:color w:val="FFFFFF" w:themeColor="background1"/>
                <w:sz w:val="20"/>
              </w:rPr>
            </w:pPr>
            <w:r w:rsidRPr="004803FE">
              <w:rPr>
                <w:rFonts w:ascii="Times New Roman" w:hAnsi="Times New Roman"/>
                <w:b/>
                <w:color w:val="FFFFFF" w:themeColor="background1"/>
                <w:sz w:val="20"/>
              </w:rPr>
              <w:t>-</w:t>
            </w:r>
          </w:p>
        </w:tc>
        <w:tc>
          <w:tcPr>
            <w:tcW w:w="735" w:type="pct"/>
            <w:tcBorders>
              <w:left w:val="nil"/>
              <w:right w:val="nil"/>
            </w:tcBorders>
          </w:tcPr>
          <w:p w14:paraId="25DA9721" w14:textId="77777777" w:rsidR="00205E85" w:rsidRPr="004803FE" w:rsidRDefault="00205E85" w:rsidP="001B305A">
            <w:pPr>
              <w:widowControl w:val="0"/>
              <w:spacing w:after="240"/>
              <w:jc w:val="right"/>
              <w:rPr>
                <w:rFonts w:ascii="Times New Roman" w:hAnsi="Times New Roman"/>
                <w:b/>
                <w:color w:val="FFFFFF" w:themeColor="background1"/>
                <w:sz w:val="20"/>
              </w:rPr>
            </w:pPr>
            <w:r w:rsidRPr="004803FE">
              <w:rPr>
                <w:rFonts w:ascii="Times New Roman" w:hAnsi="Times New Roman"/>
                <w:b/>
                <w:color w:val="FFFFFF" w:themeColor="background1"/>
                <w:sz w:val="20"/>
              </w:rPr>
              <w:t>-</w:t>
            </w:r>
          </w:p>
        </w:tc>
        <w:tc>
          <w:tcPr>
            <w:tcW w:w="734" w:type="pct"/>
            <w:tcBorders>
              <w:left w:val="nil"/>
              <w:right w:val="nil"/>
            </w:tcBorders>
          </w:tcPr>
          <w:p w14:paraId="4DE49572" w14:textId="77777777" w:rsidR="00205E85" w:rsidRPr="004803FE" w:rsidRDefault="00205E85" w:rsidP="001B305A">
            <w:pPr>
              <w:widowControl w:val="0"/>
              <w:spacing w:after="240"/>
              <w:jc w:val="right"/>
              <w:rPr>
                <w:rFonts w:ascii="Times New Roman" w:hAnsi="Times New Roman"/>
                <w:b/>
                <w:color w:val="FFFFFF" w:themeColor="background1"/>
                <w:sz w:val="20"/>
              </w:rPr>
            </w:pPr>
            <w:r w:rsidRPr="004803FE">
              <w:rPr>
                <w:rFonts w:ascii="Times New Roman" w:hAnsi="Times New Roman"/>
                <w:b/>
                <w:color w:val="FFFFFF" w:themeColor="background1"/>
                <w:sz w:val="20"/>
              </w:rPr>
              <w:t>-</w:t>
            </w:r>
          </w:p>
        </w:tc>
        <w:tc>
          <w:tcPr>
            <w:tcW w:w="735" w:type="pct"/>
            <w:tcBorders>
              <w:left w:val="nil"/>
              <w:right w:val="nil"/>
            </w:tcBorders>
          </w:tcPr>
          <w:p w14:paraId="554602B1" w14:textId="77777777" w:rsidR="00205E85" w:rsidRPr="004803FE" w:rsidRDefault="00205E85" w:rsidP="001B305A">
            <w:pPr>
              <w:widowControl w:val="0"/>
              <w:spacing w:after="240"/>
              <w:jc w:val="right"/>
              <w:rPr>
                <w:rFonts w:ascii="Times New Roman" w:hAnsi="Times New Roman"/>
                <w:b/>
                <w:color w:val="FFFFFF" w:themeColor="background1"/>
                <w:sz w:val="20"/>
              </w:rPr>
            </w:pPr>
            <w:r w:rsidRPr="004803FE">
              <w:rPr>
                <w:rFonts w:ascii="Times New Roman" w:hAnsi="Times New Roman"/>
                <w:b/>
                <w:color w:val="FFFFFF" w:themeColor="background1"/>
                <w:sz w:val="20"/>
              </w:rPr>
              <w:t>-</w:t>
            </w:r>
          </w:p>
        </w:tc>
        <w:tc>
          <w:tcPr>
            <w:tcW w:w="734" w:type="pct"/>
            <w:tcBorders>
              <w:left w:val="nil"/>
            </w:tcBorders>
          </w:tcPr>
          <w:p w14:paraId="79E216B1" w14:textId="77777777" w:rsidR="00205E85" w:rsidRPr="004803FE" w:rsidRDefault="00205E85" w:rsidP="001B305A">
            <w:pPr>
              <w:widowControl w:val="0"/>
              <w:spacing w:after="240"/>
              <w:jc w:val="right"/>
              <w:rPr>
                <w:rFonts w:ascii="Times New Roman" w:hAnsi="Times New Roman"/>
                <w:b/>
                <w:color w:val="FFFFFF" w:themeColor="background1"/>
                <w:sz w:val="20"/>
              </w:rPr>
            </w:pPr>
            <w:r w:rsidRPr="004803FE">
              <w:rPr>
                <w:rFonts w:ascii="Times New Roman" w:hAnsi="Times New Roman"/>
                <w:b/>
                <w:color w:val="FFFFFF" w:themeColor="background1"/>
                <w:sz w:val="20"/>
              </w:rPr>
              <w:t>-</w:t>
            </w:r>
          </w:p>
        </w:tc>
      </w:tr>
      <w:tr w:rsidR="00205E85" w:rsidRPr="004803FE" w14:paraId="3C1D2DC1" w14:textId="77777777" w:rsidTr="006111E4">
        <w:trPr>
          <w:trHeight w:val="300"/>
        </w:trPr>
        <w:tc>
          <w:tcPr>
            <w:tcW w:w="1328" w:type="pct"/>
          </w:tcPr>
          <w:p w14:paraId="59DCA02B" w14:textId="77777777" w:rsidR="00205E85" w:rsidRPr="004803FE" w:rsidRDefault="00205E85" w:rsidP="001B305A">
            <w:pPr>
              <w:widowControl w:val="0"/>
              <w:tabs>
                <w:tab w:val="left" w:pos="851"/>
              </w:tabs>
              <w:spacing w:after="240"/>
              <w:ind w:left="851" w:hanging="851"/>
              <w:rPr>
                <w:rFonts w:ascii="Times New Roman" w:hAnsi="Times New Roman"/>
                <w:sz w:val="20"/>
              </w:rPr>
            </w:pPr>
            <w:r w:rsidRPr="004803FE">
              <w:rPr>
                <w:rFonts w:ascii="Times New Roman" w:hAnsi="Times New Roman"/>
                <w:sz w:val="20"/>
              </w:rPr>
              <w:t>Number of services offset</w:t>
            </w:r>
          </w:p>
        </w:tc>
        <w:tc>
          <w:tcPr>
            <w:tcW w:w="734" w:type="pct"/>
            <w:vAlign w:val="bottom"/>
          </w:tcPr>
          <w:p w14:paraId="7FF9750C" w14:textId="77777777" w:rsidR="00205E85" w:rsidRPr="004803FE" w:rsidRDefault="00205E85" w:rsidP="001B305A">
            <w:pPr>
              <w:pStyle w:val="Tabletext"/>
              <w:spacing w:after="240"/>
              <w:jc w:val="center"/>
              <w:rPr>
                <w:rFonts w:ascii="Times New Roman" w:hAnsi="Times New Roman"/>
              </w:rPr>
            </w:pPr>
            <w:r w:rsidRPr="004803FE">
              <w:rPr>
                <w:rFonts w:ascii="Times New Roman" w:hAnsi="Times New Roman"/>
              </w:rPr>
              <w:t>6,763</w:t>
            </w:r>
          </w:p>
        </w:tc>
        <w:tc>
          <w:tcPr>
            <w:tcW w:w="735" w:type="pct"/>
            <w:vAlign w:val="bottom"/>
          </w:tcPr>
          <w:p w14:paraId="200C4EFD" w14:textId="77777777" w:rsidR="00205E85" w:rsidRPr="004803FE" w:rsidRDefault="00205E85" w:rsidP="001B305A">
            <w:pPr>
              <w:pStyle w:val="Tabletext"/>
              <w:spacing w:after="240"/>
              <w:jc w:val="center"/>
              <w:rPr>
                <w:rFonts w:ascii="Times New Roman" w:hAnsi="Times New Roman"/>
              </w:rPr>
            </w:pPr>
            <w:r w:rsidRPr="004803FE">
              <w:rPr>
                <w:rFonts w:ascii="Times New Roman" w:hAnsi="Times New Roman"/>
              </w:rPr>
              <w:t>6,843</w:t>
            </w:r>
          </w:p>
        </w:tc>
        <w:tc>
          <w:tcPr>
            <w:tcW w:w="734" w:type="pct"/>
            <w:vAlign w:val="bottom"/>
          </w:tcPr>
          <w:p w14:paraId="133EFCAE" w14:textId="77777777" w:rsidR="00205E85" w:rsidRPr="004803FE" w:rsidRDefault="00205E85" w:rsidP="001B305A">
            <w:pPr>
              <w:pStyle w:val="Tabletext"/>
              <w:spacing w:after="240"/>
              <w:jc w:val="center"/>
              <w:rPr>
                <w:rFonts w:ascii="Times New Roman" w:hAnsi="Times New Roman"/>
              </w:rPr>
            </w:pPr>
            <w:r w:rsidRPr="004803FE">
              <w:rPr>
                <w:rFonts w:ascii="Times New Roman" w:hAnsi="Times New Roman"/>
              </w:rPr>
              <w:t>6,924</w:t>
            </w:r>
          </w:p>
        </w:tc>
        <w:tc>
          <w:tcPr>
            <w:tcW w:w="735" w:type="pct"/>
            <w:vAlign w:val="bottom"/>
          </w:tcPr>
          <w:p w14:paraId="72705E99" w14:textId="77777777" w:rsidR="00205E85" w:rsidRPr="004803FE" w:rsidRDefault="00205E85" w:rsidP="001B305A">
            <w:pPr>
              <w:pStyle w:val="Tabletext"/>
              <w:spacing w:after="240"/>
              <w:jc w:val="center"/>
              <w:rPr>
                <w:rFonts w:ascii="Times New Roman" w:hAnsi="Times New Roman"/>
              </w:rPr>
            </w:pPr>
            <w:r w:rsidRPr="004803FE">
              <w:rPr>
                <w:rFonts w:ascii="Times New Roman" w:hAnsi="Times New Roman"/>
              </w:rPr>
              <w:t>7,004</w:t>
            </w:r>
          </w:p>
        </w:tc>
        <w:tc>
          <w:tcPr>
            <w:tcW w:w="734" w:type="pct"/>
            <w:vAlign w:val="bottom"/>
          </w:tcPr>
          <w:p w14:paraId="5BEA070C" w14:textId="77777777" w:rsidR="00205E85" w:rsidRPr="004803FE" w:rsidRDefault="00205E85" w:rsidP="001B305A">
            <w:pPr>
              <w:pStyle w:val="Tabletext"/>
              <w:spacing w:after="240"/>
              <w:jc w:val="center"/>
              <w:rPr>
                <w:rFonts w:ascii="Times New Roman" w:hAnsi="Times New Roman"/>
              </w:rPr>
            </w:pPr>
            <w:r w:rsidRPr="004803FE">
              <w:rPr>
                <w:rFonts w:ascii="Times New Roman" w:hAnsi="Times New Roman"/>
              </w:rPr>
              <w:t>7,084</w:t>
            </w:r>
          </w:p>
        </w:tc>
      </w:tr>
      <w:tr w:rsidR="00205E85" w:rsidRPr="004803FE" w14:paraId="18CB8189" w14:textId="77777777" w:rsidTr="006111E4">
        <w:trPr>
          <w:trHeight w:val="315"/>
        </w:trPr>
        <w:tc>
          <w:tcPr>
            <w:tcW w:w="1328" w:type="pct"/>
          </w:tcPr>
          <w:p w14:paraId="46710926" w14:textId="77777777" w:rsidR="00205E85" w:rsidRPr="004803FE" w:rsidRDefault="00205E85" w:rsidP="001B305A">
            <w:pPr>
              <w:widowControl w:val="0"/>
              <w:spacing w:after="240"/>
              <w:rPr>
                <w:rFonts w:ascii="Times New Roman" w:hAnsi="Times New Roman"/>
                <w:sz w:val="20"/>
              </w:rPr>
            </w:pPr>
            <w:r w:rsidRPr="004803FE">
              <w:rPr>
                <w:rFonts w:ascii="Times New Roman" w:hAnsi="Times New Roman"/>
                <w:sz w:val="20"/>
              </w:rPr>
              <w:t>Costs offset</w:t>
            </w:r>
          </w:p>
        </w:tc>
        <w:tc>
          <w:tcPr>
            <w:tcW w:w="734" w:type="pct"/>
            <w:vAlign w:val="bottom"/>
          </w:tcPr>
          <w:p w14:paraId="7978CDF1" w14:textId="77777777" w:rsidR="00205E85" w:rsidRPr="004803FE" w:rsidRDefault="00205E85" w:rsidP="001B305A">
            <w:pPr>
              <w:pStyle w:val="Tabletext"/>
              <w:spacing w:after="240"/>
              <w:jc w:val="right"/>
              <w:rPr>
                <w:rFonts w:ascii="Times New Roman" w:hAnsi="Times New Roman"/>
                <w:bCs/>
              </w:rPr>
            </w:pPr>
            <w:r w:rsidRPr="004803FE">
              <w:rPr>
                <w:rFonts w:ascii="Times New Roman" w:hAnsi="Times New Roman"/>
                <w:bCs/>
              </w:rPr>
              <w:t>$2,352,761</w:t>
            </w:r>
          </w:p>
        </w:tc>
        <w:tc>
          <w:tcPr>
            <w:tcW w:w="735" w:type="pct"/>
            <w:vAlign w:val="bottom"/>
          </w:tcPr>
          <w:p w14:paraId="2A81A045" w14:textId="77777777" w:rsidR="00205E85" w:rsidRPr="004803FE" w:rsidRDefault="00205E85" w:rsidP="001B305A">
            <w:pPr>
              <w:pStyle w:val="Tabletext"/>
              <w:spacing w:after="240"/>
              <w:jc w:val="right"/>
              <w:rPr>
                <w:rFonts w:ascii="Times New Roman" w:hAnsi="Times New Roman"/>
                <w:bCs/>
              </w:rPr>
            </w:pPr>
            <w:r w:rsidRPr="004803FE">
              <w:rPr>
                <w:rFonts w:ascii="Times New Roman" w:hAnsi="Times New Roman"/>
                <w:bCs/>
              </w:rPr>
              <w:t>$2,380,676</w:t>
            </w:r>
          </w:p>
        </w:tc>
        <w:tc>
          <w:tcPr>
            <w:tcW w:w="734" w:type="pct"/>
            <w:vAlign w:val="bottom"/>
          </w:tcPr>
          <w:p w14:paraId="49EE4B83" w14:textId="77777777" w:rsidR="00205E85" w:rsidRPr="004803FE" w:rsidRDefault="00205E85" w:rsidP="001B305A">
            <w:pPr>
              <w:pStyle w:val="Tabletext"/>
              <w:spacing w:after="240"/>
              <w:jc w:val="right"/>
              <w:rPr>
                <w:rFonts w:ascii="Times New Roman" w:hAnsi="Times New Roman"/>
                <w:bCs/>
              </w:rPr>
            </w:pPr>
            <w:r w:rsidRPr="004803FE">
              <w:rPr>
                <w:rFonts w:ascii="Times New Roman" w:hAnsi="Times New Roman"/>
                <w:bCs/>
              </w:rPr>
              <w:t>$2,408,590</w:t>
            </w:r>
          </w:p>
        </w:tc>
        <w:tc>
          <w:tcPr>
            <w:tcW w:w="735" w:type="pct"/>
            <w:vAlign w:val="bottom"/>
          </w:tcPr>
          <w:p w14:paraId="55D3AF43" w14:textId="77777777" w:rsidR="00205E85" w:rsidRPr="004803FE" w:rsidRDefault="00205E85" w:rsidP="001B305A">
            <w:pPr>
              <w:pStyle w:val="Tabletext"/>
              <w:spacing w:after="240"/>
              <w:jc w:val="right"/>
              <w:rPr>
                <w:rFonts w:ascii="Times New Roman" w:hAnsi="Times New Roman"/>
                <w:bCs/>
              </w:rPr>
            </w:pPr>
            <w:r w:rsidRPr="004803FE">
              <w:rPr>
                <w:rFonts w:ascii="Times New Roman" w:hAnsi="Times New Roman"/>
                <w:bCs/>
              </w:rPr>
              <w:t>$2,436,505</w:t>
            </w:r>
          </w:p>
        </w:tc>
        <w:tc>
          <w:tcPr>
            <w:tcW w:w="734" w:type="pct"/>
            <w:vAlign w:val="bottom"/>
          </w:tcPr>
          <w:p w14:paraId="34F792E7" w14:textId="77777777" w:rsidR="00205E85" w:rsidRPr="004803FE" w:rsidRDefault="00205E85" w:rsidP="001B305A">
            <w:pPr>
              <w:pStyle w:val="Tabletext"/>
              <w:spacing w:after="240"/>
              <w:jc w:val="right"/>
              <w:rPr>
                <w:rFonts w:ascii="Times New Roman" w:hAnsi="Times New Roman"/>
                <w:bCs/>
              </w:rPr>
            </w:pPr>
            <w:r w:rsidRPr="004803FE">
              <w:rPr>
                <w:rFonts w:ascii="Times New Roman" w:hAnsi="Times New Roman"/>
                <w:bCs/>
              </w:rPr>
              <w:t>$2,464,420</w:t>
            </w:r>
          </w:p>
        </w:tc>
      </w:tr>
      <w:tr w:rsidR="00205E85" w:rsidRPr="004803FE" w14:paraId="4180896C" w14:textId="77777777" w:rsidTr="006111E4">
        <w:trPr>
          <w:trHeight w:val="315"/>
        </w:trPr>
        <w:tc>
          <w:tcPr>
            <w:tcW w:w="1328" w:type="pct"/>
          </w:tcPr>
          <w:p w14:paraId="52352189" w14:textId="77777777" w:rsidR="00205E85" w:rsidRPr="004803FE" w:rsidRDefault="00205E85" w:rsidP="001B305A">
            <w:pPr>
              <w:widowControl w:val="0"/>
              <w:spacing w:after="240"/>
              <w:rPr>
                <w:rFonts w:ascii="Times New Roman" w:hAnsi="Times New Roman"/>
                <w:b/>
                <w:sz w:val="20"/>
              </w:rPr>
            </w:pPr>
            <w:r w:rsidRPr="004803FE">
              <w:rPr>
                <w:rFonts w:ascii="Times New Roman" w:hAnsi="Times New Roman"/>
                <w:b/>
                <w:sz w:val="20"/>
              </w:rPr>
              <w:t>Net cost to the MBS</w:t>
            </w:r>
          </w:p>
        </w:tc>
        <w:tc>
          <w:tcPr>
            <w:tcW w:w="734" w:type="pct"/>
            <w:vAlign w:val="bottom"/>
          </w:tcPr>
          <w:p w14:paraId="5B546A85" w14:textId="77777777" w:rsidR="00205E85" w:rsidRPr="004803FE" w:rsidRDefault="00205E85" w:rsidP="001B305A">
            <w:pPr>
              <w:pStyle w:val="Tabletext"/>
              <w:spacing w:after="240"/>
              <w:jc w:val="right"/>
              <w:rPr>
                <w:rFonts w:ascii="Times New Roman" w:hAnsi="Times New Roman"/>
                <w:b/>
              </w:rPr>
            </w:pPr>
            <w:r w:rsidRPr="004803FE">
              <w:rPr>
                <w:rFonts w:ascii="Times New Roman" w:hAnsi="Times New Roman"/>
                <w:b/>
              </w:rPr>
              <w:t>$2,821,055</w:t>
            </w:r>
          </w:p>
        </w:tc>
        <w:tc>
          <w:tcPr>
            <w:tcW w:w="735" w:type="pct"/>
            <w:vAlign w:val="bottom"/>
          </w:tcPr>
          <w:p w14:paraId="508763C8" w14:textId="77777777" w:rsidR="00205E85" w:rsidRPr="004803FE" w:rsidRDefault="00205E85" w:rsidP="001B305A">
            <w:pPr>
              <w:pStyle w:val="Tabletext"/>
              <w:spacing w:after="240"/>
              <w:jc w:val="right"/>
              <w:rPr>
                <w:rFonts w:ascii="Times New Roman" w:hAnsi="Times New Roman"/>
                <w:b/>
              </w:rPr>
            </w:pPr>
            <w:r w:rsidRPr="004803FE">
              <w:rPr>
                <w:rFonts w:ascii="Times New Roman" w:hAnsi="Times New Roman"/>
                <w:b/>
              </w:rPr>
              <w:t>$2,854,526</w:t>
            </w:r>
          </w:p>
        </w:tc>
        <w:tc>
          <w:tcPr>
            <w:tcW w:w="734" w:type="pct"/>
            <w:vAlign w:val="bottom"/>
          </w:tcPr>
          <w:p w14:paraId="750BC5F9" w14:textId="77777777" w:rsidR="00205E85" w:rsidRPr="004803FE" w:rsidRDefault="00205E85" w:rsidP="001B305A">
            <w:pPr>
              <w:pStyle w:val="Tabletext"/>
              <w:spacing w:after="240"/>
              <w:jc w:val="right"/>
              <w:rPr>
                <w:rFonts w:ascii="Times New Roman" w:hAnsi="Times New Roman"/>
                <w:b/>
              </w:rPr>
            </w:pPr>
            <w:r w:rsidRPr="004803FE">
              <w:rPr>
                <w:rFonts w:ascii="Times New Roman" w:hAnsi="Times New Roman"/>
                <w:b/>
              </w:rPr>
              <w:t>$2,887,997</w:t>
            </w:r>
          </w:p>
        </w:tc>
        <w:tc>
          <w:tcPr>
            <w:tcW w:w="735" w:type="pct"/>
            <w:vAlign w:val="bottom"/>
          </w:tcPr>
          <w:p w14:paraId="5FB6C4E3" w14:textId="77777777" w:rsidR="00205E85" w:rsidRPr="004803FE" w:rsidRDefault="00205E85" w:rsidP="001B305A">
            <w:pPr>
              <w:pStyle w:val="Tabletext"/>
              <w:spacing w:after="240"/>
              <w:jc w:val="right"/>
              <w:rPr>
                <w:rFonts w:ascii="Times New Roman" w:hAnsi="Times New Roman"/>
                <w:b/>
              </w:rPr>
            </w:pPr>
            <w:r w:rsidRPr="004803FE">
              <w:rPr>
                <w:rFonts w:ascii="Times New Roman" w:hAnsi="Times New Roman"/>
                <w:b/>
              </w:rPr>
              <w:t>$2,921,467</w:t>
            </w:r>
          </w:p>
        </w:tc>
        <w:tc>
          <w:tcPr>
            <w:tcW w:w="734" w:type="pct"/>
            <w:vAlign w:val="bottom"/>
          </w:tcPr>
          <w:p w14:paraId="01AC13CE" w14:textId="77777777" w:rsidR="00205E85" w:rsidRPr="004803FE" w:rsidRDefault="00205E85" w:rsidP="001B305A">
            <w:pPr>
              <w:pStyle w:val="Tabletext"/>
              <w:spacing w:after="240"/>
              <w:jc w:val="right"/>
              <w:rPr>
                <w:rFonts w:ascii="Times New Roman" w:hAnsi="Times New Roman"/>
                <w:b/>
              </w:rPr>
            </w:pPr>
            <w:r w:rsidRPr="004803FE">
              <w:rPr>
                <w:rFonts w:ascii="Times New Roman" w:hAnsi="Times New Roman"/>
                <w:b/>
              </w:rPr>
              <w:t>$2,954,938</w:t>
            </w:r>
          </w:p>
        </w:tc>
      </w:tr>
    </w:tbl>
    <w:p w14:paraId="682BFE6F" w14:textId="4CAA49CF" w:rsidR="006165E0" w:rsidRPr="001B305A" w:rsidRDefault="006165E0" w:rsidP="001B305A">
      <w:pPr>
        <w:spacing w:after="240"/>
        <w:rPr>
          <w:sz w:val="16"/>
          <w:szCs w:val="16"/>
        </w:rPr>
      </w:pPr>
      <w:r w:rsidRPr="006165E0">
        <w:rPr>
          <w:sz w:val="16"/>
          <w:szCs w:val="16"/>
        </w:rPr>
        <w:t>CAD = coronary artery disease; CMR = cardiac magnetic resonance imaging; MBS = Medicare Benefits Schedule</w:t>
      </w:r>
    </w:p>
    <w:p w14:paraId="01EFEE22" w14:textId="77777777" w:rsidR="00B35529" w:rsidRPr="00DD60FB" w:rsidRDefault="00B35529" w:rsidP="001B305A">
      <w:pPr>
        <w:spacing w:after="240"/>
        <w:rPr>
          <w:rStyle w:val="SubtleEmphasis"/>
        </w:rPr>
      </w:pPr>
      <w:r w:rsidRPr="00DD60FB">
        <w:rPr>
          <w:rStyle w:val="SubtleEmphasis"/>
        </w:rPr>
        <w:t>Population Two</w:t>
      </w:r>
    </w:p>
    <w:p w14:paraId="4F6FCD18" w14:textId="5C7D1324" w:rsidR="00B35529" w:rsidRDefault="00B35529" w:rsidP="001B305A">
      <w:pPr>
        <w:spacing w:after="240"/>
      </w:pPr>
      <w:r>
        <w:t>A</w:t>
      </w:r>
      <w:r w:rsidRPr="004A7E8B">
        <w:t xml:space="preserve"> market-based approach was </w:t>
      </w:r>
      <w:r>
        <w:t>used to estimate the potential number of services eligible for proposed LGE-CMR for myocardial viability assessment.</w:t>
      </w:r>
      <w:r w:rsidR="00442F59">
        <w:t xml:space="preserve">  It was assumed that 50% of current utilisation of Db-Echo (Item 55117) and single SPECT (Item 61303) is for myocardial</w:t>
      </w:r>
      <w:r w:rsidR="000817E1">
        <w:t xml:space="preserve"> </w:t>
      </w:r>
      <w:r w:rsidR="00442F59">
        <w:t>viability assessment, and that LGE-CMR would substitute for 10% of this utilisation.</w:t>
      </w:r>
    </w:p>
    <w:p w14:paraId="0F1BEFC2" w14:textId="77777777" w:rsidR="00B35529" w:rsidRDefault="00B35529" w:rsidP="001B305A">
      <w:pPr>
        <w:spacing w:after="240"/>
      </w:pPr>
      <w:r w:rsidRPr="00733258">
        <w:t xml:space="preserve">The financial implications to the MBS resulting from the proposed listing of </w:t>
      </w:r>
      <w:r>
        <w:t>LGE-CMR for the assessment of myocardial viability</w:t>
      </w:r>
      <w:r w:rsidRPr="00733258">
        <w:t xml:space="preserve"> are summarised in</w:t>
      </w:r>
      <w:r>
        <w:t xml:space="preserve"> Table 7.</w:t>
      </w:r>
    </w:p>
    <w:p w14:paraId="3DC99761" w14:textId="77777777" w:rsidR="00B35529" w:rsidRDefault="00B35529" w:rsidP="001B305A">
      <w:pPr>
        <w:spacing w:after="240"/>
      </w:pPr>
    </w:p>
    <w:p w14:paraId="79C13D06" w14:textId="77777777" w:rsidR="00B35529" w:rsidRPr="001B305A" w:rsidRDefault="00B35529" w:rsidP="001B305A">
      <w:pPr>
        <w:pStyle w:val="TableHeading"/>
        <w:spacing w:before="0" w:after="0"/>
      </w:pPr>
      <w:bookmarkStart w:id="14" w:name="_Ref437618020"/>
      <w:bookmarkStart w:id="15" w:name="_Toc439954441"/>
      <w:r w:rsidRPr="001B305A">
        <w:t xml:space="preserve">Table </w:t>
      </w:r>
      <w:bookmarkEnd w:id="14"/>
      <w:r w:rsidRPr="001B305A">
        <w:t>7</w:t>
      </w:r>
      <w:r w:rsidRPr="001B305A">
        <w:tab/>
        <w:t>Total costs to the MBS associated with LGE-CMR for the assessment of myocardial viability</w:t>
      </w:r>
      <w:bookmarkEnd w:id="15"/>
    </w:p>
    <w:tbl>
      <w:tblPr>
        <w:tblStyle w:val="TableGrid"/>
        <w:tblW w:w="4908" w:type="pct"/>
        <w:tblInd w:w="108" w:type="dxa"/>
        <w:tblLook w:val="04A0" w:firstRow="1" w:lastRow="0" w:firstColumn="1" w:lastColumn="0" w:noHBand="0" w:noVBand="1"/>
        <w:tblDescription w:val="Table ES.13 This table provides a summary of the financial impact of the proposed new medical service over the next five years to the MBS"/>
      </w:tblPr>
      <w:tblGrid>
        <w:gridCol w:w="2269"/>
        <w:gridCol w:w="1361"/>
        <w:gridCol w:w="1361"/>
        <w:gridCol w:w="1361"/>
        <w:gridCol w:w="1361"/>
        <w:gridCol w:w="1359"/>
      </w:tblGrid>
      <w:tr w:rsidR="00B35529" w:rsidRPr="00183E4D" w14:paraId="1C16FC20" w14:textId="77777777" w:rsidTr="006165E0">
        <w:trPr>
          <w:trHeight w:val="300"/>
          <w:tblHeader/>
        </w:trPr>
        <w:tc>
          <w:tcPr>
            <w:tcW w:w="1251" w:type="pct"/>
            <w:tcBorders>
              <w:bottom w:val="single" w:sz="4" w:space="0" w:color="auto"/>
            </w:tcBorders>
          </w:tcPr>
          <w:p w14:paraId="054F18C0" w14:textId="77777777" w:rsidR="00B35529" w:rsidRPr="00CD1A91" w:rsidRDefault="00B35529" w:rsidP="001B305A">
            <w:pPr>
              <w:keepNext/>
              <w:spacing w:after="240"/>
              <w:rPr>
                <w:rFonts w:ascii="Arial Narrow" w:hAnsi="Arial Narrow"/>
                <w:b/>
                <w:color w:val="FFFFFF" w:themeColor="background1"/>
                <w:sz w:val="20"/>
              </w:rPr>
            </w:pPr>
            <w:r w:rsidRPr="00CD1A91">
              <w:rPr>
                <w:rFonts w:ascii="Arial Narrow" w:hAnsi="Arial Narrow"/>
                <w:b/>
                <w:color w:val="FFFFFF" w:themeColor="background1"/>
                <w:sz w:val="20"/>
              </w:rPr>
              <w:t>-</w:t>
            </w:r>
          </w:p>
        </w:tc>
        <w:tc>
          <w:tcPr>
            <w:tcW w:w="750" w:type="pct"/>
            <w:tcBorders>
              <w:bottom w:val="single" w:sz="4" w:space="0" w:color="auto"/>
            </w:tcBorders>
          </w:tcPr>
          <w:p w14:paraId="4675441C" w14:textId="77777777" w:rsidR="00B35529" w:rsidRPr="00CD1A91" w:rsidRDefault="00B35529" w:rsidP="001B305A">
            <w:pPr>
              <w:keepNext/>
              <w:spacing w:after="240"/>
              <w:rPr>
                <w:rFonts w:ascii="Arial Narrow" w:hAnsi="Arial Narrow"/>
                <w:b/>
                <w:sz w:val="20"/>
              </w:rPr>
            </w:pPr>
            <w:r w:rsidRPr="00CD1A91">
              <w:rPr>
                <w:rFonts w:ascii="Arial Narrow" w:hAnsi="Arial Narrow"/>
                <w:b/>
                <w:sz w:val="20"/>
              </w:rPr>
              <w:t>2016</w:t>
            </w:r>
            <w:r>
              <w:rPr>
                <w:rFonts w:ascii="Arial Narrow" w:hAnsi="Arial Narrow"/>
                <w:b/>
                <w:sz w:val="20"/>
              </w:rPr>
              <w:t>–</w:t>
            </w:r>
            <w:r w:rsidRPr="00CD1A91">
              <w:rPr>
                <w:rFonts w:ascii="Arial Narrow" w:hAnsi="Arial Narrow"/>
                <w:b/>
                <w:sz w:val="20"/>
              </w:rPr>
              <w:t>17</w:t>
            </w:r>
          </w:p>
        </w:tc>
        <w:tc>
          <w:tcPr>
            <w:tcW w:w="750" w:type="pct"/>
            <w:tcBorders>
              <w:bottom w:val="single" w:sz="4" w:space="0" w:color="auto"/>
            </w:tcBorders>
          </w:tcPr>
          <w:p w14:paraId="1BC2AF28" w14:textId="77777777" w:rsidR="00B35529" w:rsidRPr="00CD1A91" w:rsidRDefault="00B35529" w:rsidP="001B305A">
            <w:pPr>
              <w:keepNext/>
              <w:spacing w:after="240"/>
              <w:rPr>
                <w:rFonts w:ascii="Arial Narrow" w:hAnsi="Arial Narrow"/>
                <w:b/>
                <w:sz w:val="20"/>
              </w:rPr>
            </w:pPr>
            <w:r w:rsidRPr="00CD1A91">
              <w:rPr>
                <w:rFonts w:ascii="Arial Narrow" w:hAnsi="Arial Narrow"/>
                <w:b/>
                <w:sz w:val="20"/>
              </w:rPr>
              <w:t>2017</w:t>
            </w:r>
            <w:r>
              <w:rPr>
                <w:rFonts w:ascii="Arial Narrow" w:hAnsi="Arial Narrow"/>
                <w:b/>
                <w:sz w:val="20"/>
              </w:rPr>
              <w:t>–</w:t>
            </w:r>
            <w:r w:rsidRPr="00CD1A91">
              <w:rPr>
                <w:rFonts w:ascii="Arial Narrow" w:hAnsi="Arial Narrow"/>
                <w:b/>
                <w:sz w:val="20"/>
              </w:rPr>
              <w:t>18</w:t>
            </w:r>
          </w:p>
        </w:tc>
        <w:tc>
          <w:tcPr>
            <w:tcW w:w="750" w:type="pct"/>
            <w:tcBorders>
              <w:bottom w:val="single" w:sz="4" w:space="0" w:color="auto"/>
            </w:tcBorders>
          </w:tcPr>
          <w:p w14:paraId="16C641DD" w14:textId="77777777" w:rsidR="00B35529" w:rsidRPr="00CD1A91" w:rsidRDefault="00B35529" w:rsidP="001B305A">
            <w:pPr>
              <w:keepNext/>
              <w:spacing w:after="240"/>
              <w:rPr>
                <w:rFonts w:ascii="Arial Narrow" w:hAnsi="Arial Narrow"/>
                <w:b/>
                <w:sz w:val="20"/>
              </w:rPr>
            </w:pPr>
            <w:r w:rsidRPr="00CD1A91">
              <w:rPr>
                <w:rFonts w:ascii="Arial Narrow" w:hAnsi="Arial Narrow"/>
                <w:b/>
                <w:sz w:val="20"/>
              </w:rPr>
              <w:t>2018</w:t>
            </w:r>
            <w:r>
              <w:rPr>
                <w:rFonts w:ascii="Arial Narrow" w:hAnsi="Arial Narrow"/>
                <w:b/>
                <w:sz w:val="20"/>
              </w:rPr>
              <w:t>–</w:t>
            </w:r>
            <w:r w:rsidRPr="00CD1A91">
              <w:rPr>
                <w:rFonts w:ascii="Arial Narrow" w:hAnsi="Arial Narrow"/>
                <w:b/>
                <w:sz w:val="20"/>
              </w:rPr>
              <w:t>19</w:t>
            </w:r>
          </w:p>
        </w:tc>
        <w:tc>
          <w:tcPr>
            <w:tcW w:w="750" w:type="pct"/>
            <w:tcBorders>
              <w:bottom w:val="single" w:sz="4" w:space="0" w:color="auto"/>
            </w:tcBorders>
          </w:tcPr>
          <w:p w14:paraId="4ED974D4" w14:textId="77777777" w:rsidR="00B35529" w:rsidRPr="00CD1A91" w:rsidRDefault="00B35529" w:rsidP="001B305A">
            <w:pPr>
              <w:keepNext/>
              <w:spacing w:after="240"/>
              <w:rPr>
                <w:rFonts w:ascii="Arial Narrow" w:hAnsi="Arial Narrow"/>
                <w:b/>
                <w:sz w:val="20"/>
              </w:rPr>
            </w:pPr>
            <w:r w:rsidRPr="00CD1A91">
              <w:rPr>
                <w:rFonts w:ascii="Arial Narrow" w:hAnsi="Arial Narrow"/>
                <w:b/>
                <w:sz w:val="20"/>
              </w:rPr>
              <w:t>2019</w:t>
            </w:r>
            <w:r>
              <w:rPr>
                <w:rFonts w:ascii="Arial Narrow" w:hAnsi="Arial Narrow"/>
                <w:b/>
                <w:sz w:val="20"/>
              </w:rPr>
              <w:t>–</w:t>
            </w:r>
            <w:r w:rsidRPr="00CD1A91">
              <w:rPr>
                <w:rFonts w:ascii="Arial Narrow" w:hAnsi="Arial Narrow"/>
                <w:b/>
                <w:sz w:val="20"/>
              </w:rPr>
              <w:t>20</w:t>
            </w:r>
          </w:p>
        </w:tc>
        <w:tc>
          <w:tcPr>
            <w:tcW w:w="749" w:type="pct"/>
            <w:tcBorders>
              <w:bottom w:val="single" w:sz="4" w:space="0" w:color="auto"/>
            </w:tcBorders>
          </w:tcPr>
          <w:p w14:paraId="0763D60A" w14:textId="77777777" w:rsidR="00B35529" w:rsidRPr="00CD1A91" w:rsidRDefault="00B35529" w:rsidP="001B305A">
            <w:pPr>
              <w:keepNext/>
              <w:spacing w:after="240"/>
              <w:rPr>
                <w:rFonts w:ascii="Arial Narrow" w:hAnsi="Arial Narrow"/>
                <w:b/>
                <w:sz w:val="20"/>
              </w:rPr>
            </w:pPr>
            <w:r w:rsidRPr="00CD1A91">
              <w:rPr>
                <w:rFonts w:ascii="Arial Narrow" w:hAnsi="Arial Narrow"/>
                <w:b/>
                <w:sz w:val="20"/>
              </w:rPr>
              <w:t>2020</w:t>
            </w:r>
            <w:r>
              <w:rPr>
                <w:rFonts w:ascii="Arial Narrow" w:hAnsi="Arial Narrow"/>
                <w:b/>
                <w:sz w:val="20"/>
              </w:rPr>
              <w:t>–</w:t>
            </w:r>
            <w:r w:rsidRPr="00CD1A91">
              <w:rPr>
                <w:rFonts w:ascii="Arial Narrow" w:hAnsi="Arial Narrow"/>
                <w:b/>
                <w:sz w:val="20"/>
              </w:rPr>
              <w:t>21</w:t>
            </w:r>
          </w:p>
        </w:tc>
      </w:tr>
      <w:tr w:rsidR="00B35529" w:rsidRPr="00183E4D" w14:paraId="6039E466" w14:textId="77777777" w:rsidTr="006165E0">
        <w:trPr>
          <w:trHeight w:val="300"/>
        </w:trPr>
        <w:tc>
          <w:tcPr>
            <w:tcW w:w="1251" w:type="pct"/>
            <w:tcBorders>
              <w:right w:val="nil"/>
            </w:tcBorders>
          </w:tcPr>
          <w:p w14:paraId="38D31DD5" w14:textId="77777777" w:rsidR="00B35529" w:rsidRPr="008442DA" w:rsidRDefault="00B35529" w:rsidP="001B305A">
            <w:pPr>
              <w:widowControl w:val="0"/>
              <w:tabs>
                <w:tab w:val="left" w:pos="851"/>
              </w:tabs>
              <w:spacing w:after="240"/>
              <w:rPr>
                <w:rFonts w:ascii="Arial Narrow" w:hAnsi="Arial Narrow"/>
                <w:b/>
                <w:sz w:val="20"/>
              </w:rPr>
            </w:pPr>
            <w:r>
              <w:rPr>
                <w:rFonts w:ascii="Arial Narrow" w:hAnsi="Arial Narrow"/>
                <w:b/>
                <w:sz w:val="20"/>
              </w:rPr>
              <w:t>LGE-</w:t>
            </w:r>
            <w:r w:rsidRPr="008442DA">
              <w:rPr>
                <w:rFonts w:ascii="Arial Narrow" w:hAnsi="Arial Narrow"/>
                <w:b/>
                <w:sz w:val="20"/>
              </w:rPr>
              <w:t>CMR</w:t>
            </w:r>
          </w:p>
        </w:tc>
        <w:tc>
          <w:tcPr>
            <w:tcW w:w="750" w:type="pct"/>
            <w:tcBorders>
              <w:left w:val="nil"/>
              <w:right w:val="nil"/>
            </w:tcBorders>
            <w:vAlign w:val="bottom"/>
          </w:tcPr>
          <w:p w14:paraId="162C55CA" w14:textId="77777777" w:rsidR="00B35529" w:rsidRPr="008442DA" w:rsidRDefault="00B35529" w:rsidP="001B305A">
            <w:pPr>
              <w:pStyle w:val="Tabletext"/>
              <w:spacing w:after="240"/>
              <w:jc w:val="center"/>
              <w:rPr>
                <w:color w:val="FFFFFF" w:themeColor="background1"/>
              </w:rPr>
            </w:pPr>
            <w:r w:rsidRPr="008442DA">
              <w:rPr>
                <w:color w:val="FFFFFF" w:themeColor="background1"/>
              </w:rPr>
              <w:t>-</w:t>
            </w:r>
          </w:p>
        </w:tc>
        <w:tc>
          <w:tcPr>
            <w:tcW w:w="750" w:type="pct"/>
            <w:tcBorders>
              <w:left w:val="nil"/>
              <w:right w:val="nil"/>
            </w:tcBorders>
            <w:vAlign w:val="bottom"/>
          </w:tcPr>
          <w:p w14:paraId="3DE3DEF4" w14:textId="77777777" w:rsidR="00B35529" w:rsidRPr="008442DA" w:rsidRDefault="00B35529" w:rsidP="001B305A">
            <w:pPr>
              <w:pStyle w:val="Tabletext"/>
              <w:spacing w:after="240"/>
              <w:jc w:val="center"/>
              <w:rPr>
                <w:color w:val="FFFFFF" w:themeColor="background1"/>
              </w:rPr>
            </w:pPr>
            <w:r w:rsidRPr="008442DA">
              <w:rPr>
                <w:color w:val="FFFFFF" w:themeColor="background1"/>
              </w:rPr>
              <w:t>-</w:t>
            </w:r>
          </w:p>
        </w:tc>
        <w:tc>
          <w:tcPr>
            <w:tcW w:w="750" w:type="pct"/>
            <w:tcBorders>
              <w:left w:val="nil"/>
              <w:right w:val="nil"/>
            </w:tcBorders>
            <w:vAlign w:val="bottom"/>
          </w:tcPr>
          <w:p w14:paraId="69ED15CC" w14:textId="77777777" w:rsidR="00B35529" w:rsidRPr="008442DA" w:rsidRDefault="00B35529" w:rsidP="001B305A">
            <w:pPr>
              <w:pStyle w:val="Tabletext"/>
              <w:spacing w:after="240"/>
              <w:jc w:val="center"/>
              <w:rPr>
                <w:color w:val="FFFFFF" w:themeColor="background1"/>
              </w:rPr>
            </w:pPr>
            <w:r w:rsidRPr="008442DA">
              <w:rPr>
                <w:color w:val="FFFFFF" w:themeColor="background1"/>
              </w:rPr>
              <w:t>-</w:t>
            </w:r>
          </w:p>
        </w:tc>
        <w:tc>
          <w:tcPr>
            <w:tcW w:w="750" w:type="pct"/>
            <w:tcBorders>
              <w:left w:val="nil"/>
              <w:right w:val="nil"/>
            </w:tcBorders>
            <w:vAlign w:val="bottom"/>
          </w:tcPr>
          <w:p w14:paraId="476A272C" w14:textId="77777777" w:rsidR="00B35529" w:rsidRPr="008442DA" w:rsidRDefault="00B35529" w:rsidP="001B305A">
            <w:pPr>
              <w:pStyle w:val="Tabletext"/>
              <w:spacing w:after="240"/>
              <w:jc w:val="center"/>
              <w:rPr>
                <w:color w:val="FFFFFF" w:themeColor="background1"/>
              </w:rPr>
            </w:pPr>
            <w:r w:rsidRPr="008442DA">
              <w:rPr>
                <w:color w:val="FFFFFF" w:themeColor="background1"/>
              </w:rPr>
              <w:t>-</w:t>
            </w:r>
          </w:p>
        </w:tc>
        <w:tc>
          <w:tcPr>
            <w:tcW w:w="749" w:type="pct"/>
            <w:tcBorders>
              <w:left w:val="nil"/>
            </w:tcBorders>
            <w:vAlign w:val="bottom"/>
          </w:tcPr>
          <w:p w14:paraId="4E6DAAAF" w14:textId="77777777" w:rsidR="00B35529" w:rsidRPr="008442DA" w:rsidRDefault="00B35529" w:rsidP="001B305A">
            <w:pPr>
              <w:pStyle w:val="Tabletext"/>
              <w:spacing w:after="240"/>
              <w:jc w:val="center"/>
              <w:rPr>
                <w:color w:val="FFFFFF" w:themeColor="background1"/>
              </w:rPr>
            </w:pPr>
            <w:r w:rsidRPr="008442DA">
              <w:rPr>
                <w:color w:val="FFFFFF" w:themeColor="background1"/>
              </w:rPr>
              <w:t>-</w:t>
            </w:r>
          </w:p>
        </w:tc>
      </w:tr>
      <w:tr w:rsidR="00B35529" w:rsidRPr="00183E4D" w14:paraId="6ACF3D89" w14:textId="77777777" w:rsidTr="006165E0">
        <w:trPr>
          <w:trHeight w:val="300"/>
        </w:trPr>
        <w:tc>
          <w:tcPr>
            <w:tcW w:w="1251" w:type="pct"/>
          </w:tcPr>
          <w:p w14:paraId="27FBFB51" w14:textId="77777777" w:rsidR="00B35529" w:rsidRPr="00183E4D" w:rsidRDefault="00B35529" w:rsidP="001B305A">
            <w:pPr>
              <w:widowControl w:val="0"/>
              <w:tabs>
                <w:tab w:val="left" w:pos="851"/>
              </w:tabs>
              <w:spacing w:after="240"/>
              <w:rPr>
                <w:rFonts w:ascii="Arial Narrow" w:hAnsi="Arial Narrow"/>
                <w:b/>
                <w:sz w:val="20"/>
                <w:highlight w:val="cyan"/>
              </w:rPr>
            </w:pPr>
            <w:r w:rsidRPr="00183E4D">
              <w:rPr>
                <w:rFonts w:ascii="Arial Narrow" w:hAnsi="Arial Narrow"/>
                <w:sz w:val="20"/>
              </w:rPr>
              <w:lastRenderedPageBreak/>
              <w:t>Number of services</w:t>
            </w:r>
          </w:p>
        </w:tc>
        <w:tc>
          <w:tcPr>
            <w:tcW w:w="750" w:type="pct"/>
          </w:tcPr>
          <w:p w14:paraId="08E5193D" w14:textId="77777777" w:rsidR="00B35529" w:rsidRPr="00763F5A" w:rsidRDefault="00B35529" w:rsidP="001B305A">
            <w:pPr>
              <w:pStyle w:val="Tabletext"/>
              <w:spacing w:after="240"/>
              <w:jc w:val="center"/>
            </w:pPr>
            <w:r w:rsidRPr="00763F5A">
              <w:t>4,444</w:t>
            </w:r>
          </w:p>
        </w:tc>
        <w:tc>
          <w:tcPr>
            <w:tcW w:w="750" w:type="pct"/>
          </w:tcPr>
          <w:p w14:paraId="5805DF39" w14:textId="77777777" w:rsidR="00B35529" w:rsidRPr="00763F5A" w:rsidRDefault="00B35529" w:rsidP="001B305A">
            <w:pPr>
              <w:pStyle w:val="Tabletext"/>
              <w:spacing w:after="240"/>
              <w:jc w:val="center"/>
            </w:pPr>
            <w:r w:rsidRPr="00763F5A">
              <w:t>4,771</w:t>
            </w:r>
          </w:p>
        </w:tc>
        <w:tc>
          <w:tcPr>
            <w:tcW w:w="750" w:type="pct"/>
          </w:tcPr>
          <w:p w14:paraId="74517208" w14:textId="77777777" w:rsidR="00B35529" w:rsidRPr="00763F5A" w:rsidRDefault="00B35529" w:rsidP="001B305A">
            <w:pPr>
              <w:pStyle w:val="Tabletext"/>
              <w:spacing w:after="240"/>
              <w:jc w:val="center"/>
            </w:pPr>
            <w:r w:rsidRPr="00763F5A">
              <w:t>5,122</w:t>
            </w:r>
          </w:p>
        </w:tc>
        <w:tc>
          <w:tcPr>
            <w:tcW w:w="750" w:type="pct"/>
          </w:tcPr>
          <w:p w14:paraId="7390A56C" w14:textId="77777777" w:rsidR="00B35529" w:rsidRPr="00763F5A" w:rsidRDefault="00B35529" w:rsidP="001B305A">
            <w:pPr>
              <w:pStyle w:val="Tabletext"/>
              <w:spacing w:after="240"/>
              <w:jc w:val="center"/>
            </w:pPr>
            <w:r w:rsidRPr="00763F5A">
              <w:t>5,499</w:t>
            </w:r>
          </w:p>
        </w:tc>
        <w:tc>
          <w:tcPr>
            <w:tcW w:w="749" w:type="pct"/>
          </w:tcPr>
          <w:p w14:paraId="0F271EA4" w14:textId="77777777" w:rsidR="00B35529" w:rsidRDefault="00B35529" w:rsidP="001B305A">
            <w:pPr>
              <w:pStyle w:val="Tabletext"/>
              <w:spacing w:after="240"/>
              <w:jc w:val="center"/>
            </w:pPr>
            <w:r w:rsidRPr="00763F5A">
              <w:t>5,903</w:t>
            </w:r>
          </w:p>
        </w:tc>
      </w:tr>
      <w:tr w:rsidR="00B35529" w:rsidRPr="008B2996" w14:paraId="631B5273" w14:textId="77777777" w:rsidTr="006165E0">
        <w:trPr>
          <w:trHeight w:val="300"/>
        </w:trPr>
        <w:tc>
          <w:tcPr>
            <w:tcW w:w="1251" w:type="pct"/>
            <w:tcBorders>
              <w:bottom w:val="single" w:sz="4" w:space="0" w:color="auto"/>
            </w:tcBorders>
          </w:tcPr>
          <w:p w14:paraId="2B78A74F" w14:textId="77777777" w:rsidR="00B35529" w:rsidRPr="008B2996" w:rsidRDefault="00B35529" w:rsidP="001B305A">
            <w:pPr>
              <w:widowControl w:val="0"/>
              <w:spacing w:after="240"/>
              <w:rPr>
                <w:rFonts w:ascii="Arial Narrow" w:hAnsi="Arial Narrow"/>
                <w:sz w:val="20"/>
              </w:rPr>
            </w:pPr>
            <w:r>
              <w:rPr>
                <w:rFonts w:ascii="Arial Narrow" w:hAnsi="Arial Narrow"/>
                <w:sz w:val="20"/>
              </w:rPr>
              <w:t>Cost to the MBS</w:t>
            </w:r>
          </w:p>
        </w:tc>
        <w:tc>
          <w:tcPr>
            <w:tcW w:w="750" w:type="pct"/>
            <w:tcBorders>
              <w:bottom w:val="single" w:sz="4" w:space="0" w:color="auto"/>
            </w:tcBorders>
          </w:tcPr>
          <w:p w14:paraId="4EB742F6" w14:textId="77777777" w:rsidR="00B35529" w:rsidRPr="008B2996" w:rsidRDefault="00B35529" w:rsidP="001B305A">
            <w:pPr>
              <w:widowControl w:val="0"/>
              <w:spacing w:after="240"/>
              <w:jc w:val="right"/>
              <w:rPr>
                <w:rFonts w:ascii="Arial Narrow" w:hAnsi="Arial Narrow"/>
                <w:sz w:val="20"/>
              </w:rPr>
            </w:pPr>
            <w:r w:rsidRPr="008B2996">
              <w:rPr>
                <w:rFonts w:ascii="Arial Narrow" w:hAnsi="Arial Narrow"/>
                <w:sz w:val="20"/>
              </w:rPr>
              <w:t>$2,644,130</w:t>
            </w:r>
          </w:p>
        </w:tc>
        <w:tc>
          <w:tcPr>
            <w:tcW w:w="750" w:type="pct"/>
            <w:tcBorders>
              <w:bottom w:val="single" w:sz="4" w:space="0" w:color="auto"/>
            </w:tcBorders>
          </w:tcPr>
          <w:p w14:paraId="6790B939" w14:textId="77777777" w:rsidR="00B35529" w:rsidRPr="008B2996" w:rsidRDefault="00B35529" w:rsidP="001B305A">
            <w:pPr>
              <w:widowControl w:val="0"/>
              <w:spacing w:after="240"/>
              <w:jc w:val="right"/>
              <w:rPr>
                <w:rFonts w:ascii="Arial Narrow" w:hAnsi="Arial Narrow"/>
                <w:sz w:val="20"/>
              </w:rPr>
            </w:pPr>
            <w:r w:rsidRPr="008B2996">
              <w:rPr>
                <w:rFonts w:ascii="Arial Narrow" w:hAnsi="Arial Narrow"/>
                <w:sz w:val="20"/>
              </w:rPr>
              <w:t>$2,838,646</w:t>
            </w:r>
          </w:p>
        </w:tc>
        <w:tc>
          <w:tcPr>
            <w:tcW w:w="750" w:type="pct"/>
            <w:tcBorders>
              <w:bottom w:val="single" w:sz="4" w:space="0" w:color="auto"/>
            </w:tcBorders>
          </w:tcPr>
          <w:p w14:paraId="361EA217" w14:textId="77777777" w:rsidR="00B35529" w:rsidRPr="008B2996" w:rsidRDefault="00B35529" w:rsidP="001B305A">
            <w:pPr>
              <w:widowControl w:val="0"/>
              <w:spacing w:after="240"/>
              <w:jc w:val="right"/>
              <w:rPr>
                <w:rFonts w:ascii="Arial Narrow" w:hAnsi="Arial Narrow"/>
                <w:sz w:val="20"/>
              </w:rPr>
            </w:pPr>
            <w:r w:rsidRPr="008B2996">
              <w:rPr>
                <w:rFonts w:ascii="Arial Narrow" w:hAnsi="Arial Narrow"/>
                <w:sz w:val="20"/>
              </w:rPr>
              <w:t>$3,047,472</w:t>
            </w:r>
          </w:p>
        </w:tc>
        <w:tc>
          <w:tcPr>
            <w:tcW w:w="750" w:type="pct"/>
            <w:tcBorders>
              <w:bottom w:val="single" w:sz="4" w:space="0" w:color="auto"/>
            </w:tcBorders>
          </w:tcPr>
          <w:p w14:paraId="503D12CA" w14:textId="77777777" w:rsidR="00B35529" w:rsidRPr="008B2996" w:rsidRDefault="00B35529" w:rsidP="001B305A">
            <w:pPr>
              <w:widowControl w:val="0"/>
              <w:spacing w:after="240"/>
              <w:jc w:val="right"/>
              <w:rPr>
                <w:rFonts w:ascii="Arial Narrow" w:hAnsi="Arial Narrow"/>
                <w:sz w:val="20"/>
              </w:rPr>
            </w:pPr>
            <w:r w:rsidRPr="008B2996">
              <w:rPr>
                <w:rFonts w:ascii="Arial Narrow" w:hAnsi="Arial Narrow"/>
                <w:sz w:val="20"/>
              </w:rPr>
              <w:t>$3,271,660</w:t>
            </w:r>
          </w:p>
        </w:tc>
        <w:tc>
          <w:tcPr>
            <w:tcW w:w="749" w:type="pct"/>
            <w:tcBorders>
              <w:bottom w:val="single" w:sz="4" w:space="0" w:color="auto"/>
            </w:tcBorders>
          </w:tcPr>
          <w:p w14:paraId="52069F55" w14:textId="77777777" w:rsidR="00B35529" w:rsidRPr="008B2996" w:rsidRDefault="00B35529" w:rsidP="001B305A">
            <w:pPr>
              <w:widowControl w:val="0"/>
              <w:spacing w:after="240"/>
              <w:jc w:val="right"/>
              <w:rPr>
                <w:rFonts w:ascii="Arial Narrow" w:hAnsi="Arial Narrow"/>
                <w:sz w:val="20"/>
              </w:rPr>
            </w:pPr>
            <w:r w:rsidRPr="008B2996">
              <w:rPr>
                <w:rFonts w:ascii="Arial Narrow" w:hAnsi="Arial Narrow"/>
                <w:sz w:val="20"/>
              </w:rPr>
              <w:t>$3,512,341</w:t>
            </w:r>
          </w:p>
        </w:tc>
      </w:tr>
      <w:tr w:rsidR="00B35529" w:rsidRPr="00183E4D" w14:paraId="2B7A9FE4" w14:textId="77777777" w:rsidTr="006165E0">
        <w:trPr>
          <w:trHeight w:val="300"/>
        </w:trPr>
        <w:tc>
          <w:tcPr>
            <w:tcW w:w="1251" w:type="pct"/>
            <w:tcBorders>
              <w:right w:val="nil"/>
            </w:tcBorders>
          </w:tcPr>
          <w:p w14:paraId="2A36E610" w14:textId="77777777" w:rsidR="00B35529" w:rsidRPr="00183E4D" w:rsidRDefault="00B35529" w:rsidP="001B305A">
            <w:pPr>
              <w:widowControl w:val="0"/>
              <w:tabs>
                <w:tab w:val="left" w:pos="851"/>
              </w:tabs>
              <w:spacing w:after="240"/>
              <w:rPr>
                <w:rFonts w:ascii="Arial Narrow" w:hAnsi="Arial Narrow"/>
                <w:b/>
                <w:sz w:val="20"/>
              </w:rPr>
            </w:pPr>
            <w:r>
              <w:rPr>
                <w:rFonts w:ascii="Arial Narrow" w:hAnsi="Arial Narrow"/>
                <w:b/>
                <w:sz w:val="20"/>
              </w:rPr>
              <w:t>Tests offset</w:t>
            </w:r>
          </w:p>
        </w:tc>
        <w:tc>
          <w:tcPr>
            <w:tcW w:w="750" w:type="pct"/>
            <w:tcBorders>
              <w:left w:val="nil"/>
              <w:right w:val="nil"/>
            </w:tcBorders>
          </w:tcPr>
          <w:p w14:paraId="1724B6F3" w14:textId="77777777" w:rsidR="00B35529" w:rsidRPr="00183E4D" w:rsidRDefault="00B35529" w:rsidP="001B305A">
            <w:pPr>
              <w:widowControl w:val="0"/>
              <w:spacing w:after="240"/>
              <w:jc w:val="right"/>
              <w:rPr>
                <w:rFonts w:ascii="Arial Narrow" w:hAnsi="Arial Narrow"/>
                <w:b/>
                <w:color w:val="FFFFFF" w:themeColor="background1"/>
                <w:sz w:val="20"/>
              </w:rPr>
            </w:pPr>
            <w:r w:rsidRPr="00183E4D">
              <w:rPr>
                <w:rFonts w:ascii="Arial Narrow" w:hAnsi="Arial Narrow"/>
                <w:b/>
                <w:color w:val="FFFFFF" w:themeColor="background1"/>
                <w:sz w:val="20"/>
              </w:rPr>
              <w:t>-</w:t>
            </w:r>
          </w:p>
        </w:tc>
        <w:tc>
          <w:tcPr>
            <w:tcW w:w="750" w:type="pct"/>
            <w:tcBorders>
              <w:left w:val="nil"/>
              <w:right w:val="nil"/>
            </w:tcBorders>
          </w:tcPr>
          <w:p w14:paraId="768B5886" w14:textId="77777777" w:rsidR="00B35529" w:rsidRPr="00183E4D" w:rsidRDefault="00B35529" w:rsidP="001B305A">
            <w:pPr>
              <w:widowControl w:val="0"/>
              <w:spacing w:after="240"/>
              <w:jc w:val="right"/>
              <w:rPr>
                <w:rFonts w:ascii="Arial Narrow" w:hAnsi="Arial Narrow"/>
                <w:b/>
                <w:color w:val="FFFFFF" w:themeColor="background1"/>
                <w:sz w:val="20"/>
              </w:rPr>
            </w:pPr>
            <w:r w:rsidRPr="00183E4D">
              <w:rPr>
                <w:rFonts w:ascii="Arial Narrow" w:hAnsi="Arial Narrow"/>
                <w:b/>
                <w:color w:val="FFFFFF" w:themeColor="background1"/>
                <w:sz w:val="20"/>
              </w:rPr>
              <w:t>-</w:t>
            </w:r>
          </w:p>
        </w:tc>
        <w:tc>
          <w:tcPr>
            <w:tcW w:w="750" w:type="pct"/>
            <w:tcBorders>
              <w:left w:val="nil"/>
              <w:right w:val="nil"/>
            </w:tcBorders>
          </w:tcPr>
          <w:p w14:paraId="5ACFFB1F" w14:textId="77777777" w:rsidR="00B35529" w:rsidRPr="00183E4D" w:rsidRDefault="00B35529" w:rsidP="001B305A">
            <w:pPr>
              <w:widowControl w:val="0"/>
              <w:spacing w:after="240"/>
              <w:jc w:val="right"/>
              <w:rPr>
                <w:rFonts w:ascii="Arial Narrow" w:hAnsi="Arial Narrow"/>
                <w:b/>
                <w:color w:val="FFFFFF" w:themeColor="background1"/>
                <w:sz w:val="20"/>
              </w:rPr>
            </w:pPr>
            <w:r w:rsidRPr="00183E4D">
              <w:rPr>
                <w:rFonts w:ascii="Arial Narrow" w:hAnsi="Arial Narrow"/>
                <w:b/>
                <w:color w:val="FFFFFF" w:themeColor="background1"/>
                <w:sz w:val="20"/>
              </w:rPr>
              <w:t>-</w:t>
            </w:r>
          </w:p>
        </w:tc>
        <w:tc>
          <w:tcPr>
            <w:tcW w:w="750" w:type="pct"/>
            <w:tcBorders>
              <w:left w:val="nil"/>
              <w:right w:val="nil"/>
            </w:tcBorders>
          </w:tcPr>
          <w:p w14:paraId="77E1CA92" w14:textId="77777777" w:rsidR="00B35529" w:rsidRPr="00183E4D" w:rsidRDefault="00B35529" w:rsidP="001B305A">
            <w:pPr>
              <w:widowControl w:val="0"/>
              <w:spacing w:after="240"/>
              <w:jc w:val="right"/>
              <w:rPr>
                <w:rFonts w:ascii="Arial Narrow" w:hAnsi="Arial Narrow"/>
                <w:b/>
                <w:color w:val="FFFFFF" w:themeColor="background1"/>
                <w:sz w:val="20"/>
              </w:rPr>
            </w:pPr>
            <w:r w:rsidRPr="00183E4D">
              <w:rPr>
                <w:rFonts w:ascii="Arial Narrow" w:hAnsi="Arial Narrow"/>
                <w:b/>
                <w:color w:val="FFFFFF" w:themeColor="background1"/>
                <w:sz w:val="20"/>
              </w:rPr>
              <w:t>-</w:t>
            </w:r>
          </w:p>
        </w:tc>
        <w:tc>
          <w:tcPr>
            <w:tcW w:w="749" w:type="pct"/>
            <w:tcBorders>
              <w:left w:val="nil"/>
            </w:tcBorders>
          </w:tcPr>
          <w:p w14:paraId="2C253BFA" w14:textId="77777777" w:rsidR="00B35529" w:rsidRPr="00183E4D" w:rsidRDefault="00B35529" w:rsidP="001B305A">
            <w:pPr>
              <w:widowControl w:val="0"/>
              <w:spacing w:after="240"/>
              <w:jc w:val="right"/>
              <w:rPr>
                <w:rFonts w:ascii="Arial Narrow" w:hAnsi="Arial Narrow"/>
                <w:b/>
                <w:color w:val="FFFFFF" w:themeColor="background1"/>
                <w:sz w:val="20"/>
              </w:rPr>
            </w:pPr>
            <w:r w:rsidRPr="00183E4D">
              <w:rPr>
                <w:rFonts w:ascii="Arial Narrow" w:hAnsi="Arial Narrow"/>
                <w:b/>
                <w:color w:val="FFFFFF" w:themeColor="background1"/>
                <w:sz w:val="20"/>
              </w:rPr>
              <w:t>-</w:t>
            </w:r>
          </w:p>
        </w:tc>
      </w:tr>
      <w:tr w:rsidR="00B35529" w:rsidRPr="00183E4D" w14:paraId="63231E2B" w14:textId="77777777" w:rsidTr="006165E0">
        <w:trPr>
          <w:trHeight w:val="300"/>
        </w:trPr>
        <w:tc>
          <w:tcPr>
            <w:tcW w:w="1251" w:type="pct"/>
          </w:tcPr>
          <w:p w14:paraId="1A54BEE7" w14:textId="77777777" w:rsidR="00B35529" w:rsidRPr="00183E4D" w:rsidRDefault="00B35529" w:rsidP="001B305A">
            <w:pPr>
              <w:widowControl w:val="0"/>
              <w:tabs>
                <w:tab w:val="left" w:pos="851"/>
              </w:tabs>
              <w:spacing w:after="240"/>
              <w:ind w:left="851" w:hanging="851"/>
              <w:rPr>
                <w:rFonts w:ascii="Arial Narrow" w:hAnsi="Arial Narrow"/>
                <w:sz w:val="20"/>
              </w:rPr>
            </w:pPr>
            <w:r w:rsidRPr="00183E4D">
              <w:rPr>
                <w:rFonts w:ascii="Arial Narrow" w:hAnsi="Arial Narrow"/>
                <w:sz w:val="20"/>
              </w:rPr>
              <w:t>Number of services</w:t>
            </w:r>
            <w:r>
              <w:rPr>
                <w:rFonts w:ascii="Arial Narrow" w:hAnsi="Arial Narrow"/>
                <w:sz w:val="20"/>
              </w:rPr>
              <w:t xml:space="preserve"> offset</w:t>
            </w:r>
          </w:p>
        </w:tc>
        <w:tc>
          <w:tcPr>
            <w:tcW w:w="750" w:type="pct"/>
          </w:tcPr>
          <w:p w14:paraId="402C6BED" w14:textId="77777777" w:rsidR="00B35529" w:rsidRPr="00763F5A" w:rsidRDefault="00B35529" w:rsidP="001B305A">
            <w:pPr>
              <w:pStyle w:val="Tabletext"/>
              <w:spacing w:after="240"/>
              <w:jc w:val="center"/>
            </w:pPr>
            <w:r w:rsidRPr="00763F5A">
              <w:t>4,444</w:t>
            </w:r>
          </w:p>
        </w:tc>
        <w:tc>
          <w:tcPr>
            <w:tcW w:w="750" w:type="pct"/>
          </w:tcPr>
          <w:p w14:paraId="03352BEF" w14:textId="77777777" w:rsidR="00B35529" w:rsidRPr="00763F5A" w:rsidRDefault="00B35529" w:rsidP="001B305A">
            <w:pPr>
              <w:pStyle w:val="Tabletext"/>
              <w:spacing w:after="240"/>
              <w:jc w:val="center"/>
            </w:pPr>
            <w:r w:rsidRPr="00763F5A">
              <w:t>4,771</w:t>
            </w:r>
          </w:p>
        </w:tc>
        <w:tc>
          <w:tcPr>
            <w:tcW w:w="750" w:type="pct"/>
          </w:tcPr>
          <w:p w14:paraId="29E31238" w14:textId="77777777" w:rsidR="00B35529" w:rsidRPr="00763F5A" w:rsidRDefault="00B35529" w:rsidP="001B305A">
            <w:pPr>
              <w:pStyle w:val="Tabletext"/>
              <w:spacing w:after="240"/>
              <w:jc w:val="center"/>
            </w:pPr>
            <w:r w:rsidRPr="00763F5A">
              <w:t>5,122</w:t>
            </w:r>
          </w:p>
        </w:tc>
        <w:tc>
          <w:tcPr>
            <w:tcW w:w="750" w:type="pct"/>
          </w:tcPr>
          <w:p w14:paraId="073EB023" w14:textId="77777777" w:rsidR="00B35529" w:rsidRPr="00763F5A" w:rsidRDefault="00B35529" w:rsidP="001B305A">
            <w:pPr>
              <w:pStyle w:val="Tabletext"/>
              <w:spacing w:after="240"/>
              <w:jc w:val="center"/>
            </w:pPr>
            <w:r w:rsidRPr="00763F5A">
              <w:t>5,499</w:t>
            </w:r>
          </w:p>
        </w:tc>
        <w:tc>
          <w:tcPr>
            <w:tcW w:w="749" w:type="pct"/>
          </w:tcPr>
          <w:p w14:paraId="0AF7E544" w14:textId="77777777" w:rsidR="00B35529" w:rsidRDefault="00B35529" w:rsidP="001B305A">
            <w:pPr>
              <w:pStyle w:val="Tabletext"/>
              <w:spacing w:after="240"/>
              <w:jc w:val="center"/>
            </w:pPr>
            <w:r w:rsidRPr="00763F5A">
              <w:t>5,903</w:t>
            </w:r>
          </w:p>
        </w:tc>
      </w:tr>
      <w:tr w:rsidR="00B35529" w:rsidRPr="008B2996" w14:paraId="73B32B06" w14:textId="77777777" w:rsidTr="006165E0">
        <w:trPr>
          <w:trHeight w:val="315"/>
        </w:trPr>
        <w:tc>
          <w:tcPr>
            <w:tcW w:w="1251" w:type="pct"/>
          </w:tcPr>
          <w:p w14:paraId="554947DD" w14:textId="77777777" w:rsidR="00B35529" w:rsidRPr="00183E4D" w:rsidRDefault="00B35529" w:rsidP="001B305A">
            <w:pPr>
              <w:widowControl w:val="0"/>
              <w:spacing w:after="240"/>
              <w:rPr>
                <w:rFonts w:ascii="Arial Narrow" w:hAnsi="Arial Narrow"/>
                <w:sz w:val="20"/>
              </w:rPr>
            </w:pPr>
            <w:r>
              <w:rPr>
                <w:rFonts w:ascii="Arial Narrow" w:hAnsi="Arial Narrow"/>
                <w:sz w:val="20"/>
              </w:rPr>
              <w:t>Costs offset</w:t>
            </w:r>
          </w:p>
        </w:tc>
        <w:tc>
          <w:tcPr>
            <w:tcW w:w="750" w:type="pct"/>
            <w:vAlign w:val="bottom"/>
          </w:tcPr>
          <w:p w14:paraId="7756C6DE" w14:textId="77777777" w:rsidR="00B35529" w:rsidRPr="008B2996" w:rsidRDefault="00B35529" w:rsidP="001B305A">
            <w:pPr>
              <w:widowControl w:val="0"/>
              <w:spacing w:after="240"/>
              <w:jc w:val="right"/>
              <w:rPr>
                <w:rFonts w:ascii="Arial Narrow" w:hAnsi="Arial Narrow"/>
                <w:sz w:val="20"/>
              </w:rPr>
            </w:pPr>
            <w:r w:rsidRPr="008B2996">
              <w:rPr>
                <w:rFonts w:ascii="Arial Narrow" w:hAnsi="Arial Narrow"/>
                <w:sz w:val="20"/>
              </w:rPr>
              <w:t>$1,914,329</w:t>
            </w:r>
          </w:p>
        </w:tc>
        <w:tc>
          <w:tcPr>
            <w:tcW w:w="750" w:type="pct"/>
            <w:vAlign w:val="bottom"/>
          </w:tcPr>
          <w:p w14:paraId="57182DD4" w14:textId="77777777" w:rsidR="00B35529" w:rsidRPr="008B2996" w:rsidRDefault="00B35529" w:rsidP="001B305A">
            <w:pPr>
              <w:widowControl w:val="0"/>
              <w:spacing w:after="240"/>
              <w:jc w:val="right"/>
              <w:rPr>
                <w:rFonts w:ascii="Arial Narrow" w:hAnsi="Arial Narrow"/>
                <w:sz w:val="20"/>
              </w:rPr>
            </w:pPr>
            <w:r w:rsidRPr="008B2996">
              <w:rPr>
                <w:rFonts w:ascii="Arial Narrow" w:hAnsi="Arial Narrow"/>
                <w:sz w:val="20"/>
              </w:rPr>
              <w:t>$2,055,157</w:t>
            </w:r>
          </w:p>
        </w:tc>
        <w:tc>
          <w:tcPr>
            <w:tcW w:w="750" w:type="pct"/>
            <w:vAlign w:val="bottom"/>
          </w:tcPr>
          <w:p w14:paraId="55A30F88" w14:textId="77777777" w:rsidR="00B35529" w:rsidRPr="008B2996" w:rsidRDefault="00B35529" w:rsidP="001B305A">
            <w:pPr>
              <w:widowControl w:val="0"/>
              <w:spacing w:after="240"/>
              <w:jc w:val="right"/>
              <w:rPr>
                <w:rFonts w:ascii="Arial Narrow" w:hAnsi="Arial Narrow"/>
                <w:sz w:val="20"/>
              </w:rPr>
            </w:pPr>
            <w:r w:rsidRPr="008B2996">
              <w:rPr>
                <w:rFonts w:ascii="Arial Narrow" w:hAnsi="Arial Narrow"/>
                <w:sz w:val="20"/>
              </w:rPr>
              <w:t>$2,206,345</w:t>
            </w:r>
          </w:p>
        </w:tc>
        <w:tc>
          <w:tcPr>
            <w:tcW w:w="750" w:type="pct"/>
            <w:vAlign w:val="bottom"/>
          </w:tcPr>
          <w:p w14:paraId="6B97B55C" w14:textId="77777777" w:rsidR="00B35529" w:rsidRPr="008B2996" w:rsidRDefault="00B35529" w:rsidP="001B305A">
            <w:pPr>
              <w:widowControl w:val="0"/>
              <w:spacing w:after="240"/>
              <w:jc w:val="right"/>
              <w:rPr>
                <w:rFonts w:ascii="Arial Narrow" w:hAnsi="Arial Narrow"/>
                <w:sz w:val="20"/>
              </w:rPr>
            </w:pPr>
            <w:r w:rsidRPr="008B2996">
              <w:rPr>
                <w:rFonts w:ascii="Arial Narrow" w:hAnsi="Arial Narrow"/>
                <w:sz w:val="20"/>
              </w:rPr>
              <w:t>$2,368,656</w:t>
            </w:r>
          </w:p>
        </w:tc>
        <w:tc>
          <w:tcPr>
            <w:tcW w:w="749" w:type="pct"/>
            <w:vAlign w:val="bottom"/>
          </w:tcPr>
          <w:p w14:paraId="36158C46" w14:textId="77777777" w:rsidR="00B35529" w:rsidRPr="008B2996" w:rsidRDefault="00B35529" w:rsidP="001B305A">
            <w:pPr>
              <w:widowControl w:val="0"/>
              <w:spacing w:after="240"/>
              <w:jc w:val="right"/>
              <w:rPr>
                <w:rFonts w:ascii="Arial Narrow" w:hAnsi="Arial Narrow"/>
                <w:sz w:val="20"/>
              </w:rPr>
            </w:pPr>
            <w:r w:rsidRPr="008B2996">
              <w:rPr>
                <w:rFonts w:ascii="Arial Narrow" w:hAnsi="Arial Narrow"/>
                <w:sz w:val="20"/>
              </w:rPr>
              <w:t>$2,542,906</w:t>
            </w:r>
          </w:p>
        </w:tc>
      </w:tr>
      <w:tr w:rsidR="00B35529" w:rsidRPr="008B2996" w14:paraId="13395F87" w14:textId="77777777" w:rsidTr="006165E0">
        <w:trPr>
          <w:trHeight w:val="315"/>
        </w:trPr>
        <w:tc>
          <w:tcPr>
            <w:tcW w:w="1251" w:type="pct"/>
          </w:tcPr>
          <w:p w14:paraId="3B867DF7" w14:textId="77777777" w:rsidR="00B35529" w:rsidRPr="008B2996" w:rsidRDefault="00B35529" w:rsidP="001B305A">
            <w:pPr>
              <w:widowControl w:val="0"/>
              <w:spacing w:after="240"/>
              <w:rPr>
                <w:rFonts w:ascii="Arial Narrow" w:hAnsi="Arial Narrow"/>
                <w:b/>
                <w:sz w:val="20"/>
              </w:rPr>
            </w:pPr>
            <w:r w:rsidRPr="008B2996">
              <w:rPr>
                <w:rFonts w:ascii="Arial Narrow" w:hAnsi="Arial Narrow"/>
                <w:b/>
                <w:sz w:val="20"/>
              </w:rPr>
              <w:t>Net cost to the MBS</w:t>
            </w:r>
          </w:p>
        </w:tc>
        <w:tc>
          <w:tcPr>
            <w:tcW w:w="750" w:type="pct"/>
            <w:vAlign w:val="bottom"/>
          </w:tcPr>
          <w:p w14:paraId="319B3F14" w14:textId="77777777" w:rsidR="00B35529" w:rsidRPr="008B2996" w:rsidRDefault="00B35529" w:rsidP="001B305A">
            <w:pPr>
              <w:widowControl w:val="0"/>
              <w:spacing w:after="240"/>
              <w:jc w:val="right"/>
              <w:rPr>
                <w:rFonts w:ascii="Arial Narrow" w:hAnsi="Arial Narrow"/>
                <w:b/>
                <w:sz w:val="20"/>
              </w:rPr>
            </w:pPr>
            <w:r w:rsidRPr="008B2996">
              <w:rPr>
                <w:rFonts w:ascii="Arial Narrow" w:hAnsi="Arial Narrow"/>
                <w:b/>
                <w:sz w:val="20"/>
              </w:rPr>
              <w:t>$729,801</w:t>
            </w:r>
          </w:p>
        </w:tc>
        <w:tc>
          <w:tcPr>
            <w:tcW w:w="750" w:type="pct"/>
            <w:vAlign w:val="bottom"/>
          </w:tcPr>
          <w:p w14:paraId="2BCFADA5" w14:textId="77777777" w:rsidR="00B35529" w:rsidRPr="008B2996" w:rsidRDefault="00B35529" w:rsidP="001B305A">
            <w:pPr>
              <w:widowControl w:val="0"/>
              <w:spacing w:after="240"/>
              <w:jc w:val="right"/>
              <w:rPr>
                <w:rFonts w:ascii="Arial Narrow" w:hAnsi="Arial Narrow"/>
                <w:b/>
                <w:sz w:val="20"/>
              </w:rPr>
            </w:pPr>
            <w:r w:rsidRPr="008B2996">
              <w:rPr>
                <w:rFonts w:ascii="Arial Narrow" w:hAnsi="Arial Narrow"/>
                <w:b/>
                <w:sz w:val="20"/>
              </w:rPr>
              <w:t>$783,489</w:t>
            </w:r>
          </w:p>
        </w:tc>
        <w:tc>
          <w:tcPr>
            <w:tcW w:w="750" w:type="pct"/>
            <w:vAlign w:val="bottom"/>
          </w:tcPr>
          <w:p w14:paraId="59456270" w14:textId="77777777" w:rsidR="00B35529" w:rsidRPr="008B2996" w:rsidRDefault="00B35529" w:rsidP="001B305A">
            <w:pPr>
              <w:widowControl w:val="0"/>
              <w:spacing w:after="240"/>
              <w:jc w:val="right"/>
              <w:rPr>
                <w:rFonts w:ascii="Arial Narrow" w:hAnsi="Arial Narrow"/>
                <w:b/>
                <w:sz w:val="20"/>
              </w:rPr>
            </w:pPr>
            <w:r w:rsidRPr="008B2996">
              <w:rPr>
                <w:rFonts w:ascii="Arial Narrow" w:hAnsi="Arial Narrow"/>
                <w:b/>
                <w:sz w:val="20"/>
              </w:rPr>
              <w:t>$841,127</w:t>
            </w:r>
          </w:p>
        </w:tc>
        <w:tc>
          <w:tcPr>
            <w:tcW w:w="750" w:type="pct"/>
            <w:vAlign w:val="bottom"/>
          </w:tcPr>
          <w:p w14:paraId="55DE582D" w14:textId="77777777" w:rsidR="00B35529" w:rsidRPr="008B2996" w:rsidRDefault="00B35529" w:rsidP="001B305A">
            <w:pPr>
              <w:widowControl w:val="0"/>
              <w:spacing w:after="240"/>
              <w:jc w:val="right"/>
              <w:rPr>
                <w:rFonts w:ascii="Arial Narrow" w:hAnsi="Arial Narrow"/>
                <w:b/>
                <w:sz w:val="20"/>
              </w:rPr>
            </w:pPr>
            <w:r w:rsidRPr="008B2996">
              <w:rPr>
                <w:rFonts w:ascii="Arial Narrow" w:hAnsi="Arial Narrow"/>
                <w:b/>
                <w:sz w:val="20"/>
              </w:rPr>
              <w:t>$903,004</w:t>
            </w:r>
          </w:p>
        </w:tc>
        <w:tc>
          <w:tcPr>
            <w:tcW w:w="749" w:type="pct"/>
            <w:vAlign w:val="bottom"/>
          </w:tcPr>
          <w:p w14:paraId="4DE988FE" w14:textId="77777777" w:rsidR="00B35529" w:rsidRPr="008B2996" w:rsidRDefault="00B35529" w:rsidP="001B305A">
            <w:pPr>
              <w:widowControl w:val="0"/>
              <w:spacing w:after="240"/>
              <w:jc w:val="right"/>
              <w:rPr>
                <w:rFonts w:ascii="Arial Narrow" w:hAnsi="Arial Narrow"/>
                <w:b/>
                <w:sz w:val="20"/>
              </w:rPr>
            </w:pPr>
            <w:r w:rsidRPr="008B2996">
              <w:rPr>
                <w:rFonts w:ascii="Arial Narrow" w:hAnsi="Arial Narrow"/>
                <w:b/>
                <w:sz w:val="20"/>
              </w:rPr>
              <w:t>$969,434</w:t>
            </w:r>
          </w:p>
        </w:tc>
      </w:tr>
    </w:tbl>
    <w:p w14:paraId="45C84F45" w14:textId="1A4344AF" w:rsidR="006165E0" w:rsidRPr="001B305A" w:rsidRDefault="006165E0" w:rsidP="001B305A">
      <w:pPr>
        <w:spacing w:after="240"/>
        <w:rPr>
          <w:sz w:val="16"/>
          <w:szCs w:val="16"/>
        </w:rPr>
      </w:pPr>
      <w:r w:rsidRPr="006165E0">
        <w:rPr>
          <w:sz w:val="16"/>
          <w:szCs w:val="16"/>
        </w:rPr>
        <w:t>LGE-CMR = late gadolinium enhancement cardiac magnetic resonance imaging; MBS = Medicare Benefits Schedule</w:t>
      </w:r>
    </w:p>
    <w:p w14:paraId="0EC09A6D" w14:textId="7F37C9BD" w:rsidR="006A0D97" w:rsidRPr="00DD60FB" w:rsidRDefault="006A0D97" w:rsidP="00DD60FB">
      <w:pPr>
        <w:pStyle w:val="Heading1"/>
      </w:pPr>
      <w:r w:rsidRPr="00DD60FB">
        <w:t>Key issues from ESC for MSAC</w:t>
      </w:r>
    </w:p>
    <w:p w14:paraId="67EB3033" w14:textId="35589CB2" w:rsidR="001B305A" w:rsidRPr="001B305A" w:rsidRDefault="00205E85" w:rsidP="001B305A">
      <w:pPr>
        <w:pStyle w:val="NoSpacing"/>
        <w:spacing w:after="240"/>
        <w:rPr>
          <w:rFonts w:ascii="Times New Roman" w:hAnsi="Times New Roman" w:cs="Times New Roman"/>
          <w:sz w:val="24"/>
          <w:szCs w:val="24"/>
        </w:rPr>
      </w:pPr>
      <w:r w:rsidRPr="00440D34">
        <w:rPr>
          <w:rFonts w:ascii="Times New Roman" w:hAnsi="Times New Roman" w:cs="Times New Roman"/>
          <w:sz w:val="24"/>
          <w:szCs w:val="24"/>
        </w:rPr>
        <w:t xml:space="preserve">ESC discussed and summarised </w:t>
      </w:r>
      <w:r w:rsidRPr="008B4C02">
        <w:rPr>
          <w:rFonts w:ascii="Times New Roman" w:hAnsi="Times New Roman" w:cs="Times New Roman"/>
          <w:sz w:val="24"/>
          <w:szCs w:val="24"/>
        </w:rPr>
        <w:t>the report and provided the following summary for MSAC to consider.</w:t>
      </w:r>
    </w:p>
    <w:p w14:paraId="7A698E8C" w14:textId="61C3F346" w:rsidR="00205E85" w:rsidRPr="00192C5F" w:rsidRDefault="00205E85" w:rsidP="001B305A">
      <w:pPr>
        <w:tabs>
          <w:tab w:val="left" w:pos="469"/>
        </w:tabs>
        <w:spacing w:after="240"/>
        <w:rPr>
          <w:szCs w:val="24"/>
        </w:rPr>
      </w:pPr>
      <w:r>
        <w:t xml:space="preserve">There are </w:t>
      </w:r>
      <w:r>
        <w:rPr>
          <w:szCs w:val="24"/>
        </w:rPr>
        <w:t>two</w:t>
      </w:r>
      <w:r w:rsidRPr="00192C5F">
        <w:rPr>
          <w:szCs w:val="24"/>
        </w:rPr>
        <w:t xml:space="preserve"> distinct populations to be noted though viability assessment</w:t>
      </w:r>
      <w:r>
        <w:t xml:space="preserve"> with late </w:t>
      </w:r>
      <w:r w:rsidR="000817E1">
        <w:t xml:space="preserve">gadolinium </w:t>
      </w:r>
      <w:r>
        <w:t>enhancement (LGE) is</w:t>
      </w:r>
      <w:r w:rsidRPr="00192C5F">
        <w:rPr>
          <w:szCs w:val="24"/>
        </w:rPr>
        <w:t xml:space="preserve"> common in both</w:t>
      </w:r>
      <w:r>
        <w:rPr>
          <w:szCs w:val="24"/>
        </w:rPr>
        <w:t xml:space="preserve">, forming a secondary part of the test in Population One and the primary purpose of the test in Population Two. </w:t>
      </w:r>
    </w:p>
    <w:p w14:paraId="3E8E7DCE" w14:textId="77777777" w:rsidR="00205E85" w:rsidRPr="00DD60FB" w:rsidRDefault="00205E85" w:rsidP="001B305A">
      <w:pPr>
        <w:tabs>
          <w:tab w:val="left" w:pos="469"/>
        </w:tabs>
        <w:spacing w:after="240"/>
        <w:rPr>
          <w:rStyle w:val="SubtleEmphasis"/>
        </w:rPr>
      </w:pPr>
      <w:r w:rsidRPr="00DD60FB">
        <w:rPr>
          <w:rStyle w:val="SubtleEmphasis"/>
        </w:rPr>
        <w:t>Population One</w:t>
      </w:r>
    </w:p>
    <w:p w14:paraId="0B22B448" w14:textId="4B057A19" w:rsidR="00205E85" w:rsidRPr="001B305A" w:rsidRDefault="001A58B9" w:rsidP="001B305A">
      <w:pPr>
        <w:tabs>
          <w:tab w:val="left" w:pos="469"/>
        </w:tabs>
        <w:spacing w:after="240"/>
        <w:rPr>
          <w:szCs w:val="24"/>
          <w:u w:val="single"/>
        </w:rPr>
      </w:pPr>
      <w:r>
        <w:t>CMR</w:t>
      </w:r>
      <w:r w:rsidR="00205E85">
        <w:t xml:space="preserve"> was non-inferior in terms of effectiveness but was inferior in safety compared to stress echo.</w:t>
      </w:r>
    </w:p>
    <w:p w14:paraId="183C5714" w14:textId="4554386D" w:rsidR="00205E85" w:rsidRPr="001B305A" w:rsidRDefault="00205E85" w:rsidP="001B305A">
      <w:pPr>
        <w:tabs>
          <w:tab w:val="left" w:pos="469"/>
        </w:tabs>
        <w:spacing w:after="240"/>
        <w:rPr>
          <w:szCs w:val="24"/>
        </w:rPr>
      </w:pPr>
      <w:r w:rsidRPr="00192C5F">
        <w:rPr>
          <w:szCs w:val="24"/>
        </w:rPr>
        <w:t xml:space="preserve">There are several functional vs anatomical tests available for this indication </w:t>
      </w:r>
      <w:r>
        <w:rPr>
          <w:szCs w:val="24"/>
        </w:rPr>
        <w:t xml:space="preserve">and it is likely that </w:t>
      </w:r>
      <w:r w:rsidR="001A58B9">
        <w:rPr>
          <w:szCs w:val="24"/>
        </w:rPr>
        <w:t>CMR</w:t>
      </w:r>
      <w:r>
        <w:rPr>
          <w:szCs w:val="24"/>
        </w:rPr>
        <w:t xml:space="preserve"> will </w:t>
      </w:r>
      <w:r w:rsidRPr="00192C5F">
        <w:rPr>
          <w:szCs w:val="24"/>
        </w:rPr>
        <w:t>become an add-on test as most people</w:t>
      </w:r>
      <w:r>
        <w:rPr>
          <w:szCs w:val="24"/>
        </w:rPr>
        <w:t xml:space="preserve"> would</w:t>
      </w:r>
      <w:r w:rsidRPr="00192C5F">
        <w:rPr>
          <w:szCs w:val="24"/>
        </w:rPr>
        <w:t xml:space="preserve"> have </w:t>
      </w:r>
      <w:r>
        <w:rPr>
          <w:szCs w:val="24"/>
        </w:rPr>
        <w:t xml:space="preserve">already </w:t>
      </w:r>
      <w:r w:rsidRPr="00192C5F">
        <w:rPr>
          <w:szCs w:val="24"/>
        </w:rPr>
        <w:t xml:space="preserve">had </w:t>
      </w:r>
      <w:r w:rsidR="000817E1">
        <w:rPr>
          <w:szCs w:val="24"/>
        </w:rPr>
        <w:t>a</w:t>
      </w:r>
      <w:r w:rsidR="000817E1" w:rsidRPr="00192C5F">
        <w:rPr>
          <w:szCs w:val="24"/>
        </w:rPr>
        <w:t xml:space="preserve"> </w:t>
      </w:r>
      <w:r w:rsidRPr="00192C5F">
        <w:rPr>
          <w:szCs w:val="24"/>
        </w:rPr>
        <w:t xml:space="preserve">stress </w:t>
      </w:r>
      <w:r>
        <w:rPr>
          <w:szCs w:val="24"/>
        </w:rPr>
        <w:t>echo.</w:t>
      </w:r>
      <w:r w:rsidRPr="00192C5F">
        <w:rPr>
          <w:szCs w:val="24"/>
        </w:rPr>
        <w:t xml:space="preserve"> </w:t>
      </w:r>
      <w:r>
        <w:rPr>
          <w:szCs w:val="24"/>
        </w:rPr>
        <w:t xml:space="preserve"> </w:t>
      </w:r>
      <w:r w:rsidRPr="00192C5F">
        <w:rPr>
          <w:szCs w:val="24"/>
        </w:rPr>
        <w:t xml:space="preserve">If it is to be considered as a replacement, ESC considered that it will most likely replace </w:t>
      </w:r>
      <w:proofErr w:type="gramStart"/>
      <w:r w:rsidRPr="00192C5F">
        <w:rPr>
          <w:szCs w:val="24"/>
        </w:rPr>
        <w:t>SPECT,</w:t>
      </w:r>
      <w:proofErr w:type="gramEnd"/>
      <w:r w:rsidRPr="00192C5F">
        <w:rPr>
          <w:szCs w:val="24"/>
        </w:rPr>
        <w:t xml:space="preserve"> however, </w:t>
      </w:r>
      <w:r>
        <w:rPr>
          <w:szCs w:val="24"/>
        </w:rPr>
        <w:t>this was not how the assessment group undertook the modelling</w:t>
      </w:r>
      <w:r w:rsidRPr="00192C5F">
        <w:rPr>
          <w:szCs w:val="24"/>
        </w:rPr>
        <w:t>.</w:t>
      </w:r>
    </w:p>
    <w:p w14:paraId="427C7155" w14:textId="2C29FC62" w:rsidR="00205E85" w:rsidRPr="001B305A" w:rsidRDefault="00205E85" w:rsidP="001B305A">
      <w:pPr>
        <w:tabs>
          <w:tab w:val="left" w:pos="469"/>
        </w:tabs>
        <w:spacing w:after="240"/>
      </w:pPr>
      <w:r>
        <w:t xml:space="preserve">ESC noted that the populations in the </w:t>
      </w:r>
      <w:r w:rsidR="000817E1">
        <w:t xml:space="preserve">key </w:t>
      </w:r>
      <w:r>
        <w:t>comparative trial (</w:t>
      </w:r>
      <w:proofErr w:type="spellStart"/>
      <w:r>
        <w:t>CECaT</w:t>
      </w:r>
      <w:proofErr w:type="spellEnd"/>
      <w:r>
        <w:t xml:space="preserve">) were hospital based out-patients and may not reflect real life scenarios to be faced in the intended population in Australia. </w:t>
      </w:r>
    </w:p>
    <w:p w14:paraId="3B149987" w14:textId="77777777" w:rsidR="00205E85" w:rsidRPr="00192C5F" w:rsidRDefault="00205E85" w:rsidP="001B305A">
      <w:pPr>
        <w:tabs>
          <w:tab w:val="left" w:pos="469"/>
        </w:tabs>
        <w:spacing w:after="240"/>
        <w:rPr>
          <w:szCs w:val="24"/>
        </w:rPr>
      </w:pPr>
      <w:r w:rsidRPr="00192C5F">
        <w:rPr>
          <w:szCs w:val="24"/>
        </w:rPr>
        <w:t>ESC noted that:</w:t>
      </w:r>
    </w:p>
    <w:p w14:paraId="2052AD1B" w14:textId="71873D4F" w:rsidR="00205E85" w:rsidRPr="00192C5F" w:rsidRDefault="00205E85" w:rsidP="001B305A">
      <w:pPr>
        <w:pStyle w:val="ListParagraph"/>
        <w:numPr>
          <w:ilvl w:val="0"/>
          <w:numId w:val="30"/>
        </w:numPr>
        <w:tabs>
          <w:tab w:val="left" w:pos="469"/>
        </w:tabs>
        <w:spacing w:after="240"/>
        <w:rPr>
          <w:szCs w:val="24"/>
        </w:rPr>
      </w:pPr>
      <w:proofErr w:type="gramStart"/>
      <w:r w:rsidRPr="00192C5F">
        <w:rPr>
          <w:szCs w:val="24"/>
        </w:rPr>
        <w:t>the</w:t>
      </w:r>
      <w:proofErr w:type="gramEnd"/>
      <w:r w:rsidRPr="00192C5F">
        <w:rPr>
          <w:szCs w:val="24"/>
        </w:rPr>
        <w:t xml:space="preserve"> </w:t>
      </w:r>
      <w:r w:rsidR="000817E1">
        <w:rPr>
          <w:szCs w:val="24"/>
        </w:rPr>
        <w:t>negative predictive value</w:t>
      </w:r>
      <w:r w:rsidR="000817E1" w:rsidRPr="00192C5F">
        <w:rPr>
          <w:szCs w:val="24"/>
        </w:rPr>
        <w:t xml:space="preserve"> </w:t>
      </w:r>
      <w:r w:rsidR="000817E1">
        <w:rPr>
          <w:szCs w:val="24"/>
        </w:rPr>
        <w:t xml:space="preserve">for SP-CMR + </w:t>
      </w:r>
      <w:proofErr w:type="spellStart"/>
      <w:r w:rsidR="000817E1">
        <w:rPr>
          <w:szCs w:val="24"/>
        </w:rPr>
        <w:t>LGE</w:t>
      </w:r>
      <w:r w:rsidRPr="00192C5F">
        <w:rPr>
          <w:szCs w:val="24"/>
        </w:rPr>
        <w:t>is</w:t>
      </w:r>
      <w:proofErr w:type="spellEnd"/>
      <w:r w:rsidRPr="00192C5F">
        <w:rPr>
          <w:szCs w:val="24"/>
        </w:rPr>
        <w:t xml:space="preserve"> low</w:t>
      </w:r>
      <w:r>
        <w:rPr>
          <w:szCs w:val="24"/>
        </w:rPr>
        <w:t>er</w:t>
      </w:r>
      <w:r w:rsidRPr="00192C5F">
        <w:rPr>
          <w:szCs w:val="24"/>
        </w:rPr>
        <w:t xml:space="preserve"> for Population </w:t>
      </w:r>
      <w:r>
        <w:rPr>
          <w:szCs w:val="24"/>
        </w:rPr>
        <w:t>One</w:t>
      </w:r>
      <w:r w:rsidRPr="00192C5F">
        <w:rPr>
          <w:szCs w:val="24"/>
        </w:rPr>
        <w:t xml:space="preserve"> </w:t>
      </w:r>
      <w:r>
        <w:rPr>
          <w:szCs w:val="24"/>
        </w:rPr>
        <w:t xml:space="preserve">when compared to </w:t>
      </w:r>
      <w:r w:rsidRPr="004803FE">
        <w:t>CTCA</w:t>
      </w:r>
      <w:r w:rsidRPr="00192C5F">
        <w:rPr>
          <w:szCs w:val="24"/>
        </w:rPr>
        <w:t xml:space="preserve">. </w:t>
      </w:r>
    </w:p>
    <w:p w14:paraId="1EC7AF37" w14:textId="72EE9197" w:rsidR="00205E85" w:rsidRPr="00192C5F" w:rsidRDefault="00205E85" w:rsidP="001B305A">
      <w:pPr>
        <w:pStyle w:val="ListParagraph"/>
        <w:numPr>
          <w:ilvl w:val="0"/>
          <w:numId w:val="30"/>
        </w:numPr>
        <w:tabs>
          <w:tab w:val="left" w:pos="469"/>
        </w:tabs>
        <w:spacing w:after="240"/>
        <w:rPr>
          <w:szCs w:val="24"/>
        </w:rPr>
      </w:pPr>
      <w:proofErr w:type="gramStart"/>
      <w:r w:rsidRPr="00192C5F">
        <w:rPr>
          <w:szCs w:val="24"/>
        </w:rPr>
        <w:t>in</w:t>
      </w:r>
      <w:proofErr w:type="gramEnd"/>
      <w:r w:rsidRPr="00192C5F">
        <w:rPr>
          <w:szCs w:val="24"/>
        </w:rPr>
        <w:t xml:space="preserve"> terms of </w:t>
      </w:r>
      <w:r w:rsidR="000817E1">
        <w:rPr>
          <w:szCs w:val="24"/>
        </w:rPr>
        <w:t>Positive Predictive Value</w:t>
      </w:r>
      <w:r w:rsidRPr="00192C5F">
        <w:rPr>
          <w:szCs w:val="24"/>
        </w:rPr>
        <w:t>, the strength of the results appear</w:t>
      </w:r>
      <w:r w:rsidR="000817E1">
        <w:rPr>
          <w:szCs w:val="24"/>
        </w:rPr>
        <w:t>s</w:t>
      </w:r>
      <w:r w:rsidRPr="00192C5F">
        <w:rPr>
          <w:szCs w:val="24"/>
        </w:rPr>
        <w:t xml:space="preserve"> relevant</w:t>
      </w:r>
      <w:r w:rsidR="000817E1">
        <w:rPr>
          <w:szCs w:val="24"/>
        </w:rPr>
        <w:t>:</w:t>
      </w:r>
      <w:r w:rsidRPr="00192C5F">
        <w:rPr>
          <w:szCs w:val="24"/>
        </w:rPr>
        <w:t xml:space="preserve"> If the result </w:t>
      </w:r>
      <w:r w:rsidR="000817E1">
        <w:rPr>
          <w:szCs w:val="24"/>
        </w:rPr>
        <w:t>is</w:t>
      </w:r>
      <w:r w:rsidR="000817E1" w:rsidRPr="00192C5F">
        <w:rPr>
          <w:szCs w:val="24"/>
        </w:rPr>
        <w:t xml:space="preserve"> </w:t>
      </w:r>
      <w:r w:rsidRPr="00192C5F">
        <w:rPr>
          <w:szCs w:val="24"/>
        </w:rPr>
        <w:t xml:space="preserve">strongly positive, it may </w:t>
      </w:r>
      <w:r>
        <w:rPr>
          <w:szCs w:val="24"/>
        </w:rPr>
        <w:t>lead to</w:t>
      </w:r>
      <w:r>
        <w:t xml:space="preserve"> </w:t>
      </w:r>
      <w:r w:rsidRPr="00192C5F">
        <w:rPr>
          <w:szCs w:val="24"/>
        </w:rPr>
        <w:t xml:space="preserve">ICA, however, if the result </w:t>
      </w:r>
      <w:r w:rsidR="000817E1">
        <w:rPr>
          <w:szCs w:val="24"/>
        </w:rPr>
        <w:t>is</w:t>
      </w:r>
      <w:r w:rsidR="000817E1" w:rsidRPr="00192C5F">
        <w:rPr>
          <w:szCs w:val="24"/>
        </w:rPr>
        <w:t xml:space="preserve"> </w:t>
      </w:r>
      <w:r w:rsidR="000817E1">
        <w:rPr>
          <w:szCs w:val="24"/>
        </w:rPr>
        <w:t>indeterminate</w:t>
      </w:r>
      <w:r w:rsidRPr="00192C5F">
        <w:rPr>
          <w:szCs w:val="24"/>
        </w:rPr>
        <w:t>, it will more likely lead to</w:t>
      </w:r>
      <w:r>
        <w:rPr>
          <w:szCs w:val="24"/>
        </w:rPr>
        <w:t xml:space="preserve"> other</w:t>
      </w:r>
      <w:r w:rsidRPr="00192C5F">
        <w:rPr>
          <w:szCs w:val="24"/>
        </w:rPr>
        <w:t xml:space="preserve"> additional tests.</w:t>
      </w:r>
    </w:p>
    <w:p w14:paraId="6D99929D" w14:textId="77777777" w:rsidR="00205E85" w:rsidRPr="0047505A" w:rsidRDefault="00205E85" w:rsidP="001B305A">
      <w:pPr>
        <w:pStyle w:val="ListParagraph"/>
        <w:tabs>
          <w:tab w:val="left" w:pos="469"/>
        </w:tabs>
        <w:spacing w:after="240"/>
        <w:rPr>
          <w:szCs w:val="24"/>
        </w:rPr>
      </w:pPr>
    </w:p>
    <w:p w14:paraId="379A95BC" w14:textId="77777777" w:rsidR="00205E85" w:rsidRPr="00DD60FB" w:rsidRDefault="00205E85" w:rsidP="001B305A">
      <w:pPr>
        <w:pStyle w:val="ListParagraph"/>
        <w:tabs>
          <w:tab w:val="left" w:pos="469"/>
        </w:tabs>
        <w:spacing w:after="240"/>
        <w:ind w:left="0"/>
        <w:rPr>
          <w:rStyle w:val="SubtleEmphasis"/>
        </w:rPr>
      </w:pPr>
      <w:r w:rsidRPr="00DD60FB">
        <w:rPr>
          <w:rStyle w:val="SubtleEmphasis"/>
        </w:rPr>
        <w:t>Population Two</w:t>
      </w:r>
    </w:p>
    <w:p w14:paraId="406F1B26" w14:textId="4554485D" w:rsidR="00205E85" w:rsidRPr="0047505A" w:rsidRDefault="00205E85" w:rsidP="001B305A">
      <w:pPr>
        <w:tabs>
          <w:tab w:val="left" w:pos="469"/>
        </w:tabs>
        <w:spacing w:after="240"/>
        <w:rPr>
          <w:szCs w:val="24"/>
        </w:rPr>
      </w:pPr>
      <w:r w:rsidRPr="0047505A">
        <w:rPr>
          <w:szCs w:val="24"/>
        </w:rPr>
        <w:t xml:space="preserve">ESC advised that the assessment of viability has limited evidence but </w:t>
      </w:r>
      <w:r w:rsidR="000817E1">
        <w:rPr>
          <w:szCs w:val="24"/>
        </w:rPr>
        <w:t xml:space="preserve">LGE-CMR </w:t>
      </w:r>
      <w:r w:rsidRPr="0047505A">
        <w:rPr>
          <w:szCs w:val="24"/>
        </w:rPr>
        <w:t xml:space="preserve">could possibly be </w:t>
      </w:r>
      <w:r>
        <w:rPr>
          <w:szCs w:val="24"/>
        </w:rPr>
        <w:t xml:space="preserve">a </w:t>
      </w:r>
      <w:r w:rsidRPr="0047505A">
        <w:rPr>
          <w:szCs w:val="24"/>
        </w:rPr>
        <w:t>replacement test.</w:t>
      </w:r>
      <w:r>
        <w:rPr>
          <w:szCs w:val="24"/>
        </w:rPr>
        <w:t xml:space="preserve"> </w:t>
      </w:r>
      <w:r w:rsidRPr="0047505A">
        <w:rPr>
          <w:szCs w:val="24"/>
        </w:rPr>
        <w:t xml:space="preserve"> It was noted that CSANZ suggests that newer studies may provide significant evidence. </w:t>
      </w:r>
      <w:r>
        <w:rPr>
          <w:szCs w:val="24"/>
        </w:rPr>
        <w:t xml:space="preserve"> </w:t>
      </w:r>
      <w:r w:rsidRPr="0047505A">
        <w:rPr>
          <w:szCs w:val="24"/>
        </w:rPr>
        <w:t xml:space="preserve">As such, ESC advised that MSAC may consider deferring to allow for further evaluation of </w:t>
      </w:r>
      <w:r w:rsidR="000817E1">
        <w:rPr>
          <w:szCs w:val="24"/>
        </w:rPr>
        <w:t>these</w:t>
      </w:r>
      <w:r w:rsidR="000817E1" w:rsidRPr="0047505A">
        <w:rPr>
          <w:szCs w:val="24"/>
        </w:rPr>
        <w:t xml:space="preserve"> </w:t>
      </w:r>
      <w:r w:rsidRPr="0047505A">
        <w:rPr>
          <w:szCs w:val="24"/>
        </w:rPr>
        <w:t xml:space="preserve">data. </w:t>
      </w:r>
      <w:r>
        <w:rPr>
          <w:szCs w:val="24"/>
        </w:rPr>
        <w:t xml:space="preserve"> The</w:t>
      </w:r>
      <w:r w:rsidRPr="0047505A">
        <w:rPr>
          <w:szCs w:val="24"/>
        </w:rPr>
        <w:t xml:space="preserve"> </w:t>
      </w:r>
      <w:r>
        <w:rPr>
          <w:szCs w:val="24"/>
        </w:rPr>
        <w:t xml:space="preserve">existing </w:t>
      </w:r>
      <w:r w:rsidRPr="0047505A">
        <w:rPr>
          <w:szCs w:val="24"/>
        </w:rPr>
        <w:t xml:space="preserve">data </w:t>
      </w:r>
      <w:r>
        <w:rPr>
          <w:szCs w:val="24"/>
        </w:rPr>
        <w:t xml:space="preserve">do not appear sufficient </w:t>
      </w:r>
      <w:r w:rsidRPr="0047505A">
        <w:rPr>
          <w:szCs w:val="24"/>
        </w:rPr>
        <w:t>for a full cost utility analysis.</w:t>
      </w:r>
    </w:p>
    <w:p w14:paraId="3C0CAFEA" w14:textId="77777777" w:rsidR="00DD60FB" w:rsidRDefault="00DD60FB">
      <w:pPr>
        <w:rPr>
          <w:rStyle w:val="SubtleEmphasis"/>
        </w:rPr>
      </w:pPr>
      <w:r>
        <w:rPr>
          <w:rStyle w:val="SubtleEmphasis"/>
        </w:rPr>
        <w:br w:type="page"/>
      </w:r>
    </w:p>
    <w:p w14:paraId="7319EFD8" w14:textId="1FCDFA6B" w:rsidR="00205E85" w:rsidRPr="00DD60FB" w:rsidRDefault="00205E85" w:rsidP="001B305A">
      <w:pPr>
        <w:tabs>
          <w:tab w:val="left" w:pos="469"/>
        </w:tabs>
        <w:spacing w:after="240"/>
        <w:rPr>
          <w:rStyle w:val="SubtleEmphasis"/>
        </w:rPr>
      </w:pPr>
      <w:r w:rsidRPr="00DD60FB">
        <w:rPr>
          <w:rStyle w:val="SubtleEmphasis"/>
        </w:rPr>
        <w:lastRenderedPageBreak/>
        <w:t>Other information for MSAC</w:t>
      </w:r>
    </w:p>
    <w:p w14:paraId="0D2BC7C6" w14:textId="21AEAC24" w:rsidR="00205E85" w:rsidRPr="0047505A" w:rsidRDefault="00205E85" w:rsidP="001B305A">
      <w:pPr>
        <w:tabs>
          <w:tab w:val="left" w:pos="469"/>
        </w:tabs>
        <w:spacing w:after="240"/>
        <w:rPr>
          <w:szCs w:val="24"/>
        </w:rPr>
      </w:pPr>
      <w:r w:rsidRPr="0047505A">
        <w:rPr>
          <w:szCs w:val="24"/>
        </w:rPr>
        <w:t xml:space="preserve">ESC also advised that MSAC may want to consider additional issues in relation to accessibility given the position of MRI licensing arrangements and </w:t>
      </w:r>
      <w:r>
        <w:rPr>
          <w:szCs w:val="24"/>
        </w:rPr>
        <w:t>r</w:t>
      </w:r>
      <w:r w:rsidRPr="0047505A">
        <w:rPr>
          <w:szCs w:val="24"/>
        </w:rPr>
        <w:t xml:space="preserve">eal-life referral patterns where GPs can request other comparators </w:t>
      </w:r>
      <w:r w:rsidR="000817E1">
        <w:rPr>
          <w:szCs w:val="24"/>
        </w:rPr>
        <w:t xml:space="preserve">(Ex-ECG, stress-Echo, SPECT) </w:t>
      </w:r>
      <w:r w:rsidRPr="0047505A">
        <w:rPr>
          <w:szCs w:val="24"/>
        </w:rPr>
        <w:t xml:space="preserve">but not </w:t>
      </w:r>
      <w:r>
        <w:rPr>
          <w:szCs w:val="24"/>
        </w:rPr>
        <w:t xml:space="preserve">the full range of </w:t>
      </w:r>
      <w:r w:rsidRPr="0047505A">
        <w:rPr>
          <w:szCs w:val="24"/>
        </w:rPr>
        <w:t>MRI</w:t>
      </w:r>
      <w:r>
        <w:rPr>
          <w:szCs w:val="24"/>
        </w:rPr>
        <w:t xml:space="preserve"> tests</w:t>
      </w:r>
      <w:r w:rsidRPr="0047505A">
        <w:rPr>
          <w:szCs w:val="24"/>
        </w:rPr>
        <w:t>.</w:t>
      </w:r>
    </w:p>
    <w:p w14:paraId="690CE51C" w14:textId="450EAE41" w:rsidR="00205E85" w:rsidRDefault="00205E85" w:rsidP="001B305A">
      <w:pPr>
        <w:tabs>
          <w:tab w:val="left" w:pos="469"/>
        </w:tabs>
        <w:spacing w:after="240"/>
        <w:rPr>
          <w:szCs w:val="24"/>
        </w:rPr>
      </w:pPr>
      <w:r w:rsidRPr="0047505A">
        <w:rPr>
          <w:szCs w:val="24"/>
        </w:rPr>
        <w:t>It was noted that this test delivers similar accuracy to other tests without radiation</w:t>
      </w:r>
      <w:r>
        <w:rPr>
          <w:szCs w:val="24"/>
        </w:rPr>
        <w:t xml:space="preserve"> </w:t>
      </w:r>
      <w:proofErr w:type="gramStart"/>
      <w:r>
        <w:rPr>
          <w:szCs w:val="24"/>
        </w:rPr>
        <w:t>exposure</w:t>
      </w:r>
      <w:r w:rsidRPr="0047505A">
        <w:rPr>
          <w:szCs w:val="24"/>
        </w:rPr>
        <w:t>,</w:t>
      </w:r>
      <w:proofErr w:type="gramEnd"/>
      <w:r>
        <w:rPr>
          <w:szCs w:val="24"/>
        </w:rPr>
        <w:t xml:space="preserve"> however given the target population is for </w:t>
      </w:r>
      <w:r w:rsidRPr="0047505A">
        <w:rPr>
          <w:szCs w:val="24"/>
        </w:rPr>
        <w:t>older Australian</w:t>
      </w:r>
      <w:r>
        <w:rPr>
          <w:szCs w:val="24"/>
        </w:rPr>
        <w:t xml:space="preserve">s, minimising radiation exposure is </w:t>
      </w:r>
      <w:r w:rsidR="004C0BBF">
        <w:rPr>
          <w:szCs w:val="24"/>
        </w:rPr>
        <w:t>less</w:t>
      </w:r>
      <w:r>
        <w:rPr>
          <w:szCs w:val="24"/>
        </w:rPr>
        <w:t xml:space="preserve"> of a concern </w:t>
      </w:r>
      <w:r w:rsidR="004C0BBF">
        <w:rPr>
          <w:szCs w:val="24"/>
        </w:rPr>
        <w:t xml:space="preserve">than </w:t>
      </w:r>
      <w:r>
        <w:rPr>
          <w:szCs w:val="24"/>
        </w:rPr>
        <w:t xml:space="preserve">it would be for a younger patient cohort. </w:t>
      </w:r>
    </w:p>
    <w:p w14:paraId="57D4D89C" w14:textId="5F3FD0E6" w:rsidR="00205E85" w:rsidRPr="0047505A" w:rsidRDefault="00205E85" w:rsidP="001B305A">
      <w:pPr>
        <w:tabs>
          <w:tab w:val="left" w:pos="469"/>
        </w:tabs>
        <w:spacing w:after="240"/>
        <w:rPr>
          <w:szCs w:val="24"/>
        </w:rPr>
      </w:pPr>
      <w:r w:rsidRPr="0047505A">
        <w:rPr>
          <w:szCs w:val="24"/>
        </w:rPr>
        <w:t xml:space="preserve">There is some question over the population applicability of </w:t>
      </w:r>
      <w:r>
        <w:rPr>
          <w:szCs w:val="24"/>
        </w:rPr>
        <w:t xml:space="preserve">the </w:t>
      </w:r>
      <w:proofErr w:type="spellStart"/>
      <w:r w:rsidRPr="0047505A">
        <w:rPr>
          <w:szCs w:val="24"/>
        </w:rPr>
        <w:t>C</w:t>
      </w:r>
      <w:r>
        <w:rPr>
          <w:szCs w:val="24"/>
        </w:rPr>
        <w:t>E</w:t>
      </w:r>
      <w:r w:rsidRPr="0047505A">
        <w:rPr>
          <w:szCs w:val="24"/>
        </w:rPr>
        <w:t>Ca</w:t>
      </w:r>
      <w:r>
        <w:rPr>
          <w:szCs w:val="24"/>
        </w:rPr>
        <w:t>T</w:t>
      </w:r>
      <w:proofErr w:type="spellEnd"/>
      <w:r w:rsidRPr="0047505A">
        <w:rPr>
          <w:szCs w:val="24"/>
        </w:rPr>
        <w:t xml:space="preserve"> trial to the general populatio</w:t>
      </w:r>
      <w:r>
        <w:rPr>
          <w:szCs w:val="24"/>
        </w:rPr>
        <w:t xml:space="preserve">n, due to the hospital based nature of the trial. </w:t>
      </w:r>
    </w:p>
    <w:p w14:paraId="188C8800" w14:textId="2E3DE6DD" w:rsidR="00205E85" w:rsidRPr="001B305A" w:rsidRDefault="00205E85" w:rsidP="001B305A">
      <w:pPr>
        <w:tabs>
          <w:tab w:val="left" w:pos="469"/>
        </w:tabs>
        <w:spacing w:after="240"/>
        <w:rPr>
          <w:szCs w:val="24"/>
        </w:rPr>
      </w:pPr>
      <w:r w:rsidRPr="0047505A">
        <w:rPr>
          <w:szCs w:val="24"/>
        </w:rPr>
        <w:t xml:space="preserve">ESC advised that it is unclear </w:t>
      </w:r>
      <w:r>
        <w:rPr>
          <w:szCs w:val="24"/>
        </w:rPr>
        <w:t>whether</w:t>
      </w:r>
      <w:r w:rsidRPr="0047505A">
        <w:rPr>
          <w:szCs w:val="24"/>
        </w:rPr>
        <w:t xml:space="preserve"> current guidelines are strictly followed in practice</w:t>
      </w:r>
      <w:r>
        <w:rPr>
          <w:szCs w:val="24"/>
        </w:rPr>
        <w:t>,</w:t>
      </w:r>
      <w:r w:rsidRPr="0047505A">
        <w:rPr>
          <w:szCs w:val="24"/>
        </w:rPr>
        <w:t xml:space="preserve"> for example, the </w:t>
      </w:r>
      <w:r w:rsidR="004C0BBF">
        <w:rPr>
          <w:szCs w:val="24"/>
        </w:rPr>
        <w:t xml:space="preserve">European Society of Cardiology </w:t>
      </w:r>
      <w:r w:rsidRPr="0047505A">
        <w:rPr>
          <w:szCs w:val="24"/>
        </w:rPr>
        <w:t xml:space="preserve">guideline suggests </w:t>
      </w:r>
      <w:r w:rsidR="004C0BBF">
        <w:rPr>
          <w:szCs w:val="24"/>
        </w:rPr>
        <w:t xml:space="preserve">transthoracic </w:t>
      </w:r>
      <w:r>
        <w:rPr>
          <w:szCs w:val="24"/>
        </w:rPr>
        <w:t>echo</w:t>
      </w:r>
      <w:r w:rsidRPr="0047505A">
        <w:rPr>
          <w:szCs w:val="24"/>
        </w:rPr>
        <w:t xml:space="preserve"> as an initial investigation</w:t>
      </w:r>
      <w:r w:rsidR="004C0BBF">
        <w:rPr>
          <w:szCs w:val="24"/>
        </w:rPr>
        <w:t xml:space="preserve"> for assessment of LV ejection fraction as a means of risk stratification</w:t>
      </w:r>
      <w:r>
        <w:rPr>
          <w:szCs w:val="24"/>
        </w:rPr>
        <w:t>, but it is not clear that this occurs</w:t>
      </w:r>
      <w:r w:rsidRPr="0047505A">
        <w:rPr>
          <w:szCs w:val="24"/>
        </w:rPr>
        <w:t>.</w:t>
      </w:r>
    </w:p>
    <w:p w14:paraId="4F800F54" w14:textId="17CE87ED" w:rsidR="00205E85" w:rsidRPr="001B305A" w:rsidRDefault="00205E85" w:rsidP="001B305A">
      <w:pPr>
        <w:tabs>
          <w:tab w:val="left" w:pos="469"/>
        </w:tabs>
        <w:spacing w:after="240"/>
        <w:rPr>
          <w:rFonts w:eastAsia="MS PGothic"/>
          <w:lang w:val="en-US"/>
        </w:rPr>
      </w:pPr>
      <w:r>
        <w:rPr>
          <w:rFonts w:eastAsia="MS PGothic"/>
          <w:lang w:val="en-US"/>
        </w:rPr>
        <w:t xml:space="preserve">ESC asked MSAC to consider whether </w:t>
      </w:r>
      <w:r w:rsidRPr="0047505A">
        <w:rPr>
          <w:rFonts w:eastAsia="MS PGothic"/>
          <w:lang w:val="en-US"/>
        </w:rPr>
        <w:t xml:space="preserve">there </w:t>
      </w:r>
      <w:r>
        <w:rPr>
          <w:rFonts w:eastAsia="MS PGothic"/>
          <w:lang w:val="en-US"/>
        </w:rPr>
        <w:t xml:space="preserve">is </w:t>
      </w:r>
      <w:r w:rsidRPr="0047505A">
        <w:rPr>
          <w:rFonts w:eastAsia="MS PGothic"/>
          <w:lang w:val="en-US"/>
        </w:rPr>
        <w:t xml:space="preserve">merit in </w:t>
      </w:r>
      <w:r>
        <w:rPr>
          <w:rFonts w:eastAsia="MS PGothic"/>
          <w:lang w:val="en-US"/>
        </w:rPr>
        <w:t xml:space="preserve">undertaking further analysis </w:t>
      </w:r>
      <w:r w:rsidRPr="0047505A">
        <w:rPr>
          <w:rFonts w:eastAsia="MS PGothic"/>
          <w:lang w:val="en-US"/>
        </w:rPr>
        <w:t xml:space="preserve">for the subpopulation of patients who cannot have a CTCA </w:t>
      </w:r>
      <w:r>
        <w:rPr>
          <w:rFonts w:eastAsia="MS PGothic"/>
          <w:lang w:val="en-US"/>
        </w:rPr>
        <w:t>where</w:t>
      </w:r>
      <w:r w:rsidRPr="0047505A">
        <w:rPr>
          <w:rFonts w:eastAsia="MS PGothic"/>
          <w:lang w:val="en-US"/>
        </w:rPr>
        <w:t xml:space="preserve"> the decision to progress to ICA is not justified</w:t>
      </w:r>
      <w:r>
        <w:rPr>
          <w:rFonts w:eastAsia="MS PGothic"/>
          <w:lang w:val="en-US"/>
        </w:rPr>
        <w:t>, noting the</w:t>
      </w:r>
      <w:r w:rsidRPr="0047505A">
        <w:rPr>
          <w:rFonts w:eastAsia="MS PGothic"/>
          <w:lang w:val="en-US"/>
        </w:rPr>
        <w:t xml:space="preserve"> limitations/restrictions of CTCA</w:t>
      </w:r>
      <w:r>
        <w:rPr>
          <w:rFonts w:eastAsia="MS PGothic"/>
          <w:lang w:val="en-US"/>
        </w:rPr>
        <w:t xml:space="preserve"> (such as </w:t>
      </w:r>
      <w:r w:rsidR="004C0BBF">
        <w:rPr>
          <w:rFonts w:eastAsia="MS PGothic"/>
          <w:lang w:val="en-US"/>
        </w:rPr>
        <w:t>contrast allergy</w:t>
      </w:r>
      <w:r>
        <w:rPr>
          <w:rFonts w:eastAsia="MS PGothic"/>
          <w:lang w:val="en-US"/>
        </w:rPr>
        <w:t xml:space="preserve">, high </w:t>
      </w:r>
      <w:r w:rsidR="004C0BBF">
        <w:rPr>
          <w:rFonts w:eastAsia="MS PGothic"/>
          <w:lang w:val="en-US"/>
        </w:rPr>
        <w:t xml:space="preserve">coronary artery </w:t>
      </w:r>
      <w:r>
        <w:rPr>
          <w:rFonts w:eastAsia="MS PGothic"/>
          <w:lang w:val="en-US"/>
        </w:rPr>
        <w:t>calcium scores).</w:t>
      </w:r>
      <w:r w:rsidRPr="0047505A">
        <w:rPr>
          <w:rFonts w:eastAsia="MS PGothic"/>
          <w:lang w:val="en-US"/>
        </w:rPr>
        <w:t xml:space="preserve"> </w:t>
      </w:r>
    </w:p>
    <w:p w14:paraId="6309BB0C" w14:textId="69414831" w:rsidR="006A0D97" w:rsidRPr="001B305A" w:rsidRDefault="00205E85" w:rsidP="001B305A">
      <w:pPr>
        <w:tabs>
          <w:tab w:val="left" w:pos="469"/>
        </w:tabs>
        <w:spacing w:after="240"/>
        <w:rPr>
          <w:szCs w:val="24"/>
        </w:rPr>
      </w:pPr>
      <w:r>
        <w:rPr>
          <w:szCs w:val="24"/>
        </w:rPr>
        <w:t>F</w:t>
      </w:r>
      <w:r w:rsidRPr="0047505A">
        <w:rPr>
          <w:szCs w:val="24"/>
        </w:rPr>
        <w:t>inally</w:t>
      </w:r>
      <w:r>
        <w:rPr>
          <w:szCs w:val="24"/>
        </w:rPr>
        <w:t>, ESC noted</w:t>
      </w:r>
      <w:r w:rsidRPr="0047505A">
        <w:rPr>
          <w:szCs w:val="24"/>
        </w:rPr>
        <w:t xml:space="preserve"> that there may be significant </w:t>
      </w:r>
      <w:r>
        <w:rPr>
          <w:szCs w:val="24"/>
        </w:rPr>
        <w:t>o</w:t>
      </w:r>
      <w:r w:rsidRPr="0047505A">
        <w:rPr>
          <w:szCs w:val="24"/>
        </w:rPr>
        <w:t>ut</w:t>
      </w:r>
      <w:r>
        <w:rPr>
          <w:szCs w:val="24"/>
        </w:rPr>
        <w:t>-</w:t>
      </w:r>
      <w:r w:rsidRPr="0047505A">
        <w:rPr>
          <w:szCs w:val="24"/>
        </w:rPr>
        <w:t>of</w:t>
      </w:r>
      <w:r>
        <w:rPr>
          <w:szCs w:val="24"/>
        </w:rPr>
        <w:t>-pocket</w:t>
      </w:r>
      <w:r w:rsidRPr="0047505A">
        <w:rPr>
          <w:szCs w:val="24"/>
        </w:rPr>
        <w:t xml:space="preserve"> </w:t>
      </w:r>
      <w:r>
        <w:rPr>
          <w:szCs w:val="24"/>
        </w:rPr>
        <w:t>expenses</w:t>
      </w:r>
      <w:r w:rsidRPr="0047505A">
        <w:rPr>
          <w:szCs w:val="24"/>
        </w:rPr>
        <w:t>.</w:t>
      </w:r>
    </w:p>
    <w:p w14:paraId="13810E68" w14:textId="44768055" w:rsidR="00D90A38" w:rsidRPr="00DD60FB" w:rsidRDefault="00BC1364" w:rsidP="00DD60FB">
      <w:pPr>
        <w:pStyle w:val="Heading1"/>
      </w:pPr>
      <w:r w:rsidRPr="00DD60FB">
        <w:t>Other significant factors</w:t>
      </w:r>
    </w:p>
    <w:p w14:paraId="34CB4B63" w14:textId="112627EB" w:rsidR="00BC1364" w:rsidRPr="00707064" w:rsidRDefault="00FC25D6" w:rsidP="001B305A">
      <w:pPr>
        <w:spacing w:after="240"/>
        <w:rPr>
          <w:szCs w:val="24"/>
        </w:rPr>
      </w:pPr>
      <w:r w:rsidRPr="00FE79BC">
        <w:rPr>
          <w:szCs w:val="24"/>
        </w:rPr>
        <w:t xml:space="preserve">International guidelines for the use of </w:t>
      </w:r>
      <w:r w:rsidR="001A58B9">
        <w:t>CMR</w:t>
      </w:r>
      <w:r w:rsidRPr="004803FE">
        <w:t xml:space="preserve"> </w:t>
      </w:r>
      <w:r w:rsidRPr="00FE79BC">
        <w:rPr>
          <w:szCs w:val="24"/>
        </w:rPr>
        <w:t xml:space="preserve">indicate that there is still some uncertainty around using this test in </w:t>
      </w:r>
      <w:r>
        <w:rPr>
          <w:szCs w:val="24"/>
        </w:rPr>
        <w:t xml:space="preserve">both </w:t>
      </w:r>
      <w:r w:rsidR="004C0BBF">
        <w:rPr>
          <w:szCs w:val="24"/>
        </w:rPr>
        <w:t xml:space="preserve">Populations One </w:t>
      </w:r>
      <w:r>
        <w:rPr>
          <w:szCs w:val="24"/>
        </w:rPr>
        <w:t xml:space="preserve">and </w:t>
      </w:r>
      <w:r w:rsidR="004C0BBF">
        <w:rPr>
          <w:szCs w:val="24"/>
        </w:rPr>
        <w:t>Two</w:t>
      </w:r>
      <w:r w:rsidRPr="00FE79BC">
        <w:rPr>
          <w:szCs w:val="24"/>
        </w:rPr>
        <w:t xml:space="preserve">, as data are still emerging. </w:t>
      </w:r>
      <w:r>
        <w:rPr>
          <w:szCs w:val="24"/>
        </w:rPr>
        <w:t xml:space="preserve"> </w:t>
      </w:r>
      <w:r w:rsidRPr="00FE79BC">
        <w:rPr>
          <w:szCs w:val="24"/>
        </w:rPr>
        <w:t>For all types of non-invasive imaging, recommendations highlight the use of imaging only in cases of genuine clinical uncertainty.</w:t>
      </w:r>
    </w:p>
    <w:p w14:paraId="0BB04EDC" w14:textId="37327552" w:rsidR="00BC1364" w:rsidRPr="00DD60FB" w:rsidRDefault="00BC1364" w:rsidP="00DD60FB">
      <w:pPr>
        <w:pStyle w:val="Heading1"/>
      </w:pPr>
      <w:r w:rsidRPr="00DD60FB">
        <w:t xml:space="preserve">Applicant’s comments on MSAC’s </w:t>
      </w:r>
      <w:r w:rsidR="00DA56AA" w:rsidRPr="00DD60FB">
        <w:t>Public Summary Document</w:t>
      </w:r>
    </w:p>
    <w:p w14:paraId="4352AD82" w14:textId="77777777" w:rsidR="00A142BE" w:rsidRPr="00A142BE" w:rsidRDefault="00A142BE" w:rsidP="001B305A">
      <w:pPr>
        <w:spacing w:after="240"/>
        <w:rPr>
          <w:rFonts w:eastAsia="Calibri"/>
          <w:color w:val="000000"/>
          <w:szCs w:val="24"/>
        </w:rPr>
      </w:pPr>
      <w:r w:rsidRPr="00A142BE">
        <w:rPr>
          <w:rFonts w:eastAsia="Calibri"/>
          <w:color w:val="000000"/>
          <w:szCs w:val="24"/>
        </w:rPr>
        <w:t xml:space="preserve">In our original rebuttal to the review we stated that the assessment performed was flawed and </w:t>
      </w:r>
      <w:proofErr w:type="gramStart"/>
      <w:r w:rsidRPr="00A142BE">
        <w:rPr>
          <w:rFonts w:eastAsia="Calibri"/>
          <w:color w:val="000000"/>
          <w:szCs w:val="24"/>
        </w:rPr>
        <w:t>is</w:t>
      </w:r>
      <w:proofErr w:type="gramEnd"/>
      <w:r w:rsidRPr="00A142BE">
        <w:rPr>
          <w:rFonts w:eastAsia="Calibri"/>
          <w:color w:val="000000"/>
          <w:szCs w:val="24"/>
        </w:rPr>
        <w:t xml:space="preserve"> not fit for the purpose of informing MSAC in regard to cardiac MRI. We believe that the assessment group were poorly advised in their choice of relevant trials in the literature. Landmark trials such as the </w:t>
      </w:r>
      <w:proofErr w:type="spellStart"/>
      <w:r w:rsidRPr="00A142BE">
        <w:rPr>
          <w:rFonts w:eastAsia="Calibri"/>
          <w:color w:val="000000"/>
          <w:szCs w:val="24"/>
        </w:rPr>
        <w:t>CeMARC</w:t>
      </w:r>
      <w:proofErr w:type="spellEnd"/>
      <w:r w:rsidRPr="00A142BE">
        <w:rPr>
          <w:rFonts w:eastAsia="Calibri"/>
          <w:color w:val="000000"/>
          <w:szCs w:val="24"/>
        </w:rPr>
        <w:t xml:space="preserve"> study were dismissed. Much of the assessment and calculations were focused upon the older </w:t>
      </w:r>
      <w:proofErr w:type="spellStart"/>
      <w:r w:rsidRPr="00A142BE">
        <w:rPr>
          <w:rFonts w:eastAsia="Calibri"/>
          <w:color w:val="000000"/>
          <w:szCs w:val="24"/>
        </w:rPr>
        <w:t>CECaT</w:t>
      </w:r>
      <w:proofErr w:type="spellEnd"/>
      <w:r w:rsidRPr="00A142BE">
        <w:rPr>
          <w:rFonts w:eastAsia="Calibri"/>
          <w:color w:val="000000"/>
          <w:szCs w:val="24"/>
        </w:rPr>
        <w:t xml:space="preserve"> study. The entire protocol in </w:t>
      </w:r>
      <w:proofErr w:type="spellStart"/>
      <w:r w:rsidRPr="00A142BE">
        <w:rPr>
          <w:rFonts w:eastAsia="Calibri"/>
          <w:color w:val="000000"/>
          <w:szCs w:val="24"/>
        </w:rPr>
        <w:t>CECaT</w:t>
      </w:r>
      <w:proofErr w:type="spellEnd"/>
      <w:r w:rsidRPr="00A142BE">
        <w:rPr>
          <w:rFonts w:eastAsia="Calibri"/>
          <w:color w:val="000000"/>
          <w:szCs w:val="24"/>
        </w:rPr>
        <w:t xml:space="preserve">, from the patient group, to scanner type / location, to sequences used, to acquisition, to analysis, is fundamentally different to the techniques in our proposal. We even provided a letter from the corresponding author of the </w:t>
      </w:r>
      <w:proofErr w:type="spellStart"/>
      <w:r w:rsidRPr="00A142BE">
        <w:rPr>
          <w:rFonts w:eastAsia="Calibri"/>
          <w:color w:val="000000"/>
          <w:szCs w:val="24"/>
        </w:rPr>
        <w:t>CECaT</w:t>
      </w:r>
      <w:proofErr w:type="spellEnd"/>
      <w:r w:rsidRPr="00A142BE">
        <w:rPr>
          <w:rFonts w:eastAsia="Calibri"/>
          <w:color w:val="000000"/>
          <w:szCs w:val="24"/>
        </w:rPr>
        <w:t xml:space="preserve"> stating that, although they were immensely proud of the trial, it was not appropriate to use that data to inform decisions on our proposal.</w:t>
      </w:r>
    </w:p>
    <w:p w14:paraId="55D71D95" w14:textId="77777777" w:rsidR="00A142BE" w:rsidRPr="00A142BE" w:rsidRDefault="00A142BE" w:rsidP="001B305A">
      <w:pPr>
        <w:autoSpaceDE w:val="0"/>
        <w:autoSpaceDN w:val="0"/>
        <w:adjustRightInd w:val="0"/>
        <w:spacing w:after="240"/>
        <w:rPr>
          <w:rFonts w:eastAsia="Calibri"/>
          <w:color w:val="000000"/>
          <w:szCs w:val="24"/>
        </w:rPr>
      </w:pPr>
    </w:p>
    <w:p w14:paraId="3896B04D" w14:textId="77777777" w:rsidR="00A142BE" w:rsidRPr="00A142BE" w:rsidRDefault="00A142BE" w:rsidP="001B305A">
      <w:pPr>
        <w:autoSpaceDE w:val="0"/>
        <w:autoSpaceDN w:val="0"/>
        <w:adjustRightInd w:val="0"/>
        <w:spacing w:after="240"/>
        <w:rPr>
          <w:rFonts w:eastAsia="Calibri"/>
          <w:color w:val="000000"/>
          <w:szCs w:val="24"/>
        </w:rPr>
      </w:pPr>
      <w:r w:rsidRPr="00A142BE">
        <w:rPr>
          <w:rFonts w:eastAsia="Calibri"/>
          <w:color w:val="000000"/>
          <w:szCs w:val="24"/>
        </w:rPr>
        <w:t xml:space="preserve">MSAC stated that invasive coronary angiography is the reference standard for confirming or ruling out coronary artery disease (CAD) but this technique is recognised as being unreliable to define the significance of coronary lesions. In the setting of chest pain assessment, it is the presence of a functionally significant stenosis, rather that the simple presence of CAD, which is more relevant. A patient may have a 50% coronary </w:t>
      </w:r>
      <w:proofErr w:type="gramStart"/>
      <w:r w:rsidRPr="00A142BE">
        <w:rPr>
          <w:rFonts w:eastAsia="Calibri"/>
          <w:color w:val="000000"/>
          <w:szCs w:val="24"/>
        </w:rPr>
        <w:t>stenosis, that</w:t>
      </w:r>
      <w:proofErr w:type="gramEnd"/>
      <w:r w:rsidRPr="00A142BE">
        <w:rPr>
          <w:rFonts w:eastAsia="Calibri"/>
          <w:color w:val="000000"/>
          <w:szCs w:val="24"/>
        </w:rPr>
        <w:t xml:space="preserve"> is not responsible for their chest pain as it does not limit flow down the artery. Fractional flow reserve (FFR) (or quantitative coronary angiography) would be more appropriate comparators for a functional test such as MRI. </w:t>
      </w:r>
    </w:p>
    <w:p w14:paraId="0DCC7D54" w14:textId="25CB8FCD" w:rsidR="00A142BE" w:rsidRPr="00A142BE" w:rsidRDefault="00A142BE" w:rsidP="001B305A">
      <w:pPr>
        <w:spacing w:after="240"/>
        <w:rPr>
          <w:rFonts w:eastAsia="Calibri"/>
          <w:color w:val="000000"/>
          <w:szCs w:val="24"/>
        </w:rPr>
      </w:pPr>
      <w:r w:rsidRPr="00A142BE">
        <w:rPr>
          <w:rFonts w:eastAsia="Calibri"/>
          <w:color w:val="000000"/>
          <w:szCs w:val="24"/>
        </w:rPr>
        <w:lastRenderedPageBreak/>
        <w:t>As data from inappropriate trials was used for the analysis, all the subsequent calculations and statements (from number of indeterminate studies to positive and negative predictive values), to the economic consequences) are simply not relevant to the proposal.</w:t>
      </w:r>
    </w:p>
    <w:p w14:paraId="78F0AC65" w14:textId="77777777" w:rsidR="00A142BE" w:rsidRPr="00A142BE" w:rsidRDefault="00A142BE" w:rsidP="00DD60FB">
      <w:pPr>
        <w:pStyle w:val="Heading2"/>
        <w:rPr>
          <w:rFonts w:eastAsia="Calibri"/>
        </w:rPr>
      </w:pPr>
      <w:r w:rsidRPr="00A142BE">
        <w:rPr>
          <w:rFonts w:eastAsia="Calibri"/>
        </w:rPr>
        <w:t xml:space="preserve"> References: </w:t>
      </w:r>
    </w:p>
    <w:p w14:paraId="44129753" w14:textId="77777777" w:rsidR="00A142BE" w:rsidRPr="00A142BE" w:rsidRDefault="00A142BE" w:rsidP="001B305A">
      <w:pPr>
        <w:autoSpaceDE w:val="0"/>
        <w:autoSpaceDN w:val="0"/>
        <w:adjustRightInd w:val="0"/>
        <w:spacing w:after="240"/>
        <w:rPr>
          <w:rFonts w:eastAsia="Calibri"/>
          <w:color w:val="000000"/>
          <w:szCs w:val="24"/>
        </w:rPr>
      </w:pPr>
      <w:r w:rsidRPr="00A142BE">
        <w:rPr>
          <w:rFonts w:eastAsia="Calibri"/>
          <w:color w:val="000000"/>
          <w:szCs w:val="24"/>
        </w:rPr>
        <w:t>1. Lancet. 2012 Feb 4</w:t>
      </w:r>
      <w:proofErr w:type="gramStart"/>
      <w:r w:rsidRPr="00A142BE">
        <w:rPr>
          <w:rFonts w:eastAsia="Calibri"/>
          <w:color w:val="000000"/>
          <w:szCs w:val="24"/>
        </w:rPr>
        <w:t>;379</w:t>
      </w:r>
      <w:proofErr w:type="gramEnd"/>
      <w:r w:rsidRPr="00A142BE">
        <w:rPr>
          <w:rFonts w:eastAsia="Calibri"/>
          <w:color w:val="000000"/>
          <w:szCs w:val="24"/>
        </w:rPr>
        <w:t xml:space="preserve">(9814):453-60. </w:t>
      </w:r>
      <w:proofErr w:type="spellStart"/>
      <w:proofErr w:type="gramStart"/>
      <w:r w:rsidRPr="00A142BE">
        <w:rPr>
          <w:rFonts w:eastAsia="Calibri"/>
          <w:color w:val="000000"/>
          <w:szCs w:val="24"/>
        </w:rPr>
        <w:t>doi</w:t>
      </w:r>
      <w:proofErr w:type="spellEnd"/>
      <w:proofErr w:type="gramEnd"/>
      <w:r w:rsidRPr="00A142BE">
        <w:rPr>
          <w:rFonts w:eastAsia="Calibri"/>
          <w:color w:val="000000"/>
          <w:szCs w:val="24"/>
        </w:rPr>
        <w:t xml:space="preserve">: 10.1016/S0140-6736(11)61335-4 </w:t>
      </w:r>
    </w:p>
    <w:p w14:paraId="184435EE" w14:textId="77777777" w:rsidR="00A142BE" w:rsidRPr="00A142BE" w:rsidRDefault="00A142BE" w:rsidP="001B305A">
      <w:pPr>
        <w:autoSpaceDE w:val="0"/>
        <w:autoSpaceDN w:val="0"/>
        <w:adjustRightInd w:val="0"/>
        <w:spacing w:after="240"/>
        <w:rPr>
          <w:rFonts w:eastAsia="Calibri"/>
          <w:color w:val="000000"/>
          <w:szCs w:val="24"/>
        </w:rPr>
      </w:pPr>
      <w:r w:rsidRPr="00A142BE">
        <w:rPr>
          <w:rFonts w:eastAsia="Calibri"/>
          <w:color w:val="000000"/>
          <w:szCs w:val="24"/>
        </w:rPr>
        <w:t xml:space="preserve">2. Greenwood JP, Herzog BA, Brown JM, Everett CC, Nixon J, </w:t>
      </w:r>
      <w:proofErr w:type="spellStart"/>
      <w:r w:rsidRPr="00A142BE">
        <w:rPr>
          <w:rFonts w:eastAsia="Calibri"/>
          <w:color w:val="000000"/>
          <w:szCs w:val="24"/>
        </w:rPr>
        <w:t>Bijsterveld</w:t>
      </w:r>
      <w:proofErr w:type="spellEnd"/>
      <w:r w:rsidRPr="00A142BE">
        <w:rPr>
          <w:rFonts w:eastAsia="Calibri"/>
          <w:color w:val="000000"/>
          <w:szCs w:val="24"/>
        </w:rPr>
        <w:t xml:space="preserve"> P, </w:t>
      </w:r>
      <w:proofErr w:type="spellStart"/>
      <w:r w:rsidRPr="00A142BE">
        <w:rPr>
          <w:rFonts w:eastAsia="Calibri"/>
          <w:color w:val="000000"/>
          <w:szCs w:val="24"/>
        </w:rPr>
        <w:t>Maredia</w:t>
      </w:r>
      <w:proofErr w:type="spellEnd"/>
      <w:r w:rsidRPr="00A142BE">
        <w:rPr>
          <w:rFonts w:eastAsia="Calibri"/>
          <w:color w:val="000000"/>
          <w:szCs w:val="24"/>
        </w:rPr>
        <w:t xml:space="preserve"> N, </w:t>
      </w:r>
      <w:proofErr w:type="spellStart"/>
      <w:r w:rsidRPr="00A142BE">
        <w:rPr>
          <w:rFonts w:eastAsia="Calibri"/>
          <w:color w:val="000000"/>
          <w:szCs w:val="24"/>
        </w:rPr>
        <w:t>Motwani</w:t>
      </w:r>
      <w:proofErr w:type="spellEnd"/>
      <w:r w:rsidRPr="00A142BE">
        <w:rPr>
          <w:rFonts w:eastAsia="Calibri"/>
          <w:color w:val="000000"/>
          <w:szCs w:val="24"/>
        </w:rPr>
        <w:t xml:space="preserve"> M, Dickinson CJ, Ball SG, </w:t>
      </w:r>
      <w:proofErr w:type="spellStart"/>
      <w:r w:rsidRPr="00A142BE">
        <w:rPr>
          <w:rFonts w:eastAsia="Calibri"/>
          <w:color w:val="000000"/>
          <w:szCs w:val="24"/>
        </w:rPr>
        <w:t>Plein</w:t>
      </w:r>
      <w:proofErr w:type="spellEnd"/>
      <w:r w:rsidRPr="00A142BE">
        <w:rPr>
          <w:rFonts w:eastAsia="Calibri"/>
          <w:color w:val="000000"/>
          <w:szCs w:val="24"/>
        </w:rPr>
        <w:t xml:space="preserve"> S. Ann Intern Med. 2016 May 10. </w:t>
      </w:r>
      <w:proofErr w:type="spellStart"/>
      <w:proofErr w:type="gramStart"/>
      <w:r w:rsidRPr="00A142BE">
        <w:rPr>
          <w:rFonts w:eastAsia="Calibri"/>
          <w:color w:val="000000"/>
          <w:szCs w:val="24"/>
        </w:rPr>
        <w:t>doi</w:t>
      </w:r>
      <w:proofErr w:type="spellEnd"/>
      <w:proofErr w:type="gramEnd"/>
      <w:r w:rsidRPr="00A142BE">
        <w:rPr>
          <w:rFonts w:eastAsia="Calibri"/>
          <w:color w:val="000000"/>
          <w:szCs w:val="24"/>
        </w:rPr>
        <w:t xml:space="preserve">: 10.7326/M15-1801. </w:t>
      </w:r>
    </w:p>
    <w:p w14:paraId="0BD598B9" w14:textId="77777777" w:rsidR="00A142BE" w:rsidRPr="00A142BE" w:rsidRDefault="00A142BE" w:rsidP="001B305A">
      <w:pPr>
        <w:autoSpaceDE w:val="0"/>
        <w:autoSpaceDN w:val="0"/>
        <w:adjustRightInd w:val="0"/>
        <w:spacing w:after="240"/>
        <w:rPr>
          <w:rFonts w:eastAsia="Calibri"/>
          <w:color w:val="000000"/>
          <w:szCs w:val="24"/>
        </w:rPr>
      </w:pPr>
      <w:r w:rsidRPr="00A142BE">
        <w:rPr>
          <w:rFonts w:eastAsia="Calibri"/>
          <w:color w:val="000000"/>
          <w:szCs w:val="24"/>
        </w:rPr>
        <w:t xml:space="preserve">3. Walker S1, </w:t>
      </w:r>
      <w:proofErr w:type="spellStart"/>
      <w:r w:rsidRPr="00A142BE">
        <w:rPr>
          <w:rFonts w:eastAsia="Calibri"/>
          <w:color w:val="000000"/>
          <w:szCs w:val="24"/>
        </w:rPr>
        <w:t>Girardin</w:t>
      </w:r>
      <w:proofErr w:type="spellEnd"/>
      <w:r w:rsidRPr="00A142BE">
        <w:rPr>
          <w:rFonts w:eastAsia="Calibri"/>
          <w:color w:val="000000"/>
          <w:szCs w:val="24"/>
        </w:rPr>
        <w:t xml:space="preserve"> F, McKenna C, Ball SG, Nixon J, </w:t>
      </w:r>
      <w:proofErr w:type="spellStart"/>
      <w:r w:rsidRPr="00A142BE">
        <w:rPr>
          <w:rFonts w:eastAsia="Calibri"/>
          <w:color w:val="000000"/>
          <w:szCs w:val="24"/>
        </w:rPr>
        <w:t>Plein</w:t>
      </w:r>
      <w:proofErr w:type="spellEnd"/>
      <w:r w:rsidRPr="00A142BE">
        <w:rPr>
          <w:rFonts w:eastAsia="Calibri"/>
          <w:color w:val="000000"/>
          <w:szCs w:val="24"/>
        </w:rPr>
        <w:t xml:space="preserve"> S, Greenwood JP, </w:t>
      </w:r>
      <w:proofErr w:type="spellStart"/>
      <w:r w:rsidRPr="00A142BE">
        <w:rPr>
          <w:rFonts w:eastAsia="Calibri"/>
          <w:color w:val="000000"/>
          <w:szCs w:val="24"/>
        </w:rPr>
        <w:t>Sculpher</w:t>
      </w:r>
      <w:proofErr w:type="spellEnd"/>
      <w:r w:rsidRPr="00A142BE">
        <w:rPr>
          <w:rFonts w:eastAsia="Calibri"/>
          <w:color w:val="000000"/>
          <w:szCs w:val="24"/>
        </w:rPr>
        <w:t xml:space="preserve"> M. Heart. 2013 Jun</w:t>
      </w:r>
      <w:proofErr w:type="gramStart"/>
      <w:r w:rsidRPr="00A142BE">
        <w:rPr>
          <w:rFonts w:eastAsia="Calibri"/>
          <w:color w:val="000000"/>
          <w:szCs w:val="24"/>
        </w:rPr>
        <w:t>;99</w:t>
      </w:r>
      <w:proofErr w:type="gramEnd"/>
      <w:r w:rsidRPr="00A142BE">
        <w:rPr>
          <w:rFonts w:eastAsia="Calibri"/>
          <w:color w:val="000000"/>
          <w:szCs w:val="24"/>
        </w:rPr>
        <w:t>(12):873-81</w:t>
      </w:r>
    </w:p>
    <w:p w14:paraId="04397F89" w14:textId="77777777" w:rsidR="00BC1364" w:rsidRPr="00DD60FB" w:rsidRDefault="00271F18" w:rsidP="00DD60FB">
      <w:pPr>
        <w:pStyle w:val="Heading1"/>
      </w:pPr>
      <w:bookmarkStart w:id="16" w:name="_GoBack"/>
      <w:r w:rsidRPr="00DD60FB">
        <w:t>Further information on MSAC</w:t>
      </w:r>
    </w:p>
    <w:bookmarkEnd w:id="16"/>
    <w:p w14:paraId="6B2E38E8" w14:textId="52A65659" w:rsidR="00BC1364" w:rsidRPr="00DD2858" w:rsidRDefault="00271F18" w:rsidP="001B305A">
      <w:pPr>
        <w:spacing w:after="240"/>
        <w:rPr>
          <w:szCs w:val="24"/>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available on the </w:t>
      </w:r>
      <w:hyperlink r:id="rId11" w:tooltip="This is a link to the MSAC website" w:history="1">
        <w:r w:rsidR="00C7589F">
          <w:rPr>
            <w:rStyle w:val="Hyperlink"/>
            <w:color w:val="auto"/>
            <w:szCs w:val="24"/>
          </w:rPr>
          <w:t>MSAC Website</w:t>
        </w:r>
      </w:hyperlink>
    </w:p>
    <w:sectPr w:rsidR="00BC1364" w:rsidRPr="00DD2858" w:rsidSect="00271F18">
      <w:headerReference w:type="even" r:id="rId12"/>
      <w:headerReference w:type="default" r:id="rId13"/>
      <w:footerReference w:type="even" r:id="rId14"/>
      <w:footerReference w:type="default" r:id="rId15"/>
      <w:headerReference w:type="first" r:id="rId16"/>
      <w:footerReference w:type="first" r:id="rId17"/>
      <w:pgSz w:w="11906" w:h="16838"/>
      <w:pgMar w:top="1134" w:right="1440" w:bottom="426"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F6243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DC5BD7" w14:textId="77777777" w:rsidR="00EF4F78" w:rsidRDefault="00EF4F78" w:rsidP="00065623">
      <w:r>
        <w:separator/>
      </w:r>
    </w:p>
  </w:endnote>
  <w:endnote w:type="continuationSeparator" w:id="0">
    <w:p w14:paraId="3E44266A" w14:textId="77777777" w:rsidR="00EF4F78" w:rsidRDefault="00EF4F78"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6408C" w14:textId="77777777" w:rsidR="003753F3" w:rsidRDefault="003753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75E60EE2" w14:textId="2AC6E93E" w:rsidR="00DA7046" w:rsidRDefault="00DA7046">
        <w:pPr>
          <w:pStyle w:val="Footer"/>
          <w:jc w:val="right"/>
        </w:pPr>
        <w:r>
          <w:fldChar w:fldCharType="begin"/>
        </w:r>
        <w:r>
          <w:instrText xml:space="preserve"> PAGE   \* MERGEFORMAT </w:instrText>
        </w:r>
        <w:r>
          <w:fldChar w:fldCharType="separate"/>
        </w:r>
        <w:r w:rsidR="00DD60FB">
          <w:rPr>
            <w:noProof/>
          </w:rPr>
          <w:t>18</w:t>
        </w:r>
        <w:r>
          <w:rPr>
            <w:noProof/>
          </w:rPr>
          <w:fldChar w:fldCharType="end"/>
        </w:r>
      </w:p>
    </w:sdtContent>
  </w:sdt>
  <w:p w14:paraId="15D5D8CF" w14:textId="77777777" w:rsidR="00DA7046" w:rsidRDefault="00DA70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8D214" w14:textId="77777777" w:rsidR="003753F3" w:rsidRDefault="003753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961D2E" w14:textId="77777777" w:rsidR="00EF4F78" w:rsidRDefault="00EF4F78" w:rsidP="00065623">
      <w:r>
        <w:separator/>
      </w:r>
    </w:p>
  </w:footnote>
  <w:footnote w:type="continuationSeparator" w:id="0">
    <w:p w14:paraId="51CCCFAC" w14:textId="77777777" w:rsidR="00EF4F78" w:rsidRDefault="00EF4F78" w:rsidP="00065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5A359" w14:textId="77777777" w:rsidR="003753F3" w:rsidRDefault="003753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67B66" w14:textId="77777777" w:rsidR="003753F3" w:rsidRDefault="003753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ED2EA" w14:textId="77777777" w:rsidR="003753F3" w:rsidRDefault="003753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1CAD"/>
    <w:multiLevelType w:val="hybridMultilevel"/>
    <w:tmpl w:val="939C37B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A493334"/>
    <w:multiLevelType w:val="hybridMultilevel"/>
    <w:tmpl w:val="087A8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F7706DA"/>
    <w:multiLevelType w:val="hybridMultilevel"/>
    <w:tmpl w:val="20C81FF0"/>
    <w:lvl w:ilvl="0" w:tplc="8CFC43D2">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A1C3FCD"/>
    <w:multiLevelType w:val="hybridMultilevel"/>
    <w:tmpl w:val="B39A8812"/>
    <w:lvl w:ilvl="0" w:tplc="B82AC9A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D1F6F40"/>
    <w:multiLevelType w:val="hybridMultilevel"/>
    <w:tmpl w:val="78082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E0C2B6A"/>
    <w:multiLevelType w:val="hybridMultilevel"/>
    <w:tmpl w:val="92569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nsid w:val="67EE5D00"/>
    <w:multiLevelType w:val="hybridMultilevel"/>
    <w:tmpl w:val="4102789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D3673F4"/>
    <w:multiLevelType w:val="hybridMultilevel"/>
    <w:tmpl w:val="BB5E8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nsid w:val="6FBA0B51"/>
    <w:multiLevelType w:val="hybridMultilevel"/>
    <w:tmpl w:val="BC7EC6B0"/>
    <w:lvl w:ilvl="0" w:tplc="0C090001">
      <w:start w:val="1"/>
      <w:numFmt w:val="bullet"/>
      <w:lvlText w:val=""/>
      <w:lvlJc w:val="left"/>
      <w:pPr>
        <w:tabs>
          <w:tab w:val="num" w:pos="1080"/>
        </w:tabs>
        <w:ind w:left="1080" w:hanging="720"/>
      </w:pPr>
      <w:rPr>
        <w:rFonts w:ascii="Symbol" w:hAnsi="Symbol"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E9E5829"/>
    <w:multiLevelType w:val="hybridMultilevel"/>
    <w:tmpl w:val="E8580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8"/>
  </w:num>
  <w:num w:numId="3">
    <w:abstractNumId w:val="3"/>
  </w:num>
  <w:num w:numId="4">
    <w:abstractNumId w:val="20"/>
  </w:num>
  <w:num w:numId="5">
    <w:abstractNumId w:val="13"/>
  </w:num>
  <w:num w:numId="6">
    <w:abstractNumId w:val="19"/>
  </w:num>
  <w:num w:numId="7">
    <w:abstractNumId w:val="24"/>
  </w:num>
  <w:num w:numId="8">
    <w:abstractNumId w:val="14"/>
  </w:num>
  <w:num w:numId="9">
    <w:abstractNumId w:val="34"/>
  </w:num>
  <w:num w:numId="10">
    <w:abstractNumId w:val="2"/>
  </w:num>
  <w:num w:numId="11">
    <w:abstractNumId w:val="23"/>
  </w:num>
  <w:num w:numId="12">
    <w:abstractNumId w:val="25"/>
  </w:num>
  <w:num w:numId="13">
    <w:abstractNumId w:val="7"/>
  </w:num>
  <w:num w:numId="14">
    <w:abstractNumId w:val="31"/>
  </w:num>
  <w:num w:numId="15">
    <w:abstractNumId w:val="21"/>
  </w:num>
  <w:num w:numId="16">
    <w:abstractNumId w:val="26"/>
  </w:num>
  <w:num w:numId="17">
    <w:abstractNumId w:val="15"/>
  </w:num>
  <w:num w:numId="18">
    <w:abstractNumId w:val="17"/>
  </w:num>
  <w:num w:numId="19">
    <w:abstractNumId w:val="29"/>
  </w:num>
  <w:num w:numId="20">
    <w:abstractNumId w:val="27"/>
  </w:num>
  <w:num w:numId="21">
    <w:abstractNumId w:val="6"/>
  </w:num>
  <w:num w:numId="22">
    <w:abstractNumId w:val="12"/>
  </w:num>
  <w:num w:numId="23">
    <w:abstractNumId w:val="5"/>
  </w:num>
  <w:num w:numId="24">
    <w:abstractNumId w:val="11"/>
  </w:num>
  <w:num w:numId="25">
    <w:abstractNumId w:val="8"/>
  </w:num>
  <w:num w:numId="26">
    <w:abstractNumId w:val="33"/>
  </w:num>
  <w:num w:numId="27">
    <w:abstractNumId w:val="32"/>
  </w:num>
  <w:num w:numId="28">
    <w:abstractNumId w:val="22"/>
  </w:num>
  <w:num w:numId="29">
    <w:abstractNumId w:val="30"/>
  </w:num>
  <w:num w:numId="30">
    <w:abstractNumId w:val="16"/>
  </w:num>
  <w:num w:numId="31">
    <w:abstractNumId w:val="1"/>
  </w:num>
  <w:num w:numId="32">
    <w:abstractNumId w:val="10"/>
  </w:num>
  <w:num w:numId="33">
    <w:abstractNumId w:val="28"/>
  </w:num>
  <w:num w:numId="34">
    <w:abstractNumId w:val="0"/>
  </w:num>
  <w:num w:numId="3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derick Khafagi">
    <w15:presenceInfo w15:providerId="Windows Live" w15:userId="a520bff9aa54ec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11A36"/>
    <w:rsid w:val="00020C4D"/>
    <w:rsid w:val="00022DE5"/>
    <w:rsid w:val="00031A9A"/>
    <w:rsid w:val="00033125"/>
    <w:rsid w:val="00046182"/>
    <w:rsid w:val="00047606"/>
    <w:rsid w:val="00052637"/>
    <w:rsid w:val="00065623"/>
    <w:rsid w:val="00067F85"/>
    <w:rsid w:val="000735AD"/>
    <w:rsid w:val="000756B9"/>
    <w:rsid w:val="000817E1"/>
    <w:rsid w:val="00096B67"/>
    <w:rsid w:val="00096DAF"/>
    <w:rsid w:val="000A7A1E"/>
    <w:rsid w:val="000B17FE"/>
    <w:rsid w:val="000C2F47"/>
    <w:rsid w:val="000C70E4"/>
    <w:rsid w:val="000D5C0C"/>
    <w:rsid w:val="000D6C00"/>
    <w:rsid w:val="000D79CC"/>
    <w:rsid w:val="000E4E04"/>
    <w:rsid w:val="000F14B4"/>
    <w:rsid w:val="000F3B09"/>
    <w:rsid w:val="000F75DF"/>
    <w:rsid w:val="00107108"/>
    <w:rsid w:val="00111141"/>
    <w:rsid w:val="001328FA"/>
    <w:rsid w:val="00145B34"/>
    <w:rsid w:val="00147AAF"/>
    <w:rsid w:val="001552C0"/>
    <w:rsid w:val="001640B1"/>
    <w:rsid w:val="0018435E"/>
    <w:rsid w:val="001A58B9"/>
    <w:rsid w:val="001B305A"/>
    <w:rsid w:val="001B3C72"/>
    <w:rsid w:val="001D3CA4"/>
    <w:rsid w:val="001D5AF1"/>
    <w:rsid w:val="001E5010"/>
    <w:rsid w:val="001F1FDF"/>
    <w:rsid w:val="002041A1"/>
    <w:rsid w:val="002054F0"/>
    <w:rsid w:val="00205E85"/>
    <w:rsid w:val="00221711"/>
    <w:rsid w:val="00230D6B"/>
    <w:rsid w:val="00232068"/>
    <w:rsid w:val="002330F2"/>
    <w:rsid w:val="00243D9E"/>
    <w:rsid w:val="00253B66"/>
    <w:rsid w:val="00261DF1"/>
    <w:rsid w:val="00271F18"/>
    <w:rsid w:val="00282779"/>
    <w:rsid w:val="0028334D"/>
    <w:rsid w:val="0028661E"/>
    <w:rsid w:val="002A1489"/>
    <w:rsid w:val="002B7FFA"/>
    <w:rsid w:val="002C2BCF"/>
    <w:rsid w:val="002C5B39"/>
    <w:rsid w:val="002D000C"/>
    <w:rsid w:val="002D2218"/>
    <w:rsid w:val="002E2EBE"/>
    <w:rsid w:val="002F279D"/>
    <w:rsid w:val="002F43B8"/>
    <w:rsid w:val="003127E1"/>
    <w:rsid w:val="003316E8"/>
    <w:rsid w:val="00336856"/>
    <w:rsid w:val="0034554D"/>
    <w:rsid w:val="00352224"/>
    <w:rsid w:val="003671E6"/>
    <w:rsid w:val="003753F3"/>
    <w:rsid w:val="0037558F"/>
    <w:rsid w:val="00384272"/>
    <w:rsid w:val="00386D67"/>
    <w:rsid w:val="00391FE0"/>
    <w:rsid w:val="003945B8"/>
    <w:rsid w:val="003A017E"/>
    <w:rsid w:val="003B4E60"/>
    <w:rsid w:val="003D7F29"/>
    <w:rsid w:val="003E195F"/>
    <w:rsid w:val="003F2C62"/>
    <w:rsid w:val="00405A6B"/>
    <w:rsid w:val="00407B1F"/>
    <w:rsid w:val="00414C57"/>
    <w:rsid w:val="0041758C"/>
    <w:rsid w:val="00442F59"/>
    <w:rsid w:val="004539DE"/>
    <w:rsid w:val="00470BCB"/>
    <w:rsid w:val="00485006"/>
    <w:rsid w:val="004A2CF1"/>
    <w:rsid w:val="004A4905"/>
    <w:rsid w:val="004C0BBF"/>
    <w:rsid w:val="004C3035"/>
    <w:rsid w:val="004C307F"/>
    <w:rsid w:val="004D062B"/>
    <w:rsid w:val="004D67F9"/>
    <w:rsid w:val="004E4BA8"/>
    <w:rsid w:val="004F0969"/>
    <w:rsid w:val="004F340F"/>
    <w:rsid w:val="004F7B7C"/>
    <w:rsid w:val="00510584"/>
    <w:rsid w:val="00514EBF"/>
    <w:rsid w:val="0052243D"/>
    <w:rsid w:val="00532435"/>
    <w:rsid w:val="005345BE"/>
    <w:rsid w:val="00550354"/>
    <w:rsid w:val="00571236"/>
    <w:rsid w:val="005953A1"/>
    <w:rsid w:val="005B6DB3"/>
    <w:rsid w:val="005D0332"/>
    <w:rsid w:val="005D0D8C"/>
    <w:rsid w:val="006060EF"/>
    <w:rsid w:val="006111E4"/>
    <w:rsid w:val="006165E0"/>
    <w:rsid w:val="00635AEA"/>
    <w:rsid w:val="006453E6"/>
    <w:rsid w:val="0065797A"/>
    <w:rsid w:val="006709E6"/>
    <w:rsid w:val="006776AE"/>
    <w:rsid w:val="0069355C"/>
    <w:rsid w:val="006A0D97"/>
    <w:rsid w:val="006A1A6D"/>
    <w:rsid w:val="006B1F86"/>
    <w:rsid w:val="006B2CA8"/>
    <w:rsid w:val="006B4333"/>
    <w:rsid w:val="006B52FC"/>
    <w:rsid w:val="006C0A91"/>
    <w:rsid w:val="006C0C5B"/>
    <w:rsid w:val="006F6F47"/>
    <w:rsid w:val="007054BB"/>
    <w:rsid w:val="00707064"/>
    <w:rsid w:val="0071347B"/>
    <w:rsid w:val="00725B10"/>
    <w:rsid w:val="00730683"/>
    <w:rsid w:val="00742FE8"/>
    <w:rsid w:val="0075261F"/>
    <w:rsid w:val="0075468E"/>
    <w:rsid w:val="0076151C"/>
    <w:rsid w:val="00764BC8"/>
    <w:rsid w:val="007665D8"/>
    <w:rsid w:val="00766E36"/>
    <w:rsid w:val="007765F4"/>
    <w:rsid w:val="00776633"/>
    <w:rsid w:val="00784D53"/>
    <w:rsid w:val="00797797"/>
    <w:rsid w:val="007A63C9"/>
    <w:rsid w:val="007B32D1"/>
    <w:rsid w:val="007B7095"/>
    <w:rsid w:val="007B7D0D"/>
    <w:rsid w:val="007D24E1"/>
    <w:rsid w:val="007E5B3B"/>
    <w:rsid w:val="007F4CE9"/>
    <w:rsid w:val="007F4E20"/>
    <w:rsid w:val="00817F01"/>
    <w:rsid w:val="00822C7E"/>
    <w:rsid w:val="00847060"/>
    <w:rsid w:val="00856A33"/>
    <w:rsid w:val="00873592"/>
    <w:rsid w:val="00883634"/>
    <w:rsid w:val="00885193"/>
    <w:rsid w:val="00892620"/>
    <w:rsid w:val="00893C38"/>
    <w:rsid w:val="008C7D37"/>
    <w:rsid w:val="008D5885"/>
    <w:rsid w:val="009043A8"/>
    <w:rsid w:val="00923FA2"/>
    <w:rsid w:val="00924934"/>
    <w:rsid w:val="0096060D"/>
    <w:rsid w:val="00974A50"/>
    <w:rsid w:val="0097585A"/>
    <w:rsid w:val="009924B0"/>
    <w:rsid w:val="009942C9"/>
    <w:rsid w:val="009B35C4"/>
    <w:rsid w:val="009C630A"/>
    <w:rsid w:val="009E0D98"/>
    <w:rsid w:val="009E17EB"/>
    <w:rsid w:val="00A068A1"/>
    <w:rsid w:val="00A06B95"/>
    <w:rsid w:val="00A1207D"/>
    <w:rsid w:val="00A12FD8"/>
    <w:rsid w:val="00A142BE"/>
    <w:rsid w:val="00A16A18"/>
    <w:rsid w:val="00A26C0A"/>
    <w:rsid w:val="00A346FC"/>
    <w:rsid w:val="00A84F93"/>
    <w:rsid w:val="00A953A7"/>
    <w:rsid w:val="00AA4982"/>
    <w:rsid w:val="00AB1AC5"/>
    <w:rsid w:val="00AB3BFC"/>
    <w:rsid w:val="00AB406F"/>
    <w:rsid w:val="00AB74E5"/>
    <w:rsid w:val="00AC4F2E"/>
    <w:rsid w:val="00AC6199"/>
    <w:rsid w:val="00AD0C37"/>
    <w:rsid w:val="00AD385F"/>
    <w:rsid w:val="00AE6E2A"/>
    <w:rsid w:val="00B31E9C"/>
    <w:rsid w:val="00B35529"/>
    <w:rsid w:val="00B35595"/>
    <w:rsid w:val="00B51C6D"/>
    <w:rsid w:val="00B86D64"/>
    <w:rsid w:val="00B9099B"/>
    <w:rsid w:val="00BA4AC5"/>
    <w:rsid w:val="00BB3F32"/>
    <w:rsid w:val="00BC1364"/>
    <w:rsid w:val="00BC7DE9"/>
    <w:rsid w:val="00BE76AF"/>
    <w:rsid w:val="00BF479B"/>
    <w:rsid w:val="00C02577"/>
    <w:rsid w:val="00C11DE2"/>
    <w:rsid w:val="00C14832"/>
    <w:rsid w:val="00C14E47"/>
    <w:rsid w:val="00C204FB"/>
    <w:rsid w:val="00C20BEE"/>
    <w:rsid w:val="00C2158D"/>
    <w:rsid w:val="00C258C6"/>
    <w:rsid w:val="00C26353"/>
    <w:rsid w:val="00C4791D"/>
    <w:rsid w:val="00C67DD2"/>
    <w:rsid w:val="00C725CB"/>
    <w:rsid w:val="00C7589F"/>
    <w:rsid w:val="00C76F5C"/>
    <w:rsid w:val="00C96BAD"/>
    <w:rsid w:val="00CA6944"/>
    <w:rsid w:val="00CA6BBF"/>
    <w:rsid w:val="00CB0BE9"/>
    <w:rsid w:val="00CB0F8E"/>
    <w:rsid w:val="00CB176F"/>
    <w:rsid w:val="00CB7E7D"/>
    <w:rsid w:val="00CC2911"/>
    <w:rsid w:val="00CE0FFD"/>
    <w:rsid w:val="00CF0C6D"/>
    <w:rsid w:val="00CF7307"/>
    <w:rsid w:val="00CF7C68"/>
    <w:rsid w:val="00D124FA"/>
    <w:rsid w:val="00D279FC"/>
    <w:rsid w:val="00D340DE"/>
    <w:rsid w:val="00D55723"/>
    <w:rsid w:val="00D62FAD"/>
    <w:rsid w:val="00D70450"/>
    <w:rsid w:val="00D83BFD"/>
    <w:rsid w:val="00D90A38"/>
    <w:rsid w:val="00DA0515"/>
    <w:rsid w:val="00DA171E"/>
    <w:rsid w:val="00DA56AA"/>
    <w:rsid w:val="00DA7046"/>
    <w:rsid w:val="00DB47C0"/>
    <w:rsid w:val="00DB5833"/>
    <w:rsid w:val="00DD2858"/>
    <w:rsid w:val="00DD5F24"/>
    <w:rsid w:val="00DD60FB"/>
    <w:rsid w:val="00DF1BAF"/>
    <w:rsid w:val="00E03E33"/>
    <w:rsid w:val="00E12685"/>
    <w:rsid w:val="00E3642A"/>
    <w:rsid w:val="00E415C4"/>
    <w:rsid w:val="00E50016"/>
    <w:rsid w:val="00E50EAA"/>
    <w:rsid w:val="00E5218F"/>
    <w:rsid w:val="00E632F0"/>
    <w:rsid w:val="00E656D6"/>
    <w:rsid w:val="00E977EE"/>
    <w:rsid w:val="00EA67A2"/>
    <w:rsid w:val="00EB6B6F"/>
    <w:rsid w:val="00EC4F98"/>
    <w:rsid w:val="00EF4F78"/>
    <w:rsid w:val="00F12F02"/>
    <w:rsid w:val="00F14CB7"/>
    <w:rsid w:val="00F32E0D"/>
    <w:rsid w:val="00F35134"/>
    <w:rsid w:val="00F412B4"/>
    <w:rsid w:val="00F41812"/>
    <w:rsid w:val="00F70DCC"/>
    <w:rsid w:val="00F73333"/>
    <w:rsid w:val="00F95D8F"/>
    <w:rsid w:val="00FA104E"/>
    <w:rsid w:val="00FA595A"/>
    <w:rsid w:val="00FB0B59"/>
    <w:rsid w:val="00FB350A"/>
    <w:rsid w:val="00FB7074"/>
    <w:rsid w:val="00FC25D6"/>
    <w:rsid w:val="00FE731D"/>
    <w:rsid w:val="00FF2F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9776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725B10"/>
    <w:pPr>
      <w:keepNext/>
      <w:keepLines/>
      <w:numPr>
        <w:numId w:val="35"/>
      </w:numPr>
      <w:outlineLvl w:val="0"/>
    </w:pPr>
    <w:rPr>
      <w:rFonts w:ascii="Arial" w:hAnsi="Arial"/>
      <w:b/>
      <w:bCs/>
      <w:szCs w:val="28"/>
    </w:rPr>
  </w:style>
  <w:style w:type="paragraph" w:styleId="Heading2">
    <w:name w:val="heading 2"/>
    <w:basedOn w:val="Normal"/>
    <w:next w:val="Normal"/>
    <w:link w:val="Heading2Char"/>
    <w:unhideWhenUsed/>
    <w:qFormat/>
    <w:locked/>
    <w:rsid w:val="00725B10"/>
    <w:pPr>
      <w:spacing w:after="240"/>
      <w:outlineLvl w:val="1"/>
    </w:pPr>
    <w:rPr>
      <w:b/>
      <w:u w:val="single"/>
    </w:rPr>
  </w:style>
  <w:style w:type="paragraph" w:styleId="Heading5">
    <w:name w:val="heading 5"/>
    <w:basedOn w:val="Normal"/>
    <w:next w:val="Normal"/>
    <w:link w:val="Heading5Char"/>
    <w:uiPriority w:val="9"/>
    <w:semiHidden/>
    <w:unhideWhenUsed/>
    <w:qFormat/>
    <w:locked/>
    <w:rsid w:val="00C14E4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5B10"/>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725B10"/>
    <w:rPr>
      <w:rFonts w:eastAsia="Times New Roman"/>
      <w:b/>
      <w:sz w:val="24"/>
      <w:szCs w:val="20"/>
      <w:u w:val="single"/>
    </w:rPr>
  </w:style>
  <w:style w:type="paragraph" w:customStyle="1" w:styleId="TableHeading">
    <w:name w:val="TableHeading"/>
    <w:basedOn w:val="Normal"/>
    <w:link w:val="TableHeadingChar"/>
    <w:qFormat/>
    <w:rsid w:val="009E17EB"/>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9E17EB"/>
    <w:rPr>
      <w:rFonts w:ascii="Arial Narrow" w:eastAsia="Times New Roman" w:hAnsi="Arial Narrow" w:cs="Tahoma"/>
      <w:b/>
      <w:noProof/>
      <w:sz w:val="20"/>
      <w:szCs w:val="20"/>
    </w:rPr>
  </w:style>
  <w:style w:type="character" w:customStyle="1" w:styleId="Heading5Char">
    <w:name w:val="Heading 5 Char"/>
    <w:basedOn w:val="DefaultParagraphFont"/>
    <w:link w:val="Heading5"/>
    <w:uiPriority w:val="9"/>
    <w:semiHidden/>
    <w:rsid w:val="00C14E47"/>
    <w:rPr>
      <w:rFonts w:asciiTheme="majorHAnsi" w:eastAsiaTheme="majorEastAsia" w:hAnsiTheme="majorHAnsi" w:cstheme="majorBidi"/>
      <w:color w:val="243F60" w:themeColor="accent1" w:themeShade="7F"/>
      <w:sz w:val="24"/>
      <w:szCs w:val="20"/>
    </w:rPr>
  </w:style>
  <w:style w:type="table" w:styleId="TableGrid">
    <w:name w:val="Table Grid"/>
    <w:basedOn w:val="TableNormal"/>
    <w:uiPriority w:val="59"/>
    <w:locked/>
    <w:rsid w:val="006C0C5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link w:val="TabletextChar"/>
    <w:qFormat/>
    <w:rsid w:val="006C0C5B"/>
    <w:rPr>
      <w:rFonts w:ascii="Arial Narrow" w:hAnsi="Arial Narrow"/>
      <w:sz w:val="20"/>
      <w:szCs w:val="24"/>
      <w:lang w:eastAsia="en-US"/>
    </w:rPr>
  </w:style>
  <w:style w:type="character" w:customStyle="1" w:styleId="TabletextChar">
    <w:name w:val="Table text Char"/>
    <w:basedOn w:val="DefaultParagraphFont"/>
    <w:link w:val="Tabletext"/>
    <w:rsid w:val="006C0C5B"/>
    <w:rPr>
      <w:rFonts w:ascii="Arial Narrow" w:eastAsia="Times New Roman" w:hAnsi="Arial Narrow"/>
      <w:sz w:val="20"/>
      <w:szCs w:val="24"/>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locked/>
    <w:rsid w:val="006C0C5B"/>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uiPriority w:val="99"/>
    <w:rsid w:val="006C0C5B"/>
    <w:rPr>
      <w:rFonts w:ascii="Arial Narrow" w:eastAsia="Times New Roman" w:hAnsi="Arial Narrow" w:cs="Arial"/>
      <w:b/>
      <w:bCs/>
      <w:iCs/>
      <w:sz w:val="20"/>
      <w:szCs w:val="20"/>
      <w:lang w:eastAsia="en-US"/>
    </w:rPr>
  </w:style>
  <w:style w:type="table" w:customStyle="1" w:styleId="TableGrid10">
    <w:name w:val="Table Grid10"/>
    <w:basedOn w:val="TableNormal"/>
    <w:next w:val="TableGrid"/>
    <w:uiPriority w:val="59"/>
    <w:rsid w:val="006C0C5B"/>
    <w:pPr>
      <w:spacing w:before="40" w:after="4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05E85"/>
    <w:rPr>
      <w:rFonts w:asciiTheme="minorHAnsi" w:eastAsiaTheme="minorHAnsi" w:hAnsiTheme="minorHAnsi" w:cstheme="minorBidi"/>
      <w:lang w:eastAsia="en-US"/>
    </w:rPr>
  </w:style>
  <w:style w:type="paragraph" w:styleId="BodyText">
    <w:name w:val="Body Text"/>
    <w:basedOn w:val="Normal"/>
    <w:link w:val="BodyTextChar"/>
    <w:uiPriority w:val="1"/>
    <w:qFormat/>
    <w:rsid w:val="00CE0FFD"/>
    <w:pPr>
      <w:spacing w:before="180" w:line="259" w:lineRule="auto"/>
    </w:pPr>
    <w:rPr>
      <w:rFonts w:asciiTheme="minorHAnsi" w:hAnsiTheme="minorHAnsi"/>
      <w:sz w:val="20"/>
      <w:szCs w:val="24"/>
    </w:rPr>
  </w:style>
  <w:style w:type="character" w:customStyle="1" w:styleId="BodyTextChar">
    <w:name w:val="Body Text Char"/>
    <w:basedOn w:val="DefaultParagraphFont"/>
    <w:link w:val="BodyText"/>
    <w:uiPriority w:val="1"/>
    <w:rsid w:val="00CE0FFD"/>
    <w:rPr>
      <w:rFonts w:asciiTheme="minorHAnsi" w:eastAsia="Times New Roman" w:hAnsiTheme="minorHAnsi"/>
      <w:sz w:val="20"/>
      <w:szCs w:val="24"/>
    </w:rPr>
  </w:style>
  <w:style w:type="paragraph" w:styleId="BlockText">
    <w:name w:val="Block Text"/>
    <w:basedOn w:val="BodyText"/>
    <w:next w:val="BodyText"/>
    <w:uiPriority w:val="99"/>
    <w:semiHidden/>
    <w:rsid w:val="00CE0FFD"/>
    <w:pPr>
      <w:ind w:left="1440" w:right="1440"/>
    </w:pPr>
  </w:style>
  <w:style w:type="paragraph" w:styleId="Title">
    <w:name w:val="Title"/>
    <w:basedOn w:val="Normal"/>
    <w:next w:val="Normal"/>
    <w:link w:val="TitleChar"/>
    <w:qFormat/>
    <w:locked/>
    <w:rsid w:val="00C7589F"/>
    <w:pPr>
      <w:spacing w:after="240"/>
      <w:jc w:val="center"/>
    </w:pPr>
    <w:rPr>
      <w:rFonts w:ascii="Arial" w:hAnsi="Arial" w:cs="Arial"/>
      <w:b/>
      <w:bCs/>
      <w:color w:val="000080"/>
      <w:sz w:val="36"/>
      <w:szCs w:val="36"/>
    </w:rPr>
  </w:style>
  <w:style w:type="character" w:customStyle="1" w:styleId="TitleChar">
    <w:name w:val="Title Char"/>
    <w:basedOn w:val="DefaultParagraphFont"/>
    <w:link w:val="Title"/>
    <w:rsid w:val="00C7589F"/>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C7589F"/>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C7589F"/>
    <w:rPr>
      <w:rFonts w:ascii="Arial" w:eastAsia="Times New Roman" w:hAnsi="Arial" w:cs="Arial"/>
      <w:b/>
      <w:bCs/>
      <w:i/>
      <w:color w:val="000080"/>
      <w:sz w:val="28"/>
      <w:szCs w:val="28"/>
    </w:rPr>
  </w:style>
  <w:style w:type="character" w:styleId="Strong">
    <w:name w:val="Strong"/>
    <w:qFormat/>
    <w:locked/>
    <w:rsid w:val="00725B10"/>
    <w:rPr>
      <w:rFonts w:ascii="Arial" w:hAnsi="Arial" w:cs="Arial"/>
      <w:b/>
      <w:szCs w:val="24"/>
    </w:rPr>
  </w:style>
  <w:style w:type="character" w:styleId="SubtleEmphasis">
    <w:name w:val="Subtle Emphasis"/>
    <w:uiPriority w:val="19"/>
    <w:qFormat/>
    <w:rsid w:val="00725B10"/>
    <w:rPr>
      <w: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725B10"/>
    <w:pPr>
      <w:keepNext/>
      <w:keepLines/>
      <w:numPr>
        <w:numId w:val="35"/>
      </w:numPr>
      <w:outlineLvl w:val="0"/>
    </w:pPr>
    <w:rPr>
      <w:rFonts w:ascii="Arial" w:hAnsi="Arial"/>
      <w:b/>
      <w:bCs/>
      <w:szCs w:val="28"/>
    </w:rPr>
  </w:style>
  <w:style w:type="paragraph" w:styleId="Heading2">
    <w:name w:val="heading 2"/>
    <w:basedOn w:val="Normal"/>
    <w:next w:val="Normal"/>
    <w:link w:val="Heading2Char"/>
    <w:unhideWhenUsed/>
    <w:qFormat/>
    <w:locked/>
    <w:rsid w:val="00725B10"/>
    <w:pPr>
      <w:spacing w:after="240"/>
      <w:outlineLvl w:val="1"/>
    </w:pPr>
    <w:rPr>
      <w:b/>
      <w:u w:val="single"/>
    </w:rPr>
  </w:style>
  <w:style w:type="paragraph" w:styleId="Heading5">
    <w:name w:val="heading 5"/>
    <w:basedOn w:val="Normal"/>
    <w:next w:val="Normal"/>
    <w:link w:val="Heading5Char"/>
    <w:uiPriority w:val="9"/>
    <w:semiHidden/>
    <w:unhideWhenUsed/>
    <w:qFormat/>
    <w:locked/>
    <w:rsid w:val="00C14E4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5B10"/>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725B10"/>
    <w:rPr>
      <w:rFonts w:eastAsia="Times New Roman"/>
      <w:b/>
      <w:sz w:val="24"/>
      <w:szCs w:val="20"/>
      <w:u w:val="single"/>
    </w:rPr>
  </w:style>
  <w:style w:type="paragraph" w:customStyle="1" w:styleId="TableHeading">
    <w:name w:val="TableHeading"/>
    <w:basedOn w:val="Normal"/>
    <w:link w:val="TableHeadingChar"/>
    <w:qFormat/>
    <w:rsid w:val="009E17EB"/>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9E17EB"/>
    <w:rPr>
      <w:rFonts w:ascii="Arial Narrow" w:eastAsia="Times New Roman" w:hAnsi="Arial Narrow" w:cs="Tahoma"/>
      <w:b/>
      <w:noProof/>
      <w:sz w:val="20"/>
      <w:szCs w:val="20"/>
    </w:rPr>
  </w:style>
  <w:style w:type="character" w:customStyle="1" w:styleId="Heading5Char">
    <w:name w:val="Heading 5 Char"/>
    <w:basedOn w:val="DefaultParagraphFont"/>
    <w:link w:val="Heading5"/>
    <w:uiPriority w:val="9"/>
    <w:semiHidden/>
    <w:rsid w:val="00C14E47"/>
    <w:rPr>
      <w:rFonts w:asciiTheme="majorHAnsi" w:eastAsiaTheme="majorEastAsia" w:hAnsiTheme="majorHAnsi" w:cstheme="majorBidi"/>
      <w:color w:val="243F60" w:themeColor="accent1" w:themeShade="7F"/>
      <w:sz w:val="24"/>
      <w:szCs w:val="20"/>
    </w:rPr>
  </w:style>
  <w:style w:type="table" w:styleId="TableGrid">
    <w:name w:val="Table Grid"/>
    <w:basedOn w:val="TableNormal"/>
    <w:uiPriority w:val="59"/>
    <w:locked/>
    <w:rsid w:val="006C0C5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link w:val="TabletextChar"/>
    <w:qFormat/>
    <w:rsid w:val="006C0C5B"/>
    <w:rPr>
      <w:rFonts w:ascii="Arial Narrow" w:hAnsi="Arial Narrow"/>
      <w:sz w:val="20"/>
      <w:szCs w:val="24"/>
      <w:lang w:eastAsia="en-US"/>
    </w:rPr>
  </w:style>
  <w:style w:type="character" w:customStyle="1" w:styleId="TabletextChar">
    <w:name w:val="Table text Char"/>
    <w:basedOn w:val="DefaultParagraphFont"/>
    <w:link w:val="Tabletext"/>
    <w:rsid w:val="006C0C5B"/>
    <w:rPr>
      <w:rFonts w:ascii="Arial Narrow" w:eastAsia="Times New Roman" w:hAnsi="Arial Narrow"/>
      <w:sz w:val="20"/>
      <w:szCs w:val="24"/>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locked/>
    <w:rsid w:val="006C0C5B"/>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uiPriority w:val="99"/>
    <w:rsid w:val="006C0C5B"/>
    <w:rPr>
      <w:rFonts w:ascii="Arial Narrow" w:eastAsia="Times New Roman" w:hAnsi="Arial Narrow" w:cs="Arial"/>
      <w:b/>
      <w:bCs/>
      <w:iCs/>
      <w:sz w:val="20"/>
      <w:szCs w:val="20"/>
      <w:lang w:eastAsia="en-US"/>
    </w:rPr>
  </w:style>
  <w:style w:type="table" w:customStyle="1" w:styleId="TableGrid10">
    <w:name w:val="Table Grid10"/>
    <w:basedOn w:val="TableNormal"/>
    <w:next w:val="TableGrid"/>
    <w:uiPriority w:val="59"/>
    <w:rsid w:val="006C0C5B"/>
    <w:pPr>
      <w:spacing w:before="40" w:after="4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05E85"/>
    <w:rPr>
      <w:rFonts w:asciiTheme="minorHAnsi" w:eastAsiaTheme="minorHAnsi" w:hAnsiTheme="minorHAnsi" w:cstheme="minorBidi"/>
      <w:lang w:eastAsia="en-US"/>
    </w:rPr>
  </w:style>
  <w:style w:type="paragraph" w:styleId="BodyText">
    <w:name w:val="Body Text"/>
    <w:basedOn w:val="Normal"/>
    <w:link w:val="BodyTextChar"/>
    <w:uiPriority w:val="1"/>
    <w:qFormat/>
    <w:rsid w:val="00CE0FFD"/>
    <w:pPr>
      <w:spacing w:before="180" w:line="259" w:lineRule="auto"/>
    </w:pPr>
    <w:rPr>
      <w:rFonts w:asciiTheme="minorHAnsi" w:hAnsiTheme="minorHAnsi"/>
      <w:sz w:val="20"/>
      <w:szCs w:val="24"/>
    </w:rPr>
  </w:style>
  <w:style w:type="character" w:customStyle="1" w:styleId="BodyTextChar">
    <w:name w:val="Body Text Char"/>
    <w:basedOn w:val="DefaultParagraphFont"/>
    <w:link w:val="BodyText"/>
    <w:uiPriority w:val="1"/>
    <w:rsid w:val="00CE0FFD"/>
    <w:rPr>
      <w:rFonts w:asciiTheme="minorHAnsi" w:eastAsia="Times New Roman" w:hAnsiTheme="minorHAnsi"/>
      <w:sz w:val="20"/>
      <w:szCs w:val="24"/>
    </w:rPr>
  </w:style>
  <w:style w:type="paragraph" w:styleId="BlockText">
    <w:name w:val="Block Text"/>
    <w:basedOn w:val="BodyText"/>
    <w:next w:val="BodyText"/>
    <w:uiPriority w:val="99"/>
    <w:semiHidden/>
    <w:rsid w:val="00CE0FFD"/>
    <w:pPr>
      <w:ind w:left="1440" w:right="1440"/>
    </w:pPr>
  </w:style>
  <w:style w:type="paragraph" w:styleId="Title">
    <w:name w:val="Title"/>
    <w:basedOn w:val="Normal"/>
    <w:next w:val="Normal"/>
    <w:link w:val="TitleChar"/>
    <w:qFormat/>
    <w:locked/>
    <w:rsid w:val="00C7589F"/>
    <w:pPr>
      <w:spacing w:after="240"/>
      <w:jc w:val="center"/>
    </w:pPr>
    <w:rPr>
      <w:rFonts w:ascii="Arial" w:hAnsi="Arial" w:cs="Arial"/>
      <w:b/>
      <w:bCs/>
      <w:color w:val="000080"/>
      <w:sz w:val="36"/>
      <w:szCs w:val="36"/>
    </w:rPr>
  </w:style>
  <w:style w:type="character" w:customStyle="1" w:styleId="TitleChar">
    <w:name w:val="Title Char"/>
    <w:basedOn w:val="DefaultParagraphFont"/>
    <w:link w:val="Title"/>
    <w:rsid w:val="00C7589F"/>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C7589F"/>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C7589F"/>
    <w:rPr>
      <w:rFonts w:ascii="Arial" w:eastAsia="Times New Roman" w:hAnsi="Arial" w:cs="Arial"/>
      <w:b/>
      <w:bCs/>
      <w:i/>
      <w:color w:val="000080"/>
      <w:sz w:val="28"/>
      <w:szCs w:val="28"/>
    </w:rPr>
  </w:style>
  <w:style w:type="character" w:styleId="Strong">
    <w:name w:val="Strong"/>
    <w:qFormat/>
    <w:locked/>
    <w:rsid w:val="00725B10"/>
    <w:rPr>
      <w:rFonts w:ascii="Arial" w:hAnsi="Arial" w:cs="Arial"/>
      <w:b/>
      <w:szCs w:val="24"/>
    </w:rPr>
  </w:style>
  <w:style w:type="character" w:styleId="SubtleEmphasis">
    <w:name w:val="Subtle Emphasis"/>
    <w:uiPriority w:val="19"/>
    <w:qFormat/>
    <w:rsid w:val="00725B10"/>
    <w:rPr>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sac.gov.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65056-6E89-4191-BD47-31DA93F29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7376</Words>
  <Characters>44206</Characters>
  <Application>Microsoft Office Word</Application>
  <DocSecurity>0</DocSecurity>
  <Lines>368</Lines>
  <Paragraphs>102</Paragraphs>
  <ScaleCrop>false</ScaleCrop>
  <HeadingPairs>
    <vt:vector size="2" baseType="variant">
      <vt:variant>
        <vt:lpstr>Title</vt:lpstr>
      </vt:variant>
      <vt:variant>
        <vt:i4>1</vt:i4>
      </vt:variant>
    </vt:vector>
  </HeadingPairs>
  <TitlesOfParts>
    <vt:vector size="1" baseType="lpstr">
      <vt:lpstr>1237 PSD</vt:lpstr>
    </vt:vector>
  </TitlesOfParts>
  <LinksUpToDate>false</LinksUpToDate>
  <CharactersWithSpaces>51480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1237 PSD</dc:title>
  <dc:creator/>
  <cp:lastModifiedBy/>
  <cp:revision>1</cp:revision>
  <dcterms:created xsi:type="dcterms:W3CDTF">2016-10-18T03:39:00Z</dcterms:created>
  <dcterms:modified xsi:type="dcterms:W3CDTF">2016-10-18T03:39:00Z</dcterms:modified>
</cp:coreProperties>
</file>